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36214">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Theme="minorEastAsia" w:hAnsiTheme="minorEastAsia" w:eastAsiaTheme="minorEastAsia" w:cstheme="minorEastAsia"/>
          <w:color w:val="auto"/>
          <w:sz w:val="52"/>
          <w:szCs w:val="52"/>
          <w:highlight w:val="none"/>
        </w:rPr>
      </w:pPr>
      <w:r>
        <w:rPr>
          <w:rFonts w:hint="eastAsia" w:asciiTheme="minorEastAsia" w:hAnsiTheme="minorEastAsia" w:eastAsiaTheme="minorEastAsia" w:cstheme="minorEastAsia"/>
          <w:color w:val="auto"/>
          <w:spacing w:val="-2"/>
          <w:sz w:val="52"/>
          <w:szCs w:val="52"/>
          <w:highlight w:val="none"/>
          <w:lang w:eastAsia="zh-CN"/>
          <w14:textOutline w14:w="3844" w14:cap="flat" w14:cmpd="sng">
            <w14:solidFill>
              <w14:srgbClr w14:val="000000"/>
            </w14:solidFill>
            <w14:prstDash w14:val="solid"/>
            <w14:miter w14:val="0"/>
          </w14:textOutline>
        </w:rPr>
        <w:drawing>
          <wp:anchor distT="0" distB="0" distL="114300" distR="114300" simplePos="0" relativeHeight="251659264" behindDoc="0" locked="0" layoutInCell="1" allowOverlap="1">
            <wp:simplePos x="0" y="0"/>
            <wp:positionH relativeFrom="column">
              <wp:posOffset>-1131570</wp:posOffset>
            </wp:positionH>
            <wp:positionV relativeFrom="paragraph">
              <wp:posOffset>-897890</wp:posOffset>
            </wp:positionV>
            <wp:extent cx="7560310" cy="10692130"/>
            <wp:effectExtent l="0" t="0" r="2540" b="13970"/>
            <wp:wrapNone/>
            <wp:docPr id="3" name="图片 3" descr="3829ba8f2ad93c026f7fe7f9338bbea4"/>
            <wp:cNvGraphicFramePr/>
            <a:graphic xmlns:a="http://schemas.openxmlformats.org/drawingml/2006/main">
              <a:graphicData uri="http://schemas.openxmlformats.org/drawingml/2006/picture">
                <pic:pic xmlns:pic="http://schemas.openxmlformats.org/drawingml/2006/picture">
                  <pic:nvPicPr>
                    <pic:cNvPr id="3" name="图片 3" descr="3829ba8f2ad93c026f7fe7f9338bbea4"/>
                    <pic:cNvPicPr/>
                  </pic:nvPicPr>
                  <pic:blipFill>
                    <a:blip r:embed="rId20"/>
                    <a:stretch>
                      <a:fillRect/>
                    </a:stretch>
                  </pic:blipFill>
                  <pic:spPr>
                    <a:xfrm>
                      <a:off x="0" y="0"/>
                      <a:ext cx="7560310" cy="10692130"/>
                    </a:xfrm>
                    <a:prstGeom prst="rect">
                      <a:avLst/>
                    </a:prstGeom>
                  </pic:spPr>
                </pic:pic>
              </a:graphicData>
            </a:graphic>
          </wp:anchor>
        </w:drawing>
      </w:r>
      <w:r>
        <w:rPr>
          <w:rFonts w:hint="eastAsia" w:asciiTheme="minorEastAsia" w:hAnsiTheme="minorEastAsia" w:eastAsiaTheme="minorEastAsia" w:cstheme="minorEastAsia"/>
          <w:color w:val="auto"/>
          <w:spacing w:val="-2"/>
          <w:sz w:val="52"/>
          <w:szCs w:val="52"/>
          <w:highlight w:val="none"/>
          <w:lang w:eastAsia="zh-CN"/>
          <w14:textOutline w14:w="3844" w14:cap="flat" w14:cmpd="sng">
            <w14:solidFill>
              <w14:srgbClr w14:val="000000"/>
            </w14:solidFill>
            <w14:prstDash w14:val="solid"/>
            <w14:miter w14:val="0"/>
          </w14:textOutline>
        </w:rPr>
        <w:t>南阳市</w:t>
      </w:r>
      <w:r>
        <w:rPr>
          <w:rFonts w:hint="eastAsia" w:asciiTheme="minorEastAsia" w:hAnsiTheme="minorEastAsia" w:eastAsiaTheme="minorEastAsia" w:cstheme="minorEastAsia"/>
          <w:color w:val="auto"/>
          <w:spacing w:val="-2"/>
          <w:sz w:val="52"/>
          <w:szCs w:val="52"/>
          <w:highlight w:val="none"/>
          <w14:textOutline w14:w="3844" w14:cap="flat" w14:cmpd="sng">
            <w14:solidFill>
              <w14:srgbClr w14:val="000000"/>
            </w14:solidFill>
            <w14:prstDash w14:val="solid"/>
            <w14:miter w14:val="0"/>
          </w14:textOutline>
        </w:rPr>
        <w:t>政府采购项目</w:t>
      </w:r>
    </w:p>
    <w:p w14:paraId="0E4C6318">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color w:val="auto"/>
          <w:sz w:val="60"/>
          <w:szCs w:val="60"/>
          <w:highlight w:val="none"/>
        </w:rPr>
      </w:pPr>
      <w:r>
        <w:rPr>
          <w:rFonts w:hint="eastAsia" w:asciiTheme="minorEastAsia" w:hAnsiTheme="minorEastAsia" w:eastAsiaTheme="minorEastAsia" w:cstheme="minorEastAsia"/>
          <w:color w:val="auto"/>
          <w:spacing w:val="-3"/>
          <w:sz w:val="52"/>
          <w:szCs w:val="52"/>
          <w:highlight w:val="none"/>
          <w14:textOutline w14:w="3844" w14:cap="flat" w14:cmpd="sng">
            <w14:solidFill>
              <w14:srgbClr w14:val="000000"/>
            </w14:solidFill>
            <w14:prstDash w14:val="solid"/>
            <w14:miter w14:val="0"/>
          </w14:textOutline>
        </w:rPr>
        <w:t>公开招标文件</w:t>
      </w:r>
    </w:p>
    <w:p w14:paraId="19213EB3">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color w:val="auto"/>
          <w:sz w:val="21"/>
          <w:highlight w:val="none"/>
        </w:rPr>
      </w:pPr>
    </w:p>
    <w:p w14:paraId="3AE82828">
      <w:pPr>
        <w:keepNext w:val="0"/>
        <w:keepLines w:val="0"/>
        <w:pageBreakBefore w:val="0"/>
        <w:kinsoku/>
        <w:wordWrap w:val="0"/>
        <w:overflowPunct/>
        <w:topLinePunct w:val="0"/>
        <w:bidi w:val="0"/>
        <w:spacing w:line="316" w:lineRule="auto"/>
        <w:jc w:val="both"/>
        <w:rPr>
          <w:rFonts w:hint="eastAsia" w:asciiTheme="minorEastAsia" w:hAnsiTheme="minorEastAsia" w:eastAsiaTheme="minorEastAsia" w:cstheme="minorEastAsia"/>
          <w:color w:val="auto"/>
          <w:sz w:val="21"/>
          <w:highlight w:val="none"/>
        </w:rPr>
      </w:pPr>
    </w:p>
    <w:p w14:paraId="7D255A26">
      <w:pPr>
        <w:keepNext w:val="0"/>
        <w:keepLines w:val="0"/>
        <w:pageBreakBefore w:val="0"/>
        <w:kinsoku/>
        <w:wordWrap w:val="0"/>
        <w:overflowPunct/>
        <w:topLinePunct w:val="0"/>
        <w:bidi w:val="0"/>
        <w:spacing w:line="317" w:lineRule="auto"/>
        <w:jc w:val="both"/>
        <w:rPr>
          <w:rFonts w:hint="eastAsia" w:asciiTheme="minorEastAsia" w:hAnsiTheme="minorEastAsia" w:eastAsiaTheme="minorEastAsia" w:cstheme="minorEastAsia"/>
          <w:color w:val="auto"/>
          <w:sz w:val="21"/>
          <w:highlight w:val="none"/>
        </w:rPr>
      </w:pPr>
    </w:p>
    <w:p w14:paraId="688A3B18">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6"/>
          <w:szCs w:val="36"/>
          <w:highlight w:val="none"/>
        </w:rPr>
      </w:pPr>
    </w:p>
    <w:p w14:paraId="3191F1FF">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6"/>
          <w:szCs w:val="36"/>
          <w:highlight w:val="none"/>
        </w:rPr>
      </w:pPr>
    </w:p>
    <w:p w14:paraId="41FB47DD">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highlight w:val="none"/>
          <w:u w:val="single"/>
          <w:lang w:val="en-US" w:eastAsia="zh-CN"/>
        </w:rPr>
      </w:pPr>
      <w:r>
        <w:rPr>
          <w:rFonts w:hint="eastAsia" w:asciiTheme="minorEastAsia" w:hAnsiTheme="minorEastAsia" w:eastAsiaTheme="minorEastAsia" w:cstheme="minorEastAsia"/>
          <w:b/>
          <w:bCs/>
          <w:color w:val="auto"/>
          <w:spacing w:val="-17"/>
          <w:sz w:val="32"/>
          <w:szCs w:val="32"/>
          <w:highlight w:val="none"/>
        </w:rPr>
        <w:t>项目名称：</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河南省南阳工业学校机电技术应用   </w:t>
      </w:r>
    </w:p>
    <w:p w14:paraId="13D29BDB">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highlight w:val="none"/>
          <w:u w:val="single"/>
          <w:lang w:val="en-US" w:eastAsia="zh-CN"/>
        </w:rPr>
      </w:pPr>
      <w:r>
        <w:rPr>
          <w:rFonts w:hint="eastAsia" w:asciiTheme="minorEastAsia" w:hAnsiTheme="minorEastAsia" w:eastAsiaTheme="minorEastAsia" w:cstheme="minorEastAsia"/>
          <w:b/>
          <w:bCs/>
          <w:color w:val="auto"/>
          <w:spacing w:val="-17"/>
          <w:sz w:val="32"/>
          <w:szCs w:val="32"/>
          <w:highlight w:val="none"/>
          <w:u w:val="none"/>
          <w:lang w:val="en-US" w:eastAsia="zh-CN"/>
        </w:rPr>
        <w:t xml:space="preserve">           </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优质专业群建设项目          </w:t>
      </w:r>
    </w:p>
    <w:p w14:paraId="645900FE">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color w:val="auto"/>
          <w:spacing w:val="-17"/>
          <w:sz w:val="32"/>
          <w:szCs w:val="32"/>
          <w:highlight w:val="none"/>
          <w:lang w:eastAsia="zh-CN"/>
        </w:rPr>
      </w:pPr>
      <w:r>
        <w:rPr>
          <w:rFonts w:hint="eastAsia" w:asciiTheme="minorEastAsia" w:hAnsiTheme="minorEastAsia" w:eastAsiaTheme="minorEastAsia" w:cstheme="minorEastAsia"/>
          <w:b/>
          <w:bCs/>
          <w:color w:val="auto"/>
          <w:spacing w:val="-17"/>
          <w:sz w:val="32"/>
          <w:szCs w:val="32"/>
          <w:highlight w:val="none"/>
        </w:rPr>
        <w:t>项目编号</w:t>
      </w:r>
      <w:r>
        <w:rPr>
          <w:rFonts w:hint="eastAsia" w:asciiTheme="minorEastAsia" w:hAnsiTheme="minorEastAsia" w:eastAsiaTheme="minorEastAsia" w:cstheme="minorEastAsia"/>
          <w:b/>
          <w:bCs/>
          <w:color w:val="auto"/>
          <w:spacing w:val="-17"/>
          <w:sz w:val="32"/>
          <w:szCs w:val="32"/>
          <w:highlight w:val="none"/>
          <w:lang w:eastAsia="zh-CN"/>
        </w:rPr>
        <w:t>：</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南阳政采公开-2026-54         </w:t>
      </w:r>
    </w:p>
    <w:p w14:paraId="4124D400">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color w:val="auto"/>
          <w:spacing w:val="-17"/>
          <w:sz w:val="32"/>
          <w:szCs w:val="32"/>
          <w:highlight w:val="none"/>
        </w:rPr>
      </w:pPr>
      <w:r>
        <w:rPr>
          <w:rFonts w:hint="eastAsia" w:asciiTheme="minorEastAsia" w:hAnsiTheme="minorEastAsia" w:eastAsiaTheme="minorEastAsia" w:cstheme="minorEastAsia"/>
          <w:b/>
          <w:bCs/>
          <w:color w:val="auto"/>
          <w:spacing w:val="-17"/>
          <w:sz w:val="32"/>
          <w:szCs w:val="32"/>
          <w:highlight w:val="none"/>
          <w:lang w:val="en-US" w:eastAsia="zh-CN"/>
        </w:rPr>
        <w:t>标段编号</w:t>
      </w:r>
      <w:r>
        <w:rPr>
          <w:rFonts w:hint="eastAsia" w:asciiTheme="minorEastAsia" w:hAnsiTheme="minorEastAsia" w:eastAsiaTheme="minorEastAsia" w:cstheme="minorEastAsia"/>
          <w:b/>
          <w:bCs/>
          <w:color w:val="auto"/>
          <w:spacing w:val="-17"/>
          <w:sz w:val="32"/>
          <w:szCs w:val="32"/>
          <w:highlight w:val="none"/>
        </w:rPr>
        <w:t>：</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南阳政采公开-2026-54-1        </w:t>
      </w:r>
    </w:p>
    <w:p w14:paraId="1FCCC6C4">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highlight w:val="none"/>
          <w:lang w:val="en-US"/>
        </w:rPr>
      </w:pPr>
      <w:r>
        <w:rPr>
          <w:rFonts w:hint="eastAsia" w:asciiTheme="minorEastAsia" w:hAnsiTheme="minorEastAsia" w:eastAsiaTheme="minorEastAsia" w:cstheme="minorEastAsia"/>
          <w:b/>
          <w:bCs/>
          <w:color w:val="auto"/>
          <w:spacing w:val="-17"/>
          <w:sz w:val="32"/>
          <w:szCs w:val="32"/>
          <w:highlight w:val="none"/>
        </w:rPr>
        <w:t>采购人：</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河南省南阳工业学校          </w:t>
      </w:r>
    </w:p>
    <w:p w14:paraId="11845D1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color w:val="auto"/>
          <w:spacing w:val="-17"/>
          <w:sz w:val="32"/>
          <w:szCs w:val="32"/>
          <w:highlight w:val="none"/>
          <w:u w:val="single"/>
          <w:lang w:val="en-US" w:eastAsia="zh-CN"/>
        </w:rPr>
      </w:pPr>
      <w:r>
        <w:rPr>
          <w:rFonts w:hint="eastAsia" w:asciiTheme="minorEastAsia" w:hAnsiTheme="minorEastAsia" w:eastAsiaTheme="minorEastAsia" w:cstheme="minorEastAsia"/>
          <w:b/>
          <w:bCs/>
          <w:color w:val="auto"/>
          <w:spacing w:val="-17"/>
          <w:sz w:val="32"/>
          <w:szCs w:val="32"/>
          <w:highlight w:val="none"/>
        </w:rPr>
        <w:t>采购代理机构：</w:t>
      </w:r>
      <w:r>
        <w:rPr>
          <w:rFonts w:hint="eastAsia" w:asciiTheme="minorEastAsia" w:hAnsiTheme="minorEastAsia" w:eastAsiaTheme="minorEastAsia" w:cstheme="minorEastAsia"/>
          <w:b/>
          <w:bCs/>
          <w:color w:val="auto"/>
          <w:spacing w:val="-17"/>
          <w:sz w:val="32"/>
          <w:szCs w:val="32"/>
          <w:highlight w:val="none"/>
          <w:u w:val="single"/>
          <w:lang w:val="en-US" w:eastAsia="zh-CN"/>
        </w:rPr>
        <w:t xml:space="preserve">     南阳市公共资源交易中心     </w:t>
      </w:r>
    </w:p>
    <w:p w14:paraId="430DCF45">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color w:val="auto"/>
          <w:spacing w:val="-17"/>
          <w:sz w:val="32"/>
          <w:szCs w:val="32"/>
          <w:highlight w:val="none"/>
        </w:rPr>
      </w:pPr>
    </w:p>
    <w:p w14:paraId="5D49E9B1">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highlight w:val="none"/>
        </w:rPr>
      </w:pPr>
    </w:p>
    <w:p w14:paraId="0FA6EA12">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highlight w:val="none"/>
        </w:rPr>
      </w:pPr>
    </w:p>
    <w:p w14:paraId="03EC39E2">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highlight w:val="none"/>
        </w:rPr>
      </w:pPr>
    </w:p>
    <w:p w14:paraId="4C682676">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highlight w:val="none"/>
        </w:rPr>
      </w:pPr>
    </w:p>
    <w:p w14:paraId="317807E6">
      <w:pPr>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rPr>
          <w:rFonts w:hint="eastAsia" w:asciiTheme="minorEastAsia" w:hAnsiTheme="minorEastAsia" w:eastAsiaTheme="minorEastAsia" w:cstheme="minorEastAsia"/>
          <w:b/>
          <w:bCs/>
          <w:color w:val="auto"/>
          <w:spacing w:val="-17"/>
          <w:sz w:val="32"/>
          <w:szCs w:val="32"/>
          <w:highlight w:val="none"/>
        </w:rPr>
      </w:pPr>
    </w:p>
    <w:p w14:paraId="52520568">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color w:val="auto"/>
          <w:sz w:val="21"/>
          <w:highlight w:val="none"/>
        </w:rPr>
      </w:pPr>
    </w:p>
    <w:p w14:paraId="31C80C1A">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color w:val="auto"/>
          <w:sz w:val="21"/>
          <w:highlight w:val="none"/>
        </w:rPr>
      </w:pPr>
    </w:p>
    <w:p w14:paraId="6E9847E0">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color w:val="auto"/>
          <w:sz w:val="21"/>
          <w:highlight w:val="none"/>
        </w:rPr>
      </w:pPr>
    </w:p>
    <w:p w14:paraId="4D264497">
      <w:pPr>
        <w:keepNext w:val="0"/>
        <w:keepLines w:val="0"/>
        <w:pageBreakBefore w:val="0"/>
        <w:kinsoku/>
        <w:wordWrap w:val="0"/>
        <w:overflowPunct/>
        <w:topLinePunct w:val="0"/>
        <w:bidi w:val="0"/>
        <w:spacing w:line="274" w:lineRule="auto"/>
        <w:jc w:val="both"/>
        <w:rPr>
          <w:rFonts w:hint="eastAsia" w:asciiTheme="minorEastAsia" w:hAnsiTheme="minorEastAsia" w:eastAsiaTheme="minorEastAsia" w:cstheme="minorEastAsia"/>
          <w:color w:val="auto"/>
          <w:sz w:val="21"/>
          <w:highlight w:val="none"/>
        </w:rPr>
      </w:pPr>
    </w:p>
    <w:p w14:paraId="2CAC389D">
      <w:pPr>
        <w:pStyle w:val="6"/>
        <w:keepNext w:val="0"/>
        <w:keepLines w:val="0"/>
        <w:pageBreakBefore w:val="0"/>
        <w:kinsoku/>
        <w:wordWrap w:val="0"/>
        <w:overflowPunct/>
        <w:topLinePunct w:val="0"/>
        <w:bidi w:val="0"/>
        <w:spacing w:before="117" w:line="220" w:lineRule="auto"/>
        <w:jc w:val="center"/>
        <w:rPr>
          <w:rFonts w:hint="eastAsia" w:asciiTheme="minorEastAsia" w:hAnsiTheme="minorEastAsia" w:eastAsiaTheme="minorEastAsia" w:cstheme="minorEastAsia"/>
          <w:color w:val="auto"/>
          <w:spacing w:val="-3"/>
          <w:sz w:val="44"/>
          <w:szCs w:val="44"/>
          <w:highlight w:val="none"/>
          <w14:textOutline w14:w="2306" w14:cap="flat" w14:cmpd="sng">
            <w14:solidFill>
              <w14:srgbClr w14:val="000000"/>
            </w14:solidFill>
            <w14:prstDash w14:val="solid"/>
            <w14:miter w14:val="0"/>
          </w14:textOutline>
        </w:rPr>
        <w:sectPr>
          <w:headerReference r:id="rId5" w:type="default"/>
          <w:footerReference r:id="rId6" w:type="default"/>
          <w:pgSz w:w="11907" w:h="16840"/>
          <w:pgMar w:top="1440" w:right="1800" w:bottom="1440" w:left="1800" w:header="878" w:footer="886" w:gutter="0"/>
          <w:pgNumType w:fmt="decimal"/>
          <w:cols w:space="720" w:num="1"/>
        </w:sectPr>
      </w:pPr>
    </w:p>
    <w:sdt>
      <w:sdtPr>
        <w:rPr>
          <w:rFonts w:hint="eastAsia" w:asciiTheme="minorEastAsia" w:hAnsiTheme="minorEastAsia" w:eastAsiaTheme="minorEastAsia" w:cstheme="minorEastAsia"/>
          <w:color w:val="auto"/>
          <w:sz w:val="21"/>
          <w:szCs w:val="21"/>
          <w:highlight w:val="none"/>
        </w:rPr>
        <w:id w:val="2"/>
        <w:docPartObj>
          <w:docPartGallery w:val="Table of Contents"/>
          <w:docPartUnique/>
        </w:docPartObj>
      </w:sdtPr>
      <w:sdtEndPr>
        <w:rPr>
          <w:rFonts w:hint="eastAsia" w:asciiTheme="minorEastAsia" w:hAnsiTheme="minorEastAsia" w:eastAsiaTheme="minorEastAsia" w:cstheme="minorEastAsia"/>
          <w:color w:val="auto"/>
          <w:sz w:val="28"/>
          <w:szCs w:val="28"/>
          <w:highlight w:val="none"/>
          <w:lang w:val="en-US"/>
        </w:rPr>
      </w:sdtEndPr>
      <w:sdtContent>
        <w:p w14:paraId="3DB34533">
          <w:pPr>
            <w:pStyle w:val="6"/>
            <w:keepNext w:val="0"/>
            <w:keepLines w:val="0"/>
            <w:pageBreakBefore w:val="0"/>
            <w:kinsoku/>
            <w:wordWrap w:val="0"/>
            <w:overflowPunct/>
            <w:topLinePunct w:val="0"/>
            <w:bidi w:val="0"/>
            <w:spacing w:before="353" w:line="222" w:lineRule="auto"/>
            <w:ind w:left="3716"/>
            <w:jc w:val="both"/>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pacing w:val="-42"/>
              <w:sz w:val="44"/>
              <w:szCs w:val="44"/>
              <w:highlight w:val="none"/>
              <w14:textOutline w14:w="2306" w14:cap="flat" w14:cmpd="sng">
                <w14:solidFill>
                  <w14:srgbClr w14:val="000000"/>
                </w14:solidFill>
                <w14:prstDash w14:val="solid"/>
                <w14:miter w14:val="0"/>
              </w14:textOutline>
            </w:rPr>
            <w:t>目</w:t>
          </w:r>
          <w:r>
            <w:rPr>
              <w:rFonts w:hint="eastAsia" w:asciiTheme="minorEastAsia" w:hAnsiTheme="minorEastAsia" w:eastAsiaTheme="minorEastAsia" w:cstheme="minorEastAsia"/>
              <w:color w:val="auto"/>
              <w:spacing w:val="-42"/>
              <w:sz w:val="44"/>
              <w:szCs w:val="44"/>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42"/>
              <w:sz w:val="44"/>
              <w:szCs w:val="44"/>
              <w:highlight w:val="none"/>
              <w14:textOutline w14:w="2306" w14:cap="flat" w14:cmpd="sng">
                <w14:solidFill>
                  <w14:srgbClr w14:val="000000"/>
                </w14:solidFill>
                <w14:prstDash w14:val="solid"/>
                <w14:miter w14:val="0"/>
              </w14:textOutline>
            </w:rPr>
            <w:t>录</w:t>
          </w:r>
        </w:p>
        <w:p w14:paraId="596421D2">
          <w:pPr>
            <w:pStyle w:val="6"/>
            <w:keepNext w:val="0"/>
            <w:keepLines w:val="0"/>
            <w:pageBreakBefore w:val="0"/>
            <w:kinsoku/>
            <w:wordWrap w:val="0"/>
            <w:overflowPunct/>
            <w:topLinePunct w:val="0"/>
            <w:bidi w:val="0"/>
            <w:jc w:val="both"/>
            <w:rPr>
              <w:rFonts w:hint="eastAsia"/>
              <w:color w:val="auto"/>
              <w:highlight w:val="none"/>
              <w:shd w:val="clear" w:color="FFFFFF" w:fill="D9D9D9"/>
            </w:rPr>
          </w:pPr>
        </w:p>
        <w:p w14:paraId="6A788F17">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lang w:eastAsia="zh-CN"/>
            </w:rPr>
          </w:pPr>
          <w:r>
            <w:rPr>
              <w:rFonts w:hint="eastAsia"/>
              <w:color w:val="auto"/>
              <w:sz w:val="28"/>
              <w:szCs w:val="28"/>
              <w:highlight w:val="none"/>
            </w:rPr>
            <w:t>第一章</w:t>
          </w:r>
          <w:r>
            <w:rPr>
              <w:rFonts w:hint="eastAsia"/>
              <w:color w:val="auto"/>
              <w:sz w:val="28"/>
              <w:szCs w:val="28"/>
              <w:highlight w:val="none"/>
              <w:lang w:val="en-US" w:eastAsia="zh-CN"/>
            </w:rPr>
            <w:t xml:space="preserve"> </w:t>
          </w:r>
          <w:r>
            <w:rPr>
              <w:rFonts w:hint="eastAsia"/>
              <w:color w:val="auto"/>
              <w:sz w:val="28"/>
              <w:szCs w:val="28"/>
              <w:highlight w:val="none"/>
              <w:lang w:eastAsia="zh-CN"/>
            </w:rPr>
            <w:t>公开招标公告</w:t>
          </w:r>
        </w:p>
        <w:p w14:paraId="4D9DADA1">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lang w:eastAsia="zh-CN"/>
            </w:rPr>
          </w:pPr>
          <w:r>
            <w:rPr>
              <w:rFonts w:hint="eastAsia"/>
              <w:color w:val="auto"/>
              <w:sz w:val="28"/>
              <w:szCs w:val="28"/>
              <w:highlight w:val="none"/>
            </w:rPr>
            <w:t>第</w:t>
          </w:r>
          <w:r>
            <w:rPr>
              <w:rFonts w:hint="eastAsia"/>
              <w:color w:val="auto"/>
              <w:sz w:val="28"/>
              <w:szCs w:val="28"/>
              <w:highlight w:val="none"/>
              <w:lang w:val="en-US" w:eastAsia="zh-CN"/>
            </w:rPr>
            <w:t>二</w:t>
          </w:r>
          <w:r>
            <w:rPr>
              <w:rFonts w:hint="eastAsia"/>
              <w:color w:val="auto"/>
              <w:sz w:val="28"/>
              <w:szCs w:val="28"/>
              <w:highlight w:val="none"/>
            </w:rPr>
            <w:t>章</w:t>
          </w:r>
          <w:r>
            <w:rPr>
              <w:rFonts w:hint="eastAsia"/>
              <w:color w:val="auto"/>
              <w:sz w:val="28"/>
              <w:szCs w:val="28"/>
              <w:highlight w:val="none"/>
              <w:lang w:val="en-US" w:eastAsia="zh-CN"/>
            </w:rPr>
            <w:t xml:space="preserve"> </w:t>
          </w:r>
          <w:r>
            <w:rPr>
              <w:rFonts w:hint="eastAsia"/>
              <w:color w:val="auto"/>
              <w:sz w:val="28"/>
              <w:szCs w:val="28"/>
              <w:highlight w:val="none"/>
            </w:rPr>
            <w:t>采购需求</w:t>
          </w:r>
        </w:p>
        <w:p w14:paraId="7E364C7F">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lang w:eastAsia="zh-CN"/>
            </w:rPr>
          </w:pPr>
          <w:r>
            <w:rPr>
              <w:rFonts w:hint="eastAsia"/>
              <w:color w:val="auto"/>
              <w:sz w:val="28"/>
              <w:szCs w:val="28"/>
              <w:highlight w:val="none"/>
            </w:rPr>
            <w:t>第</w:t>
          </w:r>
          <w:r>
            <w:rPr>
              <w:rFonts w:hint="eastAsia"/>
              <w:color w:val="auto"/>
              <w:sz w:val="28"/>
              <w:szCs w:val="28"/>
              <w:highlight w:val="none"/>
              <w:lang w:val="en-US" w:eastAsia="zh-CN"/>
            </w:rPr>
            <w:t>三</w:t>
          </w:r>
          <w:r>
            <w:rPr>
              <w:rFonts w:hint="eastAsia"/>
              <w:color w:val="auto"/>
              <w:sz w:val="28"/>
              <w:szCs w:val="28"/>
              <w:highlight w:val="none"/>
            </w:rPr>
            <w:t>章</w:t>
          </w:r>
          <w:r>
            <w:rPr>
              <w:rFonts w:hint="eastAsia"/>
              <w:color w:val="auto"/>
              <w:sz w:val="28"/>
              <w:szCs w:val="28"/>
              <w:highlight w:val="none"/>
              <w:lang w:val="en-US" w:eastAsia="zh-CN"/>
            </w:rPr>
            <w:t xml:space="preserve"> </w:t>
          </w:r>
          <w:r>
            <w:rPr>
              <w:rFonts w:hint="eastAsia"/>
              <w:color w:val="auto"/>
              <w:sz w:val="28"/>
              <w:szCs w:val="28"/>
              <w:highlight w:val="none"/>
            </w:rPr>
            <w:t>投标人须知</w:t>
          </w:r>
        </w:p>
        <w:p w14:paraId="4132EFC8">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lang w:val="en-US" w:eastAsia="zh-CN"/>
            </w:rPr>
          </w:pPr>
          <w:r>
            <w:rPr>
              <w:rFonts w:hint="eastAsia"/>
              <w:color w:val="auto"/>
              <w:sz w:val="28"/>
              <w:szCs w:val="28"/>
              <w:highlight w:val="none"/>
            </w:rPr>
            <w:t>第</w:t>
          </w:r>
          <w:r>
            <w:rPr>
              <w:rFonts w:hint="eastAsia"/>
              <w:color w:val="auto"/>
              <w:sz w:val="28"/>
              <w:szCs w:val="28"/>
              <w:highlight w:val="none"/>
              <w:lang w:val="en-US" w:eastAsia="zh-CN"/>
            </w:rPr>
            <w:t>四</w:t>
          </w:r>
          <w:r>
            <w:rPr>
              <w:rFonts w:hint="eastAsia"/>
              <w:color w:val="auto"/>
              <w:sz w:val="28"/>
              <w:szCs w:val="28"/>
              <w:highlight w:val="none"/>
            </w:rPr>
            <w:t>章</w:t>
          </w:r>
          <w:r>
            <w:rPr>
              <w:rFonts w:hint="eastAsia"/>
              <w:color w:val="auto"/>
              <w:sz w:val="28"/>
              <w:szCs w:val="28"/>
              <w:highlight w:val="none"/>
              <w:lang w:val="en-US" w:eastAsia="zh-CN"/>
            </w:rPr>
            <w:t xml:space="preserve"> 开、</w:t>
          </w:r>
          <w:r>
            <w:rPr>
              <w:rFonts w:hint="eastAsia"/>
              <w:color w:val="auto"/>
              <w:sz w:val="28"/>
              <w:szCs w:val="28"/>
              <w:highlight w:val="none"/>
            </w:rPr>
            <w:t>评标程序、评标方法和评标标准</w:t>
          </w:r>
        </w:p>
        <w:p w14:paraId="104E9528">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lang w:val="en-US" w:eastAsia="zh-CN"/>
            </w:rPr>
          </w:pPr>
          <w:r>
            <w:rPr>
              <w:rFonts w:hint="eastAsia"/>
              <w:color w:val="auto"/>
              <w:sz w:val="28"/>
              <w:szCs w:val="28"/>
              <w:highlight w:val="none"/>
            </w:rPr>
            <w:t>第</w:t>
          </w:r>
          <w:r>
            <w:rPr>
              <w:rFonts w:hint="eastAsia"/>
              <w:color w:val="auto"/>
              <w:sz w:val="28"/>
              <w:szCs w:val="28"/>
              <w:highlight w:val="none"/>
              <w:lang w:val="en-US" w:eastAsia="zh-CN"/>
            </w:rPr>
            <w:t>五</w:t>
          </w:r>
          <w:r>
            <w:rPr>
              <w:rFonts w:hint="eastAsia"/>
              <w:color w:val="auto"/>
              <w:sz w:val="28"/>
              <w:szCs w:val="28"/>
              <w:highlight w:val="none"/>
            </w:rPr>
            <w:t>章</w:t>
          </w:r>
          <w:r>
            <w:rPr>
              <w:rFonts w:hint="eastAsia"/>
              <w:color w:val="auto"/>
              <w:sz w:val="28"/>
              <w:szCs w:val="28"/>
              <w:highlight w:val="none"/>
              <w:lang w:val="en-US" w:eastAsia="zh-CN"/>
            </w:rPr>
            <w:t xml:space="preserve"> </w:t>
          </w:r>
          <w:r>
            <w:rPr>
              <w:rFonts w:hint="eastAsia"/>
              <w:color w:val="auto"/>
              <w:sz w:val="28"/>
              <w:szCs w:val="28"/>
              <w:highlight w:val="none"/>
              <w:lang w:eastAsia="zh-CN"/>
            </w:rPr>
            <w:t>政府采购合同（草案）</w:t>
          </w:r>
        </w:p>
        <w:p w14:paraId="0741637E">
          <w:pPr>
            <w:pStyle w:val="6"/>
            <w:keepNext w:val="0"/>
            <w:keepLines w:val="0"/>
            <w:pageBreakBefore w:val="0"/>
            <w:kinsoku/>
            <w:wordWrap w:val="0"/>
            <w:overflowPunct/>
            <w:topLinePunct w:val="0"/>
            <w:bidi w:val="0"/>
            <w:spacing w:line="360" w:lineRule="auto"/>
            <w:jc w:val="both"/>
            <w:rPr>
              <w:rFonts w:hint="eastAsia"/>
              <w:color w:val="auto"/>
              <w:sz w:val="28"/>
              <w:szCs w:val="28"/>
              <w:highlight w:val="none"/>
            </w:rPr>
          </w:pPr>
          <w:r>
            <w:rPr>
              <w:rFonts w:hint="eastAsia"/>
              <w:color w:val="auto"/>
              <w:sz w:val="28"/>
              <w:szCs w:val="28"/>
              <w:highlight w:val="none"/>
            </w:rPr>
            <w:t>第</w:t>
          </w:r>
          <w:r>
            <w:rPr>
              <w:rFonts w:hint="eastAsia"/>
              <w:color w:val="auto"/>
              <w:sz w:val="28"/>
              <w:szCs w:val="28"/>
              <w:highlight w:val="none"/>
              <w:lang w:val="en-US" w:eastAsia="zh-CN"/>
            </w:rPr>
            <w:t>六</w:t>
          </w:r>
          <w:r>
            <w:rPr>
              <w:rFonts w:hint="eastAsia"/>
              <w:color w:val="auto"/>
              <w:sz w:val="28"/>
              <w:szCs w:val="28"/>
              <w:highlight w:val="none"/>
            </w:rPr>
            <w:t>章</w:t>
          </w:r>
          <w:r>
            <w:rPr>
              <w:rFonts w:hint="eastAsia"/>
              <w:color w:val="auto"/>
              <w:sz w:val="28"/>
              <w:szCs w:val="28"/>
              <w:highlight w:val="none"/>
              <w:lang w:val="en-US" w:eastAsia="zh-CN"/>
            </w:rPr>
            <w:t xml:space="preserve"> </w:t>
          </w:r>
          <w:r>
            <w:rPr>
              <w:rFonts w:hint="eastAsia"/>
              <w:color w:val="auto"/>
              <w:sz w:val="28"/>
              <w:szCs w:val="28"/>
              <w:highlight w:val="none"/>
            </w:rPr>
            <w:t>投标文件格式</w:t>
          </w:r>
        </w:p>
      </w:sdtContent>
    </w:sdt>
    <w:p w14:paraId="16631FDE">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510209D3">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37A52BCD">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7A373697">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1DA4546A">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37D92110">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3DC29419">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5139411E">
      <w:pPr>
        <w:keepNext w:val="0"/>
        <w:keepLines w:val="0"/>
        <w:pageBreakBefore w:val="0"/>
        <w:kinsoku/>
        <w:wordWrap w:val="0"/>
        <w:overflowPunct/>
        <w:topLinePunct w:val="0"/>
        <w:bidi w:val="0"/>
        <w:spacing w:line="219" w:lineRule="auto"/>
        <w:jc w:val="both"/>
        <w:rPr>
          <w:rFonts w:hint="eastAsia" w:asciiTheme="minorEastAsia" w:hAnsiTheme="minorEastAsia" w:eastAsiaTheme="minorEastAsia" w:cstheme="minorEastAsia"/>
          <w:color w:val="auto"/>
          <w:sz w:val="24"/>
          <w:szCs w:val="24"/>
          <w:highlight w:val="none"/>
        </w:rPr>
      </w:pPr>
    </w:p>
    <w:p w14:paraId="671ABEA8">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6C224AA">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112F664">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2326D8BB">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40CAA16A">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73EE338E">
      <w:pPr>
        <w:pStyle w:val="6"/>
        <w:keepNext w:val="0"/>
        <w:keepLines w:val="0"/>
        <w:pageBreakBefore w:val="0"/>
        <w:kinsoku/>
        <w:wordWrap w:val="0"/>
        <w:overflowPunct/>
        <w:topLinePunct w:val="0"/>
        <w:bidi w:val="0"/>
        <w:spacing w:before="353" w:line="360" w:lineRule="auto"/>
        <w:ind w:left="3129"/>
        <w:jc w:val="both"/>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pPr>
    </w:p>
    <w:p w14:paraId="36E515CE">
      <w:pPr>
        <w:pStyle w:val="6"/>
        <w:keepNext w:val="0"/>
        <w:keepLines w:val="0"/>
        <w:pageBreakBefore w:val="0"/>
        <w:kinsoku/>
        <w:wordWrap w:val="0"/>
        <w:overflowPunct/>
        <w:topLinePunct w:val="0"/>
        <w:bidi w:val="0"/>
        <w:spacing w:before="353" w:line="360" w:lineRule="auto"/>
        <w:jc w:val="center"/>
        <w:rPr>
          <w:color w:val="auto"/>
          <w:spacing w:val="-6"/>
          <w:sz w:val="36"/>
          <w:szCs w:val="36"/>
          <w:highlight w:val="none"/>
        </w:rPr>
      </w:pPr>
      <w:r>
        <w:rPr>
          <w:rFonts w:hint="eastAsia" w:asciiTheme="minorEastAsia" w:hAnsiTheme="minorEastAsia" w:eastAsiaTheme="minorEastAsia" w:cstheme="minorEastAsia"/>
          <w:color w:val="auto"/>
          <w:spacing w:val="-1"/>
          <w:sz w:val="36"/>
          <w:szCs w:val="36"/>
          <w:highlight w:val="none"/>
          <w14:textOutline w14:w="2306" w14:cap="flat" w14:cmpd="sng">
            <w14:solidFill>
              <w14:srgbClr w14:val="000000"/>
            </w14:solidFill>
            <w14:prstDash w14:val="solid"/>
            <w14:miter w14:val="0"/>
          </w14:textOutline>
        </w:rPr>
        <w:t>第一章</w:t>
      </w:r>
      <w:r>
        <w:rPr>
          <w:rFonts w:hint="eastAsia" w:asciiTheme="minorEastAsia" w:hAnsiTheme="minorEastAsia" w:eastAsiaTheme="minorEastAsia" w:cstheme="minorEastAsia"/>
          <w:color w:val="auto"/>
          <w:spacing w:val="-1"/>
          <w:sz w:val="36"/>
          <w:szCs w:val="36"/>
          <w:highlight w:val="none"/>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lang w:eastAsia="zh-CN"/>
          <w14:textOutline w14:w="2306" w14:cap="flat" w14:cmpd="sng">
            <w14:solidFill>
              <w14:srgbClr w14:val="000000"/>
            </w14:solidFill>
            <w14:prstDash w14:val="solid"/>
            <w14:miter w14:val="0"/>
          </w14:textOutline>
        </w:rPr>
        <w:t>公开招标公告</w:t>
      </w:r>
    </w:p>
    <w:p w14:paraId="28E491F5">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color w:val="auto"/>
          <w:spacing w:val="-6"/>
          <w:sz w:val="24"/>
          <w:szCs w:val="24"/>
          <w:highlight w:val="none"/>
        </w:rPr>
      </w:pPr>
    </w:p>
    <w:p w14:paraId="1C36F32F">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color w:val="auto"/>
          <w:spacing w:val="-6"/>
          <w:sz w:val="24"/>
          <w:szCs w:val="24"/>
          <w:highlight w:val="none"/>
        </w:rPr>
      </w:pPr>
      <w:r>
        <w:rPr>
          <w:color w:val="auto"/>
          <w:spacing w:val="-6"/>
          <w:sz w:val="24"/>
          <w:szCs w:val="24"/>
          <w:highlight w:val="none"/>
        </w:rPr>
        <w:t>采购人拟就下述项目以</w:t>
      </w:r>
      <w:r>
        <w:rPr>
          <w:rFonts w:hint="eastAsia"/>
          <w:color w:val="auto"/>
          <w:spacing w:val="-6"/>
          <w:sz w:val="24"/>
          <w:szCs w:val="24"/>
          <w:highlight w:val="none"/>
          <w:lang w:val="en-US" w:eastAsia="zh-CN"/>
        </w:rPr>
        <w:t>公开</w:t>
      </w:r>
      <w:r>
        <w:rPr>
          <w:color w:val="auto"/>
          <w:spacing w:val="-6"/>
          <w:sz w:val="24"/>
          <w:szCs w:val="24"/>
          <w:highlight w:val="none"/>
        </w:rPr>
        <w:t>招标方式组织采购活动，</w:t>
      </w:r>
      <w:r>
        <w:rPr>
          <w:rFonts w:hint="eastAsia"/>
          <w:color w:val="auto"/>
          <w:spacing w:val="-6"/>
          <w:sz w:val="24"/>
          <w:szCs w:val="24"/>
          <w:highlight w:val="none"/>
          <w:lang w:eastAsia="zh-CN"/>
        </w:rPr>
        <w:t>欢迎潜在投标人</w:t>
      </w:r>
      <w:r>
        <w:rPr>
          <w:color w:val="auto"/>
          <w:spacing w:val="-6"/>
          <w:sz w:val="24"/>
          <w:szCs w:val="24"/>
          <w:highlight w:val="none"/>
        </w:rPr>
        <w:t>参与本项目投标。</w:t>
      </w:r>
    </w:p>
    <w:p w14:paraId="24AE5BBE">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1537" w14:cap="flat" w14:cmpd="sng">
            <w14:solidFill>
              <w14:srgbClr w14:val="000000"/>
            </w14:solidFill>
            <w14:prstDash w14:val="solid"/>
            <w14:miter w14:val="0"/>
          </w14:textOutline>
        </w:rPr>
        <w:t>一、项目基本情况</w:t>
      </w:r>
    </w:p>
    <w:p w14:paraId="3F17760D">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5"/>
          <w:sz w:val="24"/>
          <w:szCs w:val="24"/>
          <w:highlight w:val="none"/>
        </w:rPr>
        <w:t>1.项目编号：南阳政采公开-2026-54</w:t>
      </w:r>
    </w:p>
    <w:p w14:paraId="6D5B6092">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4"/>
          <w:sz w:val="24"/>
          <w:szCs w:val="24"/>
          <w:highlight w:val="none"/>
        </w:rPr>
        <w:t>2.项目名称：河南省南阳工业学校机电技术应用优质专业群建设项目</w:t>
      </w:r>
    </w:p>
    <w:p w14:paraId="57BAAB6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rPr>
        <w:t>3.项目预算金额：</w:t>
      </w:r>
      <w:r>
        <w:rPr>
          <w:rFonts w:hint="eastAsia" w:asciiTheme="minorEastAsia" w:hAnsiTheme="minorEastAsia" w:eastAsiaTheme="minorEastAsia" w:cstheme="minorEastAsia"/>
          <w:color w:val="auto"/>
          <w:spacing w:val="-14"/>
          <w:sz w:val="24"/>
          <w:szCs w:val="24"/>
          <w:highlight w:val="none"/>
          <w:u w:val="single"/>
          <w:lang w:val="en-US" w:eastAsia="zh-CN"/>
        </w:rPr>
        <w:t xml:space="preserve"> 217 </w:t>
      </w:r>
      <w:r>
        <w:rPr>
          <w:rFonts w:hint="eastAsia" w:asciiTheme="minorEastAsia" w:hAnsiTheme="minorEastAsia" w:eastAsiaTheme="minorEastAsia" w:cstheme="minorEastAsia"/>
          <w:color w:val="auto"/>
          <w:spacing w:val="-14"/>
          <w:sz w:val="24"/>
          <w:szCs w:val="24"/>
          <w:highlight w:val="none"/>
        </w:rPr>
        <w:t>万元、项目最高限价（如有</w:t>
      </w:r>
      <w:r>
        <w:rPr>
          <w:rFonts w:hint="eastAsia" w:asciiTheme="minorEastAsia" w:hAnsiTheme="minorEastAsia" w:eastAsiaTheme="minorEastAsia" w:cstheme="minorEastAsia"/>
          <w:color w:val="auto"/>
          <w:spacing w:val="5"/>
          <w:sz w:val="24"/>
          <w:szCs w:val="24"/>
          <w:highlight w:val="none"/>
        </w:rPr>
        <w:t>）：</w:t>
      </w:r>
      <w:r>
        <w:rPr>
          <w:rFonts w:hint="eastAsia" w:asciiTheme="minorEastAsia" w:hAnsiTheme="minorEastAsia" w:eastAsiaTheme="minorEastAsia" w:cstheme="minorEastAsia"/>
          <w:color w:val="auto"/>
          <w:spacing w:val="5"/>
          <w:sz w:val="24"/>
          <w:szCs w:val="24"/>
          <w:highlight w:val="none"/>
          <w:u w:val="single"/>
          <w:lang w:val="en-US" w:eastAsia="zh-CN"/>
        </w:rPr>
        <w:t xml:space="preserve"> 217 </w:t>
      </w:r>
      <w:r>
        <w:rPr>
          <w:rFonts w:hint="eastAsia" w:asciiTheme="minorEastAsia" w:hAnsiTheme="minorEastAsia" w:eastAsiaTheme="minorEastAsia" w:cstheme="minorEastAsia"/>
          <w:color w:val="auto"/>
          <w:spacing w:val="-14"/>
          <w:sz w:val="24"/>
          <w:szCs w:val="24"/>
          <w:highlight w:val="none"/>
        </w:rPr>
        <w:t>万元</w:t>
      </w:r>
    </w:p>
    <w:p w14:paraId="69E2CC7C">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5"/>
          <w:sz w:val="24"/>
          <w:szCs w:val="24"/>
          <w:highlight w:val="none"/>
        </w:rPr>
        <w:t>4.采购需求：</w:t>
      </w:r>
    </w:p>
    <w:tbl>
      <w:tblPr>
        <w:tblStyle w:val="25"/>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5"/>
        <w:gridCol w:w="4215"/>
        <w:gridCol w:w="2321"/>
      </w:tblGrid>
      <w:tr w14:paraId="1A6A42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635" w:type="dxa"/>
            <w:vAlign w:val="center"/>
          </w:tcPr>
          <w:p w14:paraId="51170DDC">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包号</w:t>
            </w:r>
          </w:p>
        </w:tc>
        <w:tc>
          <w:tcPr>
            <w:tcW w:w="4215" w:type="dxa"/>
            <w:vAlign w:val="center"/>
          </w:tcPr>
          <w:p w14:paraId="18EB6066">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lang w:val="en-US" w:eastAsia="zh-CN"/>
              </w:rPr>
              <w:t>包</w:t>
            </w:r>
            <w:r>
              <w:rPr>
                <w:rFonts w:hint="eastAsia" w:asciiTheme="minorEastAsia" w:hAnsiTheme="minorEastAsia" w:eastAsiaTheme="minorEastAsia" w:cstheme="minorEastAsia"/>
                <w:color w:val="auto"/>
                <w:spacing w:val="7"/>
                <w:sz w:val="24"/>
                <w:szCs w:val="24"/>
                <w:highlight w:val="none"/>
              </w:rPr>
              <w:t>名称</w:t>
            </w:r>
          </w:p>
        </w:tc>
        <w:tc>
          <w:tcPr>
            <w:tcW w:w="2321" w:type="dxa"/>
            <w:vAlign w:val="center"/>
          </w:tcPr>
          <w:p w14:paraId="34AA1B7B">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包预算</w:t>
            </w:r>
            <w:r>
              <w:rPr>
                <w:rFonts w:hint="eastAsia" w:asciiTheme="minorEastAsia" w:hAnsiTheme="minorEastAsia" w:eastAsiaTheme="minorEastAsia" w:cstheme="minorEastAsia"/>
                <w:color w:val="auto"/>
                <w:sz w:val="24"/>
                <w:szCs w:val="24"/>
                <w:highlight w:val="none"/>
              </w:rPr>
              <w:t>（元）</w:t>
            </w:r>
          </w:p>
        </w:tc>
      </w:tr>
      <w:tr w14:paraId="09B30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635" w:type="dxa"/>
            <w:vAlign w:val="center"/>
          </w:tcPr>
          <w:p w14:paraId="3AD5437F">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4"/>
                <w:sz w:val="24"/>
                <w:szCs w:val="24"/>
                <w:highlight w:val="none"/>
                <w:lang w:val="en-US" w:eastAsia="zh-CN"/>
              </w:rPr>
              <w:t>南阳政采公开-2026-54-</w:t>
            </w:r>
            <w:r>
              <w:rPr>
                <w:rFonts w:hint="eastAsia" w:asciiTheme="minorEastAsia" w:hAnsiTheme="minorEastAsia" w:eastAsiaTheme="minorEastAsia" w:cstheme="minorEastAsia"/>
                <w:color w:val="auto"/>
                <w:spacing w:val="14"/>
                <w:sz w:val="24"/>
                <w:szCs w:val="24"/>
                <w:highlight w:val="none"/>
              </w:rPr>
              <w:t>1</w:t>
            </w:r>
          </w:p>
        </w:tc>
        <w:tc>
          <w:tcPr>
            <w:tcW w:w="4215" w:type="dxa"/>
            <w:vAlign w:val="center"/>
          </w:tcPr>
          <w:p w14:paraId="26C84BF0">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河南省南阳工业学校机电技术应用优质专业群建设项目</w:t>
            </w:r>
          </w:p>
        </w:tc>
        <w:tc>
          <w:tcPr>
            <w:tcW w:w="2321" w:type="dxa"/>
            <w:vAlign w:val="center"/>
          </w:tcPr>
          <w:p w14:paraId="6F32F20B">
            <w:pPr>
              <w:pStyle w:val="26"/>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2170000</w:t>
            </w:r>
          </w:p>
        </w:tc>
      </w:tr>
    </w:tbl>
    <w:p w14:paraId="65814176">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default" w:asciiTheme="minorEastAsia" w:hAnsiTheme="minorEastAsia" w:eastAsiaTheme="minorEastAsia" w:cstheme="minorEastAsia"/>
          <w:color w:val="auto"/>
          <w:spacing w:val="-5"/>
          <w:sz w:val="24"/>
          <w:szCs w:val="24"/>
          <w:highlight w:val="non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5.采购清单</w:t>
      </w:r>
    </w:p>
    <w:tbl>
      <w:tblPr>
        <w:tblStyle w:val="19"/>
        <w:tblW w:w="88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Layout w:type="autofit"/>
        <w:tblCellMar>
          <w:top w:w="0" w:type="dxa"/>
          <w:left w:w="108" w:type="dxa"/>
          <w:bottom w:w="0" w:type="dxa"/>
          <w:right w:w="108" w:type="dxa"/>
        </w:tblCellMar>
      </w:tblPr>
      <w:tblGrid>
        <w:gridCol w:w="817"/>
        <w:gridCol w:w="3067"/>
        <w:gridCol w:w="3365"/>
        <w:gridCol w:w="817"/>
        <w:gridCol w:w="817"/>
      </w:tblGrid>
      <w:tr w14:paraId="4696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0" w:hRule="atLeast"/>
          <w:tblHeader/>
          <w:jc w:val="center"/>
        </w:trPr>
        <w:tc>
          <w:tcPr>
            <w:tcW w:w="817" w:type="dxa"/>
            <w:shd w:val="clear" w:color="000000" w:fill="FFFFFF"/>
            <w:noWrap w:val="0"/>
            <w:vAlign w:val="center"/>
          </w:tcPr>
          <w:p w14:paraId="04EEFCC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序号</w:t>
            </w:r>
          </w:p>
        </w:tc>
        <w:tc>
          <w:tcPr>
            <w:tcW w:w="3067" w:type="dxa"/>
            <w:shd w:val="clear" w:color="000000" w:fill="FFFFFF"/>
            <w:noWrap w:val="0"/>
            <w:vAlign w:val="center"/>
          </w:tcPr>
          <w:p w14:paraId="465C74C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val="en-US" w:eastAsia="zh-CN" w:bidi="ar"/>
              </w:rPr>
              <w:t>设备</w:t>
            </w:r>
            <w:r>
              <w:rPr>
                <w:rFonts w:hint="eastAsia" w:ascii="宋体" w:hAnsi="宋体" w:eastAsia="宋体" w:cs="宋体"/>
                <w:b/>
                <w:bCs/>
                <w:color w:val="auto"/>
                <w:sz w:val="24"/>
                <w:szCs w:val="24"/>
                <w:highlight w:val="none"/>
                <w:lang w:bidi="ar"/>
              </w:rPr>
              <w:t>名称</w:t>
            </w:r>
          </w:p>
        </w:tc>
        <w:tc>
          <w:tcPr>
            <w:tcW w:w="3365" w:type="dxa"/>
            <w:shd w:val="clear" w:color="000000" w:fill="FFFFFF"/>
            <w:noWrap w:val="0"/>
            <w:vAlign w:val="center"/>
          </w:tcPr>
          <w:p w14:paraId="225647D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color w:val="auto"/>
                <w:sz w:val="24"/>
                <w:szCs w:val="24"/>
                <w:highlight w:val="none"/>
                <w:lang w:val="en-US" w:eastAsia="zh-CN" w:bidi="ar"/>
              </w:rPr>
            </w:pPr>
            <w:r>
              <w:rPr>
                <w:rFonts w:hint="eastAsia" w:ascii="宋体" w:hAnsi="宋体" w:eastAsia="宋体" w:cs="宋体"/>
                <w:b/>
                <w:bCs/>
                <w:color w:val="auto"/>
                <w:sz w:val="24"/>
                <w:szCs w:val="24"/>
                <w:highlight w:val="none"/>
                <w:lang w:val="en-US" w:eastAsia="zh-CN" w:bidi="ar"/>
              </w:rPr>
              <w:t>商品名称</w:t>
            </w:r>
          </w:p>
        </w:tc>
        <w:tc>
          <w:tcPr>
            <w:tcW w:w="817" w:type="dxa"/>
            <w:shd w:val="clear" w:color="000000" w:fill="FFFFFF"/>
            <w:noWrap w:val="0"/>
            <w:vAlign w:val="center"/>
          </w:tcPr>
          <w:p w14:paraId="29B6F0B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单位</w:t>
            </w:r>
          </w:p>
        </w:tc>
        <w:tc>
          <w:tcPr>
            <w:tcW w:w="817" w:type="dxa"/>
            <w:shd w:val="clear" w:color="000000" w:fill="FFFFFF"/>
            <w:noWrap w:val="0"/>
            <w:vAlign w:val="center"/>
          </w:tcPr>
          <w:p w14:paraId="7C1DD78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b/>
                <w:bCs/>
                <w:color w:val="auto"/>
                <w:sz w:val="24"/>
                <w:szCs w:val="24"/>
                <w:highlight w:val="none"/>
                <w:lang w:bidi="ar"/>
              </w:rPr>
            </w:pPr>
            <w:r>
              <w:rPr>
                <w:rFonts w:hint="eastAsia" w:ascii="宋体" w:hAnsi="宋体" w:eastAsia="宋体" w:cs="宋体"/>
                <w:b/>
                <w:bCs/>
                <w:color w:val="auto"/>
                <w:sz w:val="24"/>
                <w:szCs w:val="24"/>
                <w:highlight w:val="none"/>
                <w:lang w:bidi="ar"/>
              </w:rPr>
              <w:t>数量</w:t>
            </w:r>
          </w:p>
        </w:tc>
      </w:tr>
      <w:tr w14:paraId="19BF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shd w:val="clear" w:color="000000" w:fill="FFFFFF"/>
            <w:noWrap w:val="0"/>
            <w:vAlign w:val="center"/>
          </w:tcPr>
          <w:p w14:paraId="4AD2169F">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w:t>
            </w:r>
          </w:p>
        </w:tc>
        <w:tc>
          <w:tcPr>
            <w:tcW w:w="3067" w:type="dxa"/>
            <w:vMerge w:val="restart"/>
            <w:shd w:val="clear" w:color="000000" w:fill="FFFFFF"/>
            <w:noWrap w:val="0"/>
            <w:vAlign w:val="center"/>
          </w:tcPr>
          <w:p w14:paraId="0DF63DB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电气控制系统综合实践平台（教师机）</w:t>
            </w:r>
          </w:p>
        </w:tc>
        <w:tc>
          <w:tcPr>
            <w:tcW w:w="3365" w:type="dxa"/>
            <w:shd w:val="clear" w:color="000000" w:fill="FFFFFF"/>
            <w:noWrap w:val="0"/>
            <w:vAlign w:val="center"/>
          </w:tcPr>
          <w:p w14:paraId="2DBAA9BF">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实训台</w:t>
            </w:r>
          </w:p>
        </w:tc>
        <w:tc>
          <w:tcPr>
            <w:tcW w:w="817" w:type="dxa"/>
            <w:shd w:val="clear" w:color="000000" w:fill="FFFFFF"/>
            <w:noWrap w:val="0"/>
            <w:vAlign w:val="center"/>
          </w:tcPr>
          <w:p w14:paraId="0E9A5A9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23C870F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r>
      <w:tr w14:paraId="7E4C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3AE7D7E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2DE9DE8C">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3006A60C">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智能电源控制系统</w:t>
            </w:r>
          </w:p>
        </w:tc>
        <w:tc>
          <w:tcPr>
            <w:tcW w:w="817" w:type="dxa"/>
            <w:shd w:val="clear" w:color="000000" w:fill="FFFFFF"/>
            <w:noWrap w:val="0"/>
            <w:vAlign w:val="center"/>
          </w:tcPr>
          <w:p w14:paraId="7017C46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724029CA">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18739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5738F7D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5CF0F63C">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20F36DA5">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电气考核系统</w:t>
            </w:r>
          </w:p>
        </w:tc>
        <w:tc>
          <w:tcPr>
            <w:tcW w:w="817" w:type="dxa"/>
            <w:shd w:val="clear" w:color="000000" w:fill="FFFFFF"/>
            <w:noWrap w:val="0"/>
            <w:vAlign w:val="center"/>
          </w:tcPr>
          <w:p w14:paraId="46BECFC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433524E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04C1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4FEDBF9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20E6DD8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414B83B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电气实训系统</w:t>
            </w:r>
          </w:p>
        </w:tc>
        <w:tc>
          <w:tcPr>
            <w:tcW w:w="817" w:type="dxa"/>
            <w:shd w:val="clear" w:color="000000" w:fill="FFFFFF"/>
            <w:noWrap w:val="0"/>
            <w:vAlign w:val="center"/>
          </w:tcPr>
          <w:p w14:paraId="773563D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1426E07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2079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7486B9EA">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4F2CEE0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460444A2">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电气接线智能检测系统</w:t>
            </w:r>
          </w:p>
        </w:tc>
        <w:tc>
          <w:tcPr>
            <w:tcW w:w="817" w:type="dxa"/>
            <w:shd w:val="clear" w:color="000000" w:fill="FFFFFF"/>
            <w:noWrap w:val="0"/>
            <w:vAlign w:val="center"/>
          </w:tcPr>
          <w:p w14:paraId="39B1818B">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51587CDA">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099C9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366D20C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28F9BC7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6A1BC2F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电气控制系统AI评价实践系统</w:t>
            </w:r>
          </w:p>
        </w:tc>
        <w:tc>
          <w:tcPr>
            <w:tcW w:w="817" w:type="dxa"/>
            <w:shd w:val="clear" w:color="000000" w:fill="FFFFFF"/>
            <w:noWrap w:val="0"/>
            <w:vAlign w:val="center"/>
          </w:tcPr>
          <w:p w14:paraId="4A8D6F6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2BB853C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p>
        </w:tc>
      </w:tr>
      <w:tr w14:paraId="0335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5B9A8407">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15B5443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0ED6C612">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配套工具</w:t>
            </w:r>
          </w:p>
        </w:tc>
        <w:tc>
          <w:tcPr>
            <w:tcW w:w="817" w:type="dxa"/>
            <w:shd w:val="clear" w:color="000000" w:fill="FFFFFF"/>
            <w:noWrap w:val="0"/>
            <w:vAlign w:val="center"/>
          </w:tcPr>
          <w:p w14:paraId="6811FEC3">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47057057">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0434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3490AA6C">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768F104B">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12CD2EA8">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方凳</w:t>
            </w:r>
          </w:p>
        </w:tc>
        <w:tc>
          <w:tcPr>
            <w:tcW w:w="817" w:type="dxa"/>
            <w:shd w:val="clear" w:color="000000" w:fill="FFFFFF"/>
            <w:noWrap w:val="0"/>
            <w:vAlign w:val="center"/>
          </w:tcPr>
          <w:p w14:paraId="55E78F24">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个</w:t>
            </w:r>
          </w:p>
        </w:tc>
        <w:tc>
          <w:tcPr>
            <w:tcW w:w="817" w:type="dxa"/>
            <w:shd w:val="clear" w:color="000000" w:fill="FFFFFF"/>
            <w:noWrap w:val="0"/>
            <w:vAlign w:val="center"/>
          </w:tcPr>
          <w:p w14:paraId="32743448">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60</w:t>
            </w:r>
          </w:p>
        </w:tc>
      </w:tr>
      <w:tr w14:paraId="5C71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6D448AE5">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eastAsia" w:ascii="宋体" w:hAnsi="宋体" w:eastAsia="宋体" w:cs="宋体"/>
                <w:color w:val="auto"/>
                <w:sz w:val="24"/>
                <w:szCs w:val="24"/>
                <w:highlight w:val="none"/>
                <w:lang w:bidi="ar"/>
              </w:rPr>
            </w:pPr>
          </w:p>
        </w:tc>
        <w:tc>
          <w:tcPr>
            <w:tcW w:w="3067" w:type="dxa"/>
            <w:vMerge w:val="continue"/>
            <w:shd w:val="clear" w:color="000000" w:fill="FFFFFF"/>
            <w:noWrap w:val="0"/>
            <w:vAlign w:val="center"/>
          </w:tcPr>
          <w:p w14:paraId="108C633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58D31EB0">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文件柜</w:t>
            </w:r>
          </w:p>
        </w:tc>
        <w:tc>
          <w:tcPr>
            <w:tcW w:w="817" w:type="dxa"/>
            <w:shd w:val="clear" w:color="000000" w:fill="FFFFFF"/>
            <w:noWrap w:val="0"/>
            <w:vAlign w:val="center"/>
          </w:tcPr>
          <w:p w14:paraId="028F5F1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个</w:t>
            </w:r>
          </w:p>
        </w:tc>
        <w:tc>
          <w:tcPr>
            <w:tcW w:w="817" w:type="dxa"/>
            <w:shd w:val="clear" w:color="000000" w:fill="FFFFFF"/>
            <w:noWrap w:val="0"/>
            <w:vAlign w:val="center"/>
          </w:tcPr>
          <w:p w14:paraId="56856261">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6</w:t>
            </w:r>
          </w:p>
        </w:tc>
      </w:tr>
      <w:tr w14:paraId="46AE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restart"/>
            <w:shd w:val="clear" w:color="000000" w:fill="FFFFFF"/>
            <w:noWrap w:val="0"/>
            <w:vAlign w:val="center"/>
          </w:tcPr>
          <w:p w14:paraId="0B8C4AD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3067" w:type="dxa"/>
            <w:vMerge w:val="restart"/>
            <w:shd w:val="clear" w:color="000000" w:fill="FFFFFF"/>
            <w:noWrap w:val="0"/>
            <w:vAlign w:val="center"/>
          </w:tcPr>
          <w:p w14:paraId="40EF35D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电气控制系统综合实践平台</w:t>
            </w:r>
          </w:p>
        </w:tc>
        <w:tc>
          <w:tcPr>
            <w:tcW w:w="3365" w:type="dxa"/>
            <w:shd w:val="clear" w:color="000000" w:fill="FFFFFF"/>
            <w:noWrap w:val="0"/>
            <w:vAlign w:val="center"/>
          </w:tcPr>
          <w:p w14:paraId="62FB35DA">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实训桌</w:t>
            </w:r>
          </w:p>
        </w:tc>
        <w:tc>
          <w:tcPr>
            <w:tcW w:w="817" w:type="dxa"/>
            <w:shd w:val="clear" w:color="000000" w:fill="FFFFFF"/>
            <w:noWrap w:val="0"/>
            <w:vAlign w:val="center"/>
          </w:tcPr>
          <w:p w14:paraId="4D890D65">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0CAC76CE">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7ED3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70EF89C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3AC2B2A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1B03772C">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智能电源控制系统</w:t>
            </w:r>
          </w:p>
        </w:tc>
        <w:tc>
          <w:tcPr>
            <w:tcW w:w="817" w:type="dxa"/>
            <w:shd w:val="clear" w:color="000000" w:fill="FFFFFF"/>
            <w:noWrap w:val="0"/>
            <w:vAlign w:val="center"/>
          </w:tcPr>
          <w:p w14:paraId="4B726CD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0F9EDC19">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59EF5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525B2AA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6B28648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0AD14549">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电气考核系统</w:t>
            </w:r>
          </w:p>
        </w:tc>
        <w:tc>
          <w:tcPr>
            <w:tcW w:w="817" w:type="dxa"/>
            <w:shd w:val="clear" w:color="000000" w:fill="FFFFFF"/>
            <w:noWrap w:val="0"/>
            <w:vAlign w:val="center"/>
          </w:tcPr>
          <w:p w14:paraId="25C61BE6">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460080C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7D00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4B61814A">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6B235B75">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0D4CEC30">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电气实训系统</w:t>
            </w:r>
          </w:p>
        </w:tc>
        <w:tc>
          <w:tcPr>
            <w:tcW w:w="817" w:type="dxa"/>
            <w:shd w:val="clear" w:color="000000" w:fill="FFFFFF"/>
            <w:noWrap w:val="0"/>
            <w:vAlign w:val="center"/>
          </w:tcPr>
          <w:p w14:paraId="6958D4FA">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509BACA3">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744F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553B9002">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341802C2">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2DD45BA5">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电气接线智能检测系统</w:t>
            </w:r>
          </w:p>
        </w:tc>
        <w:tc>
          <w:tcPr>
            <w:tcW w:w="817" w:type="dxa"/>
            <w:shd w:val="clear" w:color="000000" w:fill="FFFFFF"/>
            <w:noWrap w:val="0"/>
            <w:vAlign w:val="center"/>
          </w:tcPr>
          <w:p w14:paraId="2D3D338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704CAD8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64BA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107F0E3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70A64707">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7EC07BC1">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配套工具</w:t>
            </w:r>
          </w:p>
        </w:tc>
        <w:tc>
          <w:tcPr>
            <w:tcW w:w="817" w:type="dxa"/>
            <w:shd w:val="clear" w:color="000000" w:fill="FFFFFF"/>
            <w:noWrap w:val="0"/>
            <w:vAlign w:val="center"/>
          </w:tcPr>
          <w:p w14:paraId="2D37C487">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280BB10B">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23</w:t>
            </w:r>
          </w:p>
        </w:tc>
      </w:tr>
      <w:tr w14:paraId="2C9E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shd w:val="clear" w:color="000000" w:fill="FFFFFF"/>
            <w:noWrap w:val="0"/>
            <w:vAlign w:val="center"/>
          </w:tcPr>
          <w:p w14:paraId="2FA958C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3067" w:type="dxa"/>
            <w:vMerge w:val="restart"/>
            <w:shd w:val="clear" w:color="000000" w:fill="FFFFFF"/>
            <w:noWrap w:val="0"/>
            <w:vAlign w:val="center"/>
          </w:tcPr>
          <w:p w14:paraId="00EB489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bookmarkStart w:id="0" w:name="_Toc196503602"/>
            <w:r>
              <w:rPr>
                <w:rFonts w:hint="eastAsia" w:ascii="宋体" w:hAnsi="宋体" w:eastAsia="宋体" w:cs="宋体"/>
                <w:bCs/>
                <w:color w:val="auto"/>
                <w:sz w:val="24"/>
                <w:szCs w:val="24"/>
                <w:highlight w:val="none"/>
              </w:rPr>
              <w:t>公差配合与测量技术实训平台</w:t>
            </w:r>
            <w:bookmarkEnd w:id="0"/>
          </w:p>
        </w:tc>
        <w:tc>
          <w:tcPr>
            <w:tcW w:w="3365" w:type="dxa"/>
            <w:shd w:val="clear" w:color="000000" w:fill="FFFFFF"/>
            <w:noWrap w:val="0"/>
            <w:vAlign w:val="center"/>
          </w:tcPr>
          <w:p w14:paraId="3621942D">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shd w:val="clear" w:color="auto" w:fill="FFFFFF"/>
              </w:rPr>
              <w:t>双工位实训台</w:t>
            </w:r>
          </w:p>
        </w:tc>
        <w:tc>
          <w:tcPr>
            <w:tcW w:w="817" w:type="dxa"/>
            <w:shd w:val="clear" w:color="000000" w:fill="FFFFFF"/>
            <w:noWrap w:val="0"/>
            <w:vAlign w:val="center"/>
          </w:tcPr>
          <w:p w14:paraId="2D79228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61A6021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10</w:t>
            </w:r>
          </w:p>
        </w:tc>
      </w:tr>
      <w:tr w14:paraId="75A7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2DFEE55A">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444A183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04AA9E2B">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零件形位误差精度检测</w:t>
            </w:r>
          </w:p>
        </w:tc>
        <w:tc>
          <w:tcPr>
            <w:tcW w:w="817" w:type="dxa"/>
            <w:shd w:val="clear" w:color="000000" w:fill="FFFFFF"/>
            <w:noWrap w:val="0"/>
            <w:vAlign w:val="center"/>
          </w:tcPr>
          <w:p w14:paraId="32E3F87E">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36238893">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10</w:t>
            </w:r>
          </w:p>
        </w:tc>
      </w:tr>
      <w:tr w14:paraId="3FB6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28FF500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04B916F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7D5AF798">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零件尺寸误差精度检测</w:t>
            </w:r>
          </w:p>
        </w:tc>
        <w:tc>
          <w:tcPr>
            <w:tcW w:w="817" w:type="dxa"/>
            <w:shd w:val="clear" w:color="000000" w:fill="FFFFFF"/>
            <w:noWrap w:val="0"/>
            <w:vAlign w:val="center"/>
          </w:tcPr>
          <w:p w14:paraId="12F87E64">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25562E0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10</w:t>
            </w:r>
          </w:p>
        </w:tc>
      </w:tr>
      <w:tr w14:paraId="7DD04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159212B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019B87E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365" w:type="dxa"/>
            <w:shd w:val="clear" w:color="000000" w:fill="FFFFFF"/>
            <w:noWrap w:val="0"/>
            <w:vAlign w:val="center"/>
          </w:tcPr>
          <w:p w14:paraId="6A495CD0">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表面粗糙度对比检测</w:t>
            </w:r>
          </w:p>
        </w:tc>
        <w:tc>
          <w:tcPr>
            <w:tcW w:w="817" w:type="dxa"/>
            <w:shd w:val="clear" w:color="000000" w:fill="FFFFFF"/>
            <w:noWrap w:val="0"/>
            <w:vAlign w:val="center"/>
          </w:tcPr>
          <w:p w14:paraId="07DC888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66A7E61D">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10</w:t>
            </w:r>
          </w:p>
        </w:tc>
      </w:tr>
      <w:tr w14:paraId="1F5A1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0BBA128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44EDE966">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bCs/>
                <w:color w:val="auto"/>
                <w:sz w:val="24"/>
                <w:szCs w:val="24"/>
                <w:highlight w:val="none"/>
              </w:rPr>
            </w:pPr>
          </w:p>
        </w:tc>
        <w:tc>
          <w:tcPr>
            <w:tcW w:w="3365" w:type="dxa"/>
            <w:shd w:val="clear" w:color="000000" w:fill="FFFFFF"/>
            <w:noWrap w:val="0"/>
            <w:vAlign w:val="center"/>
          </w:tcPr>
          <w:p w14:paraId="6A84E737">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减速器部件综合精度检测</w:t>
            </w:r>
          </w:p>
        </w:tc>
        <w:tc>
          <w:tcPr>
            <w:tcW w:w="817" w:type="dxa"/>
            <w:shd w:val="clear" w:color="000000" w:fill="FFFFFF"/>
            <w:noWrap w:val="0"/>
            <w:vAlign w:val="center"/>
          </w:tcPr>
          <w:p w14:paraId="3590147B">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674BDA5B">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10</w:t>
            </w:r>
          </w:p>
        </w:tc>
      </w:tr>
      <w:tr w14:paraId="5DC5A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457E45D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01A4BFCE">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bCs/>
                <w:color w:val="auto"/>
                <w:sz w:val="24"/>
                <w:szCs w:val="24"/>
                <w:highlight w:val="none"/>
              </w:rPr>
            </w:pPr>
          </w:p>
        </w:tc>
        <w:tc>
          <w:tcPr>
            <w:tcW w:w="3365" w:type="dxa"/>
            <w:shd w:val="clear" w:color="000000" w:fill="FFFFFF"/>
            <w:noWrap w:val="0"/>
            <w:vAlign w:val="center"/>
          </w:tcPr>
          <w:p w14:paraId="6558FAA5">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文件柜</w:t>
            </w:r>
          </w:p>
        </w:tc>
        <w:tc>
          <w:tcPr>
            <w:tcW w:w="817" w:type="dxa"/>
            <w:shd w:val="clear" w:color="000000" w:fill="FFFFFF"/>
            <w:noWrap w:val="0"/>
            <w:vAlign w:val="center"/>
          </w:tcPr>
          <w:p w14:paraId="32F94844">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个</w:t>
            </w:r>
          </w:p>
        </w:tc>
        <w:tc>
          <w:tcPr>
            <w:tcW w:w="817" w:type="dxa"/>
            <w:shd w:val="clear" w:color="000000" w:fill="FFFFFF"/>
            <w:noWrap w:val="0"/>
            <w:vAlign w:val="center"/>
          </w:tcPr>
          <w:p w14:paraId="651C2CE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6</w:t>
            </w:r>
          </w:p>
        </w:tc>
      </w:tr>
      <w:tr w14:paraId="29F2A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restart"/>
            <w:shd w:val="clear" w:color="000000" w:fill="FFFFFF"/>
            <w:noWrap w:val="0"/>
            <w:vAlign w:val="center"/>
          </w:tcPr>
          <w:p w14:paraId="406E363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3067" w:type="dxa"/>
            <w:vMerge w:val="restart"/>
            <w:shd w:val="clear" w:color="000000" w:fill="FFFFFF"/>
            <w:noWrap w:val="0"/>
            <w:vAlign w:val="center"/>
          </w:tcPr>
          <w:p w14:paraId="1701DD6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教学应用资源</w:t>
            </w:r>
          </w:p>
        </w:tc>
        <w:tc>
          <w:tcPr>
            <w:tcW w:w="3365" w:type="dxa"/>
            <w:shd w:val="clear" w:color="000000" w:fill="FFFFFF"/>
            <w:noWrap w:val="0"/>
            <w:vAlign w:val="center"/>
          </w:tcPr>
          <w:p w14:paraId="3BE4257D">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公差配合与测量技术实训平台教学资源</w:t>
            </w:r>
          </w:p>
        </w:tc>
        <w:tc>
          <w:tcPr>
            <w:tcW w:w="817" w:type="dxa"/>
            <w:shd w:val="clear" w:color="000000" w:fill="FFFFFF"/>
            <w:noWrap w:val="0"/>
            <w:vAlign w:val="center"/>
          </w:tcPr>
          <w:p w14:paraId="2D783B05">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30418122">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4A741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2D5B516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37795F4B">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66100C79">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在线教育平台</w:t>
            </w:r>
          </w:p>
        </w:tc>
        <w:tc>
          <w:tcPr>
            <w:tcW w:w="817" w:type="dxa"/>
            <w:shd w:val="clear" w:color="000000" w:fill="FFFFFF"/>
            <w:noWrap w:val="0"/>
            <w:vAlign w:val="center"/>
          </w:tcPr>
          <w:p w14:paraId="3CD8476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3654FCA1">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29B5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16AAF95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1C0914A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008BCC83">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电工一体化教学平台</w:t>
            </w:r>
          </w:p>
        </w:tc>
        <w:tc>
          <w:tcPr>
            <w:tcW w:w="817" w:type="dxa"/>
            <w:shd w:val="clear" w:color="000000" w:fill="FFFFFF"/>
            <w:noWrap w:val="0"/>
            <w:vAlign w:val="center"/>
          </w:tcPr>
          <w:p w14:paraId="16C3BB10">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2AED9D52">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1BCB3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614B90A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0DD32CB7">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154D2AFF">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智能制造综合数字孪生平台</w:t>
            </w:r>
          </w:p>
        </w:tc>
        <w:tc>
          <w:tcPr>
            <w:tcW w:w="817" w:type="dxa"/>
            <w:shd w:val="clear" w:color="000000" w:fill="FFFFFF"/>
            <w:noWrap w:val="0"/>
            <w:vAlign w:val="center"/>
          </w:tcPr>
          <w:p w14:paraId="23CB6648">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71FFE059">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313A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7D258C52">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3CC999B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56D27A23">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电工PLC仿真软件</w:t>
            </w:r>
          </w:p>
        </w:tc>
        <w:tc>
          <w:tcPr>
            <w:tcW w:w="817" w:type="dxa"/>
            <w:shd w:val="clear" w:color="000000" w:fill="FFFFFF"/>
            <w:noWrap w:val="0"/>
            <w:vAlign w:val="center"/>
          </w:tcPr>
          <w:p w14:paraId="3A039C86">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7B0DDDDA">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1336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40183B1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03D18615">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13400AE1">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电机虚拟仿真平台</w:t>
            </w:r>
          </w:p>
        </w:tc>
        <w:tc>
          <w:tcPr>
            <w:tcW w:w="817" w:type="dxa"/>
            <w:shd w:val="clear" w:color="000000" w:fill="FFFFFF"/>
            <w:noWrap w:val="0"/>
            <w:vAlign w:val="center"/>
          </w:tcPr>
          <w:p w14:paraId="644796F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3FFF2EDA">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1</w:t>
            </w:r>
          </w:p>
        </w:tc>
      </w:tr>
      <w:tr w14:paraId="6868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339BF73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74166E1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3BB99183">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气动回路在线仿真平台</w:t>
            </w:r>
          </w:p>
        </w:tc>
        <w:tc>
          <w:tcPr>
            <w:tcW w:w="817" w:type="dxa"/>
            <w:shd w:val="clear" w:color="000000" w:fill="FFFFFF"/>
            <w:noWrap w:val="0"/>
            <w:vAlign w:val="center"/>
          </w:tcPr>
          <w:p w14:paraId="10B8F386">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67742D1C">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44</w:t>
            </w:r>
          </w:p>
        </w:tc>
      </w:tr>
      <w:tr w14:paraId="405C3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0E873C4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2C5E0CBD">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2903FB35">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电气回路在线仿真平台</w:t>
            </w:r>
          </w:p>
        </w:tc>
        <w:tc>
          <w:tcPr>
            <w:tcW w:w="817" w:type="dxa"/>
            <w:shd w:val="clear" w:color="000000" w:fill="FFFFFF"/>
            <w:noWrap w:val="0"/>
            <w:vAlign w:val="center"/>
          </w:tcPr>
          <w:p w14:paraId="2F21494F">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1B3804B4">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44</w:t>
            </w:r>
          </w:p>
        </w:tc>
      </w:tr>
      <w:tr w14:paraId="123B5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vMerge w:val="continue"/>
            <w:shd w:val="clear" w:color="000000" w:fill="FFFFFF"/>
            <w:noWrap w:val="0"/>
            <w:vAlign w:val="center"/>
          </w:tcPr>
          <w:p w14:paraId="0F025A80">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p>
        </w:tc>
        <w:tc>
          <w:tcPr>
            <w:tcW w:w="3067" w:type="dxa"/>
            <w:vMerge w:val="continue"/>
            <w:shd w:val="clear" w:color="000000" w:fill="FFFFFF"/>
            <w:noWrap w:val="0"/>
            <w:vAlign w:val="center"/>
          </w:tcPr>
          <w:p w14:paraId="2627BBB4">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rPr>
            </w:pPr>
          </w:p>
        </w:tc>
        <w:tc>
          <w:tcPr>
            <w:tcW w:w="3365" w:type="dxa"/>
            <w:shd w:val="clear" w:color="000000" w:fill="FFFFFF"/>
            <w:noWrap w:val="0"/>
            <w:vAlign w:val="center"/>
          </w:tcPr>
          <w:p w14:paraId="471F196A">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en-US" w:bidi="ar-SA"/>
              </w:rPr>
            </w:pPr>
            <w:r>
              <w:rPr>
                <w:rFonts w:hint="eastAsia" w:ascii="宋体" w:hAnsi="宋体" w:eastAsia="宋体" w:cs="宋体"/>
                <w:color w:val="auto"/>
                <w:sz w:val="24"/>
                <w:szCs w:val="24"/>
                <w:highlight w:val="none"/>
              </w:rPr>
              <w:t>AI智慧开发平台</w:t>
            </w:r>
          </w:p>
        </w:tc>
        <w:tc>
          <w:tcPr>
            <w:tcW w:w="817" w:type="dxa"/>
            <w:shd w:val="clear" w:color="000000" w:fill="FFFFFF"/>
            <w:noWrap w:val="0"/>
            <w:vAlign w:val="center"/>
          </w:tcPr>
          <w:p w14:paraId="059C4AB4">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套</w:t>
            </w:r>
          </w:p>
        </w:tc>
        <w:tc>
          <w:tcPr>
            <w:tcW w:w="817" w:type="dxa"/>
            <w:shd w:val="clear" w:color="000000" w:fill="FFFFFF"/>
            <w:noWrap w:val="0"/>
            <w:vAlign w:val="center"/>
          </w:tcPr>
          <w:p w14:paraId="490CFED2">
            <w:pPr>
              <w:keepNext/>
              <w:topLinePunct/>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44</w:t>
            </w:r>
          </w:p>
        </w:tc>
      </w:tr>
      <w:tr w14:paraId="127FE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000000" w:fill="FFFFFF"/>
          <w:tblCellMar>
            <w:top w:w="0" w:type="dxa"/>
            <w:left w:w="108" w:type="dxa"/>
            <w:bottom w:w="0" w:type="dxa"/>
            <w:right w:w="108" w:type="dxa"/>
          </w:tblCellMar>
        </w:tblPrEx>
        <w:trPr>
          <w:trHeight w:val="567" w:hRule="atLeast"/>
          <w:jc w:val="center"/>
        </w:trPr>
        <w:tc>
          <w:tcPr>
            <w:tcW w:w="817" w:type="dxa"/>
            <w:shd w:val="clear" w:color="000000" w:fill="FFFFFF"/>
            <w:noWrap w:val="0"/>
            <w:vAlign w:val="center"/>
          </w:tcPr>
          <w:p w14:paraId="28011421">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3067" w:type="dxa"/>
            <w:shd w:val="clear" w:color="000000" w:fill="FFFFFF"/>
            <w:noWrap w:val="0"/>
            <w:vAlign w:val="center"/>
          </w:tcPr>
          <w:p w14:paraId="09E2FFD9">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其他办公设备</w:t>
            </w:r>
          </w:p>
        </w:tc>
        <w:tc>
          <w:tcPr>
            <w:tcW w:w="3365" w:type="dxa"/>
            <w:shd w:val="clear" w:color="000000" w:fill="FFFFFF"/>
            <w:noWrap w:val="0"/>
            <w:vAlign w:val="center"/>
          </w:tcPr>
          <w:p w14:paraId="3BFC4067">
            <w:pPr>
              <w:keepNext/>
              <w:kinsoku/>
              <w:snapToGrid w:val="0"/>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lang w:eastAsia="zh-CN"/>
              </w:rPr>
              <w:t>台式计算机</w:t>
            </w:r>
          </w:p>
        </w:tc>
        <w:tc>
          <w:tcPr>
            <w:tcW w:w="817" w:type="dxa"/>
            <w:shd w:val="clear" w:color="000000" w:fill="FFFFFF"/>
            <w:noWrap w:val="0"/>
            <w:vAlign w:val="center"/>
          </w:tcPr>
          <w:p w14:paraId="37C1D425">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套</w:t>
            </w:r>
          </w:p>
        </w:tc>
        <w:tc>
          <w:tcPr>
            <w:tcW w:w="817" w:type="dxa"/>
            <w:shd w:val="clear" w:color="000000" w:fill="FFFFFF"/>
            <w:noWrap w:val="0"/>
            <w:vAlign w:val="center"/>
          </w:tcPr>
          <w:p w14:paraId="00FEBE58">
            <w:pPr>
              <w:keepNext w:val="0"/>
              <w:keepLines w:val="0"/>
              <w:pageBreakBefore w:val="0"/>
              <w:widowControl/>
              <w:tabs>
                <w:tab w:val="left" w:pos="0"/>
              </w:tabs>
              <w:kinsoku/>
              <w:wordWrap w:val="0"/>
              <w:overflowPunct/>
              <w:topLinePunct w:val="0"/>
              <w:autoSpaceDE w:val="0"/>
              <w:autoSpaceDN w:val="0"/>
              <w:bidi w:val="0"/>
              <w:adjustRightInd w:val="0"/>
              <w:snapToGrid w:val="0"/>
              <w:spacing w:line="240" w:lineRule="auto"/>
              <w:ind w:left="0" w:leftChars="0" w:right="0" w:rightChars="0" w:firstLine="0" w:firstLineChars="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44</w:t>
            </w:r>
          </w:p>
        </w:tc>
      </w:tr>
    </w:tbl>
    <w:p w14:paraId="22C688DA">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firstLine="380" w:firstLineChars="200"/>
        <w:jc w:val="both"/>
        <w:textAlignment w:val="baseline"/>
        <w:rPr>
          <w:rFonts w:hint="default" w:asciiTheme="minorEastAsia" w:hAnsiTheme="minorEastAsia" w:eastAsiaTheme="minorEastAsia" w:cstheme="minorEastAsia"/>
          <w:color w:val="auto"/>
          <w:spacing w:val="-25"/>
          <w:sz w:val="24"/>
          <w:szCs w:val="24"/>
          <w:highlight w:val="none"/>
          <w:lang w:val="en-US" w:eastAsia="zh-CN"/>
        </w:rPr>
      </w:pPr>
      <w:r>
        <w:rPr>
          <w:rFonts w:hint="eastAsia" w:asciiTheme="minorEastAsia" w:hAnsiTheme="minorEastAsia" w:eastAsiaTheme="minorEastAsia" w:cstheme="minorEastAsia"/>
          <w:color w:val="auto"/>
          <w:spacing w:val="-25"/>
          <w:sz w:val="24"/>
          <w:szCs w:val="24"/>
          <w:highlight w:val="none"/>
          <w:lang w:val="en-US" w:eastAsia="zh-CN"/>
        </w:rPr>
        <w:t>采购清单中的强制节能产品：台式计算机。</w:t>
      </w:r>
    </w:p>
    <w:p w14:paraId="6E633C59">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z w:val="24"/>
          <w:szCs w:val="24"/>
          <w:highlight w:val="none"/>
          <w:u w:val="single"/>
          <w:lang w:val="en-US" w:eastAsia="zh-CN"/>
        </w:rPr>
      </w:pPr>
      <w:r>
        <w:rPr>
          <w:rFonts w:hint="eastAsia" w:asciiTheme="minorEastAsia" w:hAnsiTheme="minorEastAsia" w:eastAsiaTheme="minorEastAsia" w:cstheme="minorEastAsia"/>
          <w:color w:val="auto"/>
          <w:spacing w:val="-5"/>
          <w:sz w:val="24"/>
          <w:szCs w:val="24"/>
          <w:highlight w:val="none"/>
          <w:lang w:val="en-US" w:eastAsia="zh-CN"/>
        </w:rPr>
        <w:t>6</w:t>
      </w:r>
      <w:r>
        <w:rPr>
          <w:rFonts w:hint="eastAsia" w:asciiTheme="minorEastAsia" w:hAnsiTheme="minorEastAsia" w:eastAsiaTheme="minorEastAsia" w:cstheme="minorEastAsia"/>
          <w:color w:val="auto"/>
          <w:spacing w:val="-5"/>
          <w:sz w:val="24"/>
          <w:szCs w:val="24"/>
          <w:highlight w:val="none"/>
        </w:rPr>
        <w:t>.合同履行期限：合同签订后15日历</w:t>
      </w:r>
      <w:r>
        <w:rPr>
          <w:rFonts w:hint="eastAsia" w:asciiTheme="minorEastAsia" w:hAnsiTheme="minorEastAsia" w:eastAsiaTheme="minorEastAsia" w:cstheme="minorEastAsia"/>
          <w:color w:val="auto"/>
          <w:spacing w:val="-5"/>
          <w:sz w:val="24"/>
          <w:szCs w:val="24"/>
          <w:highlight w:val="none"/>
          <w:lang w:val="en-US" w:eastAsia="zh-CN"/>
        </w:rPr>
        <w:t>天</w:t>
      </w:r>
    </w:p>
    <w:p w14:paraId="460DECDB">
      <w:pPr>
        <w:pStyle w:val="6"/>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lang w:val="en-US" w:eastAsia="zh-CN"/>
        </w:rPr>
        <w:t>7</w:t>
      </w:r>
      <w:r>
        <w:rPr>
          <w:rFonts w:hint="eastAsia" w:asciiTheme="minorEastAsia" w:hAnsiTheme="minorEastAsia" w:eastAsiaTheme="minorEastAsia" w:cstheme="minorEastAsia"/>
          <w:color w:val="auto"/>
          <w:spacing w:val="-2"/>
          <w:sz w:val="24"/>
          <w:szCs w:val="24"/>
          <w:highlight w:val="none"/>
        </w:rPr>
        <w:t>.本项目是否接受联合体投标：</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是</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否。</w:t>
      </w:r>
    </w:p>
    <w:p w14:paraId="4D5B7E37">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color w:val="auto"/>
          <w:sz w:val="21"/>
          <w:highlight w:val="none"/>
        </w:rPr>
      </w:pPr>
    </w:p>
    <w:p w14:paraId="56CCBAF8">
      <w:pPr>
        <w:pStyle w:val="6"/>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1"/>
          <w:sz w:val="24"/>
          <w:szCs w:val="24"/>
          <w:highlight w:val="none"/>
          <w:lang w:val="en-US" w:eastAsia="zh-CN"/>
          <w14:textOutline w14:w="1537" w14:cap="flat" w14:cmpd="sng">
            <w14:solidFill>
              <w14:srgbClr w14:val="000000"/>
            </w14:solidFill>
            <w14:prstDash w14:val="solid"/>
            <w14:miter w14:val="0"/>
          </w14:textOutline>
        </w:rPr>
        <w:t>投标人具备的</w:t>
      </w:r>
      <w:r>
        <w:rPr>
          <w:rFonts w:hint="eastAsia" w:asciiTheme="minorEastAsia" w:hAnsiTheme="minorEastAsia" w:eastAsiaTheme="minorEastAsia" w:cstheme="minorEastAsia"/>
          <w:color w:val="auto"/>
          <w:spacing w:val="-1"/>
          <w:sz w:val="24"/>
          <w:szCs w:val="24"/>
          <w:highlight w:val="none"/>
          <w14:textOutline w14:w="1537" w14:cap="flat" w14:cmpd="sng">
            <w14:solidFill>
              <w14:srgbClr w14:val="000000"/>
            </w14:solidFill>
            <w14:prstDash w14:val="solid"/>
            <w14:miter w14:val="0"/>
          </w14:textOutline>
        </w:rPr>
        <w:t>资格要求（须同时满足）</w:t>
      </w:r>
    </w:p>
    <w:p w14:paraId="008AC552">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1.注册于中华人民共和国境内，具有独立承担民事责任能力；</w:t>
      </w:r>
    </w:p>
    <w:p w14:paraId="7EB4C449">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2.具有良好的商业信誉和健全的财务会计制度；</w:t>
      </w:r>
    </w:p>
    <w:p w14:paraId="32D608CC">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3.具有履行合同所必需的设备和专业技术能力；</w:t>
      </w:r>
    </w:p>
    <w:p w14:paraId="5F07A375">
      <w:pPr>
        <w:keepNext w:val="0"/>
        <w:keepLines w:val="0"/>
        <w:pageBreakBefore w:val="0"/>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4.有依法缴纳税收和社会保障资金的良好记录；</w:t>
      </w:r>
    </w:p>
    <w:p w14:paraId="0C1A8229">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auto"/>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auto"/>
          <w:spacing w:val="-14"/>
          <w:kern w:val="0"/>
          <w:sz w:val="24"/>
          <w:szCs w:val="24"/>
          <w:highlight w:val="none"/>
          <w:lang w:val="en-US" w:eastAsia="zh-CN" w:bidi="ar-SA"/>
        </w:rPr>
        <w:t>5.参加政府采购活动前三年内，在经营活动中没有重大违法记录；</w:t>
      </w:r>
    </w:p>
    <w:p w14:paraId="52AC0FFD">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2DEE4D27">
      <w:pPr>
        <w:kinsoku/>
        <w:wordWrap w:val="0"/>
        <w:autoSpaceDE/>
        <w:autoSpaceDN/>
        <w:adjustRightInd/>
        <w:snapToGrid/>
        <w:spacing w:line="360" w:lineRule="auto"/>
        <w:ind w:firstLine="424" w:firstLineChars="200"/>
        <w:jc w:val="both"/>
        <w:textAlignment w:val="auto"/>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7.遵守国家有关法律、法规、规章。</w:t>
      </w:r>
    </w:p>
    <w:p w14:paraId="2A12AEC1">
      <w:pPr>
        <w:pStyle w:val="6"/>
        <w:kinsoku/>
        <w:wordWrap w:val="0"/>
        <w:spacing w:line="360" w:lineRule="auto"/>
        <w:jc w:val="both"/>
        <w:outlineLvl w:val="1"/>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pPr>
    </w:p>
    <w:p w14:paraId="29C6F6EF">
      <w:pPr>
        <w:pStyle w:val="6"/>
        <w:kinsoku/>
        <w:wordWrap w:val="0"/>
        <w:spacing w:line="360" w:lineRule="auto"/>
        <w:jc w:val="both"/>
        <w:outlineLvl w:val="1"/>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t>三、落实政府采购政策需满足的资格要求：</w:t>
      </w:r>
    </w:p>
    <w:p w14:paraId="50FBF9FA">
      <w:pPr>
        <w:pStyle w:val="6"/>
        <w:kinsoku/>
        <w:wordWrap w:val="0"/>
        <w:spacing w:line="360" w:lineRule="auto"/>
        <w:ind w:firstLine="48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1.中小企业政策</w:t>
      </w:r>
    </w:p>
    <w:p w14:paraId="6DB1CCC6">
      <w:pPr>
        <w:pStyle w:val="6"/>
        <w:kinsoku/>
        <w:wordWrap w:val="0"/>
        <w:spacing w:line="360" w:lineRule="auto"/>
        <w:ind w:firstLine="48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☑本项目不专门面向中小企业预留采购份额。</w:t>
      </w:r>
    </w:p>
    <w:p w14:paraId="6CB1C308">
      <w:pPr>
        <w:pStyle w:val="6"/>
        <w:kinsoku/>
        <w:wordWrap w:val="0"/>
        <w:spacing w:line="360" w:lineRule="auto"/>
        <w:ind w:firstLine="472"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7A94029D">
      <w:pPr>
        <w:pStyle w:val="6"/>
        <w:kinsoku/>
        <w:wordWrap w:val="0"/>
        <w:spacing w:line="360" w:lineRule="auto"/>
        <w:ind w:firstLine="472"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3.本项目支持河南省政府采购合同融资政策和资格信用承诺制。</w:t>
      </w:r>
    </w:p>
    <w:p w14:paraId="1B3532DB">
      <w:pPr>
        <w:pStyle w:val="6"/>
        <w:kinsoku/>
        <w:wordWrap w:val="0"/>
        <w:spacing w:line="360" w:lineRule="auto"/>
        <w:ind w:firstLine="460" w:firstLineChars="200"/>
        <w:jc w:val="both"/>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4.本项目是否属于政府购买服务：</w:t>
      </w:r>
    </w:p>
    <w:p w14:paraId="2C8543A2">
      <w:pPr>
        <w:pStyle w:val="6"/>
        <w:kinsoku/>
        <w:wordWrap w:val="0"/>
        <w:spacing w:line="360" w:lineRule="auto"/>
        <w:ind w:firstLine="472"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☑否  □接受进口产品  ☑不接受进口产品</w:t>
      </w:r>
    </w:p>
    <w:p w14:paraId="4CD8E5DB">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37F6CFCF">
      <w:pPr>
        <w:pStyle w:val="6"/>
        <w:kinsoku/>
        <w:wordWrap w:val="0"/>
        <w:spacing w:line="360" w:lineRule="auto"/>
        <w:jc w:val="both"/>
        <w:outlineLvl w:val="1"/>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t>四、获取招标文件</w:t>
      </w:r>
    </w:p>
    <w:p w14:paraId="128F1C75">
      <w:pPr>
        <w:pStyle w:val="6"/>
        <w:kinsoku/>
        <w:wordWrap w:val="0"/>
        <w:spacing w:line="360" w:lineRule="auto"/>
        <w:ind w:firstLine="42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1.时间：</w:t>
      </w:r>
      <w:r>
        <w:rPr>
          <w:rFonts w:hint="eastAsia" w:asciiTheme="minorEastAsia" w:hAnsiTheme="minorEastAsia" w:eastAsiaTheme="minorEastAsia" w:cstheme="minorEastAsia"/>
          <w:color w:val="auto"/>
          <w:spacing w:val="-13"/>
          <w:sz w:val="24"/>
          <w:szCs w:val="24"/>
          <w:highlight w:val="none"/>
          <w:u w:val="single"/>
          <w:lang w:eastAsia="zh-CN"/>
        </w:rPr>
        <w:t xml:space="preserve"> 2026 </w:t>
      </w:r>
      <w:r>
        <w:rPr>
          <w:rFonts w:hint="eastAsia" w:asciiTheme="minorEastAsia" w:hAnsiTheme="minorEastAsia" w:eastAsiaTheme="minorEastAsia" w:cstheme="minorEastAsia"/>
          <w:color w:val="auto"/>
          <w:spacing w:val="-13"/>
          <w:sz w:val="24"/>
          <w:szCs w:val="24"/>
          <w:highlight w:val="none"/>
          <w:lang w:eastAsia="zh-CN"/>
        </w:rPr>
        <w:t>年</w:t>
      </w:r>
      <w:r>
        <w:rPr>
          <w:rFonts w:hint="eastAsia" w:asciiTheme="minorEastAsia" w:hAnsiTheme="minorEastAsia" w:eastAsiaTheme="minorEastAsia" w:cstheme="minorEastAsia"/>
          <w:color w:val="auto"/>
          <w:spacing w:val="-13"/>
          <w:sz w:val="24"/>
          <w:szCs w:val="24"/>
          <w:highlight w:val="none"/>
          <w:u w:val="single"/>
          <w:lang w:eastAsia="zh-CN"/>
        </w:rPr>
        <w:t xml:space="preserve"> 10 </w:t>
      </w:r>
      <w:r>
        <w:rPr>
          <w:rFonts w:hint="eastAsia" w:asciiTheme="minorEastAsia" w:hAnsiTheme="minorEastAsia" w:eastAsiaTheme="minorEastAsia" w:cstheme="minorEastAsia"/>
          <w:color w:val="auto"/>
          <w:spacing w:val="-13"/>
          <w:sz w:val="24"/>
          <w:szCs w:val="24"/>
          <w:highlight w:val="none"/>
          <w:lang w:eastAsia="zh-CN"/>
        </w:rPr>
        <w:t>月</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23</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lang w:eastAsia="zh-CN"/>
        </w:rPr>
        <w:t>日至</w:t>
      </w:r>
      <w:r>
        <w:rPr>
          <w:rFonts w:hint="eastAsia" w:asciiTheme="minorEastAsia" w:hAnsiTheme="minorEastAsia" w:eastAsiaTheme="minorEastAsia" w:cstheme="minorEastAsia"/>
          <w:color w:val="auto"/>
          <w:spacing w:val="-13"/>
          <w:sz w:val="24"/>
          <w:szCs w:val="24"/>
          <w:highlight w:val="none"/>
          <w:u w:val="single"/>
          <w:lang w:eastAsia="zh-CN"/>
        </w:rPr>
        <w:t xml:space="preserve"> 2026 </w:t>
      </w:r>
      <w:r>
        <w:rPr>
          <w:rFonts w:hint="eastAsia" w:asciiTheme="minorEastAsia" w:hAnsiTheme="minorEastAsia" w:eastAsiaTheme="minorEastAsia" w:cstheme="minorEastAsia"/>
          <w:color w:val="auto"/>
          <w:spacing w:val="-13"/>
          <w:sz w:val="24"/>
          <w:szCs w:val="24"/>
          <w:highlight w:val="none"/>
          <w:lang w:eastAsia="zh-CN"/>
        </w:rPr>
        <w:t>年</w:t>
      </w:r>
      <w:r>
        <w:rPr>
          <w:rFonts w:hint="eastAsia" w:asciiTheme="minorEastAsia" w:hAnsiTheme="minorEastAsia" w:eastAsiaTheme="minorEastAsia" w:cstheme="minorEastAsia"/>
          <w:color w:val="auto"/>
          <w:spacing w:val="-13"/>
          <w:sz w:val="24"/>
          <w:szCs w:val="24"/>
          <w:highlight w:val="none"/>
          <w:u w:val="single"/>
          <w:lang w:eastAsia="zh-CN"/>
        </w:rPr>
        <w:t xml:space="preserve"> 1</w:t>
      </w:r>
      <w:r>
        <w:rPr>
          <w:rFonts w:hint="eastAsia" w:asciiTheme="minorEastAsia" w:hAnsiTheme="minorEastAsia" w:eastAsiaTheme="minorEastAsia" w:cstheme="minorEastAsia"/>
          <w:color w:val="auto"/>
          <w:spacing w:val="-13"/>
          <w:sz w:val="24"/>
          <w:szCs w:val="24"/>
          <w:highlight w:val="none"/>
          <w:u w:val="single"/>
          <w:lang w:val="en-US" w:eastAsia="zh-CN"/>
        </w:rPr>
        <w:t>1</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lang w:eastAsia="zh-CN"/>
        </w:rPr>
        <w:t>月</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9</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lang w:eastAsia="zh-CN"/>
        </w:rPr>
        <w:t>日，</w:t>
      </w:r>
      <w:r>
        <w:rPr>
          <w:rFonts w:hint="eastAsia" w:asciiTheme="minorEastAsia" w:hAnsiTheme="minorEastAsia" w:eastAsiaTheme="minorEastAsia" w:cstheme="minorEastAsia"/>
          <w:color w:val="auto"/>
          <w:spacing w:val="-14"/>
          <w:sz w:val="24"/>
          <w:szCs w:val="24"/>
          <w:highlight w:val="none"/>
          <w:lang w:eastAsia="zh-CN"/>
        </w:rPr>
        <w:t>每天上午</w:t>
      </w:r>
      <w:r>
        <w:rPr>
          <w:rFonts w:hint="eastAsia" w:asciiTheme="minorEastAsia" w:hAnsiTheme="minorEastAsia" w:eastAsiaTheme="minorEastAsia" w:cstheme="minorEastAsia"/>
          <w:color w:val="auto"/>
          <w:spacing w:val="-13"/>
          <w:sz w:val="24"/>
          <w:szCs w:val="24"/>
          <w:highlight w:val="none"/>
          <w:u w:val="single"/>
          <w:lang w:eastAsia="zh-CN"/>
        </w:rPr>
        <w:t xml:space="preserve"> 0:00 </w:t>
      </w:r>
      <w:r>
        <w:rPr>
          <w:rFonts w:hint="eastAsia" w:asciiTheme="minorEastAsia" w:hAnsiTheme="minorEastAsia" w:eastAsiaTheme="minorEastAsia" w:cstheme="minorEastAsia"/>
          <w:color w:val="auto"/>
          <w:spacing w:val="-14"/>
          <w:sz w:val="24"/>
          <w:szCs w:val="24"/>
          <w:highlight w:val="none"/>
          <w:lang w:eastAsia="zh-CN"/>
        </w:rPr>
        <w:t>至</w:t>
      </w:r>
      <w:r>
        <w:rPr>
          <w:rFonts w:hint="eastAsia" w:asciiTheme="minorEastAsia" w:hAnsiTheme="minorEastAsia" w:eastAsiaTheme="minorEastAsia" w:cstheme="minorEastAsia"/>
          <w:color w:val="auto"/>
          <w:spacing w:val="-13"/>
          <w:sz w:val="24"/>
          <w:szCs w:val="24"/>
          <w:highlight w:val="none"/>
          <w:u w:val="single"/>
          <w:lang w:eastAsia="zh-CN"/>
        </w:rPr>
        <w:t xml:space="preserve"> 12:00 </w:t>
      </w:r>
      <w:r>
        <w:rPr>
          <w:rFonts w:hint="eastAsia" w:asciiTheme="minorEastAsia" w:hAnsiTheme="minorEastAsia" w:eastAsiaTheme="minorEastAsia" w:cstheme="minorEastAsia"/>
          <w:color w:val="auto"/>
          <w:spacing w:val="-14"/>
          <w:sz w:val="24"/>
          <w:szCs w:val="24"/>
          <w:highlight w:val="none"/>
          <w:lang w:eastAsia="zh-CN"/>
        </w:rPr>
        <w:t>，下午</w:t>
      </w:r>
      <w:r>
        <w:rPr>
          <w:rFonts w:hint="eastAsia" w:asciiTheme="minorEastAsia" w:hAnsiTheme="minorEastAsia" w:eastAsiaTheme="minorEastAsia" w:cstheme="minorEastAsia"/>
          <w:color w:val="auto"/>
          <w:spacing w:val="-13"/>
          <w:sz w:val="24"/>
          <w:szCs w:val="24"/>
          <w:highlight w:val="none"/>
          <w:u w:val="single"/>
          <w:lang w:eastAsia="zh-CN"/>
        </w:rPr>
        <w:t xml:space="preserve"> 12:00 </w:t>
      </w:r>
      <w:r>
        <w:rPr>
          <w:rFonts w:hint="eastAsia" w:asciiTheme="minorEastAsia" w:hAnsiTheme="minorEastAsia" w:eastAsiaTheme="minorEastAsia" w:cstheme="minorEastAsia"/>
          <w:color w:val="auto"/>
          <w:spacing w:val="-14"/>
          <w:sz w:val="24"/>
          <w:szCs w:val="24"/>
          <w:highlight w:val="none"/>
          <w:lang w:eastAsia="zh-CN"/>
        </w:rPr>
        <w:t>至</w:t>
      </w:r>
      <w:r>
        <w:rPr>
          <w:rFonts w:hint="eastAsia" w:asciiTheme="minorEastAsia" w:hAnsiTheme="minorEastAsia" w:eastAsiaTheme="minorEastAsia" w:cstheme="minorEastAsia"/>
          <w:color w:val="auto"/>
          <w:spacing w:val="-13"/>
          <w:sz w:val="24"/>
          <w:szCs w:val="24"/>
          <w:highlight w:val="none"/>
          <w:u w:val="single"/>
          <w:lang w:eastAsia="zh-CN"/>
        </w:rPr>
        <w:t xml:space="preserve"> 23:59 </w:t>
      </w:r>
      <w:r>
        <w:rPr>
          <w:rFonts w:hint="eastAsia" w:asciiTheme="minorEastAsia" w:hAnsiTheme="minorEastAsia" w:eastAsiaTheme="minorEastAsia" w:cstheme="minorEastAsia"/>
          <w:color w:val="auto"/>
          <w:spacing w:val="-14"/>
          <w:sz w:val="24"/>
          <w:szCs w:val="24"/>
          <w:highlight w:val="none"/>
          <w:lang w:eastAsia="zh-CN"/>
        </w:rPr>
        <w:t>（北京时</w:t>
      </w:r>
      <w:r>
        <w:rPr>
          <w:rFonts w:hint="eastAsia" w:asciiTheme="minorEastAsia" w:hAnsiTheme="minorEastAsia" w:eastAsiaTheme="minorEastAsia" w:cstheme="minorEastAsia"/>
          <w:color w:val="auto"/>
          <w:spacing w:val="-15"/>
          <w:sz w:val="24"/>
          <w:szCs w:val="24"/>
          <w:highlight w:val="none"/>
          <w:lang w:eastAsia="zh-CN"/>
        </w:rPr>
        <w:t>间，法定节假日除外）。</w:t>
      </w:r>
    </w:p>
    <w:p w14:paraId="17436955">
      <w:pPr>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2.地点：</w:t>
      </w:r>
      <w:r>
        <w:rPr>
          <w:rFonts w:hint="eastAsia" w:ascii="宋体" w:hAnsi="宋体" w:eastAsia="宋体" w:cs="宋体"/>
          <w:color w:val="auto"/>
          <w:sz w:val="24"/>
          <w:szCs w:val="24"/>
          <w:highlight w:val="none"/>
        </w:rPr>
        <w:t>全国公共资源交易平台(河南省·南阳市)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https://ggzyjy.nanyang.gov.cn</w:t>
      </w:r>
      <w:r>
        <w:rPr>
          <w:rFonts w:hint="eastAsia" w:ascii="宋体" w:hAnsi="宋体" w:eastAsia="宋体" w:cs="宋体"/>
          <w:color w:val="auto"/>
          <w:sz w:val="24"/>
          <w:szCs w:val="24"/>
          <w:highlight w:val="none"/>
          <w:lang w:eastAsia="zh-CN"/>
        </w:rPr>
        <w:t>）</w:t>
      </w:r>
    </w:p>
    <w:p w14:paraId="102C9788">
      <w:pPr>
        <w:spacing w:line="400" w:lineRule="exact"/>
        <w:ind w:firstLine="464" w:firstLineChars="200"/>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3.方式：使用普通电子交易系统，登录全国公共资源交易平台(河南省·南阳市)（https://ggzyjy.nanyang.gov.cn），注册后凭办理的企业身份认证锁（CA数字证书）登录会员系统按网上提示下载招标文件(*.nyzf格式)及资料（操作程序详见全国公共资源交易平台(河南省·南阳市)网站下载专区），电子交易系统技术支持电话：0512-58188538，CA数字证书技术支持：https://ggzyjy.nanyang.</w:t>
      </w:r>
      <w:bookmarkStart w:id="3" w:name="_GoBack"/>
      <w:bookmarkEnd w:id="3"/>
      <w:r>
        <w:rPr>
          <w:rFonts w:hint="eastAsia" w:asciiTheme="minorEastAsia" w:hAnsiTheme="minorEastAsia" w:eastAsiaTheme="minorEastAsia" w:cstheme="minorEastAsia"/>
          <w:color w:val="auto"/>
          <w:spacing w:val="-4"/>
          <w:sz w:val="24"/>
          <w:szCs w:val="24"/>
          <w:highlight w:val="none"/>
          <w:lang w:eastAsia="zh-CN"/>
        </w:rPr>
        <w:t>gov.cn/ptdl/011009/single.html。</w:t>
      </w:r>
    </w:p>
    <w:p w14:paraId="19BDF1FC">
      <w:pPr>
        <w:pStyle w:val="6"/>
        <w:kinsoku/>
        <w:wordWrap w:val="0"/>
        <w:spacing w:line="360" w:lineRule="auto"/>
        <w:ind w:firstLine="42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4.售价：0元。</w:t>
      </w:r>
    </w:p>
    <w:p w14:paraId="26F8FF27">
      <w:pPr>
        <w:kinsoku/>
        <w:wordWrap w:val="0"/>
        <w:spacing w:line="360" w:lineRule="auto"/>
        <w:ind w:firstLine="420" w:firstLineChars="200"/>
        <w:jc w:val="both"/>
        <w:rPr>
          <w:rFonts w:hint="eastAsia" w:asciiTheme="minorEastAsia" w:hAnsiTheme="minorEastAsia" w:eastAsiaTheme="minorEastAsia" w:cstheme="minorEastAsia"/>
          <w:color w:val="auto"/>
          <w:highlight w:val="none"/>
          <w:lang w:eastAsia="zh-CN"/>
        </w:rPr>
      </w:pPr>
    </w:p>
    <w:p w14:paraId="39615442">
      <w:pPr>
        <w:pStyle w:val="6"/>
        <w:kinsoku/>
        <w:wordWrap w:val="0"/>
        <w:spacing w:line="360" w:lineRule="auto"/>
        <w:jc w:val="both"/>
        <w:outlineLvl w:val="1"/>
        <w:rPr>
          <w:rFonts w:hint="eastAsia" w:asciiTheme="minorEastAsia" w:hAnsiTheme="minorEastAsia" w:eastAsiaTheme="minorEastAsia" w:cstheme="minorEastAsia"/>
          <w:color w:val="auto"/>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z w:val="24"/>
          <w:szCs w:val="24"/>
          <w:highlight w:val="none"/>
          <w:lang w:eastAsia="zh-CN"/>
          <w14:textOutline w14:w="1536" w14:cap="flat" w14:cmpd="sng" w14:algn="ctr">
            <w14:solidFill>
              <w14:srgbClr w14:val="000000"/>
            </w14:solidFill>
            <w14:prstDash w14:val="solid"/>
            <w14:miter w14:val="0"/>
          </w14:textOutline>
        </w:rPr>
        <w:t>五、投标文件的制作及上传</w:t>
      </w:r>
    </w:p>
    <w:p w14:paraId="65EA40B1">
      <w:pPr>
        <w:spacing w:line="400" w:lineRule="exact"/>
        <w:ind w:firstLine="464" w:firstLineChars="200"/>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使用普通电子交易系统。投标人须上传加密电子投标文件，电子投标文件需要使用投标文件制作工具制作，制作工具及操作手册可在</w:t>
      </w:r>
      <w:r>
        <w:rPr>
          <w:rFonts w:hint="eastAsia"/>
          <w:color w:val="auto"/>
          <w:highlight w:val="none"/>
          <w:lang w:eastAsia="zh-CN"/>
        </w:rPr>
        <w:t>全国公共资源交易平台(河南省·南阳市)</w:t>
      </w:r>
      <w:r>
        <w:rPr>
          <w:rFonts w:hint="eastAsia" w:asciiTheme="minorEastAsia" w:hAnsiTheme="minorEastAsia" w:eastAsiaTheme="minorEastAsia" w:cstheme="minorEastAsia"/>
          <w:color w:val="auto"/>
          <w:spacing w:val="-4"/>
          <w:sz w:val="24"/>
          <w:szCs w:val="24"/>
          <w:highlight w:val="none"/>
          <w:lang w:eastAsia="zh-CN"/>
        </w:rPr>
        <w:t>“下载专区”中下载。加密电子投标文件应在招标文件规定的投标截止时间前到达交易系统。逾期到达交易系统的电子投标文件视为放弃本次投标。</w:t>
      </w:r>
    </w:p>
    <w:p w14:paraId="66C0A289">
      <w:pPr>
        <w:shd w:val="clear" w:color="auto" w:fill="FFFFFF"/>
        <w:kinsoku/>
        <w:wordWrap w:val="0"/>
        <w:spacing w:line="400" w:lineRule="exact"/>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因投标人无需现场参与开标，所有准备工作需要自行到位。开标过程中如遇到紧急事项，可在不见面开标大厅中进行提出异议或文字交流，严重问题可拨打技术支持电话0377-61176137。不见面开标过程中，如因投标人准备不到位、网络问题等情况（30分钟内）无法及时解密，造成开标无法继续的，视为该投标人自动放弃投标，将被退回投标文件”。电子交易系统技术支持电话：0512-58188538。</w:t>
      </w:r>
    </w:p>
    <w:p w14:paraId="0728529E">
      <w:pPr>
        <w:pStyle w:val="24"/>
        <w:rPr>
          <w:rFonts w:hint="eastAsia" w:asciiTheme="minorEastAsia" w:hAnsiTheme="minorEastAsia" w:eastAsiaTheme="minorEastAsia" w:cstheme="minorEastAsia"/>
          <w:color w:val="auto"/>
          <w:highlight w:val="none"/>
          <w14:textOutline w14:w="1536" w14:cap="flat" w14:cmpd="sng" w14:algn="ctr">
            <w14:solidFill>
              <w14:srgbClr w14:val="000000"/>
            </w14:solidFill>
            <w14:prstDash w14:val="solid"/>
            <w14:miter w14:val="0"/>
          </w14:textOutline>
        </w:rPr>
      </w:pPr>
    </w:p>
    <w:p w14:paraId="30F619A4">
      <w:pPr>
        <w:pStyle w:val="6"/>
        <w:kinsoku/>
        <w:wordWrap w:val="0"/>
        <w:spacing w:line="360" w:lineRule="auto"/>
        <w:jc w:val="both"/>
        <w:outlineLvl w:val="1"/>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14:textOutline w14:w="1536" w14:cap="flat" w14:cmpd="sng" w14:algn="ctr">
            <w14:solidFill>
              <w14:srgbClr w14:val="000000"/>
            </w14:solidFill>
            <w14:prstDash w14:val="solid"/>
            <w14:miter w14:val="0"/>
          </w14:textOutline>
        </w:rPr>
        <w:t>六、提交投标文件截止时间、开标时间和地点</w:t>
      </w:r>
    </w:p>
    <w:p w14:paraId="6C4282CA">
      <w:pPr>
        <w:pStyle w:val="6"/>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投标截止时间、开标时间：</w:t>
      </w:r>
      <w:r>
        <w:rPr>
          <w:rFonts w:hint="eastAsia" w:asciiTheme="minorEastAsia" w:hAnsiTheme="minorEastAsia" w:eastAsiaTheme="minorEastAsia" w:cstheme="minorEastAsia"/>
          <w:color w:val="auto"/>
          <w:spacing w:val="-14"/>
          <w:sz w:val="24"/>
          <w:szCs w:val="24"/>
          <w:highlight w:val="none"/>
          <w:u w:val="single"/>
          <w:lang w:eastAsia="zh-CN"/>
        </w:rPr>
        <w:t xml:space="preserve"> 2026 </w:t>
      </w:r>
      <w:r>
        <w:rPr>
          <w:rFonts w:hint="eastAsia" w:asciiTheme="minorEastAsia" w:hAnsiTheme="minorEastAsia" w:eastAsiaTheme="minorEastAsia" w:cstheme="minorEastAsia"/>
          <w:color w:val="auto"/>
          <w:spacing w:val="-4"/>
          <w:sz w:val="24"/>
          <w:szCs w:val="24"/>
          <w:highlight w:val="none"/>
          <w:lang w:eastAsia="zh-CN"/>
        </w:rPr>
        <w:t>年</w:t>
      </w:r>
      <w:r>
        <w:rPr>
          <w:rFonts w:hint="eastAsia" w:asciiTheme="minorEastAsia" w:hAnsiTheme="minorEastAsia" w:eastAsiaTheme="minorEastAsia" w:cstheme="minorEastAsia"/>
          <w:color w:val="auto"/>
          <w:spacing w:val="-4"/>
          <w:sz w:val="24"/>
          <w:szCs w:val="24"/>
          <w:highlight w:val="none"/>
          <w:u w:val="single"/>
          <w:lang w:eastAsia="zh-CN"/>
        </w:rPr>
        <w:t xml:space="preserve"> </w:t>
      </w:r>
      <w:r>
        <w:rPr>
          <w:rFonts w:hint="eastAsia" w:asciiTheme="minorEastAsia" w:hAnsiTheme="minorEastAsia" w:eastAsiaTheme="minorEastAsia" w:cstheme="minorEastAsia"/>
          <w:color w:val="auto"/>
          <w:spacing w:val="-4"/>
          <w:sz w:val="24"/>
          <w:szCs w:val="24"/>
          <w:highlight w:val="none"/>
          <w:u w:val="single"/>
          <w:lang w:val="en-US" w:eastAsia="zh-CN"/>
        </w:rPr>
        <w:t>11</w:t>
      </w:r>
      <w:r>
        <w:rPr>
          <w:rFonts w:hint="eastAsia" w:asciiTheme="minorEastAsia" w:hAnsiTheme="minorEastAsia" w:eastAsiaTheme="minorEastAsia" w:cstheme="minorEastAsia"/>
          <w:color w:val="auto"/>
          <w:spacing w:val="-4"/>
          <w:sz w:val="24"/>
          <w:szCs w:val="24"/>
          <w:highlight w:val="none"/>
          <w:u w:val="single"/>
          <w:lang w:eastAsia="zh-CN"/>
        </w:rPr>
        <w:t xml:space="preserve"> </w:t>
      </w:r>
      <w:r>
        <w:rPr>
          <w:rFonts w:hint="eastAsia" w:asciiTheme="minorEastAsia" w:hAnsiTheme="minorEastAsia" w:eastAsiaTheme="minorEastAsia" w:cstheme="minorEastAsia"/>
          <w:color w:val="auto"/>
          <w:spacing w:val="-4"/>
          <w:sz w:val="24"/>
          <w:szCs w:val="24"/>
          <w:highlight w:val="none"/>
          <w:lang w:eastAsia="zh-CN"/>
        </w:rPr>
        <w:t>月</w:t>
      </w:r>
      <w:r>
        <w:rPr>
          <w:rFonts w:hint="eastAsia" w:asciiTheme="minorEastAsia" w:hAnsiTheme="minorEastAsia" w:eastAsiaTheme="minorEastAsia" w:cstheme="minorEastAsia"/>
          <w:color w:val="auto"/>
          <w:spacing w:val="-4"/>
          <w:sz w:val="24"/>
          <w:szCs w:val="24"/>
          <w:highlight w:val="none"/>
          <w:u w:val="single"/>
          <w:lang w:eastAsia="zh-CN"/>
        </w:rPr>
        <w:t xml:space="preserve"> </w:t>
      </w:r>
      <w:r>
        <w:rPr>
          <w:rFonts w:hint="eastAsia" w:asciiTheme="minorEastAsia" w:hAnsiTheme="minorEastAsia" w:eastAsiaTheme="minorEastAsia" w:cstheme="minorEastAsia"/>
          <w:color w:val="auto"/>
          <w:spacing w:val="-4"/>
          <w:sz w:val="24"/>
          <w:szCs w:val="24"/>
          <w:highlight w:val="none"/>
          <w:u w:val="single"/>
          <w:lang w:val="en-US" w:eastAsia="zh-CN"/>
        </w:rPr>
        <w:t>19</w:t>
      </w:r>
      <w:r>
        <w:rPr>
          <w:rFonts w:hint="eastAsia" w:asciiTheme="minorEastAsia" w:hAnsiTheme="minorEastAsia" w:eastAsiaTheme="minorEastAsia" w:cstheme="minorEastAsia"/>
          <w:color w:val="auto"/>
          <w:spacing w:val="-4"/>
          <w:sz w:val="24"/>
          <w:szCs w:val="24"/>
          <w:highlight w:val="none"/>
          <w:u w:val="single"/>
          <w:lang w:eastAsia="zh-CN"/>
        </w:rPr>
        <w:t xml:space="preserve"> </w:t>
      </w:r>
      <w:r>
        <w:rPr>
          <w:rFonts w:hint="eastAsia" w:asciiTheme="minorEastAsia" w:hAnsiTheme="minorEastAsia" w:eastAsiaTheme="minorEastAsia" w:cstheme="minorEastAsia"/>
          <w:color w:val="auto"/>
          <w:spacing w:val="-4"/>
          <w:sz w:val="24"/>
          <w:szCs w:val="24"/>
          <w:highlight w:val="none"/>
          <w:lang w:eastAsia="zh-CN"/>
        </w:rPr>
        <w:t>日</w:t>
      </w:r>
      <w:r>
        <w:rPr>
          <w:rFonts w:hint="eastAsia" w:asciiTheme="minorEastAsia" w:hAnsiTheme="minorEastAsia" w:eastAsiaTheme="minorEastAsia" w:cstheme="minorEastAsia"/>
          <w:color w:val="auto"/>
          <w:spacing w:val="-4"/>
          <w:sz w:val="24"/>
          <w:szCs w:val="24"/>
          <w:highlight w:val="none"/>
          <w:u w:val="single"/>
          <w:lang w:eastAsia="zh-CN"/>
        </w:rPr>
        <w:t xml:space="preserve"> 9 </w:t>
      </w:r>
      <w:r>
        <w:rPr>
          <w:rFonts w:hint="eastAsia" w:asciiTheme="minorEastAsia" w:hAnsiTheme="minorEastAsia" w:eastAsiaTheme="minorEastAsia" w:cstheme="minorEastAsia"/>
          <w:color w:val="auto"/>
          <w:spacing w:val="-4"/>
          <w:sz w:val="24"/>
          <w:szCs w:val="24"/>
          <w:highlight w:val="none"/>
          <w:lang w:eastAsia="zh-CN"/>
        </w:rPr>
        <w:t>点</w:t>
      </w:r>
      <w:r>
        <w:rPr>
          <w:rFonts w:hint="eastAsia" w:asciiTheme="minorEastAsia" w:hAnsiTheme="minorEastAsia" w:eastAsiaTheme="minorEastAsia" w:cstheme="minorEastAsia"/>
          <w:color w:val="auto"/>
          <w:spacing w:val="-4"/>
          <w:sz w:val="24"/>
          <w:szCs w:val="24"/>
          <w:highlight w:val="none"/>
          <w:u w:val="single"/>
          <w:lang w:eastAsia="zh-CN"/>
        </w:rPr>
        <w:t xml:space="preserve"> 00 </w:t>
      </w:r>
      <w:r>
        <w:rPr>
          <w:rFonts w:hint="eastAsia" w:asciiTheme="minorEastAsia" w:hAnsiTheme="minorEastAsia" w:eastAsiaTheme="minorEastAsia" w:cstheme="minorEastAsia"/>
          <w:color w:val="auto"/>
          <w:spacing w:val="-4"/>
          <w:sz w:val="24"/>
          <w:szCs w:val="24"/>
          <w:highlight w:val="none"/>
          <w:lang w:eastAsia="zh-CN"/>
        </w:rPr>
        <w:t>分（北</w:t>
      </w:r>
      <w:r>
        <w:rPr>
          <w:rFonts w:hint="eastAsia" w:asciiTheme="minorEastAsia" w:hAnsiTheme="minorEastAsia" w:eastAsiaTheme="minorEastAsia" w:cstheme="minorEastAsia"/>
          <w:color w:val="auto"/>
          <w:spacing w:val="-15"/>
          <w:sz w:val="24"/>
          <w:szCs w:val="24"/>
          <w:highlight w:val="none"/>
          <w:lang w:eastAsia="zh-CN"/>
        </w:rPr>
        <w:t>京时间）。</w:t>
      </w:r>
    </w:p>
    <w:p w14:paraId="4EA073E5">
      <w:pPr>
        <w:pStyle w:val="6"/>
        <w:kinsoku/>
        <w:wordWrap w:val="0"/>
        <w:spacing w:line="360" w:lineRule="auto"/>
        <w:jc w:val="both"/>
        <w:rPr>
          <w:rFonts w:hint="eastAsia" w:asciiTheme="minorEastAsia" w:hAnsiTheme="minorEastAsia" w:eastAsiaTheme="minorEastAsia" w:cstheme="minorEastAsia"/>
          <w:color w:val="auto"/>
          <w:spacing w:val="-17"/>
          <w:sz w:val="24"/>
          <w:szCs w:val="24"/>
          <w:highlight w:val="none"/>
          <w:lang w:eastAsia="zh-CN"/>
        </w:rPr>
      </w:pPr>
      <w:r>
        <w:rPr>
          <w:rFonts w:hint="eastAsia" w:asciiTheme="minorEastAsia" w:hAnsiTheme="minorEastAsia" w:eastAsiaTheme="minorEastAsia" w:cstheme="minorEastAsia"/>
          <w:color w:val="auto"/>
          <w:spacing w:val="-17"/>
          <w:sz w:val="24"/>
          <w:szCs w:val="24"/>
          <w:highlight w:val="none"/>
          <w:lang w:eastAsia="zh-CN"/>
        </w:rPr>
        <w:t>开标方式：不见面开标</w:t>
      </w:r>
    </w:p>
    <w:p w14:paraId="7C8B0369">
      <w:pPr>
        <w:pStyle w:val="6"/>
        <w:kinsoku/>
        <w:wordWrap w:val="0"/>
        <w:spacing w:line="360" w:lineRule="auto"/>
        <w:jc w:val="both"/>
        <w:rPr>
          <w:rFonts w:hint="eastAsia" w:asciiTheme="minorEastAsia" w:hAnsiTheme="minorEastAsia" w:eastAsiaTheme="minorEastAsia" w:cstheme="minorEastAsia"/>
          <w:color w:val="auto"/>
          <w:sz w:val="24"/>
          <w:szCs w:val="24"/>
          <w:highlight w:val="none"/>
        </w:rPr>
      </w:pPr>
      <w:r>
        <w:rPr>
          <w:rFonts w:hint="eastAsia" w:ascii="Arial" w:hAnsi="Arial" w:cs="Arial"/>
          <w:color w:val="auto"/>
          <w:position w:val="5"/>
          <w:sz w:val="24"/>
          <w:szCs w:val="24"/>
          <w:highlight w:val="none"/>
          <w:lang w:eastAsia="zh-CN"/>
        </w:rPr>
        <w:t>地点：</w:t>
      </w:r>
      <w:r>
        <w:rPr>
          <w:rFonts w:hint="eastAsia" w:ascii="Arial" w:hAnsi="Arial" w:eastAsia="Arial" w:cs="Arial"/>
          <w:color w:val="auto"/>
          <w:position w:val="5"/>
          <w:sz w:val="24"/>
          <w:szCs w:val="24"/>
          <w:highlight w:val="none"/>
        </w:rPr>
        <w:t>全国公共资源交易平台（河南省·南阳市）https://ggzyjy.nanyang.gov.cn</w:t>
      </w:r>
      <w:r>
        <w:rPr>
          <w:rFonts w:hint="eastAsia" w:asciiTheme="minorEastAsia" w:hAnsiTheme="minorEastAsia" w:eastAsiaTheme="minorEastAsia" w:cstheme="minorEastAsia"/>
          <w:color w:val="auto"/>
          <w:spacing w:val="-17"/>
          <w:sz w:val="24"/>
          <w:szCs w:val="24"/>
          <w:highlight w:val="none"/>
        </w:rPr>
        <w:t>。</w:t>
      </w:r>
    </w:p>
    <w:p w14:paraId="7C0ED092">
      <w:pPr>
        <w:kinsoku/>
        <w:wordWrap w:val="0"/>
        <w:spacing w:line="360" w:lineRule="auto"/>
        <w:jc w:val="both"/>
        <w:rPr>
          <w:rFonts w:hint="eastAsia" w:asciiTheme="minorEastAsia" w:hAnsiTheme="minorEastAsia" w:eastAsiaTheme="minorEastAsia" w:cstheme="minorEastAsia"/>
          <w:color w:val="auto"/>
          <w:highlight w:val="none"/>
        </w:rPr>
      </w:pPr>
    </w:p>
    <w:p w14:paraId="5F6473F0">
      <w:pPr>
        <w:pStyle w:val="6"/>
        <w:kinsoku/>
        <w:wordWrap w:val="0"/>
        <w:spacing w:line="360" w:lineRule="auto"/>
        <w:jc w:val="both"/>
        <w:outlineLvl w:val="1"/>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lang w:eastAsia="zh-CN"/>
          <w14:textOutline w14:w="1536" w14:cap="flat" w14:cmpd="sng" w14:algn="ctr">
            <w14:solidFill>
              <w14:srgbClr w14:val="000000"/>
            </w14:solidFill>
            <w14:prstDash w14:val="solid"/>
            <w14:miter w14:val="0"/>
          </w14:textOutline>
        </w:rPr>
        <w:t>七</w:t>
      </w:r>
      <w:r>
        <w:rPr>
          <w:rFonts w:hint="eastAsia" w:asciiTheme="minorEastAsia" w:hAnsiTheme="minorEastAsia" w:eastAsiaTheme="minorEastAsia" w:cstheme="minorEastAsia"/>
          <w:color w:val="auto"/>
          <w:spacing w:val="-2"/>
          <w:sz w:val="24"/>
          <w:szCs w:val="24"/>
          <w:highlight w:val="none"/>
          <w14:textOutline w14:w="1536" w14:cap="flat" w14:cmpd="sng" w14:algn="ctr">
            <w14:solidFill>
              <w14:srgbClr w14:val="000000"/>
            </w14:solidFill>
            <w14:prstDash w14:val="solid"/>
            <w14:miter w14:val="0"/>
          </w14:textOutline>
        </w:rPr>
        <w:t>、公告期限</w:t>
      </w:r>
    </w:p>
    <w:p w14:paraId="2BC0A49E">
      <w:pPr>
        <w:pStyle w:val="6"/>
        <w:kinsoku/>
        <w:wordWrap w:val="0"/>
        <w:spacing w:line="360" w:lineRule="auto"/>
        <w:jc w:val="both"/>
        <w:outlineLvl w:val="1"/>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11</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5</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rPr>
        <w:t>日至</w:t>
      </w:r>
      <w:r>
        <w:rPr>
          <w:rFonts w:hint="eastAsia" w:asciiTheme="minorEastAsia" w:hAnsiTheme="minorEastAsia" w:eastAsiaTheme="minorEastAsia" w:cstheme="minorEastAsia"/>
          <w:color w:val="auto"/>
          <w:spacing w:val="-13"/>
          <w:sz w:val="24"/>
          <w:szCs w:val="24"/>
          <w:highlight w:val="none"/>
          <w:u w:val="single"/>
          <w:lang w:eastAsia="zh-CN"/>
        </w:rPr>
        <w:t xml:space="preserve"> 2026 </w:t>
      </w:r>
      <w:r>
        <w:rPr>
          <w:rFonts w:hint="eastAsia" w:asciiTheme="minorEastAsia" w:hAnsiTheme="minorEastAsia" w:eastAsiaTheme="minorEastAsia" w:cstheme="minorEastAsia"/>
          <w:color w:val="auto"/>
          <w:spacing w:val="-13"/>
          <w:sz w:val="24"/>
          <w:szCs w:val="24"/>
          <w:highlight w:val="none"/>
        </w:rPr>
        <w:t>年</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11</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rPr>
        <w:t>月</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9</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rPr>
        <w:t>日</w:t>
      </w:r>
      <w:r>
        <w:rPr>
          <w:rFonts w:hint="eastAsia" w:asciiTheme="minorEastAsia" w:hAnsiTheme="minorEastAsia" w:eastAsiaTheme="minorEastAsia" w:cstheme="minorEastAsia"/>
          <w:color w:val="auto"/>
          <w:spacing w:val="-13"/>
          <w:sz w:val="24"/>
          <w:szCs w:val="24"/>
          <w:highlight w:val="none"/>
          <w:lang w:eastAsia="zh-CN"/>
        </w:rPr>
        <w:t>。</w:t>
      </w:r>
    </w:p>
    <w:p w14:paraId="1878007E">
      <w:pPr>
        <w:pStyle w:val="6"/>
        <w:kinsoku/>
        <w:wordWrap w:val="0"/>
        <w:spacing w:line="360" w:lineRule="auto"/>
        <w:jc w:val="both"/>
        <w:outlineLvl w:val="1"/>
        <w:rPr>
          <w:rFonts w:hint="eastAsia" w:asciiTheme="minorEastAsia" w:hAnsiTheme="minorEastAsia" w:eastAsiaTheme="minorEastAsia" w:cstheme="minorEastAsia"/>
          <w:color w:val="auto"/>
          <w:spacing w:val="-13"/>
          <w:sz w:val="24"/>
          <w:szCs w:val="24"/>
          <w:highlight w:val="none"/>
        </w:rPr>
      </w:pPr>
    </w:p>
    <w:p w14:paraId="4EB79300">
      <w:pPr>
        <w:pStyle w:val="6"/>
        <w:kinsoku/>
        <w:wordWrap w:val="0"/>
        <w:spacing w:line="360" w:lineRule="auto"/>
        <w:jc w:val="both"/>
        <w:outlineLvl w:val="1"/>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t>八、其他补充事宜</w:t>
      </w:r>
    </w:p>
    <w:p w14:paraId="738F4DCC">
      <w:pPr>
        <w:pStyle w:val="6"/>
        <w:kinsoku/>
        <w:wordWrap w:val="0"/>
        <w:spacing w:line="360" w:lineRule="auto"/>
        <w:jc w:val="both"/>
        <w:rPr>
          <w:rFonts w:hint="eastAsia" w:asciiTheme="minorEastAsia" w:hAnsiTheme="minorEastAsia" w:eastAsiaTheme="minorEastAsia" w:cstheme="minorEastAsia"/>
          <w:color w:val="auto"/>
          <w:spacing w:val="-4"/>
          <w:position w:val="16"/>
          <w:sz w:val="24"/>
          <w:szCs w:val="24"/>
          <w:highlight w:val="none"/>
          <w:lang w:eastAsia="zh-CN"/>
          <w14:textOutline w14:w="1536" w14:cap="flat" w14:cmpd="sng" w14:algn="ctr">
            <w14:solidFill>
              <w14:srgbClr w14:val="000000"/>
            </w14:solidFill>
            <w14:prstDash w14:val="solid"/>
            <w14:miter w14:val="0"/>
          </w14:textOutline>
        </w:rPr>
      </w:pPr>
      <w:r>
        <w:rPr>
          <w:rFonts w:hint="eastAsia"/>
          <w:color w:val="auto"/>
          <w:sz w:val="24"/>
          <w:szCs w:val="24"/>
          <w:highlight w:val="none"/>
          <w:lang w:eastAsia="zh-CN"/>
        </w:rPr>
        <w:t>本项目采用</w:t>
      </w:r>
      <w:r>
        <w:rPr>
          <w:rFonts w:hint="eastAsia"/>
          <w:b/>
          <w:bCs/>
          <w:color w:val="auto"/>
          <w:sz w:val="24"/>
          <w:szCs w:val="24"/>
          <w:highlight w:val="none"/>
          <w:lang w:eastAsia="zh-CN"/>
        </w:rPr>
        <w:t>“暗标”</w:t>
      </w:r>
      <w:r>
        <w:rPr>
          <w:rFonts w:hint="eastAsia"/>
          <w:color w:val="auto"/>
          <w:sz w:val="24"/>
          <w:szCs w:val="24"/>
          <w:highlight w:val="none"/>
          <w:lang w:eastAsia="zh-CN"/>
        </w:rPr>
        <w:t>评审。供应商应按照招标文件要求制作投标文件。</w:t>
      </w:r>
    </w:p>
    <w:p w14:paraId="5BA89367">
      <w:pPr>
        <w:pStyle w:val="6"/>
        <w:kinsoku/>
        <w:wordWrap w:val="0"/>
        <w:spacing w:line="360" w:lineRule="auto"/>
        <w:jc w:val="both"/>
        <w:rPr>
          <w:rFonts w:hint="eastAsia" w:asciiTheme="minorEastAsia" w:hAnsiTheme="minorEastAsia" w:eastAsiaTheme="minorEastAsia" w:cstheme="minorEastAsia"/>
          <w:color w:val="auto"/>
          <w:spacing w:val="-4"/>
          <w:position w:val="16"/>
          <w:sz w:val="24"/>
          <w:szCs w:val="24"/>
          <w:highlight w:val="none"/>
          <w:lang w:eastAsia="zh-CN"/>
          <w14:textOutline w14:w="1536" w14:cap="flat" w14:cmpd="sng" w14:algn="ctr">
            <w14:solidFill>
              <w14:srgbClr w14:val="000000"/>
            </w14:solidFill>
            <w14:prstDash w14:val="solid"/>
            <w14:miter w14:val="0"/>
          </w14:textOutline>
        </w:rPr>
      </w:pPr>
    </w:p>
    <w:p w14:paraId="6D2BBFD7">
      <w:pPr>
        <w:pStyle w:val="6"/>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position w:val="16"/>
          <w:sz w:val="24"/>
          <w:szCs w:val="24"/>
          <w:highlight w:val="none"/>
          <w:lang w:eastAsia="zh-CN"/>
          <w14:textOutline w14:w="1536" w14:cap="flat" w14:cmpd="sng" w14:algn="ctr">
            <w14:solidFill>
              <w14:srgbClr w14:val="000000"/>
            </w14:solidFill>
            <w14:prstDash w14:val="solid"/>
            <w14:miter w14:val="0"/>
          </w14:textOutline>
        </w:rPr>
        <w:t>九、对本次招标提出询问，请按以下方式联系。</w:t>
      </w:r>
    </w:p>
    <w:p w14:paraId="426B8AC0">
      <w:pPr>
        <w:pStyle w:val="6"/>
        <w:kinsoku/>
        <w:wordWrap w:val="0"/>
        <w:spacing w:line="360" w:lineRule="auto"/>
        <w:jc w:val="both"/>
        <w:rPr>
          <w:rFonts w:hint="eastAsia" w:asciiTheme="minorEastAsia" w:hAnsiTheme="minorEastAsia" w:eastAsiaTheme="minorEastAsia" w:cstheme="minorEastAsia"/>
          <w:color w:val="auto"/>
          <w:spacing w:val="5"/>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5"/>
          <w:sz w:val="24"/>
          <w:szCs w:val="24"/>
          <w:highlight w:val="none"/>
          <w:lang w:eastAsia="zh-CN"/>
          <w14:textOutline w14:w="1536" w14:cap="flat" w14:cmpd="sng" w14:algn="ctr">
            <w14:solidFill>
              <w14:srgbClr w14:val="000000"/>
            </w14:solidFill>
            <w14:prstDash w14:val="solid"/>
            <w14:miter w14:val="0"/>
          </w14:textOutline>
        </w:rPr>
        <w:t>1.采购人信息</w:t>
      </w:r>
    </w:p>
    <w:p w14:paraId="32B6B41A">
      <w:pPr>
        <w:pStyle w:val="6"/>
        <w:kinsoku/>
        <w:wordWrap w:val="0"/>
        <w:spacing w:line="360" w:lineRule="auto"/>
        <w:jc w:val="both"/>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名称：河南省南阳工业学校</w:t>
      </w:r>
    </w:p>
    <w:p w14:paraId="262826CF">
      <w:pPr>
        <w:pStyle w:val="6"/>
        <w:kinsoku/>
        <w:wordWrap w:val="0"/>
        <w:spacing w:line="360" w:lineRule="auto"/>
        <w:jc w:val="both"/>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lang w:eastAsia="zh-CN"/>
        </w:rPr>
        <w:t>地址：</w:t>
      </w:r>
      <w:r>
        <w:rPr>
          <w:rFonts w:hint="eastAsia" w:asciiTheme="minorEastAsia" w:hAnsiTheme="minorEastAsia" w:eastAsiaTheme="minorEastAsia" w:cstheme="minorEastAsia"/>
          <w:color w:val="auto"/>
          <w:spacing w:val="-15"/>
          <w:sz w:val="24"/>
          <w:szCs w:val="24"/>
          <w:highlight w:val="none"/>
          <w:lang w:val="en-US" w:eastAsia="zh-CN"/>
        </w:rPr>
        <w:t>南阳市宛城区枣林街759号</w:t>
      </w:r>
      <w:r>
        <w:rPr>
          <w:rFonts w:hint="eastAsia" w:asciiTheme="minorEastAsia" w:hAnsiTheme="minorEastAsia" w:eastAsiaTheme="minorEastAsia" w:cstheme="minorEastAsia"/>
          <w:color w:val="auto"/>
          <w:spacing w:val="-15"/>
          <w:sz w:val="24"/>
          <w:szCs w:val="24"/>
          <w:highlight w:val="none"/>
          <w:lang w:eastAsia="zh-CN"/>
        </w:rPr>
        <w:t>南阳工业学校</w:t>
      </w:r>
    </w:p>
    <w:p w14:paraId="6D65931C">
      <w:pPr>
        <w:pStyle w:val="6"/>
        <w:kinsoku/>
        <w:wordWrap w:val="0"/>
        <w:spacing w:line="360" w:lineRule="auto"/>
        <w:jc w:val="both"/>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lang w:eastAsia="zh-CN"/>
        </w:rPr>
        <w:t>联系人：</w:t>
      </w:r>
      <w:r>
        <w:rPr>
          <w:rFonts w:hint="eastAsia" w:asciiTheme="minorEastAsia" w:hAnsiTheme="minorEastAsia" w:eastAsiaTheme="minorEastAsia" w:cstheme="minorEastAsia"/>
          <w:color w:val="auto"/>
          <w:spacing w:val="-15"/>
          <w:sz w:val="24"/>
          <w:szCs w:val="24"/>
          <w:highlight w:val="none"/>
          <w:lang w:val="en-US" w:eastAsia="zh-CN"/>
        </w:rPr>
        <w:t>黄老师</w:t>
      </w:r>
    </w:p>
    <w:p w14:paraId="6CC9970D">
      <w:pPr>
        <w:pStyle w:val="6"/>
        <w:kinsoku/>
        <w:wordWrap w:val="0"/>
        <w:spacing w:line="360" w:lineRule="auto"/>
        <w:jc w:val="both"/>
        <w:rPr>
          <w:rFonts w:hint="default" w:asciiTheme="minorEastAsia" w:hAnsiTheme="minorEastAsia" w:eastAsiaTheme="minorEastAsia" w:cstheme="minorEastAsia"/>
          <w:b/>
          <w:bCs/>
          <w:color w:val="auto"/>
          <w:spacing w:val="4"/>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lang w:eastAsia="zh-CN"/>
        </w:rPr>
        <w:t>联系方式：</w:t>
      </w:r>
      <w:r>
        <w:rPr>
          <w:rFonts w:hint="eastAsia" w:asciiTheme="minorEastAsia" w:hAnsiTheme="minorEastAsia" w:eastAsiaTheme="minorEastAsia" w:cstheme="minorEastAsia"/>
          <w:color w:val="auto"/>
          <w:spacing w:val="-15"/>
          <w:sz w:val="24"/>
          <w:szCs w:val="24"/>
          <w:highlight w:val="none"/>
          <w:lang w:val="en-US" w:eastAsia="zh-CN"/>
        </w:rPr>
        <w:t>0377-62071152</w:t>
      </w:r>
    </w:p>
    <w:p w14:paraId="0CB4AD8F">
      <w:pPr>
        <w:pStyle w:val="6"/>
        <w:kinsoku/>
        <w:wordWrap w:val="0"/>
        <w:spacing w:line="360" w:lineRule="auto"/>
        <w:jc w:val="both"/>
        <w:outlineLvl w:val="1"/>
        <w:rPr>
          <w:rFonts w:hint="eastAsia" w:asciiTheme="minorEastAsia" w:hAnsiTheme="minorEastAsia" w:eastAsiaTheme="minorEastAsia" w:cstheme="minorEastAsia"/>
          <w:color w:val="auto"/>
          <w:spacing w:val="4"/>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4"/>
          <w:sz w:val="24"/>
          <w:szCs w:val="24"/>
          <w:highlight w:val="none"/>
          <w:lang w:eastAsia="zh-CN"/>
          <w14:textOutline w14:w="1536" w14:cap="flat" w14:cmpd="sng" w14:algn="ctr">
            <w14:solidFill>
              <w14:srgbClr w14:val="000000"/>
            </w14:solidFill>
            <w14:prstDash w14:val="solid"/>
            <w14:miter w14:val="0"/>
          </w14:textOutline>
        </w:rPr>
        <w:t>2.采购代理机构信息</w:t>
      </w:r>
    </w:p>
    <w:p w14:paraId="0A7306B7">
      <w:pPr>
        <w:pStyle w:val="6"/>
        <w:kinsoku/>
        <w:wordWrap w:val="0"/>
        <w:spacing w:line="360" w:lineRule="auto"/>
        <w:jc w:val="both"/>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名称：南阳市公共资源交易中心</w:t>
      </w:r>
    </w:p>
    <w:p w14:paraId="79D5640F">
      <w:pPr>
        <w:pStyle w:val="6"/>
        <w:kinsoku/>
        <w:wordWrap w:val="0"/>
        <w:spacing w:line="360" w:lineRule="auto"/>
        <w:jc w:val="both"/>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地址：南阳市民服务中心中区3号楼5楼</w:t>
      </w:r>
    </w:p>
    <w:p w14:paraId="0A6C7B87">
      <w:pPr>
        <w:pStyle w:val="6"/>
        <w:kinsoku/>
        <w:wordWrap w:val="0"/>
        <w:spacing w:line="360" w:lineRule="auto"/>
        <w:jc w:val="both"/>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联系人：黄先生</w:t>
      </w:r>
    </w:p>
    <w:p w14:paraId="7ECBA90E">
      <w:pPr>
        <w:pStyle w:val="6"/>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联系方式：0377-61176178</w:t>
      </w:r>
    </w:p>
    <w:p w14:paraId="2C951E77">
      <w:pPr>
        <w:pStyle w:val="6"/>
        <w:kinsoku/>
        <w:wordWrap w:val="0"/>
        <w:spacing w:line="360" w:lineRule="auto"/>
        <w:jc w:val="both"/>
        <w:outlineLvl w:val="1"/>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14:textOutline w14:w="1536" w14:cap="flat" w14:cmpd="sng" w14:algn="ctr">
            <w14:solidFill>
              <w14:srgbClr w14:val="000000"/>
            </w14:solidFill>
            <w14:prstDash w14:val="solid"/>
            <w14:miter w14:val="0"/>
          </w14:textOutline>
        </w:rPr>
        <w:t>3.网址：</w:t>
      </w:r>
      <w:r>
        <w:rPr>
          <w:rFonts w:hint="eastAsia" w:asciiTheme="minorEastAsia" w:hAnsiTheme="minorEastAsia" w:eastAsiaTheme="minorEastAsia" w:cstheme="minorEastAsia"/>
          <w:color w:val="auto"/>
          <w:spacing w:val="-15"/>
          <w:sz w:val="24"/>
          <w:szCs w:val="24"/>
          <w:highlight w:val="none"/>
          <w:lang w:eastAsia="zh-CN"/>
        </w:rPr>
        <w:fldChar w:fldCharType="begin"/>
      </w:r>
      <w:r>
        <w:rPr>
          <w:rFonts w:hint="eastAsia" w:asciiTheme="minorEastAsia" w:hAnsiTheme="minorEastAsia" w:eastAsiaTheme="minorEastAsia" w:cstheme="minorEastAsia"/>
          <w:color w:val="auto"/>
          <w:spacing w:val="-15"/>
          <w:sz w:val="24"/>
          <w:szCs w:val="24"/>
          <w:highlight w:val="none"/>
          <w:lang w:eastAsia="zh-CN"/>
        </w:rPr>
        <w:instrText xml:space="preserve"> HYPERLINK "https://ggzyjy.nanyang.gov.cn" </w:instrText>
      </w:r>
      <w:r>
        <w:rPr>
          <w:rFonts w:hint="eastAsia" w:asciiTheme="minorEastAsia" w:hAnsiTheme="minorEastAsia" w:eastAsiaTheme="minorEastAsia" w:cstheme="minorEastAsia"/>
          <w:color w:val="auto"/>
          <w:spacing w:val="-15"/>
          <w:sz w:val="24"/>
          <w:szCs w:val="24"/>
          <w:highlight w:val="none"/>
          <w:lang w:eastAsia="zh-CN"/>
        </w:rPr>
        <w:fldChar w:fldCharType="separate"/>
      </w:r>
      <w:r>
        <w:rPr>
          <w:rStyle w:val="22"/>
          <w:rFonts w:hint="eastAsia" w:asciiTheme="minorEastAsia" w:hAnsiTheme="minorEastAsia" w:eastAsiaTheme="minorEastAsia" w:cstheme="minorEastAsia"/>
          <w:color w:val="auto"/>
          <w:spacing w:val="-15"/>
          <w:sz w:val="24"/>
          <w:szCs w:val="24"/>
          <w:highlight w:val="none"/>
          <w:lang w:eastAsia="zh-CN"/>
        </w:rPr>
        <w:t>https://ggzyjy.nanyang.gov.cn</w:t>
      </w:r>
      <w:r>
        <w:rPr>
          <w:rFonts w:hint="eastAsia" w:asciiTheme="minorEastAsia" w:hAnsiTheme="minorEastAsia" w:eastAsiaTheme="minorEastAsia" w:cstheme="minorEastAsia"/>
          <w:color w:val="auto"/>
          <w:spacing w:val="-15"/>
          <w:sz w:val="24"/>
          <w:szCs w:val="24"/>
          <w:highlight w:val="none"/>
          <w:lang w:eastAsia="zh-CN"/>
        </w:rPr>
        <w:fldChar w:fldCharType="end"/>
      </w:r>
      <w:r>
        <w:rPr>
          <w:rFonts w:hint="eastAsia" w:asciiTheme="minorEastAsia" w:hAnsiTheme="minorEastAsia" w:eastAsiaTheme="minorEastAsia" w:cstheme="minorEastAsia"/>
          <w:color w:val="auto"/>
          <w:spacing w:val="-15"/>
          <w:sz w:val="24"/>
          <w:szCs w:val="24"/>
          <w:highlight w:val="none"/>
          <w:lang w:eastAsia="zh-CN"/>
        </w:rPr>
        <w:t xml:space="preserve">   E-mail:nyszfcgzx@126.com</w:t>
      </w:r>
    </w:p>
    <w:p w14:paraId="0A9FB8AC">
      <w:pPr>
        <w:rPr>
          <w:rFonts w:hint="eastAsia" w:asciiTheme="minorEastAsia" w:hAnsiTheme="minorEastAsia" w:eastAsiaTheme="minorEastAsia" w:cstheme="minorEastAsia"/>
          <w:color w:val="auto"/>
          <w:spacing w:val="-15"/>
          <w:sz w:val="24"/>
          <w:szCs w:val="24"/>
          <w:highlight w:val="none"/>
          <w:lang w:eastAsia="zh-CN"/>
        </w:rPr>
      </w:pPr>
    </w:p>
    <w:p w14:paraId="27BFB6B6">
      <w:pPr>
        <w:rPr>
          <w:rFonts w:hint="eastAsia" w:asciiTheme="minorEastAsia" w:hAnsiTheme="minorEastAsia" w:eastAsiaTheme="minorEastAsia" w:cstheme="minorEastAsia"/>
          <w:color w:val="auto"/>
          <w:spacing w:val="-15"/>
          <w:sz w:val="24"/>
          <w:szCs w:val="24"/>
          <w:highlight w:val="none"/>
          <w:lang w:eastAsia="zh-CN"/>
        </w:rPr>
      </w:pPr>
    </w:p>
    <w:p w14:paraId="6FBE766C">
      <w:pPr>
        <w:pStyle w:val="6"/>
        <w:kinsoku/>
        <w:wordWrap w:val="0"/>
        <w:spacing w:line="360" w:lineRule="auto"/>
        <w:ind w:firstLine="4830" w:firstLineChars="2300"/>
        <w:jc w:val="both"/>
        <w:outlineLvl w:val="1"/>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5"/>
          <w:sz w:val="24"/>
          <w:szCs w:val="24"/>
          <w:highlight w:val="none"/>
          <w:lang w:eastAsia="zh-CN"/>
        </w:rPr>
        <w:t>南阳市公共资源交易中心</w:t>
      </w:r>
    </w:p>
    <w:p w14:paraId="78D1FA1A">
      <w:pPr>
        <w:pStyle w:val="6"/>
        <w:kinsoku/>
        <w:wordWrap w:val="0"/>
        <w:spacing w:line="360" w:lineRule="auto"/>
        <w:ind w:firstLine="5136" w:firstLineChars="2400"/>
        <w:jc w:val="both"/>
        <w:outlineLvl w:val="1"/>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u w:val="single"/>
          <w:lang w:eastAsia="zh-CN"/>
        </w:rPr>
        <w:t xml:space="preserve"> 2026 </w:t>
      </w:r>
      <w:r>
        <w:rPr>
          <w:rFonts w:hint="eastAsia" w:asciiTheme="minorEastAsia" w:hAnsiTheme="minorEastAsia" w:eastAsiaTheme="minorEastAsia" w:cstheme="minorEastAsia"/>
          <w:color w:val="auto"/>
          <w:spacing w:val="-13"/>
          <w:sz w:val="24"/>
          <w:szCs w:val="24"/>
          <w:highlight w:val="none"/>
          <w:lang w:eastAsia="zh-CN"/>
        </w:rPr>
        <w:t>年</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11</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lang w:eastAsia="zh-CN"/>
        </w:rPr>
        <w:t>月</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u w:val="single"/>
          <w:lang w:val="en-US" w:eastAsia="zh-CN"/>
        </w:rPr>
        <w:t>4</w:t>
      </w:r>
      <w:r>
        <w:rPr>
          <w:rFonts w:hint="eastAsia" w:asciiTheme="minorEastAsia" w:hAnsiTheme="minorEastAsia" w:eastAsiaTheme="minorEastAsia" w:cstheme="minorEastAsia"/>
          <w:color w:val="auto"/>
          <w:spacing w:val="-13"/>
          <w:sz w:val="24"/>
          <w:szCs w:val="24"/>
          <w:highlight w:val="none"/>
          <w:u w:val="single"/>
          <w:lang w:eastAsia="zh-CN"/>
        </w:rPr>
        <w:t xml:space="preserve"> </w:t>
      </w:r>
      <w:r>
        <w:rPr>
          <w:rFonts w:hint="eastAsia" w:asciiTheme="minorEastAsia" w:hAnsiTheme="minorEastAsia" w:eastAsiaTheme="minorEastAsia" w:cstheme="minorEastAsia"/>
          <w:color w:val="auto"/>
          <w:spacing w:val="-13"/>
          <w:sz w:val="24"/>
          <w:szCs w:val="24"/>
          <w:highlight w:val="none"/>
          <w:lang w:eastAsia="zh-CN"/>
        </w:rPr>
        <w:t>日</w:t>
      </w:r>
    </w:p>
    <w:p w14:paraId="2A74B4CD">
      <w:pP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br w:type="page"/>
      </w:r>
    </w:p>
    <w:p w14:paraId="5A48F1F7">
      <w:pPr>
        <w:pStyle w:val="6"/>
        <w:kinsoku/>
        <w:wordWrap w:val="0"/>
        <w:spacing w:line="360" w:lineRule="auto"/>
        <w:jc w:val="center"/>
        <w:rPr>
          <w:rFonts w:hint="eastAsia" w:asciiTheme="minorEastAsia" w:hAnsiTheme="minorEastAsia" w:eastAsiaTheme="minorEastAsia" w:cstheme="minorEastAsia"/>
          <w:color w:val="auto"/>
          <w:spacing w:val="-15"/>
          <w:sz w:val="24"/>
          <w:szCs w:val="24"/>
          <w:highlight w:val="none"/>
          <w:lang w:eastAsia="zh-CN"/>
        </w:rPr>
      </w:pPr>
      <w: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t>第二章 采购需求</w:t>
      </w:r>
    </w:p>
    <w:p w14:paraId="3B77743C">
      <w:pPr>
        <w:pStyle w:val="6"/>
        <w:kinsoku/>
        <w:wordWrap w:val="0"/>
        <w:spacing w:line="360" w:lineRule="auto"/>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说明：</w:t>
      </w:r>
    </w:p>
    <w:p w14:paraId="70B30406">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当采购项目涉及货物时，供应商应按照《国务院办公厅关于在政府采购中实施本国产品标准及相关政策的通知》（国办发〔2025〕34 号）的要求，对其提供的产品出具《关于符合本国产品标准的声明函》（后附）或财政部会同有关部门规定的有关证明文件。</w:t>
      </w:r>
    </w:p>
    <w:p w14:paraId="1EAE5F68">
      <w:pPr>
        <w:kinsoku/>
        <w:wordWrap w:val="0"/>
        <w:spacing w:line="360" w:lineRule="auto"/>
        <w:ind w:firstLine="420" w:firstLineChars="200"/>
        <w:jc w:val="both"/>
        <w:rPr>
          <w:rFonts w:hint="eastAsia" w:asciiTheme="minorEastAsia" w:hAnsiTheme="minorEastAsia" w:eastAsiaTheme="minorEastAsia" w:cstheme="minorEastAsia"/>
          <w:color w:val="auto"/>
          <w:highlight w:val="none"/>
          <w:lang w:eastAsia="zh-CN"/>
        </w:rPr>
      </w:pPr>
    </w:p>
    <w:p w14:paraId="228ECAC3">
      <w:pPr>
        <w:pStyle w:val="6"/>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t>一、采购内容及要求</w:t>
      </w:r>
    </w:p>
    <w:p w14:paraId="5B05543C">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（一）项目概况</w:t>
      </w:r>
    </w:p>
    <w:p w14:paraId="767D60E1">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为落实职业教育提质培优、实训条件达标建设要求，进一步完善本校机电技术应用、电气设备运行与控制、机械加工技术等专业实践教学条件，提升学生实操技能水平，学校拟实施电气控制系统综合实践平台实训室、机械产品检验实训平台实训室设备采购项目。</w:t>
      </w:r>
    </w:p>
    <w:p w14:paraId="42FA84D6">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在学校现有实训场地基础上，购置电气控制系统综合实践平台、机械产品检验实训平台及配套教学软件、实训工件、附件耗材等；建成后实训室可开展电气控制、PLC 编程、变频调试、故障检修、机械零部件尺寸检测、形位公差测量、产品质量检验等理实一体化实训教学项目，满足日常课程教学、技能训练，后期可承办国家、河南省、南阳市关于实训基地建设、技能竞赛提升、职业证书考核的支持方向，对接制造业岗位技能要求，提升专业人才培养质量。</w:t>
      </w:r>
    </w:p>
    <w:p w14:paraId="7F219FF5">
      <w:pPr>
        <w:pStyle w:val="6"/>
        <w:kinsoku/>
        <w:wordWrap w:val="0"/>
        <w:spacing w:line="360" w:lineRule="auto"/>
        <w:ind w:firstLine="478"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（三）技术要求</w:t>
      </w:r>
    </w:p>
    <w:tbl>
      <w:tblPr>
        <w:tblStyle w:val="19"/>
        <w:tblW w:w="852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1"/>
        <w:gridCol w:w="1766"/>
        <w:gridCol w:w="1440"/>
        <w:gridCol w:w="3882"/>
        <w:gridCol w:w="442"/>
        <w:gridCol w:w="442"/>
      </w:tblGrid>
      <w:tr w14:paraId="08222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trPr>
        <w:tc>
          <w:tcPr>
            <w:tcW w:w="0" w:type="auto"/>
            <w:vAlign w:val="center"/>
          </w:tcPr>
          <w:p w14:paraId="4802720A">
            <w:pPr>
              <w:keepNext/>
              <w:jc w:val="center"/>
              <w:rPr>
                <w:rFonts w:hint="eastAsia" w:cs="宋体" w:asciiTheme="majorEastAsia" w:hAnsiTheme="majorEastAsia" w:eastAsiaTheme="majorEastAsia"/>
                <w:b/>
                <w:color w:val="auto"/>
                <w:highlight w:val="none"/>
              </w:rPr>
            </w:pPr>
            <w:r>
              <w:rPr>
                <w:rFonts w:hint="eastAsia" w:cs="宋体" w:asciiTheme="majorEastAsia" w:hAnsiTheme="majorEastAsia" w:eastAsiaTheme="majorEastAsia"/>
                <w:b/>
                <w:color w:val="auto"/>
                <w:highlight w:val="none"/>
                <w:lang w:bidi="ar"/>
              </w:rPr>
              <w:t>序号</w:t>
            </w:r>
          </w:p>
        </w:tc>
        <w:tc>
          <w:tcPr>
            <w:tcW w:w="1766" w:type="dxa"/>
            <w:vAlign w:val="center"/>
          </w:tcPr>
          <w:p w14:paraId="20DDC32D">
            <w:pPr>
              <w:keepNext/>
              <w:jc w:val="center"/>
              <w:rPr>
                <w:rFonts w:hint="eastAsia" w:cs="宋体" w:asciiTheme="majorEastAsia" w:hAnsiTheme="majorEastAsia" w:eastAsiaTheme="majorEastAsia"/>
                <w:b/>
                <w:color w:val="auto"/>
                <w:highlight w:val="none"/>
                <w:lang w:bidi="ar"/>
              </w:rPr>
            </w:pPr>
            <w:r>
              <w:rPr>
                <w:rFonts w:hint="eastAsia" w:cs="宋体" w:asciiTheme="majorEastAsia" w:hAnsiTheme="majorEastAsia" w:eastAsiaTheme="majorEastAsia"/>
                <w:b/>
                <w:color w:val="auto"/>
                <w:highlight w:val="none"/>
                <w:lang w:bidi="ar"/>
              </w:rPr>
              <w:t>设备名称</w:t>
            </w:r>
          </w:p>
        </w:tc>
        <w:tc>
          <w:tcPr>
            <w:tcW w:w="1440" w:type="dxa"/>
            <w:vAlign w:val="center"/>
          </w:tcPr>
          <w:p w14:paraId="76954B25">
            <w:pPr>
              <w:keepNext/>
              <w:jc w:val="center"/>
              <w:rPr>
                <w:rFonts w:hint="eastAsia" w:cs="宋体" w:asciiTheme="majorEastAsia" w:hAnsiTheme="majorEastAsia" w:eastAsiaTheme="majorEastAsia"/>
                <w:b/>
                <w:color w:val="auto"/>
                <w:highlight w:val="none"/>
              </w:rPr>
            </w:pPr>
            <w:r>
              <w:rPr>
                <w:rFonts w:hint="eastAsia" w:cs="宋体" w:asciiTheme="majorEastAsia" w:hAnsiTheme="majorEastAsia" w:eastAsiaTheme="majorEastAsia"/>
                <w:b/>
                <w:color w:val="auto"/>
                <w:highlight w:val="none"/>
                <w:lang w:bidi="ar"/>
              </w:rPr>
              <w:t>商品名称</w:t>
            </w:r>
          </w:p>
        </w:tc>
        <w:tc>
          <w:tcPr>
            <w:tcW w:w="3882" w:type="dxa"/>
            <w:vAlign w:val="center"/>
          </w:tcPr>
          <w:p w14:paraId="5870B450">
            <w:pPr>
              <w:keepNext/>
              <w:jc w:val="center"/>
              <w:rPr>
                <w:rFonts w:hint="eastAsia" w:cs="宋体" w:asciiTheme="majorEastAsia" w:hAnsiTheme="majorEastAsia" w:eastAsiaTheme="majorEastAsia"/>
                <w:b/>
                <w:color w:val="auto"/>
                <w:highlight w:val="none"/>
              </w:rPr>
            </w:pPr>
            <w:r>
              <w:rPr>
                <w:rFonts w:hint="eastAsia" w:cs="宋体" w:asciiTheme="majorEastAsia" w:hAnsiTheme="majorEastAsia" w:eastAsiaTheme="majorEastAsia"/>
                <w:b/>
                <w:color w:val="auto"/>
                <w:highlight w:val="none"/>
                <w:lang w:bidi="ar"/>
              </w:rPr>
              <w:t>技术规格</w:t>
            </w:r>
          </w:p>
        </w:tc>
        <w:tc>
          <w:tcPr>
            <w:tcW w:w="0" w:type="auto"/>
            <w:vAlign w:val="center"/>
          </w:tcPr>
          <w:p w14:paraId="76C25439">
            <w:pPr>
              <w:keepNext/>
              <w:jc w:val="center"/>
              <w:rPr>
                <w:rFonts w:hint="eastAsia" w:cs="宋体" w:asciiTheme="majorEastAsia" w:hAnsiTheme="majorEastAsia" w:eastAsiaTheme="majorEastAsia"/>
                <w:b/>
                <w:color w:val="auto"/>
                <w:highlight w:val="none"/>
                <w:lang w:bidi="ar"/>
              </w:rPr>
            </w:pPr>
            <w:r>
              <w:rPr>
                <w:rFonts w:hint="eastAsia" w:cs="宋体" w:asciiTheme="majorEastAsia" w:hAnsiTheme="majorEastAsia" w:eastAsiaTheme="majorEastAsia"/>
                <w:b/>
                <w:color w:val="auto"/>
                <w:highlight w:val="none"/>
                <w:lang w:bidi="ar"/>
              </w:rPr>
              <w:t>单位</w:t>
            </w:r>
          </w:p>
        </w:tc>
        <w:tc>
          <w:tcPr>
            <w:tcW w:w="442" w:type="dxa"/>
            <w:vAlign w:val="center"/>
          </w:tcPr>
          <w:p w14:paraId="182615E1">
            <w:pPr>
              <w:keepNext/>
              <w:jc w:val="center"/>
              <w:rPr>
                <w:rFonts w:hint="eastAsia" w:cs="宋体" w:asciiTheme="majorEastAsia" w:hAnsiTheme="majorEastAsia" w:eastAsiaTheme="majorEastAsia"/>
                <w:b/>
                <w:color w:val="auto"/>
                <w:highlight w:val="none"/>
                <w:lang w:bidi="ar"/>
              </w:rPr>
            </w:pPr>
            <w:r>
              <w:rPr>
                <w:rFonts w:hint="eastAsia" w:cs="宋体" w:asciiTheme="majorEastAsia" w:hAnsiTheme="majorEastAsia" w:eastAsiaTheme="majorEastAsia"/>
                <w:b/>
                <w:color w:val="auto"/>
                <w:highlight w:val="none"/>
                <w:lang w:bidi="ar"/>
              </w:rPr>
              <w:t>数量</w:t>
            </w:r>
          </w:p>
        </w:tc>
      </w:tr>
      <w:tr w14:paraId="0B65E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restart"/>
            <w:vAlign w:val="center"/>
          </w:tcPr>
          <w:p w14:paraId="2123BEA6">
            <w:pPr>
              <w:keepNext/>
              <w:kinsoku/>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1</w:t>
            </w:r>
          </w:p>
        </w:tc>
        <w:tc>
          <w:tcPr>
            <w:tcW w:w="1766" w:type="dxa"/>
            <w:vMerge w:val="restart"/>
            <w:vAlign w:val="center"/>
          </w:tcPr>
          <w:p w14:paraId="7355B101">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电气控制系统综合实践平台（教师机）</w:t>
            </w:r>
          </w:p>
        </w:tc>
        <w:tc>
          <w:tcPr>
            <w:tcW w:w="1440" w:type="dxa"/>
            <w:vAlign w:val="center"/>
          </w:tcPr>
          <w:p w14:paraId="3974773D">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实训台</w:t>
            </w:r>
          </w:p>
        </w:tc>
        <w:tc>
          <w:tcPr>
            <w:tcW w:w="3882" w:type="dxa"/>
            <w:vAlign w:val="center"/>
          </w:tcPr>
          <w:p w14:paraId="440F2D03">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1、交流电源：三相五线 AC 380 V±10% 50Hz；</w:t>
            </w:r>
          </w:p>
          <w:p w14:paraId="153E9B5E">
            <w:pPr>
              <w:keepNext/>
              <w:kinsoku/>
              <w:rPr>
                <w:rFonts w:hint="eastAsia" w:asciiTheme="majorEastAsia" w:hAnsiTheme="majorEastAsia" w:eastAsiaTheme="majorEastAsia"/>
                <w:color w:val="auto"/>
                <w:highlight w:val="none"/>
                <w:lang w:eastAsia="zh-CN"/>
              </w:rPr>
            </w:pPr>
            <w:r>
              <w:rPr>
                <w:rFonts w:asciiTheme="majorEastAsia" w:hAnsiTheme="majorEastAsia" w:eastAsiaTheme="majorEastAsia"/>
                <w:color w:val="auto"/>
                <w:highlight w:val="none"/>
                <w:lang w:eastAsia="zh-CN"/>
              </w:rPr>
              <w:t>2</w:t>
            </w:r>
            <w:r>
              <w:rPr>
                <w:rFonts w:hint="eastAsia" w:asciiTheme="majorEastAsia" w:hAnsiTheme="majorEastAsia" w:eastAsiaTheme="majorEastAsia"/>
                <w:color w:val="auto"/>
                <w:highlight w:val="none"/>
                <w:lang w:eastAsia="zh-CN"/>
              </w:rPr>
              <w:t>、外形尺寸：长×宽×高≥1400mm×860mm×1010mm；</w:t>
            </w:r>
          </w:p>
          <w:p w14:paraId="1DDB1F5F">
            <w:pPr>
              <w:keepNext/>
              <w:kinsoku/>
              <w:rPr>
                <w:rFonts w:hint="eastAsia" w:asciiTheme="majorEastAsia" w:hAnsiTheme="majorEastAsia" w:eastAsiaTheme="majorEastAsia"/>
                <w:color w:val="auto"/>
                <w:highlight w:val="none"/>
              </w:rPr>
            </w:pPr>
            <w:r>
              <w:rPr>
                <w:rFonts w:asciiTheme="majorEastAsia" w:hAnsiTheme="majorEastAsia" w:eastAsiaTheme="majorEastAsia"/>
                <w:color w:val="auto"/>
                <w:highlight w:val="none"/>
              </w:rPr>
              <w:t>3</w:t>
            </w:r>
            <w:r>
              <w:rPr>
                <w:rFonts w:hint="eastAsia" w:asciiTheme="majorEastAsia" w:hAnsiTheme="majorEastAsia" w:eastAsiaTheme="majorEastAsia"/>
                <w:color w:val="auto"/>
                <w:highlight w:val="none"/>
              </w:rPr>
              <w:t>、整机功耗：≤1 kVA；</w:t>
            </w:r>
          </w:p>
        </w:tc>
        <w:tc>
          <w:tcPr>
            <w:tcW w:w="0" w:type="auto"/>
            <w:vAlign w:val="center"/>
          </w:tcPr>
          <w:p w14:paraId="7A4F3827">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C2A3CA8">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25FD3B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5FAA6067">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2641309A">
            <w:pPr>
              <w:keepNext/>
              <w:kinsoku/>
              <w:rPr>
                <w:rFonts w:hint="eastAsia" w:cs="宋体" w:asciiTheme="majorEastAsia" w:hAnsiTheme="majorEastAsia" w:eastAsiaTheme="majorEastAsia"/>
                <w:color w:val="auto"/>
                <w:highlight w:val="none"/>
              </w:rPr>
            </w:pPr>
          </w:p>
        </w:tc>
        <w:tc>
          <w:tcPr>
            <w:tcW w:w="1440" w:type="dxa"/>
            <w:vAlign w:val="center"/>
          </w:tcPr>
          <w:p w14:paraId="2DF24DFA">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智能电源控制系统</w:t>
            </w:r>
          </w:p>
        </w:tc>
        <w:tc>
          <w:tcPr>
            <w:tcW w:w="3882" w:type="dxa"/>
            <w:vAlign w:val="center"/>
          </w:tcPr>
          <w:p w14:paraId="43A634FB">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刷卡取电、智能管理、急停控制；模块为整个装置所需用电模块提供电源和由上位系统电源管理控制。包含设备总电源开关、电源供电指示、电源输出安全插座、三相电源输出插座、单相电源输出插座、RFID电源管理模块等构成；具体功能：刷卡取电、智能管理：电源管理可以接收上位发过送过来的开、关指令接管理，同时反馈电源的工作信息。也可以配置权限管理，使用者配有IC卡，在RFID刷卡区经注册授权的IC卡（即管理员）卡可以实现在刷卡成功认证身份后可以对装置的总电源进行控制。急停控制：设备配有急停按钮，可在紧急情况下完成电路切断，对设备及其人身安全的保护。</w:t>
            </w:r>
          </w:p>
        </w:tc>
        <w:tc>
          <w:tcPr>
            <w:tcW w:w="0" w:type="auto"/>
            <w:vAlign w:val="center"/>
          </w:tcPr>
          <w:p w14:paraId="5A4B4DC2">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15F2FDBF">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4900A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EF13ED3">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0804204A">
            <w:pPr>
              <w:keepNext/>
              <w:kinsoku/>
              <w:rPr>
                <w:rFonts w:hint="eastAsia" w:cs="宋体" w:asciiTheme="majorEastAsia" w:hAnsiTheme="majorEastAsia" w:eastAsiaTheme="majorEastAsia"/>
                <w:color w:val="auto"/>
                <w:highlight w:val="none"/>
              </w:rPr>
            </w:pPr>
          </w:p>
        </w:tc>
        <w:tc>
          <w:tcPr>
            <w:tcW w:w="1440" w:type="dxa"/>
            <w:vAlign w:val="center"/>
          </w:tcPr>
          <w:p w14:paraId="21575F45">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电气考核系统</w:t>
            </w:r>
          </w:p>
        </w:tc>
        <w:tc>
          <w:tcPr>
            <w:tcW w:w="3882" w:type="dxa"/>
            <w:vAlign w:val="center"/>
          </w:tcPr>
          <w:p w14:paraId="2FEEB03C">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多种实训电路、多角度调节机构、自由刹车系统、智能接线检测；模块为装置电气考核模块，用于学生电气接线实训和考核。</w:t>
            </w:r>
            <w:r>
              <w:rPr>
                <w:rFonts w:hint="eastAsia" w:asciiTheme="majorEastAsia" w:hAnsiTheme="majorEastAsia" w:eastAsiaTheme="majorEastAsia"/>
                <w:color w:val="auto"/>
                <w:highlight w:val="none"/>
                <w:shd w:val="clear"/>
                <w:lang w:eastAsia="zh-CN"/>
              </w:rPr>
              <w:t>采用 1214C AC/DC RLYPLC主机、变频器G120C  PN</w:t>
            </w:r>
            <w:r>
              <w:rPr>
                <w:rFonts w:hint="eastAsia" w:asciiTheme="majorEastAsia" w:hAnsiTheme="majorEastAsia" w:eastAsiaTheme="majorEastAsia"/>
                <w:color w:val="auto"/>
                <w:highlight w:val="none"/>
                <w:lang w:eastAsia="zh-CN"/>
              </w:rPr>
              <w:t>、国内常用的电器元件（漏电开关1只：3P+N；空气开关1只：4P；熔断器1只： 2P；熔断器1只： 3P；交流接触器5只： 220V；辅助触头3只；时间继电器2只: 220V；热继电器2只；热继电器座2只；按钮开关盒2只：3位；按钮（不带灯）3只：黄、绿、红；指示灯3只:黄、绿、红；双用接线端18只；行程开关2只；三相鼠笼式异步电动机2套）、通用安装板、角度调试机构等构成，具体功能：多种实训电路：可选配不同器件进行组合成多种类型的实训电路，完成不同实训内容。多角度调节：角度调试机构根据人体工程学设计，通用安装板可在0-90度调节安装角度，学生可以根据身高和操作习惯进行角度调节，符合人机工程需求。自由刹车系统：操作过程只需要轻轻按压考核板左侧的调节把手即可控制考核板的升降，可在0-90度内任意停靠。智能接线检测：学生选取不同器件完成不同实训电路的接线，接线完成后，可将接线信息反馈给软件平台，完成接线情况的检测。</w:t>
            </w:r>
          </w:p>
        </w:tc>
        <w:tc>
          <w:tcPr>
            <w:tcW w:w="0" w:type="auto"/>
            <w:vAlign w:val="center"/>
          </w:tcPr>
          <w:p w14:paraId="72EBC34A">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59AFD163">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433C4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38CE4E06">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5D94145E">
            <w:pPr>
              <w:keepNext/>
              <w:kinsoku/>
              <w:rPr>
                <w:rFonts w:hint="eastAsia" w:cs="宋体" w:asciiTheme="majorEastAsia" w:hAnsiTheme="majorEastAsia" w:eastAsiaTheme="majorEastAsia"/>
                <w:color w:val="auto"/>
                <w:highlight w:val="none"/>
              </w:rPr>
            </w:pPr>
          </w:p>
        </w:tc>
        <w:tc>
          <w:tcPr>
            <w:tcW w:w="1440" w:type="dxa"/>
            <w:vAlign w:val="center"/>
          </w:tcPr>
          <w:p w14:paraId="14DE5256">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电气实训系统</w:t>
            </w:r>
          </w:p>
        </w:tc>
        <w:tc>
          <w:tcPr>
            <w:tcW w:w="3882" w:type="dxa"/>
            <w:vAlign w:val="center"/>
          </w:tcPr>
          <w:p w14:paraId="30096E35">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自由搭建多种实训电路、多角度调节、安装便捷；为开放式网孔板，用于电气安装接线实训，包含通用网孔板、角度调试机构、电气器件等构成。可以让学生更好的掌握电气的设计、安装、调试与优化等技能，具体功能：安装便捷:模块采用网孔板式结构。多角度调节:角度调试机构根据人体工程学设计，通用安装板可在0-90度8档位每档11度的调节安装角度，学生可以根据身高和操作习惯进行角度调节，符合人机工程需求。自由搭建多种实训电路:学生可以根据不同类型的电路选择所需器件在该模块上进行日常的器件安装与电气回路的接线</w:t>
            </w:r>
          </w:p>
        </w:tc>
        <w:tc>
          <w:tcPr>
            <w:tcW w:w="0" w:type="auto"/>
            <w:vAlign w:val="center"/>
          </w:tcPr>
          <w:p w14:paraId="74D5AD3C">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463C9A9">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4E55B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A009B34">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044F1467">
            <w:pPr>
              <w:keepNext/>
              <w:kinsoku/>
              <w:rPr>
                <w:rFonts w:hint="eastAsia" w:cs="宋体" w:asciiTheme="majorEastAsia" w:hAnsiTheme="majorEastAsia" w:eastAsiaTheme="majorEastAsia"/>
                <w:color w:val="auto"/>
                <w:highlight w:val="none"/>
              </w:rPr>
            </w:pPr>
          </w:p>
        </w:tc>
        <w:tc>
          <w:tcPr>
            <w:tcW w:w="1440" w:type="dxa"/>
            <w:vAlign w:val="center"/>
          </w:tcPr>
          <w:p w14:paraId="68CE664B">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电气接线智能检测系统</w:t>
            </w:r>
          </w:p>
        </w:tc>
        <w:tc>
          <w:tcPr>
            <w:tcW w:w="3882" w:type="dxa"/>
            <w:vAlign w:val="center"/>
          </w:tcPr>
          <w:p w14:paraId="513731E6">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智能检测及错误诊断、接线信息可视化显示、供电保护该模块为装置的电气检测软件平台，主要由检测模式和正常模式组成。其功能特点：智能检测及错误诊断：自动判断选手接线情况，可实现对选手接线的接线次数、接线数量、接对数量进行统计，指示学生接线有无错误。接线信息可视化显示：当判断三次后，将选手接线情况进行可视化显示，错误接线部分标为红色，指出接线错误点，无错误时不标注红色。供电保护功能：软件根据界限结果进行电路保护，当选手接线错误后，设备考核供电不提供供电输出，当判断学生接线正确时输出，实现了设备器件的保护。</w:t>
            </w:r>
          </w:p>
        </w:tc>
        <w:tc>
          <w:tcPr>
            <w:tcW w:w="0" w:type="auto"/>
            <w:vAlign w:val="center"/>
          </w:tcPr>
          <w:p w14:paraId="4D82188C">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12F4A474">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4A9E2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49754BC2">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33E82360">
            <w:pPr>
              <w:keepNext/>
              <w:kinsoku/>
              <w:rPr>
                <w:rFonts w:hint="eastAsia" w:cs="宋体" w:asciiTheme="majorEastAsia" w:hAnsiTheme="majorEastAsia" w:eastAsiaTheme="majorEastAsia"/>
                <w:color w:val="auto"/>
                <w:highlight w:val="none"/>
              </w:rPr>
            </w:pPr>
          </w:p>
        </w:tc>
        <w:tc>
          <w:tcPr>
            <w:tcW w:w="1440" w:type="dxa"/>
            <w:vAlign w:val="center"/>
          </w:tcPr>
          <w:p w14:paraId="6BA1E1CE">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电气控制系统AI评价实践系统</w:t>
            </w:r>
          </w:p>
        </w:tc>
        <w:tc>
          <w:tcPr>
            <w:tcW w:w="3882" w:type="dxa"/>
            <w:vAlign w:val="center"/>
          </w:tcPr>
          <w:p w14:paraId="3C608410">
            <w:pPr>
              <w:keepNext/>
              <w:kinsoku/>
              <w:rPr>
                <w:rFonts w:hint="eastAsia" w:asciiTheme="majorEastAsia" w:hAnsiTheme="majorEastAsia" w:eastAsiaTheme="majorEastAsia"/>
                <w:color w:val="auto"/>
                <w:highlight w:val="none"/>
                <w:lang w:eastAsia="zh-CN"/>
              </w:rPr>
            </w:pPr>
            <w:r>
              <w:rPr>
                <w:rFonts w:asciiTheme="majorEastAsia" w:hAnsiTheme="majorEastAsia" w:eastAsiaTheme="majorEastAsia"/>
                <w:color w:val="auto"/>
                <w:highlight w:val="none"/>
                <w:lang w:eastAsia="zh-CN"/>
              </w:rPr>
              <w:t>1、</w:t>
            </w:r>
            <w:r>
              <w:rPr>
                <w:rFonts w:hint="eastAsia" w:asciiTheme="majorEastAsia" w:hAnsiTheme="majorEastAsia" w:eastAsiaTheme="majorEastAsia"/>
                <w:color w:val="auto"/>
                <w:highlight w:val="none"/>
                <w:lang w:eastAsia="zh-CN"/>
              </w:rPr>
              <w:t>要求电气控制系统AI评价实践平台是通过构建虚拟实训环境，利用AI视觉、动作捕捉等技术实现技能操作的精准评估，并借助AI算法将企业真实生产数据转化为教学资源。要求该装备既能解决高危高成本实训难题，又能通过个性化训练路径和标准化考核体系。</w:t>
            </w:r>
          </w:p>
          <w:p w14:paraId="5DB726C3">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功能：电气控制系统AI评价实践平台应由人脸识别系统、AI视频事件侦测与记录系统、信息交互显示屏、电气考核模块、电气接线智能检测系统、PLC程序智能检测软件等组成，各模块之间相互配合，完成对工业控制系统基础实训电路的训练测试、自动接线检测、成绩归档等内容，满足机电、电气专业电气实训考核的要求。</w:t>
            </w:r>
          </w:p>
          <w:p w14:paraId="5656F595">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3、人脸识别系统管理模块：</w:t>
            </w:r>
          </w:p>
          <w:p w14:paraId="611840CD">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（1）身份认证系统：平台系统要求集成AI 3D人脸建模与动态特征分析技术，实现毫秒级非接触式身份验证。用户通过高精度生物特征识别完成系统登录，并与用户信息及考核成绩绑定。</w:t>
            </w:r>
          </w:p>
          <w:p w14:paraId="7A7AD2FC">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（2）多维度属性分析：群体特征识别：应支持3-5人同框实时检测。环境适应能力：应具备逆光补偿、低照度增强功能。</w:t>
            </w:r>
          </w:p>
          <w:p w14:paraId="54FCF792">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3）双重识别模式：1:1核验机制：应具备安全防护，完成用户身份与预存信息的精准匹配，适用于高安全等级登录场景；1:N快速检索：应基于深度学习的特征值比对算法，满足公共安防实时布控需求（安全防护）多模态活体检测。要求设备搭载人脸识别登录功能。当用户需要登录设备时，将面部置于摄像头可视范围内，设备便会自动启动识别程序。要求高清摄像头快速采集人脸图像，运用专业的人脸检测算法精准定位五官关键点，同时提取具有唯一性的面部特征，与设备内预存的人脸模板进行毫秒级比对。该功能应采用红外补光摄像头与 3D 结构光技术，即使复杂光照环境下，也能清晰捕捉人脸信息。设备应集成活体检测技术，应具备人脸微表情、瞳孔动态，精准区分真人与虚假图像功能。同时，设备要对采集的人脸数据进行 AES - 256 加密处理，存储于安全芯片中。</w:t>
            </w:r>
          </w:p>
          <w:p w14:paraId="07B276C8">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4、AI视频事件侦测与记录系统：要求操作过程实时捕捉、操作动作实时分析、安全状态实时统计、专属模型定制。</w:t>
            </w:r>
          </w:p>
          <w:p w14:paraId="648388DB">
            <w:pPr>
              <w:keepNext/>
              <w:kinsoku/>
              <w:rPr>
                <w:rFonts w:hint="eastAsia" w:asciiTheme="majorEastAsia" w:hAnsiTheme="majorEastAsia" w:eastAsiaTheme="majorEastAsia"/>
                <w:color w:val="auto"/>
                <w:highlight w:val="none"/>
                <w:lang w:eastAsia="zh-CN"/>
              </w:rPr>
            </w:pPr>
            <w:r>
              <w:rPr>
                <w:rFonts w:asciiTheme="majorEastAsia" w:hAnsiTheme="majorEastAsia" w:eastAsiaTheme="majorEastAsia"/>
                <w:color w:val="auto"/>
                <w:highlight w:val="none"/>
                <w:lang w:eastAsia="zh-CN"/>
              </w:rPr>
              <w:t>5、</w:t>
            </w:r>
            <w:r>
              <w:rPr>
                <w:rFonts w:hint="eastAsia" w:asciiTheme="majorEastAsia" w:hAnsiTheme="majorEastAsia" w:eastAsiaTheme="majorEastAsia"/>
                <w:color w:val="auto"/>
                <w:highlight w:val="none"/>
                <w:lang w:eastAsia="zh-CN"/>
              </w:rPr>
              <w:t>电气考核模块：多种实训电路、智能接线检测：该模块应为装置电气考核模块，用于学生电气接线实训和考核。考核模块应采用可编程器主机、变频器、电器元件（空气开关、熔断器、交流接触器、时间继电器、热继电器、按钮、指示灯、接线端子等）、通用安装板等构成，具体功能要求：多种实训电路：可选配不同器件进行组合成多种类型的实训电路，完成不同实训内容。智能接线检测：学生选取不同器件完成不同实训电路的接线，接线完成后，可将接线信息反馈给软件平台，完成接线情况的检测。</w:t>
            </w:r>
          </w:p>
        </w:tc>
        <w:tc>
          <w:tcPr>
            <w:tcW w:w="0" w:type="auto"/>
            <w:vAlign w:val="center"/>
          </w:tcPr>
          <w:p w14:paraId="25262E39">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4C8136E">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2A7C4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30DD752F">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3AE55D13">
            <w:pPr>
              <w:keepNext/>
              <w:kinsoku/>
              <w:rPr>
                <w:rFonts w:hint="eastAsia" w:cs="宋体" w:asciiTheme="majorEastAsia" w:hAnsiTheme="majorEastAsia" w:eastAsiaTheme="majorEastAsia"/>
                <w:color w:val="auto"/>
                <w:highlight w:val="none"/>
              </w:rPr>
            </w:pPr>
          </w:p>
        </w:tc>
        <w:tc>
          <w:tcPr>
            <w:tcW w:w="1440" w:type="dxa"/>
            <w:vAlign w:val="center"/>
          </w:tcPr>
          <w:p w14:paraId="0C3062F2">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配套工具</w:t>
            </w:r>
          </w:p>
        </w:tc>
        <w:tc>
          <w:tcPr>
            <w:tcW w:w="3882" w:type="dxa"/>
            <w:vAlign w:val="center"/>
          </w:tcPr>
          <w:p w14:paraId="37508481">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1、尖嘴钳（160mm）、剥线钳、压线钳、斜口钳（160mm）、十字螺丝刀（3寸）、一字螺丝刀（3寸）、十字螺丝刀（3×75mm）、一字螺丝刀（3×75mm）、剪刀、说明书；</w:t>
            </w:r>
          </w:p>
        </w:tc>
        <w:tc>
          <w:tcPr>
            <w:tcW w:w="0" w:type="auto"/>
            <w:vAlign w:val="center"/>
          </w:tcPr>
          <w:p w14:paraId="26F8113F">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15BA6333">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0CD2BA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E0989DE">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4EFB0AAD">
            <w:pPr>
              <w:keepNext/>
              <w:kinsoku/>
              <w:rPr>
                <w:rFonts w:hint="eastAsia" w:cs="宋体" w:asciiTheme="majorEastAsia" w:hAnsiTheme="majorEastAsia" w:eastAsiaTheme="majorEastAsia"/>
                <w:color w:val="auto"/>
                <w:highlight w:val="none"/>
              </w:rPr>
            </w:pPr>
          </w:p>
        </w:tc>
        <w:tc>
          <w:tcPr>
            <w:tcW w:w="1440" w:type="dxa"/>
            <w:vAlign w:val="center"/>
          </w:tcPr>
          <w:p w14:paraId="0FD56099">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方凳</w:t>
            </w:r>
          </w:p>
        </w:tc>
        <w:tc>
          <w:tcPr>
            <w:tcW w:w="3882" w:type="dxa"/>
            <w:vAlign w:val="center"/>
          </w:tcPr>
          <w:p w14:paraId="7C4A7E73">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≥长330mm×宽240mm×高400mm。</w:t>
            </w:r>
          </w:p>
          <w:p w14:paraId="3C83B2C8">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铁质支架，管材壁厚≥1.5mm；</w:t>
            </w:r>
          </w:p>
          <w:p w14:paraId="07E78795">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木质凳面，板厚≥15mm。</w:t>
            </w:r>
          </w:p>
        </w:tc>
        <w:tc>
          <w:tcPr>
            <w:tcW w:w="0" w:type="auto"/>
            <w:vAlign w:val="center"/>
          </w:tcPr>
          <w:p w14:paraId="584902DE">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个</w:t>
            </w:r>
          </w:p>
        </w:tc>
        <w:tc>
          <w:tcPr>
            <w:tcW w:w="442" w:type="dxa"/>
            <w:vAlign w:val="center"/>
          </w:tcPr>
          <w:p w14:paraId="03FFF125">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6</w:t>
            </w:r>
            <w:r>
              <w:rPr>
                <w:rFonts w:cs="宋体" w:asciiTheme="majorEastAsia" w:hAnsiTheme="majorEastAsia" w:eastAsiaTheme="majorEastAsia"/>
                <w:color w:val="auto"/>
                <w:highlight w:val="none"/>
              </w:rPr>
              <w:t>0</w:t>
            </w:r>
          </w:p>
        </w:tc>
      </w:tr>
      <w:tr w14:paraId="0673B6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B4AE60D">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536830C0">
            <w:pPr>
              <w:keepNext/>
              <w:kinsoku/>
              <w:rPr>
                <w:rFonts w:hint="eastAsia" w:cs="宋体" w:asciiTheme="majorEastAsia" w:hAnsiTheme="majorEastAsia" w:eastAsiaTheme="majorEastAsia"/>
                <w:color w:val="auto"/>
                <w:highlight w:val="none"/>
              </w:rPr>
            </w:pPr>
          </w:p>
        </w:tc>
        <w:tc>
          <w:tcPr>
            <w:tcW w:w="1440" w:type="dxa"/>
            <w:vAlign w:val="center"/>
          </w:tcPr>
          <w:p w14:paraId="5F232026">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文件柜</w:t>
            </w:r>
          </w:p>
        </w:tc>
        <w:tc>
          <w:tcPr>
            <w:tcW w:w="3882" w:type="dxa"/>
            <w:vAlign w:val="center"/>
          </w:tcPr>
          <w:p w14:paraId="619528F2">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铁皮柜≥宽900mm×深450mm×高2000mm，框式门，门框内嵌玻璃，柜体钢板厚度1.5mm。</w:t>
            </w:r>
          </w:p>
        </w:tc>
        <w:tc>
          <w:tcPr>
            <w:tcW w:w="0" w:type="auto"/>
            <w:vAlign w:val="center"/>
          </w:tcPr>
          <w:p w14:paraId="3250AF45">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个</w:t>
            </w:r>
          </w:p>
        </w:tc>
        <w:tc>
          <w:tcPr>
            <w:tcW w:w="442" w:type="dxa"/>
            <w:vAlign w:val="center"/>
          </w:tcPr>
          <w:p w14:paraId="5C60BE5C">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6</w:t>
            </w:r>
          </w:p>
        </w:tc>
      </w:tr>
      <w:tr w14:paraId="6F312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restart"/>
            <w:vAlign w:val="center"/>
          </w:tcPr>
          <w:p w14:paraId="202E0A20">
            <w:pPr>
              <w:keepNext/>
              <w:kinsoku/>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w:t>
            </w:r>
          </w:p>
        </w:tc>
        <w:tc>
          <w:tcPr>
            <w:tcW w:w="1766" w:type="dxa"/>
            <w:vMerge w:val="restart"/>
            <w:vAlign w:val="center"/>
          </w:tcPr>
          <w:p w14:paraId="1F8011A1">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电气控制系统综合实践平台</w:t>
            </w:r>
          </w:p>
          <w:p w14:paraId="21472021">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b/>
                <w:bCs/>
                <w:color w:val="auto"/>
                <w:highlight w:val="none"/>
                <w:lang w:eastAsia="zh-CN"/>
              </w:rPr>
              <w:t>（</w:t>
            </w:r>
            <w:r>
              <w:rPr>
                <w:rFonts w:hint="eastAsia" w:cs="宋体" w:asciiTheme="majorEastAsia" w:hAnsiTheme="majorEastAsia" w:eastAsiaTheme="majorEastAsia"/>
                <w:b/>
                <w:bCs/>
                <w:color w:val="auto"/>
                <w:highlight w:val="none"/>
                <w:lang w:val="en-US" w:eastAsia="zh-CN"/>
              </w:rPr>
              <w:t>核心产品</w:t>
            </w:r>
            <w:r>
              <w:rPr>
                <w:rFonts w:hint="eastAsia" w:cs="宋体" w:asciiTheme="majorEastAsia" w:hAnsiTheme="majorEastAsia" w:eastAsiaTheme="majorEastAsia"/>
                <w:b/>
                <w:bCs/>
                <w:color w:val="auto"/>
                <w:highlight w:val="none"/>
                <w:lang w:eastAsia="zh-CN"/>
              </w:rPr>
              <w:t>）</w:t>
            </w:r>
          </w:p>
        </w:tc>
        <w:tc>
          <w:tcPr>
            <w:tcW w:w="1440" w:type="dxa"/>
            <w:vAlign w:val="center"/>
          </w:tcPr>
          <w:p w14:paraId="40A855CC">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实训桌</w:t>
            </w:r>
          </w:p>
        </w:tc>
        <w:tc>
          <w:tcPr>
            <w:tcW w:w="3882" w:type="dxa"/>
            <w:vAlign w:val="center"/>
          </w:tcPr>
          <w:p w14:paraId="14F05BB6">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1、交流电源：三相五线 AC 380 V±10% 50Hz；</w:t>
            </w:r>
          </w:p>
          <w:p w14:paraId="63FB1E78">
            <w:pPr>
              <w:keepNext/>
              <w:kinsoku/>
              <w:rPr>
                <w:rFonts w:hint="eastAsia" w:asciiTheme="majorEastAsia" w:hAnsiTheme="majorEastAsia" w:eastAsiaTheme="majorEastAsia"/>
                <w:color w:val="auto"/>
                <w:highlight w:val="none"/>
                <w:lang w:eastAsia="zh-CN"/>
              </w:rPr>
            </w:pPr>
            <w:r>
              <w:rPr>
                <w:rFonts w:asciiTheme="majorEastAsia" w:hAnsiTheme="majorEastAsia" w:eastAsiaTheme="majorEastAsia"/>
                <w:color w:val="auto"/>
                <w:highlight w:val="none"/>
                <w:lang w:eastAsia="zh-CN"/>
              </w:rPr>
              <w:t>2</w:t>
            </w:r>
            <w:r>
              <w:rPr>
                <w:rFonts w:hint="eastAsia" w:asciiTheme="majorEastAsia" w:hAnsiTheme="majorEastAsia" w:eastAsiaTheme="majorEastAsia"/>
                <w:color w:val="auto"/>
                <w:highlight w:val="none"/>
                <w:lang w:eastAsia="zh-CN"/>
              </w:rPr>
              <w:t>、外形尺寸：长×宽×高≥1400mm×860mm×1010mm；</w:t>
            </w:r>
          </w:p>
          <w:p w14:paraId="33CCDB21">
            <w:pPr>
              <w:keepNext/>
              <w:kinsoku/>
              <w:rPr>
                <w:rFonts w:hint="eastAsia" w:asciiTheme="majorEastAsia" w:hAnsiTheme="majorEastAsia" w:eastAsiaTheme="majorEastAsia"/>
                <w:color w:val="auto"/>
                <w:highlight w:val="none"/>
              </w:rPr>
            </w:pPr>
            <w:r>
              <w:rPr>
                <w:rFonts w:asciiTheme="majorEastAsia" w:hAnsiTheme="majorEastAsia" w:eastAsiaTheme="majorEastAsia"/>
                <w:color w:val="auto"/>
                <w:highlight w:val="none"/>
              </w:rPr>
              <w:t>3</w:t>
            </w:r>
            <w:r>
              <w:rPr>
                <w:rFonts w:hint="eastAsia" w:asciiTheme="majorEastAsia" w:hAnsiTheme="majorEastAsia" w:eastAsiaTheme="majorEastAsia"/>
                <w:color w:val="auto"/>
                <w:highlight w:val="none"/>
              </w:rPr>
              <w:t>、整机功耗：≤1 kVA；</w:t>
            </w:r>
          </w:p>
        </w:tc>
        <w:tc>
          <w:tcPr>
            <w:tcW w:w="0" w:type="auto"/>
            <w:vAlign w:val="center"/>
          </w:tcPr>
          <w:p w14:paraId="54FF4C4A">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611EA1C6">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6B13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4B06DA67">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60F58C57">
            <w:pPr>
              <w:keepNext/>
              <w:kinsoku/>
              <w:rPr>
                <w:rFonts w:hint="eastAsia" w:cs="宋体" w:asciiTheme="majorEastAsia" w:hAnsiTheme="majorEastAsia" w:eastAsiaTheme="majorEastAsia"/>
                <w:color w:val="auto"/>
                <w:highlight w:val="none"/>
              </w:rPr>
            </w:pPr>
          </w:p>
        </w:tc>
        <w:tc>
          <w:tcPr>
            <w:tcW w:w="1440" w:type="dxa"/>
            <w:vAlign w:val="center"/>
          </w:tcPr>
          <w:p w14:paraId="4715C729">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智能电源控制系统</w:t>
            </w:r>
          </w:p>
        </w:tc>
        <w:tc>
          <w:tcPr>
            <w:tcW w:w="3882" w:type="dxa"/>
            <w:vAlign w:val="center"/>
          </w:tcPr>
          <w:p w14:paraId="29865CC4">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刷卡取电、智能管理、急停控制；模块为整个装置所需用电模块提供电源和由上位系统电源管理控制。包含设备总电源开关、电源供电指示、电源输出安全插座、三相电源输出插座、单相电源输出插座、RFID电源管理模块等构成；具体功能：刷卡取电、智能管理：电源管理可以接收上位发过送过来的开、关指令接管理，同时反馈电源的工作信息。也可以配置权限管理，使用者配有IC卡，在RFID刷卡区经注册授权的IC卡（即管理员）卡可以实现在刷卡成功认证身份后可以对装置的总电源进行控制。急停控制：设备配有急停按钮，可在紧急情况下完成电路切断，对设备及其人身安全的保护。</w:t>
            </w:r>
          </w:p>
        </w:tc>
        <w:tc>
          <w:tcPr>
            <w:tcW w:w="0" w:type="auto"/>
            <w:vAlign w:val="center"/>
          </w:tcPr>
          <w:p w14:paraId="22A1A21F">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2DD54DB7">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35AD8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57B6D4E8">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C12AA5D">
            <w:pPr>
              <w:keepNext/>
              <w:kinsoku/>
              <w:rPr>
                <w:rFonts w:hint="eastAsia" w:cs="宋体" w:asciiTheme="majorEastAsia" w:hAnsiTheme="majorEastAsia" w:eastAsiaTheme="majorEastAsia"/>
                <w:color w:val="auto"/>
                <w:highlight w:val="none"/>
              </w:rPr>
            </w:pPr>
          </w:p>
        </w:tc>
        <w:tc>
          <w:tcPr>
            <w:tcW w:w="1440" w:type="dxa"/>
            <w:vAlign w:val="center"/>
          </w:tcPr>
          <w:p w14:paraId="131E82B6">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电气考核系统</w:t>
            </w:r>
          </w:p>
        </w:tc>
        <w:tc>
          <w:tcPr>
            <w:tcW w:w="3882" w:type="dxa"/>
            <w:vAlign w:val="center"/>
          </w:tcPr>
          <w:p w14:paraId="14893A31">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多种实训电路、多角度调节机构、自由刹车系统、智能接线检测；模块为装置电气考核模块，用于学生电气接线实训和考核。</w:t>
            </w:r>
            <w:r>
              <w:rPr>
                <w:rFonts w:hint="eastAsia" w:asciiTheme="majorEastAsia" w:hAnsiTheme="majorEastAsia" w:eastAsiaTheme="majorEastAsia"/>
                <w:color w:val="auto"/>
                <w:highlight w:val="none"/>
                <w:shd w:val="clear"/>
                <w:lang w:eastAsia="zh-CN"/>
              </w:rPr>
              <w:t>采用 1214C AC/DC RLYPLC主机、变频器G120C  PN</w:t>
            </w:r>
            <w:r>
              <w:rPr>
                <w:rFonts w:hint="eastAsia" w:asciiTheme="majorEastAsia" w:hAnsiTheme="majorEastAsia" w:eastAsiaTheme="majorEastAsia"/>
                <w:color w:val="auto"/>
                <w:highlight w:val="none"/>
                <w:lang w:eastAsia="zh-CN"/>
              </w:rPr>
              <w:t>、国内常用的电器元件（漏电开关1只：3P+N；空气开关1只：4P；熔断器1只： 2P；熔断器1只： 3P；交流接触器5只： 220V；辅助触头3只；时间继电器2只: 220V；热继电器2只；热继电器座2只；按钮开关盒2只：3位；按钮（不带灯）3只：黄、绿、红；指示灯3只:黄、绿、红；双用接线端18只；行程开关2只；三相鼠笼式异步电动机2套）、通用安装板、角度调试机构等构成，具体功能：多种实训电路：可选配不同器件进行组合成多种类型的实训电路，完成不同实训内容。多角度调节：角度调试机构根据人体工程学设计，通用安装板可在0-90度调节安装角度，学生可以根据身高和操作习惯进行角度调节，符合人机工程需求。自由刹车系统：操作过程只需要轻轻按压考核板左侧的调节把手即可控制考核板的升降，可在0-90度内任意停靠，方便实用。智能接线检测：学生选取不同器件完成不同实训电路的接线，接线完成后，可将接线信息反馈给软件平台，完成接线情况的检测。</w:t>
            </w:r>
          </w:p>
        </w:tc>
        <w:tc>
          <w:tcPr>
            <w:tcW w:w="0" w:type="auto"/>
            <w:vAlign w:val="center"/>
          </w:tcPr>
          <w:p w14:paraId="6F8A1482">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1F41AD99">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13D90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5E667E22">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D01C262">
            <w:pPr>
              <w:keepNext/>
              <w:kinsoku/>
              <w:rPr>
                <w:rFonts w:hint="eastAsia" w:cs="宋体" w:asciiTheme="majorEastAsia" w:hAnsiTheme="majorEastAsia" w:eastAsiaTheme="majorEastAsia"/>
                <w:color w:val="auto"/>
                <w:highlight w:val="none"/>
              </w:rPr>
            </w:pPr>
          </w:p>
        </w:tc>
        <w:tc>
          <w:tcPr>
            <w:tcW w:w="1440" w:type="dxa"/>
            <w:vAlign w:val="center"/>
          </w:tcPr>
          <w:p w14:paraId="678AEFE2">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电气实训系统</w:t>
            </w:r>
          </w:p>
        </w:tc>
        <w:tc>
          <w:tcPr>
            <w:tcW w:w="3882" w:type="dxa"/>
            <w:vAlign w:val="center"/>
          </w:tcPr>
          <w:p w14:paraId="5821997A">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自由搭建多种实训电路、多角度调节、安装便捷；为开放式网孔板，用于电气安装接线实训，包含通用网孔板、角度调试机构、电气器件等构成。可以让学生更好的掌握电气的设计、安装、调试与优化等技能，具体功能：安装便捷:模块采用网孔板式结构，安装快捷、方便、空间利用率高。多角度调节:角度调试机构根据人体工程学设计，通用安装板可在0-90度8档位每档11度的调节安装角度，学生可以根据身高和操作习惯进行角度调节，符合人机工程需求。自由搭建多种实训电路:学生可以根据不同类型的电路选择所需器件在该模块上进行日常的器件安装与电气回路的接线</w:t>
            </w:r>
          </w:p>
        </w:tc>
        <w:tc>
          <w:tcPr>
            <w:tcW w:w="0" w:type="auto"/>
            <w:vAlign w:val="center"/>
          </w:tcPr>
          <w:p w14:paraId="1C09B823">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3BE9CFE3">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54497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720EA0A">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4BF45F8">
            <w:pPr>
              <w:keepNext/>
              <w:kinsoku/>
              <w:rPr>
                <w:rFonts w:hint="eastAsia" w:cs="宋体" w:asciiTheme="majorEastAsia" w:hAnsiTheme="majorEastAsia" w:eastAsiaTheme="majorEastAsia"/>
                <w:color w:val="auto"/>
                <w:highlight w:val="none"/>
              </w:rPr>
            </w:pPr>
          </w:p>
        </w:tc>
        <w:tc>
          <w:tcPr>
            <w:tcW w:w="1440" w:type="dxa"/>
            <w:vAlign w:val="center"/>
          </w:tcPr>
          <w:p w14:paraId="08EC07C0">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电气接线智能检测系统</w:t>
            </w:r>
          </w:p>
        </w:tc>
        <w:tc>
          <w:tcPr>
            <w:tcW w:w="3882" w:type="dxa"/>
            <w:vAlign w:val="center"/>
          </w:tcPr>
          <w:p w14:paraId="61F1FD41">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智能检测及错误诊断、接线信息可视化显示、供电保护该模块为装置的电气检测软件平台，主要由检测模式和正常模式组成。其功能特点：智能检测及错误诊断：自动判断选手接线情况，可实现对选手接线的接线次数、接线数量、接对数量进行统计，指示学生接线有无错误。接线信息可视化显示：当判断三次后，将选手接线情况进行可视化显示，错误接线部分标为红色，指出接线错误点，无错误时不标注红色。供电保护功能：软件根据界限结果进行电路保护，当选手接线错误后，设备考核供电不提供供电输出，当判断学生接线正确时输出，实现了对学生以及设备器件的保护。</w:t>
            </w:r>
          </w:p>
        </w:tc>
        <w:tc>
          <w:tcPr>
            <w:tcW w:w="0" w:type="auto"/>
            <w:vAlign w:val="center"/>
          </w:tcPr>
          <w:p w14:paraId="1B8DA2C6">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23AA3895">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7DB2B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226EDABC">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1CA2867">
            <w:pPr>
              <w:keepNext/>
              <w:kinsoku/>
              <w:rPr>
                <w:rFonts w:hint="eastAsia" w:cs="宋体" w:asciiTheme="majorEastAsia" w:hAnsiTheme="majorEastAsia" w:eastAsiaTheme="majorEastAsia"/>
                <w:color w:val="auto"/>
                <w:highlight w:val="none"/>
              </w:rPr>
            </w:pPr>
          </w:p>
        </w:tc>
        <w:tc>
          <w:tcPr>
            <w:tcW w:w="1440" w:type="dxa"/>
            <w:vAlign w:val="center"/>
          </w:tcPr>
          <w:p w14:paraId="137CC38C">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配套工具</w:t>
            </w:r>
          </w:p>
        </w:tc>
        <w:tc>
          <w:tcPr>
            <w:tcW w:w="3882" w:type="dxa"/>
            <w:vAlign w:val="center"/>
          </w:tcPr>
          <w:p w14:paraId="34669A51">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尖嘴钳（160mm）、剥线钳、压线钳、斜口钳（160mm）、十字螺丝刀（3寸）、一字螺丝刀（3寸）、十字螺丝刀（3×75mm）、一字螺丝刀（3×75mm）、剪刀、说明书</w:t>
            </w:r>
          </w:p>
        </w:tc>
        <w:tc>
          <w:tcPr>
            <w:tcW w:w="0" w:type="auto"/>
            <w:vAlign w:val="center"/>
          </w:tcPr>
          <w:p w14:paraId="5F3AE1B4">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70F18CC8">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23</w:t>
            </w:r>
          </w:p>
        </w:tc>
      </w:tr>
      <w:tr w14:paraId="4D8A6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restart"/>
            <w:vAlign w:val="center"/>
          </w:tcPr>
          <w:p w14:paraId="4D58533A">
            <w:pPr>
              <w:keepNext/>
              <w:kinsoku/>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3</w:t>
            </w:r>
          </w:p>
        </w:tc>
        <w:tc>
          <w:tcPr>
            <w:tcW w:w="1766" w:type="dxa"/>
            <w:vMerge w:val="restart"/>
            <w:vAlign w:val="center"/>
          </w:tcPr>
          <w:p w14:paraId="507DBB80">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bCs/>
                <w:color w:val="auto"/>
                <w:highlight w:val="none"/>
                <w:lang w:eastAsia="zh-CN"/>
              </w:rPr>
              <w:t>公差配合与测量技术实训平台</w:t>
            </w:r>
          </w:p>
        </w:tc>
        <w:tc>
          <w:tcPr>
            <w:tcW w:w="1440" w:type="dxa"/>
            <w:vAlign w:val="center"/>
          </w:tcPr>
          <w:p w14:paraId="028EF8C4">
            <w:pPr>
              <w:keepNext/>
              <w:kinsoku/>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shd w:val="clear" w:color="auto" w:fill="FFFFFF"/>
              </w:rPr>
              <w:t>双工位实训台</w:t>
            </w:r>
          </w:p>
        </w:tc>
        <w:tc>
          <w:tcPr>
            <w:tcW w:w="3882" w:type="dxa"/>
            <w:vAlign w:val="center"/>
          </w:tcPr>
          <w:p w14:paraId="41EA33D2">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1、输入电源：单相三线A</w:t>
            </w:r>
            <w:r>
              <w:rPr>
                <w:rFonts w:cs="宋体" w:asciiTheme="majorEastAsia" w:hAnsiTheme="majorEastAsia" w:eastAsiaTheme="majorEastAsia"/>
                <w:color w:val="auto"/>
                <w:highlight w:val="none"/>
                <w:shd w:val="clear" w:color="auto" w:fill="FFFFFF"/>
                <w:lang w:eastAsia="zh-CN"/>
              </w:rPr>
              <w:t>C22</w:t>
            </w:r>
            <w:r>
              <w:rPr>
                <w:rFonts w:hint="eastAsia" w:cs="宋体" w:asciiTheme="majorEastAsia" w:hAnsiTheme="majorEastAsia" w:eastAsiaTheme="majorEastAsia"/>
                <w:color w:val="auto"/>
                <w:highlight w:val="none"/>
                <w:shd w:val="clear" w:color="auto" w:fill="FFFFFF"/>
                <w:lang w:eastAsia="zh-CN"/>
              </w:rPr>
              <w:t>0V 50Hz；功率：≤</w:t>
            </w:r>
            <w:r>
              <w:rPr>
                <w:rFonts w:cs="宋体" w:asciiTheme="majorEastAsia" w:hAnsiTheme="majorEastAsia" w:eastAsiaTheme="majorEastAsia"/>
                <w:color w:val="auto"/>
                <w:highlight w:val="none"/>
                <w:shd w:val="clear" w:color="auto" w:fill="FFFFFF"/>
                <w:lang w:eastAsia="zh-CN"/>
              </w:rPr>
              <w:t>0</w:t>
            </w:r>
            <w:r>
              <w:rPr>
                <w:rFonts w:hint="eastAsia" w:cs="宋体" w:asciiTheme="majorEastAsia" w:hAnsiTheme="majorEastAsia" w:eastAsiaTheme="majorEastAsia"/>
                <w:color w:val="auto"/>
                <w:highlight w:val="none"/>
                <w:shd w:val="clear" w:color="auto" w:fill="FFFFFF"/>
                <w:lang w:eastAsia="zh-CN"/>
              </w:rPr>
              <w:t>.5kVA；外形尺寸≥1600×1000×1100mm。</w:t>
            </w:r>
          </w:p>
          <w:p w14:paraId="50D2D71B">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2</w:t>
            </w:r>
            <w:r>
              <w:rPr>
                <w:rFonts w:cs="宋体" w:asciiTheme="majorEastAsia" w:hAnsiTheme="majorEastAsia" w:eastAsiaTheme="majorEastAsia"/>
                <w:color w:val="auto"/>
                <w:highlight w:val="none"/>
                <w:shd w:val="clear" w:color="auto" w:fill="FFFFFF"/>
                <w:lang w:eastAsia="zh-CN"/>
              </w:rPr>
              <w:t>、</w:t>
            </w:r>
            <w:r>
              <w:rPr>
                <w:rFonts w:hint="eastAsia" w:cs="宋体" w:asciiTheme="majorEastAsia" w:hAnsiTheme="majorEastAsia" w:eastAsiaTheme="majorEastAsia"/>
                <w:color w:val="auto"/>
                <w:highlight w:val="none"/>
                <w:shd w:val="clear" w:color="auto" w:fill="FFFFFF"/>
                <w:lang w:eastAsia="zh-CN"/>
              </w:rPr>
              <w:t>工作台：要求采用铁质双层亚光密纹喷塑结构，双面两工位设计；桌面板采用实木材料，厚度≥38mm，桌面上液晶显示器要求采用嵌入式升降结构安装，可上下自动升降，显示器升降器面板上带上下升降按键等。每工位配有两个抽屉、工具柜、主机放置柜和键盘推拉托盘等。</w:t>
            </w:r>
          </w:p>
          <w:p w14:paraId="43931328">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cs="宋体" w:asciiTheme="majorEastAsia" w:hAnsiTheme="majorEastAsia" w:eastAsiaTheme="majorEastAsia"/>
                <w:color w:val="auto"/>
                <w:highlight w:val="none"/>
                <w:shd w:val="clear" w:color="auto" w:fill="FFFFFF"/>
                <w:lang w:eastAsia="zh-CN"/>
              </w:rPr>
              <w:t>3、</w:t>
            </w:r>
            <w:r>
              <w:rPr>
                <w:rFonts w:hint="eastAsia" w:cs="宋体" w:asciiTheme="majorEastAsia" w:hAnsiTheme="majorEastAsia" w:eastAsiaTheme="majorEastAsia"/>
                <w:color w:val="auto"/>
                <w:highlight w:val="none"/>
                <w:shd w:val="clear" w:color="auto" w:fill="FFFFFF"/>
                <w:lang w:eastAsia="zh-CN"/>
              </w:rPr>
              <w:t>双工位实训台采用升降式显示屏，桌面下方设置主机柜（带门）。</w:t>
            </w:r>
          </w:p>
          <w:p w14:paraId="7C52B208">
            <w:pPr>
              <w:keepNext/>
              <w:kinsoku/>
              <w:textAlignment w:val="center"/>
              <w:rPr>
                <w:rFonts w:hint="eastAsia" w:cs="宋体" w:asciiTheme="majorEastAsia" w:hAnsiTheme="majorEastAsia" w:eastAsiaTheme="majorEastAsia"/>
                <w:color w:val="auto"/>
                <w:highlight w:val="none"/>
                <w:shd w:val="clear" w:color="auto" w:fill="FFFFFF"/>
              </w:rPr>
            </w:pPr>
            <w:r>
              <w:rPr>
                <w:rFonts w:cs="宋体" w:asciiTheme="majorEastAsia" w:hAnsiTheme="majorEastAsia" w:eastAsiaTheme="majorEastAsia"/>
                <w:color w:val="auto"/>
                <w:highlight w:val="none"/>
                <w:shd w:val="clear" w:color="auto" w:fill="FFFFFF"/>
                <w:lang w:eastAsia="zh-CN"/>
              </w:rPr>
              <w:t>4、</w:t>
            </w:r>
            <w:r>
              <w:rPr>
                <w:rFonts w:hint="eastAsia" w:cs="宋体" w:asciiTheme="majorEastAsia" w:hAnsiTheme="majorEastAsia" w:eastAsiaTheme="majorEastAsia"/>
                <w:color w:val="auto"/>
                <w:highlight w:val="none"/>
                <w:shd w:val="clear" w:color="auto" w:fill="FFFFFF"/>
                <w:lang w:eastAsia="zh-CN"/>
              </w:rPr>
              <w:t>钢木方凳（6把）：外形尺寸≥360×260×450mm，整体重量≥3.4Kg。凳框采用厚度≥1mm，≥20mm×40mm优质方钢管拼装后，通过激光自动焊接而成，静态强度承受力≥400Kg。顶部采用钣金圆弧压边内嵌高强度凳面，凳面采用≥18mm厚板材，采用圆弧加工后由肤感模吸塑而成，符合E0级环保标准。凳框表面全自动脱脂、静电喷塑处理，采用黑色金属粉喷塑工艺，凳脚安装高分子树脂脚套。</w:t>
            </w:r>
            <w:r>
              <w:rPr>
                <w:rFonts w:hint="eastAsia" w:cs="宋体" w:asciiTheme="majorEastAsia" w:hAnsiTheme="majorEastAsia" w:eastAsiaTheme="majorEastAsia"/>
                <w:color w:val="auto"/>
                <w:highlight w:val="none"/>
                <w:shd w:val="clear" w:color="auto" w:fill="FFFFFF"/>
              </w:rPr>
              <w:t>为保证质量。</w:t>
            </w:r>
          </w:p>
        </w:tc>
        <w:tc>
          <w:tcPr>
            <w:tcW w:w="0" w:type="auto"/>
            <w:vAlign w:val="center"/>
          </w:tcPr>
          <w:p w14:paraId="0B84C835">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000150EE">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r>
              <w:rPr>
                <w:rFonts w:cs="宋体" w:asciiTheme="majorEastAsia" w:hAnsiTheme="majorEastAsia" w:eastAsiaTheme="majorEastAsia"/>
                <w:color w:val="auto"/>
                <w:highlight w:val="none"/>
              </w:rPr>
              <w:t>0</w:t>
            </w:r>
          </w:p>
        </w:tc>
      </w:tr>
      <w:tr w14:paraId="1C888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526C0493">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4F86C79">
            <w:pPr>
              <w:keepNext/>
              <w:kinsoku/>
              <w:rPr>
                <w:rFonts w:hint="eastAsia" w:cs="宋体" w:asciiTheme="majorEastAsia" w:hAnsiTheme="majorEastAsia" w:eastAsiaTheme="majorEastAsia"/>
                <w:bCs/>
                <w:color w:val="auto"/>
                <w:highlight w:val="none"/>
              </w:rPr>
            </w:pPr>
          </w:p>
        </w:tc>
        <w:tc>
          <w:tcPr>
            <w:tcW w:w="1440" w:type="dxa"/>
            <w:vAlign w:val="center"/>
          </w:tcPr>
          <w:p w14:paraId="1966151B">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零件形位误差精度检测</w:t>
            </w:r>
          </w:p>
        </w:tc>
        <w:tc>
          <w:tcPr>
            <w:tcW w:w="3882" w:type="dxa"/>
            <w:vAlign w:val="center"/>
          </w:tcPr>
          <w:p w14:paraId="7C447AA8">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1、微型跳动检测仪：外形尺寸≥455×120×325mm精度：6级。</w:t>
            </w:r>
          </w:p>
          <w:p w14:paraId="6A2274AB">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（1）检测范围：跳动测量轴：长度：50-100mm；直径￠10-80mm；检测齿轮：模数 1-5；齿数 17-22，齿宽 10-50mm。</w:t>
            </w:r>
          </w:p>
          <w:p w14:paraId="46E2A4DA">
            <w:pPr>
              <w:keepNext/>
              <w:kinsoku/>
              <w:textAlignment w:val="center"/>
              <w:rPr>
                <w:rFonts w:hint="eastAsia" w:cs="宋体" w:asciiTheme="majorEastAsia" w:hAnsiTheme="majorEastAsia" w:eastAsiaTheme="majorEastAsia"/>
                <w:color w:val="auto"/>
                <w:highlight w:val="none"/>
                <w:shd w:val="clear" w:color="auto" w:fill="FFFFFF"/>
              </w:rPr>
            </w:pPr>
            <w:r>
              <w:rPr>
                <w:rFonts w:hint="eastAsia" w:cs="宋体" w:asciiTheme="majorEastAsia" w:hAnsiTheme="majorEastAsia" w:eastAsiaTheme="majorEastAsia"/>
                <w:color w:val="auto"/>
                <w:highlight w:val="none"/>
                <w:shd w:val="clear" w:color="auto" w:fill="FFFFFF"/>
              </w:rPr>
              <w:t>（2）配套量具：千分表￠50/0.001；杠杆百分表￠50/0.01。</w:t>
            </w:r>
          </w:p>
          <w:p w14:paraId="7FDB2C23">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（3）配套检验零件（不锈钢）：台阶轴（7 级一根）：￠30-60，长度 95mm；齿轮（7 级一根）：模数 3；齿数 18。</w:t>
            </w:r>
          </w:p>
          <w:p w14:paraId="16393EF7">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2、微型圆（柱）度、直线度、同轴度检测仪，外形尺寸≥270×100×180mm，精度6 级。</w:t>
            </w:r>
          </w:p>
          <w:p w14:paraId="2D315423">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（1）检测范围：直线度：长度：50-100mm；圆（柱）度：直径￠10-40mm，长度≥60mm；同轴度：外径￠20-50，内径￠10-40mm。</w:t>
            </w:r>
          </w:p>
          <w:p w14:paraId="5875845A">
            <w:pPr>
              <w:keepNext/>
              <w:kinsoku/>
              <w:textAlignment w:val="center"/>
              <w:rPr>
                <w:rFonts w:hint="eastAsia" w:cs="宋体" w:asciiTheme="majorEastAsia" w:hAnsiTheme="majorEastAsia" w:eastAsiaTheme="majorEastAsia"/>
                <w:color w:val="auto"/>
                <w:highlight w:val="none"/>
                <w:shd w:val="clear" w:color="auto" w:fill="FFFFFF"/>
              </w:rPr>
            </w:pPr>
            <w:r>
              <w:rPr>
                <w:rFonts w:hint="eastAsia" w:cs="宋体" w:asciiTheme="majorEastAsia" w:hAnsiTheme="majorEastAsia" w:eastAsiaTheme="majorEastAsia"/>
                <w:color w:val="auto"/>
                <w:highlight w:val="none"/>
                <w:shd w:val="clear" w:color="auto" w:fill="FFFFFF"/>
              </w:rPr>
              <w:t>（2）配套量具：杠杆百分表：￠50/0.01。</w:t>
            </w:r>
          </w:p>
          <w:p w14:paraId="2F634F08">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（3）配套检验零件（不锈钢）：1）直线度测量块（7 级一根）：长度≥120mm；圆（柱）度测量轴 1（7 级一根）：直径￠30，长度≥60mm；同轴度测量轴 2（7 级一根）：外径￠50，内径￠40。</w:t>
            </w:r>
          </w:p>
          <w:p w14:paraId="0FDBB3AF">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3、微型平面度、平行度、垂直度、对称度测微仪，外形尺寸≥150×100×265mm，精度≥6级。</w:t>
            </w:r>
          </w:p>
          <w:p w14:paraId="7A8908E0">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（1）检测范围：平面（行）度：长×宽：100-120mm；垂直度：直径￠10-60mm，高度：≥100mm；对称度：长×宽：50-40mm。</w:t>
            </w:r>
          </w:p>
          <w:p w14:paraId="76268470">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（2）配套量具:百分表：￠50/0.01；检验方箱：100×100/2 级。</w:t>
            </w:r>
          </w:p>
          <w:p w14:paraId="3EB3C1B0">
            <w:pPr>
              <w:keepNext/>
              <w:kinsoku/>
              <w:rPr>
                <w:rFonts w:hint="eastAsia" w:cs="宋体" w:asciiTheme="majorEastAsia" w:hAnsiTheme="majorEastAsia" w:eastAsiaTheme="majorEastAsia"/>
                <w:color w:val="auto"/>
                <w:highlight w:val="none"/>
                <w:shd w:val="clear" w:color="auto" w:fill="FFFFFF"/>
                <w:lang w:eastAsia="zh-CN"/>
              </w:rPr>
            </w:pPr>
            <w:r>
              <w:rPr>
                <w:rFonts w:hint="eastAsia" w:cs="宋体" w:asciiTheme="majorEastAsia" w:hAnsiTheme="majorEastAsia" w:eastAsiaTheme="majorEastAsia"/>
                <w:color w:val="auto"/>
                <w:highlight w:val="none"/>
                <w:shd w:val="clear" w:color="auto" w:fill="FFFFFF"/>
                <w:lang w:eastAsia="zh-CN"/>
              </w:rPr>
              <w:t>（3）配套检验零件:平面（行）度测量块（7级一块）：长×宽：100-120mm；垂直度测量轴：（7级一根）：直径￠50，长度≥50mm；对称测量块：长×宽：50-20mm。</w:t>
            </w:r>
          </w:p>
        </w:tc>
        <w:tc>
          <w:tcPr>
            <w:tcW w:w="0" w:type="auto"/>
            <w:vAlign w:val="center"/>
          </w:tcPr>
          <w:p w14:paraId="111A404D">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372188C3">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r>
              <w:rPr>
                <w:rFonts w:cs="宋体" w:asciiTheme="majorEastAsia" w:hAnsiTheme="majorEastAsia" w:eastAsiaTheme="majorEastAsia"/>
                <w:color w:val="auto"/>
                <w:highlight w:val="none"/>
              </w:rPr>
              <w:t>0</w:t>
            </w:r>
          </w:p>
        </w:tc>
      </w:tr>
      <w:tr w14:paraId="37CB7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3C1368A8">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4FA2D577">
            <w:pPr>
              <w:keepNext/>
              <w:kinsoku/>
              <w:rPr>
                <w:rFonts w:hint="eastAsia" w:cs="宋体" w:asciiTheme="majorEastAsia" w:hAnsiTheme="majorEastAsia" w:eastAsiaTheme="majorEastAsia"/>
                <w:bCs/>
                <w:color w:val="auto"/>
                <w:highlight w:val="none"/>
              </w:rPr>
            </w:pPr>
          </w:p>
        </w:tc>
        <w:tc>
          <w:tcPr>
            <w:tcW w:w="1440" w:type="dxa"/>
            <w:vAlign w:val="center"/>
          </w:tcPr>
          <w:p w14:paraId="34E4074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零件尺寸误差精度检测</w:t>
            </w:r>
          </w:p>
        </w:tc>
        <w:tc>
          <w:tcPr>
            <w:tcW w:w="3882" w:type="dxa"/>
            <w:vAlign w:val="center"/>
          </w:tcPr>
          <w:p w14:paraId="2AF90358">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1、精密测量工具：带表游标卡尺（0-150/0.02）；外径千分尺(0-25/0.01)；螺纹千分尺（0-25/0.01）；公法线千分尺（0-25×0.01）；齿厚卡尺（M1-26 模数/0.02）；内径百分表（10-18×0.01）；螺纹环规（M10-6gT）、螺纹环规（M10-6gZ）、螺纹塞规（M10-6H）；螺纹样板（60°）、螺纹样板（55°）各≥1把。</w:t>
            </w:r>
          </w:p>
          <w:p w14:paraId="2E020FCD">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2、检验零件（7级各≥1件）：测量块：</w:t>
            </w:r>
            <w:r>
              <w:rPr>
                <w:rFonts w:hint="eastAsia" w:cs="宋体" w:asciiTheme="majorEastAsia" w:hAnsiTheme="majorEastAsia" w:eastAsiaTheme="majorEastAsia"/>
                <w:color w:val="auto"/>
                <w:highlight w:val="none"/>
                <w:shd w:val="clear" w:color="auto" w:fill="FFFFFF"/>
                <w:lang w:eastAsia="zh-CN"/>
              </w:rPr>
              <w:t>≥</w:t>
            </w:r>
            <w:r>
              <w:rPr>
                <w:rFonts w:hint="eastAsia" w:cs="宋体" w:asciiTheme="majorEastAsia" w:hAnsiTheme="majorEastAsia" w:eastAsiaTheme="majorEastAsia"/>
                <w:color w:val="auto"/>
                <w:highlight w:val="none"/>
                <w:lang w:eastAsia="zh-CN"/>
              </w:rPr>
              <w:t>50×15×10mm；测量台阶轴: 直径￠12-15-20,长≥100mm；测量轴套：外径￠40，内径￠15-32mm；测量轴承：6201 P0 级；测量花键</w:t>
            </w:r>
            <w:r>
              <w:rPr>
                <w:rFonts w:hint="eastAsia" w:cs="宋体" w:asciiTheme="majorEastAsia" w:hAnsiTheme="majorEastAsia" w:eastAsiaTheme="majorEastAsia"/>
                <w:color w:val="auto"/>
                <w:highlight w:val="none"/>
                <w:shd w:val="clear" w:color="auto" w:fill="FFFFFF"/>
                <w:lang w:eastAsia="zh-CN"/>
              </w:rPr>
              <w:t>≥</w:t>
            </w:r>
            <w:r>
              <w:rPr>
                <w:rFonts w:hint="eastAsia" w:cs="宋体" w:asciiTheme="majorEastAsia" w:hAnsiTheme="majorEastAsia" w:eastAsiaTheme="majorEastAsia"/>
                <w:color w:val="auto"/>
                <w:highlight w:val="none"/>
                <w:lang w:eastAsia="zh-CN"/>
              </w:rPr>
              <w:t>25×21×6mm；测量平键：</w:t>
            </w:r>
            <w:r>
              <w:rPr>
                <w:rFonts w:hint="eastAsia" w:cs="宋体" w:asciiTheme="majorEastAsia" w:hAnsiTheme="majorEastAsia" w:eastAsiaTheme="majorEastAsia"/>
                <w:color w:val="auto"/>
                <w:highlight w:val="none"/>
                <w:shd w:val="clear" w:color="auto" w:fill="FFFFFF"/>
                <w:lang w:eastAsia="zh-CN"/>
              </w:rPr>
              <w:t>≥</w:t>
            </w:r>
            <w:r>
              <w:rPr>
                <w:rFonts w:hint="eastAsia" w:cs="宋体" w:asciiTheme="majorEastAsia" w:hAnsiTheme="majorEastAsia" w:eastAsiaTheme="majorEastAsia"/>
                <w:color w:val="auto"/>
                <w:highlight w:val="none"/>
                <w:lang w:eastAsia="zh-CN"/>
              </w:rPr>
              <w:t>5×5mm；测量螺纹轴：M10-16，长≥78mm；测量齿轮：Z=20，m=3，齿宽≥14mm。</w:t>
            </w:r>
          </w:p>
        </w:tc>
        <w:tc>
          <w:tcPr>
            <w:tcW w:w="0" w:type="auto"/>
            <w:vAlign w:val="center"/>
          </w:tcPr>
          <w:p w14:paraId="2024F43B">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4BA3D38">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r>
              <w:rPr>
                <w:rFonts w:cs="宋体" w:asciiTheme="majorEastAsia" w:hAnsiTheme="majorEastAsia" w:eastAsiaTheme="majorEastAsia"/>
                <w:color w:val="auto"/>
                <w:highlight w:val="none"/>
              </w:rPr>
              <w:t>0</w:t>
            </w:r>
          </w:p>
        </w:tc>
      </w:tr>
      <w:tr w14:paraId="1DA223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140567EF">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2E7104E1">
            <w:pPr>
              <w:keepNext/>
              <w:kinsoku/>
              <w:rPr>
                <w:rFonts w:hint="eastAsia" w:cs="宋体" w:asciiTheme="majorEastAsia" w:hAnsiTheme="majorEastAsia" w:eastAsiaTheme="majorEastAsia"/>
                <w:bCs/>
                <w:color w:val="auto"/>
                <w:highlight w:val="none"/>
              </w:rPr>
            </w:pPr>
          </w:p>
        </w:tc>
        <w:tc>
          <w:tcPr>
            <w:tcW w:w="1440" w:type="dxa"/>
            <w:vAlign w:val="center"/>
          </w:tcPr>
          <w:p w14:paraId="40D50966">
            <w:pPr>
              <w:keepNext/>
              <w:kinsoku/>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表面粗糙度对比检测</w:t>
            </w:r>
          </w:p>
        </w:tc>
        <w:tc>
          <w:tcPr>
            <w:tcW w:w="3882" w:type="dxa"/>
            <w:vAlign w:val="center"/>
          </w:tcPr>
          <w:p w14:paraId="47D669D7">
            <w:pPr>
              <w:keepNext/>
              <w:kinsoku/>
              <w:textAlignment w:val="center"/>
              <w:rPr>
                <w:rFonts w:hint="eastAsia" w:cs="宋体" w:asciiTheme="majorEastAsia" w:hAnsiTheme="majorEastAsia" w:eastAsiaTheme="majorEastAsia"/>
                <w:color w:val="auto"/>
                <w:highlight w:val="none"/>
                <w:shd w:val="clear" w:color="auto" w:fill="FFFFFF"/>
                <w:lang w:eastAsia="zh-CN"/>
              </w:rPr>
            </w:pPr>
            <w:r>
              <w:rPr>
                <w:rFonts w:cs="宋体" w:asciiTheme="majorEastAsia" w:hAnsiTheme="majorEastAsia" w:eastAsiaTheme="majorEastAsia"/>
                <w:color w:val="auto"/>
                <w:highlight w:val="none"/>
                <w:shd w:val="clear" w:color="auto" w:fill="FFFFFF"/>
                <w:lang w:eastAsia="zh-CN"/>
              </w:rPr>
              <w:t>1、</w:t>
            </w:r>
            <w:r>
              <w:rPr>
                <w:rFonts w:hint="eastAsia" w:cs="宋体" w:asciiTheme="majorEastAsia" w:hAnsiTheme="majorEastAsia" w:eastAsiaTheme="majorEastAsia"/>
                <w:color w:val="auto"/>
                <w:highlight w:val="none"/>
                <w:shd w:val="clear" w:color="auto" w:fill="FFFFFF"/>
                <w:lang w:eastAsia="zh-CN"/>
              </w:rPr>
              <w:t>对比样块：外圆车削表面粗糙度对比样块≥1套；端铣表面粗糙度对比样块≥1套；刨削表面粗糙度对比样块≥1套；平面磨削表面粗糙度对比样块≥1套。</w:t>
            </w:r>
          </w:p>
          <w:p w14:paraId="07A74A81">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shd w:val="clear" w:color="auto" w:fill="FFFFFF"/>
                <w:lang w:eastAsia="zh-CN"/>
              </w:rPr>
              <w:t>2、检验零件（不锈钢）：外圆车削表面粗糙度对比零件≥1套；端铣表面粗糙度对比零件≥1套；刨削表面粗糙度对比零件≥1套；平面磨削表面粗糙度对比零件≥1套。</w:t>
            </w:r>
          </w:p>
        </w:tc>
        <w:tc>
          <w:tcPr>
            <w:tcW w:w="0" w:type="auto"/>
            <w:vAlign w:val="center"/>
          </w:tcPr>
          <w:p w14:paraId="37E1F1D5">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72075058">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r>
              <w:rPr>
                <w:rFonts w:cs="宋体" w:asciiTheme="majorEastAsia" w:hAnsiTheme="majorEastAsia" w:eastAsiaTheme="majorEastAsia"/>
                <w:color w:val="auto"/>
                <w:highlight w:val="none"/>
              </w:rPr>
              <w:t>0</w:t>
            </w:r>
          </w:p>
        </w:tc>
      </w:tr>
      <w:tr w14:paraId="497F0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02F1BA6">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5A44A17E">
            <w:pPr>
              <w:keepNext/>
              <w:kinsoku/>
              <w:rPr>
                <w:rFonts w:hint="eastAsia" w:cs="宋体" w:asciiTheme="majorEastAsia" w:hAnsiTheme="majorEastAsia" w:eastAsiaTheme="majorEastAsia"/>
                <w:bCs/>
                <w:color w:val="auto"/>
                <w:highlight w:val="none"/>
              </w:rPr>
            </w:pPr>
          </w:p>
        </w:tc>
        <w:tc>
          <w:tcPr>
            <w:tcW w:w="1440" w:type="dxa"/>
            <w:vAlign w:val="center"/>
          </w:tcPr>
          <w:p w14:paraId="15F45816">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减速器部件综合精度检测</w:t>
            </w:r>
          </w:p>
        </w:tc>
        <w:tc>
          <w:tcPr>
            <w:tcW w:w="3882" w:type="dxa"/>
            <w:vAlign w:val="center"/>
          </w:tcPr>
          <w:p w14:paraId="59E3FA64">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精密综合检测部件（钢制一级圆柱齿轮减速器</w:t>
            </w:r>
            <w:r>
              <w:rPr>
                <w:rFonts w:hint="eastAsia" w:cs="宋体" w:asciiTheme="majorEastAsia" w:hAnsiTheme="majorEastAsia" w:eastAsiaTheme="majorEastAsia"/>
                <w:color w:val="auto"/>
                <w:highlight w:val="none"/>
                <w:shd w:val="clear" w:color="auto" w:fill="FFFFFF"/>
                <w:lang w:eastAsia="zh-CN"/>
              </w:rPr>
              <w:t>≥1</w:t>
            </w:r>
            <w:r>
              <w:rPr>
                <w:rFonts w:hint="eastAsia" w:cs="宋体" w:asciiTheme="majorEastAsia" w:hAnsiTheme="majorEastAsia" w:eastAsiaTheme="majorEastAsia"/>
                <w:color w:val="auto"/>
                <w:highlight w:val="none"/>
                <w:lang w:eastAsia="zh-CN"/>
              </w:rPr>
              <w:t>台）：外形尺寸</w:t>
            </w:r>
            <w:r>
              <w:rPr>
                <w:rFonts w:hint="eastAsia" w:cs="宋体" w:asciiTheme="majorEastAsia" w:hAnsiTheme="majorEastAsia" w:eastAsiaTheme="majorEastAsia"/>
                <w:color w:val="auto"/>
                <w:highlight w:val="none"/>
                <w:shd w:val="clear" w:color="auto" w:fill="FFFFFF"/>
                <w:lang w:eastAsia="zh-CN"/>
              </w:rPr>
              <w:t>≥</w:t>
            </w:r>
            <w:r>
              <w:rPr>
                <w:rFonts w:hint="eastAsia" w:cs="宋体" w:asciiTheme="majorEastAsia" w:hAnsiTheme="majorEastAsia" w:eastAsiaTheme="majorEastAsia"/>
                <w:color w:val="auto"/>
                <w:highlight w:val="none"/>
                <w:lang w:eastAsia="zh-CN"/>
              </w:rPr>
              <w:t>150×132×106mm；重量：≥2kg；速比：1:2；精度等级：≥7 级；大齿轮参数：Z2＝32，m=2（7-7-7FJ）；小齿轮参数：Z1＝16，m=2（7-7-7FJ）；中心距：48±0.015。</w:t>
            </w:r>
          </w:p>
        </w:tc>
        <w:tc>
          <w:tcPr>
            <w:tcW w:w="0" w:type="auto"/>
            <w:vAlign w:val="center"/>
          </w:tcPr>
          <w:p w14:paraId="1A09A339">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7EC793D3">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r>
              <w:rPr>
                <w:rFonts w:cs="宋体" w:asciiTheme="majorEastAsia" w:hAnsiTheme="majorEastAsia" w:eastAsiaTheme="majorEastAsia"/>
                <w:color w:val="auto"/>
                <w:highlight w:val="none"/>
              </w:rPr>
              <w:t>0</w:t>
            </w:r>
          </w:p>
        </w:tc>
      </w:tr>
      <w:tr w14:paraId="4A34E2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2" w:hRule="atLeast"/>
        </w:trPr>
        <w:tc>
          <w:tcPr>
            <w:tcW w:w="0" w:type="auto"/>
            <w:vMerge w:val="continue"/>
            <w:vAlign w:val="center"/>
          </w:tcPr>
          <w:p w14:paraId="29836F22">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324B4052">
            <w:pPr>
              <w:keepNext/>
              <w:kinsoku/>
              <w:rPr>
                <w:rFonts w:hint="eastAsia" w:cs="宋体" w:asciiTheme="majorEastAsia" w:hAnsiTheme="majorEastAsia" w:eastAsiaTheme="majorEastAsia"/>
                <w:bCs/>
                <w:color w:val="auto"/>
                <w:highlight w:val="none"/>
              </w:rPr>
            </w:pPr>
          </w:p>
        </w:tc>
        <w:tc>
          <w:tcPr>
            <w:tcW w:w="1440" w:type="dxa"/>
            <w:vAlign w:val="center"/>
          </w:tcPr>
          <w:p w14:paraId="0BEF62E2">
            <w:pPr>
              <w:keepNext/>
              <w:kinsoku/>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文件柜</w:t>
            </w:r>
          </w:p>
        </w:tc>
        <w:tc>
          <w:tcPr>
            <w:tcW w:w="3882" w:type="dxa"/>
            <w:vAlign w:val="center"/>
          </w:tcPr>
          <w:p w14:paraId="79B12A73">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铁皮柜≥宽900mm×深450mm×高2000mm，框式门，门框内嵌玻璃，柜体钢板厚度1.5mm。</w:t>
            </w:r>
          </w:p>
        </w:tc>
        <w:tc>
          <w:tcPr>
            <w:tcW w:w="0" w:type="auto"/>
            <w:vAlign w:val="center"/>
          </w:tcPr>
          <w:p w14:paraId="1CB68061">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个</w:t>
            </w:r>
          </w:p>
        </w:tc>
        <w:tc>
          <w:tcPr>
            <w:tcW w:w="442" w:type="dxa"/>
            <w:vAlign w:val="center"/>
          </w:tcPr>
          <w:p w14:paraId="2067D3CB">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6</w:t>
            </w:r>
          </w:p>
        </w:tc>
      </w:tr>
      <w:tr w14:paraId="0748CF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restart"/>
            <w:vAlign w:val="center"/>
          </w:tcPr>
          <w:p w14:paraId="69DB39E1">
            <w:pPr>
              <w:keepNext/>
              <w:kinsoku/>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4</w:t>
            </w:r>
          </w:p>
        </w:tc>
        <w:tc>
          <w:tcPr>
            <w:tcW w:w="1766" w:type="dxa"/>
            <w:vMerge w:val="restart"/>
            <w:vAlign w:val="center"/>
          </w:tcPr>
          <w:p w14:paraId="1A4861A1">
            <w:pPr>
              <w:keepNext/>
              <w:kinsoku/>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教学应用资源</w:t>
            </w:r>
          </w:p>
        </w:tc>
        <w:tc>
          <w:tcPr>
            <w:tcW w:w="1440" w:type="dxa"/>
            <w:vAlign w:val="center"/>
          </w:tcPr>
          <w:p w14:paraId="65D61EC0">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公差配合与测量技术实训平台教学资源</w:t>
            </w:r>
          </w:p>
        </w:tc>
        <w:tc>
          <w:tcPr>
            <w:tcW w:w="3882" w:type="dxa"/>
            <w:vAlign w:val="center"/>
          </w:tcPr>
          <w:p w14:paraId="62668D9B">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1、配套教材资源：机械工业出版社出版的《互换性与技术测量》和《机械制图》教</w:t>
            </w:r>
            <w:r>
              <w:rPr>
                <w:rFonts w:hint="eastAsia" w:cs="宋体" w:asciiTheme="majorEastAsia" w:hAnsiTheme="majorEastAsia" w:eastAsiaTheme="majorEastAsia"/>
                <w:color w:val="auto"/>
                <w:highlight w:val="none"/>
                <w:shd w:val="clear"/>
                <w:lang w:eastAsia="zh-CN"/>
              </w:rPr>
              <w:t>材</w:t>
            </w:r>
            <w:r>
              <w:rPr>
                <w:rFonts w:hint="eastAsia" w:cs="宋体" w:asciiTheme="majorEastAsia" w:hAnsiTheme="majorEastAsia" w:eastAsiaTheme="majorEastAsia"/>
                <w:color w:val="auto"/>
                <w:highlight w:val="none"/>
                <w:lang w:eastAsia="zh-CN"/>
              </w:rPr>
              <w:t>。</w:t>
            </w:r>
          </w:p>
          <w:p w14:paraId="135355B1">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2、</w:t>
            </w:r>
            <w:r>
              <w:rPr>
                <w:rFonts w:hint="eastAsia" w:cs="宋体" w:asciiTheme="majorEastAsia" w:hAnsiTheme="majorEastAsia" w:eastAsiaTheme="majorEastAsia"/>
                <w:color w:val="auto"/>
                <w:highlight w:val="none"/>
                <w:lang w:eastAsia="zh-CN"/>
              </w:rPr>
              <w:t>数字化立体教材软件平台要求：</w:t>
            </w:r>
          </w:p>
          <w:p w14:paraId="7F0B2DBB">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1）软件平台应基于云端的开放性平台，采用HTML5网页技术开发，支持离线在线访问，可与学校数字化校园网互联互通，可无缝进行数据互传，可开放连接校园网网络接口，通过账号或密码可访问该资源，后台资源实时更新。</w:t>
            </w:r>
          </w:p>
          <w:p w14:paraId="6AE6553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2）平台发布资源应具有3D效果，支持文档搜索、复制、放大、缩小、打印、文档处理等功能。</w:t>
            </w:r>
          </w:p>
          <w:p w14:paraId="21612489">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3）平台应集成设备服务系统，可完成查看设备信息包含技术配置、使用说明，质检报告等，可完成设备远程保修及技术支持，通过文字描述、图片等寻求厂家技术服务。</w:t>
            </w:r>
          </w:p>
          <w:p w14:paraId="26C35CB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4）资源应集成设备实训指导书。</w:t>
            </w:r>
          </w:p>
          <w:p w14:paraId="2FC95E48">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5）须集成符合机械传动平台比赛资源包；应提供机械传动平台的相关的各种赛事试题。赛事种类≥五种（要求为省级及以上赛事，国家一类赛事≥两项），应提供有评分标准，试题≥10套。</w:t>
            </w:r>
          </w:p>
          <w:p w14:paraId="5B32BCA8">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6）可调用演示机械传动组件一、机械传动组件二的两种组合方案的运行视频（须基于实际设备）。</w:t>
            </w:r>
          </w:p>
          <w:p w14:paraId="447C6454">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7）可调用演示“联轴器对中辅助软件”功能及对中过程。</w:t>
            </w:r>
          </w:p>
          <w:p w14:paraId="7321C88C">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w:t>
            </w:r>
            <w:r>
              <w:rPr>
                <w:rFonts w:hint="eastAsia" w:cs="宋体" w:asciiTheme="majorEastAsia" w:hAnsiTheme="majorEastAsia" w:eastAsiaTheme="majorEastAsia"/>
                <w:color w:val="auto"/>
                <w:highlight w:val="none"/>
                <w:lang w:eastAsia="zh-CN"/>
              </w:rPr>
              <w:t>8）要求可访问调用电力拖动仿真实训软件。为保证所投产品满足本项目技术要求及国家现行相关标准，投标时须提供相关符合性证明材料。</w:t>
            </w:r>
          </w:p>
          <w:p w14:paraId="7217A17C">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w:t>
            </w:r>
            <w:r>
              <w:rPr>
                <w:rFonts w:hint="eastAsia" w:cs="宋体" w:asciiTheme="majorEastAsia" w:hAnsiTheme="majorEastAsia" w:eastAsiaTheme="majorEastAsia"/>
                <w:color w:val="auto"/>
                <w:highlight w:val="none"/>
                <w:lang w:eastAsia="zh-CN"/>
              </w:rPr>
              <w:t>9）要求可访问调用机床电气仿真实训软件</w:t>
            </w:r>
            <w:bookmarkStart w:id="1" w:name="OLE_LINK1"/>
            <w:r>
              <w:rPr>
                <w:rFonts w:hint="eastAsia" w:cs="宋体" w:asciiTheme="majorEastAsia" w:hAnsiTheme="majorEastAsia" w:eastAsiaTheme="majorEastAsia"/>
                <w:color w:val="auto"/>
                <w:highlight w:val="none"/>
                <w:lang w:eastAsia="zh-CN"/>
              </w:rPr>
              <w:t>。</w:t>
            </w:r>
            <w:bookmarkEnd w:id="1"/>
            <w:r>
              <w:rPr>
                <w:rFonts w:hint="eastAsia" w:cs="宋体" w:asciiTheme="majorEastAsia" w:hAnsiTheme="majorEastAsia" w:eastAsiaTheme="majorEastAsia"/>
                <w:color w:val="auto"/>
                <w:highlight w:val="none"/>
                <w:lang w:eastAsia="zh-CN"/>
              </w:rPr>
              <w:t>为保证所投产品满足本项目技术要求及国家现行相关标准，投标时须提供相关符合性证明材料。</w:t>
            </w:r>
          </w:p>
          <w:p w14:paraId="0F9B115A">
            <w:pPr>
              <w:keepNext/>
              <w:kinsoku/>
              <w:rPr>
                <w:rFonts w:hint="eastAsia" w:cs="宋体" w:asciiTheme="majorEastAsia" w:hAnsiTheme="majorEastAsia" w:eastAsiaTheme="majorEastAsia"/>
                <w:color w:val="auto"/>
                <w:highlight w:val="none"/>
                <w:lang w:eastAsia="zh-CN"/>
              </w:rPr>
            </w:pPr>
            <w:r>
              <w:rPr>
                <w:rFonts w:hint="eastAsia"/>
                <w:color w:val="auto"/>
                <w:highlight w:val="none"/>
                <w:lang w:eastAsia="zh-CN"/>
              </w:rPr>
              <w:t>★</w:t>
            </w:r>
            <w:r>
              <w:rPr>
                <w:rFonts w:hint="eastAsia" w:cs="宋体" w:asciiTheme="majorEastAsia" w:hAnsiTheme="majorEastAsia" w:eastAsiaTheme="majorEastAsia"/>
                <w:color w:val="auto"/>
                <w:highlight w:val="none"/>
                <w:lang w:eastAsia="zh-CN"/>
              </w:rPr>
              <w:t>3、为保障实训教学稳定，融入互联网+设备运维系统，具有功能要求如下：用户通过手机扫描后就可以快速提交服务需求，能够通过文字、现场照片和视频精准描述设备故障。设备信息包括产品型号名称、出厂日期、过保日期、设备装箱单、实训指导书等。客户端发送服务请求后，服务端自动生成服务工单，内容包括负责人、联系方式、工单进度链接，客户可以通过链接了解服务进度。为保护知识产权和方便后期维护升级，要求互联网+设备运维系统与公差配合与测量技术实训平台兼容。</w:t>
            </w:r>
            <w:r>
              <w:rPr>
                <w:rFonts w:hint="eastAsia"/>
                <w:color w:val="auto"/>
                <w:highlight w:val="none"/>
                <w:lang w:eastAsia="zh-CN"/>
              </w:rPr>
              <w:t>为避免纠纷，所投产品不存在侵权情形，投标时提供相关证明材料。</w:t>
            </w:r>
          </w:p>
          <w:p w14:paraId="4AF5748C">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4、</w:t>
            </w:r>
            <w:r>
              <w:rPr>
                <w:rFonts w:hint="eastAsia" w:cs="宋体" w:asciiTheme="majorEastAsia" w:hAnsiTheme="majorEastAsia" w:eastAsiaTheme="majorEastAsia"/>
                <w:color w:val="auto"/>
                <w:highlight w:val="none"/>
                <w:lang w:eastAsia="zh-CN"/>
              </w:rPr>
              <w:t>齿轮范成仿真测试软件要求：具有齿轮范成相关参数设置选项，内置国标一、二系列模数数据。既可自动计算出齿轮相关参数并自动生成范成轮廓；也可采用手动方式，可以一步步看到整个范成过程。</w:t>
            </w:r>
          </w:p>
          <w:p w14:paraId="45850A4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5、联轴器对中辅助软件要求：联轴器对中辅助软件须至少包含以下功能：软件支持Android平台；公英制单位设置选择； 3D动画界面设计；对中步骤引导；测量数据修正；夹具挠度补偿；自动计算对中结果、调整量提示。</w:t>
            </w:r>
          </w:p>
          <w:p w14:paraId="1BE93E4F">
            <w:pPr>
              <w:keepNext/>
              <w:kinsoku/>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lang w:eastAsia="zh-CN"/>
              </w:rPr>
              <w:t>6、</w:t>
            </w:r>
            <w:r>
              <w:rPr>
                <w:rFonts w:hint="eastAsia" w:cs="宋体" w:asciiTheme="majorEastAsia" w:hAnsiTheme="majorEastAsia" w:eastAsiaTheme="majorEastAsia"/>
                <w:color w:val="auto"/>
                <w:highlight w:val="none"/>
                <w:lang w:eastAsia="zh-CN"/>
              </w:rPr>
              <w:t>世赛资源包要求：最近一届工业机械赛项机械传动平台模块的试题；工业机械赛项机械传动模块比赛平台配套资源。齿轮传动1：齿轮传动概述、正齿轮安装、齿轮间隙调整、速度与速比等。带传动1：带传动概述、带传动安装与带轮对中、带传动张力计算、带轮节圆直径、速度与扭矩比等。链传动1：链传动概述、链条安装与链轮对中、链条张力计算、速度、扭矩与链轮速比。齿轮传动2：斜齿轮、蜗轮蜗杆、锥齿轮、齿轮箱等。带传动2：同步带传动、变速带传动、多速带传动、多槽带传动等。链传动2：多排链传动、惰轮等。轴承与密封：相关轴承与密封模型。轴对中：直尺与塞尺、机械表打表、激光对中、法兰联轴器、挠性联轴器等。</w:t>
            </w:r>
            <w:r>
              <w:rPr>
                <w:rFonts w:hint="eastAsia" w:cs="宋体" w:asciiTheme="majorEastAsia" w:hAnsiTheme="majorEastAsia" w:eastAsiaTheme="majorEastAsia"/>
                <w:color w:val="auto"/>
                <w:highlight w:val="none"/>
              </w:rPr>
              <w:t>振动测量、离合制动器等。</w:t>
            </w:r>
          </w:p>
          <w:p w14:paraId="5E082CB9">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7、机械机构3D资源库：资源库以3D形式自动演示机械机构的运行情况。资源库内容≥300项（投标文件中列出各项具体名称）。</w:t>
            </w:r>
          </w:p>
          <w:p w14:paraId="7AA88EBE">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8、</w:t>
            </w:r>
            <w:r>
              <w:rPr>
                <w:rFonts w:hint="eastAsia" w:cs="宋体" w:asciiTheme="majorEastAsia" w:hAnsiTheme="majorEastAsia" w:eastAsiaTheme="majorEastAsia"/>
                <w:color w:val="auto"/>
                <w:highlight w:val="none"/>
                <w:lang w:eastAsia="zh-CN"/>
              </w:rPr>
              <w:t>机械仿真加工软件：兼容安卓系统，方便移动端安装学习。具有新建、打开、保存工程功能，提供有≥10个样例工程。至少支持一种机械加工程序指令编程，均有程序实时监控功能。基于3D软件功能，具有三维移动、旋转、缩放功能，≥5个3维视角，可观察三维仿真加工过程。具有设备运转音效，营造逼真的运行环境。配有虚拟量具，可进行尺寸测量。</w:t>
            </w:r>
          </w:p>
          <w:p w14:paraId="2F79118D">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9、十字工作台装配与工艺微程开发：围绕十字工作台装配与工艺设计制作6-10分钟微课，包含十字工作台的组成、装配工艺、装配过程与方法等。</w:t>
            </w:r>
          </w:p>
          <w:p w14:paraId="52A311E2">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10、</w:t>
            </w:r>
            <w:r>
              <w:rPr>
                <w:rFonts w:hint="eastAsia" w:cs="宋体" w:asciiTheme="majorEastAsia" w:hAnsiTheme="majorEastAsia" w:eastAsiaTheme="majorEastAsia"/>
                <w:color w:val="auto"/>
                <w:highlight w:val="none"/>
                <w:lang w:eastAsia="zh-CN"/>
              </w:rPr>
              <w:t>机械装配与调试微课：带传动的组成及工作原理；V带传动的安装与调试；用笔型传动带张力测试仪检测张力；链传动的组成及工作原理；链传动的安装与调试；齿侧间隙的检验；）齿轮与轴的装配。</w:t>
            </w:r>
          </w:p>
          <w:p w14:paraId="54F1E5C4">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11、</w:t>
            </w:r>
            <w:r>
              <w:rPr>
                <w:rFonts w:hint="eastAsia" w:cs="宋体" w:asciiTheme="majorEastAsia" w:hAnsiTheme="majorEastAsia" w:eastAsiaTheme="majorEastAsia"/>
                <w:color w:val="auto"/>
                <w:highlight w:val="none"/>
                <w:lang w:eastAsia="zh-CN"/>
              </w:rPr>
              <w:t>机械系统设计分析教程：采用多媒体视频教程形式，主要内容包含以下内容：坐标体系介绍；旋转副；滑动副；滑动旋转副；模型制作、碰撞模拟；柔性绳缆；滑轮组模拟；弹性杆模拟；导入外部CAD模型和参数继承。</w:t>
            </w:r>
          </w:p>
          <w:p w14:paraId="5F0861C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1</w:t>
            </w:r>
            <w:r>
              <w:rPr>
                <w:rFonts w:cs="宋体" w:asciiTheme="majorEastAsia" w:hAnsiTheme="majorEastAsia" w:eastAsiaTheme="majorEastAsia"/>
                <w:color w:val="auto"/>
                <w:highlight w:val="none"/>
                <w:lang w:eastAsia="zh-CN"/>
              </w:rPr>
              <w:t>2、</w:t>
            </w:r>
            <w:r>
              <w:rPr>
                <w:rFonts w:hint="eastAsia" w:cs="宋体" w:asciiTheme="majorEastAsia" w:hAnsiTheme="majorEastAsia" w:eastAsiaTheme="majorEastAsia"/>
                <w:color w:val="auto"/>
                <w:highlight w:val="none"/>
                <w:lang w:eastAsia="zh-CN"/>
              </w:rPr>
              <w:t>智擎多模态交互平台：采用多模态智能引擎架构，支持DeepSeek、Qwen、豆包等主流大模型无缝接入，结合私有化RAG（检索增强生成）引擎与动态微调技术，构建可扩展的认知计算中枢。通过Web/移动多端智能适配，提供全栈式AI能力开放接口，实现知识检索与生成能力的深度融合；支持输入输出管理、公有库调用、用户管理、AI题库管理，可以用于基础知识视频学习、实训项目教学指导、样例程序编写、程序纠错、AI出题。</w:t>
            </w:r>
          </w:p>
          <w:p w14:paraId="5F9CC7E4">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（1）智能交互中枢：多模态输入系统，支持文本/语音双通道智能识别，集成多方言语音识别引擎。动态意图解析引擎，全媒体内容生成：支持文本/表格/图表/视频的多模态输出。</w:t>
            </w:r>
          </w:p>
          <w:p w14:paraId="1CAD6E8A">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2）工业级RAG知识中枢：公有知识库由管理员后台管理，包含液压与气动类知识库，机电一体化类知识库，工业机器人类知识库，机械与钳工类知识库，数控机床类知识库，制冷与热工类知识库、楼宇与建筑类知识库，电工电子类知识库，超50万条结构化知识单元。</w:t>
            </w:r>
          </w:p>
          <w:p w14:paraId="44766F83">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（3）智能评估中枢：可自动输出理论考卷和实操考卷。理论部分支持单选题、多选题、判断题、简答题，单一类型出题，也可混合出题，并输出参考答案，实操部分支持实操任务书和评分表。</w:t>
            </w:r>
          </w:p>
          <w:p w14:paraId="0EA0C418">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b/>
                <w:bCs/>
                <w:color w:val="auto"/>
                <w:highlight w:val="none"/>
                <w:lang w:eastAsia="zh-CN"/>
              </w:rPr>
              <w:t>13、互联网+教学资源管理平台（</w:t>
            </w:r>
            <w:r>
              <w:rPr>
                <w:rFonts w:hint="eastAsia" w:cs="宋体" w:asciiTheme="majorEastAsia" w:hAnsiTheme="majorEastAsia" w:eastAsiaTheme="majorEastAsia"/>
                <w:b/>
                <w:bCs/>
                <w:color w:val="auto"/>
                <w:highlight w:val="none"/>
                <w:lang w:val="en-US" w:eastAsia="zh-CN"/>
              </w:rPr>
              <w:t>需上传演示视频</w:t>
            </w:r>
            <w:r>
              <w:rPr>
                <w:rFonts w:hint="eastAsia" w:cs="宋体" w:asciiTheme="majorEastAsia" w:hAnsiTheme="majorEastAsia" w:eastAsiaTheme="majorEastAsia"/>
                <w:b/>
                <w:bCs/>
                <w:color w:val="auto"/>
                <w:highlight w:val="none"/>
                <w:lang w:eastAsia="zh-CN"/>
              </w:rPr>
              <w:t>）</w:t>
            </w:r>
            <w:r>
              <w:rPr>
                <w:rFonts w:hint="eastAsia" w:cs="宋体" w:asciiTheme="majorEastAsia" w:hAnsiTheme="majorEastAsia" w:eastAsiaTheme="majorEastAsia"/>
                <w:color w:val="auto"/>
                <w:highlight w:val="none"/>
                <w:lang w:eastAsia="zh-CN"/>
              </w:rPr>
              <w:t>：平台采用跨</w:t>
            </w:r>
            <w:r>
              <w:rPr>
                <w:rFonts w:cs="宋体" w:asciiTheme="majorEastAsia" w:hAnsiTheme="majorEastAsia" w:eastAsiaTheme="majorEastAsia"/>
                <w:color w:val="auto"/>
                <w:highlight w:val="none"/>
                <w:lang w:eastAsia="zh-CN"/>
              </w:rPr>
              <w:t>平台的 B/S 框架，系统能够同时满足手机、平板和计算机等访问，并且提供 WEB、微信小程序、ANDROID、IOS 多终端设备免安装软件学习。平台支持 PC 端和微信小程序端访问，可分享课程二维码，直接微信扫码观看，</w:t>
            </w:r>
            <w:r>
              <w:rPr>
                <w:rFonts w:hint="eastAsia" w:cs="宋体" w:asciiTheme="majorEastAsia" w:hAnsiTheme="majorEastAsia" w:eastAsiaTheme="majorEastAsia"/>
                <w:color w:val="auto"/>
                <w:highlight w:val="none"/>
                <w:lang w:eastAsia="zh-CN"/>
              </w:rPr>
              <w:t>平台须具有以下视频资源。</w:t>
            </w:r>
          </w:p>
          <w:p w14:paraId="488F757B">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 xml:space="preserve">（1）工业机器人资源：≥七种品牌，ABB 课时≥15 节，FANUC 课时≥60 节，KUKA 课时≥25 节，YASKAWA 课时≥25 节，其它每种品牌课时均≥15 节。 </w:t>
            </w:r>
          </w:p>
          <w:p w14:paraId="429AC254">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 xml:space="preserve">（2）可编程控制器资源：≥4 种，200 SMART课时≥25 节，1200 课时≥70 节，F×5U 课时≥100 节，F×3U 课时≥40 节。 </w:t>
            </w:r>
          </w:p>
          <w:p w14:paraId="461DF7C4">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 xml:space="preserve">（3）工业驱动资源：V90 伺服课时≥40 节，V20 变频器课时≥20 节，G120 变频器课时≥7 节。 </w:t>
            </w:r>
          </w:p>
          <w:p w14:paraId="06B6FF96">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 xml:space="preserve">（4）其它资源：液压技术课时≥60 节，触摸屏课时≥15 节，电气控制技术课时≥70节，工业机械课时≥25 节。 </w:t>
            </w:r>
          </w:p>
          <w:p w14:paraId="3577C7C1">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 xml:space="preserve">（5）平台应设有考核系统，后台题库数量：≥850 题。组卷方式应支持选题组卷、抽题组卷、随机组卷、综合组卷；答题时长可设置为整卷限时和单题限时两种模式。 </w:t>
            </w:r>
          </w:p>
          <w:p w14:paraId="4F36FBAC">
            <w:pPr>
              <w:keepNext/>
              <w:kinsoku/>
              <w:rPr>
                <w:rFonts w:hint="eastAsia" w:cs="宋体" w:asciiTheme="majorEastAsia" w:hAnsiTheme="majorEastAsia" w:eastAsiaTheme="majorEastAsia"/>
                <w:color w:val="auto"/>
                <w:highlight w:val="none"/>
                <w:lang w:eastAsia="zh-CN"/>
              </w:rPr>
            </w:pPr>
            <w:r>
              <w:rPr>
                <w:rFonts w:cs="宋体" w:asciiTheme="majorEastAsia" w:hAnsiTheme="majorEastAsia" w:eastAsiaTheme="majorEastAsia"/>
                <w:color w:val="auto"/>
                <w:highlight w:val="none"/>
                <w:lang w:eastAsia="zh-CN"/>
              </w:rPr>
              <w:t>（6）试卷具有单选题、多选题、填空题、判断题、问答题、组合题、录音题七种大题。创建的试卷支持在线预览和 word 下载操作；学生考试可指定答卷时长、不限次数和及格线；支持微信扫码和分享链接等方式考试。</w:t>
            </w:r>
          </w:p>
          <w:p w14:paraId="0B61D70B">
            <w:pPr>
              <w:keepNext/>
              <w:kinsoku/>
              <w:rPr>
                <w:color w:val="auto"/>
                <w:highlight w:val="none"/>
                <w:lang w:eastAsia="zh-CN"/>
              </w:rPr>
            </w:pPr>
            <w:r>
              <w:rPr>
                <w:rFonts w:hint="eastAsia"/>
                <w:color w:val="auto"/>
                <w:highlight w:val="none"/>
                <w:shd w:val="clear"/>
                <w:lang w:eastAsia="zh-CN"/>
              </w:rPr>
              <w:t>★</w:t>
            </w:r>
            <w:r>
              <w:rPr>
                <w:rFonts w:hint="eastAsia" w:cs="宋体" w:asciiTheme="majorEastAsia" w:hAnsiTheme="majorEastAsia" w:eastAsiaTheme="majorEastAsia"/>
                <w:color w:val="auto"/>
                <w:highlight w:val="none"/>
                <w:shd w:val="clear"/>
                <w:lang w:eastAsia="zh-CN"/>
              </w:rPr>
              <w:t>14、赛训一体数字化教学管理系统：系统包含日常训练、赛项模拟、成绩查看、赛项议程、专家库、实训管理等功能。强调在教学过程中将学习、实训和竞赛三个环节有机整合。赛训一体化教学创新模式结合了信息化技术和赛训课程管理内容，可用于日常实训课程管理、学业测评、技能鉴定考核等。通过赛训一体激发学生学习的兴趣，提高专业技能、创新能力、团队协作能力等多方面能力。同时为便于用户的访问与操作，以下功能需在同一平台内，以免影响系统的整体兼容性、稳定性以及造成项目维护升级的不便利性。为保证所投产品满足本项目技术要求及国家现行相关标准，投标时须提供相关符合性证明材料。</w:t>
            </w:r>
          </w:p>
          <w:p w14:paraId="43838781">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（1）赛课系统要求： </w:t>
            </w:r>
          </w:p>
          <w:p w14:paraId="27F236C8">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a.赛道管理：根据赛事实际情况创建对应赛道，并以列表形式呈现赛道信息（如：赛道名称、赛道介绍、创建时间、赛道状态等）。 </w:t>
            </w:r>
          </w:p>
          <w:p w14:paraId="122C651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b.赛项管理：支持赛事的赛项管理，支持创建自定义赛项并以列表呈现赛项信息（如：赛项名称、赛项介绍、开始时间、结束时间、创建时间、赛项状态）；并可以按照组织架构批量导入参赛人员。 </w:t>
            </w:r>
          </w:p>
          <w:p w14:paraId="4C2F9D77">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c.活动管理：系统可实现学校活动的管理，并以列表形式列出创建的活动信息（如：活动名称、活动简介、开始时间、结束时间、报名人数、创建时间、活动状态）；并且可以查看报名人员列表的信息 （如：工号、姓名、手机、所属学院）；支持报名人员信息以 excel 的格式批量导入并提供导入模板。</w:t>
            </w:r>
          </w:p>
          <w:p w14:paraId="59B8C435">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d.赛事评委：系统默认需包含赛事评委的角色，支持给用户设定角色。</w:t>
            </w:r>
          </w:p>
          <w:p w14:paraId="204C0743">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e.合作机构：系统需支持合作机构的管理，并以列表形式呈现合作机构信息（如：机构名称、跳转链接、创建时间、状态等）。 </w:t>
            </w:r>
          </w:p>
          <w:p w14:paraId="1FBF5F4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f.专家资源：支持拥有赛事评委角色的用户发起专家资格申请，系统通过审核实现专家库的添加；同时需支持添加专家，并以列表的形式呈现专家信息（如：专家名称、专家手机、专家职称、专家来源、入库时间、状态等）；支持专家信息以 excel 的格式批量导入并提供导 </w:t>
            </w:r>
          </w:p>
          <w:p w14:paraId="0BB7A4C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入模板。</w:t>
            </w:r>
          </w:p>
          <w:p w14:paraId="1F3A1D2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g.理论在线考核：提供单选、多选、判断等题型及答案解析的录入；组卷规则：可配置各类题型、分值，师生考试时候可根据所选题库中的题目组卷；同时融入智能 AI 技术，AI 组卷：系统需支持将 PDF、Word、ppt 等多种格式的文件转换为自然语言，并支持根据得到的自然语 </w:t>
            </w:r>
          </w:p>
          <w:p w14:paraId="137DEC84">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言一键出题，且需支持多种题目类型的生成，包括单选题、多选题、判断题；生成的题目需支持一键导入到题库，方便教师组卷；系统需自动把选手的成绩按名次排序；数据大屏支持自定义显示前几名人员的信息，头像等；系统需支持考试信息以列表的形式呈现，包括人员、 </w:t>
            </w:r>
          </w:p>
          <w:p w14:paraId="60E73B06">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考试次数、分数、是否通过、考试时间等信息；并且支持一键导出考试明细，方便对考试成绩进行统计。</w:t>
            </w:r>
          </w:p>
          <w:p w14:paraId="21D0426D">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h.实操评分系统：系统需支持对赛项实操成绩手动录入和批量导入，并且排名数据需支持以列表的形式，包括名次、姓名、工号、得分、评委评分详情等数据；系统需支持管理员自定义计分方式，计分方式包含求平均值、去掉最高分最低分求平均值等方式；系统需支持根据计分方式自动把选手的成绩按名次排序；数据大屏支持自定义显示前几名人员的信息，头像等；系统支持赛项成绩一键导出到 EXCEL。</w:t>
            </w:r>
          </w:p>
          <w:p w14:paraId="4D9122F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i.数据统计：通过管理平台大数据分析、统计功能将赛项管理、实训管理、理论考核成绩排行、实操考核成绩排行、赛事完成率、赛事未完成率、理论实操平均分等数据进行综合统计分析，棒图显示，形成物联综合大数据并以可视化形式展示，以供参观、决策使用。</w:t>
            </w:r>
          </w:p>
          <w:p w14:paraId="53F84A7B">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（2）管理系统： </w:t>
            </w:r>
          </w:p>
          <w:p w14:paraId="774E3336">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a.实训方案管理：根据实训教学安排，创建对应的实训方案，并以列表形式呈现实训信息（如：方案标题、方案内容、实训目标、负责人、开始时间、结束时间等）。 </w:t>
            </w:r>
          </w:p>
          <w:p w14:paraId="0E0F995A">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b.实训资源管理：可实现实训课程对应的实训资源管理，以列表形式列出所选实训课程的课件资源信息（如：资源名称、资源类型、创建人、状态、创建时间等）可实现实训资源移动端查看，师生可在微信小程序点击查看相关资源。 </w:t>
            </w:r>
          </w:p>
          <w:p w14:paraId="077AD98E">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 xml:space="preserve">c.实训学生管理：可实现实训课程对应的学生管理，并以列表形式呈现学生信息（如：工号、学生姓名、邮箱、手机等）。 </w:t>
            </w:r>
          </w:p>
          <w:p w14:paraId="0EF8D77C">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d.实训考勤：支持教师在实训时间内通过微信小程序查看考勤二维码，学生可通过微信扫描考勤二维码完成考勤；支持按时间段查看学生考勤信息，并批量导入考勤信息（如工号、日期、姓名、部门、状态）。</w:t>
            </w:r>
          </w:p>
        </w:tc>
        <w:tc>
          <w:tcPr>
            <w:tcW w:w="0" w:type="auto"/>
            <w:vAlign w:val="center"/>
          </w:tcPr>
          <w:p w14:paraId="7B6F5AAE">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79F6AC9C">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5A60D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F5FE55E">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6CEF136C">
            <w:pPr>
              <w:keepNext/>
              <w:kinsoku/>
              <w:rPr>
                <w:rFonts w:hint="eastAsia" w:cs="宋体" w:asciiTheme="majorEastAsia" w:hAnsiTheme="majorEastAsia" w:eastAsiaTheme="majorEastAsia"/>
                <w:color w:val="auto"/>
                <w:highlight w:val="none"/>
              </w:rPr>
            </w:pPr>
          </w:p>
        </w:tc>
        <w:tc>
          <w:tcPr>
            <w:tcW w:w="1440" w:type="dxa"/>
            <w:vAlign w:val="center"/>
          </w:tcPr>
          <w:p w14:paraId="2AC912FE">
            <w:pPr>
              <w:keepNext/>
              <w:kinsoku/>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在线教育平台</w:t>
            </w:r>
          </w:p>
        </w:tc>
        <w:tc>
          <w:tcPr>
            <w:tcW w:w="3882" w:type="dxa"/>
            <w:vAlign w:val="center"/>
          </w:tcPr>
          <w:p w14:paraId="7EEA5E61">
            <w:pPr>
              <w:keepNext/>
              <w:kinsoku/>
              <w:rPr>
                <w:rFonts w:hint="eastAsia" w:asciiTheme="majorEastAsia" w:hAnsiTheme="majorEastAsia" w:eastAsiaTheme="majorEastAsia"/>
                <w:color w:val="auto"/>
                <w:highlight w:val="none"/>
                <w:lang w:eastAsia="zh-CN"/>
              </w:rPr>
            </w:pPr>
            <w:r>
              <w:rPr>
                <w:rFonts w:hint="eastAsia"/>
                <w:color w:val="auto"/>
                <w:highlight w:val="none"/>
                <w:lang w:eastAsia="zh-CN"/>
              </w:rPr>
              <w:t>★</w:t>
            </w:r>
            <w:r>
              <w:rPr>
                <w:rFonts w:asciiTheme="majorEastAsia" w:hAnsiTheme="majorEastAsia" w:eastAsiaTheme="majorEastAsia"/>
                <w:color w:val="auto"/>
                <w:highlight w:val="none"/>
                <w:lang w:eastAsia="zh-CN"/>
              </w:rPr>
              <w:t>1、</w:t>
            </w:r>
            <w:r>
              <w:rPr>
                <w:rFonts w:hint="eastAsia" w:asciiTheme="majorEastAsia" w:hAnsiTheme="majorEastAsia" w:eastAsiaTheme="majorEastAsia"/>
                <w:color w:val="auto"/>
                <w:highlight w:val="none"/>
                <w:lang w:eastAsia="zh-CN"/>
              </w:rPr>
              <w:t>平台至少包含用户、视频搜索模块、视频观看模块、直播模块、官方信息模块等应用模块。</w:t>
            </w:r>
            <w:r>
              <w:rPr>
                <w:rFonts w:hint="eastAsia" w:asciiTheme="majorEastAsia" w:hAnsiTheme="majorEastAsia" w:eastAsiaTheme="majorEastAsia" w:cstheme="minorEastAsia"/>
                <w:color w:val="auto"/>
                <w:highlight w:val="none"/>
                <w:lang w:eastAsia="zh-CN"/>
              </w:rPr>
              <w:t>至少包含智能制造、工业设计、数字仿真、机电技术应用、电梯安装与维修、制冷与空调设备运行与维修、电机与电器、物联网技术、电子信息工程、电子技术应用、单片机应用技术、工业机器人技术、机电一体化技术、电气自动化技术、液压与气动技术、数控设备应用与维护、汽车运用与维修等技术技能类课程。学员可以通过电脑网页端、公众号或小程序端学习平台上的精品课程，或观看实时直播。</w:t>
            </w:r>
            <w:r>
              <w:rPr>
                <w:rFonts w:hint="eastAsia" w:asciiTheme="majorEastAsia" w:hAnsiTheme="majorEastAsia" w:eastAsiaTheme="majorEastAsia"/>
                <w:color w:val="auto"/>
                <w:highlight w:val="none"/>
                <w:lang w:eastAsia="zh-CN"/>
              </w:rPr>
              <w:t>平台包含设备配套教学资源辅助教师教学，至少包括设备的基本介绍、设备元器件原理及用法讲解、正反转电路的设备布局、接线以及工艺规范、星三角降压电路的接线、智能电气回路、PLC的基础知识、程序编制、程序下载、变频器多段控制接线检测、程序检测等实训内容视频讲解。为保证所投产品满足本项目技术要求及国家现行相关标准，投标时须提供相关符合性证明材料。</w:t>
            </w:r>
          </w:p>
          <w:p w14:paraId="0033B3B7">
            <w:pPr>
              <w:keepNext/>
              <w:kinsoku/>
              <w:rPr>
                <w:color w:val="auto"/>
                <w:highlight w:val="none"/>
                <w:lang w:eastAsia="zh-CN"/>
              </w:rPr>
            </w:pPr>
            <w:r>
              <w:rPr>
                <w:rFonts w:hint="eastAsia"/>
                <w:color w:val="auto"/>
                <w:highlight w:val="none"/>
                <w:lang w:eastAsia="zh-CN"/>
              </w:rPr>
              <w:t>★</w:t>
            </w:r>
            <w:r>
              <w:rPr>
                <w:rFonts w:hint="eastAsia" w:asciiTheme="majorEastAsia" w:hAnsiTheme="majorEastAsia" w:eastAsiaTheme="majorEastAsia"/>
                <w:color w:val="auto"/>
                <w:highlight w:val="none"/>
                <w:lang w:eastAsia="zh-CN"/>
              </w:rPr>
              <w:t>2、</w:t>
            </w:r>
            <w:r>
              <w:rPr>
                <w:rFonts w:hint="eastAsia" w:cs="宋体" w:asciiTheme="majorEastAsia" w:hAnsiTheme="majorEastAsia" w:eastAsiaTheme="majorEastAsia"/>
                <w:color w:val="auto"/>
                <w:highlight w:val="none"/>
                <w:lang w:eastAsia="zh-CN"/>
              </w:rPr>
              <w:t>为避免纠纷，所投产品不存在侵权情形，投标时提供相关证明材料。</w:t>
            </w:r>
          </w:p>
        </w:tc>
        <w:tc>
          <w:tcPr>
            <w:tcW w:w="0" w:type="auto"/>
            <w:vAlign w:val="center"/>
          </w:tcPr>
          <w:p w14:paraId="5A822C5A">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EEC4D5D">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5F271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50B4DC27">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456EAD4B">
            <w:pPr>
              <w:keepNext/>
              <w:kinsoku/>
              <w:rPr>
                <w:rFonts w:hint="eastAsia" w:cs="宋体" w:asciiTheme="majorEastAsia" w:hAnsiTheme="majorEastAsia" w:eastAsiaTheme="majorEastAsia"/>
                <w:color w:val="auto"/>
                <w:highlight w:val="none"/>
              </w:rPr>
            </w:pPr>
          </w:p>
        </w:tc>
        <w:tc>
          <w:tcPr>
            <w:tcW w:w="1440" w:type="dxa"/>
            <w:vAlign w:val="center"/>
          </w:tcPr>
          <w:p w14:paraId="41FAEA04">
            <w:pPr>
              <w:keepNext/>
              <w:kinsoku/>
              <w:rPr>
                <w:rFonts w:hint="eastAsia" w:cs="宋体" w:asciiTheme="majorEastAsia" w:hAnsiTheme="majorEastAsia" w:eastAsiaTheme="majorEastAsia"/>
                <w:color w:val="auto"/>
                <w:highlight w:val="none"/>
                <w:lang w:eastAsia="zh-CN"/>
              </w:rPr>
            </w:pPr>
            <w:bookmarkStart w:id="2" w:name="OLE_LINK10"/>
            <w:r>
              <w:rPr>
                <w:rFonts w:hint="eastAsia" w:asciiTheme="majorEastAsia" w:hAnsiTheme="majorEastAsia" w:eastAsiaTheme="majorEastAsia"/>
                <w:b/>
                <w:bCs/>
                <w:color w:val="auto"/>
                <w:highlight w:val="none"/>
              </w:rPr>
              <w:t>电工一体化教学平台</w:t>
            </w:r>
            <w:bookmarkEnd w:id="2"/>
            <w:r>
              <w:rPr>
                <w:rFonts w:hint="eastAsia" w:asciiTheme="majorEastAsia" w:hAnsiTheme="majorEastAsia" w:eastAsiaTheme="majorEastAsia"/>
                <w:b/>
                <w:bCs/>
                <w:color w:val="auto"/>
                <w:highlight w:val="none"/>
                <w:lang w:eastAsia="zh-CN"/>
              </w:rPr>
              <w:t>（</w:t>
            </w:r>
            <w:r>
              <w:rPr>
                <w:rFonts w:hint="eastAsia" w:asciiTheme="majorEastAsia" w:hAnsiTheme="majorEastAsia" w:eastAsiaTheme="majorEastAsia"/>
                <w:b/>
                <w:bCs/>
                <w:color w:val="auto"/>
                <w:highlight w:val="none"/>
                <w:lang w:val="en-US" w:eastAsia="zh-CN"/>
              </w:rPr>
              <w:t>需上传演示视频</w:t>
            </w:r>
            <w:r>
              <w:rPr>
                <w:rFonts w:hint="eastAsia" w:asciiTheme="majorEastAsia" w:hAnsiTheme="majorEastAsia" w:eastAsiaTheme="majorEastAsia"/>
                <w:b/>
                <w:bCs/>
                <w:color w:val="auto"/>
                <w:highlight w:val="none"/>
                <w:lang w:eastAsia="zh-CN"/>
              </w:rPr>
              <w:t>）</w:t>
            </w:r>
          </w:p>
        </w:tc>
        <w:tc>
          <w:tcPr>
            <w:tcW w:w="3882" w:type="dxa"/>
            <w:vAlign w:val="center"/>
          </w:tcPr>
          <w:p w14:paraId="51F07823">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1、电工一体化教学平台主要由用电安全、器件仪器、照明电路、电工电机、器件拆装、MATLAB联合仿真6个模块构成。</w:t>
            </w:r>
          </w:p>
          <w:p w14:paraId="113DCB02">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2、用电安全模块包含交流直流、漏电事故、设备安全三个内容，内置了PPT和视频讲解作为先导课程。</w:t>
            </w:r>
          </w:p>
          <w:p w14:paraId="0AA1BB9C">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3、器件仪器模块包含器件仪器包括交流接触器、低压断路器、继电器、熔断器、万用表、兆欧表、电度表、钳形电流表8个常用仪表的认知，包含PPT简介、360度可旋转3D模型外观以及配套视频。</w:t>
            </w:r>
          </w:p>
          <w:p w14:paraId="79A705C4">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4、照明电路模块包含单极开关控制电路、单极开关串联控制电路、单极开关并联控制电路、两地控制灯、三色LED灯控制、K23单相电能表带照明灯6个实验。包含认知、演示、实操、考试4大环节。</w:t>
            </w:r>
          </w:p>
          <w:p w14:paraId="179535F4">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（1）认知环节：采用PPT的形式对该实验的实验目的、实验原理、实验器材、实验步骤、实验截图、实验结果进行介绍。</w:t>
            </w:r>
          </w:p>
          <w:p w14:paraId="52438DF5">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（2）演示环节：用户可以通过演示功能了解该实验的具体接线方法。</w:t>
            </w:r>
          </w:p>
          <w:p w14:paraId="04A9D250">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（3）实操环节：提供自由模式和专业模式两种模式可供用户选择。实操界面包含线规格、线颜色、号码管、线路图、步骤、提示、视图、调试等功能。</w:t>
            </w:r>
          </w:p>
          <w:p w14:paraId="01F60688">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（4）考试环节：用户完成接线任务点击提交后，系统自动生成评分报告，内含：接线评分、错误连线内容等关键信息，从而来指导辅助用户学习。</w:t>
            </w:r>
          </w:p>
          <w:p w14:paraId="56653D1D">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5、电工电机模块包括三相异步电机手动控制、有过载保护运转控制、K21电动机单相连续运转、电动机联动控制、时间继电器Y</w:t>
            </w:r>
            <w:r>
              <w:rPr>
                <w:rFonts w:hint="eastAsia" w:asciiTheme="majorEastAsia" w:hAnsiTheme="majorEastAsia" w:eastAsiaTheme="majorEastAsia"/>
                <w:color w:val="auto"/>
                <w:highlight w:val="none"/>
              </w:rPr>
              <w:t>Δ</w:t>
            </w:r>
            <w:r>
              <w:rPr>
                <w:rFonts w:hint="eastAsia" w:asciiTheme="majorEastAsia" w:hAnsiTheme="majorEastAsia" w:eastAsiaTheme="majorEastAsia"/>
                <w:color w:val="auto"/>
                <w:highlight w:val="none"/>
                <w:lang w:eastAsia="zh-CN"/>
              </w:rPr>
              <w:t>启动控制、K22三相异步电机正反运行接线、三相异步电机缺相保护7个实验，界面功能与照明电路相同。</w:t>
            </w:r>
          </w:p>
          <w:p w14:paraId="04E653BD">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6、器件拆装模块包括三相异步电机、直流无刷电机、交流接触器共3个器件的拆装。拆装过程涵盖了演示、练习、考试、自由拆卸以及故障维修5种模式，并且具备标注、线框显示等辅助功能。</w:t>
            </w:r>
          </w:p>
          <w:p w14:paraId="132727BE">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（1）演示模式下：软件能够自动演示器件的拆装步骤，用户可以通过观察来学习正确的拆装方法。</w:t>
            </w:r>
          </w:p>
          <w:p w14:paraId="602C72B2">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（2）练习模式：允许用户自行操作，通过实践来巩固学习成果。</w:t>
            </w:r>
          </w:p>
          <w:p w14:paraId="24390C3B">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（3）考试模式：对用户的拆装过程进行评分，检验用户的学习成果。</w:t>
            </w:r>
          </w:p>
          <w:p w14:paraId="3B96E6AF">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（4）自由拆卸模式：用户可以随意拆卸器件，以满足不同的学习需求。</w:t>
            </w:r>
          </w:p>
          <w:p w14:paraId="271CAAB5">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（5）故障维修模式：通过模拟电机可能出现的故障情景，让用户进行诊断练习，以此来锻炼其维修技能。</w:t>
            </w:r>
          </w:p>
          <w:p w14:paraId="11CDA125">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7、MATLAB联合仿真功能是指本软件能和MATLAB结合使用，进行联合仿真，以实现数据和控制的交互，从而提升软件仿真功能。</w:t>
            </w:r>
          </w:p>
          <w:p w14:paraId="18ABD58C">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8、接线、模型实时渲染：模型基于实物1:1构建，无论是外观、表面材质还是表面纹理都与实物相贴合，模拟真实电工接线环境，包括电路布局、设备操作等，提供近乎真实的操作体验。并且不同于一般的2D接线电工软件，本软件根据真实接线标准，采用高度仿真的3D接线，并提供实时渲染。</w:t>
            </w:r>
          </w:p>
          <w:p w14:paraId="132C0BD1">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9、两种实操模式：接线实操提供自由模式和专业模式两种选择模式。专业模式下，用户需按照线路图闪烁的接线顺序进行接线。自由模式下，用户可以自行选择任意一条线进行接线，无接线顺序。</w:t>
            </w:r>
          </w:p>
          <w:p w14:paraId="1BCE0DFF">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10、线规格设置：在实训中的3D导线可以进行4种不同的规格粗细的设置，分别为1平方线、1.5平方线、2.5平方线、4平方线。比如主电路应采用4平方的线，控制电路采用1平方的线，在软件实验中可以明显呈现并区分。</w:t>
            </w:r>
          </w:p>
          <w:p w14:paraId="4AFBA489">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11、线颜色设置：在实训中，可以对任意一根3D导线可以进行颜色设置，颜色设置功能采用三原色（RGB）调配模式，理论上可以覆盖100% sRGB色域值，方便用户熟悉接线用线规范，增强电路可读性。</w:t>
            </w:r>
          </w:p>
          <w:p w14:paraId="32E3FEC0">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12、号码管设置：在实训中可以对3D导线设置号码管同时对号码管添加编号（支持中文、数字、符号等），设置后完成后接线两端自动呈现号码管，方便用户区分不同类型的导线和明确导线用途和理解关系。</w:t>
            </w:r>
          </w:p>
          <w:p w14:paraId="6FB0E390">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13、器件参数设置：在实训中通过调试按钮可以对实验中的主要器件设置物理参数，经过专业的学习计算及应用，设置合理的物理参数，从而使实验仿真成功。</w:t>
            </w:r>
          </w:p>
          <w:p w14:paraId="70170704">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14、智能考核功能：在实操和考试环节中，可根据原理图线路闪烁顺序，提示实验正确接线顺序，从而辅助引导用户接线。接线任务提交后，系统自动生成评分报告，包含每一根接线的得分、错误次数、提示次数、总得分等信息，评分报告可导出为ｔｘｔ文件。</w:t>
            </w:r>
          </w:p>
          <w:p w14:paraId="3E752076">
            <w:pPr>
              <w:keepNext/>
              <w:kinsoku/>
              <w:rPr>
                <w:color w:val="auto"/>
                <w:highlight w:val="none"/>
                <w:lang w:eastAsia="zh-CN"/>
              </w:rPr>
            </w:pPr>
            <w:r>
              <w:rPr>
                <w:rFonts w:hint="eastAsia" w:ascii="宋体" w:hAnsi="宋体" w:eastAsia="宋体" w:cs="宋体"/>
                <w:color w:val="auto"/>
                <w:highlight w:val="none"/>
                <w:lang w:eastAsia="zh-CN"/>
              </w:rPr>
              <w:t>★15、为避免纠纷，所投产品不存在侵权情形，投标时提供相关证明材料。</w:t>
            </w:r>
          </w:p>
        </w:tc>
        <w:tc>
          <w:tcPr>
            <w:tcW w:w="0" w:type="auto"/>
            <w:vAlign w:val="center"/>
          </w:tcPr>
          <w:p w14:paraId="2E6B1A06">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5DD212C6">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434CF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8D40764">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792C7924">
            <w:pPr>
              <w:keepNext/>
              <w:kinsoku/>
              <w:rPr>
                <w:rFonts w:hint="eastAsia" w:cs="宋体" w:asciiTheme="majorEastAsia" w:hAnsiTheme="majorEastAsia" w:eastAsiaTheme="majorEastAsia"/>
                <w:color w:val="auto"/>
                <w:highlight w:val="none"/>
              </w:rPr>
            </w:pPr>
          </w:p>
        </w:tc>
        <w:tc>
          <w:tcPr>
            <w:tcW w:w="1440" w:type="dxa"/>
            <w:vAlign w:val="center"/>
          </w:tcPr>
          <w:p w14:paraId="3A3056FC">
            <w:pPr>
              <w:keepNext/>
              <w:kinsoku/>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智能制造综合数字孪生平台</w:t>
            </w:r>
          </w:p>
        </w:tc>
        <w:tc>
          <w:tcPr>
            <w:tcW w:w="3882" w:type="dxa"/>
            <w:vAlign w:val="center"/>
          </w:tcPr>
          <w:p w14:paraId="6B85D397">
            <w:pPr>
              <w:keepNext/>
              <w:kinsoku/>
              <w:rPr>
                <w:rFonts w:hint="eastAsia" w:asciiTheme="majorEastAsia" w:hAnsiTheme="majorEastAsia" w:eastAsiaTheme="majorEastAsia"/>
                <w:color w:val="auto"/>
                <w:highlight w:val="none"/>
                <w:lang w:eastAsia="zh-CN"/>
              </w:rPr>
            </w:pPr>
            <w:r>
              <w:rPr>
                <w:rFonts w:ascii="宋体" w:hAnsi="宋体" w:eastAsia="宋体" w:cs="宋体"/>
                <w:color w:val="auto"/>
                <w:highlight w:val="none"/>
              </w:rPr>
              <w:t>★</w:t>
            </w:r>
            <w:r>
              <w:rPr>
                <w:rFonts w:hint="eastAsia" w:asciiTheme="majorEastAsia" w:hAnsiTheme="majorEastAsia" w:eastAsiaTheme="majorEastAsia"/>
                <w:color w:val="auto"/>
                <w:highlight w:val="none"/>
                <w:lang w:eastAsia="zh-CN"/>
              </w:rPr>
              <w:t>1、该平台融入了PLC技术、多模态机器人技术、人工智能技术、机器视觉技术、智能感知技术、虚拟仿真技术、数字孪生技术相关的综合实践教学活动与应用，学训内容丰富、学习过程简单安全，同时可支持多品牌工业机器人的虚拟仿真、选配ABB版或FANUC版实体示教器，可进行多种品牌工业机器人，协作机器人的基础实训及多种智能制造教学实训设备的虚实融合仿真训练、人工智能算法开发和智能制造产线的虚拟仿真教学。可支持多种电气控制、工业机器人、机电一体化类别的大赛设备的仿真训练。</w:t>
            </w:r>
            <w:r>
              <w:rPr>
                <w:rFonts w:hint="eastAsia" w:ascii="宋体" w:hAnsi="宋体" w:eastAsia="宋体" w:cs="宋体"/>
                <w:color w:val="auto"/>
                <w:highlight w:val="none"/>
              </w:rPr>
              <w:t>为保证所投产品满足本项目技术要求及国家现行相关标准，投标时须提供相关符合性证明材料。</w:t>
            </w:r>
          </w:p>
          <w:p w14:paraId="08134417">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2、支持与实体“可编程控制器系统应用编程”考核装置的数字孪生功能，支持物理实体与虚拟模型之间保持数据的实时双向流动和同步运行，物理实体的任何变化都能即时反馈到虚拟模型上，反之虚拟模型的优化决策也能迅速作用于物理实体。</w:t>
            </w:r>
          </w:p>
          <w:p w14:paraId="6627E020">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 xml:space="preserve">3、单套智能制造实训系统中至少包含:桁架搬运模块、旋转供料模块控制、立体仓库模块控制、分拣模块控制、输送模块控制、温度控制模块控制、皮带输送模块、龙门搬运模块等，且每个模块都设置有独立的任务场景，支持拖拽式IO匹配，可以对模块中的元器件进行IO自主配置，并且具有配置一键还原功能，每个独立的任务都设置有教程，内容包含但不限于（任务场景结构组成与认知、气缸、电磁阀、传感器、电机驱动器等工作及控制原理说明、通讯配置说明、参考程序等）; </w:t>
            </w:r>
          </w:p>
          <w:p w14:paraId="22CE0731">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4、支持拖拽式的IO匹配功能，可实现将设备信号自由匹配到PLC任意端口， 模拟电气接线，PLC编程不受限制；</w:t>
            </w:r>
          </w:p>
          <w:p w14:paraId="54F694ED">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5、数字孪生功能：该系统利用传感器和网络技术，实现对硬件设备数据的实时采集，不断更新数字模型的状态，确保数字模型结构、性能、状态、行为与真实设备一致。系统可通过图形化界面展现，模拟真实设备的各种情况，帮助用户更好地理解和预测；</w:t>
            </w:r>
          </w:p>
          <w:p w14:paraId="12BC35CC">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 xml:space="preserve">6、支持工业机器人仿真：多品牌工业机器人的示教编程仿真，包含ABB、FANUC、KUKA、YASKAWA，提供了大量的工业机器人的应用案例，每个型号机器人分别设置有不低于20个独立的训练任务，由简到难的工作站内容设计，有助于学生上手；（支持多品牌示教器，至少包含ABB、FANUC、KUKA、YASKAWA、等品牌虚拟示教器，以及ABB型、FANUC型实体示教器的示教编程，基于上述至少四款虚拟示教器和两款实体示教器均可实现对真实六轴协作机器人和仿真六轴机器人的实时同步控制； </w:t>
            </w:r>
          </w:p>
          <w:p w14:paraId="59688396">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 xml:space="preserve">7、智能制造板块：集成多款完整的智能制造生产线及实训台，至少有一条产线需同时包含四轴工业机器人、六轴工业机器人、三轴锁螺丝机器人、机床加工、立体库、输送模块、工业相机、双向伸缩货叉、激光打标、变位机模块、打包单元、出入库单元等设备的仿真，并且按照工艺流程将产线参分为多个独立站点进行针对性的训练； </w:t>
            </w:r>
          </w:p>
          <w:p w14:paraId="198CFF57">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8、支持机器视觉与可编程控制器仿真：融合了市场主流品牌的视觉算法平台，对虚拟场景中的图形进行处理，实现识别、定位等功能，支持多品牌PLC的信号接入，包含市场主流品牌等，基于现场总线技术、实现虚拟仿真与虚拟/真实PLC的数据传输，在虚拟环境中驱动孪生体完成任务作业，支持针对同一设备的不少于两种品牌的PLC程序同步混合仿真，支持虚拟设备传感器、运行机构与PLC输入输出，脉冲，模拟等信号自定义拖动设置。</w:t>
            </w:r>
          </w:p>
          <w:p w14:paraId="512C6B05">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9、支持多模态智能机器人运动控制及应用仿真，最少包含工业机器人、四轴协作机器人、六轴协作机器人、七轴协作机器人、全向移动机器人、麦克纳姆轮移动机器人、轮式单臂人形机器人、轮式双臂人形机器人等，并集成了虚拟相机，虚拟机器人控制器，并提供二次开发接口，可以基于Linux系统平台，利用ROS、OpenCV，YOLO等框架进行人形机器人智能场景应用的相关练习；</w:t>
            </w:r>
          </w:p>
          <w:p w14:paraId="3012846C">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w:t>
            </w:r>
            <w:r>
              <w:rPr>
                <w:rFonts w:asciiTheme="majorEastAsia" w:hAnsiTheme="majorEastAsia" w:eastAsiaTheme="majorEastAsia"/>
                <w:color w:val="auto"/>
                <w:highlight w:val="none"/>
                <w:lang w:eastAsia="zh-CN"/>
              </w:rPr>
              <w:t>0、</w:t>
            </w:r>
            <w:r>
              <w:rPr>
                <w:rFonts w:hint="eastAsia" w:asciiTheme="majorEastAsia" w:hAnsiTheme="majorEastAsia" w:eastAsiaTheme="majorEastAsia"/>
                <w:color w:val="auto"/>
                <w:highlight w:val="none"/>
                <w:lang w:eastAsia="zh-CN"/>
              </w:rPr>
              <w:t>支持具身智能机器人的仿真与数字孪生，能够通过网络实现软件与实体机器人的数据交互和虚实联动，软件中提供了轮式双臂人形机器人的应用开发场景，基于实训台可以对机器人进行编程控制，实现实体机器人和仿真场景中机器人的实时同步联动；具身智能虚拟实践板块主要支持机器人+人工智能的实训和科研，覆盖操作系统、二次开发、ROS、计算机视觉、深度学习等内容，机器人本体算法开发，机器人+人工智能算法开发，以及人形机器人具身智能应用验证；</w:t>
            </w:r>
          </w:p>
          <w:p w14:paraId="516EE266">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w:t>
            </w:r>
            <w:r>
              <w:rPr>
                <w:rFonts w:asciiTheme="majorEastAsia" w:hAnsiTheme="majorEastAsia" w:eastAsiaTheme="majorEastAsia"/>
                <w:color w:val="auto"/>
                <w:highlight w:val="none"/>
                <w:lang w:eastAsia="zh-CN"/>
              </w:rPr>
              <w:t>1、</w:t>
            </w:r>
            <w:r>
              <w:rPr>
                <w:rFonts w:hint="eastAsia" w:asciiTheme="majorEastAsia" w:hAnsiTheme="majorEastAsia" w:eastAsiaTheme="majorEastAsia"/>
                <w:color w:val="auto"/>
                <w:highlight w:val="none"/>
                <w:lang w:eastAsia="zh-CN"/>
              </w:rPr>
              <w:t>智能制造模块支持多款智能制造产线、智能制造设备平台的虚拟仿真调试，合理化分配将智能制造产线、设备平台都按照流程拆开分出多个独立的训练模块场景，在每个场景重都设置了对应的实训指导内容，学生可实现边理论学习边实践操作，便于学生由零到整，由简到难的模块化、合理化产线调试训练。</w:t>
            </w:r>
          </w:p>
          <w:p w14:paraId="25F0419E">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w:t>
            </w:r>
            <w:r>
              <w:rPr>
                <w:rFonts w:asciiTheme="majorEastAsia" w:hAnsiTheme="majorEastAsia" w:eastAsiaTheme="majorEastAsia"/>
                <w:color w:val="auto"/>
                <w:highlight w:val="none"/>
                <w:lang w:eastAsia="zh-CN"/>
              </w:rPr>
              <w:t>2、</w:t>
            </w:r>
            <w:r>
              <w:rPr>
                <w:rFonts w:hint="eastAsia" w:asciiTheme="majorEastAsia" w:hAnsiTheme="majorEastAsia" w:eastAsiaTheme="majorEastAsia"/>
                <w:color w:val="auto"/>
                <w:highlight w:val="none"/>
                <w:lang w:eastAsia="zh-CN"/>
              </w:rPr>
              <w:t>二次开发SDK：提供实训台中软件的二次开发接口，基于接口能够同时实现在操作系统上，利用C++编程语言完成对软件仿真环境中机器人及真实六轴协作机器人的直线、圆弧、B样条曲线等作业轨迹的二次开发实时同步控制。</w:t>
            </w:r>
          </w:p>
          <w:p w14:paraId="0D1206B8">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1</w:t>
            </w:r>
            <w:r>
              <w:rPr>
                <w:rFonts w:asciiTheme="majorEastAsia" w:hAnsiTheme="majorEastAsia" w:eastAsiaTheme="majorEastAsia"/>
                <w:color w:val="auto"/>
                <w:highlight w:val="none"/>
                <w:lang w:eastAsia="zh-CN"/>
              </w:rPr>
              <w:t>3、</w:t>
            </w:r>
            <w:r>
              <w:rPr>
                <w:rFonts w:hint="eastAsia" w:asciiTheme="majorEastAsia" w:hAnsiTheme="majorEastAsia" w:eastAsiaTheme="majorEastAsia"/>
                <w:color w:val="auto"/>
                <w:highlight w:val="none"/>
                <w:lang w:eastAsia="zh-CN"/>
              </w:rPr>
              <w:t>高性能机器人虚拟仿真控制器：高性能机器人虚拟仿真控制器，系统包含轨迹插值运算，提供开发套件、运动控制函数库（包含关节、直线、圆弧、B样条等运动指令）等工具，提供案例源码，可满足高标准下的教学、研发需求。</w:t>
            </w:r>
          </w:p>
          <w:p w14:paraId="07987CCA">
            <w:pPr>
              <w:keepNext/>
              <w:kinsoku/>
              <w:rPr>
                <w:color w:val="auto"/>
                <w:highlight w:val="none"/>
                <w:lang w:eastAsia="zh-CN"/>
              </w:rPr>
            </w:pPr>
            <w:r>
              <w:rPr>
                <w:rFonts w:hint="eastAsia" w:ascii="宋体" w:hAnsi="宋体" w:eastAsia="宋体" w:cs="宋体"/>
                <w:color w:val="auto"/>
                <w:highlight w:val="none"/>
                <w:lang w:eastAsia="zh-CN"/>
              </w:rPr>
              <w:t>★14、为避免纠纷，所投产品不存在侵权情形，投标时提供相关证明材料。</w:t>
            </w:r>
          </w:p>
        </w:tc>
        <w:tc>
          <w:tcPr>
            <w:tcW w:w="0" w:type="auto"/>
            <w:vAlign w:val="center"/>
          </w:tcPr>
          <w:p w14:paraId="7FF810D8">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6AAB28E6">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77A4D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7ADD1414">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0E583922">
            <w:pPr>
              <w:keepNext/>
              <w:kinsoku/>
              <w:rPr>
                <w:rFonts w:hint="eastAsia" w:cs="宋体" w:asciiTheme="majorEastAsia" w:hAnsiTheme="majorEastAsia" w:eastAsiaTheme="majorEastAsia"/>
                <w:color w:val="auto"/>
                <w:highlight w:val="none"/>
              </w:rPr>
            </w:pPr>
          </w:p>
        </w:tc>
        <w:tc>
          <w:tcPr>
            <w:tcW w:w="1440" w:type="dxa"/>
            <w:vAlign w:val="center"/>
          </w:tcPr>
          <w:p w14:paraId="6994762F">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电工PLC仿真软件</w:t>
            </w:r>
          </w:p>
        </w:tc>
        <w:tc>
          <w:tcPr>
            <w:tcW w:w="3882" w:type="dxa"/>
            <w:vAlign w:val="center"/>
          </w:tcPr>
          <w:p w14:paraId="7F86E90C">
            <w:pPr>
              <w:keepNext/>
              <w:kinsoku/>
              <w:rPr>
                <w:rFonts w:ascii="宋体" w:hAnsi="宋体"/>
                <w:color w:val="auto"/>
                <w:highlight w:val="none"/>
                <w:lang w:eastAsia="zh-CN"/>
              </w:rPr>
            </w:pPr>
            <w:r>
              <w:rPr>
                <w:rFonts w:hint="eastAsia" w:ascii="宋体" w:hAnsi="宋体"/>
                <w:color w:val="auto"/>
                <w:highlight w:val="none"/>
                <w:lang w:eastAsia="zh-CN"/>
              </w:rPr>
              <w:t>1、电工</w:t>
            </w:r>
            <w:r>
              <w:rPr>
                <w:rFonts w:ascii="宋体" w:hAnsi="宋体"/>
                <w:color w:val="auto"/>
                <w:highlight w:val="none"/>
                <w:lang w:eastAsia="zh-CN"/>
              </w:rPr>
              <w:t>PLC仿真软件借助数字化技术搭建高度仿真的虚拟实训环境，让学生在计算机上完成 PLC 编程与工业控制操作。软件集成器件认知、实验指导、梯形图编程、虚拟接线、考核评估五大模块，构建 “认知 — 实操 — 评估” 完整学习闭环。</w:t>
            </w:r>
          </w:p>
          <w:p w14:paraId="75A77ADA">
            <w:pPr>
              <w:keepNext/>
              <w:kinsoku/>
              <w:rPr>
                <w:rFonts w:ascii="宋体" w:hAnsi="宋体"/>
                <w:color w:val="auto"/>
                <w:highlight w:val="none"/>
                <w:lang w:eastAsia="zh-CN"/>
              </w:rPr>
            </w:pPr>
            <w:r>
              <w:rPr>
                <w:rFonts w:hint="eastAsia" w:ascii="宋体" w:hAnsi="宋体"/>
                <w:color w:val="auto"/>
                <w:highlight w:val="none"/>
                <w:lang w:eastAsia="zh-CN"/>
              </w:rPr>
              <w:t>2、电工</w:t>
            </w:r>
            <w:r>
              <w:rPr>
                <w:rFonts w:ascii="宋体" w:hAnsi="宋体"/>
                <w:color w:val="auto"/>
                <w:highlight w:val="none"/>
                <w:lang w:eastAsia="zh-CN"/>
              </w:rPr>
              <w:t>PLC仿真软件主界面至少包含 “开始实验”“设置”“退出” 三大功能入口，功能布局清晰，</w:t>
            </w:r>
          </w:p>
          <w:p w14:paraId="3520E306">
            <w:pPr>
              <w:keepNext/>
              <w:kinsoku/>
              <w:rPr>
                <w:rFonts w:ascii="宋体" w:hAnsi="宋体"/>
                <w:color w:val="auto"/>
                <w:highlight w:val="none"/>
                <w:lang w:eastAsia="zh-CN"/>
              </w:rPr>
            </w:pPr>
            <w:r>
              <w:rPr>
                <w:rFonts w:ascii="宋体" w:hAnsi="宋体"/>
                <w:color w:val="auto"/>
                <w:highlight w:val="none"/>
                <w:lang w:eastAsia="zh-CN"/>
              </w:rPr>
              <w:t>1）开始实验：一键进入实训核心区，直接跳转至认知模块或实训模块，快速开展 PLC 编程、虚拟接线等核心操作。</w:t>
            </w:r>
          </w:p>
          <w:p w14:paraId="49B23153">
            <w:pPr>
              <w:keepNext/>
              <w:kinsoku/>
              <w:rPr>
                <w:rFonts w:ascii="宋体" w:hAnsi="宋体"/>
                <w:color w:val="auto"/>
                <w:highlight w:val="none"/>
                <w:lang w:eastAsia="zh-CN"/>
              </w:rPr>
            </w:pPr>
            <w:r>
              <w:rPr>
                <w:rFonts w:ascii="宋体" w:hAnsi="宋体"/>
                <w:color w:val="auto"/>
                <w:highlight w:val="none"/>
                <w:lang w:eastAsia="zh-CN"/>
              </w:rPr>
              <w:t>2）设置：支持用户根据自身使用偏好进行个性化配置，如语言选择（中文 / 英文）等，充分满足多样化教学与学习需求。</w:t>
            </w:r>
          </w:p>
          <w:p w14:paraId="541B1651">
            <w:pPr>
              <w:keepNext/>
              <w:kinsoku/>
              <w:rPr>
                <w:rFonts w:ascii="宋体" w:hAnsi="宋体"/>
                <w:color w:val="auto"/>
                <w:highlight w:val="none"/>
                <w:lang w:eastAsia="zh-CN"/>
              </w:rPr>
            </w:pPr>
            <w:r>
              <w:rPr>
                <w:rFonts w:ascii="宋体" w:hAnsi="宋体"/>
                <w:color w:val="auto"/>
                <w:highlight w:val="none"/>
                <w:lang w:eastAsia="zh-CN"/>
              </w:rPr>
              <w:t>3）退出：便捷退出软件，保障教学与实训流程的流畅收尾。</w:t>
            </w:r>
          </w:p>
          <w:p w14:paraId="2E34011C">
            <w:pPr>
              <w:keepNext/>
              <w:kinsoku/>
              <w:rPr>
                <w:rFonts w:ascii="宋体" w:hAnsi="宋体"/>
                <w:color w:val="auto"/>
                <w:highlight w:val="none"/>
                <w:lang w:eastAsia="zh-CN"/>
              </w:rPr>
            </w:pPr>
            <w:r>
              <w:rPr>
                <w:rFonts w:hint="eastAsia" w:ascii="宋体" w:hAnsi="宋体"/>
                <w:color w:val="auto"/>
                <w:highlight w:val="none"/>
                <w:lang w:eastAsia="zh-CN"/>
              </w:rPr>
              <w:t>3、电工</w:t>
            </w:r>
            <w:r>
              <w:rPr>
                <w:rFonts w:ascii="宋体" w:hAnsi="宋体"/>
                <w:color w:val="auto"/>
                <w:highlight w:val="none"/>
                <w:lang w:eastAsia="zh-CN"/>
              </w:rPr>
              <w:t xml:space="preserve"> PLC仿真软件的二级界面，包含认知模块与实训模块两大功能入口。</w:t>
            </w:r>
          </w:p>
          <w:p w14:paraId="1C1B674A">
            <w:pPr>
              <w:keepNext/>
              <w:kinsoku/>
              <w:rPr>
                <w:rFonts w:ascii="宋体" w:hAnsi="宋体"/>
                <w:color w:val="auto"/>
                <w:highlight w:val="none"/>
                <w:lang w:eastAsia="zh-CN"/>
              </w:rPr>
            </w:pPr>
            <w:r>
              <w:rPr>
                <w:rFonts w:ascii="宋体" w:hAnsi="宋体"/>
                <w:color w:val="auto"/>
                <w:highlight w:val="none"/>
                <w:lang w:eastAsia="zh-CN"/>
              </w:rPr>
              <w:t>1）认知模块要求：</w:t>
            </w:r>
            <w:r>
              <w:rPr>
                <w:rFonts w:hint="eastAsia" w:ascii="宋体" w:hAnsi="宋体"/>
                <w:color w:val="auto"/>
                <w:highlight w:val="none"/>
                <w:lang w:eastAsia="zh-CN"/>
              </w:rPr>
              <w:t>进入认知模块，提供器件、简介等两大内容，帮助学生建立</w:t>
            </w:r>
            <w:r>
              <w:rPr>
                <w:rFonts w:ascii="宋体" w:hAnsi="宋体"/>
                <w:color w:val="auto"/>
                <w:highlight w:val="none"/>
                <w:lang w:eastAsia="zh-CN"/>
              </w:rPr>
              <w:t xml:space="preserve"> PLC 及相关电气元件的系统认知，为后续实操打下基础。</w:t>
            </w:r>
          </w:p>
          <w:p w14:paraId="62564CBC">
            <w:pPr>
              <w:keepNext/>
              <w:kinsoku/>
              <w:rPr>
                <w:rFonts w:ascii="宋体" w:hAnsi="宋体"/>
                <w:color w:val="auto"/>
                <w:highlight w:val="none"/>
                <w:lang w:eastAsia="zh-CN"/>
              </w:rPr>
            </w:pPr>
            <w:r>
              <w:rPr>
                <w:rFonts w:hint="eastAsia" w:ascii="宋体" w:hAnsi="宋体"/>
                <w:color w:val="auto"/>
                <w:highlight w:val="none"/>
                <w:lang w:eastAsia="zh-CN"/>
              </w:rPr>
              <w:t>①</w:t>
            </w:r>
            <w:r>
              <w:rPr>
                <w:rFonts w:ascii="宋体" w:hAnsi="宋体"/>
                <w:color w:val="auto"/>
                <w:highlight w:val="none"/>
                <w:lang w:eastAsia="zh-CN"/>
              </w:rPr>
              <w:t>器件要求：</w:t>
            </w:r>
            <w:r>
              <w:rPr>
                <w:rFonts w:hint="eastAsia" w:ascii="宋体" w:hAnsi="宋体"/>
                <w:color w:val="auto"/>
                <w:highlight w:val="none"/>
                <w:lang w:eastAsia="zh-CN"/>
              </w:rPr>
              <w:t>其中器件仪器至少包括运料小车、热继电器、</w:t>
            </w:r>
            <w:r>
              <w:rPr>
                <w:rFonts w:ascii="宋体" w:hAnsi="宋体"/>
                <w:color w:val="auto"/>
                <w:highlight w:val="none"/>
                <w:lang w:eastAsia="zh-CN"/>
              </w:rPr>
              <w:t>RT28N_32熔断器、滑动电阻、交流接触器、（紫色，红色，绿色，黄色）交通灯、开关电源、空气开关、三相断路器、三相异步电动机、色环电阻、数码管、速度继电器、PLC_S7_200 CPU221、PLC_S7_200 CPU222、PLC_S7_200 CPU224、LX19-001行程开关、LX511H行程开关等21个可360°旋转的3D模型外观展示。</w:t>
            </w:r>
          </w:p>
          <w:p w14:paraId="23CAB3BF">
            <w:pPr>
              <w:keepNext/>
              <w:kinsoku/>
              <w:rPr>
                <w:rFonts w:ascii="宋体" w:hAnsi="宋体"/>
                <w:color w:val="auto"/>
                <w:highlight w:val="none"/>
                <w:lang w:eastAsia="zh-CN"/>
              </w:rPr>
            </w:pPr>
            <w:r>
              <w:rPr>
                <w:rFonts w:hint="eastAsia" w:ascii="宋体" w:hAnsi="宋体"/>
                <w:color w:val="auto"/>
                <w:highlight w:val="none"/>
                <w:lang w:eastAsia="zh-CN"/>
              </w:rPr>
              <w:t>②</w:t>
            </w:r>
            <w:r>
              <w:rPr>
                <w:rFonts w:ascii="宋体" w:hAnsi="宋体"/>
                <w:color w:val="auto"/>
                <w:highlight w:val="none"/>
                <w:lang w:eastAsia="zh-CN"/>
              </w:rPr>
              <w:t>内容要求：</w:t>
            </w:r>
            <w:r>
              <w:rPr>
                <w:rFonts w:hint="eastAsia" w:ascii="宋体" w:hAnsi="宋体"/>
                <w:color w:val="auto"/>
                <w:highlight w:val="none"/>
                <w:lang w:eastAsia="zh-CN"/>
              </w:rPr>
              <w:t>至少包含</w:t>
            </w:r>
            <w:r>
              <w:rPr>
                <w:rFonts w:ascii="宋体" w:hAnsi="宋体"/>
                <w:color w:val="auto"/>
                <w:highlight w:val="none"/>
                <w:lang w:eastAsia="zh-CN"/>
              </w:rPr>
              <w:t>PLC供电实验、PLC输入输出实验、电动机点动控制、电动机启停控制、电动机正反转控制、电动机循环正反转、可逆运行反接制动、交通灯控制实验、循环彩灯控制、运料小车控制等10个实验PPT简介。</w:t>
            </w:r>
            <w:r>
              <w:rPr>
                <w:rFonts w:hint="eastAsia" w:ascii="宋体" w:hAnsi="宋体"/>
                <w:color w:val="auto"/>
                <w:highlight w:val="none"/>
                <w:lang w:eastAsia="zh-CN"/>
              </w:rPr>
              <w:t>系统采用静态图片拼接呈现技术，以</w:t>
            </w:r>
            <w:r>
              <w:rPr>
                <w:rFonts w:ascii="宋体" w:hAnsi="宋体"/>
                <w:color w:val="auto"/>
                <w:highlight w:val="none"/>
                <w:lang w:eastAsia="zh-CN"/>
              </w:rPr>
              <w:t>PPT的演示形式，围绕实验核心目的、实验核心元器件、实验核心原理、实验步骤、实验注意事项、实验拓展方向六大维度，构建系统化、结构化、阶梯式的实验认知学习体系。</w:t>
            </w:r>
          </w:p>
          <w:p w14:paraId="325E6BFF">
            <w:pPr>
              <w:keepNext/>
              <w:kinsoku/>
              <w:rPr>
                <w:rFonts w:ascii="宋体" w:hAnsi="宋体"/>
                <w:color w:val="auto"/>
                <w:highlight w:val="none"/>
                <w:lang w:eastAsia="zh-CN"/>
              </w:rPr>
            </w:pPr>
            <w:r>
              <w:rPr>
                <w:rFonts w:ascii="宋体" w:hAnsi="宋体"/>
                <w:color w:val="auto"/>
                <w:highlight w:val="none"/>
                <w:lang w:eastAsia="zh-CN"/>
              </w:rPr>
              <w:t>2）实训模块：</w:t>
            </w:r>
            <w:r>
              <w:rPr>
                <w:rFonts w:hint="eastAsia" w:ascii="宋体" w:hAnsi="宋体"/>
                <w:color w:val="auto"/>
                <w:highlight w:val="none"/>
                <w:lang w:eastAsia="zh-CN"/>
              </w:rPr>
              <w:t>点击后进入实训模块，界面左侧为实验项目列表，包含“</w:t>
            </w:r>
            <w:r>
              <w:rPr>
                <w:rFonts w:ascii="宋体" w:hAnsi="宋体"/>
                <w:color w:val="auto"/>
                <w:highlight w:val="none"/>
                <w:lang w:eastAsia="zh-CN"/>
              </w:rPr>
              <w:t>PLC供电实验”“PLC输入输出实验”“电动机点动控制”“电动机启停控制”“电动机正反转控制”“电动机循环正反转”“可逆运行反接制动”“交通灯控制”“循环彩灯控制”“运料小车控制”等10个典型工业控制实验。点击对应项目名称进行选择，选中项会以高亮状态突出显示，便于快速定位。</w:t>
            </w:r>
            <w:r>
              <w:rPr>
                <w:rFonts w:hint="eastAsia" w:ascii="宋体" w:hAnsi="宋体"/>
                <w:color w:val="auto"/>
                <w:highlight w:val="none"/>
                <w:lang w:eastAsia="zh-CN"/>
              </w:rPr>
              <w:t>界面右侧为实验预览窗口，当学生选中某一实验项目（如</w:t>
            </w:r>
            <w:r>
              <w:rPr>
                <w:rFonts w:ascii="宋体" w:hAnsi="宋体"/>
                <w:color w:val="auto"/>
                <w:highlight w:val="none"/>
                <w:lang w:eastAsia="zh-CN"/>
              </w:rPr>
              <w:t xml:space="preserve"> “电机启停控制”）时，窗口会同步展示该实验的 3D 仿真场景示意图，清晰呈现 PLC 、接触器、电机等核心元器件的布局与连接关系。</w:t>
            </w:r>
          </w:p>
          <w:p w14:paraId="6B61E5A8">
            <w:pPr>
              <w:keepNext/>
              <w:kinsoku/>
              <w:rPr>
                <w:rFonts w:ascii="宋体" w:hAnsi="宋体"/>
                <w:color w:val="auto"/>
                <w:highlight w:val="none"/>
                <w:lang w:eastAsia="zh-CN"/>
              </w:rPr>
            </w:pPr>
            <w:r>
              <w:rPr>
                <w:rFonts w:hint="eastAsia" w:ascii="宋体" w:hAnsi="宋体"/>
                <w:color w:val="auto"/>
                <w:highlight w:val="none"/>
                <w:lang w:eastAsia="zh-CN"/>
              </w:rPr>
              <w:t>①</w:t>
            </w:r>
            <w:r>
              <w:rPr>
                <w:rFonts w:ascii="宋体" w:hAnsi="宋体"/>
                <w:color w:val="auto"/>
                <w:highlight w:val="none"/>
                <w:lang w:eastAsia="zh-CN"/>
              </w:rPr>
              <w:t>实训要求：</w:t>
            </w:r>
            <w:r>
              <w:rPr>
                <w:rFonts w:hint="eastAsia" w:ascii="宋体" w:hAnsi="宋体"/>
                <w:color w:val="auto"/>
                <w:highlight w:val="none"/>
                <w:lang w:eastAsia="zh-CN"/>
              </w:rPr>
              <w:t>实训要求中设有</w:t>
            </w:r>
            <w:r>
              <w:rPr>
                <w:rFonts w:ascii="宋体" w:hAnsi="宋体"/>
                <w:color w:val="auto"/>
                <w:highlight w:val="none"/>
                <w:lang w:eastAsia="zh-CN"/>
              </w:rPr>
              <w:t xml:space="preserve"> “目的” 和 “控制要求” 两个按钮，学生可通过点击按钮快速切换查看不同维度的实训要求，单击按钮是文字逐个出现，双击按钮是文字全部显示。</w:t>
            </w:r>
          </w:p>
          <w:p w14:paraId="25B45DF0">
            <w:pPr>
              <w:keepNext/>
              <w:kinsoku/>
              <w:rPr>
                <w:rFonts w:ascii="宋体" w:hAnsi="宋体"/>
                <w:color w:val="auto"/>
                <w:highlight w:val="none"/>
                <w:lang w:eastAsia="zh-CN"/>
              </w:rPr>
            </w:pPr>
            <w:r>
              <w:rPr>
                <w:rFonts w:hint="eastAsia" w:ascii="宋体" w:hAnsi="宋体"/>
                <w:color w:val="auto"/>
                <w:highlight w:val="none"/>
                <w:lang w:eastAsia="zh-CN"/>
              </w:rPr>
              <w:t>②</w:t>
            </w:r>
            <w:r>
              <w:rPr>
                <w:rFonts w:ascii="宋体" w:hAnsi="宋体"/>
                <w:color w:val="auto"/>
                <w:highlight w:val="none"/>
                <w:lang w:eastAsia="zh-CN"/>
              </w:rPr>
              <w:t>实训器件：</w:t>
            </w:r>
            <w:r>
              <w:rPr>
                <w:rFonts w:hint="eastAsia" w:ascii="宋体" w:hAnsi="宋体"/>
                <w:color w:val="auto"/>
                <w:highlight w:val="none"/>
                <w:lang w:eastAsia="zh-CN"/>
              </w:rPr>
              <w:t>实训器件是通过</w:t>
            </w:r>
            <w:r>
              <w:rPr>
                <w:rFonts w:ascii="宋体" w:hAnsi="宋体"/>
                <w:color w:val="auto"/>
                <w:highlight w:val="none"/>
                <w:lang w:eastAsia="zh-CN"/>
              </w:rPr>
              <w:t xml:space="preserve"> 3D 仿真模型渲染图将 “实验核心元器件” 直观呈现，展示实验所需全部器件清单。</w:t>
            </w:r>
          </w:p>
          <w:p w14:paraId="13847610">
            <w:pPr>
              <w:keepNext/>
              <w:kinsoku/>
              <w:rPr>
                <w:rFonts w:ascii="宋体" w:hAnsi="宋体"/>
                <w:color w:val="auto"/>
                <w:highlight w:val="none"/>
                <w:lang w:eastAsia="zh-CN"/>
              </w:rPr>
            </w:pPr>
            <w:r>
              <w:rPr>
                <w:rFonts w:hint="eastAsia" w:ascii="宋体" w:hAnsi="宋体"/>
                <w:color w:val="auto"/>
                <w:highlight w:val="none"/>
                <w:lang w:eastAsia="zh-CN"/>
              </w:rPr>
              <w:t>3）</w:t>
            </w:r>
            <w:r>
              <w:rPr>
                <w:rFonts w:ascii="宋体" w:hAnsi="宋体"/>
                <w:color w:val="auto"/>
                <w:highlight w:val="none"/>
                <w:lang w:eastAsia="zh-CN"/>
              </w:rPr>
              <w:t>实训编程：</w:t>
            </w:r>
            <w:r>
              <w:rPr>
                <w:rFonts w:hint="eastAsia" w:ascii="宋体" w:hAnsi="宋体"/>
                <w:color w:val="auto"/>
                <w:highlight w:val="none"/>
                <w:lang w:eastAsia="zh-CN"/>
              </w:rPr>
              <w:t>实训编程是</w:t>
            </w:r>
            <w:r>
              <w:rPr>
                <w:rFonts w:ascii="宋体" w:hAnsi="宋体"/>
                <w:color w:val="auto"/>
                <w:highlight w:val="none"/>
                <w:lang w:eastAsia="zh-CN"/>
              </w:rPr>
              <w:t xml:space="preserve"> PLC 实训的核心环节，分为I/O分配、梯形图、PLC选择等三大类功能。</w:t>
            </w:r>
          </w:p>
          <w:p w14:paraId="5BB20E4A">
            <w:pPr>
              <w:keepNext/>
              <w:kinsoku/>
              <w:rPr>
                <w:rFonts w:ascii="宋体" w:hAnsi="宋体"/>
                <w:color w:val="auto"/>
                <w:highlight w:val="none"/>
                <w:lang w:eastAsia="zh-CN"/>
              </w:rPr>
            </w:pPr>
            <w:r>
              <w:rPr>
                <w:rFonts w:hint="eastAsia" w:ascii="宋体" w:hAnsi="宋体"/>
                <w:color w:val="auto"/>
                <w:highlight w:val="none"/>
                <w:lang w:eastAsia="zh-CN"/>
              </w:rPr>
              <w:t>①</w:t>
            </w:r>
            <w:r>
              <w:rPr>
                <w:rFonts w:ascii="宋体" w:hAnsi="宋体"/>
                <w:color w:val="auto"/>
                <w:highlight w:val="none"/>
                <w:lang w:eastAsia="zh-CN"/>
              </w:rPr>
              <w:t>IO分配：I/O 分配模块支持用户根据具体实训需求，自由分配与定义输入输出端口地址，灵活适配不同实验场景。</w:t>
            </w:r>
          </w:p>
          <w:p w14:paraId="58DB1BDA">
            <w:pPr>
              <w:keepNext/>
              <w:kinsoku/>
              <w:rPr>
                <w:rFonts w:ascii="宋体" w:hAnsi="宋体"/>
                <w:color w:val="auto"/>
                <w:highlight w:val="none"/>
                <w:lang w:eastAsia="zh-CN"/>
              </w:rPr>
            </w:pPr>
            <w:r>
              <w:rPr>
                <w:rFonts w:hint="eastAsia" w:ascii="宋体" w:hAnsi="宋体"/>
                <w:color w:val="auto"/>
                <w:highlight w:val="none"/>
                <w:lang w:eastAsia="zh-CN"/>
              </w:rPr>
              <w:t>②梯形图：编程环境与工业级博途（</w:t>
            </w:r>
            <w:r>
              <w:rPr>
                <w:rFonts w:ascii="宋体" w:hAnsi="宋体"/>
                <w:color w:val="auto"/>
                <w:highlight w:val="none"/>
                <w:lang w:eastAsia="zh-CN"/>
              </w:rPr>
              <w:t>TIA Portal）PLC 编程软件高度相似，操作流程、指令库、功能布局上保持一致，它承接了 I/O 分配的结果，让学生可以将理论上的控制逻辑，转化为可执行的 PLC 程序。</w:t>
            </w:r>
          </w:p>
          <w:p w14:paraId="68C85468">
            <w:pPr>
              <w:keepNext/>
              <w:kinsoku/>
              <w:rPr>
                <w:rFonts w:ascii="宋体" w:hAnsi="宋体"/>
                <w:color w:val="auto"/>
                <w:highlight w:val="none"/>
                <w:lang w:eastAsia="zh-CN"/>
              </w:rPr>
            </w:pPr>
            <w:r>
              <w:rPr>
                <w:rFonts w:hint="eastAsia" w:ascii="宋体" w:hAnsi="宋体"/>
                <w:color w:val="auto"/>
                <w:highlight w:val="none"/>
                <w:lang w:eastAsia="zh-CN"/>
              </w:rPr>
              <w:t>③</w:t>
            </w:r>
            <w:r>
              <w:rPr>
                <w:rFonts w:ascii="宋体" w:hAnsi="宋体"/>
                <w:color w:val="auto"/>
                <w:highlight w:val="none"/>
                <w:lang w:eastAsia="zh-CN"/>
              </w:rPr>
              <w:t>PLC选择：</w:t>
            </w:r>
            <w:r>
              <w:rPr>
                <w:rFonts w:hint="eastAsia" w:ascii="宋体" w:hAnsi="宋体"/>
                <w:color w:val="auto"/>
                <w:highlight w:val="none"/>
                <w:lang w:eastAsia="zh-CN"/>
              </w:rPr>
              <w:t>界面左侧以列表形式清晰展示了</w:t>
            </w:r>
            <w:r>
              <w:rPr>
                <w:rFonts w:ascii="宋体" w:hAnsi="宋体"/>
                <w:color w:val="auto"/>
                <w:highlight w:val="none"/>
                <w:lang w:eastAsia="zh-CN"/>
              </w:rPr>
              <w:t>S7-200、S7-200 SMART、S7-1200 三种主流 PLC 型号，用户可根据实训需求自由选择与切换。界面顶部会实时显示当前使用的 PLC 型号。</w:t>
            </w:r>
            <w:r>
              <w:rPr>
                <w:rFonts w:hint="eastAsia" w:ascii="宋体" w:hAnsi="宋体"/>
                <w:color w:val="auto"/>
                <w:highlight w:val="none"/>
                <w:lang w:eastAsia="zh-CN"/>
              </w:rPr>
              <w:t>左下方的操作日志，实时记录编程过程中的关键操作和系统反馈，方便用户追溯和管理实训项目。</w:t>
            </w:r>
          </w:p>
          <w:p w14:paraId="685B0E4B">
            <w:pPr>
              <w:keepNext/>
              <w:kinsoku/>
              <w:rPr>
                <w:rFonts w:ascii="宋体" w:hAnsi="宋体"/>
                <w:color w:val="auto"/>
                <w:highlight w:val="none"/>
                <w:lang w:eastAsia="zh-CN"/>
              </w:rPr>
            </w:pPr>
            <w:r>
              <w:rPr>
                <w:rFonts w:hint="eastAsia" w:ascii="宋体" w:hAnsi="宋体"/>
                <w:color w:val="auto"/>
                <w:highlight w:val="none"/>
                <w:lang w:eastAsia="zh-CN"/>
              </w:rPr>
              <w:t>4</w:t>
            </w:r>
            <w:r>
              <w:rPr>
                <w:rFonts w:ascii="宋体" w:hAnsi="宋体"/>
                <w:color w:val="auto"/>
                <w:highlight w:val="none"/>
                <w:lang w:eastAsia="zh-CN"/>
              </w:rPr>
              <w:t>）电路连接</w:t>
            </w:r>
          </w:p>
          <w:p w14:paraId="08403E66">
            <w:pPr>
              <w:keepNext/>
              <w:kinsoku/>
              <w:rPr>
                <w:rFonts w:ascii="宋体" w:hAnsi="宋体"/>
                <w:color w:val="auto"/>
                <w:highlight w:val="none"/>
                <w:lang w:eastAsia="zh-CN"/>
              </w:rPr>
            </w:pPr>
            <w:r>
              <w:rPr>
                <w:rFonts w:hint="eastAsia" w:ascii="宋体" w:hAnsi="宋体"/>
                <w:color w:val="auto"/>
                <w:highlight w:val="none"/>
                <w:lang w:eastAsia="zh-CN"/>
              </w:rPr>
              <w:t>①工具栏：电路连接为实训模块实操界面，左侧设置按钮内置连线模式、底板、文本功能、警告闪烁、器件标签、属性界面等六大功能。右下角设有“视图”和“原理图”按钮，可切换视角或查看电气原理图，右侧的步骤按钮，可查看实验具体接线，辅助用户理解接线逻辑。</w:t>
            </w:r>
          </w:p>
          <w:p w14:paraId="23A678CB">
            <w:pPr>
              <w:keepNext/>
              <w:kinsoku/>
              <w:rPr>
                <w:rFonts w:ascii="宋体" w:hAnsi="宋体"/>
                <w:color w:val="auto"/>
                <w:highlight w:val="none"/>
                <w:lang w:eastAsia="zh-CN"/>
              </w:rPr>
            </w:pPr>
            <w:r>
              <w:rPr>
                <w:rFonts w:hint="eastAsia" w:ascii="宋体" w:hAnsi="宋体"/>
                <w:color w:val="auto"/>
                <w:highlight w:val="none"/>
                <w:lang w:eastAsia="zh-CN"/>
              </w:rPr>
              <w:t>②实操：中央是</w:t>
            </w:r>
            <w:r>
              <w:rPr>
                <w:rFonts w:ascii="宋体" w:hAnsi="宋体"/>
                <w:color w:val="auto"/>
                <w:highlight w:val="none"/>
                <w:lang w:eastAsia="zh-CN"/>
              </w:rPr>
              <w:t>3D仿真的实训台,点击连线模式，学生可通过鼠标点击元件端口进行连线操作。可以开始实训接线，左下方的操作日志会实时更新操作状态。</w:t>
            </w:r>
          </w:p>
          <w:p w14:paraId="4474BDE4">
            <w:pPr>
              <w:keepNext/>
              <w:kinsoku/>
              <w:rPr>
                <w:rFonts w:ascii="宋体" w:hAnsi="宋体"/>
                <w:color w:val="auto"/>
                <w:highlight w:val="none"/>
                <w:lang w:eastAsia="zh-CN"/>
              </w:rPr>
            </w:pPr>
            <w:r>
              <w:rPr>
                <w:rFonts w:hint="eastAsia" w:ascii="宋体" w:hAnsi="宋体"/>
                <w:color w:val="auto"/>
                <w:highlight w:val="none"/>
                <w:lang w:eastAsia="zh-CN"/>
              </w:rPr>
              <w:t>③考试：完成所有接线以后，点击提交按钮即可进行系统的校验，系统自动生成评分报告，内含：接线评分、错误连线内容等关键信息，从而来指导辅助用户学习。</w:t>
            </w:r>
          </w:p>
          <w:p w14:paraId="4DA5ABDE">
            <w:pPr>
              <w:keepNext/>
              <w:kinsoku/>
              <w:rPr>
                <w:rFonts w:ascii="宋体" w:hAnsi="宋体"/>
                <w:color w:val="auto"/>
                <w:highlight w:val="none"/>
                <w:lang w:eastAsia="zh-CN"/>
              </w:rPr>
            </w:pPr>
            <w:r>
              <w:rPr>
                <w:rFonts w:hint="eastAsia" w:ascii="宋体" w:hAnsi="宋体"/>
                <w:color w:val="auto"/>
                <w:highlight w:val="none"/>
                <w:lang w:eastAsia="zh-CN"/>
              </w:rPr>
              <w:t>4、</w:t>
            </w:r>
            <w:r>
              <w:rPr>
                <w:rFonts w:ascii="宋体" w:hAnsi="宋体"/>
                <w:color w:val="auto"/>
                <w:highlight w:val="none"/>
                <w:lang w:eastAsia="zh-CN"/>
              </w:rPr>
              <w:t>AI语言切换系统：</w:t>
            </w:r>
            <w:r>
              <w:rPr>
                <w:rFonts w:hint="eastAsia" w:ascii="宋体" w:hAnsi="宋体"/>
                <w:color w:val="auto"/>
                <w:highlight w:val="none"/>
                <w:lang w:eastAsia="zh-CN"/>
              </w:rPr>
              <w:t>软件配备</w:t>
            </w:r>
            <w:r>
              <w:rPr>
                <w:rFonts w:ascii="宋体" w:hAnsi="宋体"/>
                <w:color w:val="auto"/>
                <w:highlight w:val="none"/>
                <w:lang w:eastAsia="zh-CN"/>
              </w:rPr>
              <w:t>AI语言一键切换系统，能够最大限度地满足用户的语言切换需求。用户只需点击语言设置功能按钮，即可完成软件界面、软件内置文本等软件元素的中英文切换。</w:t>
            </w:r>
          </w:p>
          <w:p w14:paraId="67BF4DE5">
            <w:pPr>
              <w:keepNext/>
              <w:kinsoku/>
              <w:rPr>
                <w:rFonts w:ascii="宋体" w:hAnsi="宋体"/>
                <w:color w:val="auto"/>
                <w:highlight w:val="none"/>
                <w:lang w:eastAsia="zh-CN"/>
              </w:rPr>
            </w:pPr>
            <w:r>
              <w:rPr>
                <w:rFonts w:hint="eastAsia" w:ascii="宋体" w:hAnsi="宋体"/>
                <w:color w:val="auto"/>
                <w:highlight w:val="none"/>
                <w:lang w:eastAsia="zh-CN"/>
              </w:rPr>
              <w:t>5、</w:t>
            </w:r>
            <w:r>
              <w:rPr>
                <w:rFonts w:ascii="宋体" w:hAnsi="宋体"/>
                <w:color w:val="auto"/>
                <w:highlight w:val="none"/>
                <w:lang w:eastAsia="zh-CN"/>
              </w:rPr>
              <w:t>全流程实训：</w:t>
            </w:r>
            <w:r>
              <w:rPr>
                <w:rFonts w:hint="eastAsia" w:ascii="宋体" w:hAnsi="宋体"/>
                <w:color w:val="auto"/>
                <w:highlight w:val="none"/>
                <w:lang w:eastAsia="zh-CN"/>
              </w:rPr>
              <w:t>软件整合梯形图编程、虚拟接线、考核评估三大核心模块，形成从编程操作到接线调试、从实操校验到量化考核的完整学习闭环，各模块联动衔接，操作流程贴合中高职院校学生的认知规律，为教师提供</w:t>
            </w:r>
            <w:r>
              <w:rPr>
                <w:rFonts w:ascii="宋体" w:hAnsi="宋体"/>
                <w:color w:val="auto"/>
                <w:highlight w:val="none"/>
                <w:lang w:eastAsia="zh-CN"/>
              </w:rPr>
              <w:t xml:space="preserve"> “教学 — 实训 — 考核” 一站式解决方案。</w:t>
            </w:r>
            <w:r>
              <w:rPr>
                <w:rFonts w:hint="eastAsia" w:ascii="宋体" w:hAnsi="宋体"/>
                <w:color w:val="auto"/>
                <w:highlight w:val="none"/>
                <w:lang w:eastAsia="zh-CN"/>
              </w:rPr>
              <w:t>软件支持梯形图编程与多型号</w:t>
            </w:r>
            <w:r>
              <w:rPr>
                <w:rFonts w:ascii="宋体" w:hAnsi="宋体"/>
                <w:color w:val="auto"/>
                <w:highlight w:val="none"/>
                <w:lang w:eastAsia="zh-CN"/>
              </w:rPr>
              <w:t xml:space="preserve"> PLC 适配，通过高精度仿真三维场景实现沉浸式接线操作，并以 “成绩达标解锁 + 自动评分” 机制。</w:t>
            </w:r>
          </w:p>
          <w:p w14:paraId="311C39C3">
            <w:pPr>
              <w:keepNext/>
              <w:kinsoku/>
              <w:rPr>
                <w:rFonts w:ascii="宋体" w:hAnsi="宋体"/>
                <w:color w:val="auto"/>
                <w:highlight w:val="none"/>
                <w:lang w:eastAsia="zh-CN"/>
              </w:rPr>
            </w:pPr>
            <w:r>
              <w:rPr>
                <w:rFonts w:hint="eastAsia" w:ascii="宋体" w:hAnsi="宋体"/>
                <w:color w:val="auto"/>
                <w:highlight w:val="none"/>
                <w:lang w:eastAsia="zh-CN"/>
              </w:rPr>
              <w:t>6、</w:t>
            </w:r>
            <w:r>
              <w:rPr>
                <w:rFonts w:ascii="宋体" w:hAnsi="宋体"/>
                <w:color w:val="auto"/>
                <w:highlight w:val="none"/>
                <w:lang w:eastAsia="zh-CN"/>
              </w:rPr>
              <w:t>多维度视角切换</w:t>
            </w:r>
            <w:r>
              <w:rPr>
                <w:rFonts w:hint="eastAsia" w:ascii="宋体" w:hAnsi="宋体"/>
                <w:color w:val="auto"/>
                <w:highlight w:val="none"/>
                <w:lang w:eastAsia="zh-CN"/>
              </w:rPr>
              <w:t>:平台配备</w:t>
            </w:r>
            <w:r>
              <w:rPr>
                <w:rFonts w:ascii="宋体" w:hAnsi="宋体"/>
                <w:color w:val="auto"/>
                <w:highlight w:val="none"/>
                <w:lang w:eastAsia="zh-CN"/>
              </w:rPr>
              <w:t xml:space="preserve"> 2D视图、正视图、左视图、右视图、俯视图、自由视角等多视图模式，支持相机视角自由切换，既能全局俯瞰电路布局，也能聚焦接线端子、按钮等细节，界面按钮可快速操作，兼顾电路理解与微观接线排查。</w:t>
            </w:r>
          </w:p>
          <w:p w14:paraId="22E0B313">
            <w:pPr>
              <w:keepNext/>
              <w:kinsoku/>
              <w:rPr>
                <w:rFonts w:ascii="宋体" w:hAnsi="宋体"/>
                <w:color w:val="auto"/>
                <w:highlight w:val="none"/>
                <w:lang w:eastAsia="zh-CN"/>
              </w:rPr>
            </w:pPr>
            <w:r>
              <w:rPr>
                <w:rFonts w:hint="eastAsia" w:ascii="宋体" w:hAnsi="宋体"/>
                <w:color w:val="auto"/>
                <w:highlight w:val="none"/>
                <w:lang w:eastAsia="zh-CN"/>
              </w:rPr>
              <w:t>7、</w:t>
            </w:r>
            <w:r>
              <w:rPr>
                <w:rFonts w:ascii="宋体" w:hAnsi="宋体"/>
                <w:color w:val="auto"/>
                <w:highlight w:val="none"/>
                <w:lang w:eastAsia="zh-CN"/>
              </w:rPr>
              <w:t>3D接线</w:t>
            </w:r>
            <w:r>
              <w:rPr>
                <w:rFonts w:hint="eastAsia" w:ascii="宋体" w:hAnsi="宋体"/>
                <w:color w:val="auto"/>
                <w:highlight w:val="none"/>
                <w:lang w:eastAsia="zh-CN"/>
              </w:rPr>
              <w:t>:软件创新开发</w:t>
            </w:r>
            <w:r>
              <w:rPr>
                <w:rFonts w:ascii="宋体" w:hAnsi="宋体"/>
                <w:color w:val="auto"/>
                <w:highlight w:val="none"/>
                <w:lang w:eastAsia="zh-CN"/>
              </w:rPr>
              <w:t>3D 接线功能，突破传统 2D 接线的抽象局限，支持用户在 3D 虚拟场景开展沉浸式接线操作，学生可通过鼠标点击元件端口进行连线操作。同时，平台搭载实时渲染引擎，用户在操作时能直观看到导线的自然弯曲角度、接线点的连接状态，以及光线变化下的设备光影效果。</w:t>
            </w:r>
          </w:p>
          <w:p w14:paraId="2142B373">
            <w:pPr>
              <w:keepNext/>
              <w:kinsoku/>
              <w:rPr>
                <w:rFonts w:ascii="宋体" w:hAnsi="宋体"/>
                <w:color w:val="auto"/>
                <w:highlight w:val="none"/>
                <w:lang w:eastAsia="zh-CN"/>
              </w:rPr>
            </w:pPr>
            <w:r>
              <w:rPr>
                <w:rFonts w:hint="eastAsia" w:ascii="宋体" w:hAnsi="宋体"/>
                <w:color w:val="auto"/>
                <w:highlight w:val="none"/>
                <w:lang w:eastAsia="zh-CN"/>
              </w:rPr>
              <w:t>8、</w:t>
            </w:r>
            <w:r>
              <w:rPr>
                <w:rFonts w:ascii="宋体" w:hAnsi="宋体"/>
                <w:color w:val="auto"/>
                <w:highlight w:val="none"/>
                <w:lang w:eastAsia="zh-CN"/>
              </w:rPr>
              <w:t>线颜色、线规格、号码管设置</w:t>
            </w:r>
            <w:r>
              <w:rPr>
                <w:rFonts w:hint="eastAsia" w:ascii="宋体" w:hAnsi="宋体"/>
                <w:color w:val="auto"/>
                <w:highlight w:val="none"/>
                <w:lang w:eastAsia="zh-CN"/>
              </w:rPr>
              <w:t>:系统支持导线属性自定义配置功能，用户可通过双击接线进入导线属性设置界面，对线颜色、线规格、号码管进行可视化编辑。系统提供黄、绿、红、蓝、黑、白、灰等多种工业标准导线颜色供用户选择；线规格支持</w:t>
            </w:r>
            <w:r>
              <w:rPr>
                <w:rFonts w:ascii="宋体" w:hAnsi="宋体"/>
                <w:color w:val="auto"/>
                <w:highlight w:val="none"/>
                <w:lang w:eastAsia="zh-CN"/>
              </w:rPr>
              <w:t>0.5、0.75、1、2、3、4平方线等多种常用线径设置。实训过程中可对 3D 虚拟导线配置号码管，支持中文、数字、字母及符号等多种形式的编号编辑，设置完成后接线两端自动显示对应号码管标识，实现接线规范化、标准化，贴合工业现场配线要求。</w:t>
            </w:r>
          </w:p>
          <w:p w14:paraId="16EB0A90">
            <w:pPr>
              <w:keepNext/>
              <w:kinsoku/>
              <w:rPr>
                <w:rFonts w:ascii="宋体" w:hAnsi="宋体"/>
                <w:color w:val="auto"/>
                <w:highlight w:val="none"/>
                <w:lang w:eastAsia="zh-CN"/>
              </w:rPr>
            </w:pPr>
            <w:r>
              <w:rPr>
                <w:rFonts w:hint="eastAsia" w:ascii="宋体" w:hAnsi="宋体"/>
                <w:color w:val="auto"/>
                <w:highlight w:val="none"/>
                <w:lang w:eastAsia="zh-CN"/>
              </w:rPr>
              <w:t>9、</w:t>
            </w:r>
            <w:r>
              <w:rPr>
                <w:rFonts w:ascii="宋体" w:hAnsi="宋体"/>
                <w:color w:val="auto"/>
                <w:highlight w:val="none"/>
                <w:lang w:eastAsia="zh-CN"/>
              </w:rPr>
              <w:t>文本功能</w:t>
            </w:r>
            <w:r>
              <w:rPr>
                <w:rFonts w:hint="eastAsia" w:ascii="宋体" w:hAnsi="宋体"/>
                <w:color w:val="auto"/>
                <w:highlight w:val="none"/>
                <w:lang w:eastAsia="zh-CN"/>
              </w:rPr>
              <w:t>:平台配备可编辑式铭牌底板文本编辑模块，支持学生在线填写或修改姓名、学号、班级等个人身份信息，文本内容可实时同步至对应铭牌展示区域，满足教学场景下身份标识快速定制与信息规范化展示需求。</w:t>
            </w:r>
          </w:p>
          <w:p w14:paraId="5200EA3D">
            <w:pPr>
              <w:keepNext/>
              <w:kinsoku/>
              <w:rPr>
                <w:rFonts w:ascii="宋体" w:hAnsi="宋体"/>
                <w:color w:val="auto"/>
                <w:highlight w:val="none"/>
                <w:lang w:eastAsia="zh-CN"/>
              </w:rPr>
            </w:pPr>
            <w:r>
              <w:rPr>
                <w:rFonts w:hint="eastAsia" w:ascii="宋体" w:hAnsi="宋体"/>
                <w:color w:val="auto"/>
                <w:highlight w:val="none"/>
                <w:lang w:eastAsia="zh-CN"/>
              </w:rPr>
              <w:t>10、</w:t>
            </w:r>
            <w:r>
              <w:rPr>
                <w:rFonts w:ascii="宋体" w:hAnsi="宋体"/>
                <w:color w:val="auto"/>
                <w:highlight w:val="none"/>
                <w:lang w:eastAsia="zh-CN"/>
              </w:rPr>
              <w:t>操作日志</w:t>
            </w:r>
            <w:r>
              <w:rPr>
                <w:rFonts w:hint="eastAsia" w:ascii="宋体" w:hAnsi="宋体"/>
                <w:color w:val="auto"/>
                <w:highlight w:val="none"/>
                <w:lang w:eastAsia="zh-CN"/>
              </w:rPr>
              <w:t>:系统应内置分级操作日志记录与管理功能，支持用户按日志类型自主筛选、查询、追溯操作过程信息，实现对实训过程的全程监控与问题定位。日志按普通、警告、错误三个等级进行分类展示，并分别以白色、黄色、红色进行可视化标识，便于快速识别风险等级、预警不规范操作、精准定位故障问题。系统配套日志清理工具，支持一键清空全部日志内容，方便平台维护与重复实训。</w:t>
            </w:r>
          </w:p>
          <w:p w14:paraId="0826FB48">
            <w:pPr>
              <w:keepNext/>
              <w:kinsoku/>
              <w:rPr>
                <w:rFonts w:ascii="宋体" w:hAnsi="宋体"/>
                <w:color w:val="auto"/>
                <w:highlight w:val="none"/>
                <w:lang w:eastAsia="zh-CN"/>
              </w:rPr>
            </w:pPr>
            <w:r>
              <w:rPr>
                <w:rFonts w:hint="eastAsia" w:ascii="宋体" w:hAnsi="宋体"/>
                <w:color w:val="auto"/>
                <w:highlight w:val="none"/>
                <w:lang w:eastAsia="zh-CN"/>
              </w:rPr>
              <w:t>11、</w:t>
            </w:r>
            <w:r>
              <w:rPr>
                <w:rFonts w:ascii="宋体" w:hAnsi="宋体"/>
                <w:color w:val="auto"/>
                <w:highlight w:val="none"/>
                <w:lang w:eastAsia="zh-CN"/>
              </w:rPr>
              <w:t>原理图+三维场景</w:t>
            </w:r>
            <w:r>
              <w:rPr>
                <w:rFonts w:hint="eastAsia" w:ascii="宋体" w:hAnsi="宋体"/>
                <w:color w:val="auto"/>
                <w:highlight w:val="none"/>
                <w:lang w:eastAsia="zh-CN"/>
              </w:rPr>
              <w:t>:本软件在实操环节中根据不同的实验项目，不同型号的</w:t>
            </w:r>
            <w:r>
              <w:rPr>
                <w:rFonts w:ascii="宋体" w:hAnsi="宋体"/>
                <w:color w:val="auto"/>
                <w:highlight w:val="none"/>
                <w:lang w:eastAsia="zh-CN"/>
              </w:rPr>
              <w:t>PLC，提供对应的原理图作为接线参考，并且提供与之相对应的仿真三维场景帮助用户进行接线实操。三维实训场景与右侧电气原理图同屏展示，接线操作与原理展示无缝结合，对照学习更直观。</w:t>
            </w:r>
          </w:p>
          <w:p w14:paraId="5A82B9D1">
            <w:pPr>
              <w:keepNext/>
              <w:kinsoku/>
              <w:rPr>
                <w:rFonts w:ascii="宋体" w:hAnsi="宋体"/>
                <w:color w:val="auto"/>
                <w:highlight w:val="none"/>
                <w:lang w:eastAsia="zh-CN"/>
              </w:rPr>
            </w:pPr>
            <w:r>
              <w:rPr>
                <w:rFonts w:hint="eastAsia" w:ascii="宋体" w:hAnsi="宋体"/>
                <w:color w:val="auto"/>
                <w:highlight w:val="none"/>
                <w:lang w:eastAsia="zh-CN"/>
              </w:rPr>
              <w:t>12、</w:t>
            </w:r>
            <w:r>
              <w:rPr>
                <w:rFonts w:ascii="宋体" w:hAnsi="宋体"/>
                <w:color w:val="auto"/>
                <w:highlight w:val="none"/>
                <w:lang w:eastAsia="zh-CN"/>
              </w:rPr>
              <w:t>PLC切换功能要求</w:t>
            </w:r>
            <w:r>
              <w:rPr>
                <w:rFonts w:hint="eastAsia" w:ascii="宋体" w:hAnsi="宋体"/>
                <w:color w:val="auto"/>
                <w:highlight w:val="none"/>
                <w:lang w:eastAsia="zh-CN"/>
              </w:rPr>
              <w:t>:系统应内置</w:t>
            </w:r>
            <w:r>
              <w:rPr>
                <w:rFonts w:ascii="宋体" w:hAnsi="宋体"/>
                <w:color w:val="auto"/>
                <w:highlight w:val="none"/>
                <w:lang w:eastAsia="zh-CN"/>
              </w:rPr>
              <w:t xml:space="preserve"> S7</w:t>
            </w:r>
            <w:r>
              <w:rPr>
                <w:rFonts w:ascii="MS Gothic" w:hAnsi="MS Gothic" w:cs="MS Gothic"/>
                <w:color w:val="auto"/>
                <w:highlight w:val="none"/>
                <w:lang w:eastAsia="zh-CN"/>
              </w:rPr>
              <w:t>‑</w:t>
            </w:r>
            <w:r>
              <w:rPr>
                <w:rFonts w:ascii="宋体" w:hAnsi="宋体"/>
                <w:color w:val="auto"/>
                <w:highlight w:val="none"/>
                <w:lang w:eastAsia="zh-CN"/>
              </w:rPr>
              <w:t>200、S7</w:t>
            </w:r>
            <w:r>
              <w:rPr>
                <w:rFonts w:ascii="MS Gothic" w:hAnsi="MS Gothic" w:cs="MS Gothic"/>
                <w:color w:val="auto"/>
                <w:highlight w:val="none"/>
                <w:lang w:eastAsia="zh-CN"/>
              </w:rPr>
              <w:t>‑</w:t>
            </w:r>
            <w:r>
              <w:rPr>
                <w:rFonts w:ascii="宋体" w:hAnsi="宋体"/>
                <w:color w:val="auto"/>
                <w:highlight w:val="none"/>
                <w:lang w:eastAsia="zh-CN"/>
              </w:rPr>
              <w:t>200 SMART、S7</w:t>
            </w:r>
            <w:r>
              <w:rPr>
                <w:rFonts w:ascii="MS Gothic" w:hAnsi="MS Gothic" w:cs="MS Gothic"/>
                <w:color w:val="auto"/>
                <w:highlight w:val="none"/>
                <w:lang w:eastAsia="zh-CN"/>
              </w:rPr>
              <w:t>‑</w:t>
            </w:r>
            <w:r>
              <w:rPr>
                <w:rFonts w:ascii="宋体" w:hAnsi="宋体"/>
                <w:color w:val="auto"/>
                <w:highlight w:val="none"/>
                <w:lang w:eastAsia="zh-CN"/>
              </w:rPr>
              <w:t>1200 三种工业主流 PLC 型号，支持在同一实训平台内自由切换、无缝适配，可根据不同教学阶段、实训项目及控制任务灵活选择对应 PLC 型号进行编程与调试。</w:t>
            </w:r>
          </w:p>
          <w:p w14:paraId="641F7DC3">
            <w:pPr>
              <w:keepNext/>
              <w:kinsoku/>
              <w:rPr>
                <w:rFonts w:ascii="宋体" w:hAnsi="宋体"/>
                <w:color w:val="auto"/>
                <w:highlight w:val="none"/>
                <w:lang w:eastAsia="zh-CN"/>
              </w:rPr>
            </w:pPr>
            <w:r>
              <w:rPr>
                <w:rFonts w:hint="eastAsia" w:ascii="宋体" w:hAnsi="宋体"/>
                <w:color w:val="auto"/>
                <w:highlight w:val="none"/>
                <w:lang w:eastAsia="zh-CN"/>
              </w:rPr>
              <w:t>13、</w:t>
            </w:r>
            <w:r>
              <w:rPr>
                <w:rFonts w:ascii="宋体" w:hAnsi="宋体"/>
                <w:color w:val="auto"/>
                <w:highlight w:val="none"/>
                <w:lang w:eastAsia="zh-CN"/>
              </w:rPr>
              <w:t>I/O分配自由定制</w:t>
            </w:r>
            <w:r>
              <w:rPr>
                <w:rFonts w:hint="eastAsia" w:ascii="宋体" w:hAnsi="宋体"/>
                <w:color w:val="auto"/>
                <w:highlight w:val="none"/>
                <w:lang w:eastAsia="zh-CN"/>
              </w:rPr>
              <w:t>:系统应支持</w:t>
            </w:r>
            <w:r>
              <w:rPr>
                <w:rFonts w:ascii="宋体" w:hAnsi="宋体"/>
                <w:color w:val="auto"/>
                <w:highlight w:val="none"/>
                <w:lang w:eastAsia="zh-CN"/>
              </w:rPr>
              <w:t>I/O 端口地址自由定制功能，用户可根据项目实际控制需求，自主定义、灵活分配 I/O 端口地址，支持端口名称、数据类型、电气端口分布的可视化配置与修改。</w:t>
            </w:r>
          </w:p>
          <w:p w14:paraId="27287ED4">
            <w:pPr>
              <w:keepNext/>
              <w:kinsoku/>
              <w:rPr>
                <w:rFonts w:ascii="宋体" w:hAnsi="宋体"/>
                <w:color w:val="auto"/>
                <w:highlight w:val="none"/>
                <w:lang w:eastAsia="zh-CN"/>
              </w:rPr>
            </w:pPr>
            <w:r>
              <w:rPr>
                <w:rFonts w:hint="eastAsia" w:ascii="宋体" w:hAnsi="宋体"/>
                <w:color w:val="auto"/>
                <w:highlight w:val="none"/>
                <w:lang w:eastAsia="zh-CN"/>
              </w:rPr>
              <w:t>14、</w:t>
            </w:r>
            <w:r>
              <w:rPr>
                <w:rFonts w:ascii="宋体" w:hAnsi="宋体"/>
                <w:color w:val="auto"/>
                <w:highlight w:val="none"/>
                <w:lang w:eastAsia="zh-CN"/>
              </w:rPr>
              <w:t>工业标准化编程</w:t>
            </w:r>
            <w:r>
              <w:rPr>
                <w:rFonts w:hint="eastAsia" w:ascii="宋体" w:hAnsi="宋体"/>
                <w:color w:val="auto"/>
                <w:highlight w:val="none"/>
                <w:lang w:eastAsia="zh-CN"/>
              </w:rPr>
              <w:t>:软件提供工业标准化梯形图编程环境，界面布局、操作逻辑、指令体系与工业主流的博途（</w:t>
            </w:r>
            <w:r>
              <w:rPr>
                <w:rFonts w:ascii="宋体" w:hAnsi="宋体"/>
                <w:color w:val="auto"/>
                <w:highlight w:val="none"/>
                <w:lang w:eastAsia="zh-CN"/>
              </w:rPr>
              <w:t>TIA Portal）PLC 编程软件高度相似，贴合企业实际工程应用规范。系统可直接承接并调用 I/O 分配结果，支持学生通过拖拽指令库，手动输入 I/O 端口地址完成梯形图开发，有效培养学生标准化、工程化、规范化的编程思维与实操习惯。</w:t>
            </w:r>
          </w:p>
          <w:p w14:paraId="57964E73">
            <w:pPr>
              <w:keepNext/>
              <w:kinsoku/>
              <w:rPr>
                <w:rFonts w:ascii="宋体" w:hAnsi="宋体"/>
                <w:color w:val="auto"/>
                <w:highlight w:val="none"/>
                <w:lang w:eastAsia="zh-CN"/>
              </w:rPr>
            </w:pPr>
            <w:r>
              <w:rPr>
                <w:rFonts w:hint="eastAsia" w:ascii="宋体" w:hAnsi="宋体"/>
                <w:color w:val="auto"/>
                <w:highlight w:val="none"/>
                <w:lang w:eastAsia="zh-CN"/>
              </w:rPr>
              <w:t>15、</w:t>
            </w:r>
            <w:r>
              <w:rPr>
                <w:rFonts w:ascii="宋体" w:hAnsi="宋体"/>
                <w:color w:val="auto"/>
                <w:highlight w:val="none"/>
                <w:lang w:eastAsia="zh-CN"/>
              </w:rPr>
              <w:t>实验面板切换</w:t>
            </w:r>
            <w:r>
              <w:rPr>
                <w:rFonts w:hint="eastAsia" w:ascii="宋体" w:hAnsi="宋体"/>
                <w:color w:val="auto"/>
                <w:highlight w:val="none"/>
                <w:lang w:eastAsia="zh-CN"/>
              </w:rPr>
              <w:t>:应支持</w:t>
            </w:r>
            <w:r>
              <w:rPr>
                <w:rFonts w:ascii="宋体" w:hAnsi="宋体"/>
                <w:color w:val="auto"/>
                <w:highlight w:val="none"/>
                <w:lang w:eastAsia="zh-CN"/>
              </w:rPr>
              <w:t>4款实验面板一键切换，切换过程稳定无卡顿、无数据丢失，操作便捷高效，覆盖基础接线、复杂工业控制等多类实训场景。</w:t>
            </w:r>
          </w:p>
          <w:p w14:paraId="3C4C7DE6">
            <w:pPr>
              <w:keepNext/>
              <w:kinsoku/>
              <w:rPr>
                <w:rFonts w:ascii="宋体" w:hAnsi="宋体"/>
                <w:color w:val="auto"/>
                <w:highlight w:val="none"/>
                <w:lang w:eastAsia="zh-CN"/>
              </w:rPr>
            </w:pPr>
            <w:r>
              <w:rPr>
                <w:rFonts w:hint="eastAsia" w:ascii="宋体" w:hAnsi="宋体"/>
                <w:color w:val="auto"/>
                <w:highlight w:val="none"/>
                <w:lang w:eastAsia="zh-CN"/>
              </w:rPr>
              <w:t>16、</w:t>
            </w:r>
            <w:r>
              <w:rPr>
                <w:rFonts w:ascii="宋体" w:hAnsi="宋体"/>
                <w:color w:val="auto"/>
                <w:highlight w:val="none"/>
                <w:lang w:eastAsia="zh-CN"/>
              </w:rPr>
              <w:t>警告闪烁功能</w:t>
            </w:r>
            <w:r>
              <w:rPr>
                <w:rFonts w:hint="eastAsia" w:ascii="宋体" w:hAnsi="宋体"/>
                <w:color w:val="auto"/>
                <w:highlight w:val="none"/>
                <w:lang w:eastAsia="zh-CN"/>
              </w:rPr>
              <w:t>:在实训实操过程中开启该功能后，当学员完成接线并提交校验时，系统将自动检测漏接、误接等接线异常问题。系统将通过对应端口指示灯高亮闪烁的方式，直观、精准定位并标记错误位置。</w:t>
            </w:r>
          </w:p>
          <w:p w14:paraId="5D86BE83">
            <w:pPr>
              <w:keepNext/>
              <w:kinsoku/>
              <w:rPr>
                <w:rFonts w:ascii="宋体" w:hAnsi="宋体"/>
                <w:color w:val="auto"/>
                <w:highlight w:val="none"/>
                <w:lang w:eastAsia="zh-CN"/>
              </w:rPr>
            </w:pPr>
            <w:r>
              <w:rPr>
                <w:rFonts w:hint="eastAsia" w:ascii="宋体" w:hAnsi="宋体"/>
                <w:color w:val="auto"/>
                <w:highlight w:val="none"/>
                <w:lang w:eastAsia="zh-CN"/>
              </w:rPr>
              <w:t>17、</w:t>
            </w:r>
            <w:r>
              <w:rPr>
                <w:rFonts w:ascii="宋体" w:hAnsi="宋体"/>
                <w:color w:val="auto"/>
                <w:highlight w:val="none"/>
                <w:lang w:eastAsia="zh-CN"/>
              </w:rPr>
              <w:t>智能考核</w:t>
            </w:r>
            <w:r>
              <w:rPr>
                <w:rFonts w:hint="eastAsia" w:ascii="宋体" w:hAnsi="宋体"/>
                <w:color w:val="auto"/>
                <w:highlight w:val="none"/>
                <w:lang w:eastAsia="zh-CN"/>
              </w:rPr>
              <w:t>:自动评分：实操环节均内置自动评分系统，提交接线任务后，系统自动生成评分报告，包含梯形图得分、连线得分、总得分、错误详情等详细信息。</w:t>
            </w:r>
          </w:p>
          <w:p w14:paraId="15479F41">
            <w:pPr>
              <w:keepNext/>
              <w:kinsoku/>
              <w:rPr>
                <w:rFonts w:ascii="宋体" w:hAnsi="宋体"/>
                <w:color w:val="auto"/>
                <w:highlight w:val="none"/>
                <w:lang w:eastAsia="zh-CN"/>
              </w:rPr>
            </w:pPr>
            <w:r>
              <w:rPr>
                <w:rFonts w:hint="eastAsia" w:ascii="宋体" w:hAnsi="宋体"/>
                <w:color w:val="auto"/>
                <w:highlight w:val="none"/>
                <w:lang w:eastAsia="zh-CN"/>
              </w:rPr>
              <w:t>18、调试：创新采用</w:t>
            </w:r>
            <w:r>
              <w:rPr>
                <w:rFonts w:ascii="宋体" w:hAnsi="宋体"/>
                <w:color w:val="auto"/>
                <w:highlight w:val="none"/>
                <w:lang w:eastAsia="zh-CN"/>
              </w:rPr>
              <w:t xml:space="preserve"> “成绩达标自动解锁” 机制，引导学生稳步进阶至实操调试环节。支持 PLC 程序驱动的全流程仿真，调试时 PLC 指示灯随程序运行状态实时反馈、精准亮灭。</w:t>
            </w:r>
          </w:p>
          <w:p w14:paraId="77B53728">
            <w:pPr>
              <w:keepNext/>
              <w:kinsoku/>
              <w:rPr>
                <w:rFonts w:ascii="宋体" w:hAnsi="宋体"/>
                <w:color w:val="auto"/>
                <w:highlight w:val="none"/>
                <w:lang w:eastAsia="zh-CN"/>
              </w:rPr>
            </w:pPr>
            <w:r>
              <w:rPr>
                <w:rFonts w:hint="eastAsia" w:ascii="宋体" w:hAnsi="宋体"/>
                <w:color w:val="auto"/>
                <w:highlight w:val="none"/>
                <w:lang w:eastAsia="zh-CN"/>
              </w:rPr>
              <w:t>19、</w:t>
            </w:r>
            <w:r>
              <w:rPr>
                <w:rFonts w:ascii="宋体" w:hAnsi="宋体"/>
                <w:color w:val="auto"/>
                <w:highlight w:val="none"/>
                <w:lang w:eastAsia="zh-CN"/>
              </w:rPr>
              <w:t>器件标签及属性界面</w:t>
            </w:r>
            <w:r>
              <w:rPr>
                <w:rFonts w:hint="eastAsia" w:ascii="宋体" w:hAnsi="宋体"/>
                <w:color w:val="auto"/>
                <w:highlight w:val="none"/>
                <w:lang w:eastAsia="zh-CN"/>
              </w:rPr>
              <w:t>:点击器件标签按钮后，器件名称将以标签形式精准映射在对应</w:t>
            </w:r>
            <w:r>
              <w:rPr>
                <w:rFonts w:ascii="宋体" w:hAnsi="宋体"/>
                <w:color w:val="auto"/>
                <w:highlight w:val="none"/>
                <w:lang w:eastAsia="zh-CN"/>
              </w:rPr>
              <w:t xml:space="preserve"> 3D 模型位置。</w:t>
            </w:r>
            <w:r>
              <w:rPr>
                <w:rFonts w:hint="eastAsia" w:ascii="宋体" w:hAnsi="宋体"/>
                <w:color w:val="auto"/>
                <w:highlight w:val="none"/>
                <w:lang w:eastAsia="zh-CN"/>
              </w:rPr>
              <w:t>点击属性界面按钮后，可通过点击器件模型弹出专业属性面板。面板左侧包含高清缩略图，鼠标悬停即可放大查看细节；右侧则展示器件名称、电气参数等详细技术信息。</w:t>
            </w:r>
          </w:p>
          <w:p w14:paraId="7E1202B9">
            <w:pPr>
              <w:keepNext/>
              <w:kinsoku/>
              <w:rPr>
                <w:rFonts w:ascii="宋体" w:hAnsi="宋体"/>
                <w:color w:val="auto"/>
                <w:highlight w:val="none"/>
                <w:lang w:eastAsia="zh-CN"/>
              </w:rPr>
            </w:pPr>
            <w:r>
              <w:rPr>
                <w:rFonts w:hint="eastAsia" w:ascii="宋体" w:hAnsi="宋体"/>
                <w:color w:val="auto"/>
                <w:highlight w:val="none"/>
                <w:lang w:eastAsia="zh-CN"/>
              </w:rPr>
              <w:t>20、</w:t>
            </w:r>
            <w:r>
              <w:rPr>
                <w:rFonts w:ascii="宋体" w:hAnsi="宋体"/>
                <w:color w:val="auto"/>
                <w:highlight w:val="none"/>
                <w:lang w:eastAsia="zh-CN"/>
              </w:rPr>
              <w:t>软件至少包含以下实训项目：PLC供电实验、PLC输入输出实验、PLC点动控制实验、电动机启停控制实验、电动机正反转实验、电动机循环正反转实验、可逆运行反接制动实验、交通灯控制实验、循环彩灯控制、运料小车控制。</w:t>
            </w:r>
          </w:p>
        </w:tc>
        <w:tc>
          <w:tcPr>
            <w:tcW w:w="0" w:type="auto"/>
            <w:vAlign w:val="center"/>
          </w:tcPr>
          <w:p w14:paraId="13FF6387">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799F04F">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3918B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AF3838F">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3B0ABC79">
            <w:pPr>
              <w:keepNext/>
              <w:kinsoku/>
              <w:rPr>
                <w:rFonts w:hint="eastAsia" w:cs="宋体" w:asciiTheme="majorEastAsia" w:hAnsiTheme="majorEastAsia" w:eastAsiaTheme="majorEastAsia"/>
                <w:color w:val="auto"/>
                <w:highlight w:val="none"/>
              </w:rPr>
            </w:pPr>
          </w:p>
        </w:tc>
        <w:tc>
          <w:tcPr>
            <w:tcW w:w="1440" w:type="dxa"/>
            <w:vAlign w:val="center"/>
          </w:tcPr>
          <w:p w14:paraId="25ED384A">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电机虚拟仿真平台</w:t>
            </w:r>
          </w:p>
        </w:tc>
        <w:tc>
          <w:tcPr>
            <w:tcW w:w="3882" w:type="dxa"/>
            <w:vAlign w:val="center"/>
          </w:tcPr>
          <w:p w14:paraId="1895298E">
            <w:pPr>
              <w:keepNext/>
              <w:kinsoku/>
              <w:rPr>
                <w:rFonts w:ascii="宋体" w:hAnsi="宋体"/>
                <w:color w:val="auto"/>
                <w:highlight w:val="none"/>
                <w:lang w:eastAsia="zh-CN"/>
              </w:rPr>
            </w:pPr>
            <w:r>
              <w:rPr>
                <w:rFonts w:ascii="宋体" w:hAnsi="宋体"/>
                <w:color w:val="auto"/>
                <w:highlight w:val="none"/>
                <w:lang w:eastAsia="zh-CN"/>
              </w:rPr>
              <w:t>1</w:t>
            </w:r>
            <w:r>
              <w:rPr>
                <w:rFonts w:hint="eastAsia" w:ascii="宋体" w:hAnsi="宋体"/>
                <w:color w:val="auto"/>
                <w:highlight w:val="none"/>
                <w:lang w:eastAsia="zh-CN"/>
              </w:rPr>
              <w:t>、</w:t>
            </w:r>
            <w:r>
              <w:rPr>
                <w:rFonts w:ascii="宋体" w:hAnsi="宋体"/>
                <w:color w:val="auto"/>
                <w:highlight w:val="none"/>
                <w:lang w:eastAsia="zh-CN"/>
              </w:rPr>
              <w:t>软件要求</w:t>
            </w:r>
          </w:p>
          <w:p w14:paraId="2D67E8AE">
            <w:pPr>
              <w:keepNext/>
              <w:kinsoku/>
              <w:rPr>
                <w:rFonts w:ascii="宋体" w:hAnsi="宋体"/>
                <w:color w:val="auto"/>
                <w:highlight w:val="none"/>
                <w:lang w:eastAsia="zh-CN"/>
              </w:rPr>
            </w:pPr>
            <w:r>
              <w:rPr>
                <w:rFonts w:ascii="宋体" w:hAnsi="宋体"/>
                <w:color w:val="auto"/>
                <w:highlight w:val="none"/>
                <w:lang w:eastAsia="zh-CN"/>
              </w:rPr>
              <w:t>1）针对主流电机的独特电磁特性、机械运动规律及能量转换机理，定制开发专属核心函数模型，精准耦合转子槽数、绕组匝数、材质属性等关键参数与电机运行性能的关联逻辑。满足电机研发设计、性能验证、参数校核等核心工程环节的关键运行参数求解需求。</w:t>
            </w:r>
          </w:p>
          <w:p w14:paraId="0656289E">
            <w:pPr>
              <w:keepNext/>
              <w:kinsoku/>
              <w:rPr>
                <w:rFonts w:ascii="宋体" w:hAnsi="宋体"/>
                <w:color w:val="auto"/>
                <w:highlight w:val="none"/>
                <w:lang w:eastAsia="zh-CN"/>
              </w:rPr>
            </w:pPr>
            <w:r>
              <w:rPr>
                <w:rFonts w:ascii="宋体" w:hAnsi="宋体"/>
                <w:color w:val="auto"/>
                <w:highlight w:val="none"/>
                <w:lang w:eastAsia="zh-CN"/>
              </w:rPr>
              <w:t>2）软件支持中英双语一键切换，覆盖界面元素、内置文本、音频字幕等全场景，术语翻译严格遵循电机工程领域标准，适配国际化教学需求。</w:t>
            </w:r>
          </w:p>
          <w:p w14:paraId="3260DADD">
            <w:pPr>
              <w:keepNext/>
              <w:kinsoku/>
              <w:rPr>
                <w:rFonts w:ascii="宋体" w:hAnsi="宋体"/>
                <w:color w:val="auto"/>
                <w:highlight w:val="none"/>
                <w:lang w:eastAsia="zh-CN"/>
              </w:rPr>
            </w:pPr>
            <w:r>
              <w:rPr>
                <w:rFonts w:ascii="宋体" w:hAnsi="宋体"/>
                <w:color w:val="auto"/>
                <w:highlight w:val="none"/>
                <w:lang w:eastAsia="zh-CN"/>
              </w:rPr>
              <w:t>2</w:t>
            </w:r>
            <w:r>
              <w:rPr>
                <w:rFonts w:hint="eastAsia" w:ascii="宋体" w:hAnsi="宋体"/>
                <w:color w:val="auto"/>
                <w:highlight w:val="none"/>
                <w:lang w:eastAsia="zh-CN"/>
              </w:rPr>
              <w:t>、</w:t>
            </w:r>
            <w:r>
              <w:rPr>
                <w:rFonts w:ascii="宋体" w:hAnsi="宋体"/>
                <w:color w:val="auto"/>
                <w:highlight w:val="none"/>
                <w:lang w:eastAsia="zh-CN"/>
              </w:rPr>
              <w:t>软件功能要求</w:t>
            </w:r>
          </w:p>
          <w:p w14:paraId="48B9233B">
            <w:pPr>
              <w:keepNext/>
              <w:kinsoku/>
              <w:rPr>
                <w:rFonts w:ascii="宋体" w:hAnsi="宋体"/>
                <w:color w:val="auto"/>
                <w:highlight w:val="none"/>
                <w:lang w:eastAsia="zh-CN"/>
              </w:rPr>
            </w:pPr>
            <w:r>
              <w:rPr>
                <w:rFonts w:ascii="宋体" w:hAnsi="宋体"/>
                <w:color w:val="auto"/>
                <w:highlight w:val="none"/>
                <w:lang w:eastAsia="zh-CN"/>
              </w:rPr>
              <w:t>1）电机数字化认知要求：直流无刷电机、单相异步电机、三相异步绕组式电机、三相异步鼠笼式电机、直流有刷电机、直流无刷电机的6类主流电机的电机基础理论与工程特性认知，6类都采用采用PPT讲解的展现形式和动态可视化视频学习。</w:t>
            </w:r>
          </w:p>
          <w:p w14:paraId="01896B33">
            <w:pPr>
              <w:keepNext/>
              <w:kinsoku/>
              <w:rPr>
                <w:rFonts w:ascii="宋体" w:hAnsi="宋体"/>
                <w:color w:val="auto"/>
                <w:highlight w:val="none"/>
                <w:lang w:eastAsia="zh-CN"/>
              </w:rPr>
            </w:pPr>
            <w:r>
              <w:rPr>
                <w:rFonts w:ascii="宋体" w:hAnsi="宋体"/>
                <w:color w:val="auto"/>
                <w:highlight w:val="none"/>
                <w:lang w:eastAsia="zh-CN"/>
              </w:rPr>
              <w:t>2）电机虚拟拆装实训要求：直流无刷电机、单相异步电机、三相异步绕组式电机、三相异步鼠笼式电机、直流有刷电机、直流无刷电机的6类电机的拆分与组装，每种都提供一键式整机虚拟拆解/组装功能，呈现电机完整组成结构及各部件装配关系。在拆装训练中点击任意电机的任意部件对应的部件都有名称及定义说明，帮助用户快速建立电机结构的认知体系。</w:t>
            </w:r>
          </w:p>
          <w:p w14:paraId="0FE23210">
            <w:pPr>
              <w:keepNext/>
              <w:kinsoku/>
              <w:rPr>
                <w:rFonts w:ascii="宋体" w:hAnsi="宋体"/>
                <w:color w:val="auto"/>
                <w:highlight w:val="none"/>
                <w:lang w:eastAsia="zh-CN"/>
              </w:rPr>
            </w:pPr>
            <w:r>
              <w:rPr>
                <w:rFonts w:ascii="宋体" w:hAnsi="宋体"/>
                <w:color w:val="auto"/>
                <w:highlight w:val="none"/>
                <w:lang w:eastAsia="zh-CN"/>
              </w:rPr>
              <w:t>3</w:t>
            </w:r>
            <w:r>
              <w:rPr>
                <w:rFonts w:hint="eastAsia" w:ascii="宋体" w:hAnsi="宋体"/>
                <w:color w:val="auto"/>
                <w:highlight w:val="none"/>
                <w:lang w:eastAsia="zh-CN"/>
              </w:rPr>
              <w:t>、</w:t>
            </w:r>
            <w:r>
              <w:rPr>
                <w:rFonts w:ascii="宋体" w:hAnsi="宋体"/>
                <w:color w:val="auto"/>
                <w:highlight w:val="none"/>
                <w:lang w:eastAsia="zh-CN"/>
              </w:rPr>
              <w:t>电机专业仿真分析系统实训要求</w:t>
            </w:r>
          </w:p>
          <w:p w14:paraId="73A73B92">
            <w:pPr>
              <w:keepNext/>
              <w:kinsoku/>
              <w:rPr>
                <w:rFonts w:ascii="宋体" w:hAnsi="宋体"/>
                <w:color w:val="auto"/>
                <w:highlight w:val="none"/>
                <w:lang w:eastAsia="zh-CN"/>
              </w:rPr>
            </w:pPr>
            <w:r>
              <w:rPr>
                <w:rFonts w:ascii="宋体" w:hAnsi="宋体"/>
                <w:color w:val="auto"/>
                <w:highlight w:val="none"/>
                <w:lang w:eastAsia="zh-CN"/>
              </w:rPr>
              <w:t>1）通过真参数面板、仿真设置、仿真图像功能快速电机计算器，参数化扫参，快速出性能曲线。</w:t>
            </w:r>
          </w:p>
          <w:p w14:paraId="71A53860">
            <w:pPr>
              <w:keepNext/>
              <w:kinsoku/>
              <w:rPr>
                <w:rFonts w:ascii="宋体" w:hAnsi="宋体"/>
                <w:color w:val="auto"/>
                <w:highlight w:val="none"/>
                <w:lang w:eastAsia="zh-CN"/>
              </w:rPr>
            </w:pPr>
            <w:r>
              <w:rPr>
                <w:rFonts w:ascii="宋体" w:hAnsi="宋体"/>
                <w:color w:val="auto"/>
                <w:highlight w:val="none"/>
                <w:lang w:eastAsia="zh-CN"/>
              </w:rPr>
              <w:t>2）仿真参数面板：支持用户查看电机配置的仿真参数信息，核心涵盖两类关键参数信息：一是电机核心属性参数，包括电机电压、转子槽数、绕组匝数等硬件相关参数，直观呈现电机基础配置；二是仿真实验参数，涵盖转速范围、数据步长、X 轴自变量、Y 轴自变量等实验设计参数，支持按需调整以匹配不同仿真场景需求。</w:t>
            </w:r>
          </w:p>
          <w:p w14:paraId="6A70A57F">
            <w:pPr>
              <w:keepNext/>
              <w:kinsoku/>
              <w:rPr>
                <w:rFonts w:ascii="宋体" w:hAnsi="宋体"/>
                <w:color w:val="auto"/>
                <w:highlight w:val="none"/>
                <w:lang w:eastAsia="zh-CN"/>
              </w:rPr>
            </w:pPr>
            <w:r>
              <w:rPr>
                <w:rFonts w:ascii="宋体" w:hAnsi="宋体"/>
                <w:color w:val="auto"/>
                <w:highlight w:val="none"/>
                <w:lang w:eastAsia="zh-CN"/>
              </w:rPr>
              <w:t>3）仿真设置：支持用户拖动仿真设置按钮到视图区，可直观展示当前电机的关键固有参数，包括磁芯材质、绕组对数、磁极对数等，帮助用户精准掌握电机基础属性；同时支持自定义调节仿真实验参数，涵盖仿真转速初始值、仿真转速结束值、步长间隔等核心项。参数设置完成后，用户可直接选择 “应用当前参数” 启动仿真，或通过 “取消当前参数” 放弃配置，操作灵活便捷。</w:t>
            </w:r>
          </w:p>
          <w:p w14:paraId="7E89E541">
            <w:pPr>
              <w:keepNext/>
              <w:kinsoku/>
              <w:rPr>
                <w:rFonts w:ascii="宋体" w:hAnsi="宋体"/>
                <w:color w:val="auto"/>
                <w:highlight w:val="none"/>
                <w:lang w:eastAsia="zh-CN"/>
              </w:rPr>
            </w:pPr>
            <w:r>
              <w:rPr>
                <w:rFonts w:ascii="宋体" w:hAnsi="宋体"/>
                <w:color w:val="auto"/>
                <w:highlight w:val="none"/>
                <w:lang w:eastAsia="zh-CN"/>
              </w:rPr>
              <w:t>4）仿真图像：支持将仿真图像控件拖拽至视图区完成自由布局，快速生成当前电机仿真场景下的可视化曲线图表，直观呈现转速、电流等核心参数的动态变化趋势及参数间的内在关联规律。</w:t>
            </w:r>
          </w:p>
          <w:p w14:paraId="0B2CF2F1">
            <w:pPr>
              <w:keepNext/>
              <w:kinsoku/>
              <w:rPr>
                <w:rFonts w:ascii="宋体" w:hAnsi="宋体"/>
                <w:color w:val="auto"/>
                <w:highlight w:val="none"/>
                <w:lang w:eastAsia="zh-CN"/>
              </w:rPr>
            </w:pPr>
            <w:r>
              <w:rPr>
                <w:rFonts w:ascii="宋体" w:hAnsi="宋体"/>
                <w:color w:val="auto"/>
                <w:highlight w:val="none"/>
                <w:lang w:eastAsia="zh-CN"/>
              </w:rPr>
              <w:t>5）电机材质库：支持拖拽式材质替换操作，用户可直接将库内材质球拖拽至电机对应部件，快速修改电机部件的物理材质属性，模拟不同材质对电机外观、性能的影响，满足个性化仿真实验与结构设计的多样化需求，操作直观便捷，贴合实训教学的交互习惯。</w:t>
            </w:r>
          </w:p>
          <w:p w14:paraId="5670B2A2">
            <w:pPr>
              <w:keepNext/>
              <w:kinsoku/>
              <w:rPr>
                <w:rFonts w:ascii="宋体" w:hAnsi="宋体"/>
                <w:color w:val="auto"/>
                <w:highlight w:val="none"/>
                <w:lang w:eastAsia="zh-CN"/>
              </w:rPr>
            </w:pPr>
            <w:r>
              <w:rPr>
                <w:rFonts w:ascii="宋体" w:hAnsi="宋体"/>
                <w:color w:val="auto"/>
                <w:highlight w:val="none"/>
                <w:lang w:eastAsia="zh-CN"/>
              </w:rPr>
              <w:t>6）电机零件库：支持电机零部件属性的查看与核心参数的自定义修改：可直观查看各电机部件的名称、功能描述等基础属性信息，同时支持对转子槽数、绕组匝数、磁极对数等关键结构参数进行按需调整，参数修改后，用户可选择应用当前参数完成配置生效，或选择取消参数修改恢复初始设置，操作灵活，可同步设置电机结构参数的定制化需求。</w:t>
            </w:r>
          </w:p>
          <w:p w14:paraId="3C81DBB3">
            <w:pPr>
              <w:keepNext/>
              <w:kinsoku/>
              <w:rPr>
                <w:rFonts w:ascii="宋体" w:hAnsi="宋体"/>
                <w:color w:val="auto"/>
                <w:highlight w:val="none"/>
                <w:lang w:eastAsia="zh-CN"/>
              </w:rPr>
            </w:pPr>
            <w:r>
              <w:rPr>
                <w:rFonts w:ascii="宋体" w:hAnsi="宋体"/>
                <w:color w:val="auto"/>
                <w:highlight w:val="none"/>
                <w:lang w:eastAsia="zh-CN"/>
              </w:rPr>
              <w:t>4</w:t>
            </w:r>
            <w:r>
              <w:rPr>
                <w:rFonts w:hint="eastAsia" w:ascii="宋体" w:hAnsi="宋体"/>
                <w:color w:val="auto"/>
                <w:highlight w:val="none"/>
                <w:lang w:eastAsia="zh-CN"/>
              </w:rPr>
              <w:t>、</w:t>
            </w:r>
            <w:r>
              <w:rPr>
                <w:rFonts w:ascii="宋体" w:hAnsi="宋体"/>
                <w:color w:val="auto"/>
                <w:highlight w:val="none"/>
                <w:lang w:eastAsia="zh-CN"/>
              </w:rPr>
              <w:t>电机专业仿真分析系统功能要求：</w:t>
            </w:r>
          </w:p>
          <w:p w14:paraId="5CD63C9D">
            <w:pPr>
              <w:keepNext/>
              <w:kinsoku/>
              <w:rPr>
                <w:rFonts w:ascii="宋体" w:hAnsi="宋体"/>
                <w:color w:val="auto"/>
                <w:highlight w:val="none"/>
                <w:lang w:eastAsia="zh-CN"/>
              </w:rPr>
            </w:pPr>
            <w:r>
              <w:rPr>
                <w:rFonts w:ascii="宋体" w:hAnsi="宋体"/>
                <w:color w:val="auto"/>
                <w:highlight w:val="none"/>
                <w:lang w:eastAsia="zh-CN"/>
              </w:rPr>
              <w:t>1）支持用户自主创建仿真项目，可按需选择直流有刷电机、直流无刷电机、永磁同步电机、单相异步电机、三相异步绕组式电机、三相异步鼠笼式电机等 6 类常用电机类型。</w:t>
            </w:r>
          </w:p>
          <w:p w14:paraId="21E04407">
            <w:pPr>
              <w:keepNext/>
              <w:kinsoku/>
              <w:rPr>
                <w:rFonts w:ascii="宋体" w:hAnsi="宋体"/>
                <w:color w:val="auto"/>
                <w:highlight w:val="none"/>
                <w:lang w:eastAsia="zh-CN"/>
              </w:rPr>
            </w:pPr>
            <w:r>
              <w:rPr>
                <w:rFonts w:ascii="宋体" w:hAnsi="宋体"/>
                <w:color w:val="auto"/>
                <w:highlight w:val="none"/>
                <w:lang w:eastAsia="zh-CN"/>
              </w:rPr>
              <w:t>2）支持用户一键保存当前软件界面的完整截图，可便捷留存电机仿真参数配置、运行工况模拟等关键实训画面，便于后续复盘分析、成果分享与教学研讨。</w:t>
            </w:r>
          </w:p>
          <w:p w14:paraId="339E9716">
            <w:pPr>
              <w:keepNext/>
              <w:kinsoku/>
              <w:rPr>
                <w:rFonts w:ascii="宋体" w:hAnsi="宋体"/>
                <w:color w:val="auto"/>
                <w:highlight w:val="none"/>
                <w:lang w:eastAsia="zh-CN"/>
              </w:rPr>
            </w:pPr>
            <w:r>
              <w:rPr>
                <w:rFonts w:ascii="宋体" w:hAnsi="宋体"/>
                <w:color w:val="auto"/>
                <w:highlight w:val="none"/>
                <w:lang w:eastAsia="zh-CN"/>
              </w:rPr>
              <w:t>3）在3D模块下支持视角自由缩放、任意旋转调节。</w:t>
            </w:r>
          </w:p>
          <w:p w14:paraId="6616F8F6">
            <w:pPr>
              <w:keepNext/>
              <w:kinsoku/>
              <w:rPr>
                <w:rFonts w:ascii="宋体" w:hAnsi="宋体"/>
                <w:color w:val="auto"/>
                <w:highlight w:val="none"/>
                <w:lang w:eastAsia="zh-CN"/>
              </w:rPr>
            </w:pPr>
            <w:r>
              <w:rPr>
                <w:rFonts w:ascii="宋体" w:hAnsi="宋体"/>
                <w:color w:val="auto"/>
                <w:highlight w:val="none"/>
                <w:lang w:eastAsia="zh-CN"/>
              </w:rPr>
              <w:t>4）信息提示栏，可实时显示并全程记录软件的操作进程，涵盖已完成操作与当前正在执行的操作，清晰反馈软件实时运行状态，同时精准提示仿真实验的执行结果，帮助用户随时掌握操作流程与实验进度，及时排查操作问题，保障实训与仿真分析的顺畅推进。</w:t>
            </w:r>
          </w:p>
          <w:p w14:paraId="1A59EAA2">
            <w:pPr>
              <w:keepNext/>
              <w:kinsoku/>
              <w:rPr>
                <w:rFonts w:ascii="宋体" w:hAnsi="宋体"/>
                <w:color w:val="auto"/>
                <w:highlight w:val="none"/>
                <w:lang w:eastAsia="zh-CN"/>
              </w:rPr>
            </w:pPr>
            <w:r>
              <w:rPr>
                <w:rFonts w:hint="eastAsia" w:ascii="宋体" w:hAnsi="宋体"/>
                <w:color w:val="auto"/>
                <w:highlight w:val="none"/>
                <w:lang w:eastAsia="zh-CN"/>
              </w:rPr>
              <w:t>5、</w:t>
            </w:r>
            <w:r>
              <w:rPr>
                <w:rFonts w:ascii="宋体" w:hAnsi="宋体"/>
                <w:color w:val="auto"/>
                <w:highlight w:val="none"/>
                <w:lang w:eastAsia="zh-CN"/>
              </w:rPr>
              <w:t>丰富的教学资源包</w:t>
            </w:r>
          </w:p>
          <w:p w14:paraId="068B0699">
            <w:pPr>
              <w:keepNext/>
              <w:kinsoku/>
              <w:rPr>
                <w:rFonts w:hint="eastAsia" w:asciiTheme="majorEastAsia" w:hAnsiTheme="majorEastAsia" w:eastAsiaTheme="majorEastAsia"/>
                <w:color w:val="auto"/>
                <w:highlight w:val="none"/>
                <w:lang w:eastAsia="zh-CN"/>
              </w:rPr>
            </w:pPr>
            <w:r>
              <w:rPr>
                <w:rFonts w:hint="eastAsia" w:ascii="宋体" w:hAnsi="宋体"/>
                <w:color w:val="auto"/>
                <w:highlight w:val="none"/>
                <w:lang w:eastAsia="zh-CN"/>
              </w:rPr>
              <w:t>电机认知模块配套</w:t>
            </w:r>
            <w:r>
              <w:rPr>
                <w:rFonts w:ascii="宋体" w:hAnsi="宋体"/>
                <w:color w:val="auto"/>
                <w:highlight w:val="none"/>
                <w:lang w:eastAsia="zh-CN"/>
              </w:rPr>
              <w:t>6 类主流电机专属教学资源，全覆盖三相异步鼠笼式 / 绕组式电机、单相异步电机、永磁同步电机、直流有刷 / 无刷电机，资源形式包含 PPT 图文简介与视频动态讲解，内容体系化覆盖电机定义、核心结构、工作原理、关键特性及典型应用，满足多维度教学认知需求；资源分设中英双语版本，内容专业详实、适配不同教学场景，为电机理论教学与实操认知提供完整的资源支撑。</w:t>
            </w:r>
          </w:p>
        </w:tc>
        <w:tc>
          <w:tcPr>
            <w:tcW w:w="0" w:type="auto"/>
            <w:vAlign w:val="center"/>
          </w:tcPr>
          <w:p w14:paraId="1E88C279">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7F9959D8">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1</w:t>
            </w:r>
          </w:p>
        </w:tc>
      </w:tr>
      <w:tr w14:paraId="5F8B9C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3E55CE8">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1129ECD4">
            <w:pPr>
              <w:keepNext/>
              <w:kinsoku/>
              <w:rPr>
                <w:rFonts w:hint="eastAsia" w:cs="宋体" w:asciiTheme="majorEastAsia" w:hAnsiTheme="majorEastAsia" w:eastAsiaTheme="majorEastAsia"/>
                <w:color w:val="auto"/>
                <w:highlight w:val="none"/>
              </w:rPr>
            </w:pPr>
          </w:p>
        </w:tc>
        <w:tc>
          <w:tcPr>
            <w:tcW w:w="1440" w:type="dxa"/>
            <w:vAlign w:val="center"/>
          </w:tcPr>
          <w:p w14:paraId="106F2B81">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气动回路在线仿真平台</w:t>
            </w:r>
          </w:p>
        </w:tc>
        <w:tc>
          <w:tcPr>
            <w:tcW w:w="3882" w:type="dxa"/>
            <w:vAlign w:val="center"/>
          </w:tcPr>
          <w:p w14:paraId="13E4A6F8">
            <w:pPr>
              <w:keepNext/>
              <w:kinsoku/>
              <w:rPr>
                <w:rFonts w:ascii="宋体" w:hAnsi="宋体"/>
                <w:color w:val="auto"/>
                <w:highlight w:val="none"/>
              </w:rPr>
            </w:pPr>
            <w:r>
              <w:rPr>
                <w:rFonts w:hint="eastAsia" w:ascii="宋体" w:hAnsi="宋体"/>
                <w:color w:val="auto"/>
                <w:highlight w:val="none"/>
              </w:rPr>
              <w:t>1、支持 Windows/macOS/Linux 多操作系统及 Chrome/Edge/Firefox/Safari 主流浏览器；支持 Web 服务器在线部署</w:t>
            </w:r>
          </w:p>
          <w:p w14:paraId="45E626ED">
            <w:pPr>
              <w:keepNext/>
              <w:kinsoku/>
              <w:rPr>
                <w:rFonts w:ascii="宋体" w:hAnsi="宋体"/>
                <w:color w:val="auto"/>
                <w:highlight w:val="none"/>
              </w:rPr>
            </w:pPr>
            <w:r>
              <w:rPr>
                <w:rFonts w:hint="eastAsia" w:ascii="宋体" w:hAnsi="宋体"/>
                <w:color w:val="auto"/>
                <w:highlight w:val="none"/>
              </w:rPr>
              <w:t>2、在单一 Web 画布上集成气动回路、电气控制线路、PLC 梯形图程序三域；电气拓扑自动驱动电磁线圈（单线圈 V+/V-、双线圈 VL+/VL-/VR+/VR-），PLC 输入由电气连接拓扑自动检测，实现"回路即程序、程序即回路"的一体化闭环仿真，全程不依赖任何外部 PLC 硬件</w:t>
            </w:r>
          </w:p>
          <w:p w14:paraId="297019BB">
            <w:pPr>
              <w:keepNext/>
              <w:kinsoku/>
              <w:rPr>
                <w:rFonts w:ascii="宋体" w:hAnsi="宋体"/>
                <w:color w:val="auto"/>
                <w:highlight w:val="none"/>
                <w:lang w:eastAsia="zh-CN"/>
              </w:rPr>
            </w:pPr>
            <w:r>
              <w:rPr>
                <w:rFonts w:hint="eastAsia" w:ascii="宋体" w:hAnsi="宋体"/>
                <w:color w:val="auto"/>
                <w:highlight w:val="none"/>
                <w:lang w:eastAsia="zh-CN"/>
              </w:rPr>
              <w:t>3、内置完整指令解释器，支持基本逻辑指令（LD/LDI/AND/ANI/OR/ORI/OUT）、定时器（TON/TOF/TP）、计数器（CTU/CTD/CTUD）、边沿检测与内部继电器 M；支持并联分支编程、自动/手动模式切换；PLC 输出实时驱动电磁阀换向，程序执行结果与气动仿真同步刷新。</w:t>
            </w:r>
          </w:p>
          <w:p w14:paraId="4C97E749">
            <w:pPr>
              <w:keepNext/>
              <w:kinsoku/>
              <w:rPr>
                <w:rFonts w:ascii="宋体" w:hAnsi="宋体"/>
                <w:color w:val="auto"/>
                <w:highlight w:val="none"/>
                <w:lang w:eastAsia="zh-CN"/>
              </w:rPr>
            </w:pPr>
            <w:r>
              <w:rPr>
                <w:rFonts w:hint="eastAsia" w:ascii="宋体" w:hAnsi="宋体"/>
                <w:color w:val="auto"/>
                <w:highlight w:val="none"/>
                <w:lang w:eastAsia="zh-CN"/>
              </w:rPr>
              <w:t>4、带传感器气缸的 S1（缩回位）、S2（伸出位）位置传感器根据 A/B 口压力实时判断气缸伸缩状态并控制触点通断；传感器信号反馈至 PLC 输入端，构成"气动动作→传感器检测→PLC 逻辑运算→电磁阀控制→气缸动作"的完整闭环控制链路。</w:t>
            </w:r>
          </w:p>
          <w:p w14:paraId="7A90B8E0">
            <w:pPr>
              <w:keepNext/>
              <w:kinsoku/>
              <w:rPr>
                <w:rFonts w:ascii="宋体" w:hAnsi="宋体"/>
                <w:color w:val="auto"/>
                <w:highlight w:val="none"/>
                <w:lang w:eastAsia="zh-CN"/>
              </w:rPr>
            </w:pPr>
            <w:r>
              <w:rPr>
                <w:rFonts w:hint="eastAsia" w:ascii="宋体" w:hAnsi="宋体"/>
                <w:color w:val="auto"/>
                <w:highlight w:val="none"/>
                <w:lang w:eastAsia="zh-CN"/>
              </w:rPr>
              <w:t>5、内置录屏功能，可录制完整操作过程为视频文件便于回放教学；内置帮助面板含器件原理说明、PLC 接线要点、实时器件清单统计；支持端口级像素参数微调调试模式（端口偏移、气缸杠杆位置、PLC I/O 指示灯位置可调）；支持回路文件（.qds）保存加载与 PNG 截图导出。</w:t>
            </w:r>
          </w:p>
          <w:p w14:paraId="1D117605">
            <w:pPr>
              <w:keepNext/>
              <w:kinsoku/>
              <w:rPr>
                <w:rFonts w:ascii="宋体" w:hAnsi="宋体"/>
                <w:color w:val="auto"/>
                <w:highlight w:val="none"/>
                <w:lang w:eastAsia="zh-CN"/>
              </w:rPr>
            </w:pPr>
            <w:r>
              <w:rPr>
                <w:rFonts w:hint="eastAsia" w:ascii="宋体" w:hAnsi="宋体"/>
                <w:color w:val="auto"/>
                <w:highlight w:val="none"/>
                <w:lang w:eastAsia="zh-CN"/>
              </w:rPr>
              <w:t>6、气动仿真编辑器内置40+种气动元件（含空气压缩机、三联件FRL、5/2电磁阀、3/2手动阀、单作用气缸、双作用气缸、消声器、节流阀等）。</w:t>
            </w:r>
          </w:p>
          <w:p w14:paraId="41E94F0B">
            <w:pPr>
              <w:keepNext/>
              <w:kinsoku/>
              <w:rPr>
                <w:rFonts w:ascii="宋体" w:hAnsi="宋体"/>
                <w:color w:val="auto"/>
                <w:highlight w:val="none"/>
              </w:rPr>
            </w:pPr>
            <w:r>
              <w:rPr>
                <w:rFonts w:hint="eastAsia" w:ascii="宋体" w:hAnsi="宋体"/>
                <w:color w:val="auto"/>
                <w:highlight w:val="none"/>
              </w:rPr>
              <w:t>7、支持 Windows/macOS/Linux 跨平台浏览。</w:t>
            </w:r>
          </w:p>
          <w:p w14:paraId="2E8A3FCD">
            <w:pPr>
              <w:pStyle w:val="17"/>
              <w:keepNext/>
              <w:kinsoku/>
              <w:ind w:firstLine="0" w:firstLineChars="0"/>
              <w:rPr>
                <w:color w:val="auto"/>
                <w:highlight w:val="none"/>
              </w:rPr>
            </w:pPr>
            <w:r>
              <w:rPr>
                <w:rFonts w:hint="eastAsia" w:ascii="宋体" w:hAnsi="宋体"/>
                <w:color w:val="auto"/>
                <w:sz w:val="21"/>
                <w:szCs w:val="21"/>
                <w:highlight w:val="none"/>
              </w:rPr>
              <w:t>★8、为避免纠纷，所投产品不存在侵权情形，投标时提供相关证明材料。</w:t>
            </w:r>
          </w:p>
        </w:tc>
        <w:tc>
          <w:tcPr>
            <w:tcW w:w="0" w:type="auto"/>
            <w:vAlign w:val="center"/>
          </w:tcPr>
          <w:p w14:paraId="08BE570B">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091E03FC">
            <w:pPr>
              <w:keepNext/>
              <w:topLinePunct/>
              <w:jc w:val="center"/>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44</w:t>
            </w:r>
          </w:p>
        </w:tc>
      </w:tr>
      <w:tr w14:paraId="27821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0" w:type="auto"/>
            <w:vMerge w:val="continue"/>
            <w:vAlign w:val="center"/>
          </w:tcPr>
          <w:p w14:paraId="0A0D7440">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413163F0">
            <w:pPr>
              <w:keepNext/>
              <w:kinsoku/>
              <w:rPr>
                <w:rFonts w:hint="eastAsia" w:cs="宋体" w:asciiTheme="majorEastAsia" w:hAnsiTheme="majorEastAsia" w:eastAsiaTheme="majorEastAsia"/>
                <w:color w:val="auto"/>
                <w:highlight w:val="none"/>
              </w:rPr>
            </w:pPr>
          </w:p>
        </w:tc>
        <w:tc>
          <w:tcPr>
            <w:tcW w:w="1440" w:type="dxa"/>
            <w:vAlign w:val="center"/>
          </w:tcPr>
          <w:p w14:paraId="1ED3B9DE">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电气回路在线仿真平台</w:t>
            </w:r>
          </w:p>
        </w:tc>
        <w:tc>
          <w:tcPr>
            <w:tcW w:w="3882" w:type="dxa"/>
            <w:vAlign w:val="center"/>
          </w:tcPr>
          <w:p w14:paraId="3B8E3EA8">
            <w:pPr>
              <w:keepNext/>
              <w:kinsoku/>
              <w:rPr>
                <w:rFonts w:ascii="宋体" w:hAnsi="宋体"/>
                <w:color w:val="auto"/>
                <w:highlight w:val="none"/>
                <w:lang w:eastAsia="zh-CN"/>
              </w:rPr>
            </w:pPr>
            <w:r>
              <w:rPr>
                <w:rFonts w:hint="eastAsia" w:ascii="宋体" w:hAnsi="宋体"/>
                <w:color w:val="auto"/>
                <w:highlight w:val="none"/>
                <w:lang w:eastAsia="zh-CN"/>
              </w:rPr>
              <w:t>1、在同一仿真平台内实现电气回路与PLC程序的双向实时联动仿真，满足以下指标：</w:t>
            </w:r>
          </w:p>
          <w:p w14:paraId="5B069809">
            <w:pPr>
              <w:keepNext/>
              <w:kinsoku/>
              <w:rPr>
                <w:rFonts w:ascii="宋体" w:hAnsi="宋体"/>
                <w:color w:val="auto"/>
                <w:highlight w:val="none"/>
                <w:lang w:eastAsia="zh-CN"/>
              </w:rPr>
            </w:pPr>
            <w:r>
              <w:rPr>
                <w:rFonts w:hint="eastAsia" w:ascii="宋体" w:hAnsi="宋体"/>
                <w:color w:val="auto"/>
                <w:highlight w:val="none"/>
                <w:lang w:eastAsia="zh-CN"/>
              </w:rPr>
              <w:t>1） PLC数字输出端口（Q0.0~Q1.1）可直接驱动电气回路中的接触器线圈、继电器线圈等执行元件。</w:t>
            </w:r>
          </w:p>
          <w:p w14:paraId="2703656A">
            <w:pPr>
              <w:keepNext/>
              <w:kinsoku/>
              <w:rPr>
                <w:rFonts w:ascii="宋体" w:hAnsi="宋体"/>
                <w:color w:val="auto"/>
                <w:highlight w:val="none"/>
                <w:lang w:eastAsia="zh-CN"/>
              </w:rPr>
            </w:pPr>
            <w:r>
              <w:rPr>
                <w:rFonts w:hint="eastAsia" w:ascii="宋体" w:hAnsi="宋体"/>
                <w:color w:val="auto"/>
                <w:highlight w:val="none"/>
                <w:lang w:eastAsia="zh-CN"/>
              </w:rPr>
              <w:t>2） 电气按钮、行程开关、传感器等元件状态实时回传至PLC数字输入端口（I0.0~I1.5），形成闭环控制。</w:t>
            </w:r>
          </w:p>
          <w:p w14:paraId="48566CAC">
            <w:pPr>
              <w:keepNext/>
              <w:kinsoku/>
              <w:rPr>
                <w:rFonts w:ascii="宋体" w:hAnsi="宋体"/>
                <w:color w:val="auto"/>
                <w:highlight w:val="none"/>
                <w:lang w:eastAsia="zh-CN"/>
              </w:rPr>
            </w:pPr>
            <w:r>
              <w:rPr>
                <w:rFonts w:hint="eastAsia" w:ascii="宋体" w:hAnsi="宋体"/>
                <w:color w:val="auto"/>
                <w:highlight w:val="none"/>
                <w:lang w:eastAsia="zh-CN"/>
              </w:rPr>
              <w:t>3）PLC继电器输出公共端（1L/2L）与输出端口之间的连通性由程序逻辑控制，真实模拟继电器输出物理特性。</w:t>
            </w:r>
          </w:p>
          <w:p w14:paraId="3693E22B">
            <w:pPr>
              <w:keepNext/>
              <w:kinsoku/>
              <w:rPr>
                <w:rFonts w:ascii="宋体" w:hAnsi="宋体"/>
                <w:color w:val="auto"/>
                <w:highlight w:val="none"/>
                <w:lang w:eastAsia="zh-CN"/>
              </w:rPr>
            </w:pPr>
            <w:r>
              <w:rPr>
                <w:rFonts w:hint="eastAsia" w:ascii="宋体" w:hAnsi="宋体"/>
                <w:color w:val="auto"/>
                <w:highlight w:val="none"/>
                <w:lang w:eastAsia="zh-CN"/>
              </w:rPr>
              <w:t>4）支持PLC自动/手动两种运行模式切换，自动模式下PLC程序自动执行，手动模式下可逐点控制输出。</w:t>
            </w:r>
          </w:p>
          <w:p w14:paraId="625863BC">
            <w:pPr>
              <w:keepNext/>
              <w:kinsoku/>
              <w:rPr>
                <w:rFonts w:ascii="宋体" w:hAnsi="宋体"/>
                <w:color w:val="auto"/>
                <w:highlight w:val="none"/>
                <w:lang w:eastAsia="zh-CN"/>
              </w:rPr>
            </w:pPr>
            <w:r>
              <w:rPr>
                <w:rFonts w:hint="eastAsia" w:ascii="宋体" w:hAnsi="宋体"/>
                <w:color w:val="auto"/>
                <w:highlight w:val="none"/>
                <w:lang w:eastAsia="zh-CN"/>
              </w:rPr>
              <w:t>2、内置符合IEC 61131-3标准的梯形图编程环境，支持在线编辑与实时仿真，满足以下指标：支持13种指令、14I/10O地址空间。</w:t>
            </w:r>
          </w:p>
          <w:p w14:paraId="73F71483">
            <w:pPr>
              <w:keepNext/>
              <w:kinsoku/>
              <w:rPr>
                <w:rFonts w:ascii="宋体" w:hAnsi="宋体"/>
                <w:color w:val="auto"/>
                <w:highlight w:val="none"/>
                <w:lang w:eastAsia="zh-CN"/>
              </w:rPr>
            </w:pPr>
            <w:r>
              <w:rPr>
                <w:rFonts w:hint="eastAsia" w:ascii="宋体" w:hAnsi="宋体"/>
                <w:color w:val="auto"/>
                <w:highlight w:val="none"/>
                <w:lang w:eastAsia="zh-CN"/>
              </w:rPr>
              <w:t>1）支持并联分支编程：可在梯级任意位置添加并联分支，构建复杂程序结构。</w:t>
            </w:r>
          </w:p>
          <w:p w14:paraId="68DAD109">
            <w:pPr>
              <w:keepNext/>
              <w:kinsoku/>
              <w:rPr>
                <w:rFonts w:ascii="宋体" w:hAnsi="宋体"/>
                <w:color w:val="auto"/>
                <w:highlight w:val="none"/>
                <w:lang w:eastAsia="zh-CN"/>
              </w:rPr>
            </w:pPr>
            <w:r>
              <w:rPr>
                <w:rFonts w:hint="eastAsia" w:ascii="宋体" w:hAnsi="宋体"/>
                <w:color w:val="auto"/>
                <w:highlight w:val="none"/>
                <w:lang w:eastAsia="zh-CN"/>
              </w:rPr>
              <w:t>2）仿真运行时定时器实时显示ET（经过时间）/PT（预设时间），计数器实时显示CV（当前值）/PV（预设值）。</w:t>
            </w:r>
          </w:p>
          <w:p w14:paraId="2D923264">
            <w:pPr>
              <w:keepNext/>
              <w:kinsoku/>
              <w:rPr>
                <w:rFonts w:ascii="宋体" w:hAnsi="宋体"/>
                <w:color w:val="auto"/>
                <w:highlight w:val="none"/>
                <w:lang w:eastAsia="zh-CN"/>
              </w:rPr>
            </w:pPr>
            <w:r>
              <w:rPr>
                <w:rFonts w:hint="eastAsia" w:ascii="宋体" w:hAnsi="宋体"/>
                <w:color w:val="auto"/>
                <w:highlight w:val="none"/>
                <w:lang w:eastAsia="zh-CN"/>
              </w:rPr>
              <w:t>3）梯形图程序在电气回路画布内双击PLC元件直接编辑，无需切换独立软件。</w:t>
            </w:r>
          </w:p>
          <w:p w14:paraId="5CA40449">
            <w:pPr>
              <w:keepNext/>
              <w:kinsoku/>
              <w:rPr>
                <w:rFonts w:ascii="宋体" w:hAnsi="宋体"/>
                <w:color w:val="auto"/>
                <w:highlight w:val="none"/>
                <w:lang w:eastAsia="zh-CN"/>
              </w:rPr>
            </w:pPr>
            <w:r>
              <w:rPr>
                <w:rFonts w:hint="eastAsia" w:ascii="宋体" w:hAnsi="宋体"/>
                <w:color w:val="auto"/>
                <w:highlight w:val="none"/>
                <w:lang w:eastAsia="zh-CN"/>
              </w:rPr>
              <w:t>3、提供符合工业标准的完整电气元件库，每个元件具有精确的多端口定义和状态联动机制；元件库规模：30+元件、7大类、工业标准端口、电机相序判断。</w:t>
            </w:r>
          </w:p>
          <w:p w14:paraId="1B455C2F">
            <w:pPr>
              <w:keepNext/>
              <w:kinsoku/>
              <w:rPr>
                <w:rFonts w:ascii="宋体" w:hAnsi="宋体"/>
                <w:color w:val="auto"/>
                <w:highlight w:val="none"/>
              </w:rPr>
            </w:pPr>
            <w:r>
              <w:rPr>
                <w:rFonts w:hint="eastAsia" w:ascii="宋体" w:hAnsi="宋体"/>
                <w:color w:val="auto"/>
                <w:highlight w:val="none"/>
              </w:rPr>
              <w:t>4、支持 Windows/macOS/Linux 跨平台浏览。</w:t>
            </w:r>
          </w:p>
          <w:p w14:paraId="4EEE2D9F">
            <w:pPr>
              <w:pStyle w:val="17"/>
              <w:keepNext/>
              <w:kinsoku/>
              <w:ind w:firstLine="0" w:firstLineChars="0"/>
              <w:rPr>
                <w:color w:val="auto"/>
                <w:highlight w:val="none"/>
              </w:rPr>
            </w:pPr>
            <w:r>
              <w:rPr>
                <w:rFonts w:hint="eastAsia" w:ascii="宋体" w:hAnsi="宋体"/>
                <w:color w:val="auto"/>
                <w:sz w:val="21"/>
                <w:szCs w:val="21"/>
                <w:highlight w:val="none"/>
              </w:rPr>
              <w:t>★5、为避免纠纷，所投产品不存在侵权情形，投标时提供相关证明材料。</w:t>
            </w:r>
          </w:p>
        </w:tc>
        <w:tc>
          <w:tcPr>
            <w:tcW w:w="0" w:type="auto"/>
            <w:vAlign w:val="center"/>
          </w:tcPr>
          <w:p w14:paraId="22590F98">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4DB80419">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44</w:t>
            </w:r>
          </w:p>
        </w:tc>
      </w:tr>
      <w:tr w14:paraId="28CB14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1" w:type="dxa"/>
            <w:vMerge w:val="continue"/>
            <w:vAlign w:val="center"/>
          </w:tcPr>
          <w:p w14:paraId="43C644F1">
            <w:pPr>
              <w:keepNext/>
              <w:kinsoku/>
              <w:jc w:val="center"/>
              <w:rPr>
                <w:rFonts w:hint="eastAsia" w:cs="宋体" w:asciiTheme="majorEastAsia" w:hAnsiTheme="majorEastAsia" w:eastAsiaTheme="majorEastAsia"/>
                <w:color w:val="auto"/>
                <w:highlight w:val="none"/>
              </w:rPr>
            </w:pPr>
          </w:p>
        </w:tc>
        <w:tc>
          <w:tcPr>
            <w:tcW w:w="1766" w:type="dxa"/>
            <w:vMerge w:val="continue"/>
            <w:vAlign w:val="center"/>
          </w:tcPr>
          <w:p w14:paraId="284F9CB5">
            <w:pPr>
              <w:keepNext/>
              <w:kinsoku/>
              <w:rPr>
                <w:rFonts w:hint="eastAsia" w:cs="宋体" w:asciiTheme="majorEastAsia" w:hAnsiTheme="majorEastAsia" w:eastAsiaTheme="majorEastAsia"/>
                <w:color w:val="auto"/>
                <w:highlight w:val="none"/>
              </w:rPr>
            </w:pPr>
          </w:p>
        </w:tc>
        <w:tc>
          <w:tcPr>
            <w:tcW w:w="1440" w:type="dxa"/>
            <w:vAlign w:val="center"/>
          </w:tcPr>
          <w:p w14:paraId="113B865A">
            <w:pPr>
              <w:keepNext/>
              <w:kinsoku/>
              <w:rPr>
                <w:rFonts w:hint="eastAsia" w:asciiTheme="majorEastAsia" w:hAnsiTheme="majorEastAsia" w:eastAsiaTheme="majorEastAsia"/>
                <w:color w:val="auto"/>
                <w:highlight w:val="none"/>
              </w:rPr>
            </w:pPr>
            <w:r>
              <w:rPr>
                <w:rFonts w:hint="eastAsia" w:asciiTheme="majorEastAsia" w:hAnsiTheme="majorEastAsia" w:eastAsiaTheme="majorEastAsia"/>
                <w:color w:val="auto"/>
                <w:highlight w:val="none"/>
              </w:rPr>
              <w:t>AI智慧开发平台</w:t>
            </w:r>
          </w:p>
        </w:tc>
        <w:tc>
          <w:tcPr>
            <w:tcW w:w="3882" w:type="dxa"/>
            <w:vAlign w:val="center"/>
          </w:tcPr>
          <w:p w14:paraId="339DDFD2">
            <w:pPr>
              <w:keepNext/>
              <w:kinsoku/>
              <w:rPr>
                <w:color w:val="auto"/>
                <w:highlight w:val="none"/>
                <w:lang w:eastAsia="zh-CN"/>
              </w:rPr>
            </w:pPr>
            <w:r>
              <w:rPr>
                <w:rFonts w:hint="eastAsia"/>
                <w:color w:val="auto"/>
                <w:highlight w:val="none"/>
                <w:lang w:eastAsia="zh-CN"/>
              </w:rPr>
              <w:t>1、</w:t>
            </w:r>
            <w:r>
              <w:rPr>
                <w:color w:val="auto"/>
                <w:highlight w:val="none"/>
                <w:lang w:eastAsia="zh-CN"/>
              </w:rPr>
              <w:t>系统采用前后端分离架构，全部本地化部署，不依赖公网云服务即可完整运行。</w:t>
            </w:r>
          </w:p>
          <w:p w14:paraId="4AA04CD0">
            <w:pPr>
              <w:keepNext/>
              <w:kinsoku/>
              <w:rPr>
                <w:color w:val="auto"/>
                <w:highlight w:val="none"/>
                <w:lang w:eastAsia="zh-CN"/>
              </w:rPr>
            </w:pPr>
            <w:r>
              <w:rPr>
                <w:rFonts w:hint="eastAsia"/>
                <w:color w:val="auto"/>
                <w:highlight w:val="none"/>
                <w:lang w:eastAsia="zh-CN"/>
              </w:rPr>
              <w:t>2、系统须与智能连接嵌入式平台对接，通过S7协议连接西门子S7-1200 PLC，实现点位读写、状态订阅与设备管理。</w:t>
            </w:r>
          </w:p>
          <w:p w14:paraId="02AF9305">
            <w:pPr>
              <w:keepNext/>
              <w:kinsoku/>
              <w:rPr>
                <w:color w:val="auto"/>
                <w:highlight w:val="none"/>
                <w:lang w:eastAsia="zh-CN"/>
              </w:rPr>
            </w:pPr>
            <w:r>
              <w:rPr>
                <w:rFonts w:hint="eastAsia"/>
                <w:color w:val="auto"/>
                <w:highlight w:val="none"/>
                <w:lang w:eastAsia="zh-CN"/>
              </w:rPr>
              <w:t>3、系统须提供全局总览页，顶部为深色“关键运行状态”横幅，至少包含现场连接、报警信息、当前工步、订单进度四个分区，实时刷新并带脉冲指示，报警时红色扩散动画提示。</w:t>
            </w:r>
          </w:p>
          <w:p w14:paraId="24A7D6EC">
            <w:pPr>
              <w:keepNext/>
              <w:kinsoku/>
              <w:rPr>
                <w:color w:val="auto"/>
                <w:highlight w:val="none"/>
                <w:lang w:eastAsia="zh-CN"/>
              </w:rPr>
            </w:pPr>
            <w:r>
              <w:rPr>
                <w:rFonts w:hint="eastAsia"/>
                <w:color w:val="auto"/>
                <w:highlight w:val="none"/>
                <w:lang w:eastAsia="zh-CN"/>
              </w:rPr>
              <w:t>4、总览页须提供不少于7张核心模块监控卡（状态指示灯+进度条+业务摘要+悬停直达），并展示工艺闭环与工序状态机总体进度及质检结论，与学校现有的设备深入融合。</w:t>
            </w:r>
          </w:p>
          <w:p w14:paraId="55ECE6BD">
            <w:pPr>
              <w:keepNext/>
              <w:kinsoku/>
              <w:rPr>
                <w:color w:val="auto"/>
                <w:highlight w:val="none"/>
                <w:lang w:eastAsia="zh-CN"/>
              </w:rPr>
            </w:pPr>
            <w:r>
              <w:rPr>
                <w:rFonts w:hint="eastAsia"/>
                <w:color w:val="auto"/>
                <w:highlight w:val="none"/>
                <w:lang w:eastAsia="zh-CN"/>
              </w:rPr>
              <w:t>5、系统须内置完整工序状态机，采用固定站点号（step_no）映射物理工序与执行设备。</w:t>
            </w:r>
          </w:p>
          <w:p w14:paraId="7C5CCAAE">
            <w:pPr>
              <w:keepNext/>
              <w:kinsoku/>
              <w:rPr>
                <w:color w:val="auto"/>
                <w:highlight w:val="none"/>
                <w:lang w:eastAsia="zh-CN"/>
              </w:rPr>
            </w:pPr>
            <w:r>
              <w:rPr>
                <w:rFonts w:hint="eastAsia"/>
                <w:color w:val="auto"/>
                <w:highlight w:val="none"/>
                <w:lang w:eastAsia="zh-CN"/>
              </w:rPr>
              <w:t>6、</w:t>
            </w:r>
            <w:r>
              <w:rPr>
                <w:color w:val="auto"/>
                <w:highlight w:val="none"/>
                <w:lang w:eastAsia="zh-CN"/>
              </w:rPr>
              <w:t>系统须提供素材接入模块，支持工业相机/现场实拍图片的导入、预览、元数据（分辨率、来源设备、状态）管理与可</w:t>
            </w:r>
            <w:r>
              <w:rPr>
                <w:rFonts w:hint="eastAsia"/>
                <w:color w:val="auto"/>
                <w:highlight w:val="none"/>
                <w:lang w:eastAsia="zh-CN"/>
              </w:rPr>
              <w:t>解析</w:t>
            </w:r>
            <w:r>
              <w:rPr>
                <w:color w:val="auto"/>
                <w:highlight w:val="none"/>
                <w:lang w:eastAsia="zh-CN"/>
              </w:rPr>
              <w:t>标注。</w:t>
            </w:r>
          </w:p>
          <w:p w14:paraId="0ED8763E">
            <w:pPr>
              <w:keepNext/>
              <w:kinsoku/>
              <w:rPr>
                <w:color w:val="auto"/>
                <w:highlight w:val="none"/>
                <w:lang w:eastAsia="zh-CN"/>
              </w:rPr>
            </w:pPr>
            <w:r>
              <w:rPr>
                <w:rFonts w:hint="eastAsia"/>
                <w:color w:val="auto"/>
                <w:highlight w:val="none"/>
                <w:lang w:eastAsia="zh-CN"/>
              </w:rPr>
              <w:t>7、素材管理须支持级联安全删除：删除图片时自动清理其关联的纹样修订、轨迹、检测、建议等全部派生数据，不产生数据库约束错误。</w:t>
            </w:r>
          </w:p>
          <w:p w14:paraId="213CD3E9">
            <w:pPr>
              <w:keepNext/>
              <w:kinsoku/>
              <w:rPr>
                <w:color w:val="auto"/>
                <w:highlight w:val="none"/>
                <w:lang w:eastAsia="zh-CN"/>
              </w:rPr>
            </w:pPr>
            <w:r>
              <w:rPr>
                <w:rFonts w:hint="eastAsia"/>
                <w:color w:val="auto"/>
                <w:highlight w:val="none"/>
                <w:lang w:eastAsia="zh-CN"/>
              </w:rPr>
              <w:t>8、系统须支持导入标准花瓷纹样图片后，AI 自动识别点状斑块与线状纹样两类图元，输出可编辑的识别结果。</w:t>
            </w:r>
          </w:p>
          <w:p w14:paraId="359A4BA4">
            <w:pPr>
              <w:keepNext/>
              <w:kinsoku/>
              <w:rPr>
                <w:color w:val="auto"/>
                <w:highlight w:val="none"/>
                <w:lang w:eastAsia="zh-CN"/>
              </w:rPr>
            </w:pPr>
            <w:r>
              <w:rPr>
                <w:rFonts w:hint="eastAsia"/>
                <w:color w:val="auto"/>
                <w:highlight w:val="none"/>
                <w:lang w:eastAsia="zh-CN"/>
              </w:rPr>
              <w:t>9、系统须根据识别结果与预设工件模型自动生成局部需要的轨迹，轨迹可预览、可修改参数、可保存、可仿真。</w:t>
            </w:r>
          </w:p>
          <w:p w14:paraId="7B549CAE">
            <w:pPr>
              <w:keepNext/>
              <w:kinsoku/>
              <w:rPr>
                <w:color w:val="auto"/>
                <w:highlight w:val="none"/>
                <w:lang w:eastAsia="zh-CN"/>
              </w:rPr>
            </w:pPr>
            <w:r>
              <w:rPr>
                <w:rFonts w:hint="eastAsia"/>
                <w:color w:val="auto"/>
                <w:highlight w:val="none"/>
                <w:lang w:eastAsia="zh-CN"/>
              </w:rPr>
              <w:t>10、</w:t>
            </w:r>
            <w:r>
              <w:rPr>
                <w:color w:val="auto"/>
                <w:highlight w:val="none"/>
                <w:lang w:eastAsia="zh-CN"/>
              </w:rPr>
              <w:t>系统须提供工件的三维可视化：支持三维视图与正交投影视图两种呈现，二维轨迹正确投影贴合三维工件表面</w:t>
            </w:r>
            <w:r>
              <w:rPr>
                <w:rFonts w:hint="eastAsia"/>
                <w:color w:val="auto"/>
                <w:highlight w:val="none"/>
                <w:lang w:eastAsia="zh-CN"/>
              </w:rPr>
              <w:t>。</w:t>
            </w:r>
          </w:p>
          <w:p w14:paraId="780BB1B3">
            <w:pPr>
              <w:keepNext/>
              <w:kinsoku/>
              <w:rPr>
                <w:color w:val="auto"/>
                <w:highlight w:val="none"/>
                <w:lang w:eastAsia="zh-CN"/>
              </w:rPr>
            </w:pPr>
            <w:r>
              <w:rPr>
                <w:rFonts w:hint="eastAsia" w:ascii="Segoe UI Symbol" w:hAnsi="Segoe UI Symbol" w:cs="Segoe UI Symbol"/>
                <w:color w:val="auto"/>
                <w:highlight w:val="none"/>
                <w:lang w:eastAsia="zh-CN"/>
              </w:rPr>
              <w:t>11、</w:t>
            </w:r>
            <w:r>
              <w:rPr>
                <w:color w:val="auto"/>
                <w:highlight w:val="none"/>
                <w:lang w:eastAsia="zh-CN"/>
              </w:rPr>
              <w:t>系统须通过</w:t>
            </w:r>
            <w:r>
              <w:rPr>
                <w:rFonts w:hint="eastAsia"/>
                <w:color w:val="auto"/>
                <w:highlight w:val="none"/>
                <w:lang w:eastAsia="zh-CN"/>
              </w:rPr>
              <w:t>智能连接嵌入式平台</w:t>
            </w:r>
            <w:r>
              <w:rPr>
                <w:color w:val="auto"/>
                <w:highlight w:val="none"/>
                <w:lang w:eastAsia="zh-CN"/>
              </w:rPr>
              <w:t>向S7-1200 PLC 写入纹样编号、轨迹编号与局部工艺参数，并读取设备运行状态、步骤状态与报警状态</w:t>
            </w:r>
            <w:r>
              <w:rPr>
                <w:rFonts w:hint="eastAsia"/>
                <w:color w:val="auto"/>
                <w:highlight w:val="none"/>
                <w:lang w:eastAsia="zh-CN"/>
              </w:rPr>
              <w:t>。</w:t>
            </w:r>
          </w:p>
          <w:p w14:paraId="73AD0ED8">
            <w:pPr>
              <w:keepNext/>
              <w:kinsoku/>
              <w:rPr>
                <w:color w:val="auto"/>
                <w:highlight w:val="none"/>
                <w:lang w:eastAsia="zh-CN"/>
              </w:rPr>
            </w:pPr>
            <w:r>
              <w:rPr>
                <w:color w:val="auto"/>
                <w:highlight w:val="none"/>
                <w:lang w:eastAsia="zh-CN"/>
              </w:rPr>
              <w:t>系统须内置工艺推理 LLM，提供参数建议、异常解释与工艺问答能力，LLM 能力状态在系统中可视化</w:t>
            </w:r>
            <w:r>
              <w:rPr>
                <w:rFonts w:hint="eastAsia"/>
                <w:color w:val="auto"/>
                <w:highlight w:val="none"/>
                <w:lang w:eastAsia="zh-CN"/>
              </w:rPr>
              <w:t>。</w:t>
            </w:r>
          </w:p>
          <w:p w14:paraId="511F672F">
            <w:pPr>
              <w:keepNext/>
              <w:kinsoku/>
              <w:rPr>
                <w:color w:val="auto"/>
                <w:highlight w:val="none"/>
                <w:lang w:eastAsia="zh-CN"/>
              </w:rPr>
            </w:pPr>
            <w:r>
              <w:rPr>
                <w:rFonts w:hint="eastAsia" w:ascii="Segoe UI Symbol" w:hAnsi="Segoe UI Symbol" w:cs="Segoe UI Symbol"/>
                <w:color w:val="auto"/>
                <w:highlight w:val="none"/>
                <w:lang w:eastAsia="zh-CN"/>
              </w:rPr>
              <w:t>12、</w:t>
            </w:r>
            <w:r>
              <w:rPr>
                <w:color w:val="auto"/>
                <w:highlight w:val="none"/>
                <w:lang w:eastAsia="zh-CN"/>
              </w:rPr>
              <w:t>系统须提供数字人交互能力：以浮动窗口形式进行工艺流程讲解、设备状态播报、异常提示与模式解说，</w:t>
            </w:r>
            <w:r>
              <w:rPr>
                <w:rFonts w:hint="eastAsia"/>
                <w:color w:val="auto"/>
                <w:highlight w:val="none"/>
                <w:lang w:eastAsia="zh-CN"/>
              </w:rPr>
              <w:t>数字人</w:t>
            </w:r>
            <w:r>
              <w:rPr>
                <w:color w:val="auto"/>
                <w:highlight w:val="none"/>
                <w:lang w:eastAsia="zh-CN"/>
              </w:rPr>
              <w:t>形象与播报音色统一管理</w:t>
            </w:r>
            <w:r>
              <w:rPr>
                <w:rFonts w:hint="eastAsia"/>
                <w:color w:val="auto"/>
                <w:highlight w:val="none"/>
                <w:lang w:eastAsia="zh-CN"/>
              </w:rPr>
              <w:t>不少于5个</w:t>
            </w:r>
            <w:r>
              <w:rPr>
                <w:color w:val="auto"/>
                <w:highlight w:val="none"/>
                <w:lang w:eastAsia="zh-CN"/>
              </w:rPr>
              <w:t>。</w:t>
            </w:r>
          </w:p>
          <w:p w14:paraId="3CC65383">
            <w:pPr>
              <w:keepNext/>
              <w:kinsoku/>
              <w:rPr>
                <w:color w:val="auto"/>
                <w:highlight w:val="none"/>
                <w:lang w:eastAsia="zh-CN"/>
              </w:rPr>
            </w:pPr>
            <w:r>
              <w:rPr>
                <w:rFonts w:hint="eastAsia"/>
                <w:color w:val="auto"/>
                <w:highlight w:val="none"/>
                <w:lang w:eastAsia="zh-CN"/>
              </w:rPr>
              <w:t>13、系统须集成语音识别（ASR，FunASR 本地部署），支持操作员语音指令与现场转写。</w:t>
            </w:r>
          </w:p>
          <w:p w14:paraId="2B358742">
            <w:pPr>
              <w:keepNext/>
              <w:kinsoku/>
              <w:rPr>
                <w:rFonts w:hint="eastAsia"/>
                <w:color w:val="auto"/>
                <w:highlight w:val="none"/>
                <w:lang w:eastAsia="zh-CN"/>
              </w:rPr>
            </w:pPr>
            <w:r>
              <w:rPr>
                <w:rFonts w:hint="eastAsia"/>
                <w:color w:val="auto"/>
                <w:highlight w:val="none"/>
                <w:lang w:eastAsia="zh-CN"/>
              </w:rPr>
              <w:t>14、</w:t>
            </w:r>
            <w:r>
              <w:rPr>
                <w:color w:val="auto"/>
                <w:highlight w:val="none"/>
                <w:lang w:eastAsia="zh-CN"/>
              </w:rPr>
              <w:t>系统须提供统一系统设置页：工艺参数上下限、检测阈值、缺陷规则库、数字人形象与音色、端口配置等集中管理</w:t>
            </w:r>
            <w:r>
              <w:rPr>
                <w:rFonts w:hint="eastAsia"/>
                <w:color w:val="auto"/>
                <w:highlight w:val="none"/>
                <w:lang w:eastAsia="zh-CN"/>
              </w:rPr>
              <w:t>。</w:t>
            </w:r>
          </w:p>
        </w:tc>
        <w:tc>
          <w:tcPr>
            <w:tcW w:w="442" w:type="dxa"/>
            <w:vAlign w:val="center"/>
          </w:tcPr>
          <w:p w14:paraId="5552E85A">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套</w:t>
            </w:r>
          </w:p>
        </w:tc>
        <w:tc>
          <w:tcPr>
            <w:tcW w:w="442" w:type="dxa"/>
            <w:vAlign w:val="center"/>
          </w:tcPr>
          <w:p w14:paraId="68A8A4E7">
            <w:pPr>
              <w:keepNext/>
              <w:topLinePunct/>
              <w:jc w:val="center"/>
              <w:rPr>
                <w:rFonts w:hint="eastAsia" w:cs="宋体" w:asciiTheme="majorEastAsia" w:hAnsiTheme="majorEastAsia" w:eastAsiaTheme="majorEastAsia"/>
                <w:color w:val="auto"/>
                <w:highlight w:val="none"/>
              </w:rPr>
            </w:pPr>
            <w:r>
              <w:rPr>
                <w:rFonts w:cs="宋体" w:asciiTheme="majorEastAsia" w:hAnsiTheme="majorEastAsia" w:eastAsiaTheme="majorEastAsia"/>
                <w:color w:val="auto"/>
                <w:highlight w:val="none"/>
              </w:rPr>
              <w:t>44</w:t>
            </w:r>
          </w:p>
        </w:tc>
      </w:tr>
      <w:tr w14:paraId="51535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1" w:type="dxa"/>
            <w:vAlign w:val="center"/>
          </w:tcPr>
          <w:p w14:paraId="11DC5426">
            <w:pPr>
              <w:keepNext/>
              <w:kinsoku/>
              <w:jc w:val="center"/>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5</w:t>
            </w:r>
          </w:p>
        </w:tc>
        <w:tc>
          <w:tcPr>
            <w:tcW w:w="1766" w:type="dxa"/>
            <w:vAlign w:val="center"/>
          </w:tcPr>
          <w:p w14:paraId="4C94FD83">
            <w:pPr>
              <w:keepNext/>
              <w:kinsoku/>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其他办公设备</w:t>
            </w:r>
          </w:p>
        </w:tc>
        <w:tc>
          <w:tcPr>
            <w:tcW w:w="1440" w:type="dxa"/>
            <w:vAlign w:val="center"/>
          </w:tcPr>
          <w:p w14:paraId="0ACE5DEA">
            <w:pPr>
              <w:keepNext/>
              <w:kinsoku/>
              <w:rPr>
                <w:rFonts w:hint="eastAsia"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台式计算机</w:t>
            </w:r>
          </w:p>
        </w:tc>
        <w:tc>
          <w:tcPr>
            <w:tcW w:w="3882" w:type="dxa"/>
            <w:vAlign w:val="center"/>
          </w:tcPr>
          <w:p w14:paraId="29F58CE3">
            <w:pPr>
              <w:keepNext/>
              <w:kinsoku/>
              <w:rPr>
                <w:rFonts w:eastAsia="宋体"/>
                <w:color w:val="auto"/>
                <w:highlight w:val="none"/>
                <w:lang w:eastAsia="zh-CN"/>
              </w:rPr>
            </w:pPr>
            <w:r>
              <w:rPr>
                <w:rFonts w:hint="eastAsia" w:eastAsia="宋体"/>
                <w:color w:val="auto"/>
                <w:highlight w:val="none"/>
                <w:lang w:eastAsia="zh-CN"/>
              </w:rPr>
              <w:t>具体参数详见下表。</w:t>
            </w:r>
          </w:p>
        </w:tc>
        <w:tc>
          <w:tcPr>
            <w:tcW w:w="442" w:type="dxa"/>
            <w:vAlign w:val="center"/>
          </w:tcPr>
          <w:p w14:paraId="4C2AA0C1">
            <w:pPr>
              <w:keepNext/>
              <w:topLinePunct/>
              <w:jc w:val="center"/>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套</w:t>
            </w:r>
          </w:p>
        </w:tc>
        <w:tc>
          <w:tcPr>
            <w:tcW w:w="442" w:type="dxa"/>
            <w:vAlign w:val="center"/>
          </w:tcPr>
          <w:p w14:paraId="1A65E01C">
            <w:pPr>
              <w:keepNext/>
              <w:topLinePunct/>
              <w:jc w:val="center"/>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44</w:t>
            </w:r>
          </w:p>
        </w:tc>
      </w:tr>
    </w:tbl>
    <w:p w14:paraId="4DF9E4B5">
      <w:pPr>
        <w:pStyle w:val="6"/>
        <w:kinsoku/>
        <w:wordWrap w:val="0"/>
        <w:spacing w:line="360" w:lineRule="auto"/>
        <w:jc w:val="both"/>
        <w:rPr>
          <w:rFonts w:hint="eastAsia" w:asciiTheme="minorEastAsia" w:hAnsiTheme="minorEastAsia" w:eastAsiaTheme="minorEastAsia" w:cstheme="minorEastAsia"/>
          <w:color w:val="auto"/>
          <w:spacing w:val="-1"/>
          <w:sz w:val="24"/>
          <w:szCs w:val="24"/>
          <w:highlight w:val="none"/>
          <w:lang w:eastAsia="zh-CN"/>
        </w:rPr>
      </w:pPr>
    </w:p>
    <w:p w14:paraId="6CACE98C">
      <w:pPr>
        <w:pStyle w:val="6"/>
        <w:kinsoku/>
        <w:wordWrap w:val="0"/>
        <w:spacing w:line="360" w:lineRule="auto"/>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台式计算机技术参数表：</w:t>
      </w:r>
    </w:p>
    <w:tbl>
      <w:tblPr>
        <w:tblStyle w:val="19"/>
        <w:tblW w:w="8914" w:type="dxa"/>
        <w:jc w:val="center"/>
        <w:tblLayout w:type="autofit"/>
        <w:tblCellMar>
          <w:top w:w="0" w:type="dxa"/>
          <w:left w:w="108" w:type="dxa"/>
          <w:bottom w:w="0" w:type="dxa"/>
          <w:right w:w="108" w:type="dxa"/>
        </w:tblCellMar>
      </w:tblPr>
      <w:tblGrid>
        <w:gridCol w:w="816"/>
        <w:gridCol w:w="757"/>
        <w:gridCol w:w="1716"/>
        <w:gridCol w:w="1383"/>
        <w:gridCol w:w="3216"/>
        <w:gridCol w:w="1026"/>
      </w:tblGrid>
      <w:tr w14:paraId="239CC63C">
        <w:tblPrEx>
          <w:tblCellMar>
            <w:top w:w="0" w:type="dxa"/>
            <w:left w:w="108" w:type="dxa"/>
            <w:bottom w:w="0" w:type="dxa"/>
            <w:right w:w="108" w:type="dxa"/>
          </w:tblCellMar>
        </w:tblPrEx>
        <w:trPr>
          <w:tblHeade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088981F">
            <w:pPr>
              <w:keepNext/>
              <w:jc w:val="center"/>
              <w:rPr>
                <w:rFonts w:hint="eastAsia" w:cs="仿宋_GB2312" w:asciiTheme="majorEastAsia" w:hAnsiTheme="majorEastAsia" w:eastAsiaTheme="majorEastAsia"/>
                <w:b/>
                <w:color w:val="auto"/>
                <w:highlight w:val="none"/>
              </w:rPr>
            </w:pPr>
            <w:r>
              <w:rPr>
                <w:rFonts w:hint="eastAsia" w:cs="仿宋_GB2312" w:asciiTheme="majorEastAsia" w:hAnsiTheme="majorEastAsia" w:eastAsiaTheme="majorEastAsia"/>
                <w:b/>
                <w:color w:val="auto"/>
                <w:highlight w:val="none"/>
              </w:rPr>
              <w:t>重要程度</w:t>
            </w:r>
          </w:p>
        </w:tc>
        <w:tc>
          <w:tcPr>
            <w:tcW w:w="757" w:type="dxa"/>
            <w:tcBorders>
              <w:top w:val="single" w:color="000000" w:sz="4" w:space="0"/>
              <w:left w:val="single" w:color="000000" w:sz="4" w:space="0"/>
              <w:bottom w:val="single" w:color="000000" w:sz="4" w:space="0"/>
              <w:right w:val="single" w:color="000000" w:sz="4" w:space="0"/>
            </w:tcBorders>
            <w:vAlign w:val="center"/>
          </w:tcPr>
          <w:p w14:paraId="5340A544">
            <w:pPr>
              <w:keepNext/>
              <w:jc w:val="center"/>
              <w:textAlignment w:val="center"/>
              <w:rPr>
                <w:rFonts w:hint="eastAsia" w:cs="仿宋_GB2312" w:asciiTheme="majorEastAsia" w:hAnsiTheme="majorEastAsia" w:eastAsiaTheme="majorEastAsia"/>
                <w:b/>
                <w:color w:val="auto"/>
                <w:highlight w:val="none"/>
                <w:lang w:bidi="ar"/>
              </w:rPr>
            </w:pPr>
            <w:r>
              <w:rPr>
                <w:rFonts w:hint="eastAsia" w:cs="仿宋_GB2312" w:asciiTheme="majorEastAsia" w:hAnsiTheme="majorEastAsia" w:eastAsiaTheme="majorEastAsia"/>
                <w:b/>
                <w:color w:val="auto"/>
                <w:highlight w:val="none"/>
                <w:lang w:bidi="ar"/>
              </w:rPr>
              <w:t>序号</w:t>
            </w:r>
          </w:p>
        </w:tc>
        <w:tc>
          <w:tcPr>
            <w:tcW w:w="1716" w:type="dxa"/>
            <w:tcBorders>
              <w:top w:val="single" w:color="000000" w:sz="4" w:space="0"/>
              <w:left w:val="single" w:color="000000" w:sz="4" w:space="0"/>
              <w:bottom w:val="single" w:color="000000" w:sz="4" w:space="0"/>
              <w:right w:val="single" w:color="000000" w:sz="4" w:space="0"/>
            </w:tcBorders>
            <w:vAlign w:val="center"/>
          </w:tcPr>
          <w:p w14:paraId="721110E5">
            <w:pPr>
              <w:keepNext/>
              <w:jc w:val="center"/>
              <w:textAlignment w:val="center"/>
              <w:rPr>
                <w:rFonts w:hint="eastAsia" w:cs="仿宋_GB2312" w:asciiTheme="majorEastAsia" w:hAnsiTheme="majorEastAsia" w:eastAsiaTheme="majorEastAsia"/>
                <w:b/>
                <w:color w:val="auto"/>
                <w:highlight w:val="none"/>
                <w:lang w:bidi="ar"/>
              </w:rPr>
            </w:pPr>
            <w:r>
              <w:rPr>
                <w:rFonts w:hint="eastAsia" w:cs="仿宋_GB2312" w:asciiTheme="majorEastAsia" w:hAnsiTheme="majorEastAsia" w:eastAsiaTheme="majorEastAsia"/>
                <w:b/>
                <w:color w:val="auto"/>
                <w:highlight w:val="none"/>
                <w:lang w:bidi="ar"/>
              </w:rPr>
              <w:t>一级指标</w:t>
            </w:r>
          </w:p>
        </w:tc>
        <w:tc>
          <w:tcPr>
            <w:tcW w:w="1383" w:type="dxa"/>
            <w:tcBorders>
              <w:top w:val="single" w:color="000000" w:sz="4" w:space="0"/>
              <w:left w:val="single" w:color="000000" w:sz="4" w:space="0"/>
              <w:bottom w:val="single" w:color="000000" w:sz="4" w:space="0"/>
              <w:right w:val="nil"/>
            </w:tcBorders>
            <w:vAlign w:val="center"/>
          </w:tcPr>
          <w:p w14:paraId="13C21050">
            <w:pPr>
              <w:keepNext/>
              <w:jc w:val="center"/>
              <w:textAlignment w:val="center"/>
              <w:rPr>
                <w:rFonts w:hint="eastAsia" w:cs="仿宋_GB2312" w:asciiTheme="majorEastAsia" w:hAnsiTheme="majorEastAsia" w:eastAsiaTheme="majorEastAsia"/>
                <w:b/>
                <w:color w:val="auto"/>
                <w:highlight w:val="none"/>
                <w:lang w:bidi="ar"/>
              </w:rPr>
            </w:pPr>
            <w:r>
              <w:rPr>
                <w:rFonts w:hint="eastAsia" w:cs="仿宋_GB2312" w:asciiTheme="majorEastAsia" w:hAnsiTheme="majorEastAsia" w:eastAsiaTheme="majorEastAsia"/>
                <w:b/>
                <w:color w:val="auto"/>
                <w:highlight w:val="none"/>
                <w:lang w:bidi="ar"/>
              </w:rPr>
              <w:t>二级指标</w:t>
            </w:r>
          </w:p>
        </w:tc>
        <w:tc>
          <w:tcPr>
            <w:tcW w:w="3216" w:type="dxa"/>
            <w:tcBorders>
              <w:top w:val="single" w:color="000000" w:sz="4" w:space="0"/>
              <w:left w:val="single" w:color="000000" w:sz="4" w:space="0"/>
              <w:bottom w:val="single" w:color="000000" w:sz="4" w:space="0"/>
              <w:right w:val="single" w:color="000000" w:sz="4" w:space="0"/>
            </w:tcBorders>
            <w:vAlign w:val="center"/>
          </w:tcPr>
          <w:p w14:paraId="16F88EED">
            <w:pPr>
              <w:keepNext/>
              <w:jc w:val="center"/>
              <w:textAlignment w:val="center"/>
              <w:rPr>
                <w:rFonts w:hint="eastAsia" w:cs="仿宋_GB2312" w:asciiTheme="majorEastAsia" w:hAnsiTheme="majorEastAsia" w:eastAsiaTheme="majorEastAsia"/>
                <w:b/>
                <w:color w:val="auto"/>
                <w:highlight w:val="none"/>
                <w:lang w:bidi="ar"/>
              </w:rPr>
            </w:pPr>
            <w:r>
              <w:rPr>
                <w:rFonts w:hint="eastAsia" w:cs="仿宋_GB2312" w:asciiTheme="majorEastAsia" w:hAnsiTheme="majorEastAsia" w:eastAsiaTheme="majorEastAsia"/>
                <w:b/>
                <w:color w:val="auto"/>
                <w:highlight w:val="none"/>
                <w:lang w:bidi="ar"/>
              </w:rPr>
              <w:t>指标要求</w:t>
            </w:r>
          </w:p>
        </w:tc>
        <w:tc>
          <w:tcPr>
            <w:tcW w:w="1026" w:type="dxa"/>
            <w:tcBorders>
              <w:top w:val="single" w:color="000000" w:sz="4" w:space="0"/>
              <w:left w:val="single" w:color="000000" w:sz="4" w:space="0"/>
              <w:bottom w:val="single" w:color="000000" w:sz="4" w:space="0"/>
              <w:right w:val="single" w:color="000000" w:sz="4" w:space="0"/>
            </w:tcBorders>
            <w:vAlign w:val="center"/>
          </w:tcPr>
          <w:p w14:paraId="588FE6F9">
            <w:pPr>
              <w:keepNext/>
              <w:jc w:val="center"/>
              <w:textAlignment w:val="center"/>
              <w:rPr>
                <w:rFonts w:hint="eastAsia" w:cs="仿宋_GB2312" w:asciiTheme="majorEastAsia" w:hAnsiTheme="majorEastAsia" w:eastAsiaTheme="majorEastAsia"/>
                <w:b/>
                <w:color w:val="auto"/>
                <w:highlight w:val="none"/>
                <w:lang w:bidi="ar"/>
              </w:rPr>
            </w:pPr>
            <w:r>
              <w:rPr>
                <w:rFonts w:hint="eastAsia" w:cs="仿宋_GB2312" w:asciiTheme="majorEastAsia" w:hAnsiTheme="majorEastAsia" w:eastAsiaTheme="majorEastAsia"/>
                <w:b/>
                <w:color w:val="auto"/>
                <w:highlight w:val="none"/>
                <w:lang w:bidi="ar"/>
              </w:rPr>
              <w:t>证明材料要求</w:t>
            </w:r>
          </w:p>
        </w:tc>
      </w:tr>
      <w:tr w14:paraId="7E0E635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06DB5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BCE4C3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w:t>
            </w:r>
          </w:p>
        </w:tc>
        <w:tc>
          <w:tcPr>
            <w:tcW w:w="1716" w:type="dxa"/>
            <w:tcBorders>
              <w:top w:val="single" w:color="000000" w:sz="4" w:space="0"/>
              <w:left w:val="single" w:color="000000" w:sz="4" w:space="0"/>
              <w:bottom w:val="single" w:color="000000" w:sz="4" w:space="0"/>
              <w:right w:val="single" w:color="000000" w:sz="4" w:space="0"/>
            </w:tcBorders>
            <w:vAlign w:val="center"/>
          </w:tcPr>
          <w:p w14:paraId="544E7AC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CPU规格</w:t>
            </w:r>
          </w:p>
        </w:tc>
        <w:tc>
          <w:tcPr>
            <w:tcW w:w="1383" w:type="dxa"/>
            <w:tcBorders>
              <w:top w:val="single" w:color="000000" w:sz="4" w:space="0"/>
              <w:left w:val="single" w:color="000000" w:sz="4" w:space="0"/>
              <w:bottom w:val="single" w:color="000000" w:sz="4" w:space="0"/>
              <w:right w:val="nil"/>
            </w:tcBorders>
            <w:vAlign w:val="center"/>
          </w:tcPr>
          <w:p w14:paraId="61C9D36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 信息</w:t>
            </w:r>
          </w:p>
        </w:tc>
        <w:tc>
          <w:tcPr>
            <w:tcW w:w="3216" w:type="dxa"/>
            <w:tcBorders>
              <w:top w:val="single" w:color="000000" w:sz="4" w:space="0"/>
              <w:left w:val="single" w:color="000000" w:sz="4" w:space="0"/>
              <w:bottom w:val="single" w:color="000000" w:sz="4" w:space="0"/>
              <w:right w:val="single" w:color="000000" w:sz="4" w:space="0"/>
            </w:tcBorders>
            <w:vAlign w:val="center"/>
          </w:tcPr>
          <w:p w14:paraId="16BEFFF7">
            <w:pPr>
              <w:keepNext/>
              <w:rPr>
                <w:rFonts w:hint="eastAsia" w:cs="宋体" w:asciiTheme="majorEastAsia" w:hAnsiTheme="majorEastAsia" w:eastAsiaTheme="majorEastAsia"/>
                <w:color w:val="auto"/>
                <w:highlight w:val="none"/>
                <w:lang w:eastAsia="zh-CN"/>
              </w:rPr>
            </w:pPr>
            <w:r>
              <w:rPr>
                <w:rFonts w:hint="eastAsia" w:asciiTheme="majorEastAsia" w:hAnsiTheme="majorEastAsia" w:eastAsiaTheme="majorEastAsia"/>
                <w:color w:val="auto"/>
                <w:highlight w:val="none"/>
                <w:lang w:eastAsia="zh-CN"/>
              </w:rPr>
              <w:t>≥8</w:t>
            </w:r>
            <w:r>
              <w:rPr>
                <w:rFonts w:hint="eastAsia" w:cs="宋体" w:asciiTheme="majorEastAsia" w:hAnsiTheme="majorEastAsia" w:eastAsiaTheme="majorEastAsia"/>
                <w:color w:val="auto"/>
                <w:highlight w:val="none"/>
                <w:lang w:eastAsia="zh-CN"/>
              </w:rPr>
              <w:t>核，主频</w:t>
            </w:r>
            <w:r>
              <w:rPr>
                <w:rFonts w:asciiTheme="majorEastAsia" w:hAnsiTheme="majorEastAsia" w:eastAsiaTheme="majorEastAsia"/>
                <w:color w:val="auto"/>
                <w:highlight w:val="none"/>
                <w:lang w:eastAsia="zh-CN"/>
              </w:rPr>
              <w:t>≥</w:t>
            </w:r>
            <w:r>
              <w:rPr>
                <w:rFonts w:hint="eastAsia" w:asciiTheme="majorEastAsia" w:hAnsiTheme="majorEastAsia" w:eastAsiaTheme="majorEastAsia"/>
                <w:color w:val="auto"/>
                <w:highlight w:val="none"/>
                <w:lang w:eastAsia="zh-CN"/>
              </w:rPr>
              <w:t>2.7Ghz</w:t>
            </w:r>
            <w:r>
              <w:rPr>
                <w:rFonts w:hint="eastAsia" w:cs="宋体" w:asciiTheme="majorEastAsia" w:hAnsiTheme="majorEastAsia" w:eastAsiaTheme="majorEastAsia"/>
                <w:color w:val="auto"/>
                <w:highlight w:val="none"/>
                <w:lang w:eastAsia="zh-CN"/>
              </w:rPr>
              <w:t>，二级缓存</w:t>
            </w:r>
            <w:r>
              <w:rPr>
                <w:rFonts w:asciiTheme="majorEastAsia" w:hAnsiTheme="majorEastAsia" w:eastAsiaTheme="majorEastAsia"/>
                <w:color w:val="auto"/>
                <w:highlight w:val="none"/>
                <w:lang w:eastAsia="zh-CN"/>
              </w:rPr>
              <w:t>≥</w:t>
            </w:r>
            <w:r>
              <w:rPr>
                <w:rFonts w:hint="eastAsia" w:asciiTheme="majorEastAsia" w:hAnsiTheme="majorEastAsia" w:eastAsiaTheme="majorEastAsia"/>
                <w:color w:val="auto"/>
                <w:highlight w:val="none"/>
                <w:lang w:eastAsia="zh-CN"/>
              </w:rPr>
              <w:t>8MB</w:t>
            </w:r>
            <w:r>
              <w:rPr>
                <w:rFonts w:hint="eastAsia" w:cs="宋体" w:asciiTheme="majorEastAsia" w:hAnsiTheme="majorEastAsia" w:eastAsiaTheme="majorEastAsia"/>
                <w:color w:val="auto"/>
                <w:highlight w:val="none"/>
                <w:lang w:eastAsia="zh-CN"/>
              </w:rPr>
              <w:t>，</w:t>
            </w:r>
            <w:r>
              <w:rPr>
                <w:rFonts w:hint="eastAsia" w:asciiTheme="majorEastAsia" w:hAnsiTheme="majorEastAsia" w:eastAsiaTheme="majorEastAsia"/>
                <w:color w:val="auto"/>
                <w:highlight w:val="none"/>
                <w:lang w:eastAsia="zh-CN"/>
              </w:rPr>
              <w:t>TDP</w:t>
            </w:r>
            <w:r>
              <w:rPr>
                <w:rFonts w:hint="eastAsia" w:cs="宋体" w:asciiTheme="majorEastAsia" w:hAnsiTheme="majorEastAsia" w:eastAsiaTheme="majorEastAsia"/>
                <w:color w:val="auto"/>
                <w:highlight w:val="none"/>
                <w:lang w:eastAsia="zh-CN"/>
              </w:rPr>
              <w:t>功耗</w:t>
            </w:r>
            <w:r>
              <w:rPr>
                <w:rFonts w:asciiTheme="majorEastAsia" w:hAnsiTheme="majorEastAsia" w:eastAsiaTheme="majorEastAsia"/>
                <w:color w:val="auto"/>
                <w:highlight w:val="none"/>
                <w:lang w:eastAsia="zh-CN"/>
              </w:rPr>
              <w:t>≤</w:t>
            </w:r>
            <w:r>
              <w:rPr>
                <w:rFonts w:hint="eastAsia" w:asciiTheme="majorEastAsia" w:hAnsiTheme="majorEastAsia" w:eastAsiaTheme="majorEastAsia"/>
                <w:color w:val="auto"/>
                <w:highlight w:val="none"/>
                <w:lang w:eastAsia="zh-CN"/>
              </w:rPr>
              <w:t>70W</w:t>
            </w:r>
          </w:p>
        </w:tc>
        <w:tc>
          <w:tcPr>
            <w:tcW w:w="1026" w:type="dxa"/>
            <w:tcBorders>
              <w:top w:val="single" w:color="000000" w:sz="4" w:space="0"/>
              <w:left w:val="single" w:color="000000" w:sz="4" w:space="0"/>
              <w:bottom w:val="single" w:color="000000" w:sz="4" w:space="0"/>
              <w:right w:val="single" w:color="000000" w:sz="4" w:space="0"/>
            </w:tcBorders>
            <w:vAlign w:val="center"/>
          </w:tcPr>
          <w:p w14:paraId="386E6466">
            <w:pPr>
              <w:keepNext/>
              <w:jc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701F90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905C29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D08024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774C910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内存规格</w:t>
            </w:r>
          </w:p>
        </w:tc>
        <w:tc>
          <w:tcPr>
            <w:tcW w:w="1383" w:type="dxa"/>
            <w:tcBorders>
              <w:top w:val="single" w:color="000000" w:sz="4" w:space="0"/>
              <w:left w:val="single" w:color="000000" w:sz="4" w:space="0"/>
              <w:bottom w:val="single" w:color="000000" w:sz="4" w:space="0"/>
              <w:right w:val="nil"/>
            </w:tcBorders>
            <w:vAlign w:val="center"/>
          </w:tcPr>
          <w:p w14:paraId="4F64593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内存配置容量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57C04CB4">
            <w:pPr>
              <w:keepNext/>
              <w:textAlignment w:val="center"/>
              <w:rPr>
                <w:rFonts w:hint="eastAsia" w:cs="仿宋_GB2312" w:asciiTheme="majorEastAsia" w:hAnsiTheme="majorEastAsia" w:eastAsiaTheme="majorEastAsia"/>
                <w:color w:val="auto"/>
                <w:highlight w:val="none"/>
                <w:lang w:val="zh-TW" w:eastAsia="zh-TW"/>
              </w:rPr>
            </w:pPr>
            <w:r>
              <w:rPr>
                <w:rFonts w:hint="eastAsia" w:asciiTheme="majorEastAsia" w:hAnsiTheme="majorEastAsia" w:eastAsiaTheme="majorEastAsia"/>
                <w:color w:val="auto"/>
                <w:highlight w:val="none"/>
              </w:rPr>
              <w:t>≥8GB</w:t>
            </w:r>
          </w:p>
        </w:tc>
        <w:tc>
          <w:tcPr>
            <w:tcW w:w="1026" w:type="dxa"/>
            <w:tcBorders>
              <w:top w:val="single" w:color="000000" w:sz="4" w:space="0"/>
              <w:left w:val="single" w:color="000000" w:sz="4" w:space="0"/>
              <w:bottom w:val="single" w:color="000000" w:sz="4" w:space="0"/>
              <w:right w:val="single" w:color="000000" w:sz="4" w:space="0"/>
            </w:tcBorders>
            <w:vAlign w:val="center"/>
          </w:tcPr>
          <w:p w14:paraId="074B838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3762DA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1BC899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8F666B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FCED7D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D3C164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452F3EF1">
            <w:pPr>
              <w:keepNext/>
              <w:textAlignment w:val="center"/>
              <w:rPr>
                <w:rFonts w:hint="eastAsia" w:cs="仿宋_GB2312" w:asciiTheme="majorEastAsia" w:hAnsiTheme="majorEastAsia" w:eastAsiaTheme="majorEastAsia"/>
                <w:color w:val="auto"/>
                <w:highlight w:val="none"/>
                <w:lang w:val="zh-TW" w:eastAsia="zh-TW"/>
              </w:rPr>
            </w:pPr>
            <w:r>
              <w:rPr>
                <w:rFonts w:hint="eastAsia" w:cs="宋体" w:asciiTheme="majorEastAsia" w:hAnsiTheme="majorEastAsia" w:eastAsiaTheme="majorEastAsia"/>
                <w:color w:val="auto"/>
                <w:highlight w:val="none"/>
                <w:lang w:eastAsia="zh-CN"/>
              </w:rPr>
              <w:t>支持</w:t>
            </w:r>
            <w:r>
              <w:rPr>
                <w:rFonts w:hint="eastAsia" w:asciiTheme="majorEastAsia" w:hAnsiTheme="majorEastAsia" w:eastAsiaTheme="majorEastAsia"/>
                <w:color w:val="auto"/>
                <w:highlight w:val="none"/>
                <w:lang w:eastAsia="zh-CN"/>
              </w:rPr>
              <w:t xml:space="preserve"> DDR4</w:t>
            </w:r>
            <w:r>
              <w:rPr>
                <w:rFonts w:hint="eastAsia" w:cs="宋体" w:asciiTheme="majorEastAsia" w:hAnsiTheme="majorEastAsia" w:eastAsiaTheme="majorEastAsia"/>
                <w:color w:val="auto"/>
                <w:highlight w:val="none"/>
                <w:lang w:eastAsia="zh-CN"/>
              </w:rPr>
              <w:t>及以上内存类型</w:t>
            </w:r>
          </w:p>
        </w:tc>
        <w:tc>
          <w:tcPr>
            <w:tcW w:w="1026" w:type="dxa"/>
            <w:tcBorders>
              <w:top w:val="single" w:color="000000" w:sz="4" w:space="0"/>
              <w:left w:val="single" w:color="000000" w:sz="4" w:space="0"/>
              <w:bottom w:val="single" w:color="000000" w:sz="4" w:space="0"/>
              <w:right w:val="single" w:color="000000" w:sz="4" w:space="0"/>
            </w:tcBorders>
            <w:vAlign w:val="center"/>
          </w:tcPr>
          <w:p w14:paraId="408E704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DB6E9C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7C1718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32CFB1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FA8AFC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56BBDF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内存条配置数量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71632BFA">
            <w:pPr>
              <w:keepNext/>
              <w:textAlignment w:val="center"/>
              <w:rPr>
                <w:rFonts w:hint="eastAsia" w:cs="仿宋_GB2312" w:asciiTheme="majorEastAsia" w:hAnsiTheme="majorEastAsia" w:eastAsiaTheme="majorEastAsia"/>
                <w:color w:val="auto"/>
                <w:highlight w:val="none"/>
                <w:lang w:val="zh-TW" w:eastAsia="zh-TW"/>
              </w:rPr>
            </w:pPr>
            <w:r>
              <w:rPr>
                <w:rFonts w:hint="eastAsia" w:asciiTheme="majorEastAsia" w:hAnsiTheme="majorEastAsia" w:eastAsiaTheme="majorEastAsia"/>
                <w:color w:val="auto"/>
                <w:highlight w:val="none"/>
              </w:rPr>
              <w:t>≥1</w:t>
            </w:r>
          </w:p>
        </w:tc>
        <w:tc>
          <w:tcPr>
            <w:tcW w:w="1026" w:type="dxa"/>
            <w:tcBorders>
              <w:top w:val="single" w:color="000000" w:sz="4" w:space="0"/>
              <w:left w:val="single" w:color="000000" w:sz="4" w:space="0"/>
              <w:bottom w:val="single" w:color="000000" w:sz="4" w:space="0"/>
              <w:right w:val="single" w:color="000000" w:sz="4" w:space="0"/>
            </w:tcBorders>
            <w:vAlign w:val="center"/>
          </w:tcPr>
          <w:p w14:paraId="049B1D1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40B937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D33072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A736A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0EE9189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主板规格</w:t>
            </w:r>
          </w:p>
        </w:tc>
        <w:tc>
          <w:tcPr>
            <w:tcW w:w="1383" w:type="dxa"/>
            <w:tcBorders>
              <w:top w:val="single" w:color="000000" w:sz="4" w:space="0"/>
              <w:left w:val="single" w:color="000000" w:sz="4" w:space="0"/>
              <w:bottom w:val="single" w:color="000000" w:sz="4" w:space="0"/>
              <w:right w:val="nil"/>
            </w:tcBorders>
            <w:vAlign w:val="center"/>
          </w:tcPr>
          <w:p w14:paraId="1F60090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主板集成模块</w:t>
            </w:r>
          </w:p>
        </w:tc>
        <w:tc>
          <w:tcPr>
            <w:tcW w:w="3216" w:type="dxa"/>
            <w:tcBorders>
              <w:top w:val="single" w:color="000000" w:sz="4" w:space="0"/>
              <w:left w:val="single" w:color="000000" w:sz="4" w:space="0"/>
              <w:bottom w:val="single" w:color="000000" w:sz="4" w:space="0"/>
              <w:right w:val="single" w:color="000000" w:sz="4" w:space="0"/>
            </w:tcBorders>
            <w:vAlign w:val="center"/>
          </w:tcPr>
          <w:p w14:paraId="42464A2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集成芯片组及以上</w:t>
            </w:r>
          </w:p>
        </w:tc>
        <w:tc>
          <w:tcPr>
            <w:tcW w:w="1026" w:type="dxa"/>
            <w:tcBorders>
              <w:top w:val="single" w:color="000000" w:sz="4" w:space="0"/>
              <w:left w:val="single" w:color="000000" w:sz="4" w:space="0"/>
              <w:bottom w:val="single" w:color="000000" w:sz="4" w:space="0"/>
              <w:right w:val="single" w:color="000000" w:sz="4" w:space="0"/>
            </w:tcBorders>
            <w:vAlign w:val="center"/>
          </w:tcPr>
          <w:p w14:paraId="1D97650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D42FB9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B25E2F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782408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AF175F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C47948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主板支持的 CPU和内存情况</w:t>
            </w:r>
          </w:p>
        </w:tc>
        <w:tc>
          <w:tcPr>
            <w:tcW w:w="3216" w:type="dxa"/>
            <w:tcBorders>
              <w:top w:val="single" w:color="000000" w:sz="4" w:space="0"/>
              <w:left w:val="single" w:color="000000" w:sz="4" w:space="0"/>
              <w:bottom w:val="single" w:color="000000" w:sz="4" w:space="0"/>
              <w:right w:val="single" w:color="000000" w:sz="4" w:space="0"/>
            </w:tcBorders>
            <w:vAlign w:val="center"/>
          </w:tcPr>
          <w:p w14:paraId="41197B99">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支持1个国产智能处理器；</w:t>
            </w:r>
          </w:p>
          <w:p w14:paraId="09A768C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支持不低于2条DDR4内存；</w:t>
            </w:r>
          </w:p>
        </w:tc>
        <w:tc>
          <w:tcPr>
            <w:tcW w:w="1026" w:type="dxa"/>
            <w:tcBorders>
              <w:top w:val="single" w:color="000000" w:sz="4" w:space="0"/>
              <w:left w:val="single" w:color="000000" w:sz="4" w:space="0"/>
              <w:bottom w:val="single" w:color="000000" w:sz="4" w:space="0"/>
              <w:right w:val="single" w:color="000000" w:sz="4" w:space="0"/>
            </w:tcBorders>
            <w:vAlign w:val="center"/>
          </w:tcPr>
          <w:p w14:paraId="766BB67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3A8A93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DB9E6E2">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FDB339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756BFE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60D0CE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主板内置PCIe/PCI 插槽数量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7DB41FA0">
            <w:pPr>
              <w:keepNext/>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主板提供</w:t>
            </w:r>
            <w:r>
              <w:rPr>
                <w:rFonts w:hint="eastAsia" w:asciiTheme="majorEastAsia" w:hAnsiTheme="majorEastAsia" w:eastAsiaTheme="majorEastAsia"/>
                <w:color w:val="auto"/>
                <w:highlight w:val="none"/>
                <w:lang w:eastAsia="zh-CN"/>
              </w:rPr>
              <w:t>≥1</w:t>
            </w:r>
            <w:r>
              <w:rPr>
                <w:rFonts w:hint="eastAsia" w:cs="宋体" w:asciiTheme="majorEastAsia" w:hAnsiTheme="majorEastAsia" w:eastAsiaTheme="majorEastAsia"/>
                <w:color w:val="auto"/>
                <w:highlight w:val="none"/>
                <w:lang w:eastAsia="zh-CN"/>
              </w:rPr>
              <w:t>个</w:t>
            </w:r>
            <w:r>
              <w:rPr>
                <w:rFonts w:hint="eastAsia" w:asciiTheme="majorEastAsia" w:hAnsiTheme="majorEastAsia" w:eastAsiaTheme="majorEastAsia"/>
                <w:color w:val="auto"/>
                <w:highlight w:val="none"/>
                <w:lang w:eastAsia="zh-CN"/>
              </w:rPr>
              <w:t>PCIe x16</w:t>
            </w:r>
            <w:r>
              <w:rPr>
                <w:rFonts w:hint="eastAsia" w:cs="宋体" w:asciiTheme="majorEastAsia" w:hAnsiTheme="majorEastAsia" w:eastAsiaTheme="majorEastAsia"/>
                <w:color w:val="auto"/>
                <w:highlight w:val="none"/>
                <w:lang w:eastAsia="zh-CN"/>
              </w:rPr>
              <w:t>，</w:t>
            </w:r>
            <w:r>
              <w:rPr>
                <w:rFonts w:hint="eastAsia" w:asciiTheme="majorEastAsia" w:hAnsiTheme="majorEastAsia" w:eastAsiaTheme="majorEastAsia"/>
                <w:color w:val="auto"/>
                <w:highlight w:val="none"/>
                <w:lang w:eastAsia="zh-CN"/>
              </w:rPr>
              <w:t>≥2</w:t>
            </w:r>
            <w:r>
              <w:rPr>
                <w:rFonts w:hint="eastAsia" w:cs="宋体" w:asciiTheme="majorEastAsia" w:hAnsiTheme="majorEastAsia" w:eastAsiaTheme="majorEastAsia"/>
                <w:color w:val="auto"/>
                <w:highlight w:val="none"/>
                <w:lang w:eastAsia="zh-CN"/>
              </w:rPr>
              <w:t>个</w:t>
            </w:r>
            <w:r>
              <w:rPr>
                <w:rFonts w:hint="eastAsia" w:asciiTheme="majorEastAsia" w:hAnsiTheme="majorEastAsia" w:eastAsiaTheme="majorEastAsia"/>
                <w:color w:val="auto"/>
                <w:highlight w:val="none"/>
                <w:lang w:eastAsia="zh-CN"/>
              </w:rPr>
              <w:t>PCIe x1</w:t>
            </w:r>
            <w:r>
              <w:rPr>
                <w:rFonts w:hint="eastAsia" w:cs="宋体" w:asciiTheme="majorEastAsia" w:hAnsiTheme="majorEastAsia" w:eastAsiaTheme="majorEastAsia"/>
                <w:color w:val="auto"/>
                <w:highlight w:val="none"/>
                <w:lang w:eastAsia="zh-CN"/>
              </w:rPr>
              <w:t>扩展槽</w:t>
            </w:r>
          </w:p>
        </w:tc>
        <w:tc>
          <w:tcPr>
            <w:tcW w:w="1026" w:type="dxa"/>
            <w:tcBorders>
              <w:top w:val="single" w:color="000000" w:sz="4" w:space="0"/>
              <w:left w:val="single" w:color="000000" w:sz="4" w:space="0"/>
              <w:bottom w:val="single" w:color="000000" w:sz="4" w:space="0"/>
              <w:right w:val="single" w:color="000000" w:sz="4" w:space="0"/>
            </w:tcBorders>
            <w:vAlign w:val="center"/>
          </w:tcPr>
          <w:p w14:paraId="022E420D">
            <w:pPr>
              <w:keepNext/>
              <w:jc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6B3398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86F86AF">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98EB5C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2E1453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7298E0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特殊孔位及接口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103B433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C8F761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14BFC1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4B21D8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0245E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E3F8CC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7092AA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主板其他内置接口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45B61984">
            <w:pPr>
              <w:keepNext/>
              <w:textAlignment w:val="center"/>
              <w:rPr>
                <w:rFonts w:hint="eastAsia" w:cs="Arial Unicode MS"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1</w:t>
            </w:r>
            <w:r>
              <w:rPr>
                <w:rFonts w:hint="eastAsia" w:cs="仿宋_GB2312" w:asciiTheme="majorEastAsia" w:hAnsiTheme="majorEastAsia" w:eastAsiaTheme="majorEastAsia"/>
                <w:color w:val="auto"/>
                <w:highlight w:val="none"/>
                <w:lang w:bidi="ar"/>
              </w:rPr>
              <w:t>个</w:t>
            </w:r>
            <w:r>
              <w:rPr>
                <w:rFonts w:cs="仿宋_GB2312" w:asciiTheme="majorEastAsia" w:hAnsiTheme="majorEastAsia" w:eastAsiaTheme="majorEastAsia"/>
                <w:color w:val="auto"/>
                <w:highlight w:val="none"/>
                <w:lang w:bidi="ar"/>
              </w:rPr>
              <w:t>M.2</w:t>
            </w:r>
            <w:r>
              <w:rPr>
                <w:rFonts w:hint="eastAsia" w:cs="仿宋_GB2312" w:asciiTheme="majorEastAsia" w:hAnsiTheme="majorEastAsia" w:eastAsiaTheme="majorEastAsia"/>
                <w:color w:val="auto"/>
                <w:highlight w:val="none"/>
                <w:lang w:bidi="ar"/>
              </w:rPr>
              <w:t>接口；≥</w:t>
            </w:r>
            <w:r>
              <w:rPr>
                <w:rFonts w:cs="仿宋_GB2312" w:asciiTheme="majorEastAsia" w:hAnsiTheme="majorEastAsia" w:eastAsiaTheme="majorEastAsia"/>
                <w:color w:val="auto"/>
                <w:highlight w:val="none"/>
                <w:lang w:bidi="ar"/>
              </w:rPr>
              <w:t>2</w:t>
            </w:r>
            <w:r>
              <w:rPr>
                <w:rFonts w:hint="eastAsia" w:cs="仿宋_GB2312" w:asciiTheme="majorEastAsia" w:hAnsiTheme="majorEastAsia" w:eastAsiaTheme="majorEastAsia"/>
                <w:color w:val="auto"/>
                <w:highlight w:val="none"/>
                <w:lang w:bidi="ar"/>
              </w:rPr>
              <w:t>个</w:t>
            </w:r>
            <w:r>
              <w:rPr>
                <w:rFonts w:cs="仿宋_GB2312" w:asciiTheme="majorEastAsia" w:hAnsiTheme="majorEastAsia" w:eastAsiaTheme="majorEastAsia"/>
                <w:color w:val="auto"/>
                <w:highlight w:val="none"/>
                <w:lang w:bidi="ar"/>
              </w:rPr>
              <w:t>SATA3</w:t>
            </w:r>
            <w:r>
              <w:rPr>
                <w:rFonts w:hint="eastAsia" w:cs="仿宋_GB2312" w:asciiTheme="majorEastAsia" w:hAnsiTheme="majorEastAsia" w:eastAsiaTheme="majorEastAsia"/>
                <w:color w:val="auto"/>
                <w:highlight w:val="none"/>
                <w:lang w:bidi="ar"/>
              </w:rPr>
              <w:t>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75FDB66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AF9957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B11DFE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7C6B46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D046C7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DC244A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单内存插槽最大可支持容量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0D1C88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≥16GB</w:t>
            </w:r>
          </w:p>
        </w:tc>
        <w:tc>
          <w:tcPr>
            <w:tcW w:w="1026" w:type="dxa"/>
            <w:tcBorders>
              <w:top w:val="single" w:color="000000" w:sz="4" w:space="0"/>
              <w:left w:val="single" w:color="000000" w:sz="4" w:space="0"/>
              <w:bottom w:val="single" w:color="000000" w:sz="4" w:space="0"/>
              <w:right w:val="single" w:color="000000" w:sz="4" w:space="0"/>
            </w:tcBorders>
            <w:vAlign w:val="center"/>
          </w:tcPr>
          <w:p w14:paraId="7B071D3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7E29E9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3E7A3B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88060C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00D55B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A9EE3E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内存插槽满配时提供的最高内存总容量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2C9A60F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≥32GB</w:t>
            </w:r>
          </w:p>
        </w:tc>
        <w:tc>
          <w:tcPr>
            <w:tcW w:w="1026" w:type="dxa"/>
            <w:tcBorders>
              <w:top w:val="single" w:color="000000" w:sz="4" w:space="0"/>
              <w:left w:val="single" w:color="000000" w:sz="4" w:space="0"/>
              <w:bottom w:val="single" w:color="000000" w:sz="4" w:space="0"/>
              <w:right w:val="single" w:color="000000" w:sz="4" w:space="0"/>
            </w:tcBorders>
            <w:vAlign w:val="center"/>
          </w:tcPr>
          <w:p w14:paraId="3986150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002152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BE9EA6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7D2676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3DD6C41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存储设备规格</w:t>
            </w:r>
          </w:p>
        </w:tc>
        <w:tc>
          <w:tcPr>
            <w:tcW w:w="1383" w:type="dxa"/>
            <w:tcBorders>
              <w:top w:val="single" w:color="000000" w:sz="4" w:space="0"/>
              <w:left w:val="single" w:color="000000" w:sz="4" w:space="0"/>
              <w:bottom w:val="single" w:color="000000" w:sz="4" w:space="0"/>
              <w:right w:val="nil"/>
            </w:tcBorders>
            <w:vAlign w:val="center"/>
          </w:tcPr>
          <w:p w14:paraId="732DC47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固态盘数量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DD67A0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≥1个</w:t>
            </w:r>
          </w:p>
        </w:tc>
        <w:tc>
          <w:tcPr>
            <w:tcW w:w="1026" w:type="dxa"/>
            <w:tcBorders>
              <w:top w:val="single" w:color="000000" w:sz="4" w:space="0"/>
              <w:left w:val="single" w:color="000000" w:sz="4" w:space="0"/>
              <w:bottom w:val="single" w:color="000000" w:sz="4" w:space="0"/>
              <w:right w:val="single" w:color="000000" w:sz="4" w:space="0"/>
            </w:tcBorders>
            <w:vAlign w:val="center"/>
          </w:tcPr>
          <w:p w14:paraId="6813F09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EC2F7B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AF2E89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3D0C34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ADFD13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769BF5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固态存储容量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0EDF15D9">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≥512G</w:t>
            </w:r>
          </w:p>
        </w:tc>
        <w:tc>
          <w:tcPr>
            <w:tcW w:w="1026" w:type="dxa"/>
            <w:tcBorders>
              <w:top w:val="single" w:color="000000" w:sz="4" w:space="0"/>
              <w:left w:val="single" w:color="000000" w:sz="4" w:space="0"/>
              <w:bottom w:val="single" w:color="000000" w:sz="4" w:space="0"/>
              <w:right w:val="single" w:color="000000" w:sz="4" w:space="0"/>
            </w:tcBorders>
            <w:vAlign w:val="center"/>
          </w:tcPr>
          <w:p w14:paraId="1F55EF1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4E8A67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8A6DD15">
            <w:pPr>
              <w:keepNext/>
              <w:jc w:val="center"/>
              <w:textAlignment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47C5D2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20E519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A5C34E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E66DDE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B5C099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7F9011C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C462CEB">
            <w:pPr>
              <w:keepNext/>
              <w:jc w:val="center"/>
              <w:textAlignment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B36147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BC75BF">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CFDE9A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机械硬盘总容量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63FA115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B776CA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7334CF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5076B64">
            <w:pPr>
              <w:keepNext/>
              <w:jc w:val="center"/>
              <w:textAlignment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8AFC2A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9CB6D0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C21FEF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机械硬盘转速</w:t>
            </w:r>
          </w:p>
        </w:tc>
        <w:tc>
          <w:tcPr>
            <w:tcW w:w="3216" w:type="dxa"/>
            <w:tcBorders>
              <w:top w:val="single" w:color="000000" w:sz="4" w:space="0"/>
              <w:left w:val="single" w:color="000000" w:sz="4" w:space="0"/>
              <w:bottom w:val="single" w:color="000000" w:sz="4" w:space="0"/>
              <w:right w:val="single" w:color="000000" w:sz="4" w:space="0"/>
            </w:tcBorders>
            <w:vAlign w:val="center"/>
          </w:tcPr>
          <w:p w14:paraId="3F3EC1F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65A2F23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4019BA8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61CC53F">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8C7E51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7AC901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220184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机械硬盘接口协议</w:t>
            </w:r>
          </w:p>
        </w:tc>
        <w:tc>
          <w:tcPr>
            <w:tcW w:w="3216" w:type="dxa"/>
            <w:tcBorders>
              <w:top w:val="single" w:color="000000" w:sz="4" w:space="0"/>
              <w:left w:val="single" w:color="000000" w:sz="4" w:space="0"/>
              <w:bottom w:val="single" w:color="000000" w:sz="4" w:space="0"/>
              <w:right w:val="single" w:color="000000" w:sz="4" w:space="0"/>
            </w:tcBorders>
            <w:vAlign w:val="center"/>
          </w:tcPr>
          <w:p w14:paraId="244EFF9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5AFB0A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78BECE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614E904">
            <w:pPr>
              <w:keepNext/>
              <w:jc w:val="center"/>
              <w:textAlignment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B3C057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8AB476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DDE2C3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机械硬盘形态</w:t>
            </w:r>
          </w:p>
        </w:tc>
        <w:tc>
          <w:tcPr>
            <w:tcW w:w="3216" w:type="dxa"/>
            <w:tcBorders>
              <w:top w:val="single" w:color="000000" w:sz="4" w:space="0"/>
              <w:left w:val="single" w:color="000000" w:sz="4" w:space="0"/>
              <w:bottom w:val="single" w:color="000000" w:sz="4" w:space="0"/>
              <w:right w:val="single" w:color="000000" w:sz="4" w:space="0"/>
            </w:tcBorders>
            <w:vAlign w:val="center"/>
          </w:tcPr>
          <w:p w14:paraId="5F52AA2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157275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154C22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E0CF0C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17ED05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90C407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612BC3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固态存储接口协议</w:t>
            </w:r>
          </w:p>
        </w:tc>
        <w:tc>
          <w:tcPr>
            <w:tcW w:w="3216" w:type="dxa"/>
            <w:tcBorders>
              <w:top w:val="single" w:color="000000" w:sz="4" w:space="0"/>
              <w:left w:val="single" w:color="000000" w:sz="4" w:space="0"/>
              <w:bottom w:val="single" w:color="000000" w:sz="4" w:space="0"/>
              <w:right w:val="single" w:color="000000" w:sz="4" w:space="0"/>
            </w:tcBorders>
            <w:vAlign w:val="center"/>
          </w:tcPr>
          <w:p w14:paraId="27CBB51E">
            <w:pPr>
              <w:keepNext/>
              <w:textAlignment w:val="center"/>
              <w:rPr>
                <w:rFonts w:hint="eastAsia" w:cs="仿宋_GB2312" w:asciiTheme="majorEastAsia" w:hAnsiTheme="majorEastAsia" w:eastAsiaTheme="majorEastAsia"/>
                <w:color w:val="auto"/>
                <w:highlight w:val="none"/>
                <w:lang w:val="zh-TW" w:eastAsia="zh-TW"/>
              </w:rPr>
            </w:pPr>
            <w:r>
              <w:rPr>
                <w:rFonts w:cs="仿宋_GB2312" w:asciiTheme="majorEastAsia" w:hAnsiTheme="majorEastAsia" w:eastAsiaTheme="majorEastAsia"/>
                <w:color w:val="auto"/>
                <w:highlight w:val="none"/>
                <w:lang w:eastAsia="zh-TW"/>
              </w:rPr>
              <w:t>NVMe</w:t>
            </w:r>
            <w:r>
              <w:rPr>
                <w:rFonts w:hint="eastAsia" w:cs="仿宋_GB2312" w:asciiTheme="majorEastAsia" w:hAnsiTheme="majorEastAsia" w:eastAsiaTheme="majorEastAsia"/>
                <w:color w:val="auto"/>
                <w:highlight w:val="none"/>
                <w:lang w:eastAsia="zh-CN"/>
              </w:rPr>
              <w:t>类型接口协议</w:t>
            </w:r>
          </w:p>
        </w:tc>
        <w:tc>
          <w:tcPr>
            <w:tcW w:w="1026" w:type="dxa"/>
            <w:tcBorders>
              <w:top w:val="single" w:color="000000" w:sz="4" w:space="0"/>
              <w:left w:val="single" w:color="000000" w:sz="4" w:space="0"/>
              <w:bottom w:val="single" w:color="000000" w:sz="4" w:space="0"/>
              <w:right w:val="single" w:color="000000" w:sz="4" w:space="0"/>
            </w:tcBorders>
            <w:vAlign w:val="center"/>
          </w:tcPr>
          <w:p w14:paraId="4CF014A4">
            <w:pPr>
              <w:keepNext/>
              <w:jc w:val="center"/>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否</w:t>
            </w:r>
          </w:p>
        </w:tc>
      </w:tr>
      <w:tr w14:paraId="43CA620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BA82AB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D7B168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61B27E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AD6CF5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固态存储形态</w:t>
            </w:r>
          </w:p>
        </w:tc>
        <w:tc>
          <w:tcPr>
            <w:tcW w:w="3216" w:type="dxa"/>
            <w:tcBorders>
              <w:top w:val="single" w:color="000000" w:sz="4" w:space="0"/>
              <w:left w:val="single" w:color="000000" w:sz="4" w:space="0"/>
              <w:bottom w:val="single" w:color="000000" w:sz="4" w:space="0"/>
              <w:right w:val="single" w:color="000000" w:sz="4" w:space="0"/>
            </w:tcBorders>
            <w:vAlign w:val="center"/>
          </w:tcPr>
          <w:p w14:paraId="0DDD113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主板板载M.2接口形态</w:t>
            </w:r>
          </w:p>
        </w:tc>
        <w:tc>
          <w:tcPr>
            <w:tcW w:w="1026" w:type="dxa"/>
            <w:tcBorders>
              <w:top w:val="single" w:color="000000" w:sz="4" w:space="0"/>
              <w:left w:val="single" w:color="000000" w:sz="4" w:space="0"/>
              <w:bottom w:val="single" w:color="000000" w:sz="4" w:space="0"/>
              <w:right w:val="single" w:color="000000" w:sz="4" w:space="0"/>
            </w:tcBorders>
            <w:vAlign w:val="center"/>
          </w:tcPr>
          <w:p w14:paraId="74E9AE2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3C6D13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61FCDB5">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D237BC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55192F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5809EC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存储设备扩展盘位</w:t>
            </w:r>
          </w:p>
        </w:tc>
        <w:tc>
          <w:tcPr>
            <w:tcW w:w="3216" w:type="dxa"/>
            <w:tcBorders>
              <w:top w:val="single" w:color="000000" w:sz="4" w:space="0"/>
              <w:left w:val="single" w:color="000000" w:sz="4" w:space="0"/>
              <w:bottom w:val="single" w:color="000000" w:sz="4" w:space="0"/>
              <w:right w:val="single" w:color="000000" w:sz="4" w:space="0"/>
            </w:tcBorders>
            <w:vAlign w:val="center"/>
          </w:tcPr>
          <w:p w14:paraId="3257C18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6BA77F2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EA89CC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D550C2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2C0714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BC6E90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8E7179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存储设备其他参数要求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34802E4E">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 xml:space="preserve">a)固态盘应符合 SJ/T 11654 相关规 </w:t>
            </w:r>
          </w:p>
          <w:p w14:paraId="347D4040">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 xml:space="preserve">定； </w:t>
            </w:r>
          </w:p>
          <w:p w14:paraId="4416AFE4">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 xml:space="preserve">b)机械硬盘准备时间应不大于 30s；侧 </w:t>
            </w:r>
          </w:p>
          <w:p w14:paraId="35669319">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 xml:space="preserve">面固定螺丝孔数量可为 4 孔或 6 孔； </w:t>
            </w:r>
          </w:p>
          <w:p w14:paraId="3B25F4AF">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 xml:space="preserve">工作状态环境温度应满足 5℃~55℃； </w:t>
            </w:r>
          </w:p>
          <w:p w14:paraId="3A28A5C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其它参数应符合 GB/T 12628 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446DAD9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47C6FF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594010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9F7FE8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23</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39EC2F2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显卡规格</w:t>
            </w:r>
          </w:p>
        </w:tc>
        <w:tc>
          <w:tcPr>
            <w:tcW w:w="1383" w:type="dxa"/>
            <w:tcBorders>
              <w:top w:val="single" w:color="000000" w:sz="4" w:space="0"/>
              <w:left w:val="single" w:color="000000" w:sz="4" w:space="0"/>
              <w:bottom w:val="single" w:color="000000" w:sz="4" w:space="0"/>
              <w:right w:val="nil"/>
            </w:tcBorders>
            <w:vAlign w:val="center"/>
          </w:tcPr>
          <w:p w14:paraId="34D8AD6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显卡类型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7780120A">
            <w:pPr>
              <w:keepNext/>
              <w:rPr>
                <w:rFonts w:hint="eastAsia" w:cs="宋体" w:asciiTheme="majorEastAsia" w:hAnsiTheme="majorEastAsia" w:eastAsiaTheme="majorEastAsia"/>
                <w:color w:val="auto"/>
                <w:highlight w:val="none"/>
              </w:rPr>
            </w:pPr>
            <w:r>
              <w:rPr>
                <w:rFonts w:hint="eastAsia" w:cs="宋体" w:asciiTheme="majorEastAsia" w:hAnsiTheme="majorEastAsia" w:eastAsiaTheme="majorEastAsia"/>
                <w:color w:val="auto"/>
                <w:highlight w:val="none"/>
              </w:rPr>
              <w:t>独立显卡</w:t>
            </w:r>
          </w:p>
        </w:tc>
        <w:tc>
          <w:tcPr>
            <w:tcW w:w="1026" w:type="dxa"/>
            <w:tcBorders>
              <w:top w:val="single" w:color="000000" w:sz="4" w:space="0"/>
              <w:left w:val="single" w:color="000000" w:sz="4" w:space="0"/>
              <w:bottom w:val="single" w:color="000000" w:sz="4" w:space="0"/>
              <w:right w:val="single" w:color="000000" w:sz="4" w:space="0"/>
            </w:tcBorders>
            <w:vAlign w:val="center"/>
          </w:tcPr>
          <w:p w14:paraId="0741057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7F16A6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4E1261D">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C7FDAE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FFDF53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CB4E6E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独立显卡显存类型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430B982B">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≥显存类型GDDR7</w:t>
            </w:r>
          </w:p>
        </w:tc>
        <w:tc>
          <w:tcPr>
            <w:tcW w:w="1026" w:type="dxa"/>
            <w:tcBorders>
              <w:top w:val="single" w:color="000000" w:sz="4" w:space="0"/>
              <w:left w:val="single" w:color="000000" w:sz="4" w:space="0"/>
              <w:bottom w:val="single" w:color="000000" w:sz="4" w:space="0"/>
              <w:right w:val="single" w:color="000000" w:sz="4" w:space="0"/>
            </w:tcBorders>
            <w:vAlign w:val="center"/>
          </w:tcPr>
          <w:p w14:paraId="2ED9788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4CFD30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38C7E7D">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FDD3F4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5D2482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F2728E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独立显卡显存位宽</w:t>
            </w:r>
          </w:p>
        </w:tc>
        <w:tc>
          <w:tcPr>
            <w:tcW w:w="3216" w:type="dxa"/>
            <w:tcBorders>
              <w:top w:val="single" w:color="000000" w:sz="4" w:space="0"/>
              <w:left w:val="single" w:color="000000" w:sz="4" w:space="0"/>
              <w:bottom w:val="single" w:color="000000" w:sz="4" w:space="0"/>
              <w:right w:val="single" w:color="000000" w:sz="4" w:space="0"/>
            </w:tcBorders>
            <w:vAlign w:val="center"/>
          </w:tcPr>
          <w:p w14:paraId="1C592839">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 xml:space="preserve">64 </w:t>
            </w:r>
            <w:r>
              <w:rPr>
                <w:rFonts w:hint="eastAsia" w:cs="仿宋_GB2312" w:asciiTheme="majorEastAsia" w:hAnsiTheme="majorEastAsia" w:eastAsiaTheme="majorEastAsia"/>
                <w:color w:val="auto"/>
                <w:highlight w:val="none"/>
                <w:lang w:bidi="ar"/>
              </w:rPr>
              <w:t>位</w:t>
            </w:r>
          </w:p>
        </w:tc>
        <w:tc>
          <w:tcPr>
            <w:tcW w:w="1026" w:type="dxa"/>
            <w:tcBorders>
              <w:top w:val="single" w:color="000000" w:sz="4" w:space="0"/>
              <w:left w:val="single" w:color="000000" w:sz="4" w:space="0"/>
              <w:bottom w:val="single" w:color="000000" w:sz="4" w:space="0"/>
              <w:right w:val="single" w:color="000000" w:sz="4" w:space="0"/>
            </w:tcBorders>
            <w:vAlign w:val="center"/>
          </w:tcPr>
          <w:p w14:paraId="2368C16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A449CE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3DF61C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BB6C58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DC52C7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047388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独立显卡显存容量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674F88F3">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≥2G</w:t>
            </w:r>
          </w:p>
        </w:tc>
        <w:tc>
          <w:tcPr>
            <w:tcW w:w="1026" w:type="dxa"/>
            <w:tcBorders>
              <w:top w:val="single" w:color="000000" w:sz="4" w:space="0"/>
              <w:left w:val="single" w:color="000000" w:sz="4" w:space="0"/>
              <w:bottom w:val="single" w:color="000000" w:sz="4" w:space="0"/>
              <w:right w:val="single" w:color="000000" w:sz="4" w:space="0"/>
            </w:tcBorders>
            <w:vAlign w:val="center"/>
          </w:tcPr>
          <w:p w14:paraId="7145B52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B80B0F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544E34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ECFD09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5821AB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B4844A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独立显卡接口协议</w:t>
            </w:r>
          </w:p>
        </w:tc>
        <w:tc>
          <w:tcPr>
            <w:tcW w:w="3216" w:type="dxa"/>
            <w:tcBorders>
              <w:top w:val="single" w:color="000000" w:sz="4" w:space="0"/>
              <w:left w:val="single" w:color="000000" w:sz="4" w:space="0"/>
              <w:bottom w:val="single" w:color="000000" w:sz="4" w:space="0"/>
              <w:right w:val="single" w:color="000000" w:sz="4" w:space="0"/>
            </w:tcBorders>
            <w:vAlign w:val="center"/>
          </w:tcPr>
          <w:p w14:paraId="5E7EE13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TW"/>
              </w:rPr>
              <w:t>支持</w:t>
            </w:r>
            <w:r>
              <w:rPr>
                <w:rFonts w:cs="仿宋_GB2312" w:asciiTheme="majorEastAsia" w:hAnsiTheme="majorEastAsia" w:eastAsiaTheme="majorEastAsia"/>
                <w:color w:val="auto"/>
                <w:highlight w:val="none"/>
                <w:lang w:eastAsia="zh-TW"/>
              </w:rPr>
              <w:t xml:space="preserve"> PCIe </w:t>
            </w:r>
            <w:r>
              <w:rPr>
                <w:rFonts w:hint="eastAsia" w:cs="仿宋_GB2312" w:asciiTheme="majorEastAsia" w:hAnsiTheme="majorEastAsia" w:eastAsiaTheme="majorEastAsia"/>
                <w:color w:val="auto"/>
                <w:highlight w:val="none"/>
                <w:lang w:eastAsia="zh-TW"/>
              </w:rPr>
              <w:t>协议版本大于等于</w:t>
            </w:r>
            <w:r>
              <w:rPr>
                <w:rFonts w:cs="仿宋_GB2312" w:asciiTheme="majorEastAsia" w:hAnsiTheme="majorEastAsia" w:eastAsiaTheme="majorEastAsia"/>
                <w:color w:val="auto"/>
                <w:highlight w:val="none"/>
                <w:lang w:eastAsia="zh-TW"/>
              </w:rPr>
              <w:t xml:space="preserve"> 2.0 </w:t>
            </w:r>
            <w:r>
              <w:rPr>
                <w:rFonts w:hint="eastAsia" w:cs="仿宋_GB2312" w:asciiTheme="majorEastAsia" w:hAnsiTheme="majorEastAsia" w:eastAsiaTheme="majorEastAsia"/>
                <w:color w:val="auto"/>
                <w:highlight w:val="none"/>
                <w:lang w:eastAsia="zh-TW"/>
              </w:rPr>
              <w:t>或</w:t>
            </w:r>
            <w:r>
              <w:rPr>
                <w:rFonts w:cs="仿宋_GB2312" w:asciiTheme="majorEastAsia" w:hAnsiTheme="majorEastAsia" w:eastAsiaTheme="majorEastAsia"/>
                <w:color w:val="auto"/>
                <w:highlight w:val="none"/>
                <w:lang w:eastAsia="zh-TW"/>
              </w:rPr>
              <w:t xml:space="preserve"> HT</w:t>
            </w:r>
            <w:r>
              <w:rPr>
                <w:rFonts w:hint="eastAsia" w:cs="仿宋_GB2312" w:asciiTheme="majorEastAsia" w:hAnsiTheme="majorEastAsia" w:eastAsiaTheme="majorEastAsia"/>
                <w:color w:val="auto"/>
                <w:highlight w:val="none"/>
                <w:lang w:eastAsia="zh-TW"/>
              </w:rPr>
              <w:t>（</w:t>
            </w:r>
            <w:r>
              <w:rPr>
                <w:rFonts w:cs="仿宋_GB2312" w:asciiTheme="majorEastAsia" w:hAnsiTheme="majorEastAsia" w:eastAsiaTheme="majorEastAsia"/>
                <w:color w:val="auto"/>
                <w:highlight w:val="none"/>
                <w:lang w:eastAsia="zh-TW"/>
              </w:rPr>
              <w:t>HyperTransport</w:t>
            </w:r>
            <w:r>
              <w:rPr>
                <w:rFonts w:hint="eastAsia" w:cs="仿宋_GB2312" w:asciiTheme="majorEastAsia" w:hAnsiTheme="majorEastAsia" w:eastAsiaTheme="majorEastAsia"/>
                <w:color w:val="auto"/>
                <w:highlight w:val="none"/>
                <w:lang w:eastAsia="zh-TW"/>
              </w:rPr>
              <w:t>）协议版本大于等于</w:t>
            </w:r>
            <w:r>
              <w:rPr>
                <w:rFonts w:cs="仿宋_GB2312" w:asciiTheme="majorEastAsia" w:hAnsiTheme="majorEastAsia" w:eastAsiaTheme="majorEastAsia"/>
                <w:color w:val="auto"/>
                <w:highlight w:val="none"/>
                <w:lang w:eastAsia="zh-TW"/>
              </w:rPr>
              <w:t xml:space="preserve"> 3.0 </w:t>
            </w:r>
            <w:r>
              <w:rPr>
                <w:rFonts w:hint="eastAsia" w:cs="仿宋_GB2312" w:asciiTheme="majorEastAsia" w:hAnsiTheme="majorEastAsia" w:eastAsiaTheme="majorEastAsia"/>
                <w:color w:val="auto"/>
                <w:highlight w:val="none"/>
                <w:lang w:eastAsia="zh-TW"/>
              </w:rPr>
              <w:t>的独立显卡接口协议</w:t>
            </w:r>
          </w:p>
        </w:tc>
        <w:tc>
          <w:tcPr>
            <w:tcW w:w="1026" w:type="dxa"/>
            <w:tcBorders>
              <w:top w:val="single" w:color="000000" w:sz="4" w:space="0"/>
              <w:left w:val="single" w:color="000000" w:sz="4" w:space="0"/>
              <w:bottom w:val="single" w:color="000000" w:sz="4" w:space="0"/>
              <w:right w:val="single" w:color="000000" w:sz="4" w:space="0"/>
            </w:tcBorders>
            <w:vAlign w:val="center"/>
          </w:tcPr>
          <w:p w14:paraId="44938C7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E61EF0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31281C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80954A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28</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5902898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显示设备规格</w:t>
            </w:r>
          </w:p>
        </w:tc>
        <w:tc>
          <w:tcPr>
            <w:tcW w:w="1383" w:type="dxa"/>
            <w:tcBorders>
              <w:top w:val="single" w:color="000000" w:sz="4" w:space="0"/>
              <w:left w:val="single" w:color="000000" w:sz="4" w:space="0"/>
              <w:bottom w:val="single" w:color="000000" w:sz="4" w:space="0"/>
              <w:right w:val="nil"/>
            </w:tcBorders>
            <w:vAlign w:val="center"/>
          </w:tcPr>
          <w:p w14:paraId="5163C71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显示屏屏占比</w:t>
            </w:r>
          </w:p>
        </w:tc>
        <w:tc>
          <w:tcPr>
            <w:tcW w:w="3216" w:type="dxa"/>
            <w:tcBorders>
              <w:top w:val="single" w:color="000000" w:sz="4" w:space="0"/>
              <w:left w:val="single" w:color="000000" w:sz="4" w:space="0"/>
              <w:bottom w:val="single" w:color="000000" w:sz="4" w:space="0"/>
              <w:right w:val="single" w:color="000000" w:sz="4" w:space="0"/>
            </w:tcBorders>
            <w:vAlign w:val="center"/>
          </w:tcPr>
          <w:p w14:paraId="7BDA2B5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≥90%</w:t>
            </w:r>
          </w:p>
        </w:tc>
        <w:tc>
          <w:tcPr>
            <w:tcW w:w="1026" w:type="dxa"/>
            <w:tcBorders>
              <w:top w:val="single" w:color="000000" w:sz="4" w:space="0"/>
              <w:left w:val="single" w:color="000000" w:sz="4" w:space="0"/>
              <w:bottom w:val="single" w:color="000000" w:sz="4" w:space="0"/>
              <w:right w:val="single" w:color="000000" w:sz="4" w:space="0"/>
            </w:tcBorders>
            <w:vAlign w:val="center"/>
          </w:tcPr>
          <w:p w14:paraId="7BBD0B2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25B688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E1C806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6765EC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61F126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112851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显示屏分辨率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3E8789C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≥1920x1080</w:t>
            </w:r>
          </w:p>
        </w:tc>
        <w:tc>
          <w:tcPr>
            <w:tcW w:w="1026" w:type="dxa"/>
            <w:tcBorders>
              <w:top w:val="single" w:color="000000" w:sz="4" w:space="0"/>
              <w:left w:val="single" w:color="000000" w:sz="4" w:space="0"/>
              <w:bottom w:val="single" w:color="000000" w:sz="4" w:space="0"/>
              <w:right w:val="single" w:color="000000" w:sz="4" w:space="0"/>
            </w:tcBorders>
            <w:vAlign w:val="center"/>
          </w:tcPr>
          <w:p w14:paraId="70BCB43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72A7C0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7C5809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EE23B1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8023B0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89F223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显示屏像素密度</w:t>
            </w:r>
          </w:p>
        </w:tc>
        <w:tc>
          <w:tcPr>
            <w:tcW w:w="3216" w:type="dxa"/>
            <w:tcBorders>
              <w:top w:val="single" w:color="000000" w:sz="4" w:space="0"/>
              <w:left w:val="single" w:color="000000" w:sz="4" w:space="0"/>
              <w:bottom w:val="single" w:color="000000" w:sz="4" w:space="0"/>
              <w:right w:val="single" w:color="000000" w:sz="4" w:space="0"/>
            </w:tcBorders>
            <w:vAlign w:val="center"/>
          </w:tcPr>
          <w:p w14:paraId="3BF01A9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5396D8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319E92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3E4D8B0">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D5977A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C4F555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A89121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显示屏可视角度</w:t>
            </w:r>
          </w:p>
        </w:tc>
        <w:tc>
          <w:tcPr>
            <w:tcW w:w="3216" w:type="dxa"/>
            <w:tcBorders>
              <w:top w:val="single" w:color="000000" w:sz="4" w:space="0"/>
              <w:left w:val="single" w:color="000000" w:sz="4" w:space="0"/>
              <w:bottom w:val="single" w:color="000000" w:sz="4" w:space="0"/>
              <w:right w:val="single" w:color="000000" w:sz="4" w:space="0"/>
            </w:tcBorders>
            <w:vAlign w:val="center"/>
          </w:tcPr>
          <w:p w14:paraId="3788CEF5">
            <w:pPr>
              <w:keepNext/>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≥178°</w:t>
            </w:r>
          </w:p>
        </w:tc>
        <w:tc>
          <w:tcPr>
            <w:tcW w:w="1026" w:type="dxa"/>
            <w:tcBorders>
              <w:top w:val="single" w:color="000000" w:sz="4" w:space="0"/>
              <w:left w:val="single" w:color="000000" w:sz="4" w:space="0"/>
              <w:bottom w:val="single" w:color="000000" w:sz="4" w:space="0"/>
              <w:right w:val="single" w:color="000000" w:sz="4" w:space="0"/>
            </w:tcBorders>
            <w:vAlign w:val="center"/>
          </w:tcPr>
          <w:p w14:paraId="1678607A">
            <w:pPr>
              <w:keepNext/>
              <w:jc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8C9657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4119BC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2915C9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D99AAA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B3593E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显示屏尺寸</w:t>
            </w:r>
          </w:p>
        </w:tc>
        <w:tc>
          <w:tcPr>
            <w:tcW w:w="3216" w:type="dxa"/>
            <w:tcBorders>
              <w:top w:val="single" w:color="000000" w:sz="4" w:space="0"/>
              <w:left w:val="single" w:color="000000" w:sz="4" w:space="0"/>
              <w:bottom w:val="single" w:color="000000" w:sz="4" w:space="0"/>
              <w:right w:val="single" w:color="000000" w:sz="4" w:space="0"/>
            </w:tcBorders>
            <w:vAlign w:val="center"/>
          </w:tcPr>
          <w:p w14:paraId="6178C63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≥23.8 英寸</w:t>
            </w:r>
          </w:p>
        </w:tc>
        <w:tc>
          <w:tcPr>
            <w:tcW w:w="1026" w:type="dxa"/>
            <w:tcBorders>
              <w:top w:val="single" w:color="000000" w:sz="4" w:space="0"/>
              <w:left w:val="single" w:color="000000" w:sz="4" w:space="0"/>
              <w:bottom w:val="single" w:color="000000" w:sz="4" w:space="0"/>
              <w:right w:val="single" w:color="000000" w:sz="4" w:space="0"/>
            </w:tcBorders>
            <w:vAlign w:val="center"/>
          </w:tcPr>
          <w:p w14:paraId="7158DAA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57D6C2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145E7E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1DDB3B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144AC4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291109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显示屏屏幕比例</w:t>
            </w:r>
          </w:p>
        </w:tc>
        <w:tc>
          <w:tcPr>
            <w:tcW w:w="3216" w:type="dxa"/>
            <w:tcBorders>
              <w:top w:val="single" w:color="000000" w:sz="4" w:space="0"/>
              <w:left w:val="single" w:color="000000" w:sz="4" w:space="0"/>
              <w:bottom w:val="single" w:color="000000" w:sz="4" w:space="0"/>
              <w:right w:val="single" w:color="000000" w:sz="4" w:space="0"/>
            </w:tcBorders>
            <w:vAlign w:val="center"/>
          </w:tcPr>
          <w:p w14:paraId="1236DFB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≥16:9</w:t>
            </w:r>
          </w:p>
        </w:tc>
        <w:tc>
          <w:tcPr>
            <w:tcW w:w="1026" w:type="dxa"/>
            <w:tcBorders>
              <w:top w:val="single" w:color="000000" w:sz="4" w:space="0"/>
              <w:left w:val="single" w:color="000000" w:sz="4" w:space="0"/>
              <w:bottom w:val="single" w:color="000000" w:sz="4" w:space="0"/>
              <w:right w:val="single" w:color="000000" w:sz="4" w:space="0"/>
            </w:tcBorders>
            <w:vAlign w:val="center"/>
          </w:tcPr>
          <w:p w14:paraId="5E31BF1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146EAC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7AB5CA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40F356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67FD6F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1662D4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显示器外观颜色</w:t>
            </w:r>
          </w:p>
        </w:tc>
        <w:tc>
          <w:tcPr>
            <w:tcW w:w="3216" w:type="dxa"/>
            <w:tcBorders>
              <w:top w:val="single" w:color="000000" w:sz="4" w:space="0"/>
              <w:left w:val="single" w:color="000000" w:sz="4" w:space="0"/>
              <w:bottom w:val="single" w:color="000000" w:sz="4" w:space="0"/>
              <w:right w:val="single" w:color="000000" w:sz="4" w:space="0"/>
            </w:tcBorders>
            <w:vAlign w:val="center"/>
          </w:tcPr>
          <w:p w14:paraId="77E3C013">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rPr>
              <w:t>黑色</w:t>
            </w:r>
          </w:p>
        </w:tc>
        <w:tc>
          <w:tcPr>
            <w:tcW w:w="1026" w:type="dxa"/>
            <w:tcBorders>
              <w:top w:val="single" w:color="000000" w:sz="4" w:space="0"/>
              <w:left w:val="single" w:color="000000" w:sz="4" w:space="0"/>
              <w:bottom w:val="single" w:color="000000" w:sz="4" w:space="0"/>
              <w:right w:val="single" w:color="000000" w:sz="4" w:space="0"/>
            </w:tcBorders>
            <w:vAlign w:val="center"/>
          </w:tcPr>
          <w:p w14:paraId="774C9D99">
            <w:pPr>
              <w:keepNext/>
              <w:jc w:val="center"/>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lang w:bidi="ar"/>
              </w:rPr>
              <w:t>否</w:t>
            </w:r>
          </w:p>
        </w:tc>
      </w:tr>
      <w:tr w14:paraId="0E0D080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8AA637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BB6670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F9C5EF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CF45CF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显示屏防蓝光</w:t>
            </w:r>
          </w:p>
        </w:tc>
        <w:tc>
          <w:tcPr>
            <w:tcW w:w="3216" w:type="dxa"/>
            <w:tcBorders>
              <w:top w:val="single" w:color="000000" w:sz="4" w:space="0"/>
              <w:left w:val="single" w:color="000000" w:sz="4" w:space="0"/>
              <w:bottom w:val="single" w:color="000000" w:sz="4" w:space="0"/>
              <w:right w:val="single" w:color="000000" w:sz="4" w:space="0"/>
            </w:tcBorders>
            <w:vAlign w:val="center"/>
          </w:tcPr>
          <w:p w14:paraId="459F0F6D">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支持低蓝光护眼功能，蓝光加权辐射亮度比应≤0.0012W/(·cd·sr)（瓦每坎</w:t>
            </w:r>
          </w:p>
          <w:p w14:paraId="021F9C2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特拉每球面度）</w:t>
            </w:r>
          </w:p>
        </w:tc>
        <w:tc>
          <w:tcPr>
            <w:tcW w:w="1026" w:type="dxa"/>
            <w:tcBorders>
              <w:top w:val="single" w:color="000000" w:sz="4" w:space="0"/>
              <w:left w:val="single" w:color="000000" w:sz="4" w:space="0"/>
              <w:bottom w:val="single" w:color="000000" w:sz="4" w:space="0"/>
              <w:right w:val="single" w:color="000000" w:sz="4" w:space="0"/>
            </w:tcBorders>
            <w:vAlign w:val="center"/>
          </w:tcPr>
          <w:p w14:paraId="11B5FF3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7E2CD0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4F8ADC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32EC96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4F29EF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ACA068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显示屏低频闪</w:t>
            </w:r>
          </w:p>
        </w:tc>
        <w:tc>
          <w:tcPr>
            <w:tcW w:w="3216" w:type="dxa"/>
            <w:tcBorders>
              <w:top w:val="single" w:color="000000" w:sz="4" w:space="0"/>
              <w:left w:val="single" w:color="000000" w:sz="4" w:space="0"/>
              <w:bottom w:val="single" w:color="000000" w:sz="4" w:space="0"/>
              <w:right w:val="single" w:color="000000" w:sz="4" w:space="0"/>
            </w:tcBorders>
            <w:vAlign w:val="center"/>
          </w:tcPr>
          <w:p w14:paraId="4369793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显示屏应支持低频闪≤-35dB</w:t>
            </w:r>
          </w:p>
        </w:tc>
        <w:tc>
          <w:tcPr>
            <w:tcW w:w="1026" w:type="dxa"/>
            <w:tcBorders>
              <w:top w:val="single" w:color="000000" w:sz="4" w:space="0"/>
              <w:left w:val="single" w:color="000000" w:sz="4" w:space="0"/>
              <w:bottom w:val="single" w:color="000000" w:sz="4" w:space="0"/>
              <w:right w:val="single" w:color="000000" w:sz="4" w:space="0"/>
            </w:tcBorders>
            <w:vAlign w:val="center"/>
          </w:tcPr>
          <w:p w14:paraId="405BAC0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D77157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2E13D0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5EEC5B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424536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0A0604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显示屏防炫目</w:t>
            </w:r>
          </w:p>
        </w:tc>
        <w:tc>
          <w:tcPr>
            <w:tcW w:w="3216" w:type="dxa"/>
            <w:tcBorders>
              <w:top w:val="single" w:color="000000" w:sz="4" w:space="0"/>
              <w:left w:val="single" w:color="000000" w:sz="4" w:space="0"/>
              <w:bottom w:val="single" w:color="000000" w:sz="4" w:space="0"/>
              <w:right w:val="single" w:color="000000" w:sz="4" w:space="0"/>
            </w:tcBorders>
            <w:vAlign w:val="center"/>
          </w:tcPr>
          <w:p w14:paraId="139B215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显示屏镜面反射率≤10%</w:t>
            </w:r>
          </w:p>
        </w:tc>
        <w:tc>
          <w:tcPr>
            <w:tcW w:w="1026" w:type="dxa"/>
            <w:tcBorders>
              <w:top w:val="single" w:color="000000" w:sz="4" w:space="0"/>
              <w:left w:val="single" w:color="000000" w:sz="4" w:space="0"/>
              <w:bottom w:val="single" w:color="000000" w:sz="4" w:space="0"/>
              <w:right w:val="single" w:color="000000" w:sz="4" w:space="0"/>
            </w:tcBorders>
            <w:vAlign w:val="center"/>
          </w:tcPr>
          <w:p w14:paraId="415B0FB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82E868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C7FF164">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35C5DC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38</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5986439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外设规格</w:t>
            </w:r>
          </w:p>
        </w:tc>
        <w:tc>
          <w:tcPr>
            <w:tcW w:w="1383" w:type="dxa"/>
            <w:tcBorders>
              <w:top w:val="single" w:color="000000" w:sz="4" w:space="0"/>
              <w:left w:val="single" w:color="000000" w:sz="4" w:space="0"/>
              <w:bottom w:val="single" w:color="000000" w:sz="4" w:space="0"/>
              <w:right w:val="nil"/>
            </w:tcBorders>
            <w:vAlign w:val="center"/>
          </w:tcPr>
          <w:p w14:paraId="0EDC608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传声器数量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76F34D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04AFF3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8D4F08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BEC9C53">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F35F27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3A3C90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D63C67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扬声器数量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17C0C00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893CAB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156033C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C1D26C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565FDD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4C898A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E95B75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00A7F2B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 个</w:t>
            </w:r>
          </w:p>
        </w:tc>
        <w:tc>
          <w:tcPr>
            <w:tcW w:w="1026" w:type="dxa"/>
            <w:tcBorders>
              <w:top w:val="single" w:color="000000" w:sz="4" w:space="0"/>
              <w:left w:val="single" w:color="000000" w:sz="4" w:space="0"/>
              <w:bottom w:val="single" w:color="000000" w:sz="4" w:space="0"/>
              <w:right w:val="single" w:color="000000" w:sz="4" w:space="0"/>
            </w:tcBorders>
            <w:vAlign w:val="center"/>
          </w:tcPr>
          <w:p w14:paraId="4617AD4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A97766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6AE045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CE99BA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9044C67">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4F3C7E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748195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 个</w:t>
            </w:r>
          </w:p>
        </w:tc>
        <w:tc>
          <w:tcPr>
            <w:tcW w:w="1026" w:type="dxa"/>
            <w:tcBorders>
              <w:top w:val="single" w:color="000000" w:sz="4" w:space="0"/>
              <w:left w:val="single" w:color="000000" w:sz="4" w:space="0"/>
              <w:bottom w:val="single" w:color="000000" w:sz="4" w:space="0"/>
              <w:right w:val="single" w:color="000000" w:sz="4" w:space="0"/>
            </w:tcBorders>
            <w:vAlign w:val="center"/>
          </w:tcPr>
          <w:p w14:paraId="6401228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DD9AE8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FA63EEF">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67C937C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D6DCF2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8B08FF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摄像头数量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588FC22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1E195B8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341AFE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308378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D46CD0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035162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F9EE8D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光驱数量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5E57A62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638DD56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79B4A5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A06340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B075EE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4D022F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FD9A11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键盘按键数目</w:t>
            </w:r>
          </w:p>
        </w:tc>
        <w:tc>
          <w:tcPr>
            <w:tcW w:w="3216" w:type="dxa"/>
            <w:tcBorders>
              <w:top w:val="single" w:color="000000" w:sz="4" w:space="0"/>
              <w:left w:val="single" w:color="000000" w:sz="4" w:space="0"/>
              <w:bottom w:val="single" w:color="000000" w:sz="4" w:space="0"/>
              <w:right w:val="single" w:color="000000" w:sz="4" w:space="0"/>
            </w:tcBorders>
            <w:vAlign w:val="center"/>
          </w:tcPr>
          <w:p w14:paraId="7B06B16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≥104 键</w:t>
            </w:r>
          </w:p>
        </w:tc>
        <w:tc>
          <w:tcPr>
            <w:tcW w:w="1026" w:type="dxa"/>
            <w:tcBorders>
              <w:top w:val="single" w:color="000000" w:sz="4" w:space="0"/>
              <w:left w:val="single" w:color="000000" w:sz="4" w:space="0"/>
              <w:bottom w:val="single" w:color="000000" w:sz="4" w:space="0"/>
              <w:right w:val="single" w:color="000000" w:sz="4" w:space="0"/>
            </w:tcBorders>
            <w:vAlign w:val="center"/>
          </w:tcPr>
          <w:p w14:paraId="4AD0640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379D4B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B80FDD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E963CE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4AC2F8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CA9444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摄像头像素</w:t>
            </w:r>
          </w:p>
        </w:tc>
        <w:tc>
          <w:tcPr>
            <w:tcW w:w="3216" w:type="dxa"/>
            <w:tcBorders>
              <w:top w:val="single" w:color="000000" w:sz="4" w:space="0"/>
              <w:left w:val="single" w:color="000000" w:sz="4" w:space="0"/>
              <w:bottom w:val="single" w:color="000000" w:sz="4" w:space="0"/>
              <w:right w:val="single" w:color="000000" w:sz="4" w:space="0"/>
            </w:tcBorders>
            <w:vAlign w:val="center"/>
          </w:tcPr>
          <w:p w14:paraId="44AE6FD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305E04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D0AF7F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3E250EA">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0C46F21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8C1D7A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F7A510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摄像头分辨率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7284021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D51FAA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D16A41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8D8C51C">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F0E83F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AEA38F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697E3C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扬声器功率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7C09010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07895C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8359EE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8A129E5">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9D115F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5455A5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0A75D6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扬声器频率范围</w:t>
            </w:r>
          </w:p>
        </w:tc>
        <w:tc>
          <w:tcPr>
            <w:tcW w:w="3216" w:type="dxa"/>
            <w:tcBorders>
              <w:top w:val="single" w:color="000000" w:sz="4" w:space="0"/>
              <w:left w:val="single" w:color="000000" w:sz="4" w:space="0"/>
              <w:bottom w:val="single" w:color="000000" w:sz="4" w:space="0"/>
              <w:right w:val="single" w:color="000000" w:sz="4" w:space="0"/>
            </w:tcBorders>
            <w:vAlign w:val="center"/>
          </w:tcPr>
          <w:p w14:paraId="5FB6E8D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70EA75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49C879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C1DBA8B">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B8A29E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E777B9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8CCE11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扬声器总谐波失真</w:t>
            </w:r>
          </w:p>
        </w:tc>
        <w:tc>
          <w:tcPr>
            <w:tcW w:w="3216" w:type="dxa"/>
            <w:tcBorders>
              <w:top w:val="single" w:color="000000" w:sz="4" w:space="0"/>
              <w:left w:val="single" w:color="000000" w:sz="4" w:space="0"/>
              <w:bottom w:val="single" w:color="000000" w:sz="4" w:space="0"/>
              <w:right w:val="single" w:color="000000" w:sz="4" w:space="0"/>
            </w:tcBorders>
            <w:vAlign w:val="center"/>
          </w:tcPr>
          <w:p w14:paraId="36E400A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63F9E39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5B173E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40AC277">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BD3067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9AB64F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F4CFC8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扬声器最大声压级</w:t>
            </w:r>
          </w:p>
        </w:tc>
        <w:tc>
          <w:tcPr>
            <w:tcW w:w="3216" w:type="dxa"/>
            <w:tcBorders>
              <w:top w:val="single" w:color="000000" w:sz="4" w:space="0"/>
              <w:left w:val="single" w:color="000000" w:sz="4" w:space="0"/>
              <w:bottom w:val="single" w:color="000000" w:sz="4" w:space="0"/>
              <w:right w:val="single" w:color="000000" w:sz="4" w:space="0"/>
            </w:tcBorders>
            <w:vAlign w:val="center"/>
          </w:tcPr>
          <w:p w14:paraId="67805B4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23A67E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C080D5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3B7E3A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0A5076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61A122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1370ED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键盘连接方式</w:t>
            </w:r>
          </w:p>
        </w:tc>
        <w:tc>
          <w:tcPr>
            <w:tcW w:w="3216" w:type="dxa"/>
            <w:tcBorders>
              <w:top w:val="single" w:color="000000" w:sz="4" w:space="0"/>
              <w:left w:val="single" w:color="000000" w:sz="4" w:space="0"/>
              <w:bottom w:val="single" w:color="000000" w:sz="4" w:space="0"/>
              <w:right w:val="single" w:color="000000" w:sz="4" w:space="0"/>
            </w:tcBorders>
            <w:vAlign w:val="center"/>
          </w:tcPr>
          <w:p w14:paraId="4840986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USB有线连接</w:t>
            </w:r>
          </w:p>
        </w:tc>
        <w:tc>
          <w:tcPr>
            <w:tcW w:w="1026" w:type="dxa"/>
            <w:tcBorders>
              <w:top w:val="single" w:color="000000" w:sz="4" w:space="0"/>
              <w:left w:val="single" w:color="000000" w:sz="4" w:space="0"/>
              <w:bottom w:val="single" w:color="000000" w:sz="4" w:space="0"/>
              <w:right w:val="single" w:color="000000" w:sz="4" w:space="0"/>
            </w:tcBorders>
            <w:vAlign w:val="center"/>
          </w:tcPr>
          <w:p w14:paraId="7122B85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E92E71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BF5CEE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00F422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469513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75CB72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键盘键程</w:t>
            </w:r>
          </w:p>
        </w:tc>
        <w:tc>
          <w:tcPr>
            <w:tcW w:w="3216" w:type="dxa"/>
            <w:tcBorders>
              <w:top w:val="single" w:color="000000" w:sz="4" w:space="0"/>
              <w:left w:val="single" w:color="000000" w:sz="4" w:space="0"/>
              <w:bottom w:val="single" w:color="000000" w:sz="4" w:space="0"/>
              <w:right w:val="single" w:color="000000" w:sz="4" w:space="0"/>
            </w:tcBorders>
            <w:vAlign w:val="center"/>
          </w:tcPr>
          <w:p w14:paraId="5AEAC0F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2.3mm ~ 4.0mm</w:t>
            </w:r>
          </w:p>
        </w:tc>
        <w:tc>
          <w:tcPr>
            <w:tcW w:w="1026" w:type="dxa"/>
            <w:tcBorders>
              <w:top w:val="single" w:color="000000" w:sz="4" w:space="0"/>
              <w:left w:val="single" w:color="000000" w:sz="4" w:space="0"/>
              <w:bottom w:val="single" w:color="000000" w:sz="4" w:space="0"/>
              <w:right w:val="single" w:color="000000" w:sz="4" w:space="0"/>
            </w:tcBorders>
            <w:vAlign w:val="center"/>
          </w:tcPr>
          <w:p w14:paraId="7AF971E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615E21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4B8E85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4B5991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5BFA2C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3D5BEB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键盘按键压力</w:t>
            </w:r>
          </w:p>
        </w:tc>
        <w:tc>
          <w:tcPr>
            <w:tcW w:w="3216" w:type="dxa"/>
            <w:tcBorders>
              <w:top w:val="single" w:color="000000" w:sz="4" w:space="0"/>
              <w:left w:val="single" w:color="000000" w:sz="4" w:space="0"/>
              <w:bottom w:val="single" w:color="000000" w:sz="4" w:space="0"/>
              <w:right w:val="single" w:color="000000" w:sz="4" w:space="0"/>
            </w:tcBorders>
            <w:vAlign w:val="center"/>
          </w:tcPr>
          <w:p w14:paraId="4A02FC8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val="zh-TW" w:eastAsia="zh-TW"/>
              </w:rPr>
              <w:t>0.54 N±0.14N</w:t>
            </w:r>
          </w:p>
        </w:tc>
        <w:tc>
          <w:tcPr>
            <w:tcW w:w="1026" w:type="dxa"/>
            <w:tcBorders>
              <w:top w:val="single" w:color="000000" w:sz="4" w:space="0"/>
              <w:left w:val="single" w:color="000000" w:sz="4" w:space="0"/>
              <w:bottom w:val="single" w:color="000000" w:sz="4" w:space="0"/>
              <w:right w:val="single" w:color="000000" w:sz="4" w:space="0"/>
            </w:tcBorders>
            <w:vAlign w:val="center"/>
          </w:tcPr>
          <w:p w14:paraId="6F9F874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否</w:t>
            </w:r>
          </w:p>
        </w:tc>
      </w:tr>
      <w:tr w14:paraId="640FA70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08FA62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1E72F6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D11F2C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49AD7B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有线键盘连接线</w:t>
            </w:r>
          </w:p>
        </w:tc>
        <w:tc>
          <w:tcPr>
            <w:tcW w:w="3216" w:type="dxa"/>
            <w:tcBorders>
              <w:top w:val="single" w:color="000000" w:sz="4" w:space="0"/>
              <w:left w:val="single" w:color="000000" w:sz="4" w:space="0"/>
              <w:bottom w:val="single" w:color="000000" w:sz="4" w:space="0"/>
              <w:right w:val="single" w:color="000000" w:sz="4" w:space="0"/>
            </w:tcBorders>
            <w:vAlign w:val="center"/>
          </w:tcPr>
          <w:p w14:paraId="135350A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≥1.5米</w:t>
            </w:r>
          </w:p>
        </w:tc>
        <w:tc>
          <w:tcPr>
            <w:tcW w:w="1026" w:type="dxa"/>
            <w:tcBorders>
              <w:top w:val="single" w:color="000000" w:sz="4" w:space="0"/>
              <w:left w:val="single" w:color="000000" w:sz="4" w:space="0"/>
              <w:bottom w:val="single" w:color="000000" w:sz="4" w:space="0"/>
              <w:right w:val="single" w:color="000000" w:sz="4" w:space="0"/>
            </w:tcBorders>
            <w:vAlign w:val="center"/>
          </w:tcPr>
          <w:p w14:paraId="7E497B6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490705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787D9E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1BFB11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1F972F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9BCE6C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键盘颜色</w:t>
            </w:r>
          </w:p>
        </w:tc>
        <w:tc>
          <w:tcPr>
            <w:tcW w:w="3216" w:type="dxa"/>
            <w:tcBorders>
              <w:top w:val="single" w:color="000000" w:sz="4" w:space="0"/>
              <w:left w:val="single" w:color="000000" w:sz="4" w:space="0"/>
              <w:bottom w:val="single" w:color="000000" w:sz="4" w:space="0"/>
              <w:right w:val="single" w:color="000000" w:sz="4" w:space="0"/>
            </w:tcBorders>
            <w:vAlign w:val="center"/>
          </w:tcPr>
          <w:p w14:paraId="2EEECAE5">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rPr>
              <w:t>黑色</w:t>
            </w:r>
          </w:p>
        </w:tc>
        <w:tc>
          <w:tcPr>
            <w:tcW w:w="1026" w:type="dxa"/>
            <w:tcBorders>
              <w:top w:val="single" w:color="000000" w:sz="4" w:space="0"/>
              <w:left w:val="single" w:color="000000" w:sz="4" w:space="0"/>
              <w:bottom w:val="single" w:color="000000" w:sz="4" w:space="0"/>
              <w:right w:val="single" w:color="000000" w:sz="4" w:space="0"/>
            </w:tcBorders>
            <w:vAlign w:val="center"/>
          </w:tcPr>
          <w:p w14:paraId="19EA822B">
            <w:pPr>
              <w:keepNext/>
              <w:jc w:val="center"/>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lang w:bidi="ar"/>
              </w:rPr>
              <w:t>否</w:t>
            </w:r>
          </w:p>
        </w:tc>
      </w:tr>
      <w:tr w14:paraId="54B60DC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432360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54ECF5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B75ADB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C967FF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键盘其他要求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34B877A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23D2453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5625B4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73B20A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26051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18FE8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DE86BE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鼠标连接方式</w:t>
            </w:r>
          </w:p>
        </w:tc>
        <w:tc>
          <w:tcPr>
            <w:tcW w:w="3216" w:type="dxa"/>
            <w:tcBorders>
              <w:top w:val="single" w:color="000000" w:sz="4" w:space="0"/>
              <w:left w:val="single" w:color="000000" w:sz="4" w:space="0"/>
              <w:bottom w:val="single" w:color="000000" w:sz="4" w:space="0"/>
              <w:right w:val="single" w:color="000000" w:sz="4" w:space="0"/>
            </w:tcBorders>
            <w:vAlign w:val="center"/>
          </w:tcPr>
          <w:p w14:paraId="08819E3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USB有线连接</w:t>
            </w:r>
          </w:p>
        </w:tc>
        <w:tc>
          <w:tcPr>
            <w:tcW w:w="1026" w:type="dxa"/>
            <w:tcBorders>
              <w:top w:val="single" w:color="000000" w:sz="4" w:space="0"/>
              <w:left w:val="single" w:color="000000" w:sz="4" w:space="0"/>
              <w:bottom w:val="single" w:color="000000" w:sz="4" w:space="0"/>
              <w:right w:val="single" w:color="000000" w:sz="4" w:space="0"/>
            </w:tcBorders>
            <w:vAlign w:val="center"/>
          </w:tcPr>
          <w:p w14:paraId="6F9EAD1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C873CB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953FD5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62BEBC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E01B320">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241871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有线鼠标连接线</w:t>
            </w:r>
          </w:p>
        </w:tc>
        <w:tc>
          <w:tcPr>
            <w:tcW w:w="3216" w:type="dxa"/>
            <w:tcBorders>
              <w:top w:val="single" w:color="000000" w:sz="4" w:space="0"/>
              <w:left w:val="single" w:color="000000" w:sz="4" w:space="0"/>
              <w:bottom w:val="single" w:color="000000" w:sz="4" w:space="0"/>
              <w:right w:val="single" w:color="000000" w:sz="4" w:space="0"/>
            </w:tcBorders>
            <w:vAlign w:val="center"/>
          </w:tcPr>
          <w:p w14:paraId="66E7C36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≥1.5米</w:t>
            </w:r>
          </w:p>
        </w:tc>
        <w:tc>
          <w:tcPr>
            <w:tcW w:w="1026" w:type="dxa"/>
            <w:tcBorders>
              <w:top w:val="single" w:color="000000" w:sz="4" w:space="0"/>
              <w:left w:val="single" w:color="000000" w:sz="4" w:space="0"/>
              <w:bottom w:val="single" w:color="000000" w:sz="4" w:space="0"/>
              <w:right w:val="single" w:color="000000" w:sz="4" w:space="0"/>
            </w:tcBorders>
            <w:vAlign w:val="center"/>
          </w:tcPr>
          <w:p w14:paraId="644169D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ED97E9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B322FB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F5D98D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4BE02C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87DFB8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 DPI分辨率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6427B625">
            <w:pPr>
              <w:keepNext/>
              <w:textAlignment w:val="center"/>
              <w:rPr>
                <w:rFonts w:hint="eastAsia" w:cs="仿宋_GB2312" w:asciiTheme="majorEastAsia" w:hAnsiTheme="majorEastAsia" w:eastAsiaTheme="majorEastAsia"/>
                <w:color w:val="auto"/>
                <w:highlight w:val="none"/>
                <w:lang w:eastAsia="zh-TW"/>
              </w:rPr>
            </w:pPr>
            <w:r>
              <w:rPr>
                <w:rFonts w:cs="仿宋_GB2312" w:asciiTheme="majorEastAsia" w:hAnsiTheme="majorEastAsia" w:eastAsiaTheme="majorEastAsia"/>
                <w:color w:val="auto"/>
                <w:highlight w:val="none"/>
                <w:lang w:eastAsia="zh-TW"/>
              </w:rPr>
              <w:t>800-1600</w:t>
            </w:r>
          </w:p>
        </w:tc>
        <w:tc>
          <w:tcPr>
            <w:tcW w:w="1026" w:type="dxa"/>
            <w:tcBorders>
              <w:top w:val="single" w:color="000000" w:sz="4" w:space="0"/>
              <w:left w:val="single" w:color="000000" w:sz="4" w:space="0"/>
              <w:bottom w:val="single" w:color="000000" w:sz="4" w:space="0"/>
              <w:right w:val="single" w:color="000000" w:sz="4" w:space="0"/>
            </w:tcBorders>
            <w:vAlign w:val="center"/>
          </w:tcPr>
          <w:p w14:paraId="6283A18D">
            <w:pPr>
              <w:keepNext/>
              <w:jc w:val="center"/>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否</w:t>
            </w:r>
          </w:p>
        </w:tc>
      </w:tr>
      <w:tr w14:paraId="708DFE0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8D9E43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A159E0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A5B356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81D5EC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鼠标颜色</w:t>
            </w:r>
          </w:p>
        </w:tc>
        <w:tc>
          <w:tcPr>
            <w:tcW w:w="3216" w:type="dxa"/>
            <w:tcBorders>
              <w:top w:val="single" w:color="000000" w:sz="4" w:space="0"/>
              <w:left w:val="single" w:color="000000" w:sz="4" w:space="0"/>
              <w:bottom w:val="single" w:color="000000" w:sz="4" w:space="0"/>
              <w:right w:val="single" w:color="000000" w:sz="4" w:space="0"/>
            </w:tcBorders>
            <w:vAlign w:val="center"/>
          </w:tcPr>
          <w:p w14:paraId="79C8E8E1">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rPr>
              <w:t>黑色</w:t>
            </w:r>
          </w:p>
        </w:tc>
        <w:tc>
          <w:tcPr>
            <w:tcW w:w="1026" w:type="dxa"/>
            <w:tcBorders>
              <w:top w:val="single" w:color="000000" w:sz="4" w:space="0"/>
              <w:left w:val="single" w:color="000000" w:sz="4" w:space="0"/>
              <w:bottom w:val="single" w:color="000000" w:sz="4" w:space="0"/>
              <w:right w:val="single" w:color="000000" w:sz="4" w:space="0"/>
            </w:tcBorders>
            <w:vAlign w:val="center"/>
          </w:tcPr>
          <w:p w14:paraId="2B9AE69E">
            <w:pPr>
              <w:keepNext/>
              <w:jc w:val="center"/>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lang w:bidi="ar"/>
              </w:rPr>
              <w:t>否</w:t>
            </w:r>
          </w:p>
        </w:tc>
      </w:tr>
      <w:tr w14:paraId="6CAA583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2567EE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B5008A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8692EEF">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63A641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鼠标其他要求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291F657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其它参数应符合 GB/T 26245 的相关规定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3484FB5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7BBBA8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E08527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0050502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1FFFD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AA60DB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内置光驱</w:t>
            </w:r>
          </w:p>
        </w:tc>
        <w:tc>
          <w:tcPr>
            <w:tcW w:w="3216" w:type="dxa"/>
            <w:tcBorders>
              <w:top w:val="single" w:color="000000" w:sz="4" w:space="0"/>
              <w:left w:val="single" w:color="000000" w:sz="4" w:space="0"/>
              <w:bottom w:val="single" w:color="000000" w:sz="4" w:space="0"/>
              <w:right w:val="single" w:color="000000" w:sz="4" w:space="0"/>
            </w:tcBorders>
            <w:vAlign w:val="center"/>
          </w:tcPr>
          <w:p w14:paraId="4F68A8A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D19F43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1A81D99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7EEA18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8B7C0D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63</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0C6EABB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网络设备规格</w:t>
            </w:r>
          </w:p>
        </w:tc>
        <w:tc>
          <w:tcPr>
            <w:tcW w:w="1383" w:type="dxa"/>
            <w:tcBorders>
              <w:top w:val="single" w:color="000000" w:sz="4" w:space="0"/>
              <w:left w:val="single" w:color="000000" w:sz="4" w:space="0"/>
              <w:bottom w:val="single" w:color="000000" w:sz="4" w:space="0"/>
              <w:right w:val="nil"/>
            </w:tcBorders>
            <w:vAlign w:val="center"/>
          </w:tcPr>
          <w:p w14:paraId="0CBD4AC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有线网卡数量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54EA142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w:t>
            </w:r>
          </w:p>
        </w:tc>
        <w:tc>
          <w:tcPr>
            <w:tcW w:w="1026" w:type="dxa"/>
            <w:tcBorders>
              <w:top w:val="single" w:color="000000" w:sz="4" w:space="0"/>
              <w:left w:val="single" w:color="000000" w:sz="4" w:space="0"/>
              <w:bottom w:val="single" w:color="000000" w:sz="4" w:space="0"/>
              <w:right w:val="single" w:color="000000" w:sz="4" w:space="0"/>
            </w:tcBorders>
            <w:vAlign w:val="center"/>
          </w:tcPr>
          <w:p w14:paraId="3313D29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ABBC39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284882A">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16869B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DAD06C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1EAA51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无线网卡及天线数量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61CD1DA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14F8756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726F504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04A1D11">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649E00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B2457F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C5070E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单无线网卡天线数量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75075E3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36B5AB0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7084FD3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right w:val="single" w:color="000000" w:sz="4" w:space="0"/>
            </w:tcBorders>
            <w:vAlign w:val="center"/>
          </w:tcPr>
          <w:p w14:paraId="3368D0F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right w:val="single" w:color="000000" w:sz="4" w:space="0"/>
            </w:tcBorders>
            <w:vAlign w:val="center"/>
          </w:tcPr>
          <w:p w14:paraId="5724C3A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66</w:t>
            </w:r>
          </w:p>
        </w:tc>
        <w:tc>
          <w:tcPr>
            <w:tcW w:w="1716" w:type="dxa"/>
            <w:vMerge w:val="restart"/>
            <w:tcBorders>
              <w:top w:val="single" w:color="000000" w:sz="4" w:space="0"/>
              <w:left w:val="single" w:color="000000" w:sz="4" w:space="0"/>
              <w:right w:val="single" w:color="000000" w:sz="4" w:space="0"/>
            </w:tcBorders>
            <w:vAlign w:val="center"/>
          </w:tcPr>
          <w:p w14:paraId="3871F10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外部接口规格</w:t>
            </w:r>
          </w:p>
        </w:tc>
        <w:tc>
          <w:tcPr>
            <w:tcW w:w="1383" w:type="dxa"/>
            <w:tcBorders>
              <w:top w:val="single" w:color="000000" w:sz="4" w:space="0"/>
              <w:left w:val="single" w:color="000000" w:sz="4" w:space="0"/>
              <w:bottom w:val="single" w:color="000000" w:sz="4" w:space="0"/>
              <w:right w:val="nil"/>
            </w:tcBorders>
            <w:vAlign w:val="center"/>
          </w:tcPr>
          <w:p w14:paraId="06383E7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USB 接口数量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6C1E394">
            <w:pPr>
              <w:keepNext/>
              <w:textAlignment w:val="center"/>
              <w:rPr>
                <w:rFonts w:hint="eastAsia" w:cs="仿宋_GB2312" w:asciiTheme="majorEastAsia" w:hAnsiTheme="majorEastAsia" w:eastAsiaTheme="majorEastAsia"/>
                <w:color w:val="auto"/>
                <w:highlight w:val="none"/>
                <w:lang w:eastAsia="zh-TW" w:bidi="ar"/>
              </w:rPr>
            </w:pPr>
            <w:r>
              <w:rPr>
                <w:rFonts w:hint="eastAsia" w:cs="仿宋_GB2312" w:asciiTheme="majorEastAsia" w:hAnsiTheme="majorEastAsia" w:eastAsiaTheme="majorEastAsia"/>
                <w:color w:val="auto"/>
                <w:highlight w:val="none"/>
                <w:lang w:eastAsia="zh-TW" w:bidi="ar"/>
              </w:rPr>
              <w:t>机箱前面板应提供不少于</w:t>
            </w:r>
            <w:r>
              <w:rPr>
                <w:rFonts w:cs="仿宋_GB2312" w:asciiTheme="majorEastAsia" w:hAnsiTheme="majorEastAsia" w:eastAsiaTheme="majorEastAsia"/>
                <w:color w:val="auto"/>
                <w:highlight w:val="none"/>
                <w:lang w:eastAsia="zh-TW" w:bidi="ar"/>
              </w:rPr>
              <w:t xml:space="preserve"> 4 </w:t>
            </w:r>
            <w:r>
              <w:rPr>
                <w:rFonts w:hint="eastAsia" w:cs="仿宋_GB2312" w:asciiTheme="majorEastAsia" w:hAnsiTheme="majorEastAsia" w:eastAsiaTheme="majorEastAsia"/>
                <w:color w:val="auto"/>
                <w:highlight w:val="none"/>
                <w:lang w:eastAsia="zh-TW" w:bidi="ar"/>
              </w:rPr>
              <w:t>个</w:t>
            </w:r>
            <w:r>
              <w:rPr>
                <w:rFonts w:cs="仿宋_GB2312" w:asciiTheme="majorEastAsia" w:hAnsiTheme="majorEastAsia" w:eastAsiaTheme="majorEastAsia"/>
                <w:color w:val="auto"/>
                <w:highlight w:val="none"/>
                <w:lang w:eastAsia="zh-TW" w:bidi="ar"/>
              </w:rPr>
              <w:t xml:space="preserve"> USB 3.0</w:t>
            </w:r>
            <w:r>
              <w:rPr>
                <w:rFonts w:hint="eastAsia" w:cs="仿宋_GB2312" w:asciiTheme="majorEastAsia" w:hAnsiTheme="majorEastAsia" w:eastAsiaTheme="majorEastAsia"/>
                <w:color w:val="auto"/>
                <w:highlight w:val="none"/>
                <w:lang w:eastAsia="zh-TW" w:bidi="ar"/>
              </w:rPr>
              <w:t>接口</w:t>
            </w:r>
          </w:p>
          <w:p w14:paraId="47447803">
            <w:pPr>
              <w:keepNext/>
              <w:textAlignment w:val="center"/>
              <w:rPr>
                <w:rFonts w:hint="eastAsia" w:cs="仿宋_GB2312" w:asciiTheme="majorEastAsia" w:hAnsiTheme="majorEastAsia" w:eastAsiaTheme="majorEastAsia"/>
                <w:color w:val="auto"/>
                <w:highlight w:val="none"/>
                <w:lang w:eastAsia="zh-CN"/>
              </w:rPr>
            </w:pPr>
            <w:r>
              <w:rPr>
                <w:rFonts w:hint="eastAsia" w:cs="仿宋_GB2312" w:asciiTheme="majorEastAsia" w:hAnsiTheme="majorEastAsia" w:eastAsiaTheme="majorEastAsia"/>
                <w:color w:val="auto"/>
                <w:highlight w:val="none"/>
                <w:lang w:eastAsia="zh-TW" w:bidi="ar"/>
              </w:rPr>
              <w:t>机箱后面板提供不少于</w:t>
            </w:r>
            <w:r>
              <w:rPr>
                <w:rFonts w:cs="仿宋_GB2312" w:asciiTheme="majorEastAsia" w:hAnsiTheme="majorEastAsia" w:eastAsiaTheme="majorEastAsia"/>
                <w:color w:val="auto"/>
                <w:highlight w:val="none"/>
                <w:lang w:eastAsia="zh-TW" w:bidi="ar"/>
              </w:rPr>
              <w:t>2</w:t>
            </w:r>
            <w:r>
              <w:rPr>
                <w:rFonts w:hint="eastAsia" w:cs="仿宋_GB2312" w:asciiTheme="majorEastAsia" w:hAnsiTheme="majorEastAsia" w:eastAsiaTheme="majorEastAsia"/>
                <w:color w:val="auto"/>
                <w:highlight w:val="none"/>
                <w:lang w:eastAsia="zh-TW" w:bidi="ar"/>
              </w:rPr>
              <w:t>个</w:t>
            </w:r>
            <w:r>
              <w:rPr>
                <w:rFonts w:cs="仿宋_GB2312" w:asciiTheme="majorEastAsia" w:hAnsiTheme="majorEastAsia" w:eastAsiaTheme="majorEastAsia"/>
                <w:color w:val="auto"/>
                <w:highlight w:val="none"/>
                <w:lang w:eastAsia="zh-TW" w:bidi="ar"/>
              </w:rPr>
              <w:t>USB3.0</w:t>
            </w:r>
            <w:r>
              <w:rPr>
                <w:rFonts w:hint="eastAsia" w:cs="仿宋_GB2312" w:asciiTheme="majorEastAsia" w:hAnsiTheme="majorEastAsia" w:eastAsiaTheme="majorEastAsia"/>
                <w:color w:val="auto"/>
                <w:highlight w:val="none"/>
                <w:lang w:eastAsia="zh-TW" w:bidi="ar"/>
              </w:rPr>
              <w:t>接口，不少于</w:t>
            </w:r>
            <w:r>
              <w:rPr>
                <w:rFonts w:cs="仿宋_GB2312" w:asciiTheme="majorEastAsia" w:hAnsiTheme="majorEastAsia" w:eastAsiaTheme="majorEastAsia"/>
                <w:color w:val="auto"/>
                <w:highlight w:val="none"/>
                <w:lang w:eastAsia="zh-TW" w:bidi="ar"/>
              </w:rPr>
              <w:t>2</w:t>
            </w:r>
            <w:r>
              <w:rPr>
                <w:rFonts w:hint="eastAsia" w:cs="仿宋_GB2312" w:asciiTheme="majorEastAsia" w:hAnsiTheme="majorEastAsia" w:eastAsiaTheme="majorEastAsia"/>
                <w:color w:val="auto"/>
                <w:highlight w:val="none"/>
                <w:lang w:eastAsia="zh-TW" w:bidi="ar"/>
              </w:rPr>
              <w:t>个</w:t>
            </w:r>
            <w:r>
              <w:rPr>
                <w:rFonts w:cs="仿宋_GB2312" w:asciiTheme="majorEastAsia" w:hAnsiTheme="majorEastAsia" w:eastAsiaTheme="majorEastAsia"/>
                <w:color w:val="auto"/>
                <w:highlight w:val="none"/>
                <w:lang w:eastAsia="zh-TW" w:bidi="ar"/>
              </w:rPr>
              <w:t>USB 2.0</w:t>
            </w:r>
            <w:r>
              <w:rPr>
                <w:rFonts w:hint="eastAsia" w:cs="仿宋_GB2312" w:asciiTheme="majorEastAsia" w:hAnsiTheme="majorEastAsia" w:eastAsiaTheme="majorEastAsia"/>
                <w:color w:val="auto"/>
                <w:highlight w:val="none"/>
                <w:lang w:eastAsia="zh-TW" w:bidi="ar"/>
              </w:rPr>
              <w:t>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28BCDD5D">
            <w:pPr>
              <w:keepNext/>
              <w:jc w:val="center"/>
              <w:textAlignment w:val="center"/>
              <w:rPr>
                <w:rFonts w:hint="eastAsia" w:cs="仿宋_GB2312" w:asciiTheme="majorEastAsia" w:hAnsiTheme="majorEastAsia" w:eastAsiaTheme="majorEastAsia"/>
                <w:color w:val="auto"/>
                <w:highlight w:val="none"/>
                <w:lang w:eastAsia="zh-TW" w:bidi="ar"/>
              </w:rPr>
            </w:pPr>
            <w:r>
              <w:rPr>
                <w:rFonts w:hint="eastAsia" w:cs="仿宋_GB2312" w:asciiTheme="majorEastAsia" w:hAnsiTheme="majorEastAsia" w:eastAsiaTheme="majorEastAsia"/>
                <w:color w:val="auto"/>
                <w:highlight w:val="none"/>
                <w:lang w:bidi="ar"/>
              </w:rPr>
              <w:t>否</w:t>
            </w:r>
          </w:p>
        </w:tc>
      </w:tr>
      <w:tr w14:paraId="3A16E48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8F23AC9">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FC5FFC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9F1FEB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3C647C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USB 母座接口要求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28BCF3E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3E52DB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4D9645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B49C10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77EBC9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415327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C3EAC3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视频接口数量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1B61ACC6">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≥2</w:t>
            </w:r>
          </w:p>
        </w:tc>
        <w:tc>
          <w:tcPr>
            <w:tcW w:w="1026" w:type="dxa"/>
            <w:tcBorders>
              <w:top w:val="single" w:color="000000" w:sz="4" w:space="0"/>
              <w:left w:val="single" w:color="000000" w:sz="4" w:space="0"/>
              <w:bottom w:val="single" w:color="000000" w:sz="4" w:space="0"/>
              <w:right w:val="single" w:color="000000" w:sz="4" w:space="0"/>
            </w:tcBorders>
            <w:vAlign w:val="center"/>
          </w:tcPr>
          <w:p w14:paraId="0D2DE5E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E437CB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2EB82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FEFA10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69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7010E4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E8D0B4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音频接口数量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63F5EAE5">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≥5</w:t>
            </w:r>
          </w:p>
        </w:tc>
        <w:tc>
          <w:tcPr>
            <w:tcW w:w="1026" w:type="dxa"/>
            <w:tcBorders>
              <w:top w:val="single" w:color="000000" w:sz="4" w:space="0"/>
              <w:left w:val="single" w:color="000000" w:sz="4" w:space="0"/>
              <w:bottom w:val="single" w:color="000000" w:sz="4" w:space="0"/>
              <w:right w:val="single" w:color="000000" w:sz="4" w:space="0"/>
            </w:tcBorders>
            <w:vAlign w:val="center"/>
          </w:tcPr>
          <w:p w14:paraId="6C41400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CFDB6F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E14E063">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1F0F04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33DF9F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BAAE7A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存储卡接口数量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1685954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1DBBE99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A25148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C615C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E1BFAE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71</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1274737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整机基础规格</w:t>
            </w:r>
          </w:p>
        </w:tc>
        <w:tc>
          <w:tcPr>
            <w:tcW w:w="1383" w:type="dxa"/>
            <w:tcBorders>
              <w:top w:val="single" w:color="000000" w:sz="4" w:space="0"/>
              <w:left w:val="single" w:color="000000" w:sz="4" w:space="0"/>
              <w:bottom w:val="single" w:color="000000" w:sz="4" w:space="0"/>
              <w:right w:val="nil"/>
            </w:tcBorders>
            <w:vAlign w:val="center"/>
          </w:tcPr>
          <w:p w14:paraId="187E5B1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整机外观</w:t>
            </w:r>
          </w:p>
        </w:tc>
        <w:tc>
          <w:tcPr>
            <w:tcW w:w="3216" w:type="dxa"/>
            <w:tcBorders>
              <w:top w:val="single" w:color="000000" w:sz="4" w:space="0"/>
              <w:left w:val="single" w:color="000000" w:sz="4" w:space="0"/>
              <w:bottom w:val="single" w:color="000000" w:sz="4" w:space="0"/>
              <w:right w:val="single" w:color="000000" w:sz="4" w:space="0"/>
            </w:tcBorders>
            <w:vAlign w:val="center"/>
          </w:tcPr>
          <w:p w14:paraId="427990C5">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a) 产品表面不应有凹痕、划伤、裂缝、变形和污染等。表面涂层均匀，不应起泡、龟裂、脱落和磨损，金属零部件无锈蚀及其它机械损伤；</w:t>
            </w:r>
          </w:p>
          <w:p w14:paraId="4CB3A25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b) 产品表面说明功能的文字、符号、标志，应清晰、端正、牢固</w:t>
            </w:r>
          </w:p>
        </w:tc>
        <w:tc>
          <w:tcPr>
            <w:tcW w:w="1026" w:type="dxa"/>
            <w:tcBorders>
              <w:top w:val="single" w:color="000000" w:sz="4" w:space="0"/>
              <w:left w:val="single" w:color="000000" w:sz="4" w:space="0"/>
              <w:bottom w:val="single" w:color="000000" w:sz="4" w:space="0"/>
              <w:right w:val="single" w:color="000000" w:sz="4" w:space="0"/>
            </w:tcBorders>
            <w:vAlign w:val="center"/>
          </w:tcPr>
          <w:p w14:paraId="2268D0F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8B4A29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B92655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A46F86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FB43EA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0D3EE6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状态指示灯</w:t>
            </w:r>
          </w:p>
        </w:tc>
        <w:tc>
          <w:tcPr>
            <w:tcW w:w="3216" w:type="dxa"/>
            <w:tcBorders>
              <w:top w:val="single" w:color="000000" w:sz="4" w:space="0"/>
              <w:left w:val="single" w:color="000000" w:sz="4" w:space="0"/>
              <w:bottom w:val="single" w:color="000000" w:sz="4" w:space="0"/>
              <w:right w:val="single" w:color="000000" w:sz="4" w:space="0"/>
            </w:tcBorders>
            <w:vAlign w:val="center"/>
          </w:tcPr>
          <w:p w14:paraId="5D6D8A3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显著位置提供状态指示</w:t>
            </w:r>
            <w:r>
              <w:rPr>
                <w:rFonts w:cs="仿宋_GB2312" w:asciiTheme="majorEastAsia" w:hAnsiTheme="majorEastAsia" w:eastAsiaTheme="majorEastAsia"/>
                <w:color w:val="auto"/>
                <w:highlight w:val="none"/>
                <w:lang w:eastAsia="zh-CN" w:bidi="ar"/>
              </w:rPr>
              <w:t>灯</w:t>
            </w:r>
          </w:p>
        </w:tc>
        <w:tc>
          <w:tcPr>
            <w:tcW w:w="1026" w:type="dxa"/>
            <w:tcBorders>
              <w:top w:val="single" w:color="000000" w:sz="4" w:space="0"/>
              <w:left w:val="single" w:color="000000" w:sz="4" w:space="0"/>
              <w:bottom w:val="single" w:color="000000" w:sz="4" w:space="0"/>
              <w:right w:val="single" w:color="000000" w:sz="4" w:space="0"/>
            </w:tcBorders>
            <w:vAlign w:val="center"/>
          </w:tcPr>
          <w:p w14:paraId="4E5BF43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2DEF15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4CD848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B62A99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311625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CF79FC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整机结构</w:t>
            </w:r>
          </w:p>
        </w:tc>
        <w:tc>
          <w:tcPr>
            <w:tcW w:w="3216" w:type="dxa"/>
            <w:tcBorders>
              <w:top w:val="single" w:color="000000" w:sz="4" w:space="0"/>
              <w:left w:val="single" w:color="000000" w:sz="4" w:space="0"/>
              <w:bottom w:val="single" w:color="000000" w:sz="4" w:space="0"/>
              <w:right w:val="single" w:color="000000" w:sz="4" w:space="0"/>
            </w:tcBorders>
            <w:vAlign w:val="center"/>
          </w:tcPr>
          <w:p w14:paraId="42B9FB19">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a) 机箱应符合 GB/T 4208、GB/T 26246的相关规定；</w:t>
            </w:r>
          </w:p>
          <w:p w14:paraId="73E2CB84">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b) 产品内部结构应符合通用部件的安装需求；</w:t>
            </w:r>
          </w:p>
          <w:p w14:paraId="5EA67432">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c) 所有输入输出接口应符合相关国家或行业标准；</w:t>
            </w:r>
          </w:p>
          <w:p w14:paraId="32C49C13">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d) 产品零部件应紧固无松动，可插拔部件应可靠连接，开关、按钮和其它控制部件应灵活可靠，布局应方便使用；</w:t>
            </w:r>
          </w:p>
          <w:p w14:paraId="3BA44CAF">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e) 所有 I/O 连接器及需插接线缆的部位应预留采购人操作空间，方便插拔解锁与插拔线缆；</w:t>
            </w:r>
          </w:p>
          <w:p w14:paraId="291EAFDD">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f) 可插拔板卡插槽部位应预留安装、拆卸或更换板卡空间；</w:t>
            </w:r>
          </w:p>
          <w:p w14:paraId="194D8668">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g) 拆装可能接触到的金属剪口或金属尖角部位应做防划伤处理，以保证安全；</w:t>
            </w:r>
          </w:p>
          <w:p w14:paraId="4E2A0472">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h) 整机内部走线应规整，固线结构和位置要合理可靠并做防割线处理，需便于理线和插拔操作，走线应不影响系统各主要部件组装和拆卸；</w:t>
            </w:r>
          </w:p>
          <w:p w14:paraId="3CF959E3">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i) 如需通过孔走线，过线孔应做防割线处理；</w:t>
            </w:r>
          </w:p>
          <w:p w14:paraId="44FA3673">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j) 各插头位置和插拔方向应合理，应做到插拔无障碍设计，具备防呆设计，有效避免误操作；</w:t>
            </w:r>
          </w:p>
          <w:p w14:paraId="4E07C393">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k) 各主要部件拆装无障碍，使用常规工具拆装，无特殊拆装工具需求；</w:t>
            </w:r>
          </w:p>
          <w:p w14:paraId="1AE6CA87">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l) 各主要部件拆装步骤要少，各自拆装需避免相互干扰；</w:t>
            </w:r>
          </w:p>
          <w:p w14:paraId="22F454A4">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m) 对于整机或零部件外表面为高亮面的，应粘贴保护膜，保护膜需粘贴牢固，运输、组装等过程不易脱落，撕下无残留；</w:t>
            </w:r>
          </w:p>
          <w:p w14:paraId="125FE8E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n) 其它要求应符合 GB/T 9813.1 的相关规定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0475B64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946AFB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DDDD39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20A8BF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9A93DB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CB1FA1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机箱防护要求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62D3FEF3">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机箱应符合</w:t>
            </w:r>
            <w:r>
              <w:rPr>
                <w:rFonts w:cs="仿宋_GB2312" w:asciiTheme="majorEastAsia" w:hAnsiTheme="majorEastAsia" w:eastAsiaTheme="majorEastAsia"/>
                <w:color w:val="auto"/>
                <w:highlight w:val="none"/>
                <w:lang w:eastAsia="zh-CN" w:bidi="ar"/>
              </w:rPr>
              <w:t>GB/T4208</w:t>
            </w:r>
            <w:r>
              <w:rPr>
                <w:rFonts w:hint="eastAsia" w:cs="仿宋_GB2312" w:asciiTheme="majorEastAsia" w:hAnsiTheme="majorEastAsia" w:eastAsiaTheme="majorEastAsia"/>
                <w:color w:val="auto"/>
                <w:highlight w:val="none"/>
                <w:lang w:eastAsia="zh-CN" w:bidi="ar"/>
              </w:rPr>
              <w:t>中</w:t>
            </w:r>
            <w:r>
              <w:rPr>
                <w:rFonts w:cs="仿宋_GB2312" w:asciiTheme="majorEastAsia" w:hAnsiTheme="majorEastAsia" w:eastAsiaTheme="majorEastAsia"/>
                <w:color w:val="auto"/>
                <w:highlight w:val="none"/>
                <w:lang w:eastAsia="zh-CN" w:bidi="ar"/>
              </w:rPr>
              <w:t>IP20</w:t>
            </w:r>
            <w:r>
              <w:rPr>
                <w:rFonts w:hint="eastAsia" w:cs="仿宋_GB2312" w:asciiTheme="majorEastAsia" w:hAnsiTheme="majorEastAsia" w:eastAsiaTheme="majorEastAsia"/>
                <w:color w:val="auto"/>
                <w:highlight w:val="none"/>
                <w:lang w:eastAsia="zh-CN" w:bidi="ar"/>
              </w:rPr>
              <w:t>防护要求</w:t>
            </w:r>
          </w:p>
        </w:tc>
        <w:tc>
          <w:tcPr>
            <w:tcW w:w="1026" w:type="dxa"/>
            <w:tcBorders>
              <w:top w:val="single" w:color="000000" w:sz="4" w:space="0"/>
              <w:left w:val="single" w:color="000000" w:sz="4" w:space="0"/>
              <w:bottom w:val="single" w:color="000000" w:sz="4" w:space="0"/>
              <w:right w:val="single" w:color="000000" w:sz="4" w:space="0"/>
            </w:tcBorders>
            <w:vAlign w:val="center"/>
          </w:tcPr>
          <w:p w14:paraId="79E88BC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DCF6AE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7D03E0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AE842A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B51A54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63F9AC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整机噪音</w:t>
            </w:r>
          </w:p>
        </w:tc>
        <w:tc>
          <w:tcPr>
            <w:tcW w:w="3216" w:type="dxa"/>
            <w:tcBorders>
              <w:top w:val="single" w:color="000000" w:sz="4" w:space="0"/>
              <w:left w:val="single" w:color="000000" w:sz="4" w:space="0"/>
              <w:bottom w:val="single" w:color="000000" w:sz="4" w:space="0"/>
              <w:right w:val="single" w:color="000000" w:sz="4" w:space="0"/>
            </w:tcBorders>
            <w:vAlign w:val="center"/>
          </w:tcPr>
          <w:p w14:paraId="4122488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产品工作在空闲状态下，产品的声功率级应不超过</w:t>
            </w:r>
            <w:r>
              <w:rPr>
                <w:rFonts w:cs="仿宋_GB2312" w:asciiTheme="majorEastAsia" w:hAnsiTheme="majorEastAsia" w:eastAsiaTheme="majorEastAsia"/>
                <w:color w:val="auto"/>
                <w:highlight w:val="none"/>
                <w:lang w:eastAsia="zh-CN" w:bidi="ar"/>
              </w:rPr>
              <w:t>4.5Bel</w:t>
            </w:r>
          </w:p>
        </w:tc>
        <w:tc>
          <w:tcPr>
            <w:tcW w:w="1026" w:type="dxa"/>
            <w:tcBorders>
              <w:top w:val="single" w:color="000000" w:sz="4" w:space="0"/>
              <w:left w:val="single" w:color="000000" w:sz="4" w:space="0"/>
              <w:bottom w:val="single" w:color="000000" w:sz="4" w:space="0"/>
              <w:right w:val="single" w:color="000000" w:sz="4" w:space="0"/>
            </w:tcBorders>
            <w:vAlign w:val="center"/>
          </w:tcPr>
          <w:p w14:paraId="5B44E9E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FF88F4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9464F5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95F2BB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31C637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320CC9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整机散热</w:t>
            </w:r>
          </w:p>
        </w:tc>
        <w:tc>
          <w:tcPr>
            <w:tcW w:w="3216" w:type="dxa"/>
            <w:tcBorders>
              <w:top w:val="single" w:color="000000" w:sz="4" w:space="0"/>
              <w:left w:val="single" w:color="000000" w:sz="4" w:space="0"/>
              <w:bottom w:val="single" w:color="000000" w:sz="4" w:space="0"/>
              <w:right w:val="single" w:color="000000" w:sz="4" w:space="0"/>
            </w:tcBorders>
            <w:vAlign w:val="center"/>
          </w:tcPr>
          <w:p w14:paraId="5C554FBC">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在环境温度 25℃及处理器满载情况下，产品表面温度应符合如下要求：</w:t>
            </w:r>
          </w:p>
          <w:p w14:paraId="4FE0D6CF">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a) 出风口在机箱后面板情况下，出风口温度不高于 55℃ ;</w:t>
            </w:r>
          </w:p>
          <w:p w14:paraId="7F9D922C">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b) 可触及面温度不高于 45℃ ;</w:t>
            </w:r>
          </w:p>
          <w:p w14:paraId="5AFD8D0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c) 显示器表面温度：显示屏不高于38℃ , 显示屏上下灯带位置温度（如涉及）不高于 40℃ , 出风口温度不高于 45℃</w:t>
            </w:r>
          </w:p>
        </w:tc>
        <w:tc>
          <w:tcPr>
            <w:tcW w:w="1026" w:type="dxa"/>
            <w:tcBorders>
              <w:top w:val="single" w:color="000000" w:sz="4" w:space="0"/>
              <w:left w:val="single" w:color="000000" w:sz="4" w:space="0"/>
              <w:bottom w:val="single" w:color="000000" w:sz="4" w:space="0"/>
              <w:right w:val="single" w:color="000000" w:sz="4" w:space="0"/>
            </w:tcBorders>
            <w:vAlign w:val="center"/>
          </w:tcPr>
          <w:p w14:paraId="4C1941A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797C81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D9CF73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9C61A1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FE45F2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722C00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整机能效限定值</w:t>
            </w:r>
          </w:p>
        </w:tc>
        <w:tc>
          <w:tcPr>
            <w:tcW w:w="3216" w:type="dxa"/>
            <w:tcBorders>
              <w:top w:val="single" w:color="000000" w:sz="4" w:space="0"/>
              <w:left w:val="single" w:color="000000" w:sz="4" w:space="0"/>
              <w:bottom w:val="single" w:color="000000" w:sz="4" w:space="0"/>
              <w:right w:val="single" w:color="000000" w:sz="4" w:space="0"/>
            </w:tcBorders>
            <w:vAlign w:val="center"/>
          </w:tcPr>
          <w:p w14:paraId="1B2E494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产品能效限定值应达到 GB 28380-2012标准中能效等级 2 级及以上</w:t>
            </w:r>
          </w:p>
        </w:tc>
        <w:tc>
          <w:tcPr>
            <w:tcW w:w="1026" w:type="dxa"/>
            <w:tcBorders>
              <w:top w:val="single" w:color="000000" w:sz="4" w:space="0"/>
              <w:left w:val="single" w:color="000000" w:sz="4" w:space="0"/>
              <w:bottom w:val="single" w:color="000000" w:sz="4" w:space="0"/>
              <w:right w:val="single" w:color="000000" w:sz="4" w:space="0"/>
            </w:tcBorders>
            <w:vAlign w:val="center"/>
          </w:tcPr>
          <w:p w14:paraId="59BDF61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47B342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4E5245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5AF86E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9D7245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D99B79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机身材质</w:t>
            </w:r>
          </w:p>
        </w:tc>
        <w:tc>
          <w:tcPr>
            <w:tcW w:w="3216" w:type="dxa"/>
            <w:tcBorders>
              <w:top w:val="single" w:color="000000" w:sz="4" w:space="0"/>
              <w:left w:val="single" w:color="000000" w:sz="4" w:space="0"/>
              <w:bottom w:val="single" w:color="000000" w:sz="4" w:space="0"/>
              <w:right w:val="single" w:color="000000" w:sz="4" w:space="0"/>
            </w:tcBorders>
            <w:vAlign w:val="center"/>
          </w:tcPr>
          <w:p w14:paraId="7D25904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金属</w:t>
            </w:r>
          </w:p>
        </w:tc>
        <w:tc>
          <w:tcPr>
            <w:tcW w:w="1026" w:type="dxa"/>
            <w:tcBorders>
              <w:top w:val="single" w:color="000000" w:sz="4" w:space="0"/>
              <w:left w:val="single" w:color="000000" w:sz="4" w:space="0"/>
              <w:bottom w:val="single" w:color="000000" w:sz="4" w:space="0"/>
              <w:right w:val="single" w:color="000000" w:sz="4" w:space="0"/>
            </w:tcBorders>
            <w:vAlign w:val="center"/>
          </w:tcPr>
          <w:p w14:paraId="251C948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63E3E7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58C4A4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2097F2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15F9EF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C62FCA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机身颜色</w:t>
            </w:r>
          </w:p>
        </w:tc>
        <w:tc>
          <w:tcPr>
            <w:tcW w:w="3216" w:type="dxa"/>
            <w:tcBorders>
              <w:top w:val="single" w:color="000000" w:sz="4" w:space="0"/>
              <w:left w:val="single" w:color="000000" w:sz="4" w:space="0"/>
              <w:bottom w:val="single" w:color="000000" w:sz="4" w:space="0"/>
              <w:right w:val="single" w:color="000000" w:sz="4" w:space="0"/>
            </w:tcBorders>
            <w:vAlign w:val="center"/>
          </w:tcPr>
          <w:p w14:paraId="0C830A4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黑色</w:t>
            </w:r>
          </w:p>
        </w:tc>
        <w:tc>
          <w:tcPr>
            <w:tcW w:w="1026" w:type="dxa"/>
            <w:tcBorders>
              <w:top w:val="single" w:color="000000" w:sz="4" w:space="0"/>
              <w:left w:val="single" w:color="000000" w:sz="4" w:space="0"/>
              <w:bottom w:val="single" w:color="000000" w:sz="4" w:space="0"/>
              <w:right w:val="single" w:color="000000" w:sz="4" w:space="0"/>
            </w:tcBorders>
            <w:vAlign w:val="center"/>
          </w:tcPr>
          <w:p w14:paraId="1A2E1DE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BCC838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CF0799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075354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B88B63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6C306E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机箱尺寸容量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32ED1BF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≤14L</w:t>
            </w:r>
          </w:p>
        </w:tc>
        <w:tc>
          <w:tcPr>
            <w:tcW w:w="1026" w:type="dxa"/>
            <w:tcBorders>
              <w:top w:val="single" w:color="000000" w:sz="4" w:space="0"/>
              <w:left w:val="single" w:color="000000" w:sz="4" w:space="0"/>
              <w:bottom w:val="single" w:color="000000" w:sz="4" w:space="0"/>
              <w:right w:val="single" w:color="000000" w:sz="4" w:space="0"/>
            </w:tcBorders>
            <w:vAlign w:val="center"/>
          </w:tcPr>
          <w:p w14:paraId="4D57C92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223C06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FDED23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2348C9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81</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0501235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CPU性能</w:t>
            </w:r>
          </w:p>
        </w:tc>
        <w:tc>
          <w:tcPr>
            <w:tcW w:w="1383" w:type="dxa"/>
            <w:tcBorders>
              <w:top w:val="single" w:color="000000" w:sz="4" w:space="0"/>
              <w:left w:val="single" w:color="000000" w:sz="4" w:space="0"/>
              <w:bottom w:val="single" w:color="000000" w:sz="4" w:space="0"/>
              <w:right w:val="nil"/>
            </w:tcBorders>
            <w:vAlign w:val="center"/>
          </w:tcPr>
          <w:p w14:paraId="17B58ED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 物理核数</w:t>
            </w:r>
          </w:p>
        </w:tc>
        <w:tc>
          <w:tcPr>
            <w:tcW w:w="3216" w:type="dxa"/>
            <w:tcBorders>
              <w:top w:val="single" w:color="000000" w:sz="4" w:space="0"/>
              <w:left w:val="single" w:color="000000" w:sz="4" w:space="0"/>
              <w:bottom w:val="single" w:color="000000" w:sz="4" w:space="0"/>
              <w:right w:val="single" w:color="000000" w:sz="4" w:space="0"/>
            </w:tcBorders>
            <w:vAlign w:val="center"/>
          </w:tcPr>
          <w:p w14:paraId="2B354D2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w:t>
            </w:r>
          </w:p>
        </w:tc>
        <w:tc>
          <w:tcPr>
            <w:tcW w:w="1026" w:type="dxa"/>
            <w:tcBorders>
              <w:top w:val="single" w:color="000000" w:sz="4" w:space="0"/>
              <w:left w:val="single" w:color="000000" w:sz="4" w:space="0"/>
              <w:bottom w:val="single" w:color="000000" w:sz="4" w:space="0"/>
              <w:right w:val="single" w:color="000000" w:sz="4" w:space="0"/>
            </w:tcBorders>
            <w:vAlign w:val="center"/>
          </w:tcPr>
          <w:p w14:paraId="36DCDD5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D52F5A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098DD9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379260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9B5657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F0153A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 主频</w:t>
            </w:r>
          </w:p>
        </w:tc>
        <w:tc>
          <w:tcPr>
            <w:tcW w:w="3216" w:type="dxa"/>
            <w:tcBorders>
              <w:top w:val="single" w:color="000000" w:sz="4" w:space="0"/>
              <w:left w:val="single" w:color="000000" w:sz="4" w:space="0"/>
              <w:bottom w:val="single" w:color="000000" w:sz="4" w:space="0"/>
              <w:right w:val="single" w:color="000000" w:sz="4" w:space="0"/>
            </w:tcBorders>
            <w:vAlign w:val="center"/>
          </w:tcPr>
          <w:p w14:paraId="50F3F37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2.7GHz</w:t>
            </w:r>
          </w:p>
        </w:tc>
        <w:tc>
          <w:tcPr>
            <w:tcW w:w="1026" w:type="dxa"/>
            <w:tcBorders>
              <w:top w:val="single" w:color="000000" w:sz="4" w:space="0"/>
              <w:left w:val="single" w:color="000000" w:sz="4" w:space="0"/>
              <w:bottom w:val="single" w:color="000000" w:sz="4" w:space="0"/>
              <w:right w:val="single" w:color="000000" w:sz="4" w:space="0"/>
            </w:tcBorders>
            <w:vAlign w:val="center"/>
          </w:tcPr>
          <w:p w14:paraId="39CFA0A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4B5F0E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2A67FA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87BF2D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621409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4B8743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 缓存容量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634F503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8MB</w:t>
            </w:r>
            <w:r>
              <w:rPr>
                <w:rFonts w:hint="eastAsia" w:cs="仿宋_GB2312" w:asciiTheme="majorEastAsia" w:hAnsiTheme="majorEastAsia" w:eastAsiaTheme="majorEastAsia"/>
                <w:color w:val="auto"/>
                <w:highlight w:val="none"/>
                <w:lang w:bidi="ar"/>
              </w:rPr>
              <w:t>（二级缓存）</w:t>
            </w:r>
          </w:p>
        </w:tc>
        <w:tc>
          <w:tcPr>
            <w:tcW w:w="1026" w:type="dxa"/>
            <w:tcBorders>
              <w:top w:val="single" w:color="000000" w:sz="4" w:space="0"/>
              <w:left w:val="single" w:color="000000" w:sz="4" w:space="0"/>
              <w:bottom w:val="single" w:color="000000" w:sz="4" w:space="0"/>
              <w:right w:val="single" w:color="000000" w:sz="4" w:space="0"/>
            </w:tcBorders>
            <w:vAlign w:val="center"/>
          </w:tcPr>
          <w:p w14:paraId="74C495D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0E8E1A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2E717E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68C877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835501F">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04F8D1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CPU 支持的内存最高速率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46E40D9C">
            <w:pPr>
              <w:keepNext/>
              <w:rPr>
                <w:rFonts w:hint="eastAsia" w:cs="宋体" w:asciiTheme="majorEastAsia" w:hAnsiTheme="majorEastAsia" w:eastAsiaTheme="majorEastAsia"/>
                <w:color w:val="auto"/>
                <w:highlight w:val="none"/>
              </w:rPr>
            </w:pPr>
            <w:r>
              <w:rPr>
                <w:rFonts w:hint="eastAsia" w:asciiTheme="majorEastAsia" w:hAnsiTheme="majorEastAsia" w:eastAsiaTheme="majorEastAsia"/>
                <w:color w:val="auto"/>
                <w:highlight w:val="none"/>
              </w:rPr>
              <w:t>≥2666MT/s</w:t>
            </w:r>
          </w:p>
        </w:tc>
        <w:tc>
          <w:tcPr>
            <w:tcW w:w="1026" w:type="dxa"/>
            <w:tcBorders>
              <w:top w:val="single" w:color="000000" w:sz="4" w:space="0"/>
              <w:left w:val="single" w:color="000000" w:sz="4" w:space="0"/>
              <w:bottom w:val="single" w:color="000000" w:sz="4" w:space="0"/>
              <w:right w:val="single" w:color="000000" w:sz="4" w:space="0"/>
            </w:tcBorders>
            <w:vAlign w:val="center"/>
          </w:tcPr>
          <w:p w14:paraId="35EAEF3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D20475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124E1F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EFD799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85</w:t>
            </w:r>
          </w:p>
        </w:tc>
        <w:tc>
          <w:tcPr>
            <w:tcW w:w="1716" w:type="dxa"/>
            <w:tcBorders>
              <w:top w:val="single" w:color="000000" w:sz="4" w:space="0"/>
              <w:left w:val="single" w:color="000000" w:sz="4" w:space="0"/>
              <w:bottom w:val="single" w:color="000000" w:sz="4" w:space="0"/>
              <w:right w:val="single" w:color="000000" w:sz="4" w:space="0"/>
            </w:tcBorders>
            <w:vAlign w:val="center"/>
          </w:tcPr>
          <w:p w14:paraId="2D2EDD9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内存性能</w:t>
            </w:r>
          </w:p>
        </w:tc>
        <w:tc>
          <w:tcPr>
            <w:tcW w:w="1383" w:type="dxa"/>
            <w:tcBorders>
              <w:top w:val="single" w:color="000000" w:sz="4" w:space="0"/>
              <w:left w:val="single" w:color="000000" w:sz="4" w:space="0"/>
              <w:bottom w:val="single" w:color="000000" w:sz="4" w:space="0"/>
              <w:right w:val="nil"/>
            </w:tcBorders>
            <w:vAlign w:val="center"/>
          </w:tcPr>
          <w:p w14:paraId="79F8B39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内存读写速率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550F773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2666MT/s</w:t>
            </w:r>
          </w:p>
        </w:tc>
        <w:tc>
          <w:tcPr>
            <w:tcW w:w="1026" w:type="dxa"/>
            <w:tcBorders>
              <w:top w:val="single" w:color="000000" w:sz="4" w:space="0"/>
              <w:left w:val="single" w:color="000000" w:sz="4" w:space="0"/>
              <w:bottom w:val="single" w:color="000000" w:sz="4" w:space="0"/>
              <w:right w:val="single" w:color="000000" w:sz="4" w:space="0"/>
            </w:tcBorders>
            <w:vAlign w:val="center"/>
          </w:tcPr>
          <w:p w14:paraId="4D5E138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5401AB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A5D7C8B">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F7FB33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86</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610B333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显卡性能</w:t>
            </w:r>
          </w:p>
        </w:tc>
        <w:tc>
          <w:tcPr>
            <w:tcW w:w="1383" w:type="dxa"/>
            <w:tcBorders>
              <w:top w:val="single" w:color="000000" w:sz="4" w:space="0"/>
              <w:left w:val="single" w:color="000000" w:sz="4" w:space="0"/>
              <w:bottom w:val="single" w:color="000000" w:sz="4" w:space="0"/>
              <w:right w:val="nil"/>
            </w:tcBorders>
            <w:vAlign w:val="center"/>
          </w:tcPr>
          <w:p w14:paraId="05B80CD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显示分辨率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00D22BE4">
            <w:pPr>
              <w:keepNext/>
              <w:textAlignment w:val="center"/>
              <w:rPr>
                <w:rFonts w:hint="eastAsia" w:cs="仿宋_GB2312" w:asciiTheme="majorEastAsia" w:hAnsiTheme="majorEastAsia" w:eastAsiaTheme="majorEastAsia"/>
                <w:color w:val="auto"/>
                <w:highlight w:val="none"/>
                <w:lang w:bidi="ar"/>
              </w:rPr>
            </w:pPr>
            <w:r>
              <w:rPr>
                <w:rFonts w:hint="eastAsia" w:asciiTheme="majorEastAsia" w:hAnsiTheme="majorEastAsia" w:eastAsiaTheme="majorEastAsia"/>
                <w:color w:val="auto"/>
                <w:highlight w:val="none"/>
              </w:rPr>
              <w:t>≥1920x1080</w:t>
            </w:r>
          </w:p>
        </w:tc>
        <w:tc>
          <w:tcPr>
            <w:tcW w:w="1026" w:type="dxa"/>
            <w:tcBorders>
              <w:top w:val="single" w:color="000000" w:sz="4" w:space="0"/>
              <w:left w:val="single" w:color="000000" w:sz="4" w:space="0"/>
              <w:bottom w:val="single" w:color="000000" w:sz="4" w:space="0"/>
              <w:right w:val="single" w:color="000000" w:sz="4" w:space="0"/>
            </w:tcBorders>
            <w:vAlign w:val="center"/>
          </w:tcPr>
          <w:p w14:paraId="19EA86B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538D62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74DAED8">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A3953D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52EC0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C35788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显卡显示芯片核心频率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4A5C8391">
            <w:pPr>
              <w:keepNext/>
              <w:textAlignment w:val="center"/>
              <w:rPr>
                <w:rFonts w:hint="eastAsia" w:cs="仿宋_GB2312" w:asciiTheme="majorEastAsia" w:hAnsiTheme="majorEastAsia" w:eastAsiaTheme="majorEastAsia"/>
                <w:color w:val="auto"/>
                <w:highlight w:val="none"/>
                <w:lang w:bidi="ar"/>
              </w:rPr>
            </w:pPr>
            <w:r>
              <w:rPr>
                <w:rFonts w:hint="eastAsia" w:asciiTheme="majorEastAsia" w:hAnsiTheme="majorEastAsia" w:eastAsiaTheme="majorEastAsia"/>
                <w:color w:val="auto"/>
                <w:highlight w:val="none"/>
              </w:rPr>
              <w:t>≥1300MHz</w:t>
            </w:r>
          </w:p>
        </w:tc>
        <w:tc>
          <w:tcPr>
            <w:tcW w:w="1026" w:type="dxa"/>
            <w:tcBorders>
              <w:top w:val="single" w:color="000000" w:sz="4" w:space="0"/>
              <w:left w:val="single" w:color="000000" w:sz="4" w:space="0"/>
              <w:bottom w:val="single" w:color="000000" w:sz="4" w:space="0"/>
              <w:right w:val="single" w:color="000000" w:sz="4" w:space="0"/>
            </w:tcBorders>
            <w:vAlign w:val="center"/>
          </w:tcPr>
          <w:p w14:paraId="5A302CF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D7767F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07D076F">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793290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399ED8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33B054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显存等效频率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7A4734F5">
            <w:pPr>
              <w:keepNext/>
              <w:textAlignment w:val="center"/>
              <w:rPr>
                <w:rFonts w:hint="eastAsia" w:cs="仿宋_GB2312" w:asciiTheme="majorEastAsia" w:hAnsiTheme="majorEastAsia" w:eastAsiaTheme="majorEastAsia"/>
                <w:color w:val="auto"/>
                <w:highlight w:val="none"/>
                <w:lang w:bidi="ar"/>
              </w:rPr>
            </w:pPr>
            <w:r>
              <w:rPr>
                <w:rFonts w:hint="eastAsia" w:asciiTheme="majorEastAsia" w:hAnsiTheme="majorEastAsia" w:eastAsiaTheme="majorEastAsia"/>
                <w:color w:val="auto"/>
                <w:highlight w:val="none"/>
              </w:rPr>
              <w:t>≥2666MHz</w:t>
            </w:r>
          </w:p>
        </w:tc>
        <w:tc>
          <w:tcPr>
            <w:tcW w:w="1026" w:type="dxa"/>
            <w:tcBorders>
              <w:top w:val="single" w:color="000000" w:sz="4" w:space="0"/>
              <w:left w:val="single" w:color="000000" w:sz="4" w:space="0"/>
              <w:bottom w:val="single" w:color="000000" w:sz="4" w:space="0"/>
              <w:right w:val="single" w:color="000000" w:sz="4" w:space="0"/>
            </w:tcBorders>
            <w:vAlign w:val="center"/>
          </w:tcPr>
          <w:p w14:paraId="18C7A0F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2E6373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8DC6412">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F7CB4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23D1F6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DE9B0D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显卡可支持多屏同时显示数量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29330C51">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显卡支持 2 块屏幕同时显示，分辨率应不低于 1920×1080</w:t>
            </w:r>
          </w:p>
        </w:tc>
        <w:tc>
          <w:tcPr>
            <w:tcW w:w="1026" w:type="dxa"/>
            <w:tcBorders>
              <w:top w:val="single" w:color="000000" w:sz="4" w:space="0"/>
              <w:left w:val="single" w:color="000000" w:sz="4" w:space="0"/>
              <w:bottom w:val="single" w:color="000000" w:sz="4" w:space="0"/>
              <w:right w:val="single" w:color="000000" w:sz="4" w:space="0"/>
            </w:tcBorders>
            <w:vAlign w:val="center"/>
          </w:tcPr>
          <w:p w14:paraId="266C46D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C2124A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4E01629">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3BF080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90</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62A4969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显示设备性能</w:t>
            </w:r>
          </w:p>
        </w:tc>
        <w:tc>
          <w:tcPr>
            <w:tcW w:w="1383" w:type="dxa"/>
            <w:tcBorders>
              <w:top w:val="single" w:color="000000" w:sz="4" w:space="0"/>
              <w:left w:val="single" w:color="000000" w:sz="4" w:space="0"/>
              <w:bottom w:val="single" w:color="000000" w:sz="4" w:space="0"/>
              <w:right w:val="nil"/>
            </w:tcBorders>
            <w:vAlign w:val="center"/>
          </w:tcPr>
          <w:p w14:paraId="5F31FDB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显示屏刷新率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1BDF2DAC">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bidi="ar"/>
              </w:rPr>
              <w:t>≥100Hz</w:t>
            </w:r>
          </w:p>
        </w:tc>
        <w:tc>
          <w:tcPr>
            <w:tcW w:w="1026" w:type="dxa"/>
            <w:tcBorders>
              <w:top w:val="single" w:color="000000" w:sz="4" w:space="0"/>
              <w:left w:val="single" w:color="000000" w:sz="4" w:space="0"/>
              <w:bottom w:val="single" w:color="000000" w:sz="4" w:space="0"/>
              <w:right w:val="single" w:color="000000" w:sz="4" w:space="0"/>
            </w:tcBorders>
            <w:vAlign w:val="center"/>
          </w:tcPr>
          <w:p w14:paraId="5BE7F14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220131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E8853BE">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F016CA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4B2FBB8">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16F97A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显示屏位深</w:t>
            </w:r>
          </w:p>
        </w:tc>
        <w:tc>
          <w:tcPr>
            <w:tcW w:w="3216" w:type="dxa"/>
            <w:tcBorders>
              <w:top w:val="single" w:color="000000" w:sz="4" w:space="0"/>
              <w:left w:val="single" w:color="000000" w:sz="4" w:space="0"/>
              <w:bottom w:val="single" w:color="000000" w:sz="4" w:space="0"/>
              <w:right w:val="single" w:color="000000" w:sz="4" w:space="0"/>
            </w:tcBorders>
            <w:vAlign w:val="center"/>
          </w:tcPr>
          <w:p w14:paraId="6119213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 位</w:t>
            </w:r>
          </w:p>
        </w:tc>
        <w:tc>
          <w:tcPr>
            <w:tcW w:w="1026" w:type="dxa"/>
            <w:tcBorders>
              <w:top w:val="single" w:color="000000" w:sz="4" w:space="0"/>
              <w:left w:val="single" w:color="000000" w:sz="4" w:space="0"/>
              <w:bottom w:val="single" w:color="000000" w:sz="4" w:space="0"/>
              <w:right w:val="single" w:color="000000" w:sz="4" w:space="0"/>
            </w:tcBorders>
            <w:vAlign w:val="center"/>
          </w:tcPr>
          <w:p w14:paraId="1C1CA62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8447C4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38863A4">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2637D1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DC1E3FF">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25479E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显示屏色域</w:t>
            </w:r>
          </w:p>
        </w:tc>
        <w:tc>
          <w:tcPr>
            <w:tcW w:w="3216" w:type="dxa"/>
            <w:tcBorders>
              <w:top w:val="single" w:color="000000" w:sz="4" w:space="0"/>
              <w:left w:val="single" w:color="000000" w:sz="4" w:space="0"/>
              <w:bottom w:val="single" w:color="000000" w:sz="4" w:space="0"/>
              <w:right w:val="single" w:color="000000" w:sz="4" w:space="0"/>
            </w:tcBorders>
            <w:vAlign w:val="center"/>
          </w:tcPr>
          <w:p w14:paraId="1DD5DC6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≥99% sRGB</w:t>
            </w:r>
          </w:p>
        </w:tc>
        <w:tc>
          <w:tcPr>
            <w:tcW w:w="1026" w:type="dxa"/>
            <w:tcBorders>
              <w:top w:val="single" w:color="000000" w:sz="4" w:space="0"/>
              <w:left w:val="single" w:color="000000" w:sz="4" w:space="0"/>
              <w:bottom w:val="single" w:color="000000" w:sz="4" w:space="0"/>
              <w:right w:val="single" w:color="000000" w:sz="4" w:space="0"/>
            </w:tcBorders>
            <w:vAlign w:val="center"/>
          </w:tcPr>
          <w:p w14:paraId="30751F7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D0F7B9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660B984">
            <w:pPr>
              <w:keepNext/>
              <w:jc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7B9AAE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8DD873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598AD5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显示屏色准</w:t>
            </w:r>
          </w:p>
        </w:tc>
        <w:tc>
          <w:tcPr>
            <w:tcW w:w="3216" w:type="dxa"/>
            <w:tcBorders>
              <w:top w:val="single" w:color="000000" w:sz="4" w:space="0"/>
              <w:left w:val="single" w:color="000000" w:sz="4" w:space="0"/>
              <w:bottom w:val="single" w:color="000000" w:sz="4" w:space="0"/>
              <w:right w:val="single" w:color="000000" w:sz="4" w:space="0"/>
            </w:tcBorders>
            <w:vAlign w:val="center"/>
          </w:tcPr>
          <w:p w14:paraId="7D3E6EB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△E≤4</w:t>
            </w:r>
          </w:p>
        </w:tc>
        <w:tc>
          <w:tcPr>
            <w:tcW w:w="1026" w:type="dxa"/>
            <w:tcBorders>
              <w:top w:val="single" w:color="000000" w:sz="4" w:space="0"/>
              <w:left w:val="single" w:color="000000" w:sz="4" w:space="0"/>
              <w:bottom w:val="single" w:color="000000" w:sz="4" w:space="0"/>
              <w:right w:val="single" w:color="000000" w:sz="4" w:space="0"/>
            </w:tcBorders>
            <w:vAlign w:val="center"/>
          </w:tcPr>
          <w:p w14:paraId="5F2B595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7190F3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604CB3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0F4A66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4A11B9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3ABEC4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显示屏响应时间</w:t>
            </w:r>
          </w:p>
        </w:tc>
        <w:tc>
          <w:tcPr>
            <w:tcW w:w="3216" w:type="dxa"/>
            <w:tcBorders>
              <w:top w:val="single" w:color="000000" w:sz="4" w:space="0"/>
              <w:left w:val="single" w:color="000000" w:sz="4" w:space="0"/>
              <w:bottom w:val="single" w:color="000000" w:sz="4" w:space="0"/>
              <w:right w:val="single" w:color="000000" w:sz="4" w:space="0"/>
            </w:tcBorders>
            <w:vAlign w:val="center"/>
          </w:tcPr>
          <w:p w14:paraId="1593849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≤8ms</w:t>
            </w:r>
          </w:p>
        </w:tc>
        <w:tc>
          <w:tcPr>
            <w:tcW w:w="1026" w:type="dxa"/>
            <w:tcBorders>
              <w:top w:val="single" w:color="000000" w:sz="4" w:space="0"/>
              <w:left w:val="single" w:color="000000" w:sz="4" w:space="0"/>
              <w:bottom w:val="single" w:color="000000" w:sz="4" w:space="0"/>
              <w:right w:val="single" w:color="000000" w:sz="4" w:space="0"/>
            </w:tcBorders>
            <w:vAlign w:val="center"/>
          </w:tcPr>
          <w:p w14:paraId="575305F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4D2EC3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76A01E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8D6FE7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AECDA0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B74D3E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显示屏亮度</w:t>
            </w:r>
          </w:p>
        </w:tc>
        <w:tc>
          <w:tcPr>
            <w:tcW w:w="3216" w:type="dxa"/>
            <w:tcBorders>
              <w:top w:val="single" w:color="000000" w:sz="4" w:space="0"/>
              <w:left w:val="single" w:color="000000" w:sz="4" w:space="0"/>
              <w:bottom w:val="single" w:color="000000" w:sz="4" w:space="0"/>
              <w:right w:val="single" w:color="000000" w:sz="4" w:space="0"/>
            </w:tcBorders>
            <w:vAlign w:val="center"/>
          </w:tcPr>
          <w:p w14:paraId="3BF1EF7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≥250尼特</w:t>
            </w:r>
          </w:p>
        </w:tc>
        <w:tc>
          <w:tcPr>
            <w:tcW w:w="1026" w:type="dxa"/>
            <w:tcBorders>
              <w:top w:val="single" w:color="000000" w:sz="4" w:space="0"/>
              <w:left w:val="single" w:color="000000" w:sz="4" w:space="0"/>
              <w:bottom w:val="single" w:color="000000" w:sz="4" w:space="0"/>
              <w:right w:val="single" w:color="000000" w:sz="4" w:space="0"/>
            </w:tcBorders>
            <w:vAlign w:val="center"/>
          </w:tcPr>
          <w:p w14:paraId="4B7CFBC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8AE695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ABBB57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E2C9F3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0E5FCA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21A07B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显示屏亮度一致性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6BA756D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≥70%</w:t>
            </w:r>
          </w:p>
        </w:tc>
        <w:tc>
          <w:tcPr>
            <w:tcW w:w="1026" w:type="dxa"/>
            <w:tcBorders>
              <w:top w:val="single" w:color="000000" w:sz="4" w:space="0"/>
              <w:left w:val="single" w:color="000000" w:sz="4" w:space="0"/>
              <w:bottom w:val="single" w:color="000000" w:sz="4" w:space="0"/>
              <w:right w:val="single" w:color="000000" w:sz="4" w:space="0"/>
            </w:tcBorders>
            <w:vAlign w:val="center"/>
          </w:tcPr>
          <w:p w14:paraId="0DBB621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84F239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60CF54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A2B164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202D8C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242C6C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显示屏对比度</w:t>
            </w:r>
          </w:p>
        </w:tc>
        <w:tc>
          <w:tcPr>
            <w:tcW w:w="3216" w:type="dxa"/>
            <w:tcBorders>
              <w:top w:val="single" w:color="000000" w:sz="4" w:space="0"/>
              <w:left w:val="single" w:color="000000" w:sz="4" w:space="0"/>
              <w:bottom w:val="single" w:color="000000" w:sz="4" w:space="0"/>
              <w:right w:val="single" w:color="000000" w:sz="4" w:space="0"/>
            </w:tcBorders>
            <w:vAlign w:val="center"/>
          </w:tcPr>
          <w:p w14:paraId="36D05F2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≥3000：1</w:t>
            </w:r>
          </w:p>
        </w:tc>
        <w:tc>
          <w:tcPr>
            <w:tcW w:w="1026" w:type="dxa"/>
            <w:tcBorders>
              <w:top w:val="single" w:color="000000" w:sz="4" w:space="0"/>
              <w:left w:val="single" w:color="000000" w:sz="4" w:space="0"/>
              <w:bottom w:val="single" w:color="000000" w:sz="4" w:space="0"/>
              <w:right w:val="single" w:color="000000" w:sz="4" w:space="0"/>
            </w:tcBorders>
            <w:vAlign w:val="center"/>
          </w:tcPr>
          <w:p w14:paraId="72DFA1C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37A678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F163ED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3757AC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CF4C2E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4E59C7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显示屏其他参数</w:t>
            </w:r>
          </w:p>
        </w:tc>
        <w:tc>
          <w:tcPr>
            <w:tcW w:w="3216" w:type="dxa"/>
            <w:tcBorders>
              <w:top w:val="single" w:color="000000" w:sz="4" w:space="0"/>
              <w:left w:val="single" w:color="000000" w:sz="4" w:space="0"/>
              <w:bottom w:val="single" w:color="000000" w:sz="4" w:space="0"/>
              <w:right w:val="single" w:color="000000" w:sz="4" w:space="0"/>
            </w:tcBorders>
            <w:vAlign w:val="center"/>
          </w:tcPr>
          <w:p w14:paraId="07B1446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其它参数应符合SJ/T 11292的相关规定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3699C07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E38BCE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9E2AA5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7AEA97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99</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22A7575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网络设备性能</w:t>
            </w:r>
          </w:p>
        </w:tc>
        <w:tc>
          <w:tcPr>
            <w:tcW w:w="1383" w:type="dxa"/>
            <w:tcBorders>
              <w:top w:val="single" w:color="000000" w:sz="4" w:space="0"/>
              <w:left w:val="single" w:color="000000" w:sz="4" w:space="0"/>
              <w:bottom w:val="single" w:color="000000" w:sz="4" w:space="0"/>
              <w:right w:val="nil"/>
            </w:tcBorders>
            <w:vAlign w:val="center"/>
          </w:tcPr>
          <w:p w14:paraId="08CDEDF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有线网卡速率</w:t>
            </w:r>
          </w:p>
        </w:tc>
        <w:tc>
          <w:tcPr>
            <w:tcW w:w="3216" w:type="dxa"/>
            <w:tcBorders>
              <w:top w:val="single" w:color="000000" w:sz="4" w:space="0"/>
              <w:left w:val="single" w:color="000000" w:sz="4" w:space="0"/>
              <w:bottom w:val="single" w:color="000000" w:sz="4" w:space="0"/>
              <w:right w:val="single" w:color="000000" w:sz="4" w:space="0"/>
            </w:tcBorders>
            <w:vAlign w:val="center"/>
          </w:tcPr>
          <w:p w14:paraId="5F2FA66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val="zh-TW" w:eastAsia="zh-TW"/>
              </w:rPr>
              <w:t>最高速率应不低于 1000Mbps，应支持10Mbps、100Mbps、1000Mbps 速率自适应</w:t>
            </w:r>
          </w:p>
        </w:tc>
        <w:tc>
          <w:tcPr>
            <w:tcW w:w="1026" w:type="dxa"/>
            <w:tcBorders>
              <w:top w:val="single" w:color="000000" w:sz="4" w:space="0"/>
              <w:left w:val="single" w:color="000000" w:sz="4" w:space="0"/>
              <w:bottom w:val="single" w:color="000000" w:sz="4" w:space="0"/>
              <w:right w:val="single" w:color="000000" w:sz="4" w:space="0"/>
            </w:tcBorders>
            <w:vAlign w:val="center"/>
          </w:tcPr>
          <w:p w14:paraId="4210812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否</w:t>
            </w:r>
          </w:p>
        </w:tc>
      </w:tr>
      <w:tr w14:paraId="5257E9B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1B36858">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AB6D8E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3ACD79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8D7670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支持无线网络通信技术协议</w:t>
            </w:r>
          </w:p>
        </w:tc>
        <w:tc>
          <w:tcPr>
            <w:tcW w:w="3216" w:type="dxa"/>
            <w:tcBorders>
              <w:top w:val="single" w:color="000000" w:sz="4" w:space="0"/>
              <w:left w:val="single" w:color="000000" w:sz="4" w:space="0"/>
              <w:bottom w:val="single" w:color="000000" w:sz="4" w:space="0"/>
              <w:right w:val="single" w:color="000000" w:sz="4" w:space="0"/>
            </w:tcBorders>
            <w:vAlign w:val="center"/>
          </w:tcPr>
          <w:p w14:paraId="7A97CFE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2D0FCDD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D4E9EB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1AD4DE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0922A2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268CDF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9B2AA3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无线网卡频宽</w:t>
            </w:r>
          </w:p>
        </w:tc>
        <w:tc>
          <w:tcPr>
            <w:tcW w:w="3216" w:type="dxa"/>
            <w:tcBorders>
              <w:top w:val="single" w:color="000000" w:sz="4" w:space="0"/>
              <w:left w:val="single" w:color="000000" w:sz="4" w:space="0"/>
              <w:bottom w:val="single" w:color="000000" w:sz="4" w:space="0"/>
              <w:right w:val="single" w:color="000000" w:sz="4" w:space="0"/>
            </w:tcBorders>
            <w:vAlign w:val="center"/>
          </w:tcPr>
          <w:p w14:paraId="6637E06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8A7ED7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77D659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C2C99B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610FDC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24E3C8E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主板功能</w:t>
            </w:r>
          </w:p>
        </w:tc>
        <w:tc>
          <w:tcPr>
            <w:tcW w:w="1383" w:type="dxa"/>
            <w:tcBorders>
              <w:top w:val="single" w:color="000000" w:sz="4" w:space="0"/>
              <w:left w:val="single" w:color="000000" w:sz="4" w:space="0"/>
              <w:bottom w:val="single" w:color="000000" w:sz="4" w:space="0"/>
              <w:right w:val="nil"/>
            </w:tcBorders>
            <w:vAlign w:val="center"/>
          </w:tcPr>
          <w:p w14:paraId="519E2B9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内存扩展接口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3BFA2C9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≥2个</w:t>
            </w:r>
          </w:p>
        </w:tc>
        <w:tc>
          <w:tcPr>
            <w:tcW w:w="1026" w:type="dxa"/>
            <w:tcBorders>
              <w:top w:val="single" w:color="000000" w:sz="4" w:space="0"/>
              <w:left w:val="single" w:color="000000" w:sz="4" w:space="0"/>
              <w:bottom w:val="single" w:color="000000" w:sz="4" w:space="0"/>
              <w:right w:val="single" w:color="000000" w:sz="4" w:space="0"/>
            </w:tcBorders>
            <w:vAlign w:val="center"/>
          </w:tcPr>
          <w:p w14:paraId="078EAC8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A7B87F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0AE8A85">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305138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CA8AE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93F21E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存储扩展接口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5603481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r>
              <w:rPr>
                <w:rFonts w:cs="仿宋_GB2312" w:asciiTheme="majorEastAsia" w:hAnsiTheme="majorEastAsia" w:eastAsiaTheme="majorEastAsia"/>
                <w:color w:val="auto"/>
                <w:highlight w:val="none"/>
                <w:lang w:bidi="ar"/>
              </w:rPr>
              <w:t>2</w:t>
            </w:r>
            <w:r>
              <w:rPr>
                <w:rFonts w:hint="eastAsia" w:cs="仿宋_GB2312" w:asciiTheme="majorEastAsia" w:hAnsiTheme="majorEastAsia" w:eastAsiaTheme="majorEastAsia"/>
                <w:color w:val="auto"/>
                <w:highlight w:val="none"/>
                <w:lang w:bidi="ar"/>
              </w:rPr>
              <w:t>个</w:t>
            </w:r>
            <w:r>
              <w:rPr>
                <w:rFonts w:cs="仿宋_GB2312" w:asciiTheme="majorEastAsia" w:hAnsiTheme="majorEastAsia" w:eastAsiaTheme="majorEastAsia"/>
                <w:color w:val="auto"/>
                <w:highlight w:val="none"/>
                <w:lang w:bidi="ar"/>
              </w:rPr>
              <w:t xml:space="preserve"> SATA3.0</w:t>
            </w:r>
            <w:r>
              <w:rPr>
                <w:rFonts w:hint="eastAsia" w:cs="仿宋_GB2312" w:asciiTheme="majorEastAsia" w:hAnsiTheme="majorEastAsia" w:eastAsiaTheme="majorEastAsia"/>
                <w:color w:val="auto"/>
                <w:highlight w:val="none"/>
                <w:lang w:bidi="ar"/>
              </w:rPr>
              <w:t>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56F0AF2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7EF0379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01BD5B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6E19B4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80FB50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DA1E35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主板 USB瞬间过流保护</w:t>
            </w:r>
          </w:p>
        </w:tc>
        <w:tc>
          <w:tcPr>
            <w:tcW w:w="3216" w:type="dxa"/>
            <w:tcBorders>
              <w:top w:val="single" w:color="000000" w:sz="4" w:space="0"/>
              <w:left w:val="single" w:color="000000" w:sz="4" w:space="0"/>
              <w:bottom w:val="single" w:color="000000" w:sz="4" w:space="0"/>
              <w:right w:val="single" w:color="000000" w:sz="4" w:space="0"/>
            </w:tcBorders>
            <w:vAlign w:val="center"/>
          </w:tcPr>
          <w:p w14:paraId="169BEAE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支持有瞬间过流保护功能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768F9FB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130900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09116D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925E32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D8795E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58F614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主板防静电保护</w:t>
            </w:r>
          </w:p>
        </w:tc>
        <w:tc>
          <w:tcPr>
            <w:tcW w:w="3216" w:type="dxa"/>
            <w:tcBorders>
              <w:top w:val="single" w:color="000000" w:sz="4" w:space="0"/>
              <w:left w:val="single" w:color="000000" w:sz="4" w:space="0"/>
              <w:bottom w:val="single" w:color="000000" w:sz="4" w:space="0"/>
              <w:right w:val="single" w:color="000000" w:sz="4" w:space="0"/>
            </w:tcBorders>
            <w:vAlign w:val="center"/>
          </w:tcPr>
          <w:p w14:paraId="7893422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支持防静电保护功能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445D7A7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F0F62E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F126A7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08AE56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B8F13D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AF8986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I/O 接口功能</w:t>
            </w:r>
          </w:p>
        </w:tc>
        <w:tc>
          <w:tcPr>
            <w:tcW w:w="3216" w:type="dxa"/>
            <w:tcBorders>
              <w:top w:val="single" w:color="000000" w:sz="4" w:space="0"/>
              <w:left w:val="single" w:color="000000" w:sz="4" w:space="0"/>
              <w:bottom w:val="single" w:color="000000" w:sz="4" w:space="0"/>
              <w:right w:val="single" w:color="000000" w:sz="4" w:space="0"/>
            </w:tcBorders>
            <w:vAlign w:val="center"/>
          </w:tcPr>
          <w:p w14:paraId="2DFCD42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w:t>
            </w:r>
            <w:r>
              <w:rPr>
                <w:rFonts w:cs="仿宋_GB2312" w:asciiTheme="majorEastAsia" w:hAnsiTheme="majorEastAsia" w:eastAsiaTheme="majorEastAsia"/>
                <w:color w:val="auto"/>
                <w:highlight w:val="none"/>
                <w:lang w:eastAsia="zh-CN" w:bidi="ar"/>
              </w:rPr>
              <w:t>8</w:t>
            </w:r>
            <w:r>
              <w:rPr>
                <w:rFonts w:hint="eastAsia" w:cs="仿宋_GB2312" w:asciiTheme="majorEastAsia" w:hAnsiTheme="majorEastAsia" w:eastAsiaTheme="majorEastAsia"/>
                <w:color w:val="auto"/>
                <w:highlight w:val="none"/>
                <w:lang w:eastAsia="zh-CN" w:bidi="ar"/>
              </w:rPr>
              <w:t>个</w:t>
            </w:r>
            <w:r>
              <w:rPr>
                <w:rFonts w:cs="仿宋_GB2312" w:asciiTheme="majorEastAsia" w:hAnsiTheme="majorEastAsia" w:eastAsiaTheme="majorEastAsia"/>
                <w:color w:val="auto"/>
                <w:highlight w:val="none"/>
                <w:lang w:eastAsia="zh-CN" w:bidi="ar"/>
              </w:rPr>
              <w:t>USB(</w:t>
            </w:r>
            <w:r>
              <w:rPr>
                <w:rFonts w:hint="eastAsia" w:cs="仿宋_GB2312" w:asciiTheme="majorEastAsia" w:hAnsiTheme="majorEastAsia" w:eastAsiaTheme="majorEastAsia"/>
                <w:color w:val="auto"/>
                <w:highlight w:val="none"/>
                <w:lang w:eastAsia="zh-CN" w:bidi="ar"/>
              </w:rPr>
              <w:t>不少于</w:t>
            </w:r>
            <w:r>
              <w:rPr>
                <w:rFonts w:cs="仿宋_GB2312" w:asciiTheme="majorEastAsia" w:hAnsiTheme="majorEastAsia" w:eastAsiaTheme="majorEastAsia"/>
                <w:color w:val="auto"/>
                <w:highlight w:val="none"/>
                <w:lang w:eastAsia="zh-CN" w:bidi="ar"/>
              </w:rPr>
              <w:t>6</w:t>
            </w:r>
            <w:r>
              <w:rPr>
                <w:rFonts w:hint="eastAsia" w:cs="仿宋_GB2312" w:asciiTheme="majorEastAsia" w:hAnsiTheme="majorEastAsia" w:eastAsiaTheme="majorEastAsia"/>
                <w:color w:val="auto"/>
                <w:highlight w:val="none"/>
                <w:lang w:eastAsia="zh-CN" w:bidi="ar"/>
              </w:rPr>
              <w:t>个</w:t>
            </w:r>
            <w:r>
              <w:rPr>
                <w:rFonts w:cs="仿宋_GB2312" w:asciiTheme="majorEastAsia" w:hAnsiTheme="majorEastAsia" w:eastAsiaTheme="majorEastAsia"/>
                <w:color w:val="auto"/>
                <w:highlight w:val="none"/>
                <w:lang w:eastAsia="zh-CN" w:bidi="ar"/>
              </w:rPr>
              <w:t>USB 3.0</w:t>
            </w:r>
            <w:r>
              <w:rPr>
                <w:rFonts w:hint="eastAsia" w:cs="仿宋_GB2312" w:asciiTheme="majorEastAsia" w:hAnsiTheme="majorEastAsia" w:eastAsiaTheme="majorEastAsia"/>
                <w:color w:val="auto"/>
                <w:highlight w:val="none"/>
                <w:lang w:eastAsia="zh-CN" w:bidi="ar"/>
              </w:rPr>
              <w:t>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5763E9D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6B3D1D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C522AC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74025F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107</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72FCDFA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显卡功能</w:t>
            </w:r>
          </w:p>
        </w:tc>
        <w:tc>
          <w:tcPr>
            <w:tcW w:w="1383" w:type="dxa"/>
            <w:tcBorders>
              <w:top w:val="single" w:color="000000" w:sz="4" w:space="0"/>
              <w:left w:val="single" w:color="000000" w:sz="4" w:space="0"/>
              <w:bottom w:val="single" w:color="000000" w:sz="4" w:space="0"/>
              <w:right w:val="nil"/>
            </w:tcBorders>
            <w:vAlign w:val="center"/>
          </w:tcPr>
          <w:p w14:paraId="6A1DC83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显卡外接显示接口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1395B946">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eastAsia="zh-CN" w:bidi="ar"/>
              </w:rPr>
              <w:t>≥</w:t>
            </w:r>
            <w:r>
              <w:rPr>
                <w:rFonts w:cs="仿宋_GB2312" w:asciiTheme="majorEastAsia" w:hAnsiTheme="majorEastAsia" w:eastAsiaTheme="majorEastAsia"/>
                <w:color w:val="auto"/>
                <w:highlight w:val="none"/>
                <w:lang w:eastAsia="zh-CN" w:bidi="ar"/>
              </w:rPr>
              <w:t>1</w:t>
            </w:r>
            <w:r>
              <w:rPr>
                <w:rFonts w:hint="eastAsia" w:cs="仿宋_GB2312" w:asciiTheme="majorEastAsia" w:hAnsiTheme="majorEastAsia" w:eastAsiaTheme="majorEastAsia"/>
                <w:color w:val="auto"/>
                <w:highlight w:val="none"/>
                <w:lang w:eastAsia="zh-CN" w:bidi="ar"/>
              </w:rPr>
              <w:t>个</w:t>
            </w:r>
            <w:r>
              <w:rPr>
                <w:rFonts w:cs="仿宋_GB2312" w:asciiTheme="majorEastAsia" w:hAnsiTheme="majorEastAsia" w:eastAsiaTheme="majorEastAsia"/>
                <w:color w:val="auto"/>
                <w:highlight w:val="none"/>
                <w:lang w:eastAsia="zh-CN" w:bidi="ar"/>
              </w:rPr>
              <w:t>HDMI</w:t>
            </w:r>
            <w:r>
              <w:rPr>
                <w:rFonts w:hint="eastAsia" w:cs="仿宋_GB2312" w:asciiTheme="majorEastAsia" w:hAnsiTheme="majorEastAsia" w:eastAsiaTheme="majorEastAsia"/>
                <w:color w:val="auto"/>
                <w:highlight w:val="none"/>
                <w:lang w:eastAsia="zh-CN" w:bidi="ar"/>
              </w:rPr>
              <w:t>，≥</w:t>
            </w:r>
            <w:r>
              <w:rPr>
                <w:rFonts w:cs="仿宋_GB2312" w:asciiTheme="majorEastAsia" w:hAnsiTheme="majorEastAsia" w:eastAsiaTheme="majorEastAsia"/>
                <w:color w:val="auto"/>
                <w:highlight w:val="none"/>
                <w:lang w:eastAsia="zh-CN" w:bidi="ar"/>
              </w:rPr>
              <w:t>1</w:t>
            </w:r>
            <w:r>
              <w:rPr>
                <w:rFonts w:hint="eastAsia" w:cs="仿宋_GB2312" w:asciiTheme="majorEastAsia" w:hAnsiTheme="majorEastAsia" w:eastAsiaTheme="majorEastAsia"/>
                <w:color w:val="auto"/>
                <w:highlight w:val="none"/>
                <w:lang w:eastAsia="zh-CN" w:bidi="ar"/>
              </w:rPr>
              <w:t>个</w:t>
            </w:r>
            <w:r>
              <w:rPr>
                <w:rFonts w:cs="仿宋_GB2312" w:asciiTheme="majorEastAsia" w:hAnsiTheme="majorEastAsia" w:eastAsiaTheme="majorEastAsia"/>
                <w:color w:val="auto"/>
                <w:highlight w:val="none"/>
                <w:lang w:eastAsia="zh-CN" w:bidi="ar"/>
              </w:rPr>
              <w:t>VGA</w:t>
            </w:r>
          </w:p>
        </w:tc>
        <w:tc>
          <w:tcPr>
            <w:tcW w:w="1026" w:type="dxa"/>
            <w:tcBorders>
              <w:top w:val="single" w:color="000000" w:sz="4" w:space="0"/>
              <w:left w:val="single" w:color="000000" w:sz="4" w:space="0"/>
              <w:bottom w:val="single" w:color="000000" w:sz="4" w:space="0"/>
              <w:right w:val="single" w:color="000000" w:sz="4" w:space="0"/>
            </w:tcBorders>
            <w:vAlign w:val="center"/>
          </w:tcPr>
          <w:p w14:paraId="71F1721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8BAAC8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B874448">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F536A0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E18642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8C696B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独立显卡数量</w:t>
            </w:r>
          </w:p>
        </w:tc>
        <w:tc>
          <w:tcPr>
            <w:tcW w:w="3216" w:type="dxa"/>
            <w:tcBorders>
              <w:top w:val="single" w:color="000000" w:sz="4" w:space="0"/>
              <w:left w:val="single" w:color="000000" w:sz="4" w:space="0"/>
              <w:bottom w:val="single" w:color="000000" w:sz="4" w:space="0"/>
              <w:right w:val="single" w:color="000000" w:sz="4" w:space="0"/>
            </w:tcBorders>
            <w:vAlign w:val="center"/>
          </w:tcPr>
          <w:p w14:paraId="2591AC73">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lang w:bidi="ar"/>
              </w:rPr>
              <w:t>1个</w:t>
            </w:r>
          </w:p>
        </w:tc>
        <w:tc>
          <w:tcPr>
            <w:tcW w:w="1026" w:type="dxa"/>
            <w:tcBorders>
              <w:top w:val="single" w:color="000000" w:sz="4" w:space="0"/>
              <w:left w:val="single" w:color="000000" w:sz="4" w:space="0"/>
              <w:bottom w:val="single" w:color="000000" w:sz="4" w:space="0"/>
              <w:right w:val="single" w:color="000000" w:sz="4" w:space="0"/>
            </w:tcBorders>
            <w:vAlign w:val="center"/>
          </w:tcPr>
          <w:p w14:paraId="60917EC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B4D598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C79B55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42FE0C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109</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5BCF991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显示设备功能</w:t>
            </w:r>
          </w:p>
        </w:tc>
        <w:tc>
          <w:tcPr>
            <w:tcW w:w="1383" w:type="dxa"/>
            <w:tcBorders>
              <w:top w:val="single" w:color="000000" w:sz="4" w:space="0"/>
              <w:left w:val="single" w:color="000000" w:sz="4" w:space="0"/>
              <w:bottom w:val="single" w:color="000000" w:sz="4" w:space="0"/>
              <w:right w:val="nil"/>
            </w:tcBorders>
            <w:vAlign w:val="center"/>
          </w:tcPr>
          <w:p w14:paraId="463032C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显示器接口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421839E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至少包含VGA、HDM、DVI其中两种接口，显示器应与显卡外显示接口匹配</w:t>
            </w:r>
          </w:p>
        </w:tc>
        <w:tc>
          <w:tcPr>
            <w:tcW w:w="1026" w:type="dxa"/>
            <w:tcBorders>
              <w:top w:val="single" w:color="000000" w:sz="4" w:space="0"/>
              <w:left w:val="single" w:color="000000" w:sz="4" w:space="0"/>
              <w:bottom w:val="single" w:color="000000" w:sz="4" w:space="0"/>
              <w:right w:val="single" w:color="000000" w:sz="4" w:space="0"/>
            </w:tcBorders>
            <w:vAlign w:val="center"/>
          </w:tcPr>
          <w:p w14:paraId="367255A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530B80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170C37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E08BA1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FD83E8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5E48F8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显示器支架</w:t>
            </w:r>
          </w:p>
        </w:tc>
        <w:tc>
          <w:tcPr>
            <w:tcW w:w="3216" w:type="dxa"/>
            <w:tcBorders>
              <w:top w:val="single" w:color="000000" w:sz="4" w:space="0"/>
              <w:left w:val="single" w:color="000000" w:sz="4" w:space="0"/>
              <w:bottom w:val="single" w:color="000000" w:sz="4" w:space="0"/>
              <w:right w:val="single" w:color="000000" w:sz="4" w:space="0"/>
            </w:tcBorders>
            <w:vAlign w:val="center"/>
          </w:tcPr>
          <w:p w14:paraId="1C62DB8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显示器应提供显示器支架，支持屏幕俯仰、VESA壁挂</w:t>
            </w:r>
          </w:p>
        </w:tc>
        <w:tc>
          <w:tcPr>
            <w:tcW w:w="1026" w:type="dxa"/>
            <w:tcBorders>
              <w:top w:val="single" w:color="000000" w:sz="4" w:space="0"/>
              <w:left w:val="single" w:color="000000" w:sz="4" w:space="0"/>
              <w:bottom w:val="single" w:color="000000" w:sz="4" w:space="0"/>
              <w:right w:val="single" w:color="000000" w:sz="4" w:space="0"/>
            </w:tcBorders>
            <w:vAlign w:val="center"/>
          </w:tcPr>
          <w:p w14:paraId="178C8756">
            <w:pPr>
              <w:keepNext/>
              <w:jc w:val="center"/>
              <w:textAlignment w:val="center"/>
              <w:rPr>
                <w:rFonts w:hint="eastAsia" w:cs="仿宋_GB2312" w:asciiTheme="majorEastAsia" w:hAnsiTheme="majorEastAsia" w:eastAsiaTheme="majorEastAsia"/>
                <w:color w:val="auto"/>
                <w:highlight w:val="none"/>
                <w:lang w:eastAsia="zh-CN" w:bidi="ar"/>
              </w:rPr>
            </w:pPr>
          </w:p>
        </w:tc>
      </w:tr>
      <w:tr w14:paraId="03B2E4B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9117AF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EA7A1C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FF5809F">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854120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显示器参数调节</w:t>
            </w:r>
          </w:p>
        </w:tc>
        <w:tc>
          <w:tcPr>
            <w:tcW w:w="3216" w:type="dxa"/>
            <w:tcBorders>
              <w:top w:val="single" w:color="000000" w:sz="4" w:space="0"/>
              <w:left w:val="single" w:color="000000" w:sz="4" w:space="0"/>
              <w:bottom w:val="single" w:color="000000" w:sz="4" w:space="0"/>
              <w:right w:val="single" w:color="000000" w:sz="4" w:space="0"/>
            </w:tcBorders>
            <w:vAlign w:val="center"/>
          </w:tcPr>
          <w:p w14:paraId="4C446E3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提供OSD选单按钮用于调节色彩、模式等；支持色温、亮度、对比度调节</w:t>
            </w:r>
          </w:p>
        </w:tc>
        <w:tc>
          <w:tcPr>
            <w:tcW w:w="1026" w:type="dxa"/>
            <w:tcBorders>
              <w:top w:val="single" w:color="000000" w:sz="4" w:space="0"/>
              <w:left w:val="single" w:color="000000" w:sz="4" w:space="0"/>
              <w:bottom w:val="single" w:color="000000" w:sz="4" w:space="0"/>
              <w:right w:val="single" w:color="000000" w:sz="4" w:space="0"/>
            </w:tcBorders>
            <w:vAlign w:val="center"/>
          </w:tcPr>
          <w:p w14:paraId="7844D52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81568D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0FDBB9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111772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3614E5F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外设功能</w:t>
            </w:r>
          </w:p>
        </w:tc>
        <w:tc>
          <w:tcPr>
            <w:tcW w:w="1383" w:type="dxa"/>
            <w:tcBorders>
              <w:top w:val="single" w:color="000000" w:sz="4" w:space="0"/>
              <w:left w:val="single" w:color="000000" w:sz="4" w:space="0"/>
              <w:bottom w:val="single" w:color="000000" w:sz="4" w:space="0"/>
              <w:right w:val="nil"/>
            </w:tcBorders>
            <w:vAlign w:val="center"/>
          </w:tcPr>
          <w:p w14:paraId="5AC70F0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摄像头物理隐私保护开关</w:t>
            </w:r>
          </w:p>
        </w:tc>
        <w:tc>
          <w:tcPr>
            <w:tcW w:w="3216" w:type="dxa"/>
            <w:tcBorders>
              <w:top w:val="single" w:color="000000" w:sz="4" w:space="0"/>
              <w:left w:val="single" w:color="000000" w:sz="4" w:space="0"/>
              <w:bottom w:val="single" w:color="000000" w:sz="4" w:space="0"/>
              <w:right w:val="single" w:color="000000" w:sz="4" w:space="0"/>
            </w:tcBorders>
            <w:vAlign w:val="center"/>
          </w:tcPr>
          <w:p w14:paraId="219977D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179707D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CACB72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86341B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62DBF16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AC7D40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F1EF14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传声器降噪</w:t>
            </w:r>
          </w:p>
        </w:tc>
        <w:tc>
          <w:tcPr>
            <w:tcW w:w="3216" w:type="dxa"/>
            <w:tcBorders>
              <w:top w:val="single" w:color="000000" w:sz="4" w:space="0"/>
              <w:left w:val="single" w:color="000000" w:sz="4" w:space="0"/>
              <w:bottom w:val="single" w:color="000000" w:sz="4" w:space="0"/>
              <w:right w:val="single" w:color="000000" w:sz="4" w:space="0"/>
            </w:tcBorders>
            <w:vAlign w:val="center"/>
          </w:tcPr>
          <w:p w14:paraId="711C1D7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EA3602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14F6CBD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8FBE841">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0309D43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B1F0A37">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0D7975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键盘背光</w:t>
            </w:r>
          </w:p>
        </w:tc>
        <w:tc>
          <w:tcPr>
            <w:tcW w:w="3216" w:type="dxa"/>
            <w:tcBorders>
              <w:top w:val="single" w:color="000000" w:sz="4" w:space="0"/>
              <w:left w:val="single" w:color="000000" w:sz="4" w:space="0"/>
              <w:bottom w:val="single" w:color="000000" w:sz="4" w:space="0"/>
              <w:right w:val="single" w:color="000000" w:sz="4" w:space="0"/>
            </w:tcBorders>
            <w:vAlign w:val="center"/>
          </w:tcPr>
          <w:p w14:paraId="49D6517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3DFFAF5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4BC988F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AF7B1A7">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6B6741B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351C2F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2B1F06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光驱功能</w:t>
            </w:r>
          </w:p>
        </w:tc>
        <w:tc>
          <w:tcPr>
            <w:tcW w:w="3216" w:type="dxa"/>
            <w:tcBorders>
              <w:top w:val="single" w:color="000000" w:sz="4" w:space="0"/>
              <w:left w:val="single" w:color="000000" w:sz="4" w:space="0"/>
              <w:bottom w:val="single" w:color="000000" w:sz="4" w:space="0"/>
              <w:right w:val="single" w:color="000000" w:sz="4" w:space="0"/>
            </w:tcBorders>
            <w:vAlign w:val="center"/>
          </w:tcPr>
          <w:p w14:paraId="1F6145F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1C5C95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4C05692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D9913E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49E1F8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116</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012D1D6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存储功能</w:t>
            </w:r>
          </w:p>
        </w:tc>
        <w:tc>
          <w:tcPr>
            <w:tcW w:w="1383" w:type="dxa"/>
            <w:tcBorders>
              <w:top w:val="single" w:color="000000" w:sz="4" w:space="0"/>
              <w:left w:val="single" w:color="000000" w:sz="4" w:space="0"/>
              <w:bottom w:val="single" w:color="000000" w:sz="4" w:space="0"/>
              <w:right w:val="nil"/>
            </w:tcBorders>
            <w:vAlign w:val="center"/>
          </w:tcPr>
          <w:p w14:paraId="3ACD75D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存储功能</w:t>
            </w:r>
          </w:p>
        </w:tc>
        <w:tc>
          <w:tcPr>
            <w:tcW w:w="3216" w:type="dxa"/>
            <w:tcBorders>
              <w:top w:val="single" w:color="000000" w:sz="4" w:space="0"/>
              <w:left w:val="single" w:color="000000" w:sz="4" w:space="0"/>
              <w:bottom w:val="single" w:color="000000" w:sz="4" w:space="0"/>
              <w:right w:val="single" w:color="000000" w:sz="4" w:space="0"/>
            </w:tcBorders>
            <w:vAlign w:val="center"/>
          </w:tcPr>
          <w:p w14:paraId="772FBF1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通过</w:t>
            </w:r>
            <w:r>
              <w:rPr>
                <w:rFonts w:cs="仿宋_GB2312" w:asciiTheme="majorEastAsia" w:hAnsiTheme="majorEastAsia" w:eastAsiaTheme="majorEastAsia"/>
                <w:color w:val="auto"/>
                <w:highlight w:val="none"/>
                <w:lang w:eastAsia="zh-CN" w:bidi="ar"/>
              </w:rPr>
              <w:t xml:space="preserve"> SATA </w:t>
            </w:r>
            <w:r>
              <w:rPr>
                <w:rFonts w:hint="eastAsia" w:cs="仿宋_GB2312" w:asciiTheme="majorEastAsia" w:hAnsiTheme="majorEastAsia" w:eastAsiaTheme="majorEastAsia"/>
                <w:color w:val="auto"/>
                <w:highlight w:val="none"/>
                <w:lang w:eastAsia="zh-CN" w:bidi="ar"/>
              </w:rPr>
              <w:t>固态存储</w:t>
            </w:r>
            <w:r>
              <w:rPr>
                <w:rFonts w:cs="仿宋_GB2312" w:asciiTheme="majorEastAsia" w:hAnsiTheme="majorEastAsia" w:eastAsiaTheme="majorEastAsia"/>
                <w:color w:val="auto"/>
                <w:highlight w:val="none"/>
                <w:lang w:eastAsia="zh-CN" w:bidi="ar"/>
              </w:rPr>
              <w:t xml:space="preserve">/PCIe </w:t>
            </w:r>
            <w:r>
              <w:rPr>
                <w:rFonts w:hint="eastAsia" w:cs="仿宋_GB2312" w:asciiTheme="majorEastAsia" w:hAnsiTheme="majorEastAsia" w:eastAsiaTheme="majorEastAsia"/>
                <w:color w:val="auto"/>
                <w:highlight w:val="none"/>
                <w:lang w:eastAsia="zh-CN" w:bidi="ar"/>
              </w:rPr>
              <w:t>固态存储</w:t>
            </w:r>
            <w:r>
              <w:rPr>
                <w:rFonts w:cs="仿宋_GB2312" w:asciiTheme="majorEastAsia" w:hAnsiTheme="majorEastAsia" w:eastAsiaTheme="majorEastAsia"/>
                <w:color w:val="auto"/>
                <w:highlight w:val="none"/>
                <w:lang w:eastAsia="zh-CN" w:bidi="ar"/>
              </w:rPr>
              <w:t xml:space="preserve">/UFS </w:t>
            </w:r>
            <w:r>
              <w:rPr>
                <w:rFonts w:hint="eastAsia" w:cs="仿宋_GB2312" w:asciiTheme="majorEastAsia" w:hAnsiTheme="majorEastAsia" w:eastAsiaTheme="majorEastAsia"/>
                <w:color w:val="auto"/>
                <w:highlight w:val="none"/>
                <w:lang w:eastAsia="zh-CN" w:bidi="ar"/>
              </w:rPr>
              <w:t>固态存储</w:t>
            </w:r>
            <w:r>
              <w:rPr>
                <w:rFonts w:cs="仿宋_GB2312" w:asciiTheme="majorEastAsia" w:hAnsiTheme="majorEastAsia" w:eastAsiaTheme="majorEastAsia"/>
                <w:color w:val="auto"/>
                <w:highlight w:val="none"/>
                <w:lang w:eastAsia="zh-CN" w:bidi="ar"/>
              </w:rPr>
              <w:t xml:space="preserve">/SATA </w:t>
            </w:r>
            <w:r>
              <w:rPr>
                <w:rFonts w:hint="eastAsia" w:cs="仿宋_GB2312" w:asciiTheme="majorEastAsia" w:hAnsiTheme="majorEastAsia" w:eastAsiaTheme="majorEastAsia"/>
                <w:color w:val="auto"/>
                <w:highlight w:val="none"/>
                <w:lang w:eastAsia="zh-CN" w:bidi="ar"/>
              </w:rPr>
              <w:t>硬磁盘等存储部件提供存储功能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7DC364F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62D417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6A05FD4">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1890D4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1CE23C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C4010E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内置控制器固态存储加密</w:t>
            </w:r>
          </w:p>
        </w:tc>
        <w:tc>
          <w:tcPr>
            <w:tcW w:w="3216" w:type="dxa"/>
            <w:tcBorders>
              <w:top w:val="single" w:color="000000" w:sz="4" w:space="0"/>
              <w:left w:val="single" w:color="000000" w:sz="4" w:space="0"/>
              <w:bottom w:val="single" w:color="000000" w:sz="4" w:space="0"/>
              <w:right w:val="single" w:color="000000" w:sz="4" w:space="0"/>
            </w:tcBorders>
            <w:vAlign w:val="center"/>
          </w:tcPr>
          <w:p w14:paraId="30D4D51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000B50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6F2C1B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135DC3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A4EA76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118</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767866C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网络设备功能</w:t>
            </w:r>
          </w:p>
        </w:tc>
        <w:tc>
          <w:tcPr>
            <w:tcW w:w="1383" w:type="dxa"/>
            <w:tcBorders>
              <w:top w:val="single" w:color="000000" w:sz="4" w:space="0"/>
              <w:left w:val="single" w:color="000000" w:sz="4" w:space="0"/>
              <w:bottom w:val="single" w:color="000000" w:sz="4" w:space="0"/>
              <w:right w:val="nil"/>
            </w:tcBorders>
            <w:vAlign w:val="center"/>
          </w:tcPr>
          <w:p w14:paraId="040C4DD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网络功能</w:t>
            </w:r>
          </w:p>
        </w:tc>
        <w:tc>
          <w:tcPr>
            <w:tcW w:w="3216" w:type="dxa"/>
            <w:tcBorders>
              <w:top w:val="single" w:color="000000" w:sz="4" w:space="0"/>
              <w:left w:val="single" w:color="000000" w:sz="4" w:space="0"/>
              <w:bottom w:val="single" w:color="000000" w:sz="4" w:space="0"/>
              <w:right w:val="single" w:color="000000" w:sz="4" w:space="0"/>
            </w:tcBorders>
            <w:vAlign w:val="center"/>
          </w:tcPr>
          <w:p w14:paraId="67121D4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支持网络连接、网络开启/关闭功能；支持访问网络和数据交换功能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3CF9D1C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15EC8D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9FDBF27">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69B0DD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119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56DCBD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030CFF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无线网卡频段</w:t>
            </w:r>
          </w:p>
        </w:tc>
        <w:tc>
          <w:tcPr>
            <w:tcW w:w="3216" w:type="dxa"/>
            <w:tcBorders>
              <w:top w:val="single" w:color="000000" w:sz="4" w:space="0"/>
              <w:left w:val="single" w:color="000000" w:sz="4" w:space="0"/>
              <w:bottom w:val="single" w:color="000000" w:sz="4" w:space="0"/>
              <w:right w:val="single" w:color="000000" w:sz="4" w:space="0"/>
            </w:tcBorders>
            <w:vAlign w:val="center"/>
          </w:tcPr>
          <w:p w14:paraId="5BA6212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F537FE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4169793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C4BA69C">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D43ABF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8287E18">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47A191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物理开关</w:t>
            </w:r>
          </w:p>
        </w:tc>
        <w:tc>
          <w:tcPr>
            <w:tcW w:w="3216" w:type="dxa"/>
            <w:tcBorders>
              <w:top w:val="single" w:color="000000" w:sz="4" w:space="0"/>
              <w:left w:val="single" w:color="000000" w:sz="4" w:space="0"/>
              <w:bottom w:val="single" w:color="000000" w:sz="4" w:space="0"/>
              <w:right w:val="single" w:color="000000" w:sz="4" w:space="0"/>
            </w:tcBorders>
            <w:vAlign w:val="center"/>
          </w:tcPr>
          <w:p w14:paraId="4B214DF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7B7CE1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6790AC3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65CAD7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C7790B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1F67D58">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8333E6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数据传输</w:t>
            </w:r>
          </w:p>
        </w:tc>
        <w:tc>
          <w:tcPr>
            <w:tcW w:w="3216" w:type="dxa"/>
            <w:tcBorders>
              <w:top w:val="single" w:color="000000" w:sz="4" w:space="0"/>
              <w:left w:val="single" w:color="000000" w:sz="4" w:space="0"/>
              <w:bottom w:val="single" w:color="000000" w:sz="4" w:space="0"/>
              <w:right w:val="single" w:color="000000" w:sz="4" w:space="0"/>
            </w:tcBorders>
            <w:vAlign w:val="center"/>
          </w:tcPr>
          <w:p w14:paraId="10EEFB4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支持数据传输能力，并提供数据流量和异常日志记录功能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3B2A79D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51FBBA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42B4033">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A4AC14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0E608C7">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3EB8C7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蓝牙协议</w:t>
            </w:r>
          </w:p>
        </w:tc>
        <w:tc>
          <w:tcPr>
            <w:tcW w:w="3216" w:type="dxa"/>
            <w:tcBorders>
              <w:top w:val="single" w:color="000000" w:sz="4" w:space="0"/>
              <w:left w:val="single" w:color="000000" w:sz="4" w:space="0"/>
              <w:bottom w:val="single" w:color="000000" w:sz="4" w:space="0"/>
              <w:right w:val="single" w:color="000000" w:sz="4" w:space="0"/>
            </w:tcBorders>
            <w:vAlign w:val="center"/>
          </w:tcPr>
          <w:p w14:paraId="6E797B3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578C4B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B4D406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D6EFCB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5E0D1E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CE1E017">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05EA34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有线网卡接口类型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79AABB3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支持RJ45接口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25DD713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729945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DAC2E5F">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17BB78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23C4E5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E9573E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无线网卡标准</w:t>
            </w:r>
          </w:p>
        </w:tc>
        <w:tc>
          <w:tcPr>
            <w:tcW w:w="3216" w:type="dxa"/>
            <w:tcBorders>
              <w:top w:val="single" w:color="000000" w:sz="4" w:space="0"/>
              <w:left w:val="single" w:color="000000" w:sz="4" w:space="0"/>
              <w:bottom w:val="single" w:color="000000" w:sz="4" w:space="0"/>
              <w:right w:val="single" w:color="000000" w:sz="4" w:space="0"/>
            </w:tcBorders>
            <w:vAlign w:val="center"/>
          </w:tcPr>
          <w:p w14:paraId="568D70F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B34799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74BE77B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12C721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121EE3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DBD8D1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BDAEA8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网络设备拆装</w:t>
            </w:r>
          </w:p>
        </w:tc>
        <w:tc>
          <w:tcPr>
            <w:tcW w:w="3216" w:type="dxa"/>
            <w:tcBorders>
              <w:top w:val="single" w:color="000000" w:sz="4" w:space="0"/>
              <w:left w:val="single" w:color="000000" w:sz="4" w:space="0"/>
              <w:bottom w:val="single" w:color="000000" w:sz="4" w:space="0"/>
              <w:right w:val="single" w:color="000000" w:sz="4" w:space="0"/>
            </w:tcBorders>
            <w:vAlign w:val="center"/>
          </w:tcPr>
          <w:p w14:paraId="0862F1F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网络设备支持物理拆装</w:t>
            </w:r>
          </w:p>
        </w:tc>
        <w:tc>
          <w:tcPr>
            <w:tcW w:w="1026" w:type="dxa"/>
            <w:tcBorders>
              <w:top w:val="single" w:color="000000" w:sz="4" w:space="0"/>
              <w:left w:val="single" w:color="000000" w:sz="4" w:space="0"/>
              <w:bottom w:val="single" w:color="000000" w:sz="4" w:space="0"/>
              <w:right w:val="single" w:color="000000" w:sz="4" w:space="0"/>
            </w:tcBorders>
            <w:vAlign w:val="center"/>
          </w:tcPr>
          <w:p w14:paraId="56EA474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8F6B5A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A03956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68755E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126</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10F65AD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外部接口功能</w:t>
            </w:r>
          </w:p>
        </w:tc>
        <w:tc>
          <w:tcPr>
            <w:tcW w:w="1383" w:type="dxa"/>
            <w:tcBorders>
              <w:top w:val="single" w:color="000000" w:sz="4" w:space="0"/>
              <w:left w:val="single" w:color="000000" w:sz="4" w:space="0"/>
              <w:bottom w:val="single" w:color="000000" w:sz="4" w:space="0"/>
              <w:right w:val="nil"/>
            </w:tcBorders>
            <w:vAlign w:val="center"/>
          </w:tcPr>
          <w:p w14:paraId="5607326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音频接口类型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6D26A7BC">
            <w:pPr>
              <w:keepNext/>
              <w:rPr>
                <w:rFonts w:hint="eastAsia" w:cs="宋体" w:asciiTheme="majorEastAsia" w:hAnsiTheme="majorEastAsia" w:eastAsiaTheme="majorEastAsia"/>
                <w:color w:val="auto"/>
                <w:highlight w:val="none"/>
                <w:lang w:eastAsia="zh-CN"/>
              </w:rPr>
            </w:pPr>
            <w:r>
              <w:rPr>
                <w:rFonts w:hint="eastAsia" w:cs="宋体" w:asciiTheme="majorEastAsia" w:hAnsiTheme="majorEastAsia" w:eastAsiaTheme="majorEastAsia"/>
                <w:color w:val="auto"/>
                <w:highlight w:val="none"/>
                <w:lang w:eastAsia="zh-CN"/>
              </w:rPr>
              <w:t>支持</w:t>
            </w:r>
            <w:r>
              <w:rPr>
                <w:rFonts w:hint="eastAsia" w:asciiTheme="majorEastAsia" w:hAnsiTheme="majorEastAsia" w:eastAsiaTheme="majorEastAsia"/>
                <w:color w:val="auto"/>
                <w:highlight w:val="none"/>
                <w:lang w:eastAsia="zh-CN"/>
              </w:rPr>
              <w:t xml:space="preserve"> 3.5mm </w:t>
            </w:r>
            <w:r>
              <w:rPr>
                <w:rFonts w:hint="eastAsia" w:cs="宋体" w:asciiTheme="majorEastAsia" w:hAnsiTheme="majorEastAsia" w:eastAsiaTheme="majorEastAsia"/>
                <w:color w:val="auto"/>
                <w:highlight w:val="none"/>
                <w:lang w:eastAsia="zh-CN"/>
              </w:rPr>
              <w:t>孔径</w:t>
            </w:r>
            <w:r>
              <w:rPr>
                <w:rFonts w:hint="eastAsia" w:asciiTheme="majorEastAsia" w:hAnsiTheme="majorEastAsia" w:eastAsiaTheme="majorEastAsia"/>
                <w:color w:val="auto"/>
                <w:highlight w:val="none"/>
                <w:lang w:eastAsia="zh-CN"/>
              </w:rPr>
              <w:t xml:space="preserve"> 3 </w:t>
            </w:r>
            <w:r>
              <w:rPr>
                <w:rFonts w:hint="eastAsia" w:cs="宋体" w:asciiTheme="majorEastAsia" w:hAnsiTheme="majorEastAsia" w:eastAsiaTheme="majorEastAsia"/>
                <w:color w:val="auto"/>
                <w:highlight w:val="none"/>
                <w:lang w:eastAsia="zh-CN"/>
              </w:rPr>
              <w:t>段式或</w:t>
            </w:r>
            <w:r>
              <w:rPr>
                <w:rFonts w:hint="eastAsia" w:asciiTheme="majorEastAsia" w:hAnsiTheme="majorEastAsia" w:eastAsiaTheme="majorEastAsia"/>
                <w:color w:val="auto"/>
                <w:highlight w:val="none"/>
                <w:lang w:eastAsia="zh-CN"/>
              </w:rPr>
              <w:t xml:space="preserve"> 4 </w:t>
            </w:r>
            <w:r>
              <w:rPr>
                <w:rFonts w:hint="eastAsia" w:cs="宋体" w:asciiTheme="majorEastAsia" w:hAnsiTheme="majorEastAsia" w:eastAsiaTheme="majorEastAsia"/>
                <w:color w:val="auto"/>
                <w:highlight w:val="none"/>
                <w:lang w:eastAsia="zh-CN"/>
              </w:rPr>
              <w:t>段式接口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7EFDC83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1209A3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BA2BE9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D77D18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8ACD90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A0E4D2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视频接口类型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01B30E8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至少支持 VGA、HDMI两种显示接口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4D4091A7">
            <w:pPr>
              <w:keepNext/>
              <w:jc w:val="center"/>
              <w:textAlignment w:val="center"/>
              <w:rPr>
                <w:rFonts w:hint="eastAsia" w:cs="仿宋_GB2312" w:asciiTheme="majorEastAsia" w:hAnsiTheme="majorEastAsia" w:eastAsiaTheme="majorEastAsia"/>
                <w:color w:val="auto"/>
                <w:highlight w:val="none"/>
                <w:lang w:eastAsia="zh-CN" w:bidi="ar"/>
              </w:rPr>
            </w:pPr>
          </w:p>
        </w:tc>
      </w:tr>
      <w:tr w14:paraId="42922B6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ACA46E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D0F6BA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3A1CE0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16A56C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HDMI、DP、Type-C 显示接口要求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479122B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提供 HDMI作为显示接口，支持音频和视频同步输出</w:t>
            </w:r>
          </w:p>
        </w:tc>
        <w:tc>
          <w:tcPr>
            <w:tcW w:w="1026" w:type="dxa"/>
            <w:tcBorders>
              <w:top w:val="single" w:color="000000" w:sz="4" w:space="0"/>
              <w:left w:val="single" w:color="000000" w:sz="4" w:space="0"/>
              <w:bottom w:val="single" w:color="000000" w:sz="4" w:space="0"/>
              <w:right w:val="single" w:color="000000" w:sz="4" w:space="0"/>
            </w:tcBorders>
            <w:vAlign w:val="center"/>
          </w:tcPr>
          <w:p w14:paraId="25EE507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799B82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C986C34">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E7BF9E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129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52F0C3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8F4E9E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其他接口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56BE453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C724A5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D7EE02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F3A88E2">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3A2225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E0C2E1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450CA9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存储卡接口类型</w:t>
            </w:r>
          </w:p>
        </w:tc>
        <w:tc>
          <w:tcPr>
            <w:tcW w:w="3216" w:type="dxa"/>
            <w:tcBorders>
              <w:top w:val="single" w:color="000000" w:sz="4" w:space="0"/>
              <w:left w:val="single" w:color="000000" w:sz="4" w:space="0"/>
              <w:bottom w:val="single" w:color="000000" w:sz="4" w:space="0"/>
              <w:right w:val="single" w:color="000000" w:sz="4" w:space="0"/>
            </w:tcBorders>
            <w:vAlign w:val="center"/>
          </w:tcPr>
          <w:p w14:paraId="6A7929C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545454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720BCC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768FBB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18DC8B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131</w:t>
            </w:r>
          </w:p>
        </w:tc>
        <w:tc>
          <w:tcPr>
            <w:tcW w:w="1716" w:type="dxa"/>
            <w:tcBorders>
              <w:top w:val="single" w:color="000000" w:sz="4" w:space="0"/>
              <w:left w:val="single" w:color="000000" w:sz="4" w:space="0"/>
              <w:bottom w:val="single" w:color="000000" w:sz="4" w:space="0"/>
              <w:right w:val="single" w:color="000000" w:sz="4" w:space="0"/>
            </w:tcBorders>
            <w:vAlign w:val="center"/>
          </w:tcPr>
          <w:p w14:paraId="6759EC8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电源功能</w:t>
            </w:r>
          </w:p>
        </w:tc>
        <w:tc>
          <w:tcPr>
            <w:tcW w:w="1383" w:type="dxa"/>
            <w:tcBorders>
              <w:top w:val="single" w:color="000000" w:sz="4" w:space="0"/>
              <w:left w:val="single" w:color="000000" w:sz="4" w:space="0"/>
              <w:bottom w:val="single" w:color="000000" w:sz="4" w:space="0"/>
              <w:right w:val="nil"/>
            </w:tcBorders>
            <w:vAlign w:val="center"/>
          </w:tcPr>
          <w:p w14:paraId="7FD394A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电源线适配能力</w:t>
            </w:r>
          </w:p>
        </w:tc>
        <w:tc>
          <w:tcPr>
            <w:tcW w:w="3216" w:type="dxa"/>
            <w:tcBorders>
              <w:top w:val="single" w:color="000000" w:sz="4" w:space="0"/>
              <w:left w:val="single" w:color="000000" w:sz="4" w:space="0"/>
              <w:bottom w:val="single" w:color="000000" w:sz="4" w:space="0"/>
              <w:right w:val="single" w:color="000000" w:sz="4" w:space="0"/>
            </w:tcBorders>
            <w:vAlign w:val="center"/>
          </w:tcPr>
          <w:p w14:paraId="72FA27C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≥180W节能电源，电线组件应符合GB/T 15934的要求，可拆线的插头和连接器</w:t>
            </w:r>
          </w:p>
        </w:tc>
        <w:tc>
          <w:tcPr>
            <w:tcW w:w="1026" w:type="dxa"/>
            <w:tcBorders>
              <w:top w:val="single" w:color="000000" w:sz="4" w:space="0"/>
              <w:left w:val="single" w:color="000000" w:sz="4" w:space="0"/>
              <w:bottom w:val="single" w:color="000000" w:sz="4" w:space="0"/>
              <w:right w:val="single" w:color="000000" w:sz="4" w:space="0"/>
            </w:tcBorders>
            <w:vAlign w:val="center"/>
          </w:tcPr>
          <w:p w14:paraId="01D3D86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F25894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DF8142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12B4EC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6579095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操作系统及软件功能</w:t>
            </w:r>
          </w:p>
        </w:tc>
        <w:tc>
          <w:tcPr>
            <w:tcW w:w="1383" w:type="dxa"/>
            <w:tcBorders>
              <w:top w:val="single" w:color="000000" w:sz="4" w:space="0"/>
              <w:left w:val="single" w:color="000000" w:sz="4" w:space="0"/>
              <w:bottom w:val="single" w:color="000000" w:sz="4" w:space="0"/>
              <w:right w:val="nil"/>
            </w:tcBorders>
            <w:vAlign w:val="center"/>
          </w:tcPr>
          <w:p w14:paraId="6F69516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中文信息处理要求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36640E9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 18030 的相关规定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378FB52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BF1877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E0F9EF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8532CF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9F1170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10C9DA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操作系统备份及还原功能</w:t>
            </w:r>
          </w:p>
        </w:tc>
        <w:tc>
          <w:tcPr>
            <w:tcW w:w="3216" w:type="dxa"/>
            <w:tcBorders>
              <w:top w:val="single" w:color="000000" w:sz="4" w:space="0"/>
              <w:left w:val="single" w:color="000000" w:sz="4" w:space="0"/>
              <w:bottom w:val="single" w:color="000000" w:sz="4" w:space="0"/>
              <w:right w:val="single" w:color="000000" w:sz="4" w:space="0"/>
            </w:tcBorders>
            <w:vAlign w:val="center"/>
          </w:tcPr>
          <w:p w14:paraId="3C0958D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支持操作系统备份及还原功能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4DA271B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A264331">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BE6E87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470664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711B91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DF5AF3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固件备份还原能力</w:t>
            </w:r>
          </w:p>
        </w:tc>
        <w:tc>
          <w:tcPr>
            <w:tcW w:w="3216" w:type="dxa"/>
            <w:tcBorders>
              <w:top w:val="single" w:color="000000" w:sz="4" w:space="0"/>
              <w:left w:val="single" w:color="000000" w:sz="4" w:space="0"/>
              <w:bottom w:val="single" w:color="000000" w:sz="4" w:space="0"/>
              <w:right w:val="single" w:color="000000" w:sz="4" w:space="0"/>
            </w:tcBorders>
            <w:vAlign w:val="center"/>
          </w:tcPr>
          <w:p w14:paraId="5550D74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支持备份及还原固件的功能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195FC57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086EC2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8EC58A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E13200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EC02FC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DF544C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操作系统及驱动升级</w:t>
            </w:r>
          </w:p>
        </w:tc>
        <w:tc>
          <w:tcPr>
            <w:tcW w:w="3216" w:type="dxa"/>
            <w:tcBorders>
              <w:top w:val="single" w:color="000000" w:sz="4" w:space="0"/>
              <w:left w:val="single" w:color="000000" w:sz="4" w:space="0"/>
              <w:bottom w:val="single" w:color="000000" w:sz="4" w:space="0"/>
              <w:right w:val="single" w:color="000000" w:sz="4" w:space="0"/>
            </w:tcBorders>
            <w:vAlign w:val="center"/>
          </w:tcPr>
          <w:p w14:paraId="155C403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支持通过网络、闪存盘等方式对操作系统、驱动进行升级</w:t>
            </w:r>
          </w:p>
        </w:tc>
        <w:tc>
          <w:tcPr>
            <w:tcW w:w="1026" w:type="dxa"/>
            <w:tcBorders>
              <w:top w:val="single" w:color="000000" w:sz="4" w:space="0"/>
              <w:left w:val="single" w:color="000000" w:sz="4" w:space="0"/>
              <w:bottom w:val="single" w:color="000000" w:sz="4" w:space="0"/>
              <w:right w:val="single" w:color="000000" w:sz="4" w:space="0"/>
            </w:tcBorders>
            <w:vAlign w:val="center"/>
          </w:tcPr>
          <w:p w14:paraId="0F18411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4C79CA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31E35E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906154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96A965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91649C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固件升级</w:t>
            </w:r>
          </w:p>
        </w:tc>
        <w:tc>
          <w:tcPr>
            <w:tcW w:w="3216" w:type="dxa"/>
            <w:tcBorders>
              <w:top w:val="single" w:color="000000" w:sz="4" w:space="0"/>
              <w:left w:val="single" w:color="000000" w:sz="4" w:space="0"/>
              <w:bottom w:val="single" w:color="000000" w:sz="4" w:space="0"/>
              <w:right w:val="single" w:color="000000" w:sz="4" w:space="0"/>
            </w:tcBorders>
            <w:vAlign w:val="center"/>
          </w:tcPr>
          <w:p w14:paraId="3718CD0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支持通过网络、闪存盘等方式对固件进行升级</w:t>
            </w:r>
          </w:p>
        </w:tc>
        <w:tc>
          <w:tcPr>
            <w:tcW w:w="1026" w:type="dxa"/>
            <w:tcBorders>
              <w:top w:val="single" w:color="000000" w:sz="4" w:space="0"/>
              <w:left w:val="single" w:color="000000" w:sz="4" w:space="0"/>
              <w:bottom w:val="single" w:color="000000" w:sz="4" w:space="0"/>
              <w:right w:val="single" w:color="000000" w:sz="4" w:space="0"/>
            </w:tcBorders>
            <w:vAlign w:val="center"/>
          </w:tcPr>
          <w:p w14:paraId="4D7E63C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61B3E7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8D1325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C86247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1323E8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F96861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BIOS 支持关闭通讯接口</w:t>
            </w:r>
          </w:p>
        </w:tc>
        <w:tc>
          <w:tcPr>
            <w:tcW w:w="3216" w:type="dxa"/>
            <w:tcBorders>
              <w:top w:val="single" w:color="000000" w:sz="4" w:space="0"/>
              <w:left w:val="single" w:color="000000" w:sz="4" w:space="0"/>
              <w:bottom w:val="single" w:color="000000" w:sz="4" w:space="0"/>
              <w:right w:val="single" w:color="000000" w:sz="4" w:space="0"/>
            </w:tcBorders>
            <w:vAlign w:val="center"/>
          </w:tcPr>
          <w:p w14:paraId="5CA2ABD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w:t>
            </w:r>
            <w:r>
              <w:rPr>
                <w:rFonts w:cs="仿宋_GB2312" w:asciiTheme="majorEastAsia" w:hAnsiTheme="majorEastAsia" w:eastAsiaTheme="majorEastAsia"/>
                <w:color w:val="auto"/>
                <w:highlight w:val="none"/>
                <w:lang w:eastAsia="zh-CN" w:bidi="ar"/>
              </w:rPr>
              <w:t>BIOS</w:t>
            </w:r>
            <w:r>
              <w:rPr>
                <w:rFonts w:hint="eastAsia" w:cs="仿宋_GB2312" w:asciiTheme="majorEastAsia" w:hAnsiTheme="majorEastAsia" w:eastAsiaTheme="majorEastAsia"/>
                <w:color w:val="auto"/>
                <w:highlight w:val="none"/>
                <w:lang w:eastAsia="zh-CN" w:bidi="ar"/>
              </w:rPr>
              <w:t>关闭以太网及</w:t>
            </w:r>
            <w:r>
              <w:rPr>
                <w:rFonts w:cs="仿宋_GB2312" w:asciiTheme="majorEastAsia" w:hAnsiTheme="majorEastAsia" w:eastAsiaTheme="majorEastAsia"/>
                <w:color w:val="auto"/>
                <w:highlight w:val="none"/>
                <w:lang w:eastAsia="zh-CN" w:bidi="ar"/>
              </w:rPr>
              <w:t>USB</w:t>
            </w:r>
            <w:r>
              <w:rPr>
                <w:rFonts w:hint="eastAsia" w:cs="仿宋_GB2312" w:asciiTheme="majorEastAsia" w:hAnsiTheme="majorEastAsia" w:eastAsiaTheme="majorEastAsia"/>
                <w:color w:val="auto"/>
                <w:highlight w:val="none"/>
                <w:lang w:eastAsia="zh-CN" w:bidi="ar"/>
              </w:rPr>
              <w:t>接口</w:t>
            </w:r>
          </w:p>
        </w:tc>
        <w:tc>
          <w:tcPr>
            <w:tcW w:w="1026" w:type="dxa"/>
            <w:tcBorders>
              <w:top w:val="single" w:color="000000" w:sz="4" w:space="0"/>
              <w:left w:val="single" w:color="000000" w:sz="4" w:space="0"/>
              <w:bottom w:val="single" w:color="000000" w:sz="4" w:space="0"/>
              <w:right w:val="single" w:color="000000" w:sz="4" w:space="0"/>
            </w:tcBorders>
            <w:vAlign w:val="center"/>
          </w:tcPr>
          <w:p w14:paraId="67A6691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是</w:t>
            </w:r>
          </w:p>
        </w:tc>
      </w:tr>
      <w:tr w14:paraId="429D3BA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E397A7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E1CB3B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E26ACE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CC3C95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固件查看信息</w:t>
            </w:r>
          </w:p>
        </w:tc>
        <w:tc>
          <w:tcPr>
            <w:tcW w:w="3216" w:type="dxa"/>
            <w:tcBorders>
              <w:top w:val="single" w:color="000000" w:sz="4" w:space="0"/>
              <w:left w:val="single" w:color="000000" w:sz="4" w:space="0"/>
              <w:bottom w:val="single" w:color="000000" w:sz="4" w:space="0"/>
              <w:right w:val="single" w:color="000000" w:sz="4" w:space="0"/>
            </w:tcBorders>
            <w:vAlign w:val="center"/>
          </w:tcPr>
          <w:p w14:paraId="2E10345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支持查看固件版本、内存信息、主板信息、处理器信息和系统时间信息等功能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3EB50C1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70CA1E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505333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38B2A8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139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CEC9EC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C93B7D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固件设置启动顺序</w:t>
            </w:r>
          </w:p>
        </w:tc>
        <w:tc>
          <w:tcPr>
            <w:tcW w:w="3216" w:type="dxa"/>
            <w:tcBorders>
              <w:top w:val="single" w:color="000000" w:sz="4" w:space="0"/>
              <w:left w:val="single" w:color="000000" w:sz="4" w:space="0"/>
              <w:bottom w:val="single" w:color="000000" w:sz="4" w:space="0"/>
              <w:right w:val="single" w:color="000000" w:sz="4" w:space="0"/>
            </w:tcBorders>
            <w:vAlign w:val="center"/>
          </w:tcPr>
          <w:p w14:paraId="0A00AFD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支持设置启动顺序功能，并按照设置的启动顺序启动</w:t>
            </w:r>
          </w:p>
        </w:tc>
        <w:tc>
          <w:tcPr>
            <w:tcW w:w="1026" w:type="dxa"/>
            <w:tcBorders>
              <w:top w:val="single" w:color="000000" w:sz="4" w:space="0"/>
              <w:left w:val="single" w:color="000000" w:sz="4" w:space="0"/>
              <w:bottom w:val="single" w:color="000000" w:sz="4" w:space="0"/>
              <w:right w:val="single" w:color="000000" w:sz="4" w:space="0"/>
            </w:tcBorders>
            <w:vAlign w:val="center"/>
          </w:tcPr>
          <w:p w14:paraId="5767755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6B3E3C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AAD0AD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B84C83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001F38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5E813B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固件设置口令</w:t>
            </w:r>
          </w:p>
        </w:tc>
        <w:tc>
          <w:tcPr>
            <w:tcW w:w="3216" w:type="dxa"/>
            <w:tcBorders>
              <w:top w:val="single" w:color="000000" w:sz="4" w:space="0"/>
              <w:left w:val="single" w:color="000000" w:sz="4" w:space="0"/>
              <w:bottom w:val="single" w:color="000000" w:sz="4" w:space="0"/>
              <w:right w:val="single" w:color="000000" w:sz="4" w:space="0"/>
            </w:tcBorders>
            <w:vAlign w:val="center"/>
          </w:tcPr>
          <w:p w14:paraId="23499B5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支持设置口令、修改口令、验证口令功能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59D8369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E30AF9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E3517D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5E14E5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F86CC9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162F7F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固件设置网络引导</w:t>
            </w:r>
          </w:p>
        </w:tc>
        <w:tc>
          <w:tcPr>
            <w:tcW w:w="3216" w:type="dxa"/>
            <w:tcBorders>
              <w:top w:val="single" w:color="000000" w:sz="4" w:space="0"/>
              <w:left w:val="single" w:color="000000" w:sz="4" w:space="0"/>
              <w:bottom w:val="single" w:color="000000" w:sz="4" w:space="0"/>
              <w:right w:val="single" w:color="000000" w:sz="4" w:space="0"/>
            </w:tcBorders>
            <w:vAlign w:val="center"/>
          </w:tcPr>
          <w:p w14:paraId="0CD0CE4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支持网络引导启动和关闭功能</w:t>
            </w:r>
          </w:p>
        </w:tc>
        <w:tc>
          <w:tcPr>
            <w:tcW w:w="1026" w:type="dxa"/>
            <w:tcBorders>
              <w:top w:val="single" w:color="000000" w:sz="4" w:space="0"/>
              <w:left w:val="single" w:color="000000" w:sz="4" w:space="0"/>
              <w:bottom w:val="single" w:color="000000" w:sz="4" w:space="0"/>
              <w:right w:val="single" w:color="000000" w:sz="4" w:space="0"/>
            </w:tcBorders>
            <w:vAlign w:val="center"/>
          </w:tcPr>
          <w:p w14:paraId="4185343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B64ACD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CCE1C7D">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A27A3F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4DC9987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生物识别功能</w:t>
            </w:r>
          </w:p>
        </w:tc>
        <w:tc>
          <w:tcPr>
            <w:tcW w:w="1383" w:type="dxa"/>
            <w:tcBorders>
              <w:top w:val="single" w:color="000000" w:sz="4" w:space="0"/>
              <w:left w:val="single" w:color="000000" w:sz="4" w:space="0"/>
              <w:bottom w:val="single" w:color="000000" w:sz="4" w:space="0"/>
              <w:right w:val="nil"/>
            </w:tcBorders>
            <w:vAlign w:val="center"/>
          </w:tcPr>
          <w:p w14:paraId="49EBCCE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指纹识别</w:t>
            </w:r>
          </w:p>
        </w:tc>
        <w:tc>
          <w:tcPr>
            <w:tcW w:w="3216" w:type="dxa"/>
            <w:tcBorders>
              <w:top w:val="single" w:color="000000" w:sz="4" w:space="0"/>
              <w:left w:val="single" w:color="000000" w:sz="4" w:space="0"/>
              <w:bottom w:val="single" w:color="000000" w:sz="4" w:space="0"/>
              <w:right w:val="single" w:color="000000" w:sz="4" w:space="0"/>
            </w:tcBorders>
            <w:vAlign w:val="center"/>
          </w:tcPr>
          <w:p w14:paraId="761F829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31E0E2AC">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5569A3F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0476B1B">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EE4AAB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57652B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750716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人脸识别</w:t>
            </w:r>
          </w:p>
        </w:tc>
        <w:tc>
          <w:tcPr>
            <w:tcW w:w="3216" w:type="dxa"/>
            <w:tcBorders>
              <w:top w:val="single" w:color="000000" w:sz="4" w:space="0"/>
              <w:left w:val="single" w:color="000000" w:sz="4" w:space="0"/>
              <w:bottom w:val="single" w:color="000000" w:sz="4" w:space="0"/>
              <w:right w:val="single" w:color="000000" w:sz="4" w:space="0"/>
            </w:tcBorders>
            <w:vAlign w:val="center"/>
          </w:tcPr>
          <w:p w14:paraId="041C43D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B63F98E">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E9A6A6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0C4EDDC">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DE5FFAB">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B8E086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2E63E7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静脉识别</w:t>
            </w:r>
          </w:p>
        </w:tc>
        <w:tc>
          <w:tcPr>
            <w:tcW w:w="3216" w:type="dxa"/>
            <w:tcBorders>
              <w:top w:val="single" w:color="000000" w:sz="4" w:space="0"/>
              <w:left w:val="single" w:color="000000" w:sz="4" w:space="0"/>
              <w:bottom w:val="single" w:color="000000" w:sz="4" w:space="0"/>
              <w:right w:val="single" w:color="000000" w:sz="4" w:space="0"/>
            </w:tcBorders>
            <w:vAlign w:val="center"/>
          </w:tcPr>
          <w:p w14:paraId="15F791F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5A824D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12F838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4F1D061">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7BD411F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145</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11C162B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硬件加速功能</w:t>
            </w:r>
          </w:p>
        </w:tc>
        <w:tc>
          <w:tcPr>
            <w:tcW w:w="1383" w:type="dxa"/>
            <w:tcBorders>
              <w:top w:val="single" w:color="000000" w:sz="4" w:space="0"/>
              <w:left w:val="single" w:color="000000" w:sz="4" w:space="0"/>
              <w:bottom w:val="single" w:color="000000" w:sz="4" w:space="0"/>
              <w:right w:val="nil"/>
            </w:tcBorders>
            <w:vAlign w:val="center"/>
          </w:tcPr>
          <w:p w14:paraId="42F5767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NPU/GPU等AI加速模块</w:t>
            </w:r>
          </w:p>
        </w:tc>
        <w:tc>
          <w:tcPr>
            <w:tcW w:w="3216" w:type="dxa"/>
            <w:tcBorders>
              <w:top w:val="single" w:color="000000" w:sz="4" w:space="0"/>
              <w:left w:val="single" w:color="000000" w:sz="4" w:space="0"/>
              <w:bottom w:val="single" w:color="000000" w:sz="4" w:space="0"/>
              <w:right w:val="single" w:color="000000" w:sz="4" w:space="0"/>
            </w:tcBorders>
            <w:vAlign w:val="center"/>
          </w:tcPr>
          <w:p w14:paraId="5DCEF84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6818242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2BBD2E0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6D65F1D">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90B996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D09D14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CAEC83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视频编解码加速模块</w:t>
            </w:r>
          </w:p>
        </w:tc>
        <w:tc>
          <w:tcPr>
            <w:tcW w:w="3216" w:type="dxa"/>
            <w:tcBorders>
              <w:top w:val="single" w:color="000000" w:sz="4" w:space="0"/>
              <w:left w:val="single" w:color="000000" w:sz="4" w:space="0"/>
              <w:bottom w:val="single" w:color="000000" w:sz="4" w:space="0"/>
              <w:right w:val="single" w:color="000000" w:sz="4" w:space="0"/>
            </w:tcBorders>
            <w:vAlign w:val="center"/>
          </w:tcPr>
          <w:p w14:paraId="6843D8F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0DE8818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3F1A0DF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39B4ED6">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82C132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DE692F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1A197A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影像处理加速模块</w:t>
            </w:r>
          </w:p>
        </w:tc>
        <w:tc>
          <w:tcPr>
            <w:tcW w:w="3216" w:type="dxa"/>
            <w:tcBorders>
              <w:top w:val="single" w:color="000000" w:sz="4" w:space="0"/>
              <w:left w:val="single" w:color="000000" w:sz="4" w:space="0"/>
              <w:bottom w:val="single" w:color="000000" w:sz="4" w:space="0"/>
              <w:right w:val="single" w:color="000000" w:sz="4" w:space="0"/>
            </w:tcBorders>
            <w:vAlign w:val="center"/>
          </w:tcPr>
          <w:p w14:paraId="5F43ADC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426F339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6B88C8A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596200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B57BD4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148</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0006307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存储设备可靠性</w:t>
            </w:r>
          </w:p>
        </w:tc>
        <w:tc>
          <w:tcPr>
            <w:tcW w:w="1383" w:type="dxa"/>
            <w:tcBorders>
              <w:top w:val="single" w:color="000000" w:sz="4" w:space="0"/>
              <w:left w:val="single" w:color="000000" w:sz="4" w:space="0"/>
              <w:bottom w:val="single" w:color="000000" w:sz="4" w:space="0"/>
              <w:right w:val="nil"/>
            </w:tcBorders>
            <w:vAlign w:val="center"/>
          </w:tcPr>
          <w:p w14:paraId="087E9BA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固态存储寿命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7C27102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TBW ≥80TB</w:t>
            </w:r>
          </w:p>
        </w:tc>
        <w:tc>
          <w:tcPr>
            <w:tcW w:w="1026" w:type="dxa"/>
            <w:tcBorders>
              <w:top w:val="single" w:color="000000" w:sz="4" w:space="0"/>
              <w:left w:val="single" w:color="000000" w:sz="4" w:space="0"/>
              <w:bottom w:val="single" w:color="000000" w:sz="4" w:space="0"/>
              <w:right w:val="single" w:color="000000" w:sz="4" w:space="0"/>
            </w:tcBorders>
            <w:vAlign w:val="center"/>
          </w:tcPr>
          <w:p w14:paraId="01A329D7">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BAEC1E5">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986038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54185F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149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DBE2D2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3D7F14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机械硬盘寿命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6E4F6FF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通电时间≥5万小时</w:t>
            </w:r>
          </w:p>
        </w:tc>
        <w:tc>
          <w:tcPr>
            <w:tcW w:w="1026" w:type="dxa"/>
            <w:tcBorders>
              <w:top w:val="single" w:color="000000" w:sz="4" w:space="0"/>
              <w:left w:val="single" w:color="000000" w:sz="4" w:space="0"/>
              <w:bottom w:val="single" w:color="000000" w:sz="4" w:space="0"/>
              <w:right w:val="single" w:color="000000" w:sz="4" w:space="0"/>
            </w:tcBorders>
            <w:vAlign w:val="center"/>
          </w:tcPr>
          <w:p w14:paraId="7887C57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70D3A8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A511E1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4FB750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150</w:t>
            </w:r>
          </w:p>
        </w:tc>
        <w:tc>
          <w:tcPr>
            <w:tcW w:w="1716" w:type="dxa"/>
            <w:tcBorders>
              <w:top w:val="single" w:color="000000" w:sz="4" w:space="0"/>
              <w:left w:val="single" w:color="000000" w:sz="4" w:space="0"/>
              <w:bottom w:val="single" w:color="000000" w:sz="4" w:space="0"/>
              <w:right w:val="single" w:color="000000" w:sz="4" w:space="0"/>
            </w:tcBorders>
            <w:vAlign w:val="center"/>
          </w:tcPr>
          <w:p w14:paraId="5DC4606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显示设备可靠性</w:t>
            </w:r>
          </w:p>
        </w:tc>
        <w:tc>
          <w:tcPr>
            <w:tcW w:w="1383" w:type="dxa"/>
            <w:tcBorders>
              <w:top w:val="single" w:color="000000" w:sz="4" w:space="0"/>
              <w:left w:val="single" w:color="000000" w:sz="4" w:space="0"/>
              <w:bottom w:val="single" w:color="000000" w:sz="4" w:space="0"/>
              <w:right w:val="nil"/>
            </w:tcBorders>
            <w:vAlign w:val="center"/>
          </w:tcPr>
          <w:p w14:paraId="51B2723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显示屏屏幕失效点</w:t>
            </w:r>
          </w:p>
        </w:tc>
        <w:tc>
          <w:tcPr>
            <w:tcW w:w="3216" w:type="dxa"/>
            <w:tcBorders>
              <w:top w:val="single" w:color="000000" w:sz="4" w:space="0"/>
              <w:left w:val="single" w:color="000000" w:sz="4" w:space="0"/>
              <w:bottom w:val="single" w:color="000000" w:sz="4" w:space="0"/>
              <w:right w:val="single" w:color="000000" w:sz="4" w:space="0"/>
            </w:tcBorders>
            <w:vAlign w:val="center"/>
          </w:tcPr>
          <w:p w14:paraId="45D4369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9813.1的要求</w:t>
            </w:r>
          </w:p>
        </w:tc>
        <w:tc>
          <w:tcPr>
            <w:tcW w:w="1026" w:type="dxa"/>
            <w:tcBorders>
              <w:top w:val="single" w:color="000000" w:sz="4" w:space="0"/>
              <w:left w:val="single" w:color="000000" w:sz="4" w:space="0"/>
              <w:bottom w:val="single" w:color="000000" w:sz="4" w:space="0"/>
              <w:right w:val="single" w:color="000000" w:sz="4" w:space="0"/>
            </w:tcBorders>
            <w:vAlign w:val="center"/>
          </w:tcPr>
          <w:p w14:paraId="793F28C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3D78B4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18B493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784028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151</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1E62603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外设可靠性</w:t>
            </w:r>
          </w:p>
        </w:tc>
        <w:tc>
          <w:tcPr>
            <w:tcW w:w="1383" w:type="dxa"/>
            <w:tcBorders>
              <w:top w:val="single" w:color="000000" w:sz="4" w:space="0"/>
              <w:left w:val="single" w:color="000000" w:sz="4" w:space="0"/>
              <w:bottom w:val="single" w:color="000000" w:sz="4" w:space="0"/>
              <w:right w:val="nil"/>
            </w:tcBorders>
            <w:vAlign w:val="center"/>
          </w:tcPr>
          <w:p w14:paraId="3F130AF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键盘按键寿命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58982A1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≥1000 万次</w:t>
            </w:r>
          </w:p>
        </w:tc>
        <w:tc>
          <w:tcPr>
            <w:tcW w:w="1026" w:type="dxa"/>
            <w:tcBorders>
              <w:top w:val="single" w:color="000000" w:sz="4" w:space="0"/>
              <w:left w:val="single" w:color="000000" w:sz="4" w:space="0"/>
              <w:bottom w:val="single" w:color="000000" w:sz="4" w:space="0"/>
              <w:right w:val="single" w:color="000000" w:sz="4" w:space="0"/>
            </w:tcBorders>
            <w:vAlign w:val="center"/>
          </w:tcPr>
          <w:p w14:paraId="6093094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E41770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F06521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0884AD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7AD131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5C16D0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鼠标按键寿命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287FCD0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≥500 万次</w:t>
            </w:r>
          </w:p>
        </w:tc>
        <w:tc>
          <w:tcPr>
            <w:tcW w:w="1026" w:type="dxa"/>
            <w:tcBorders>
              <w:top w:val="single" w:color="000000" w:sz="4" w:space="0"/>
              <w:left w:val="single" w:color="000000" w:sz="4" w:space="0"/>
              <w:bottom w:val="single" w:color="000000" w:sz="4" w:space="0"/>
              <w:right w:val="single" w:color="000000" w:sz="4" w:space="0"/>
            </w:tcBorders>
            <w:vAlign w:val="center"/>
          </w:tcPr>
          <w:p w14:paraId="49EA581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C64936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080A5E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26A798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9C3D57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8E1891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键盘鼠标线材寿命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4F54A35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键盘鼠标所用线材经±60°弯折不低于 3000 次，功能、外观完好</w:t>
            </w:r>
          </w:p>
        </w:tc>
        <w:tc>
          <w:tcPr>
            <w:tcW w:w="1026" w:type="dxa"/>
            <w:tcBorders>
              <w:top w:val="single" w:color="000000" w:sz="4" w:space="0"/>
              <w:left w:val="single" w:color="000000" w:sz="4" w:space="0"/>
              <w:bottom w:val="single" w:color="000000" w:sz="4" w:space="0"/>
              <w:right w:val="single" w:color="000000" w:sz="4" w:space="0"/>
            </w:tcBorders>
            <w:vAlign w:val="center"/>
          </w:tcPr>
          <w:p w14:paraId="7D0B7A6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DB89BA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7978586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8E4037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E64DD7D">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E9203A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风扇寿命</w:t>
            </w:r>
          </w:p>
        </w:tc>
        <w:tc>
          <w:tcPr>
            <w:tcW w:w="3216" w:type="dxa"/>
            <w:tcBorders>
              <w:top w:val="single" w:color="000000" w:sz="4" w:space="0"/>
              <w:left w:val="single" w:color="000000" w:sz="4" w:space="0"/>
              <w:bottom w:val="single" w:color="000000" w:sz="4" w:space="0"/>
              <w:right w:val="single" w:color="000000" w:sz="4" w:space="0"/>
            </w:tcBorders>
            <w:vAlign w:val="center"/>
          </w:tcPr>
          <w:p w14:paraId="42A26E8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≥4 万小时</w:t>
            </w:r>
          </w:p>
        </w:tc>
        <w:tc>
          <w:tcPr>
            <w:tcW w:w="1026" w:type="dxa"/>
            <w:tcBorders>
              <w:top w:val="single" w:color="000000" w:sz="4" w:space="0"/>
              <w:left w:val="single" w:color="000000" w:sz="4" w:space="0"/>
              <w:bottom w:val="single" w:color="000000" w:sz="4" w:space="0"/>
              <w:right w:val="single" w:color="000000" w:sz="4" w:space="0"/>
            </w:tcBorders>
            <w:vAlign w:val="center"/>
          </w:tcPr>
          <w:p w14:paraId="6C77746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F045EF2">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E39588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05DF4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155</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61527AA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整机可靠性要求</w:t>
            </w:r>
          </w:p>
        </w:tc>
        <w:tc>
          <w:tcPr>
            <w:tcW w:w="1383" w:type="dxa"/>
            <w:tcBorders>
              <w:top w:val="single" w:color="000000" w:sz="4" w:space="0"/>
              <w:left w:val="single" w:color="000000" w:sz="4" w:space="0"/>
              <w:bottom w:val="single" w:color="000000" w:sz="4" w:space="0"/>
              <w:right w:val="nil"/>
            </w:tcBorders>
            <w:vAlign w:val="center"/>
          </w:tcPr>
          <w:p w14:paraId="34395CA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电磁兼容性要求的抗扰度</w:t>
            </w:r>
          </w:p>
        </w:tc>
        <w:tc>
          <w:tcPr>
            <w:tcW w:w="3216" w:type="dxa"/>
            <w:tcBorders>
              <w:top w:val="single" w:color="000000" w:sz="4" w:space="0"/>
              <w:left w:val="single" w:color="000000" w:sz="4" w:space="0"/>
              <w:bottom w:val="single" w:color="000000" w:sz="4" w:space="0"/>
              <w:right w:val="single" w:color="000000" w:sz="4" w:space="0"/>
            </w:tcBorders>
            <w:vAlign w:val="center"/>
          </w:tcPr>
          <w:p w14:paraId="17A4145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9254.2 的规定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0CAC09E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5E9D39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5BB521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E481C1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F6A3D8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9C72D1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环境条件要求的气候环境适应性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2919F5B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63F555C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E5B514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6674F8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463AC3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ED190B8">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8A9B02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环境条件要求的振动适应性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70D84CD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3508D18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6203C5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04B03B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8D9556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4AEEBF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59E97B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环境条件要求的冲击适应性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102F9B3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0D62E60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829236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DB8AC1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70AF45F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159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F1D3EB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FFB24A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环境条件要求的碰撞适应性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10B918E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27FCCBF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9A7D2B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D404FD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7436C4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09EC29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59B843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环境条件要求的运输包装件跌落适应性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4A2C847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9813.1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28E238B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27EBFA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64BED2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D5EB3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EADE5C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055486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MTBF 测试</w:t>
            </w:r>
          </w:p>
        </w:tc>
        <w:tc>
          <w:tcPr>
            <w:tcW w:w="3216" w:type="dxa"/>
            <w:tcBorders>
              <w:top w:val="single" w:color="000000" w:sz="4" w:space="0"/>
              <w:left w:val="single" w:color="000000" w:sz="4" w:space="0"/>
              <w:bottom w:val="single" w:color="000000" w:sz="4" w:space="0"/>
              <w:right w:val="single" w:color="000000" w:sz="4" w:space="0"/>
            </w:tcBorders>
            <w:vAlign w:val="center"/>
          </w:tcPr>
          <w:p w14:paraId="22C879D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MTBF(m1)≥100万小时</w:t>
            </w:r>
          </w:p>
        </w:tc>
        <w:tc>
          <w:tcPr>
            <w:tcW w:w="1026" w:type="dxa"/>
            <w:tcBorders>
              <w:top w:val="single" w:color="000000" w:sz="4" w:space="0"/>
              <w:left w:val="single" w:color="000000" w:sz="4" w:space="0"/>
              <w:bottom w:val="single" w:color="000000" w:sz="4" w:space="0"/>
              <w:right w:val="single" w:color="000000" w:sz="4" w:space="0"/>
            </w:tcBorders>
            <w:vAlign w:val="center"/>
          </w:tcPr>
          <w:p w14:paraId="7FF699FF">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是</w:t>
            </w:r>
          </w:p>
        </w:tc>
      </w:tr>
      <w:tr w14:paraId="2EC3249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38A3DD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73E78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162</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5E851DB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兼容要求</w:t>
            </w:r>
          </w:p>
        </w:tc>
        <w:tc>
          <w:tcPr>
            <w:tcW w:w="1383" w:type="dxa"/>
            <w:tcBorders>
              <w:top w:val="single" w:color="000000" w:sz="4" w:space="0"/>
              <w:left w:val="single" w:color="000000" w:sz="4" w:space="0"/>
              <w:bottom w:val="single" w:color="000000" w:sz="4" w:space="0"/>
              <w:right w:val="nil"/>
            </w:tcBorders>
            <w:vAlign w:val="center"/>
          </w:tcPr>
          <w:p w14:paraId="33D3191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常用软件兼容</w:t>
            </w:r>
          </w:p>
        </w:tc>
        <w:tc>
          <w:tcPr>
            <w:tcW w:w="3216" w:type="dxa"/>
            <w:tcBorders>
              <w:top w:val="single" w:color="000000" w:sz="4" w:space="0"/>
              <w:left w:val="single" w:color="000000" w:sz="4" w:space="0"/>
              <w:bottom w:val="single" w:color="000000" w:sz="4" w:space="0"/>
              <w:right w:val="single" w:color="000000" w:sz="4" w:space="0"/>
            </w:tcBorders>
            <w:vAlign w:val="center"/>
          </w:tcPr>
          <w:p w14:paraId="4475F54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支持流式软件、版式软件、浏览器、邮件采购人端、解压软件、多媒体、图形图像处理等常用软件</w:t>
            </w:r>
          </w:p>
        </w:tc>
        <w:tc>
          <w:tcPr>
            <w:tcW w:w="1026" w:type="dxa"/>
            <w:tcBorders>
              <w:top w:val="single" w:color="000000" w:sz="4" w:space="0"/>
              <w:left w:val="single" w:color="000000" w:sz="4" w:space="0"/>
              <w:bottom w:val="single" w:color="000000" w:sz="4" w:space="0"/>
              <w:right w:val="single" w:color="000000" w:sz="4" w:space="0"/>
            </w:tcBorders>
            <w:vAlign w:val="center"/>
          </w:tcPr>
          <w:p w14:paraId="7C50471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0FE0DA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F5F0DA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C9C330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F5EB8E9">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FE897E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数据库兼容</w:t>
            </w:r>
          </w:p>
        </w:tc>
        <w:tc>
          <w:tcPr>
            <w:tcW w:w="3216" w:type="dxa"/>
            <w:tcBorders>
              <w:top w:val="single" w:color="000000" w:sz="4" w:space="0"/>
              <w:left w:val="single" w:color="000000" w:sz="4" w:space="0"/>
              <w:bottom w:val="single" w:color="000000" w:sz="4" w:space="0"/>
              <w:right w:val="single" w:color="000000" w:sz="4" w:space="0"/>
            </w:tcBorders>
            <w:vAlign w:val="center"/>
          </w:tcPr>
          <w:p w14:paraId="6918BA9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兼容 3 个及以上厂商的数据库产品</w:t>
            </w:r>
          </w:p>
        </w:tc>
        <w:tc>
          <w:tcPr>
            <w:tcW w:w="1026" w:type="dxa"/>
            <w:tcBorders>
              <w:top w:val="single" w:color="000000" w:sz="4" w:space="0"/>
              <w:left w:val="single" w:color="000000" w:sz="4" w:space="0"/>
              <w:bottom w:val="single" w:color="000000" w:sz="4" w:space="0"/>
              <w:right w:val="single" w:color="000000" w:sz="4" w:space="0"/>
            </w:tcBorders>
            <w:vAlign w:val="center"/>
          </w:tcPr>
          <w:p w14:paraId="74BBBAE6">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DC51ECE">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D5EA28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28CD26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F6FB0D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ADF637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中间件兼容</w:t>
            </w:r>
          </w:p>
        </w:tc>
        <w:tc>
          <w:tcPr>
            <w:tcW w:w="3216" w:type="dxa"/>
            <w:tcBorders>
              <w:top w:val="single" w:color="000000" w:sz="4" w:space="0"/>
              <w:left w:val="single" w:color="000000" w:sz="4" w:space="0"/>
              <w:bottom w:val="single" w:color="000000" w:sz="4" w:space="0"/>
              <w:right w:val="single" w:color="000000" w:sz="4" w:space="0"/>
            </w:tcBorders>
            <w:vAlign w:val="center"/>
          </w:tcPr>
          <w:p w14:paraId="56F7FB3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兼容 3 个及以上厂商中间件产品</w:t>
            </w:r>
          </w:p>
        </w:tc>
        <w:tc>
          <w:tcPr>
            <w:tcW w:w="1026" w:type="dxa"/>
            <w:tcBorders>
              <w:top w:val="single" w:color="000000" w:sz="4" w:space="0"/>
              <w:left w:val="single" w:color="000000" w:sz="4" w:space="0"/>
              <w:bottom w:val="single" w:color="000000" w:sz="4" w:space="0"/>
              <w:right w:val="single" w:color="000000" w:sz="4" w:space="0"/>
            </w:tcBorders>
            <w:vAlign w:val="center"/>
          </w:tcPr>
          <w:p w14:paraId="026C3F4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3EB93A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E3B704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94FEB9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A0D49A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AD08BE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平台软件兼容</w:t>
            </w:r>
          </w:p>
        </w:tc>
        <w:tc>
          <w:tcPr>
            <w:tcW w:w="3216" w:type="dxa"/>
            <w:tcBorders>
              <w:top w:val="single" w:color="000000" w:sz="4" w:space="0"/>
              <w:left w:val="single" w:color="000000" w:sz="4" w:space="0"/>
              <w:bottom w:val="single" w:color="000000" w:sz="4" w:space="0"/>
              <w:right w:val="single" w:color="000000" w:sz="4" w:space="0"/>
            </w:tcBorders>
            <w:vAlign w:val="center"/>
          </w:tcPr>
          <w:p w14:paraId="5D93E1C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兼容 3 个及以上厂商云计算及大数据平台</w:t>
            </w:r>
          </w:p>
        </w:tc>
        <w:tc>
          <w:tcPr>
            <w:tcW w:w="1026" w:type="dxa"/>
            <w:tcBorders>
              <w:top w:val="single" w:color="000000" w:sz="4" w:space="0"/>
              <w:left w:val="single" w:color="000000" w:sz="4" w:space="0"/>
              <w:bottom w:val="single" w:color="000000" w:sz="4" w:space="0"/>
              <w:right w:val="single" w:color="000000" w:sz="4" w:space="0"/>
            </w:tcBorders>
            <w:vAlign w:val="center"/>
          </w:tcPr>
          <w:p w14:paraId="0D49667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43BF5B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F8D4E8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B0991F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166</w:t>
            </w:r>
          </w:p>
        </w:tc>
        <w:tc>
          <w:tcPr>
            <w:tcW w:w="1716" w:type="dxa"/>
            <w:tcBorders>
              <w:top w:val="single" w:color="000000" w:sz="4" w:space="0"/>
              <w:left w:val="single" w:color="000000" w:sz="4" w:space="0"/>
              <w:bottom w:val="single" w:color="000000" w:sz="4" w:space="0"/>
              <w:right w:val="single" w:color="000000" w:sz="4" w:space="0"/>
            </w:tcBorders>
            <w:vAlign w:val="center"/>
          </w:tcPr>
          <w:p w14:paraId="7931882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包装及运输要求</w:t>
            </w:r>
          </w:p>
        </w:tc>
        <w:tc>
          <w:tcPr>
            <w:tcW w:w="1383" w:type="dxa"/>
            <w:tcBorders>
              <w:top w:val="single" w:color="000000" w:sz="4" w:space="0"/>
              <w:left w:val="single" w:color="000000" w:sz="4" w:space="0"/>
              <w:bottom w:val="single" w:color="000000" w:sz="4" w:space="0"/>
              <w:right w:val="nil"/>
            </w:tcBorders>
            <w:vAlign w:val="center"/>
          </w:tcPr>
          <w:p w14:paraId="7C41D8D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标志、包装、运输和贮存</w:t>
            </w:r>
          </w:p>
        </w:tc>
        <w:tc>
          <w:tcPr>
            <w:tcW w:w="3216" w:type="dxa"/>
            <w:tcBorders>
              <w:top w:val="single" w:color="000000" w:sz="4" w:space="0"/>
              <w:left w:val="single" w:color="000000" w:sz="4" w:space="0"/>
              <w:bottom w:val="single" w:color="000000" w:sz="4" w:space="0"/>
              <w:right w:val="single" w:color="000000" w:sz="4" w:space="0"/>
            </w:tcBorders>
            <w:vAlign w:val="center"/>
          </w:tcPr>
          <w:p w14:paraId="0528E72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符合 GB/T 9813.1 和商品包装政府采购需求标准的相关规定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0D38B9C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3EB6C44B">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B4F237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6102A8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167</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753B590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服务要求</w:t>
            </w:r>
          </w:p>
        </w:tc>
        <w:tc>
          <w:tcPr>
            <w:tcW w:w="1383" w:type="dxa"/>
            <w:tcBorders>
              <w:top w:val="single" w:color="000000" w:sz="4" w:space="0"/>
              <w:left w:val="single" w:color="000000" w:sz="4" w:space="0"/>
              <w:bottom w:val="single" w:color="000000" w:sz="4" w:space="0"/>
              <w:right w:val="nil"/>
            </w:tcBorders>
            <w:vAlign w:val="center"/>
          </w:tcPr>
          <w:p w14:paraId="00D323E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配置检查工具</w:t>
            </w:r>
          </w:p>
        </w:tc>
        <w:tc>
          <w:tcPr>
            <w:tcW w:w="3216" w:type="dxa"/>
            <w:tcBorders>
              <w:top w:val="single" w:color="000000" w:sz="4" w:space="0"/>
              <w:left w:val="single" w:color="000000" w:sz="4" w:space="0"/>
              <w:bottom w:val="single" w:color="000000" w:sz="4" w:space="0"/>
              <w:right w:val="single" w:color="000000" w:sz="4" w:space="0"/>
            </w:tcBorders>
            <w:vAlign w:val="center"/>
          </w:tcPr>
          <w:p w14:paraId="3F1638E7">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供应商提供自检测试工具</w:t>
            </w:r>
          </w:p>
        </w:tc>
        <w:tc>
          <w:tcPr>
            <w:tcW w:w="1026" w:type="dxa"/>
            <w:tcBorders>
              <w:top w:val="single" w:color="000000" w:sz="4" w:space="0"/>
              <w:left w:val="single" w:color="000000" w:sz="4" w:space="0"/>
              <w:bottom w:val="single" w:color="000000" w:sz="4" w:space="0"/>
              <w:right w:val="single" w:color="000000" w:sz="4" w:space="0"/>
            </w:tcBorders>
            <w:vAlign w:val="center"/>
          </w:tcPr>
          <w:p w14:paraId="5291CEC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64FE99F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49551D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F71110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FA6F94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3B7155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服务响应</w:t>
            </w:r>
          </w:p>
        </w:tc>
        <w:tc>
          <w:tcPr>
            <w:tcW w:w="3216" w:type="dxa"/>
            <w:tcBorders>
              <w:top w:val="single" w:color="000000" w:sz="4" w:space="0"/>
              <w:left w:val="single" w:color="000000" w:sz="4" w:space="0"/>
              <w:bottom w:val="single" w:color="000000" w:sz="4" w:space="0"/>
              <w:right w:val="single" w:color="000000" w:sz="4" w:space="0"/>
            </w:tcBorders>
            <w:vAlign w:val="center"/>
          </w:tcPr>
          <w:p w14:paraId="41BB0CBD">
            <w:pPr>
              <w:keepNext/>
              <w:textAlignment w:val="center"/>
              <w:rPr>
                <w:rFonts w:hint="eastAsia" w:cs="仿宋_GB2312" w:asciiTheme="majorEastAsia" w:hAnsiTheme="majorEastAsia" w:eastAsiaTheme="majorEastAsia"/>
                <w:color w:val="auto"/>
                <w:highlight w:val="none"/>
                <w:lang w:eastAsia="zh-TW"/>
              </w:rPr>
            </w:pPr>
            <w:r>
              <w:rPr>
                <w:rFonts w:hint="eastAsia" w:cs="仿宋_GB2312" w:asciiTheme="majorEastAsia" w:hAnsiTheme="majorEastAsia" w:eastAsiaTheme="majorEastAsia"/>
                <w:color w:val="auto"/>
                <w:highlight w:val="none"/>
                <w:lang w:eastAsia="zh-CN"/>
              </w:rPr>
              <w:t>a</w:t>
            </w:r>
            <w:r>
              <w:rPr>
                <w:rFonts w:cs="仿宋_GB2312" w:asciiTheme="majorEastAsia" w:hAnsiTheme="majorEastAsia" w:eastAsiaTheme="majorEastAsia"/>
                <w:color w:val="auto"/>
                <w:highlight w:val="none"/>
                <w:lang w:eastAsia="zh-TW"/>
              </w:rPr>
              <w:t>）提供产品3 年维保及上门服务，提供制造厂商针对本项目的售后服务承诺函；厂商能通过微信服务平台提供全天候自助服务和12小时在线人工服务，支持添加单位服务账号，成批添加并绑定设备，实现保修期查询，预约维修，咨询在线客服及查询服务网点等功能</w:t>
            </w:r>
          </w:p>
          <w:p w14:paraId="3FE48FD8">
            <w:pPr>
              <w:keepNext/>
              <w:textAlignment w:val="center"/>
              <w:rPr>
                <w:rFonts w:hint="eastAsia" w:cs="仿宋_GB2312" w:asciiTheme="majorEastAsia" w:hAnsiTheme="majorEastAsia" w:eastAsiaTheme="majorEastAsia"/>
                <w:color w:val="auto"/>
                <w:highlight w:val="none"/>
                <w:lang w:eastAsia="zh-TW"/>
              </w:rPr>
            </w:pPr>
            <w:r>
              <w:rPr>
                <w:rFonts w:cs="仿宋_GB2312" w:asciiTheme="majorEastAsia" w:hAnsiTheme="majorEastAsia" w:eastAsiaTheme="majorEastAsia"/>
                <w:color w:val="auto"/>
                <w:highlight w:val="none"/>
                <w:lang w:eastAsia="zh-TW"/>
              </w:rPr>
              <w:t>b）提供制造厂商大客户专属VIP 7*24小时400或800售后服务专线；</w:t>
            </w:r>
          </w:p>
          <w:p w14:paraId="3E6F1B80">
            <w:pPr>
              <w:keepNext/>
              <w:textAlignment w:val="center"/>
              <w:rPr>
                <w:rFonts w:hint="eastAsia" w:cs="仿宋_GB2312" w:asciiTheme="majorEastAsia" w:hAnsiTheme="majorEastAsia" w:eastAsiaTheme="majorEastAsia"/>
                <w:color w:val="auto"/>
                <w:highlight w:val="none"/>
                <w:lang w:val="zh-TW" w:eastAsia="zh-TW"/>
              </w:rPr>
            </w:pPr>
            <w:r>
              <w:rPr>
                <w:rFonts w:cs="仿宋_GB2312" w:asciiTheme="majorEastAsia" w:hAnsiTheme="majorEastAsia" w:eastAsiaTheme="majorEastAsia"/>
                <w:color w:val="auto"/>
                <w:highlight w:val="none"/>
                <w:lang w:eastAsia="zh-TW"/>
              </w:rPr>
              <w:t>c）现场保障技术服务团队；</w:t>
            </w:r>
          </w:p>
        </w:tc>
        <w:tc>
          <w:tcPr>
            <w:tcW w:w="1026" w:type="dxa"/>
            <w:tcBorders>
              <w:top w:val="single" w:color="000000" w:sz="4" w:space="0"/>
              <w:left w:val="single" w:color="000000" w:sz="4" w:space="0"/>
              <w:bottom w:val="single" w:color="000000" w:sz="4" w:space="0"/>
              <w:right w:val="single" w:color="000000" w:sz="4" w:space="0"/>
            </w:tcBorders>
            <w:vAlign w:val="center"/>
          </w:tcPr>
          <w:p w14:paraId="477EC2A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是</w:t>
            </w:r>
          </w:p>
        </w:tc>
      </w:tr>
      <w:tr w14:paraId="5F5D3CD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665B15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651F05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169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07DEBE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9CF125F">
            <w:pPr>
              <w:keepNext/>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服务周期</w:t>
            </w:r>
          </w:p>
        </w:tc>
        <w:tc>
          <w:tcPr>
            <w:tcW w:w="3216" w:type="dxa"/>
            <w:tcBorders>
              <w:top w:val="single" w:color="000000" w:sz="4" w:space="0"/>
              <w:left w:val="single" w:color="000000" w:sz="4" w:space="0"/>
              <w:bottom w:val="single" w:color="000000" w:sz="4" w:space="0"/>
              <w:right w:val="single" w:color="000000" w:sz="4" w:space="0"/>
            </w:tcBorders>
            <w:vAlign w:val="center"/>
          </w:tcPr>
          <w:p w14:paraId="3800951D">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a) 设备停产后应继续提供质量保障服务（含备品备件），服务终止时间与最后一批设备交付时间间隔不低于6 年；</w:t>
            </w:r>
          </w:p>
          <w:p w14:paraId="096541C5">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b) 产品停止服务时间应提前 1 年告知；</w:t>
            </w:r>
          </w:p>
          <w:p w14:paraId="0C98D9F1">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c) 应明确产品发布日期</w:t>
            </w:r>
          </w:p>
        </w:tc>
        <w:tc>
          <w:tcPr>
            <w:tcW w:w="1026" w:type="dxa"/>
            <w:tcBorders>
              <w:top w:val="single" w:color="000000" w:sz="4" w:space="0"/>
              <w:left w:val="single" w:color="000000" w:sz="4" w:space="0"/>
              <w:bottom w:val="single" w:color="000000" w:sz="4" w:space="0"/>
              <w:right w:val="single" w:color="000000" w:sz="4" w:space="0"/>
            </w:tcBorders>
            <w:vAlign w:val="center"/>
          </w:tcPr>
          <w:p w14:paraId="5EEDAEF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A33E8C6">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6F34C5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EC539D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170</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F49C853">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C96E75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预装操作系统</w:t>
            </w:r>
          </w:p>
        </w:tc>
        <w:tc>
          <w:tcPr>
            <w:tcW w:w="3216" w:type="dxa"/>
            <w:tcBorders>
              <w:top w:val="single" w:color="000000" w:sz="4" w:space="0"/>
              <w:left w:val="single" w:color="000000" w:sz="4" w:space="0"/>
              <w:bottom w:val="single" w:color="000000" w:sz="4" w:space="0"/>
              <w:right w:val="single" w:color="000000" w:sz="4" w:space="0"/>
            </w:tcBorders>
            <w:vAlign w:val="center"/>
          </w:tcPr>
          <w:p w14:paraId="1436415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预装国产化操作系统</w:t>
            </w:r>
          </w:p>
        </w:tc>
        <w:tc>
          <w:tcPr>
            <w:tcW w:w="1026" w:type="dxa"/>
            <w:tcBorders>
              <w:top w:val="single" w:color="000000" w:sz="4" w:space="0"/>
              <w:left w:val="single" w:color="000000" w:sz="4" w:space="0"/>
              <w:bottom w:val="single" w:color="000000" w:sz="4" w:space="0"/>
              <w:right w:val="single" w:color="000000" w:sz="4" w:space="0"/>
            </w:tcBorders>
            <w:vAlign w:val="center"/>
          </w:tcPr>
          <w:p w14:paraId="007456D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2C3305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04759AA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EBB73F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171</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685BB04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085FC61">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培训服务</w:t>
            </w:r>
          </w:p>
        </w:tc>
        <w:tc>
          <w:tcPr>
            <w:tcW w:w="3216" w:type="dxa"/>
            <w:tcBorders>
              <w:top w:val="single" w:color="000000" w:sz="4" w:space="0"/>
              <w:left w:val="single" w:color="000000" w:sz="4" w:space="0"/>
              <w:bottom w:val="single" w:color="000000" w:sz="4" w:space="0"/>
              <w:right w:val="single" w:color="000000" w:sz="4" w:space="0"/>
            </w:tcBorders>
            <w:vAlign w:val="center"/>
          </w:tcPr>
          <w:p w14:paraId="4F2FE4F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供应商提供培训材料、产品手册、培训视频等培训相关内容</w:t>
            </w:r>
          </w:p>
        </w:tc>
        <w:tc>
          <w:tcPr>
            <w:tcW w:w="1026" w:type="dxa"/>
            <w:tcBorders>
              <w:top w:val="single" w:color="000000" w:sz="4" w:space="0"/>
              <w:left w:val="single" w:color="000000" w:sz="4" w:space="0"/>
              <w:bottom w:val="single" w:color="000000" w:sz="4" w:space="0"/>
              <w:right w:val="single" w:color="000000" w:sz="4" w:space="0"/>
            </w:tcBorders>
            <w:vAlign w:val="center"/>
          </w:tcPr>
          <w:p w14:paraId="7B6F956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778E3DA">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5223BC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5D5BB6F4">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2869CF0">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13F650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典型问题解决手册</w:t>
            </w:r>
          </w:p>
        </w:tc>
        <w:tc>
          <w:tcPr>
            <w:tcW w:w="3216" w:type="dxa"/>
            <w:tcBorders>
              <w:top w:val="single" w:color="000000" w:sz="4" w:space="0"/>
              <w:left w:val="single" w:color="000000" w:sz="4" w:space="0"/>
              <w:bottom w:val="single" w:color="000000" w:sz="4" w:space="0"/>
              <w:right w:val="single" w:color="000000" w:sz="4" w:space="0"/>
            </w:tcBorders>
            <w:vAlign w:val="center"/>
          </w:tcPr>
          <w:p w14:paraId="1814709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供应商提供典型问题解决说明文档或视频</w:t>
            </w:r>
          </w:p>
        </w:tc>
        <w:tc>
          <w:tcPr>
            <w:tcW w:w="1026" w:type="dxa"/>
            <w:tcBorders>
              <w:top w:val="single" w:color="000000" w:sz="4" w:space="0"/>
              <w:left w:val="single" w:color="000000" w:sz="4" w:space="0"/>
              <w:bottom w:val="single" w:color="000000" w:sz="4" w:space="0"/>
              <w:right w:val="single" w:color="000000" w:sz="4" w:space="0"/>
            </w:tcBorders>
            <w:vAlign w:val="center"/>
          </w:tcPr>
          <w:p w14:paraId="6330855B">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0056D59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3C9FC55">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6E2366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173</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F4EBC8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AA2709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厂家升级软件与扩容服务</w:t>
            </w:r>
          </w:p>
        </w:tc>
        <w:tc>
          <w:tcPr>
            <w:tcW w:w="3216" w:type="dxa"/>
            <w:tcBorders>
              <w:top w:val="single" w:color="000000" w:sz="4" w:space="0"/>
              <w:left w:val="single" w:color="000000" w:sz="4" w:space="0"/>
              <w:bottom w:val="single" w:color="000000" w:sz="4" w:space="0"/>
              <w:right w:val="single" w:color="000000" w:sz="4" w:space="0"/>
            </w:tcBorders>
            <w:vAlign w:val="center"/>
          </w:tcPr>
          <w:p w14:paraId="44C60E8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供应商提供上门升级部件/软件与扩容的增值服务</w:t>
            </w:r>
          </w:p>
        </w:tc>
        <w:tc>
          <w:tcPr>
            <w:tcW w:w="1026" w:type="dxa"/>
            <w:tcBorders>
              <w:top w:val="single" w:color="000000" w:sz="4" w:space="0"/>
              <w:left w:val="single" w:color="000000" w:sz="4" w:space="0"/>
              <w:bottom w:val="single" w:color="000000" w:sz="4" w:space="0"/>
              <w:right w:val="single" w:color="000000" w:sz="4" w:space="0"/>
            </w:tcBorders>
            <w:vAlign w:val="center"/>
          </w:tcPr>
          <w:p w14:paraId="7D27F10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5B757BC">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E4DBEE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27A0853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174</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423A882">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7704640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整机质量服务要求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7E7E7AD1">
            <w:pPr>
              <w:keepNext/>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原厂免费服务周期（含换件和维修）3年免费上门服务</w:t>
            </w:r>
          </w:p>
        </w:tc>
        <w:tc>
          <w:tcPr>
            <w:tcW w:w="1026" w:type="dxa"/>
            <w:tcBorders>
              <w:top w:val="single" w:color="000000" w:sz="4" w:space="0"/>
              <w:left w:val="single" w:color="000000" w:sz="4" w:space="0"/>
              <w:bottom w:val="single" w:color="000000" w:sz="4" w:space="0"/>
              <w:right w:val="single" w:color="000000" w:sz="4" w:space="0"/>
            </w:tcBorders>
            <w:vAlign w:val="center"/>
          </w:tcPr>
          <w:p w14:paraId="553AA421">
            <w:pPr>
              <w:keepNext/>
              <w:jc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A36EC2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5ADA7A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205A22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D29E4D7">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B3CFAE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合格证书要求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7D73227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供应商提供产品合格证</w:t>
            </w:r>
          </w:p>
        </w:tc>
        <w:tc>
          <w:tcPr>
            <w:tcW w:w="1026" w:type="dxa"/>
            <w:tcBorders>
              <w:top w:val="single" w:color="000000" w:sz="4" w:space="0"/>
              <w:left w:val="single" w:color="000000" w:sz="4" w:space="0"/>
              <w:bottom w:val="single" w:color="000000" w:sz="4" w:space="0"/>
              <w:right w:val="single" w:color="000000" w:sz="4" w:space="0"/>
            </w:tcBorders>
            <w:vAlign w:val="center"/>
          </w:tcPr>
          <w:p w14:paraId="44FD732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6B6D12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80E0688">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0D1D670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3C052B70">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D60499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开箱组装/使用指导要求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61F51BB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供应商提供开箱组装/使用指导</w:t>
            </w:r>
          </w:p>
        </w:tc>
        <w:tc>
          <w:tcPr>
            <w:tcW w:w="1026" w:type="dxa"/>
            <w:tcBorders>
              <w:top w:val="single" w:color="000000" w:sz="4" w:space="0"/>
              <w:left w:val="single" w:color="000000" w:sz="4" w:space="0"/>
              <w:bottom w:val="single" w:color="000000" w:sz="4" w:space="0"/>
              <w:right w:val="single" w:color="000000" w:sz="4" w:space="0"/>
            </w:tcBorders>
            <w:vAlign w:val="center"/>
          </w:tcPr>
          <w:p w14:paraId="13365711">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D6F2D13">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E81FAC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6B7DFCE1">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5B5B2F1C">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542B2A40">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驱动下载服务要求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1700B45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供应商提供驱动光盘或下载方式</w:t>
            </w:r>
          </w:p>
        </w:tc>
        <w:tc>
          <w:tcPr>
            <w:tcW w:w="1026" w:type="dxa"/>
            <w:tcBorders>
              <w:top w:val="single" w:color="000000" w:sz="4" w:space="0"/>
              <w:left w:val="single" w:color="000000" w:sz="4" w:space="0"/>
              <w:bottom w:val="single" w:color="000000" w:sz="4" w:space="0"/>
              <w:right w:val="single" w:color="000000" w:sz="4" w:space="0"/>
            </w:tcBorders>
            <w:vAlign w:val="center"/>
          </w:tcPr>
          <w:p w14:paraId="111428D5">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57A102FD">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D21067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70312C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0BF316B6">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07BAF81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兼容适配软件下载服务要求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2ACD72F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供应商提供兼容适配软件下载渠道（光盘、网站）</w:t>
            </w:r>
          </w:p>
        </w:tc>
        <w:tc>
          <w:tcPr>
            <w:tcW w:w="1026" w:type="dxa"/>
            <w:tcBorders>
              <w:top w:val="single" w:color="000000" w:sz="4" w:space="0"/>
              <w:left w:val="single" w:color="000000" w:sz="4" w:space="0"/>
              <w:bottom w:val="single" w:color="000000" w:sz="4" w:space="0"/>
              <w:right w:val="single" w:color="000000" w:sz="4" w:space="0"/>
            </w:tcBorders>
            <w:vAlign w:val="center"/>
          </w:tcPr>
          <w:p w14:paraId="26C11074">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C45F91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6FC7D60">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2F62A11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179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5C9F72B">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01C1F5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跨架构平台应用兼容</w:t>
            </w:r>
          </w:p>
        </w:tc>
        <w:tc>
          <w:tcPr>
            <w:tcW w:w="3216" w:type="dxa"/>
            <w:tcBorders>
              <w:top w:val="single" w:color="000000" w:sz="4" w:space="0"/>
              <w:left w:val="single" w:color="000000" w:sz="4" w:space="0"/>
              <w:bottom w:val="single" w:color="000000" w:sz="4" w:space="0"/>
              <w:right w:val="single" w:color="000000" w:sz="4" w:space="0"/>
            </w:tcBorders>
            <w:vAlign w:val="center"/>
          </w:tcPr>
          <w:p w14:paraId="31EB03A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1FF8F118">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w:t>
            </w:r>
          </w:p>
        </w:tc>
      </w:tr>
      <w:tr w14:paraId="0CC72DD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1372ADBF">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180348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180</w:t>
            </w:r>
          </w:p>
        </w:tc>
        <w:tc>
          <w:tcPr>
            <w:tcW w:w="1716" w:type="dxa"/>
            <w:tcBorders>
              <w:top w:val="single" w:color="000000" w:sz="4" w:space="0"/>
              <w:left w:val="single" w:color="000000" w:sz="4" w:space="0"/>
              <w:bottom w:val="single" w:color="000000" w:sz="4" w:space="0"/>
              <w:right w:val="single" w:color="000000" w:sz="4" w:space="0"/>
            </w:tcBorders>
            <w:vAlign w:val="center"/>
          </w:tcPr>
          <w:p w14:paraId="1E6CFFF5">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供应链合规性</w:t>
            </w:r>
          </w:p>
        </w:tc>
        <w:tc>
          <w:tcPr>
            <w:tcW w:w="1383" w:type="dxa"/>
            <w:tcBorders>
              <w:top w:val="single" w:color="000000" w:sz="4" w:space="0"/>
              <w:left w:val="single" w:color="000000" w:sz="4" w:space="0"/>
              <w:bottom w:val="single" w:color="000000" w:sz="4" w:space="0"/>
              <w:right w:val="nil"/>
            </w:tcBorders>
            <w:vAlign w:val="center"/>
          </w:tcPr>
          <w:p w14:paraId="56A421B6">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产品部件保障</w:t>
            </w:r>
          </w:p>
        </w:tc>
        <w:tc>
          <w:tcPr>
            <w:tcW w:w="3216" w:type="dxa"/>
            <w:tcBorders>
              <w:top w:val="single" w:color="000000" w:sz="4" w:space="0"/>
              <w:left w:val="single" w:color="000000" w:sz="4" w:space="0"/>
              <w:bottom w:val="single" w:color="000000" w:sz="4" w:space="0"/>
              <w:right w:val="single" w:color="000000" w:sz="4" w:space="0"/>
            </w:tcBorders>
            <w:vAlign w:val="center"/>
          </w:tcPr>
          <w:p w14:paraId="71AE166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供应商保障产品主要部件，提供 6 年的备件服务能力（自购买之日起），或提供可兼容原设备的升级换代产品</w:t>
            </w:r>
          </w:p>
        </w:tc>
        <w:tc>
          <w:tcPr>
            <w:tcW w:w="1026" w:type="dxa"/>
            <w:tcBorders>
              <w:top w:val="single" w:color="000000" w:sz="4" w:space="0"/>
              <w:left w:val="single" w:color="000000" w:sz="4" w:space="0"/>
              <w:bottom w:val="single" w:color="000000" w:sz="4" w:space="0"/>
              <w:right w:val="single" w:color="000000" w:sz="4" w:space="0"/>
            </w:tcBorders>
            <w:vAlign w:val="center"/>
          </w:tcPr>
          <w:p w14:paraId="3E9F9FED">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2FF81FD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035D29D">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BDDBE8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181</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44E2432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供应链质量</w:t>
            </w:r>
          </w:p>
        </w:tc>
        <w:tc>
          <w:tcPr>
            <w:tcW w:w="1383" w:type="dxa"/>
            <w:tcBorders>
              <w:top w:val="single" w:color="000000" w:sz="4" w:space="0"/>
              <w:left w:val="single" w:color="000000" w:sz="4" w:space="0"/>
              <w:bottom w:val="single" w:color="000000" w:sz="4" w:space="0"/>
              <w:right w:val="nil"/>
            </w:tcBorders>
            <w:vAlign w:val="center"/>
          </w:tcPr>
          <w:p w14:paraId="3737761A">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抗干扰性</w:t>
            </w:r>
          </w:p>
        </w:tc>
        <w:tc>
          <w:tcPr>
            <w:tcW w:w="3216" w:type="dxa"/>
            <w:tcBorders>
              <w:top w:val="single" w:color="000000" w:sz="4" w:space="0"/>
              <w:left w:val="single" w:color="000000" w:sz="4" w:space="0"/>
              <w:bottom w:val="single" w:color="000000" w:sz="4" w:space="0"/>
              <w:right w:val="single" w:color="000000" w:sz="4" w:space="0"/>
            </w:tcBorders>
            <w:vAlign w:val="center"/>
          </w:tcPr>
          <w:p w14:paraId="65BAA71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当产品部件出现供应风险时，供应商应通知采购人并提供风险应对方案确保产品的服务保障</w:t>
            </w:r>
          </w:p>
        </w:tc>
        <w:tc>
          <w:tcPr>
            <w:tcW w:w="1026" w:type="dxa"/>
            <w:tcBorders>
              <w:top w:val="single" w:color="000000" w:sz="4" w:space="0"/>
              <w:left w:val="single" w:color="000000" w:sz="4" w:space="0"/>
              <w:bottom w:val="single" w:color="000000" w:sz="4" w:space="0"/>
              <w:right w:val="single" w:color="000000" w:sz="4" w:space="0"/>
            </w:tcBorders>
            <w:vAlign w:val="center"/>
          </w:tcPr>
          <w:p w14:paraId="44A95A40">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7AFD1B99">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CEB609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4CE54BA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182</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3936A55">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963089C">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供应能力证明</w:t>
            </w:r>
          </w:p>
        </w:tc>
        <w:tc>
          <w:tcPr>
            <w:tcW w:w="3216" w:type="dxa"/>
            <w:tcBorders>
              <w:top w:val="single" w:color="000000" w:sz="4" w:space="0"/>
              <w:left w:val="single" w:color="000000" w:sz="4" w:space="0"/>
              <w:bottom w:val="single" w:color="000000" w:sz="4" w:space="0"/>
              <w:right w:val="single" w:color="000000" w:sz="4" w:space="0"/>
            </w:tcBorders>
            <w:vAlign w:val="center"/>
          </w:tcPr>
          <w:p w14:paraId="074E1853">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供应商提供供应链稳定承诺书，确保产品的部件在产品服务周期内稳定供货</w:t>
            </w:r>
          </w:p>
        </w:tc>
        <w:tc>
          <w:tcPr>
            <w:tcW w:w="1026" w:type="dxa"/>
            <w:tcBorders>
              <w:top w:val="single" w:color="000000" w:sz="4" w:space="0"/>
              <w:left w:val="single" w:color="000000" w:sz="4" w:space="0"/>
              <w:bottom w:val="single" w:color="000000" w:sz="4" w:space="0"/>
              <w:right w:val="single" w:color="000000" w:sz="4" w:space="0"/>
            </w:tcBorders>
            <w:vAlign w:val="center"/>
          </w:tcPr>
          <w:p w14:paraId="5A07DED9">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1FDF561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B18A495">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5B6EC676">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183</w:t>
            </w:r>
          </w:p>
        </w:tc>
        <w:tc>
          <w:tcPr>
            <w:tcW w:w="1716" w:type="dxa"/>
            <w:tcBorders>
              <w:top w:val="single" w:color="000000" w:sz="4" w:space="0"/>
              <w:left w:val="single" w:color="000000" w:sz="4" w:space="0"/>
              <w:bottom w:val="single" w:color="000000" w:sz="4" w:space="0"/>
              <w:right w:val="single" w:color="000000" w:sz="4" w:space="0"/>
            </w:tcBorders>
            <w:vAlign w:val="center"/>
          </w:tcPr>
          <w:p w14:paraId="43C0910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关键部件安全要求</w:t>
            </w:r>
          </w:p>
        </w:tc>
        <w:tc>
          <w:tcPr>
            <w:tcW w:w="1383" w:type="dxa"/>
            <w:tcBorders>
              <w:top w:val="single" w:color="000000" w:sz="4" w:space="0"/>
              <w:left w:val="single" w:color="000000" w:sz="4" w:space="0"/>
              <w:bottom w:val="single" w:color="000000" w:sz="4" w:space="0"/>
              <w:right w:val="nil"/>
            </w:tcBorders>
            <w:vAlign w:val="center"/>
          </w:tcPr>
          <w:p w14:paraId="4D87C20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关键部件安全要求3</w:t>
            </w:r>
          </w:p>
        </w:tc>
        <w:tc>
          <w:tcPr>
            <w:tcW w:w="3216" w:type="dxa"/>
            <w:tcBorders>
              <w:top w:val="single" w:color="000000" w:sz="4" w:space="0"/>
              <w:left w:val="single" w:color="000000" w:sz="4" w:space="0"/>
              <w:bottom w:val="single" w:color="000000" w:sz="4" w:space="0"/>
              <w:right w:val="single" w:color="000000" w:sz="4" w:space="0"/>
            </w:tcBorders>
            <w:vAlign w:val="center"/>
          </w:tcPr>
          <w:p w14:paraId="6C2B919C">
            <w:pPr>
              <w:keepNext/>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5E7DEC4E">
            <w:pPr>
              <w:keepNext/>
              <w:jc w:val="center"/>
              <w:textAlignment w:val="center"/>
              <w:rPr>
                <w:rFonts w:hint="eastAsia" w:cs="仿宋_GB2312" w:asciiTheme="majorEastAsia" w:hAnsiTheme="majorEastAsia" w:eastAsiaTheme="majorEastAsia"/>
                <w:color w:val="auto"/>
                <w:highlight w:val="none"/>
              </w:rPr>
            </w:pPr>
            <w:r>
              <w:rPr>
                <w:rFonts w:hint="eastAsia" w:cs="仿宋_GB2312" w:asciiTheme="majorEastAsia" w:hAnsiTheme="majorEastAsia" w:eastAsiaTheme="majorEastAsia"/>
                <w:color w:val="auto"/>
                <w:highlight w:val="none"/>
              </w:rPr>
              <w:t>/</w:t>
            </w:r>
          </w:p>
        </w:tc>
      </w:tr>
      <w:tr w14:paraId="526405DF">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5F5629A">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41D49007">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184</w:t>
            </w:r>
          </w:p>
        </w:tc>
        <w:tc>
          <w:tcPr>
            <w:tcW w:w="1716" w:type="dxa"/>
            <w:vMerge w:val="restart"/>
            <w:tcBorders>
              <w:top w:val="single" w:color="000000" w:sz="4" w:space="0"/>
              <w:left w:val="single" w:color="000000" w:sz="4" w:space="0"/>
              <w:bottom w:val="single" w:color="000000" w:sz="4" w:space="0"/>
              <w:right w:val="single" w:color="000000" w:sz="4" w:space="0"/>
            </w:tcBorders>
            <w:vAlign w:val="center"/>
          </w:tcPr>
          <w:p w14:paraId="12A62D78">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整机安全性要求</w:t>
            </w:r>
          </w:p>
        </w:tc>
        <w:tc>
          <w:tcPr>
            <w:tcW w:w="1383" w:type="dxa"/>
            <w:tcBorders>
              <w:top w:val="single" w:color="000000" w:sz="4" w:space="0"/>
              <w:left w:val="single" w:color="000000" w:sz="4" w:space="0"/>
              <w:bottom w:val="single" w:color="000000" w:sz="4" w:space="0"/>
              <w:right w:val="nil"/>
            </w:tcBorders>
            <w:vAlign w:val="center"/>
          </w:tcPr>
          <w:p w14:paraId="0C2B0EA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密码算法实现</w:t>
            </w:r>
          </w:p>
        </w:tc>
        <w:tc>
          <w:tcPr>
            <w:tcW w:w="3216" w:type="dxa"/>
            <w:tcBorders>
              <w:top w:val="single" w:color="000000" w:sz="4" w:space="0"/>
              <w:left w:val="single" w:color="000000" w:sz="4" w:space="0"/>
              <w:bottom w:val="single" w:color="000000" w:sz="4" w:space="0"/>
              <w:right w:val="single" w:color="000000" w:sz="4" w:space="0"/>
            </w:tcBorders>
            <w:vAlign w:val="center"/>
          </w:tcPr>
          <w:p w14:paraId="6ADE60D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7035936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rPr>
              <w:t>/</w:t>
            </w:r>
          </w:p>
        </w:tc>
      </w:tr>
      <w:tr w14:paraId="1B6DB5D7">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62420BCF">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1ACBEF33">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185</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1CA439B1">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6345FDAF">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USB 端口管控</w:t>
            </w:r>
          </w:p>
        </w:tc>
        <w:tc>
          <w:tcPr>
            <w:tcW w:w="3216" w:type="dxa"/>
            <w:tcBorders>
              <w:top w:val="single" w:color="000000" w:sz="4" w:space="0"/>
              <w:left w:val="single" w:color="000000" w:sz="4" w:space="0"/>
              <w:bottom w:val="single" w:color="000000" w:sz="4" w:space="0"/>
              <w:right w:val="single" w:color="000000" w:sz="4" w:space="0"/>
            </w:tcBorders>
            <w:vAlign w:val="center"/>
          </w:tcPr>
          <w:p w14:paraId="0F22203B">
            <w:pPr>
              <w:keepNext/>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支持 USB 端口管控</w:t>
            </w:r>
          </w:p>
        </w:tc>
        <w:tc>
          <w:tcPr>
            <w:tcW w:w="1026" w:type="dxa"/>
            <w:tcBorders>
              <w:top w:val="single" w:color="000000" w:sz="4" w:space="0"/>
              <w:left w:val="single" w:color="000000" w:sz="4" w:space="0"/>
              <w:bottom w:val="single" w:color="000000" w:sz="4" w:space="0"/>
              <w:right w:val="single" w:color="000000" w:sz="4" w:space="0"/>
            </w:tcBorders>
            <w:vAlign w:val="center"/>
          </w:tcPr>
          <w:p w14:paraId="2B3B425D">
            <w:pPr>
              <w:keepNext/>
              <w:jc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是</w:t>
            </w:r>
          </w:p>
        </w:tc>
      </w:tr>
      <w:tr w14:paraId="6451B9B8">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5AE5BA97">
            <w:pPr>
              <w:keepNext/>
              <w:jc w:val="center"/>
              <w:rPr>
                <w:rFonts w:hint="eastAsia" w:cs="仿宋_GB2312" w:asciiTheme="majorEastAsia" w:hAnsiTheme="majorEastAsia" w:eastAsiaTheme="majorEastAsia"/>
                <w:color w:val="auto"/>
                <w:highlight w:val="none"/>
                <w:lang w:val="zh-TW" w:eastAsia="zh-TW"/>
              </w:rPr>
            </w:pPr>
          </w:p>
        </w:tc>
        <w:tc>
          <w:tcPr>
            <w:tcW w:w="757" w:type="dxa"/>
            <w:tcBorders>
              <w:top w:val="single" w:color="000000" w:sz="4" w:space="0"/>
              <w:left w:val="single" w:color="000000" w:sz="4" w:space="0"/>
              <w:bottom w:val="single" w:color="000000" w:sz="4" w:space="0"/>
              <w:right w:val="single" w:color="000000" w:sz="4" w:space="0"/>
            </w:tcBorders>
            <w:vAlign w:val="center"/>
          </w:tcPr>
          <w:p w14:paraId="3A34299E">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186</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E2D686A">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2F0B986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安全物理锁</w:t>
            </w:r>
          </w:p>
        </w:tc>
        <w:tc>
          <w:tcPr>
            <w:tcW w:w="3216" w:type="dxa"/>
            <w:tcBorders>
              <w:top w:val="single" w:color="000000" w:sz="4" w:space="0"/>
              <w:left w:val="single" w:color="000000" w:sz="4" w:space="0"/>
              <w:bottom w:val="single" w:color="000000" w:sz="4" w:space="0"/>
              <w:right w:val="single" w:color="000000" w:sz="4" w:space="0"/>
            </w:tcBorders>
            <w:vAlign w:val="center"/>
          </w:tcPr>
          <w:p w14:paraId="6AE3796B">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1026" w:type="dxa"/>
            <w:tcBorders>
              <w:top w:val="single" w:color="000000" w:sz="4" w:space="0"/>
              <w:left w:val="single" w:color="000000" w:sz="4" w:space="0"/>
              <w:bottom w:val="single" w:color="000000" w:sz="4" w:space="0"/>
              <w:right w:val="single" w:color="000000" w:sz="4" w:space="0"/>
            </w:tcBorders>
            <w:vAlign w:val="center"/>
          </w:tcPr>
          <w:p w14:paraId="33B5E65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rPr>
              <w:t>/</w:t>
            </w:r>
          </w:p>
        </w:tc>
      </w:tr>
      <w:tr w14:paraId="6E68C884">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2E4EB132">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BF08D7A">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187</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767051A4">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4DF8F5FE">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信息安全基本要求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6301DD06">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a) 产品应符合 GB/T 39276 的 5.2 的规定；</w:t>
            </w:r>
          </w:p>
          <w:p w14:paraId="59892185">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b) 生产厂商应建立漏洞跟踪表，保证产品版本涉及到的漏洞(如驱动程序等)可查看；</w:t>
            </w:r>
          </w:p>
          <w:p w14:paraId="7CD7CC32">
            <w:pPr>
              <w:keepNext/>
              <w:textAlignment w:val="center"/>
              <w:rPr>
                <w:rFonts w:hint="eastAsia" w:cs="仿宋_GB2312" w:asciiTheme="majorEastAsia" w:hAnsiTheme="majorEastAsia" w:eastAsiaTheme="majorEastAsia"/>
                <w:color w:val="auto"/>
                <w:highlight w:val="none"/>
                <w:lang w:eastAsia="zh-CN" w:bidi="ar"/>
              </w:rPr>
            </w:pPr>
            <w:r>
              <w:rPr>
                <w:rFonts w:hint="eastAsia" w:cs="仿宋_GB2312" w:asciiTheme="majorEastAsia" w:hAnsiTheme="majorEastAsia" w:eastAsiaTheme="majorEastAsia"/>
                <w:color w:val="auto"/>
                <w:highlight w:val="none"/>
                <w:lang w:eastAsia="zh-CN" w:bidi="ar"/>
              </w:rPr>
              <w:t>c) 产品不得包含已知的恶意代码或漏洞，不存在未声明的指令、功能、接口</w:t>
            </w:r>
          </w:p>
          <w:p w14:paraId="7DC1950B">
            <w:pPr>
              <w:keepNext/>
              <w:textAlignment w:val="center"/>
              <w:rPr>
                <w:rFonts w:hint="eastAsia" w:cs="仿宋_GB2312" w:asciiTheme="majorEastAsia" w:hAnsiTheme="majorEastAsia" w:eastAsiaTheme="majorEastAsia"/>
                <w:color w:val="auto"/>
                <w:highlight w:val="none"/>
                <w:lang w:eastAsia="zh-TW" w:bidi="ar"/>
              </w:rPr>
            </w:pPr>
            <w:r>
              <w:rPr>
                <w:rFonts w:hint="eastAsia" w:cs="仿宋_GB2312" w:asciiTheme="majorEastAsia" w:hAnsiTheme="majorEastAsia" w:eastAsiaTheme="majorEastAsia"/>
                <w:color w:val="auto"/>
                <w:highlight w:val="none"/>
                <w:lang w:eastAsia="zh-CN" w:bidi="ar"/>
              </w:rPr>
              <w:t>d) 生产厂商需通过信息安全服务资质</w:t>
            </w:r>
          </w:p>
        </w:tc>
        <w:tc>
          <w:tcPr>
            <w:tcW w:w="1026" w:type="dxa"/>
            <w:tcBorders>
              <w:top w:val="single" w:color="000000" w:sz="4" w:space="0"/>
              <w:left w:val="single" w:color="000000" w:sz="4" w:space="0"/>
              <w:bottom w:val="single" w:color="000000" w:sz="4" w:space="0"/>
              <w:right w:val="single" w:color="000000" w:sz="4" w:space="0"/>
            </w:tcBorders>
            <w:vAlign w:val="center"/>
          </w:tcPr>
          <w:p w14:paraId="067FC302">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9BF018E">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44E150E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12E9D649">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188</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2FCE679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1C69DB9D">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固件安全启动</w:t>
            </w:r>
          </w:p>
        </w:tc>
        <w:tc>
          <w:tcPr>
            <w:tcW w:w="3216" w:type="dxa"/>
            <w:tcBorders>
              <w:top w:val="single" w:color="000000" w:sz="4" w:space="0"/>
              <w:left w:val="single" w:color="000000" w:sz="4" w:space="0"/>
              <w:bottom w:val="single" w:color="000000" w:sz="4" w:space="0"/>
              <w:right w:val="single" w:color="000000" w:sz="4" w:space="0"/>
            </w:tcBorders>
            <w:vAlign w:val="center"/>
          </w:tcPr>
          <w:p w14:paraId="241AC6E4">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eastAsia="zh-CN" w:bidi="ar"/>
              </w:rPr>
              <w:t>支持固件安全启动功能，固件启动过程中只有通过启动校验才能正常启动</w:t>
            </w:r>
          </w:p>
        </w:tc>
        <w:tc>
          <w:tcPr>
            <w:tcW w:w="1026" w:type="dxa"/>
            <w:tcBorders>
              <w:top w:val="single" w:color="000000" w:sz="4" w:space="0"/>
              <w:left w:val="single" w:color="000000" w:sz="4" w:space="0"/>
              <w:bottom w:val="single" w:color="000000" w:sz="4" w:space="0"/>
              <w:right w:val="single" w:color="000000" w:sz="4" w:space="0"/>
            </w:tcBorders>
            <w:vAlign w:val="center"/>
          </w:tcPr>
          <w:p w14:paraId="324CDCCA">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r w14:paraId="45AC8D00">
        <w:tblPrEx>
          <w:tblCellMar>
            <w:top w:w="0" w:type="dxa"/>
            <w:left w:w="108" w:type="dxa"/>
            <w:bottom w:w="0" w:type="dxa"/>
            <w:right w:w="108" w:type="dxa"/>
          </w:tblCellMar>
        </w:tblPrEx>
        <w:trPr>
          <w:jc w:val="center"/>
        </w:trPr>
        <w:tc>
          <w:tcPr>
            <w:tcW w:w="816" w:type="dxa"/>
            <w:tcBorders>
              <w:top w:val="single" w:color="000000" w:sz="4" w:space="0"/>
              <w:left w:val="single" w:color="000000" w:sz="4" w:space="0"/>
              <w:bottom w:val="single" w:color="000000" w:sz="4" w:space="0"/>
              <w:right w:val="single" w:color="000000" w:sz="4" w:space="0"/>
            </w:tcBorders>
            <w:vAlign w:val="center"/>
          </w:tcPr>
          <w:p w14:paraId="3FAB8C10">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w:t>
            </w:r>
          </w:p>
        </w:tc>
        <w:tc>
          <w:tcPr>
            <w:tcW w:w="757" w:type="dxa"/>
            <w:tcBorders>
              <w:top w:val="single" w:color="000000" w:sz="4" w:space="0"/>
              <w:left w:val="single" w:color="000000" w:sz="4" w:space="0"/>
              <w:bottom w:val="single" w:color="000000" w:sz="4" w:space="0"/>
              <w:right w:val="single" w:color="000000" w:sz="4" w:space="0"/>
            </w:tcBorders>
            <w:vAlign w:val="center"/>
          </w:tcPr>
          <w:p w14:paraId="332915BC">
            <w:pPr>
              <w:keepNext/>
              <w:jc w:val="center"/>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189</w:t>
            </w:r>
          </w:p>
        </w:tc>
        <w:tc>
          <w:tcPr>
            <w:tcW w:w="1716" w:type="dxa"/>
            <w:vMerge w:val="continue"/>
            <w:tcBorders>
              <w:top w:val="single" w:color="000000" w:sz="4" w:space="0"/>
              <w:left w:val="single" w:color="000000" w:sz="4" w:space="0"/>
              <w:bottom w:val="single" w:color="000000" w:sz="4" w:space="0"/>
              <w:right w:val="single" w:color="000000" w:sz="4" w:space="0"/>
            </w:tcBorders>
            <w:vAlign w:val="center"/>
          </w:tcPr>
          <w:p w14:paraId="4A33918E">
            <w:pPr>
              <w:keepNext/>
              <w:rPr>
                <w:rFonts w:hint="eastAsia" w:cs="仿宋_GB2312" w:asciiTheme="majorEastAsia" w:hAnsiTheme="majorEastAsia" w:eastAsiaTheme="majorEastAsia"/>
                <w:color w:val="auto"/>
                <w:highlight w:val="none"/>
                <w:lang w:val="zh-TW" w:eastAsia="zh-TW"/>
              </w:rPr>
            </w:pPr>
          </w:p>
        </w:tc>
        <w:tc>
          <w:tcPr>
            <w:tcW w:w="1383" w:type="dxa"/>
            <w:tcBorders>
              <w:top w:val="single" w:color="000000" w:sz="4" w:space="0"/>
              <w:left w:val="single" w:color="000000" w:sz="4" w:space="0"/>
              <w:bottom w:val="single" w:color="000000" w:sz="4" w:space="0"/>
              <w:right w:val="nil"/>
            </w:tcBorders>
            <w:vAlign w:val="center"/>
          </w:tcPr>
          <w:p w14:paraId="3763E0A2">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限用物质的限量要求</w:t>
            </w:r>
          </w:p>
        </w:tc>
        <w:tc>
          <w:tcPr>
            <w:tcW w:w="3216" w:type="dxa"/>
            <w:tcBorders>
              <w:top w:val="single" w:color="000000" w:sz="4" w:space="0"/>
              <w:left w:val="single" w:color="000000" w:sz="4" w:space="0"/>
              <w:bottom w:val="single" w:color="000000" w:sz="4" w:space="0"/>
              <w:right w:val="single" w:color="000000" w:sz="4" w:space="0"/>
            </w:tcBorders>
            <w:vAlign w:val="center"/>
          </w:tcPr>
          <w:p w14:paraId="0DAD7DD9">
            <w:pPr>
              <w:keepNext/>
              <w:textAlignment w:val="center"/>
              <w:rPr>
                <w:rFonts w:hint="eastAsia" w:cs="仿宋_GB2312" w:asciiTheme="majorEastAsia" w:hAnsiTheme="majorEastAsia" w:eastAsiaTheme="majorEastAsia"/>
                <w:color w:val="auto"/>
                <w:highlight w:val="none"/>
                <w:lang w:val="zh-TW" w:eastAsia="zh-TW"/>
              </w:rPr>
            </w:pPr>
            <w:r>
              <w:rPr>
                <w:rFonts w:hint="eastAsia" w:cs="仿宋_GB2312" w:asciiTheme="majorEastAsia" w:hAnsiTheme="majorEastAsia" w:eastAsiaTheme="majorEastAsia"/>
                <w:color w:val="auto"/>
                <w:highlight w:val="none"/>
                <w:lang w:bidi="ar"/>
              </w:rPr>
              <w:t>符合 GB/T 26572 中规定</w:t>
            </w:r>
          </w:p>
        </w:tc>
        <w:tc>
          <w:tcPr>
            <w:tcW w:w="1026" w:type="dxa"/>
            <w:tcBorders>
              <w:top w:val="single" w:color="000000" w:sz="4" w:space="0"/>
              <w:left w:val="single" w:color="000000" w:sz="4" w:space="0"/>
              <w:bottom w:val="single" w:color="000000" w:sz="4" w:space="0"/>
              <w:right w:val="single" w:color="000000" w:sz="4" w:space="0"/>
            </w:tcBorders>
            <w:vAlign w:val="center"/>
          </w:tcPr>
          <w:p w14:paraId="53C19CE3">
            <w:pPr>
              <w:keepNext/>
              <w:jc w:val="center"/>
              <w:textAlignment w:val="center"/>
              <w:rPr>
                <w:rFonts w:hint="eastAsia" w:cs="仿宋_GB2312" w:asciiTheme="majorEastAsia" w:hAnsiTheme="majorEastAsia" w:eastAsiaTheme="majorEastAsia"/>
                <w:color w:val="auto"/>
                <w:highlight w:val="none"/>
                <w:lang w:bidi="ar"/>
              </w:rPr>
            </w:pPr>
            <w:r>
              <w:rPr>
                <w:rFonts w:hint="eastAsia" w:cs="仿宋_GB2312" w:asciiTheme="majorEastAsia" w:hAnsiTheme="majorEastAsia" w:eastAsiaTheme="majorEastAsia"/>
                <w:color w:val="auto"/>
                <w:highlight w:val="none"/>
                <w:lang w:bidi="ar"/>
              </w:rPr>
              <w:t>否</w:t>
            </w:r>
          </w:p>
        </w:tc>
      </w:tr>
    </w:tbl>
    <w:p w14:paraId="5A9BF48B">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备注：关于“证明材料要求”：</w:t>
      </w:r>
    </w:p>
    <w:p w14:paraId="1AC75C01">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（1）投标人在投标环节出具关于所提供台式计算机满足采购文件要求承诺函的，即视为相关产品符合要求，无需单独出具证明材料；</w:t>
      </w:r>
    </w:p>
    <w:p w14:paraId="07AA1F5B">
      <w:pPr>
        <w:pStyle w:val="6"/>
        <w:kinsoku/>
        <w:wordWrap w:val="0"/>
        <w:spacing w:line="360" w:lineRule="auto"/>
        <w:ind w:firstLine="478"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2）采购人将按照采购合同约定对中标人提供的台式计算机进行验收，必要时委托依法取得检测、认证资质的机构进行检测、认证。对于供应商未按合同约定提供台式计算机的，采购人应当依法追究其违约责任。</w:t>
      </w:r>
    </w:p>
    <w:p w14:paraId="24819E2F">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（四）其他</w:t>
      </w:r>
    </w:p>
    <w:p w14:paraId="1B9E266D">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1.核心产品:□关于核心产品本项目/包不适用。</w:t>
      </w:r>
    </w:p>
    <w:p w14:paraId="1D34E3AA">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□本项目/包为单一产品采购项目。</w:t>
      </w:r>
    </w:p>
    <w:p w14:paraId="110EAFDA">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☑本项目/包为非单一产品采购项目，核心产品为：</w:t>
      </w:r>
      <w:r>
        <w:rPr>
          <w:rFonts w:hint="eastAsia" w:asciiTheme="minorEastAsia" w:hAnsiTheme="minorEastAsia" w:eastAsiaTheme="minorEastAsia" w:cstheme="minorEastAsia"/>
          <w:color w:val="auto"/>
          <w:spacing w:val="-1"/>
          <w:sz w:val="24"/>
          <w:szCs w:val="24"/>
          <w:highlight w:val="none"/>
          <w:u w:val="single"/>
          <w:lang w:eastAsia="zh-CN"/>
        </w:rPr>
        <w:t>电气控制系统综合实践平台</w:t>
      </w:r>
      <w:r>
        <w:rPr>
          <w:rFonts w:hint="eastAsia" w:asciiTheme="minorEastAsia" w:hAnsiTheme="minorEastAsia" w:eastAsiaTheme="minorEastAsia" w:cstheme="minorEastAsia"/>
          <w:color w:val="auto"/>
          <w:spacing w:val="-1"/>
          <w:sz w:val="24"/>
          <w:szCs w:val="24"/>
          <w:highlight w:val="none"/>
          <w:lang w:eastAsia="zh-CN"/>
        </w:rPr>
        <w:t>,多家投标人提供的核心产品品牌相同且通过资格审查、符合性审查的，按一家投标人计算，评审后得分最高的同品牌投标人获得中标人推荐。</w:t>
      </w:r>
    </w:p>
    <w:p w14:paraId="7B7CEF6B">
      <w:pPr>
        <w:pStyle w:val="6"/>
        <w:kinsoku/>
        <w:wordWrap w:val="0"/>
        <w:spacing w:line="360" w:lineRule="auto"/>
        <w:ind w:firstLine="476" w:firstLineChars="200"/>
        <w:jc w:val="both"/>
        <w:rPr>
          <w:rFonts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2.加★项的处理方式：采购需求中相对重要的技术参数，不响应视为负偏离，不作为废标条件。</w:t>
      </w:r>
    </w:p>
    <w:p w14:paraId="00600548">
      <w:pPr>
        <w:pStyle w:val="6"/>
        <w:kinsoku/>
        <w:wordWrap w:val="0"/>
        <w:spacing w:line="360" w:lineRule="auto"/>
        <w:ind w:firstLine="476" w:firstLineChars="200"/>
        <w:jc w:val="both"/>
        <w:rPr>
          <w:rFonts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snapToGrid w:val="0"/>
          <w:color w:val="auto"/>
          <w:spacing w:val="-1"/>
          <w:kern w:val="0"/>
          <w:sz w:val="24"/>
          <w:szCs w:val="24"/>
          <w:highlight w:val="none"/>
          <w:lang w:val="en-US" w:eastAsia="zh-CN" w:bidi="ar-SA"/>
        </w:rPr>
        <w:t>3.</w:t>
      </w:r>
      <w:r>
        <w:rPr>
          <w:rFonts w:hint="eastAsia" w:asciiTheme="minorEastAsia" w:hAnsiTheme="minorEastAsia" w:eastAsiaTheme="minorEastAsia" w:cstheme="minorEastAsia"/>
          <w:color w:val="auto"/>
          <w:spacing w:val="-1"/>
          <w:sz w:val="24"/>
          <w:szCs w:val="24"/>
          <w:highlight w:val="none"/>
          <w:lang w:eastAsia="zh-CN"/>
        </w:rPr>
        <w:t>加▲项的处理方式：不允许</w:t>
      </w:r>
      <w:r>
        <w:rPr>
          <w:rFonts w:hint="eastAsia" w:asciiTheme="minorEastAsia" w:hAnsiTheme="minorEastAsia" w:eastAsiaTheme="minorEastAsia" w:cstheme="minorEastAsia"/>
          <w:color w:val="auto"/>
          <w:spacing w:val="-1"/>
          <w:sz w:val="24"/>
          <w:szCs w:val="24"/>
          <w:highlight w:val="none"/>
          <w:lang w:val="en-US" w:eastAsia="zh-CN"/>
        </w:rPr>
        <w:t>负</w:t>
      </w:r>
      <w:r>
        <w:rPr>
          <w:rFonts w:hint="eastAsia" w:asciiTheme="minorEastAsia" w:hAnsiTheme="minorEastAsia" w:eastAsiaTheme="minorEastAsia" w:cstheme="minorEastAsia"/>
          <w:color w:val="auto"/>
          <w:spacing w:val="-1"/>
          <w:sz w:val="24"/>
          <w:szCs w:val="24"/>
          <w:highlight w:val="none"/>
          <w:lang w:eastAsia="zh-CN"/>
        </w:rPr>
        <w:t>偏离的实质性要求和条件。</w:t>
      </w:r>
    </w:p>
    <w:p w14:paraId="1B38AA0E">
      <w:pPr>
        <w:pStyle w:val="6"/>
        <w:kinsoku/>
        <w:wordWrap w:val="0"/>
        <w:spacing w:line="360" w:lineRule="auto"/>
        <w:jc w:val="both"/>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6" w14:cap="flat" w14:cmpd="sng" w14:algn="ctr">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1"/>
          <w:sz w:val="24"/>
          <w:szCs w:val="24"/>
          <w:highlight w:val="none"/>
          <w:lang w:eastAsia="zh-CN"/>
          <w14:textOutline w14:w="1536" w14:cap="flat" w14:cmpd="sng" w14:algn="ctr">
            <w14:solidFill>
              <w14:srgbClr w14:val="000000"/>
            </w14:solidFill>
            <w14:prstDash w14:val="solid"/>
            <w14:miter w14:val="0"/>
          </w14:textOutline>
        </w:rPr>
        <w:t>项目</w:t>
      </w:r>
      <w:r>
        <w:rPr>
          <w:rFonts w:hint="eastAsia" w:asciiTheme="minorEastAsia" w:hAnsiTheme="minorEastAsia" w:eastAsiaTheme="minorEastAsia" w:cstheme="minorEastAsia"/>
          <w:color w:val="auto"/>
          <w:spacing w:val="1"/>
          <w:sz w:val="24"/>
          <w:szCs w:val="24"/>
          <w:highlight w:val="none"/>
          <w14:textOutline w14:w="1536" w14:cap="flat" w14:cmpd="sng" w14:algn="ctr">
            <w14:solidFill>
              <w14:srgbClr w14:val="000000"/>
            </w14:solidFill>
            <w14:prstDash w14:val="solid"/>
            <w14:miter w14:val="0"/>
          </w14:textOutline>
        </w:rPr>
        <w:t>商务要求</w:t>
      </w:r>
    </w:p>
    <w:p w14:paraId="5E3826CB">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1.交货安装时间：合同签订后15日历天内，并具备验收使用条件。</w:t>
      </w:r>
    </w:p>
    <w:p w14:paraId="6A26F840">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2.交货安装地点：南阳工业学校</w:t>
      </w:r>
    </w:p>
    <w:p w14:paraId="063B2084">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3.验收方式：货物交付前，乙方应对货物的质量、数量等方面进行详细、全面的检验，并向甲方出具证明货物符合合同约定的文件；乙方安装调试后，在3天内通知甲方组织验收。甲方自主验收或者组织（包括依法邀请国家认可的质量检测机构参加）对乙方履约的验收。验收不合格，甲方通知乙方整改，乙方整改合格后再申请再次验收，期间产生的验收费用全部由乙方承担。</w:t>
      </w:r>
    </w:p>
    <w:p w14:paraId="2E32A570">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4.付款方式：甲方验收合同约定的服务内容合格后，甲方在乙方开具发票且具备付款条件之日起7个工作日内向乙方支付合同价的 100 %。</w:t>
      </w:r>
    </w:p>
    <w:p w14:paraId="7B879EAB">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5.包装和运输：由中标人负责。</w:t>
      </w:r>
    </w:p>
    <w:p w14:paraId="00A10835">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6.质保期：供应商承诺自项目验收合格之日起，提供3年免费服务期，质量保证期和免费维修期内，乙方对所供货无条件包修、包换、包退。</w:t>
      </w:r>
    </w:p>
    <w:p w14:paraId="68AF083D">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7.关于强制节能产品的要求。</w:t>
      </w:r>
    </w:p>
    <w:p w14:paraId="71B4239D">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（1）本项目若含有政府强制采购产品，投标人须选用政府强制采购节能产品。(对于强制采购的节能产品交货时必须提供节能证明材料)</w:t>
      </w:r>
    </w:p>
    <w:p w14:paraId="7AA6F1A5">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2）强制采购的节能产品:台式计算机，便携式计算机，平板式微型计算机，激光打印机，针式打印机，制冷压缩机，空调机组专用制冷、空调设备，镇流器，空调机，电热水器，普通照明用双端荧光灯，电视设备，液晶显示器，视频设备，便器，水嘴等品目为政府强制采购的节能产品。其他品目为政府优先采购的节能产品。</w:t>
      </w:r>
    </w:p>
    <w:p w14:paraId="2E59EB6F">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（3）投标人所投产品如属于政府优先节能产品或环境标志产品，应提供处于有效期之内认证证书等相关证明，在评标时予以优先采购。</w:t>
      </w:r>
    </w:p>
    <w:p w14:paraId="19333794">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8.保险：由中标人负责</w:t>
      </w:r>
    </w:p>
    <w:p w14:paraId="6AD8FF59">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9.质量要求：合格，达到国家相关规范标准并保证通过验收。</w:t>
      </w:r>
    </w:p>
    <w:p w14:paraId="5EDEA0D8">
      <w:pPr>
        <w:pStyle w:val="6"/>
        <w:kinsoku/>
        <w:wordWrap w:val="0"/>
        <w:spacing w:line="360" w:lineRule="auto"/>
        <w:ind w:firstLine="478"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eastAsia" w:asciiTheme="minorEastAsia" w:hAnsiTheme="minorEastAsia" w:eastAsiaTheme="minorEastAsia" w:cstheme="minorEastAsia"/>
          <w:b/>
          <w:bCs/>
          <w:color w:val="auto"/>
          <w:spacing w:val="-1"/>
          <w:sz w:val="24"/>
          <w:szCs w:val="24"/>
          <w:highlight w:val="none"/>
          <w:lang w:val="en-US" w:eastAsia="zh-CN"/>
        </w:rPr>
        <w:t>10</w:t>
      </w:r>
      <w:r>
        <w:rPr>
          <w:rFonts w:hint="default" w:asciiTheme="minorEastAsia" w:hAnsiTheme="minorEastAsia" w:eastAsiaTheme="minorEastAsia" w:cstheme="minorEastAsia"/>
          <w:b/>
          <w:bCs/>
          <w:color w:val="auto"/>
          <w:spacing w:val="-1"/>
          <w:sz w:val="24"/>
          <w:szCs w:val="24"/>
          <w:highlight w:val="none"/>
          <w:lang w:val="en-US" w:eastAsia="zh-CN"/>
        </w:rPr>
        <w:t>.成交供应商应当按照合同约定提供样品至采购人指定地点，作为合同履行及验收的一部分。样品经测试不符合合同约定技术要求的，采购人有权要求供应商限期整改或更换；拒不整改或无法满足合同要求的，按合同约定追究违约责任（包括但不限于整改、退换货、赔偿直接损失）。</w:t>
      </w:r>
    </w:p>
    <w:p w14:paraId="3B2CCD0E">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eastAsia" w:asciiTheme="minorEastAsia" w:hAnsiTheme="minorEastAsia" w:eastAsiaTheme="minorEastAsia" w:cstheme="minorEastAsia"/>
          <w:color w:val="auto"/>
          <w:spacing w:val="-1"/>
          <w:sz w:val="24"/>
          <w:szCs w:val="24"/>
          <w:highlight w:val="none"/>
          <w:lang w:val="en-US" w:eastAsia="zh-CN"/>
        </w:rPr>
        <w:t>11</w:t>
      </w:r>
      <w:r>
        <w:rPr>
          <w:rFonts w:hint="default" w:asciiTheme="minorEastAsia" w:hAnsiTheme="minorEastAsia" w:eastAsiaTheme="minorEastAsia" w:cstheme="minorEastAsia"/>
          <w:color w:val="auto"/>
          <w:spacing w:val="-1"/>
          <w:sz w:val="24"/>
          <w:szCs w:val="24"/>
          <w:highlight w:val="none"/>
          <w:lang w:val="en-US" w:eastAsia="zh-CN"/>
        </w:rPr>
        <w:t>.☑有演示，</w:t>
      </w:r>
      <w:r>
        <w:rPr>
          <w:rFonts w:hint="eastAsia" w:asciiTheme="minorEastAsia" w:hAnsiTheme="minorEastAsia" w:eastAsiaTheme="minorEastAsia" w:cstheme="minorEastAsia"/>
          <w:color w:val="auto"/>
          <w:spacing w:val="-1"/>
          <w:sz w:val="24"/>
          <w:szCs w:val="24"/>
          <w:highlight w:val="none"/>
          <w:lang w:val="en-US" w:eastAsia="zh-CN"/>
        </w:rPr>
        <w:t>进行</w:t>
      </w:r>
      <w:r>
        <w:rPr>
          <w:rFonts w:hint="default" w:asciiTheme="minorEastAsia" w:hAnsiTheme="minorEastAsia" w:eastAsiaTheme="minorEastAsia" w:cstheme="minorEastAsia"/>
          <w:color w:val="auto"/>
          <w:spacing w:val="-1"/>
          <w:sz w:val="24"/>
          <w:szCs w:val="24"/>
          <w:highlight w:val="none"/>
          <w:lang w:val="en-US" w:eastAsia="zh-CN"/>
        </w:rPr>
        <w:t>不见面演示。</w:t>
      </w:r>
    </w:p>
    <w:p w14:paraId="1F28A932">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（1）投标人应制作并提供本项目</w:t>
      </w:r>
      <w:r>
        <w:rPr>
          <w:rFonts w:hint="eastAsia" w:asciiTheme="minorEastAsia" w:hAnsiTheme="minorEastAsia" w:eastAsiaTheme="minorEastAsia" w:cstheme="minorEastAsia"/>
          <w:color w:val="auto"/>
          <w:spacing w:val="-1"/>
          <w:sz w:val="24"/>
          <w:szCs w:val="24"/>
          <w:highlight w:val="none"/>
          <w:lang w:val="en-US" w:eastAsia="zh-CN"/>
        </w:rPr>
        <w:t>部分功能</w:t>
      </w:r>
      <w:r>
        <w:rPr>
          <w:rFonts w:hint="default" w:asciiTheme="minorEastAsia" w:hAnsiTheme="minorEastAsia" w:eastAsiaTheme="minorEastAsia" w:cstheme="minorEastAsia"/>
          <w:color w:val="auto"/>
          <w:spacing w:val="-1"/>
          <w:sz w:val="24"/>
          <w:szCs w:val="24"/>
          <w:highlight w:val="none"/>
          <w:lang w:val="en-US" w:eastAsia="zh-CN"/>
        </w:rPr>
        <w:t>演示视频，演示内容为电工一体化教学平台、互联网+教学资源管理平台。</w:t>
      </w:r>
    </w:p>
    <w:p w14:paraId="2100FB91">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（2）投标人在上传电子投标文件时，</w:t>
      </w:r>
      <w:r>
        <w:rPr>
          <w:rFonts w:hint="eastAsia" w:asciiTheme="minorEastAsia" w:hAnsiTheme="minorEastAsia" w:eastAsiaTheme="minorEastAsia" w:cstheme="minorEastAsia"/>
          <w:color w:val="auto"/>
          <w:spacing w:val="-1"/>
          <w:sz w:val="24"/>
          <w:szCs w:val="24"/>
          <w:highlight w:val="none"/>
          <w:lang w:val="en-US" w:eastAsia="zh-CN"/>
        </w:rPr>
        <w:t>在附件信息中</w:t>
      </w:r>
      <w:r>
        <w:rPr>
          <w:rFonts w:hint="default" w:asciiTheme="minorEastAsia" w:hAnsiTheme="minorEastAsia" w:eastAsiaTheme="minorEastAsia" w:cstheme="minorEastAsia"/>
          <w:color w:val="auto"/>
          <w:spacing w:val="-1"/>
          <w:sz w:val="24"/>
          <w:szCs w:val="24"/>
          <w:highlight w:val="none"/>
          <w:lang w:val="en-US" w:eastAsia="zh-CN"/>
        </w:rPr>
        <w:t>点击演示视频上传的操作按钮，将演示视频</w:t>
      </w:r>
      <w:r>
        <w:rPr>
          <w:rFonts w:hint="eastAsia" w:asciiTheme="minorEastAsia" w:hAnsiTheme="minorEastAsia" w:eastAsiaTheme="minorEastAsia" w:cstheme="minorEastAsia"/>
          <w:color w:val="auto"/>
          <w:spacing w:val="-1"/>
          <w:sz w:val="24"/>
          <w:szCs w:val="24"/>
          <w:highlight w:val="none"/>
          <w:lang w:val="en-US" w:eastAsia="zh-CN"/>
        </w:rPr>
        <w:t>（或视频压缩文件）</w:t>
      </w:r>
      <w:r>
        <w:rPr>
          <w:rFonts w:hint="default" w:asciiTheme="minorEastAsia" w:hAnsiTheme="minorEastAsia" w:eastAsiaTheme="minorEastAsia" w:cstheme="minorEastAsia"/>
          <w:color w:val="auto"/>
          <w:spacing w:val="-1"/>
          <w:sz w:val="24"/>
          <w:szCs w:val="24"/>
          <w:highlight w:val="none"/>
          <w:lang w:val="en-US" w:eastAsia="zh-CN"/>
        </w:rPr>
        <w:t>与电子投标文件一起上传至南阳市公共资源交易中心交易系统。视频格式应采用MP4通用格式，视频大小不超过</w:t>
      </w:r>
      <w:r>
        <w:rPr>
          <w:rFonts w:hint="eastAsia" w:asciiTheme="minorEastAsia" w:hAnsiTheme="minorEastAsia" w:eastAsiaTheme="minorEastAsia" w:cstheme="minorEastAsia"/>
          <w:color w:val="auto"/>
          <w:spacing w:val="-1"/>
          <w:sz w:val="24"/>
          <w:szCs w:val="24"/>
          <w:highlight w:val="none"/>
          <w:lang w:val="en-US" w:eastAsia="zh-CN"/>
        </w:rPr>
        <w:t>100</w:t>
      </w:r>
      <w:r>
        <w:rPr>
          <w:rFonts w:hint="default" w:asciiTheme="minorEastAsia" w:hAnsiTheme="minorEastAsia" w:eastAsiaTheme="minorEastAsia" w:cstheme="minorEastAsia"/>
          <w:color w:val="auto"/>
          <w:spacing w:val="-1"/>
          <w:sz w:val="24"/>
          <w:szCs w:val="24"/>
          <w:highlight w:val="none"/>
          <w:lang w:val="en-US" w:eastAsia="zh-CN"/>
        </w:rPr>
        <w:t>M，视频文件以投标单位名称+演示命名；</w:t>
      </w:r>
    </w:p>
    <w:p w14:paraId="30B8C3A2">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r>
        <w:rPr>
          <w:rFonts w:hint="default" w:asciiTheme="minorEastAsia" w:hAnsiTheme="minorEastAsia" w:eastAsiaTheme="minorEastAsia" w:cstheme="minorEastAsia"/>
          <w:color w:val="auto"/>
          <w:spacing w:val="-1"/>
          <w:sz w:val="24"/>
          <w:szCs w:val="24"/>
          <w:highlight w:val="none"/>
          <w:lang w:val="en-US" w:eastAsia="zh-CN"/>
        </w:rPr>
        <w:t>（3）演示视频是投标文件的组成部分，投标人对演示内容的真实性负责，评标委员会将依据演示内容按照评分标准进行评分。采购人将依据演示显示的内容和指标进行验收。</w:t>
      </w:r>
    </w:p>
    <w:p w14:paraId="7E0947E9">
      <w:pPr>
        <w:pStyle w:val="6"/>
        <w:kinsoku/>
        <w:wordWrap w:val="0"/>
        <w:spacing w:line="360" w:lineRule="auto"/>
        <w:ind w:firstLine="476" w:firstLineChars="200"/>
        <w:jc w:val="both"/>
        <w:rPr>
          <w:rFonts w:hint="default" w:asciiTheme="minorEastAsia" w:hAnsiTheme="minorEastAsia" w:eastAsiaTheme="minorEastAsia" w:cstheme="minorEastAsia"/>
          <w:color w:val="auto"/>
          <w:spacing w:val="-1"/>
          <w:sz w:val="24"/>
          <w:szCs w:val="24"/>
          <w:highlight w:val="none"/>
          <w:lang w:val="en-US" w:eastAsia="zh-CN"/>
        </w:rPr>
      </w:pPr>
    </w:p>
    <w:p w14:paraId="7D07E1DB">
      <w:pPr>
        <w:rPr>
          <w:rFonts w:hint="eastAsia" w:asciiTheme="minorEastAsia" w:hAnsiTheme="minorEastAsia" w:eastAsiaTheme="minorEastAsia" w:cstheme="minorEastAsia"/>
          <w:color w:val="auto"/>
          <w:spacing w:val="-1"/>
          <w:position w:val="24"/>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1"/>
          <w:position w:val="24"/>
          <w:sz w:val="36"/>
          <w:szCs w:val="36"/>
          <w:highlight w:val="none"/>
          <w:lang w:eastAsia="zh-CN"/>
          <w14:textOutline w14:w="2311" w14:cap="flat" w14:cmpd="sng" w14:algn="ctr">
            <w14:solidFill>
              <w14:srgbClr w14:val="000000"/>
            </w14:solidFill>
            <w14:prstDash w14:val="solid"/>
            <w14:miter w14:val="0"/>
          </w14:textOutline>
        </w:rPr>
        <w:br w:type="page"/>
      </w:r>
    </w:p>
    <w:p w14:paraId="32707EF4">
      <w:pPr>
        <w:pStyle w:val="6"/>
        <w:kinsoku/>
        <w:wordWrap w:val="0"/>
        <w:spacing w:before="352" w:line="690" w:lineRule="exact"/>
        <w:jc w:val="center"/>
        <w:rPr>
          <w:rFonts w:hint="eastAsia" w:asciiTheme="minorEastAsia" w:hAnsiTheme="minorEastAsia" w:eastAsiaTheme="minorEastAsia" w:cstheme="minorEastAsia"/>
          <w:color w:val="auto"/>
          <w:spacing w:val="-1"/>
          <w:sz w:val="28"/>
          <w:szCs w:val="28"/>
          <w:highlight w:val="none"/>
          <w:lang w:eastAsia="zh-CN"/>
          <w14:textOutline w14:w="1803"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1"/>
          <w:position w:val="24"/>
          <w:sz w:val="36"/>
          <w:szCs w:val="36"/>
          <w:highlight w:val="none"/>
          <w:lang w:eastAsia="zh-CN"/>
          <w14:textOutline w14:w="2311" w14:cap="flat" w14:cmpd="sng" w14:algn="ctr">
            <w14:solidFill>
              <w14:srgbClr w14:val="000000"/>
            </w14:solidFill>
            <w14:prstDash w14:val="solid"/>
            <w14:miter w14:val="0"/>
          </w14:textOutline>
        </w:rPr>
        <w:t>第三章 投标人须知</w:t>
      </w:r>
    </w:p>
    <w:p w14:paraId="20C31BCD">
      <w:pPr>
        <w:pStyle w:val="6"/>
        <w:kinsoku/>
        <w:wordWrap w:val="0"/>
        <w:spacing w:line="360" w:lineRule="auto"/>
        <w:jc w:val="center"/>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pacing w:val="-1"/>
          <w:sz w:val="28"/>
          <w:szCs w:val="28"/>
          <w:highlight w:val="none"/>
          <w:lang w:eastAsia="zh-CN"/>
          <w14:textOutline w14:w="1803" w14:cap="flat" w14:cmpd="sng" w14:algn="ctr">
            <w14:solidFill>
              <w14:srgbClr w14:val="000000"/>
            </w14:solidFill>
            <w14:prstDash w14:val="solid"/>
            <w14:miter w14:val="0"/>
          </w14:textOutline>
        </w:rPr>
        <w:t>投标人须知表</w:t>
      </w:r>
    </w:p>
    <w:tbl>
      <w:tblPr>
        <w:tblStyle w:val="19"/>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99"/>
        <w:gridCol w:w="7188"/>
      </w:tblGrid>
      <w:tr w14:paraId="22F7C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12" w:space="0"/>
              <w:left w:val="single" w:color="auto" w:sz="12" w:space="0"/>
              <w:bottom w:val="single" w:color="auto" w:sz="6" w:space="0"/>
              <w:right w:val="single" w:color="auto" w:sz="6" w:space="0"/>
            </w:tcBorders>
            <w:vAlign w:val="center"/>
          </w:tcPr>
          <w:p w14:paraId="780E540C">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条款</w:t>
            </w:r>
            <w:r>
              <w:rPr>
                <w:rFonts w:hint="eastAsia" w:asciiTheme="minorEastAsia" w:hAnsiTheme="minorEastAsia" w:eastAsiaTheme="minorEastAsia" w:cstheme="minorEastAsia"/>
                <w:color w:val="auto"/>
                <w:sz w:val="24"/>
                <w:szCs w:val="24"/>
                <w:highlight w:val="none"/>
                <w:lang w:eastAsia="zh-CN"/>
              </w:rPr>
              <w:t>名称</w:t>
            </w:r>
          </w:p>
        </w:tc>
        <w:tc>
          <w:tcPr>
            <w:tcW w:w="7188" w:type="dxa"/>
            <w:tcBorders>
              <w:top w:val="single" w:color="auto" w:sz="12" w:space="0"/>
              <w:left w:val="single" w:color="auto" w:sz="6" w:space="0"/>
              <w:bottom w:val="single" w:color="auto" w:sz="6" w:space="0"/>
              <w:right w:val="single" w:color="auto" w:sz="12" w:space="0"/>
            </w:tcBorders>
            <w:vAlign w:val="center"/>
          </w:tcPr>
          <w:p w14:paraId="58BB42A0">
            <w:pPr>
              <w:kinsoku/>
              <w:wordWrap w:val="0"/>
              <w:spacing w:line="240" w:lineRule="atLeast"/>
              <w:ind w:left="1080" w:leftChars="257" w:hanging="540"/>
              <w:jc w:val="both"/>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Cs/>
                <w:color w:val="auto"/>
                <w:sz w:val="24"/>
                <w:szCs w:val="24"/>
                <w:highlight w:val="none"/>
              </w:rPr>
              <w:t>内容</w:t>
            </w:r>
          </w:p>
        </w:tc>
      </w:tr>
      <w:tr w14:paraId="7DB58C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17AB0E25">
            <w:pPr>
              <w:kinsoku/>
              <w:wordWrap w:val="0"/>
              <w:spacing w:before="78" w:line="221"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项目属性</w:t>
            </w:r>
          </w:p>
        </w:tc>
        <w:tc>
          <w:tcPr>
            <w:tcW w:w="7188" w:type="dxa"/>
            <w:tcBorders>
              <w:top w:val="single" w:color="auto" w:sz="6" w:space="0"/>
              <w:left w:val="single" w:color="auto" w:sz="6" w:space="0"/>
              <w:bottom w:val="single" w:color="auto" w:sz="6" w:space="0"/>
              <w:right w:val="single" w:color="auto" w:sz="12" w:space="0"/>
            </w:tcBorders>
            <w:vAlign w:val="center"/>
          </w:tcPr>
          <w:p w14:paraId="184A7297">
            <w:pPr>
              <w:pStyle w:val="26"/>
              <w:kinsoku/>
              <w:wordWrap w:val="0"/>
              <w:spacing w:line="220" w:lineRule="auto"/>
              <w:ind w:left="12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9"/>
                <w:sz w:val="24"/>
                <w:szCs w:val="24"/>
                <w:highlight w:val="none"/>
                <w:lang w:eastAsia="zh-CN"/>
              </w:rPr>
              <w:t>□服务</w:t>
            </w:r>
          </w:p>
          <w:p w14:paraId="7B1AD9D4">
            <w:pPr>
              <w:pStyle w:val="26"/>
              <w:kinsoku/>
              <w:wordWrap w:val="0"/>
              <w:spacing w:before="25" w:line="207" w:lineRule="auto"/>
              <w:ind w:left="126"/>
              <w:jc w:val="both"/>
              <w:rPr>
                <w:rFonts w:hint="eastAsia" w:asciiTheme="minorEastAsia" w:hAnsiTheme="minorEastAsia" w:eastAsiaTheme="minorEastAsia" w:cstheme="minorEastAsia"/>
                <w:color w:val="auto"/>
                <w:spacing w:val="19"/>
                <w:sz w:val="24"/>
                <w:szCs w:val="24"/>
                <w:highlight w:val="none"/>
                <w:lang w:eastAsia="zh-CN"/>
              </w:rPr>
            </w:pPr>
            <w:r>
              <w:rPr>
                <w:rFonts w:hint="eastAsia" w:asciiTheme="minorEastAsia" w:hAnsiTheme="minorEastAsia" w:eastAsiaTheme="minorEastAsia" w:cstheme="minorEastAsia"/>
                <w:color w:val="auto"/>
                <w:spacing w:val="19"/>
                <w:sz w:val="24"/>
                <w:szCs w:val="24"/>
                <w:highlight w:val="none"/>
                <w:lang w:eastAsia="zh-CN"/>
              </w:rPr>
              <w:t>☑货物</w:t>
            </w:r>
          </w:p>
          <w:p w14:paraId="50238516">
            <w:pPr>
              <w:pStyle w:val="26"/>
              <w:kinsoku/>
              <w:wordWrap w:val="0"/>
              <w:spacing w:before="25" w:line="207" w:lineRule="auto"/>
              <w:ind w:left="12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9"/>
                <w:sz w:val="24"/>
                <w:szCs w:val="24"/>
                <w:highlight w:val="none"/>
                <w:lang w:eastAsia="zh-CN"/>
              </w:rPr>
              <w:t>【供应商对其提供的产品应出具《关于符合本国产品标准的声明函》（后附）或财政部会同有关部门规定的有关证明文件。】</w:t>
            </w:r>
          </w:p>
        </w:tc>
      </w:tr>
      <w:tr w14:paraId="5F3D2F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38DE358C">
            <w:pPr>
              <w:kinsoku/>
              <w:wordWrap w:val="0"/>
              <w:spacing w:before="78" w:line="219"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科研仪器设备</w:t>
            </w:r>
          </w:p>
        </w:tc>
        <w:tc>
          <w:tcPr>
            <w:tcW w:w="7188" w:type="dxa"/>
            <w:tcBorders>
              <w:top w:val="single" w:color="auto" w:sz="6" w:space="0"/>
              <w:left w:val="single" w:color="auto" w:sz="6" w:space="0"/>
              <w:bottom w:val="single" w:color="auto" w:sz="6" w:space="0"/>
              <w:right w:val="single" w:color="auto" w:sz="12" w:space="0"/>
            </w:tcBorders>
          </w:tcPr>
          <w:p w14:paraId="3FB90F68">
            <w:pPr>
              <w:kinsoku/>
              <w:wordWrap w:val="0"/>
              <w:spacing w:before="37" w:line="238" w:lineRule="auto"/>
              <w:ind w:left="118"/>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是否属于科研仪器设备采购项目：</w:t>
            </w:r>
          </w:p>
          <w:p w14:paraId="3990D090">
            <w:pPr>
              <w:pStyle w:val="26"/>
              <w:kinsoku/>
              <w:wordWrap w:val="0"/>
              <w:spacing w:line="223"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9"/>
                <w:sz w:val="24"/>
                <w:szCs w:val="24"/>
                <w:highlight w:val="none"/>
              </w:rPr>
              <w:t>□是</w:t>
            </w:r>
          </w:p>
          <w:p w14:paraId="039DFE9B">
            <w:pPr>
              <w:pStyle w:val="26"/>
              <w:kinsoku/>
              <w:wordWrap w:val="0"/>
              <w:spacing w:before="21" w:line="207" w:lineRule="auto"/>
              <w:ind w:left="12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rPr>
              <w:t>否</w:t>
            </w:r>
          </w:p>
        </w:tc>
      </w:tr>
      <w:tr w14:paraId="4DB789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49435FD7">
            <w:pPr>
              <w:kinsoku/>
              <w:wordWrap w:val="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现场考察</w:t>
            </w:r>
          </w:p>
        </w:tc>
        <w:tc>
          <w:tcPr>
            <w:tcW w:w="7188" w:type="dxa"/>
            <w:tcBorders>
              <w:top w:val="single" w:color="auto" w:sz="6" w:space="0"/>
              <w:left w:val="single" w:color="auto" w:sz="6" w:space="0"/>
              <w:bottom w:val="single" w:color="auto" w:sz="6" w:space="0"/>
              <w:right w:val="single" w:color="auto" w:sz="12" w:space="0"/>
            </w:tcBorders>
            <w:vAlign w:val="center"/>
          </w:tcPr>
          <w:p w14:paraId="38C08B94">
            <w:pPr>
              <w:pStyle w:val="26"/>
              <w:kinsoku/>
              <w:wordWrap w:val="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不组织</w:t>
            </w:r>
          </w:p>
        </w:tc>
      </w:tr>
      <w:tr w14:paraId="7C321D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15"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152C748D">
            <w:pPr>
              <w:kinsoku/>
              <w:wordWrap w:val="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开标前答疑会</w:t>
            </w:r>
          </w:p>
        </w:tc>
        <w:tc>
          <w:tcPr>
            <w:tcW w:w="7188" w:type="dxa"/>
            <w:tcBorders>
              <w:top w:val="single" w:color="auto" w:sz="6" w:space="0"/>
              <w:left w:val="single" w:color="auto" w:sz="6" w:space="0"/>
              <w:bottom w:val="single" w:color="auto" w:sz="6" w:space="0"/>
              <w:right w:val="single" w:color="auto" w:sz="12" w:space="0"/>
            </w:tcBorders>
            <w:vAlign w:val="center"/>
          </w:tcPr>
          <w:p w14:paraId="65800AFB">
            <w:pPr>
              <w:pStyle w:val="26"/>
              <w:kinsoku/>
              <w:wordWrap w:val="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rPr>
              <w:t>不召开</w:t>
            </w:r>
          </w:p>
        </w:tc>
      </w:tr>
      <w:tr w14:paraId="414079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2994E5BE">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中小企业</w:t>
            </w:r>
          </w:p>
        </w:tc>
        <w:tc>
          <w:tcPr>
            <w:tcW w:w="7188" w:type="dxa"/>
            <w:tcBorders>
              <w:top w:val="single" w:color="auto" w:sz="6" w:space="0"/>
              <w:left w:val="single" w:color="auto" w:sz="6" w:space="0"/>
              <w:bottom w:val="single" w:color="auto" w:sz="6" w:space="0"/>
              <w:right w:val="single" w:color="auto" w:sz="12" w:space="0"/>
            </w:tcBorders>
            <w:vAlign w:val="center"/>
          </w:tcPr>
          <w:p w14:paraId="503E60A5">
            <w:pPr>
              <w:pStyle w:val="26"/>
              <w:numPr>
                <w:ilvl w:val="0"/>
                <w:numId w:val="1"/>
              </w:numPr>
              <w:kinsoku/>
              <w:wordWrap w:val="0"/>
              <w:jc w:val="both"/>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本项目采购标的按照中小企业划分标准属于：</w:t>
            </w:r>
            <w:r>
              <w:rPr>
                <w:rFonts w:hint="eastAsia" w:asciiTheme="minorEastAsia" w:hAnsiTheme="minorEastAsia" w:eastAsiaTheme="minorEastAsia" w:cstheme="minorEastAsia"/>
                <w:color w:val="auto"/>
                <w:spacing w:val="29"/>
                <w:sz w:val="24"/>
                <w:szCs w:val="24"/>
                <w:highlight w:val="none"/>
                <w:u w:val="single"/>
                <w:lang w:eastAsia="zh-CN"/>
              </w:rPr>
              <w:t xml:space="preserve"> </w:t>
            </w:r>
            <w:r>
              <w:rPr>
                <w:rFonts w:hint="eastAsia" w:asciiTheme="minorEastAsia" w:hAnsiTheme="minorEastAsia" w:eastAsiaTheme="minorEastAsia" w:cstheme="minorEastAsia"/>
                <w:color w:val="auto"/>
                <w:spacing w:val="29"/>
                <w:sz w:val="24"/>
                <w:szCs w:val="24"/>
                <w:highlight w:val="none"/>
                <w:u w:val="single"/>
                <w:lang w:val="en-US" w:eastAsia="zh-CN"/>
              </w:rPr>
              <w:t>工业</w:t>
            </w:r>
            <w:r>
              <w:rPr>
                <w:rFonts w:hint="eastAsia" w:asciiTheme="minorEastAsia" w:hAnsiTheme="minorEastAsia" w:eastAsiaTheme="minorEastAsia" w:cstheme="minorEastAsia"/>
                <w:color w:val="auto"/>
                <w:spacing w:val="29"/>
                <w:sz w:val="24"/>
                <w:szCs w:val="24"/>
                <w:highlight w:val="none"/>
                <w:u w:val="single"/>
                <w:lang w:eastAsia="zh-CN"/>
              </w:rPr>
              <w:t xml:space="preserve"> </w:t>
            </w:r>
          </w:p>
          <w:p w14:paraId="3BE0D5C8">
            <w:pPr>
              <w:kinsoku/>
              <w:wordWrap w:val="0"/>
              <w:autoSpaceDE/>
              <w:autoSpaceDN/>
              <w:adjustRightInd/>
              <w:snapToGrid/>
              <w:jc w:val="both"/>
              <w:textAlignment w:val="auto"/>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w:t>
            </w:r>
            <w:r>
              <w:rPr>
                <w:rFonts w:hint="eastAsia" w:asciiTheme="minorEastAsia" w:hAnsiTheme="minorEastAsia" w:eastAsiaTheme="minorEastAsia" w:cstheme="minorEastAsia"/>
                <w:color w:val="auto"/>
                <w:spacing w:val="29"/>
                <w:sz w:val="24"/>
                <w:szCs w:val="24"/>
                <w:highlight w:val="none"/>
                <w:lang w:eastAsia="zh-CN"/>
              </w:rPr>
              <w:t>本项目小微企业价格折扣比例</w:t>
            </w:r>
            <w:r>
              <w:rPr>
                <w:rFonts w:hint="eastAsia" w:asciiTheme="minorEastAsia" w:hAnsiTheme="minorEastAsia" w:eastAsiaTheme="minorEastAsia" w:cstheme="minorEastAsia"/>
                <w:color w:val="auto"/>
                <w:spacing w:val="29"/>
                <w:sz w:val="24"/>
                <w:szCs w:val="24"/>
                <w:highlight w:val="none"/>
                <w:u w:val="single"/>
                <w:lang w:eastAsia="zh-CN"/>
              </w:rPr>
              <w:t xml:space="preserve"> 15 </w:t>
            </w:r>
            <w:r>
              <w:rPr>
                <w:rFonts w:hint="eastAsia" w:asciiTheme="minorEastAsia" w:hAnsiTheme="minorEastAsia" w:eastAsiaTheme="minorEastAsia" w:cstheme="minorEastAsia"/>
                <w:color w:val="auto"/>
                <w:spacing w:val="29"/>
                <w:sz w:val="24"/>
                <w:szCs w:val="24"/>
                <w:highlight w:val="none"/>
                <w:lang w:eastAsia="zh-CN"/>
              </w:rPr>
              <w:t>%。</w:t>
            </w:r>
          </w:p>
          <w:p w14:paraId="3B76379E">
            <w:pPr>
              <w:kinsoku/>
              <w:wordWrap w:val="0"/>
              <w:autoSpaceDE/>
              <w:autoSpaceDN/>
              <w:adjustRightInd/>
              <w:snapToGrid/>
              <w:jc w:val="both"/>
              <w:textAlignment w:val="auto"/>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2、中标供应商享受《政府采购促进中小企业发展管理办法》规定的中小企业扶持政策的，采购人、采购代理机构将随中标结果公开中标供应商的《中小企业声明函》。</w:t>
            </w:r>
          </w:p>
        </w:tc>
      </w:tr>
      <w:tr w14:paraId="19894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699" w:type="dxa"/>
            <w:tcBorders>
              <w:top w:val="single" w:color="auto" w:sz="6" w:space="0"/>
              <w:left w:val="single" w:color="auto" w:sz="12" w:space="0"/>
              <w:bottom w:val="single" w:color="auto" w:sz="6" w:space="0"/>
              <w:right w:val="single" w:color="auto" w:sz="6" w:space="0"/>
            </w:tcBorders>
          </w:tcPr>
          <w:p w14:paraId="61897E93">
            <w:pPr>
              <w:pStyle w:val="26"/>
              <w:kinsoku/>
              <w:wordWrap w:val="0"/>
              <w:spacing w:line="269" w:lineRule="auto"/>
              <w:jc w:val="both"/>
              <w:rPr>
                <w:rFonts w:hint="eastAsia" w:asciiTheme="minorEastAsia" w:hAnsiTheme="minorEastAsia" w:eastAsiaTheme="minorEastAsia" w:cstheme="minorEastAsia"/>
                <w:color w:val="auto"/>
                <w:highlight w:val="none"/>
                <w:lang w:eastAsia="zh-CN"/>
              </w:rPr>
            </w:pPr>
          </w:p>
          <w:p w14:paraId="72C9B03B">
            <w:pPr>
              <w:kinsoku/>
              <w:wordWrap w:val="0"/>
              <w:spacing w:before="78" w:line="219" w:lineRule="auto"/>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投标报价</w:t>
            </w:r>
          </w:p>
        </w:tc>
        <w:tc>
          <w:tcPr>
            <w:tcW w:w="7188" w:type="dxa"/>
            <w:tcBorders>
              <w:top w:val="single" w:color="auto" w:sz="6" w:space="0"/>
              <w:left w:val="single" w:color="auto" w:sz="6" w:space="0"/>
              <w:bottom w:val="single" w:color="auto" w:sz="6" w:space="0"/>
              <w:right w:val="single" w:color="auto" w:sz="12" w:space="0"/>
            </w:tcBorders>
          </w:tcPr>
          <w:p w14:paraId="3E7AB7AD">
            <w:pPr>
              <w:kinsoku/>
              <w:wordWrap w:val="0"/>
              <w:spacing w:before="40"/>
              <w:ind w:left="11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投标报价的特殊规定：</w:t>
            </w:r>
          </w:p>
          <w:p w14:paraId="04E54596">
            <w:pPr>
              <w:pStyle w:val="26"/>
              <w:kinsoku/>
              <w:wordWrap w:val="0"/>
              <w:spacing w:before="1" w:line="220" w:lineRule="auto"/>
              <w:ind w:left="12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9"/>
                <w:sz w:val="24"/>
                <w:szCs w:val="24"/>
                <w:highlight w:val="none"/>
                <w:lang w:eastAsia="zh-CN"/>
              </w:rPr>
              <w:t>☑无</w:t>
            </w:r>
          </w:p>
          <w:p w14:paraId="6AAB47E2">
            <w:pPr>
              <w:pStyle w:val="26"/>
              <w:kinsoku/>
              <w:wordWrap w:val="0"/>
              <w:spacing w:before="23" w:line="189" w:lineRule="auto"/>
              <w:ind w:left="12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rPr>
              <w:t>□有，具体情形：</w:t>
            </w:r>
          </w:p>
          <w:p w14:paraId="47F19260">
            <w:pPr>
              <w:pStyle w:val="26"/>
              <w:kinsoku/>
              <w:wordWrap w:val="0"/>
              <w:spacing w:line="19" w:lineRule="exact"/>
              <w:ind w:left="2008"/>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1"/>
                <w:position w:val="5"/>
                <w:sz w:val="24"/>
                <w:szCs w:val="24"/>
                <w:highlight w:val="none"/>
              </w:rPr>
              <w:t>_____</w:t>
            </w:r>
          </w:p>
        </w:tc>
      </w:tr>
      <w:tr w14:paraId="4C3C7A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43987E93">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项目预算</w:t>
            </w:r>
          </w:p>
        </w:tc>
        <w:tc>
          <w:tcPr>
            <w:tcW w:w="7188" w:type="dxa"/>
            <w:tcBorders>
              <w:top w:val="single" w:color="auto" w:sz="6" w:space="0"/>
              <w:left w:val="single" w:color="auto" w:sz="6" w:space="0"/>
              <w:bottom w:val="single" w:color="auto" w:sz="6" w:space="0"/>
              <w:right w:val="single" w:color="auto" w:sz="12" w:space="0"/>
            </w:tcBorders>
            <w:vAlign w:val="center"/>
          </w:tcPr>
          <w:p w14:paraId="4C3C9C14">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eastAsia="zh-CN"/>
              </w:rPr>
              <w:t xml:space="preserve"> 217 </w:t>
            </w:r>
            <w:r>
              <w:rPr>
                <w:rFonts w:hint="eastAsia" w:asciiTheme="minorEastAsia" w:hAnsiTheme="minorEastAsia" w:eastAsiaTheme="minorEastAsia" w:cstheme="minorEastAsia"/>
                <w:color w:val="auto"/>
                <w:spacing w:val="29"/>
                <w:sz w:val="24"/>
                <w:szCs w:val="24"/>
                <w:highlight w:val="none"/>
                <w:lang w:eastAsia="zh-CN"/>
              </w:rPr>
              <w:t>万元</w:t>
            </w:r>
          </w:p>
        </w:tc>
      </w:tr>
      <w:tr w14:paraId="404570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473300D8">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投标有效期</w:t>
            </w:r>
          </w:p>
        </w:tc>
        <w:tc>
          <w:tcPr>
            <w:tcW w:w="7188" w:type="dxa"/>
            <w:tcBorders>
              <w:top w:val="single" w:color="auto" w:sz="6" w:space="0"/>
              <w:left w:val="single" w:color="auto" w:sz="6" w:space="0"/>
              <w:bottom w:val="single" w:color="auto" w:sz="6" w:space="0"/>
              <w:right w:val="single" w:color="auto" w:sz="12" w:space="0"/>
            </w:tcBorders>
            <w:vAlign w:val="center"/>
          </w:tcPr>
          <w:p w14:paraId="0AB4419A">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eastAsia="zh-CN"/>
              </w:rPr>
              <w:t>开标之日起60</w:t>
            </w:r>
            <w:r>
              <w:rPr>
                <w:rFonts w:hint="eastAsia" w:asciiTheme="minorEastAsia" w:hAnsiTheme="minorEastAsia" w:eastAsiaTheme="minorEastAsia" w:cstheme="minorEastAsia"/>
                <w:color w:val="auto"/>
                <w:sz w:val="24"/>
                <w:szCs w:val="24"/>
                <w:highlight w:val="none"/>
              </w:rPr>
              <w:t>日历日</w:t>
            </w:r>
          </w:p>
        </w:tc>
      </w:tr>
      <w:tr w14:paraId="2F6661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42F36058">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投标文件</w:t>
            </w:r>
            <w:r>
              <w:rPr>
                <w:rFonts w:hint="eastAsia" w:asciiTheme="minorEastAsia" w:hAnsiTheme="minorEastAsia" w:eastAsiaTheme="minorEastAsia" w:cstheme="minorEastAsia"/>
                <w:color w:val="auto"/>
                <w:sz w:val="24"/>
                <w:szCs w:val="24"/>
                <w:highlight w:val="none"/>
                <w:lang w:eastAsia="zh-CN"/>
              </w:rPr>
              <w:t>数量</w:t>
            </w:r>
          </w:p>
        </w:tc>
        <w:tc>
          <w:tcPr>
            <w:tcW w:w="7188" w:type="dxa"/>
            <w:tcBorders>
              <w:top w:val="single" w:color="auto" w:sz="6" w:space="0"/>
              <w:left w:val="single" w:color="auto" w:sz="6" w:space="0"/>
              <w:bottom w:val="single" w:color="auto" w:sz="6" w:space="0"/>
              <w:right w:val="single" w:color="auto" w:sz="12" w:space="0"/>
            </w:tcBorders>
            <w:vAlign w:val="center"/>
          </w:tcPr>
          <w:p w14:paraId="0DC3E64A">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电子投标文件：1份</w:t>
            </w:r>
          </w:p>
        </w:tc>
      </w:tr>
      <w:tr w14:paraId="0230EF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05C8828B">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投标截止时间</w:t>
            </w:r>
          </w:p>
        </w:tc>
        <w:tc>
          <w:tcPr>
            <w:tcW w:w="7188" w:type="dxa"/>
            <w:tcBorders>
              <w:top w:val="single" w:color="auto" w:sz="6" w:space="0"/>
              <w:left w:val="single" w:color="auto" w:sz="6" w:space="0"/>
              <w:bottom w:val="single" w:color="auto" w:sz="6" w:space="0"/>
              <w:right w:val="single" w:color="auto" w:sz="12" w:space="0"/>
            </w:tcBorders>
            <w:vAlign w:val="center"/>
          </w:tcPr>
          <w:p w14:paraId="7844CB1C">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u w:val="single"/>
                <w:lang w:eastAsia="zh-CN"/>
              </w:rPr>
              <w:t xml:space="preserve"> 2026 </w:t>
            </w:r>
            <w:r>
              <w:rPr>
                <w:rFonts w:hint="eastAsia" w:asciiTheme="minorEastAsia" w:hAnsiTheme="minorEastAsia" w:eastAsiaTheme="minorEastAsia" w:cstheme="minorEastAsia"/>
                <w:color w:val="auto"/>
                <w:spacing w:val="-12"/>
                <w:sz w:val="24"/>
                <w:szCs w:val="24"/>
                <w:highlight w:val="none"/>
                <w:lang w:eastAsia="zh-CN"/>
              </w:rPr>
              <w:t>年</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u w:val="single"/>
                <w:lang w:val="en-US" w:eastAsia="zh-CN"/>
              </w:rPr>
              <w:t>11</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lang w:eastAsia="zh-CN"/>
              </w:rPr>
              <w:t>月</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u w:val="single"/>
                <w:lang w:val="en-US" w:eastAsia="zh-CN"/>
              </w:rPr>
              <w:t>19</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lang w:eastAsia="zh-CN"/>
              </w:rPr>
              <w:t>日</w:t>
            </w:r>
            <w:r>
              <w:rPr>
                <w:rFonts w:hint="eastAsia" w:asciiTheme="minorEastAsia" w:hAnsiTheme="minorEastAsia" w:eastAsiaTheme="minorEastAsia" w:cstheme="minorEastAsia"/>
                <w:color w:val="auto"/>
                <w:spacing w:val="-12"/>
                <w:sz w:val="24"/>
                <w:szCs w:val="24"/>
                <w:highlight w:val="none"/>
                <w:u w:val="single"/>
                <w:lang w:eastAsia="zh-CN"/>
              </w:rPr>
              <w:t xml:space="preserve"> 9 </w:t>
            </w:r>
            <w:r>
              <w:rPr>
                <w:rFonts w:hint="eastAsia" w:asciiTheme="minorEastAsia" w:hAnsiTheme="minorEastAsia" w:eastAsiaTheme="minorEastAsia" w:cstheme="minorEastAsia"/>
                <w:color w:val="auto"/>
                <w:spacing w:val="-12"/>
                <w:sz w:val="24"/>
                <w:szCs w:val="24"/>
                <w:highlight w:val="none"/>
                <w:lang w:eastAsia="zh-CN"/>
              </w:rPr>
              <w:t>点</w:t>
            </w:r>
            <w:r>
              <w:rPr>
                <w:rFonts w:hint="eastAsia" w:asciiTheme="minorEastAsia" w:hAnsiTheme="minorEastAsia" w:eastAsiaTheme="minorEastAsia" w:cstheme="minorEastAsia"/>
                <w:color w:val="auto"/>
                <w:spacing w:val="-12"/>
                <w:sz w:val="24"/>
                <w:szCs w:val="24"/>
                <w:highlight w:val="none"/>
                <w:u w:val="single"/>
                <w:lang w:eastAsia="zh-CN"/>
              </w:rPr>
              <w:t xml:space="preserve"> 00 </w:t>
            </w:r>
            <w:r>
              <w:rPr>
                <w:rFonts w:hint="eastAsia" w:asciiTheme="minorEastAsia" w:hAnsiTheme="minorEastAsia" w:eastAsiaTheme="minorEastAsia" w:cstheme="minorEastAsia"/>
                <w:color w:val="auto"/>
                <w:spacing w:val="-12"/>
                <w:sz w:val="24"/>
                <w:szCs w:val="24"/>
                <w:highlight w:val="none"/>
                <w:lang w:eastAsia="zh-CN"/>
              </w:rPr>
              <w:t>分</w:t>
            </w:r>
            <w:r>
              <w:rPr>
                <w:rFonts w:hint="eastAsia" w:asciiTheme="minorEastAsia" w:hAnsiTheme="minorEastAsia" w:eastAsiaTheme="minorEastAsia" w:cstheme="minorEastAsia"/>
                <w:color w:val="auto"/>
                <w:spacing w:val="14"/>
                <w:sz w:val="24"/>
                <w:szCs w:val="24"/>
                <w:highlight w:val="none"/>
                <w:lang w:eastAsia="zh-CN"/>
              </w:rPr>
              <w:t>（北京时间）</w:t>
            </w:r>
          </w:p>
        </w:tc>
      </w:tr>
      <w:tr w14:paraId="36C894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2A5B250A">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开标时间</w:t>
            </w:r>
          </w:p>
        </w:tc>
        <w:tc>
          <w:tcPr>
            <w:tcW w:w="7188" w:type="dxa"/>
            <w:tcBorders>
              <w:top w:val="single" w:color="auto" w:sz="6" w:space="0"/>
              <w:left w:val="single" w:color="auto" w:sz="6" w:space="0"/>
              <w:bottom w:val="single" w:color="auto" w:sz="6" w:space="0"/>
              <w:right w:val="single" w:color="auto" w:sz="12" w:space="0"/>
            </w:tcBorders>
            <w:vAlign w:val="center"/>
          </w:tcPr>
          <w:p w14:paraId="05A8C635">
            <w:pPr>
              <w:kinsoku/>
              <w:wordWrap w:val="0"/>
              <w:spacing w:line="240" w:lineRule="atLeast"/>
              <w:jc w:val="both"/>
              <w:rPr>
                <w:rFonts w:hint="eastAsia" w:asciiTheme="minorEastAsia" w:hAnsiTheme="minorEastAsia" w:eastAsiaTheme="minorEastAsia" w:cstheme="minorEastAsia"/>
                <w:color w:val="auto"/>
                <w:sz w:val="24"/>
                <w:szCs w:val="24"/>
                <w:highlight w:val="none"/>
                <w:u w:val="single"/>
                <w:lang w:eastAsia="zh-CN"/>
              </w:rPr>
            </w:pPr>
            <w:r>
              <w:rPr>
                <w:rFonts w:hint="eastAsia" w:asciiTheme="minorEastAsia" w:hAnsiTheme="minorEastAsia" w:eastAsiaTheme="minorEastAsia" w:cstheme="minorEastAsia"/>
                <w:color w:val="auto"/>
                <w:spacing w:val="-12"/>
                <w:sz w:val="24"/>
                <w:szCs w:val="24"/>
                <w:highlight w:val="none"/>
                <w:u w:val="single"/>
                <w:lang w:eastAsia="zh-CN"/>
              </w:rPr>
              <w:t xml:space="preserve"> 2026 </w:t>
            </w:r>
            <w:r>
              <w:rPr>
                <w:rFonts w:hint="eastAsia" w:asciiTheme="minorEastAsia" w:hAnsiTheme="minorEastAsia" w:eastAsiaTheme="minorEastAsia" w:cstheme="minorEastAsia"/>
                <w:color w:val="auto"/>
                <w:spacing w:val="-12"/>
                <w:sz w:val="24"/>
                <w:szCs w:val="24"/>
                <w:highlight w:val="none"/>
                <w:lang w:eastAsia="zh-CN"/>
              </w:rPr>
              <w:t>年</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u w:val="single"/>
                <w:lang w:val="en-US" w:eastAsia="zh-CN"/>
              </w:rPr>
              <w:t>11</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lang w:eastAsia="zh-CN"/>
              </w:rPr>
              <w:t>月</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u w:val="single"/>
                <w:lang w:val="en-US" w:eastAsia="zh-CN"/>
              </w:rPr>
              <w:t>19</w:t>
            </w:r>
            <w:r>
              <w:rPr>
                <w:rFonts w:hint="eastAsia" w:asciiTheme="minorEastAsia" w:hAnsiTheme="minorEastAsia" w:eastAsiaTheme="minorEastAsia" w:cstheme="minorEastAsia"/>
                <w:color w:val="auto"/>
                <w:spacing w:val="-12"/>
                <w:sz w:val="24"/>
                <w:szCs w:val="24"/>
                <w:highlight w:val="none"/>
                <w:u w:val="single"/>
                <w:lang w:eastAsia="zh-CN"/>
              </w:rPr>
              <w:t xml:space="preserve"> </w:t>
            </w:r>
            <w:r>
              <w:rPr>
                <w:rFonts w:hint="eastAsia" w:asciiTheme="minorEastAsia" w:hAnsiTheme="minorEastAsia" w:eastAsiaTheme="minorEastAsia" w:cstheme="minorEastAsia"/>
                <w:color w:val="auto"/>
                <w:spacing w:val="-12"/>
                <w:sz w:val="24"/>
                <w:szCs w:val="24"/>
                <w:highlight w:val="none"/>
                <w:lang w:eastAsia="zh-CN"/>
              </w:rPr>
              <w:t>日</w:t>
            </w:r>
            <w:r>
              <w:rPr>
                <w:rFonts w:hint="eastAsia" w:asciiTheme="minorEastAsia" w:hAnsiTheme="minorEastAsia" w:eastAsiaTheme="minorEastAsia" w:cstheme="minorEastAsia"/>
                <w:color w:val="auto"/>
                <w:spacing w:val="-12"/>
                <w:sz w:val="24"/>
                <w:szCs w:val="24"/>
                <w:highlight w:val="none"/>
                <w:u w:val="single"/>
                <w:lang w:eastAsia="zh-CN"/>
              </w:rPr>
              <w:t xml:space="preserve"> 9 </w:t>
            </w:r>
            <w:r>
              <w:rPr>
                <w:rFonts w:hint="eastAsia" w:asciiTheme="minorEastAsia" w:hAnsiTheme="minorEastAsia" w:eastAsiaTheme="minorEastAsia" w:cstheme="minorEastAsia"/>
                <w:color w:val="auto"/>
                <w:spacing w:val="-12"/>
                <w:sz w:val="24"/>
                <w:szCs w:val="24"/>
                <w:highlight w:val="none"/>
                <w:lang w:eastAsia="zh-CN"/>
              </w:rPr>
              <w:t>点</w:t>
            </w:r>
            <w:r>
              <w:rPr>
                <w:rFonts w:hint="eastAsia" w:asciiTheme="minorEastAsia" w:hAnsiTheme="minorEastAsia" w:eastAsiaTheme="minorEastAsia" w:cstheme="minorEastAsia"/>
                <w:color w:val="auto"/>
                <w:spacing w:val="-12"/>
                <w:sz w:val="24"/>
                <w:szCs w:val="24"/>
                <w:highlight w:val="none"/>
                <w:u w:val="single"/>
                <w:lang w:eastAsia="zh-CN"/>
              </w:rPr>
              <w:t xml:space="preserve"> 00 </w:t>
            </w:r>
            <w:r>
              <w:rPr>
                <w:rFonts w:hint="eastAsia" w:asciiTheme="minorEastAsia" w:hAnsiTheme="minorEastAsia" w:eastAsiaTheme="minorEastAsia" w:cstheme="minorEastAsia"/>
                <w:color w:val="auto"/>
                <w:spacing w:val="-12"/>
                <w:sz w:val="24"/>
                <w:szCs w:val="24"/>
                <w:highlight w:val="none"/>
                <w:lang w:eastAsia="zh-CN"/>
              </w:rPr>
              <w:t>分</w:t>
            </w:r>
            <w:r>
              <w:rPr>
                <w:rFonts w:hint="eastAsia" w:asciiTheme="minorEastAsia" w:hAnsiTheme="minorEastAsia" w:eastAsiaTheme="minorEastAsia" w:cstheme="minorEastAsia"/>
                <w:color w:val="auto"/>
                <w:spacing w:val="14"/>
                <w:sz w:val="24"/>
                <w:szCs w:val="24"/>
                <w:highlight w:val="none"/>
                <w:lang w:eastAsia="zh-CN"/>
              </w:rPr>
              <w:t>（北京时间）</w:t>
            </w:r>
          </w:p>
        </w:tc>
      </w:tr>
      <w:tr w14:paraId="06EC84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0"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47E2BF68">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核心产品</w:t>
            </w:r>
          </w:p>
        </w:tc>
        <w:tc>
          <w:tcPr>
            <w:tcW w:w="7188" w:type="dxa"/>
            <w:tcBorders>
              <w:top w:val="single" w:color="auto" w:sz="6" w:space="0"/>
              <w:left w:val="single" w:color="auto" w:sz="6" w:space="0"/>
              <w:bottom w:val="single" w:color="auto" w:sz="6" w:space="0"/>
              <w:right w:val="single" w:color="auto" w:sz="12" w:space="0"/>
            </w:tcBorders>
            <w:vAlign w:val="center"/>
          </w:tcPr>
          <w:p w14:paraId="60D5D8D6">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cs="宋体" w:asciiTheme="majorEastAsia" w:hAnsiTheme="majorEastAsia" w:eastAsiaTheme="majorEastAsia"/>
                <w:color w:val="auto"/>
                <w:sz w:val="24"/>
                <w:szCs w:val="24"/>
                <w:highlight w:val="none"/>
                <w:lang w:eastAsia="zh-CN"/>
              </w:rPr>
              <w:t>电气控制系统综合实践平台</w:t>
            </w:r>
          </w:p>
        </w:tc>
      </w:tr>
      <w:tr w14:paraId="68290F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3AABA3A4">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评标方法</w:t>
            </w:r>
          </w:p>
        </w:tc>
        <w:tc>
          <w:tcPr>
            <w:tcW w:w="7188" w:type="dxa"/>
            <w:tcBorders>
              <w:top w:val="single" w:color="auto" w:sz="6" w:space="0"/>
              <w:left w:val="single" w:color="auto" w:sz="6" w:space="0"/>
              <w:bottom w:val="single" w:color="auto" w:sz="6" w:space="0"/>
              <w:right w:val="single" w:color="auto" w:sz="12" w:space="0"/>
            </w:tcBorders>
            <w:vAlign w:val="center"/>
          </w:tcPr>
          <w:p w14:paraId="65B19189">
            <w:pPr>
              <w:kinsoku/>
              <w:wordWrap w:val="0"/>
              <w:spacing w:line="240" w:lineRule="atLeast"/>
              <w:jc w:val="both"/>
              <w:rPr>
                <w:rFonts w:hint="eastAsia" w:asciiTheme="minorEastAsia" w:hAnsiTheme="minorEastAsia" w:eastAsiaTheme="minorEastAsia" w:cstheme="minorEastAsia"/>
                <w:i/>
                <w:color w:val="auto"/>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综合评分法</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最低评标价法</w:t>
            </w:r>
          </w:p>
        </w:tc>
      </w:tr>
      <w:tr w14:paraId="640E96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0A366771">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是否采用“暗标”评审</w:t>
            </w:r>
          </w:p>
        </w:tc>
        <w:tc>
          <w:tcPr>
            <w:tcW w:w="7188" w:type="dxa"/>
            <w:tcBorders>
              <w:top w:val="single" w:color="auto" w:sz="6" w:space="0"/>
              <w:left w:val="single" w:color="auto" w:sz="6" w:space="0"/>
              <w:bottom w:val="single" w:color="auto" w:sz="6" w:space="0"/>
              <w:right w:val="single" w:color="auto" w:sz="12" w:space="0"/>
            </w:tcBorders>
            <w:vAlign w:val="center"/>
          </w:tcPr>
          <w:p w14:paraId="642B1697">
            <w:pPr>
              <w:pStyle w:val="26"/>
              <w:kinsoku/>
              <w:wordWrap w:val="0"/>
              <w:spacing w:line="223" w:lineRule="auto"/>
              <w:ind w:left="12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9"/>
                <w:sz w:val="24"/>
                <w:szCs w:val="24"/>
                <w:highlight w:val="none"/>
                <w:lang w:eastAsia="zh-CN"/>
              </w:rPr>
              <w:t>□否 ☑是，具体要求详见投标人须知</w:t>
            </w:r>
          </w:p>
        </w:tc>
      </w:tr>
      <w:tr w14:paraId="78517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1E9FE3A4">
            <w:pPr>
              <w:kinsoku/>
              <w:wordWrap w:val="0"/>
              <w:spacing w:line="240" w:lineRule="atLeast"/>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确定中标人</w:t>
            </w:r>
          </w:p>
        </w:tc>
        <w:tc>
          <w:tcPr>
            <w:tcW w:w="7188" w:type="dxa"/>
            <w:tcBorders>
              <w:top w:val="single" w:color="auto" w:sz="6" w:space="0"/>
              <w:left w:val="single" w:color="auto" w:sz="6" w:space="0"/>
              <w:bottom w:val="single" w:color="auto" w:sz="6" w:space="0"/>
              <w:right w:val="single" w:color="auto" w:sz="12" w:space="0"/>
            </w:tcBorders>
            <w:vAlign w:val="center"/>
          </w:tcPr>
          <w:p w14:paraId="76ECDFC5">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采购人是否委托评标委员会直接确定中标人：</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是</w:t>
            </w:r>
            <w:r>
              <w:rPr>
                <w:rFonts w:hint="eastAsia" w:asciiTheme="minorEastAsia" w:hAnsiTheme="minorEastAsia" w:eastAsiaTheme="minorEastAsia" w:cstheme="minorEastAsia"/>
                <w:color w:val="auto"/>
                <w:spacing w:val="14"/>
                <w:sz w:val="24"/>
                <w:szCs w:val="24"/>
                <w:highlight w:val="none"/>
                <w:lang w:eastAsia="zh-CN"/>
              </w:rPr>
              <w:t>☑否</w:t>
            </w:r>
          </w:p>
        </w:tc>
      </w:tr>
      <w:tr w14:paraId="37908E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jc w:val="center"/>
        </w:trPr>
        <w:tc>
          <w:tcPr>
            <w:tcW w:w="1699" w:type="dxa"/>
            <w:tcBorders>
              <w:top w:val="single" w:color="auto" w:sz="6" w:space="0"/>
              <w:left w:val="single" w:color="auto" w:sz="12" w:space="0"/>
              <w:bottom w:val="single" w:color="auto" w:sz="6" w:space="0"/>
              <w:right w:val="single" w:color="auto" w:sz="6" w:space="0"/>
            </w:tcBorders>
            <w:vAlign w:val="center"/>
          </w:tcPr>
          <w:p w14:paraId="683E3EAA">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代理费</w:t>
            </w:r>
          </w:p>
        </w:tc>
        <w:tc>
          <w:tcPr>
            <w:tcW w:w="7188" w:type="dxa"/>
            <w:tcBorders>
              <w:top w:val="single" w:color="auto" w:sz="6" w:space="0"/>
              <w:left w:val="single" w:color="auto" w:sz="6" w:space="0"/>
              <w:bottom w:val="single" w:color="auto" w:sz="6" w:space="0"/>
              <w:right w:val="single" w:color="auto" w:sz="12" w:space="0"/>
            </w:tcBorders>
            <w:vAlign w:val="center"/>
          </w:tcPr>
          <w:p w14:paraId="36F6DD32">
            <w:pPr>
              <w:pStyle w:val="26"/>
              <w:kinsoku/>
              <w:wordWrap w:val="0"/>
              <w:spacing w:before="1" w:line="220" w:lineRule="auto"/>
              <w:ind w:left="126"/>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z w:val="24"/>
                <w:szCs w:val="24"/>
                <w:highlight w:val="none"/>
                <w:lang w:eastAsia="zh-CN"/>
              </w:rPr>
              <w:t>集中采购机构不收费</w:t>
            </w:r>
          </w:p>
        </w:tc>
      </w:tr>
    </w:tbl>
    <w:p w14:paraId="66690D52">
      <w:pPr>
        <w:pStyle w:val="6"/>
        <w:kinsoku/>
        <w:wordWrap w:val="0"/>
        <w:spacing w:before="91" w:line="221" w:lineRule="auto"/>
        <w:jc w:val="center"/>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pacing w:val="-2"/>
          <w:sz w:val="28"/>
          <w:szCs w:val="28"/>
          <w:highlight w:val="none"/>
          <w14:textOutline w14:w="1803" w14:cap="flat" w14:cmpd="sng" w14:algn="ctr">
            <w14:solidFill>
              <w14:srgbClr w14:val="000000"/>
            </w14:solidFill>
            <w14:prstDash w14:val="solid"/>
            <w14:miter w14:val="0"/>
          </w14:textOutline>
        </w:rPr>
        <w:t>投标人须知</w:t>
      </w:r>
    </w:p>
    <w:p w14:paraId="6730E551">
      <w:pPr>
        <w:pStyle w:val="6"/>
        <w:kinsoku/>
        <w:wordWrap w:val="0"/>
        <w:spacing w:before="268" w:line="360" w:lineRule="auto"/>
        <w:jc w:val="both"/>
        <w:rPr>
          <w:rFonts w:hint="eastAsia" w:asciiTheme="minorEastAsia" w:hAnsiTheme="minorEastAsia" w:eastAsiaTheme="minorEastAsia" w:cstheme="minorEastAsia"/>
          <w:b/>
          <w:bCs/>
          <w:color w:val="auto"/>
          <w:spacing w:val="-1"/>
          <w:sz w:val="24"/>
          <w:szCs w:val="24"/>
          <w:highlight w:val="none"/>
        </w:rPr>
      </w:pPr>
      <w:r>
        <w:rPr>
          <w:rFonts w:hint="eastAsia" w:asciiTheme="minorEastAsia" w:hAnsiTheme="minorEastAsia" w:eastAsiaTheme="minorEastAsia" w:cstheme="minorEastAsia"/>
          <w:color w:val="auto"/>
          <w:spacing w:val="-10"/>
          <w:sz w:val="24"/>
          <w:szCs w:val="24"/>
          <w:highlight w:val="none"/>
          <w14:textOutline w14:w="1803" w14:cap="flat" w14:cmpd="sng" w14:algn="ctr">
            <w14:solidFill>
              <w14:srgbClr w14:val="000000"/>
            </w14:solidFill>
            <w14:prstDash w14:val="solid"/>
            <w14:miter w14:val="0"/>
          </w14:textOutline>
        </w:rPr>
        <w:t>一</w:t>
      </w:r>
      <w:r>
        <w:rPr>
          <w:rFonts w:hint="eastAsia" w:asciiTheme="minorEastAsia" w:hAnsiTheme="minorEastAsia" w:eastAsiaTheme="minorEastAsia" w:cstheme="minorEastAsia"/>
          <w:color w:val="auto"/>
          <w:spacing w:val="-10"/>
          <w:sz w:val="24"/>
          <w:szCs w:val="24"/>
          <w:highlight w:val="none"/>
          <w:lang w:eastAsia="zh-CN"/>
          <w14:textOutline w14:w="1803" w14:cap="flat" w14:cmpd="sng" w14:algn="ctr">
            <w14:solidFill>
              <w14:srgbClr w14:val="000000"/>
            </w14:solidFill>
            <w14:prstDash w14:val="solid"/>
            <w14:miter w14:val="0"/>
          </w14:textOutline>
        </w:rPr>
        <w:t>、</w:t>
      </w:r>
      <w:r>
        <w:rPr>
          <w:rFonts w:hint="eastAsia" w:asciiTheme="minorEastAsia" w:hAnsiTheme="minorEastAsia" w:eastAsiaTheme="minorEastAsia" w:cstheme="minorEastAsia"/>
          <w:color w:val="auto"/>
          <w:spacing w:val="-10"/>
          <w:sz w:val="24"/>
          <w:szCs w:val="24"/>
          <w:highlight w:val="none"/>
          <w14:textOutline w14:w="1803" w14:cap="flat" w14:cmpd="sng" w14:algn="ctr">
            <w14:solidFill>
              <w14:srgbClr w14:val="000000"/>
            </w14:solidFill>
            <w14:prstDash w14:val="solid"/>
            <w14:miter w14:val="0"/>
          </w14:textOutline>
        </w:rPr>
        <w:t>说明</w:t>
      </w:r>
    </w:p>
    <w:p w14:paraId="59DA4F28">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1.采购人、采购代理机构、投标人、联合体</w:t>
      </w:r>
    </w:p>
    <w:p w14:paraId="271B9F9A">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1.1 采购人、采购代理机构：指依法进行政府采购的国家机关、事业单位、团体组织及其委托的采购代理机构。本项目采购人、采购代理机构见第一章《公开招标公告》。</w:t>
      </w:r>
    </w:p>
    <w:p w14:paraId="69C6AA43">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1.2 投标人（也称供应商、申请人）：指向采购人提供货物、工程或者服务的法人、其他组织或者自然人。</w:t>
      </w:r>
    </w:p>
    <w:p w14:paraId="057ECBF2">
      <w:pPr>
        <w:pStyle w:val="6"/>
        <w:kinsoku/>
        <w:wordWrap w:val="0"/>
        <w:spacing w:line="360" w:lineRule="auto"/>
        <w:ind w:firstLine="48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1.3 联合体：指两个以上的自然人、法人或者其他组织组成一个联合体，以一个供应商的身份共同参加政府采购。</w:t>
      </w:r>
    </w:p>
    <w:p w14:paraId="6C62C333">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2.资金来源、项目属性、科研仪器设备采购、核心产品</w:t>
      </w:r>
    </w:p>
    <w:p w14:paraId="23E775E3">
      <w:pPr>
        <w:pStyle w:val="6"/>
        <w:kinsoku/>
        <w:wordWrap w:val="0"/>
        <w:spacing w:line="360" w:lineRule="auto"/>
        <w:ind w:firstLine="50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2.1 资金来源为财政性资金</w:t>
      </w:r>
      <w:r>
        <w:rPr>
          <w:rFonts w:hint="eastAsia" w:asciiTheme="minorEastAsia" w:hAnsiTheme="minorEastAsia" w:eastAsiaTheme="minorEastAsia" w:cstheme="minorEastAsia"/>
          <w:color w:val="auto"/>
          <w:spacing w:val="7"/>
          <w:sz w:val="24"/>
          <w:szCs w:val="24"/>
          <w:highlight w:val="none"/>
          <w:u w:val="single"/>
          <w:lang w:eastAsia="zh-CN"/>
        </w:rPr>
        <w:t xml:space="preserve"> 217 </w:t>
      </w:r>
      <w:r>
        <w:rPr>
          <w:rFonts w:hint="eastAsia" w:asciiTheme="minorEastAsia" w:hAnsiTheme="minorEastAsia" w:eastAsiaTheme="minorEastAsia" w:cstheme="minorEastAsia"/>
          <w:color w:val="auto"/>
          <w:spacing w:val="7"/>
          <w:sz w:val="24"/>
          <w:szCs w:val="24"/>
          <w:highlight w:val="none"/>
          <w:lang w:eastAsia="zh-CN"/>
        </w:rPr>
        <w:t>万元</w:t>
      </w:r>
      <w:r>
        <w:rPr>
          <w:rFonts w:hint="eastAsia" w:asciiTheme="minorEastAsia" w:hAnsiTheme="minorEastAsia" w:eastAsiaTheme="minorEastAsia" w:cstheme="minorEastAsia"/>
          <w:color w:val="auto"/>
          <w:spacing w:val="-9"/>
          <w:sz w:val="24"/>
          <w:szCs w:val="24"/>
          <w:highlight w:val="none"/>
          <w:lang w:eastAsia="zh-CN"/>
        </w:rPr>
        <w:t>。</w:t>
      </w:r>
    </w:p>
    <w:p w14:paraId="01A250C6">
      <w:pPr>
        <w:pStyle w:val="6"/>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2.2 项目属性见《投标人须知表》。</w:t>
      </w:r>
    </w:p>
    <w:p w14:paraId="4B015E19">
      <w:pPr>
        <w:pStyle w:val="6"/>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 xml:space="preserve">2.3 是否属于科研仪器设备采购见《投标人须知表》。 </w:t>
      </w:r>
    </w:p>
    <w:p w14:paraId="0E83B855">
      <w:pPr>
        <w:pStyle w:val="6"/>
        <w:kinsoku/>
        <w:wordWrap w:val="0"/>
        <w:spacing w:line="360" w:lineRule="auto"/>
        <w:ind w:firstLine="50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2.4 核心产品见《投标人须知表》。</w:t>
      </w:r>
    </w:p>
    <w:p w14:paraId="6E434C40">
      <w:pPr>
        <w:pStyle w:val="6"/>
        <w:kinsoku/>
        <w:wordWrap w:val="0"/>
        <w:spacing w:line="360" w:lineRule="auto"/>
        <w:ind w:firstLine="482"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3.现场考察、开标前答疑会</w:t>
      </w:r>
    </w:p>
    <w:p w14:paraId="26D11602">
      <w:pPr>
        <w:pStyle w:val="6"/>
        <w:kinsoku/>
        <w:wordWrap w:val="0"/>
        <w:spacing w:line="360" w:lineRule="auto"/>
        <w:ind w:firstLine="492"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3.1 若《投标人须知表》中规定了组</w:t>
      </w:r>
      <w:r>
        <w:rPr>
          <w:rFonts w:hint="eastAsia" w:asciiTheme="minorEastAsia" w:hAnsiTheme="minorEastAsia" w:eastAsiaTheme="minorEastAsia" w:cstheme="minorEastAsia"/>
          <w:color w:val="auto"/>
          <w:spacing w:val="2"/>
          <w:sz w:val="24"/>
          <w:szCs w:val="24"/>
          <w:highlight w:val="none"/>
          <w:lang w:eastAsia="zh-CN"/>
        </w:rPr>
        <w:t>织现场考察、召开开标前答疑会，则投</w:t>
      </w:r>
      <w:r>
        <w:rPr>
          <w:rFonts w:hint="eastAsia" w:asciiTheme="minorEastAsia" w:hAnsiTheme="minorEastAsia" w:eastAsiaTheme="minorEastAsia" w:cstheme="minorEastAsia"/>
          <w:color w:val="auto"/>
          <w:spacing w:val="-3"/>
          <w:sz w:val="24"/>
          <w:szCs w:val="24"/>
          <w:highlight w:val="none"/>
          <w:lang w:eastAsia="zh-CN"/>
        </w:rPr>
        <w:t>标人应按要求在规定的时间和地点参加。</w:t>
      </w:r>
    </w:p>
    <w:p w14:paraId="3E460DCA">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3.2 由于未参加现场考察或开标前答疑会而导致对项目实际情况不了解，影响投标文件编制、投标报价准确性、综合因素响应不全面等问题的，由投标人自行承担不利评审后果。</w:t>
      </w:r>
    </w:p>
    <w:p w14:paraId="208BC7AA">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pacing w:val="-1"/>
          <w:position w:val="17"/>
          <w:sz w:val="24"/>
          <w:szCs w:val="24"/>
          <w:highlight w:val="none"/>
          <w:lang w:eastAsia="zh-CN"/>
        </w:rPr>
        <w:t>4.政府采购政策（包括但不限于下列具体政策要求）</w:t>
      </w:r>
    </w:p>
    <w:p w14:paraId="2D7790F6">
      <w:pPr>
        <w:pStyle w:val="6"/>
        <w:kinsoku/>
        <w:wordWrap w:val="0"/>
        <w:spacing w:line="360" w:lineRule="auto"/>
        <w:ind w:firstLine="48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4.1 采购本国货物、工程和服务</w:t>
      </w:r>
    </w:p>
    <w:p w14:paraId="5F00FCCA">
      <w:pPr>
        <w:pStyle w:val="6"/>
        <w:kinsoku/>
        <w:wordWrap w:val="0"/>
        <w:spacing w:line="360" w:lineRule="auto"/>
        <w:ind w:firstLine="476" w:firstLineChars="200"/>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4.1.1 政府采购应当采购本国货物、工程和服务。但有《中华人民共和国政府采购法》第十条规定情形的除外。</w:t>
      </w:r>
    </w:p>
    <w:p w14:paraId="43EEBFE7">
      <w:pPr>
        <w:pStyle w:val="6"/>
        <w:kinsoku/>
        <w:wordWrap w:val="0"/>
        <w:spacing w:line="360" w:lineRule="auto"/>
        <w:ind w:firstLine="46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4.1.2 本项目如接受非本国货</w:t>
      </w:r>
      <w:r>
        <w:rPr>
          <w:rFonts w:hint="eastAsia" w:asciiTheme="minorEastAsia" w:hAnsiTheme="minorEastAsia" w:eastAsiaTheme="minorEastAsia" w:cstheme="minorEastAsia"/>
          <w:color w:val="auto"/>
          <w:spacing w:val="-5"/>
          <w:sz w:val="24"/>
          <w:szCs w:val="24"/>
          <w:highlight w:val="none"/>
          <w:lang w:eastAsia="zh-CN"/>
        </w:rPr>
        <w:t>物、工程、服务参与投标，则具体要求见第二</w:t>
      </w:r>
      <w:r>
        <w:rPr>
          <w:rFonts w:hint="eastAsia" w:asciiTheme="minorEastAsia" w:hAnsiTheme="minorEastAsia" w:eastAsiaTheme="minorEastAsia" w:cstheme="minorEastAsia"/>
          <w:color w:val="auto"/>
          <w:spacing w:val="-19"/>
          <w:sz w:val="24"/>
          <w:szCs w:val="24"/>
          <w:highlight w:val="none"/>
          <w:lang w:eastAsia="zh-CN"/>
        </w:rPr>
        <w:t>章《采购需求》。</w:t>
      </w:r>
    </w:p>
    <w:p w14:paraId="3944D7B0">
      <w:pPr>
        <w:pStyle w:val="6"/>
        <w:kinsoku/>
        <w:wordWrap w:val="0"/>
        <w:spacing w:line="360" w:lineRule="auto"/>
        <w:ind w:firstLine="50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sz w:val="24"/>
          <w:szCs w:val="24"/>
          <w:highlight w:val="none"/>
          <w:lang w:eastAsia="zh-CN"/>
        </w:rPr>
        <w:t>4.1.3 进口产品指通过中国海关</w:t>
      </w:r>
      <w:r>
        <w:rPr>
          <w:rFonts w:hint="eastAsia" w:asciiTheme="minorEastAsia" w:hAnsiTheme="minorEastAsia" w:eastAsiaTheme="minorEastAsia" w:cstheme="minorEastAsia"/>
          <w:color w:val="auto"/>
          <w:spacing w:val="5"/>
          <w:sz w:val="24"/>
          <w:szCs w:val="24"/>
          <w:highlight w:val="none"/>
          <w:lang w:eastAsia="zh-CN"/>
        </w:rPr>
        <w:t>报关验放进入中国境内且产自关境外的产</w:t>
      </w:r>
      <w:r>
        <w:rPr>
          <w:rFonts w:hint="eastAsia" w:asciiTheme="minorEastAsia" w:hAnsiTheme="minorEastAsia" w:eastAsiaTheme="minorEastAsia" w:cstheme="minorEastAsia"/>
          <w:color w:val="auto"/>
          <w:spacing w:val="-5"/>
          <w:sz w:val="24"/>
          <w:szCs w:val="24"/>
          <w:highlight w:val="none"/>
          <w:lang w:eastAsia="zh-CN"/>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color w:val="auto"/>
          <w:spacing w:val="5"/>
          <w:sz w:val="24"/>
          <w:szCs w:val="24"/>
          <w:highlight w:val="none"/>
          <w:lang w:eastAsia="zh-CN"/>
        </w:rPr>
        <w:t>于政府采购进口产品管理有关问题的通知》（财办库〔</w:t>
      </w:r>
      <w:r>
        <w:rPr>
          <w:rFonts w:hint="eastAsia" w:asciiTheme="minorEastAsia" w:hAnsiTheme="minorEastAsia" w:eastAsiaTheme="minorEastAsia" w:cstheme="minorEastAsia"/>
          <w:color w:val="auto"/>
          <w:spacing w:val="4"/>
          <w:sz w:val="24"/>
          <w:szCs w:val="24"/>
          <w:highlight w:val="none"/>
          <w:lang w:eastAsia="zh-CN"/>
        </w:rPr>
        <w:t>2008〕248</w:t>
      </w:r>
      <w:r>
        <w:rPr>
          <w:rFonts w:hint="eastAsia" w:asciiTheme="minorEastAsia" w:hAnsiTheme="minorEastAsia" w:eastAsiaTheme="minorEastAsia" w:cstheme="minorEastAsia"/>
          <w:color w:val="auto"/>
          <w:spacing w:val="-38"/>
          <w:sz w:val="24"/>
          <w:szCs w:val="24"/>
          <w:highlight w:val="none"/>
          <w:lang w:eastAsia="zh-CN"/>
        </w:rPr>
        <w:t>号文）</w:t>
      </w:r>
      <w:r>
        <w:rPr>
          <w:rFonts w:hint="eastAsia" w:asciiTheme="minorEastAsia" w:hAnsiTheme="minorEastAsia" w:eastAsiaTheme="minorEastAsia" w:cstheme="minorEastAsia"/>
          <w:color w:val="auto"/>
          <w:spacing w:val="-5"/>
          <w:sz w:val="24"/>
          <w:szCs w:val="24"/>
          <w:highlight w:val="none"/>
          <w:lang w:eastAsia="zh-CN"/>
        </w:rPr>
        <w:t>法》（财库〔2007〕119号文）、《关</w:t>
      </w:r>
      <w:r>
        <w:rPr>
          <w:rFonts w:hint="eastAsia" w:asciiTheme="minorEastAsia" w:hAnsiTheme="minorEastAsia" w:eastAsiaTheme="minorEastAsia" w:cstheme="minorEastAsia"/>
          <w:color w:val="auto"/>
          <w:spacing w:val="5"/>
          <w:sz w:val="24"/>
          <w:szCs w:val="24"/>
          <w:highlight w:val="none"/>
          <w:lang w:eastAsia="zh-CN"/>
        </w:rPr>
        <w:t>于政府采购进口产品管理有关问题的通知》（财办库〔</w:t>
      </w:r>
      <w:r>
        <w:rPr>
          <w:rFonts w:hint="eastAsia" w:asciiTheme="minorEastAsia" w:hAnsiTheme="minorEastAsia" w:eastAsiaTheme="minorEastAsia" w:cstheme="minorEastAsia"/>
          <w:color w:val="auto"/>
          <w:spacing w:val="4"/>
          <w:sz w:val="24"/>
          <w:szCs w:val="24"/>
          <w:highlight w:val="none"/>
          <w:lang w:eastAsia="zh-CN"/>
        </w:rPr>
        <w:t>2008〕248</w:t>
      </w:r>
      <w:r>
        <w:rPr>
          <w:rFonts w:hint="eastAsia" w:asciiTheme="minorEastAsia" w:hAnsiTheme="minorEastAsia" w:eastAsiaTheme="minorEastAsia" w:cstheme="minorEastAsia"/>
          <w:color w:val="auto"/>
          <w:spacing w:val="5"/>
          <w:sz w:val="24"/>
          <w:szCs w:val="24"/>
          <w:highlight w:val="none"/>
          <w:lang w:eastAsia="zh-CN"/>
        </w:rPr>
        <w:t>号文）以及南阳市财政局的具体规定。</w:t>
      </w:r>
    </w:p>
    <w:p w14:paraId="21133B74">
      <w:pPr>
        <w:pStyle w:val="6"/>
        <w:kinsoku/>
        <w:wordWrap w:val="0"/>
        <w:spacing w:line="360" w:lineRule="auto"/>
        <w:ind w:firstLine="48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4.2 中小企业、监狱企业及残疾人福利性单位</w:t>
      </w:r>
    </w:p>
    <w:p w14:paraId="79DC93AC">
      <w:pPr>
        <w:pStyle w:val="6"/>
        <w:kinsoku/>
        <w:wordWrap w:val="0"/>
        <w:spacing w:line="360" w:lineRule="auto"/>
        <w:ind w:firstLine="472"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4.2.1 中小企业定义：</w:t>
      </w:r>
    </w:p>
    <w:p w14:paraId="1E1A3914">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执行。</w:t>
      </w:r>
    </w:p>
    <w:p w14:paraId="6F0C7706">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供应商提供的货物、工程或者服务符合下列情形的，享受中小企业扶持政策：</w:t>
      </w:r>
    </w:p>
    <w:p w14:paraId="4C3F1B50">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（1）在货物采购项目中，货物由中小企业制造，即货物由中小企业生产且使用该中小企业商号或者注册商标；</w:t>
      </w:r>
    </w:p>
    <w:p w14:paraId="2C07A8E6">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（2）在工程采购项目中，工程由中小企业承建，即工程施工单位为中小企业；</w:t>
      </w:r>
    </w:p>
    <w:p w14:paraId="3CE75B6B">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（3）在服务采购项目中，服务由中小企业承接，即提供服务的人员为中小企业依照《中华人民共和国劳动合同法》订立劳动合同的从业人员。</w:t>
      </w:r>
    </w:p>
    <w:p w14:paraId="12AAE5E0">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在货物采购项目中，供应商提供的货物既有中小企业制造货物，也有大型企业制造货物的，不享受中小企业扶持政策。</w:t>
      </w:r>
    </w:p>
    <w:p w14:paraId="41417939">
      <w:pPr>
        <w:pStyle w:val="6"/>
        <w:kinsoku/>
        <w:wordWrap w:val="0"/>
        <w:spacing w:line="360" w:lineRule="auto"/>
        <w:ind w:firstLine="464"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以联合体形式参加政府采购活动，联合体各方均为中小企业的，联合体视同中小企业。其中，联合体各方均为小微企业的，联合体视同小微企业。</w:t>
      </w:r>
    </w:p>
    <w:p w14:paraId="07D4580D">
      <w:pPr>
        <w:pStyle w:val="6"/>
        <w:kinsoku/>
        <w:wordWrap w:val="0"/>
        <w:spacing w:line="360" w:lineRule="auto"/>
        <w:ind w:firstLine="46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4.2.2 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color w:val="auto"/>
          <w:spacing w:val="-6"/>
          <w:sz w:val="24"/>
          <w:szCs w:val="24"/>
          <w:highlight w:val="none"/>
          <w:lang w:eastAsia="zh-CN"/>
        </w:rPr>
        <w:t>企业定义：是指由司法部认定的为罪犯、戒</w:t>
      </w:r>
      <w:r>
        <w:rPr>
          <w:rFonts w:hint="eastAsia" w:asciiTheme="minorEastAsia" w:hAnsiTheme="minorEastAsia" w:eastAsiaTheme="minorEastAsia" w:cstheme="minorEastAsia"/>
          <w:color w:val="auto"/>
          <w:spacing w:val="-7"/>
          <w:sz w:val="24"/>
          <w:szCs w:val="24"/>
          <w:highlight w:val="none"/>
          <w:lang w:eastAsia="zh-CN"/>
        </w:rPr>
        <w:t>毒人员提供生产项目和劳</w:t>
      </w:r>
      <w:r>
        <w:rPr>
          <w:rFonts w:hint="eastAsia" w:asciiTheme="minorEastAsia" w:hAnsiTheme="minorEastAsia" w:eastAsiaTheme="minorEastAsia" w:cstheme="minorEastAsia"/>
          <w:color w:val="auto"/>
          <w:spacing w:val="-8"/>
          <w:sz w:val="24"/>
          <w:szCs w:val="24"/>
          <w:highlight w:val="none"/>
          <w:lang w:eastAsia="zh-CN"/>
        </w:rPr>
        <w:t>动对象，且全部产权属于司法部监狱管理局、戒毒管理局、直属煤矿</w:t>
      </w:r>
      <w:r>
        <w:rPr>
          <w:rFonts w:hint="eastAsia" w:asciiTheme="minorEastAsia" w:hAnsiTheme="minorEastAsia" w:eastAsiaTheme="minorEastAsia" w:cstheme="minorEastAsia"/>
          <w:color w:val="auto"/>
          <w:spacing w:val="-13"/>
          <w:sz w:val="24"/>
          <w:szCs w:val="24"/>
          <w:highlight w:val="none"/>
          <w:lang w:eastAsia="zh-CN"/>
        </w:rPr>
        <w:t>管理局，各省、自治区、直辖市监狱管理</w:t>
      </w:r>
      <w:r>
        <w:rPr>
          <w:rFonts w:hint="eastAsia" w:asciiTheme="minorEastAsia" w:hAnsiTheme="minorEastAsia" w:eastAsiaTheme="minorEastAsia" w:cstheme="minorEastAsia"/>
          <w:color w:val="auto"/>
          <w:spacing w:val="-14"/>
          <w:sz w:val="24"/>
          <w:szCs w:val="24"/>
          <w:highlight w:val="none"/>
          <w:lang w:eastAsia="zh-CN"/>
        </w:rPr>
        <w:t>局、戒毒管理局，各地（设</w:t>
      </w:r>
      <w:r>
        <w:rPr>
          <w:rFonts w:hint="eastAsia" w:asciiTheme="minorEastAsia" w:hAnsiTheme="minorEastAsia" w:eastAsiaTheme="minorEastAsia" w:cstheme="minorEastAsia"/>
          <w:color w:val="auto"/>
          <w:spacing w:val="-13"/>
          <w:sz w:val="24"/>
          <w:szCs w:val="24"/>
          <w:highlight w:val="none"/>
          <w:lang w:eastAsia="zh-CN"/>
        </w:rPr>
        <w:t>区的市）监狱、强制隔离戒毒所、戒毒康复所，以及新疆生产建设兵</w:t>
      </w:r>
      <w:r>
        <w:rPr>
          <w:rFonts w:hint="eastAsia" w:asciiTheme="minorEastAsia" w:hAnsiTheme="minorEastAsia" w:eastAsiaTheme="minorEastAsia" w:cstheme="minorEastAsia"/>
          <w:color w:val="auto"/>
          <w:spacing w:val="-4"/>
          <w:sz w:val="24"/>
          <w:szCs w:val="24"/>
          <w:highlight w:val="none"/>
          <w:lang w:eastAsia="zh-CN"/>
        </w:rPr>
        <w:t>团监狱管理局、戒毒管理局的企业。</w:t>
      </w:r>
    </w:p>
    <w:p w14:paraId="7842A41D">
      <w:pPr>
        <w:pStyle w:val="6"/>
        <w:kinsoku/>
        <w:wordWrap w:val="0"/>
        <w:spacing w:line="360" w:lineRule="auto"/>
        <w:ind w:firstLine="44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4.2.3 在政府采购活动中，残疾人福利性单位视同小型、微型企业</w:t>
      </w:r>
      <w:r>
        <w:rPr>
          <w:rFonts w:hint="eastAsia" w:asciiTheme="minorEastAsia" w:hAnsiTheme="minorEastAsia" w:eastAsiaTheme="minorEastAsia" w:cstheme="minorEastAsia"/>
          <w:color w:val="auto"/>
          <w:spacing w:val="-9"/>
          <w:sz w:val="24"/>
          <w:szCs w:val="24"/>
          <w:highlight w:val="none"/>
          <w:lang w:eastAsia="zh-CN"/>
        </w:rPr>
        <w:t>，享受预</w:t>
      </w:r>
      <w:r>
        <w:rPr>
          <w:rFonts w:hint="eastAsia" w:asciiTheme="minorEastAsia" w:hAnsiTheme="minorEastAsia" w:eastAsiaTheme="minorEastAsia" w:cstheme="minorEastAsia"/>
          <w:color w:val="auto"/>
          <w:spacing w:val="-5"/>
          <w:sz w:val="24"/>
          <w:szCs w:val="24"/>
          <w:highlight w:val="none"/>
          <w:lang w:eastAsia="zh-CN"/>
        </w:rPr>
        <w:t>留份额、评审中价格扣除等促进中小企业发展的政府采购政策。残疾</w:t>
      </w:r>
      <w:r>
        <w:rPr>
          <w:rFonts w:hint="eastAsia" w:asciiTheme="minorEastAsia" w:hAnsiTheme="minorEastAsia" w:eastAsiaTheme="minorEastAsia" w:cstheme="minorEastAsia"/>
          <w:color w:val="auto"/>
          <w:spacing w:val="-7"/>
          <w:sz w:val="24"/>
          <w:szCs w:val="24"/>
          <w:highlight w:val="none"/>
          <w:lang w:eastAsia="zh-CN"/>
        </w:rPr>
        <w:t>人福利性单位定义：享受政府采购支持政策的残疾人福利性单位应当</w:t>
      </w:r>
      <w:r>
        <w:rPr>
          <w:rFonts w:hint="eastAsia" w:asciiTheme="minorEastAsia" w:hAnsiTheme="minorEastAsia" w:eastAsiaTheme="minorEastAsia" w:cstheme="minorEastAsia"/>
          <w:color w:val="auto"/>
          <w:spacing w:val="-9"/>
          <w:sz w:val="24"/>
          <w:szCs w:val="24"/>
          <w:highlight w:val="none"/>
          <w:lang w:eastAsia="zh-CN"/>
        </w:rPr>
        <w:t>同时满足以下条件：</w:t>
      </w:r>
    </w:p>
    <w:p w14:paraId="2F9EF1FC">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"5.2.3.1"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4.2.3.1</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安置的残疾人占本单位在职职工人数的比例不低于25%（含25%），并且安置的残疾人人数不少于10人（含10人）；</w:t>
      </w:r>
    </w:p>
    <w:p w14:paraId="7FB6175A">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"5.2.3.2"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4.2.3.2</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依法与安置的每位残疾人签订了一年以上（含一年）的劳动合同或服务协议；</w:t>
      </w:r>
    </w:p>
    <w:p w14:paraId="07AACA7D">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"5.2.3.3"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4.2.3.3</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为安置的每位残疾人按月足额缴纳了基本养老、医疗、失业、工伤和生育等社会保险费；</w:t>
      </w:r>
    </w:p>
    <w:p w14:paraId="3E26DB60">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"5.2.3.4"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4.2.3.4</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通过银行等金融机构向安置的每位残疾人，按月支付了不低于单位所在区县的月最低工资标准的工资；</w:t>
      </w:r>
    </w:p>
    <w:p w14:paraId="73BAD407">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"5.2.3.5"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4.2.3.5</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提供本单位制造的货物、承担的工程或者服务（以下简称产品），或者提供其他残疾人福利性单位制造的货物（不包括使用非残疾人福利性单位注册商标的货物）；</w:t>
      </w:r>
    </w:p>
    <w:p w14:paraId="61650ECC">
      <w:pPr>
        <w:pStyle w:val="6"/>
        <w:spacing w:line="360" w:lineRule="auto"/>
        <w:ind w:firstLine="620" w:firstLineChars="200"/>
        <w:rPr>
          <w:rFonts w:hint="eastAsia" w:asciiTheme="minorEastAsia" w:hAnsiTheme="minorEastAsia" w:eastAsiaTheme="minorEastAsia" w:cstheme="minorEastAsia"/>
          <w:color w:val="auto"/>
          <w:spacing w:val="-8"/>
          <w:sz w:val="24"/>
          <w:szCs w:val="24"/>
          <w:highlight w:val="none"/>
          <w:lang w:eastAsia="zh-CN"/>
        </w:rPr>
      </w:pPr>
      <w:r>
        <w:rPr>
          <w:color w:val="auto"/>
          <w:highlight w:val="none"/>
        </w:rPr>
        <w:fldChar w:fldCharType="begin"/>
      </w:r>
      <w:r>
        <w:rPr>
          <w:color w:val="auto"/>
          <w:highlight w:val="none"/>
        </w:rPr>
        <w:instrText xml:space="preserve"> HYPERLINK "5.2.3.6" </w:instrText>
      </w:r>
      <w:r>
        <w:rPr>
          <w:color w:val="auto"/>
          <w:highlight w:val="none"/>
        </w:rPr>
        <w:fldChar w:fldCharType="separate"/>
      </w:r>
      <w:r>
        <w:rPr>
          <w:rFonts w:hint="eastAsia" w:asciiTheme="minorEastAsia" w:hAnsiTheme="minorEastAsia" w:eastAsiaTheme="minorEastAsia" w:cstheme="minorEastAsia"/>
          <w:color w:val="auto"/>
          <w:spacing w:val="-8"/>
          <w:sz w:val="24"/>
          <w:szCs w:val="24"/>
          <w:highlight w:val="none"/>
          <w:lang w:eastAsia="zh-CN"/>
        </w:rPr>
        <w:t>4.2.3.6</w:t>
      </w:r>
      <w:r>
        <w:rPr>
          <w:rFonts w:hint="eastAsia"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 xml:space="preserve">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7CF5847E">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4.2.4 本项目是否专门面向中小企业预留采购份额见第一章《公开招标公告》。</w:t>
      </w:r>
    </w:p>
    <w:p w14:paraId="71E8D48D">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4.2.5 采购标的对应的中小企业划分标准所属行业见《投标人须知表》。</w:t>
      </w:r>
    </w:p>
    <w:p w14:paraId="0C2F0BF4">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4.2.6 小微企业价格评审优惠的政策调整：见第四章《开、评标程序、评标方法和评标标准》。</w:t>
      </w:r>
    </w:p>
    <w:p w14:paraId="03EA4452">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4.3 政府采购节能产品、环境标志产品</w:t>
      </w:r>
    </w:p>
    <w:p w14:paraId="4D4BA580">
      <w:pPr>
        <w:pStyle w:val="4"/>
        <w:shd w:val="clear" w:color="auto" w:fill="FFFFFF"/>
        <w:kinsoku/>
        <w:wordWrap w:val="0"/>
        <w:spacing w:beforeAutospacing="0" w:afterAutospacing="0" w:line="360" w:lineRule="auto"/>
        <w:ind w:firstLine="448" w:firstLineChars="200"/>
        <w:jc w:val="both"/>
        <w:rPr>
          <w:rFonts w:asciiTheme="minorEastAsia" w:hAnsiTheme="minorEastAsia" w:eastAsiaTheme="minorEastAsia" w:cstheme="minorEastAsia"/>
          <w:b w:val="0"/>
          <w:color w:val="auto"/>
          <w:spacing w:val="-8"/>
          <w:sz w:val="24"/>
          <w:szCs w:val="24"/>
          <w:highlight w:val="none"/>
        </w:rPr>
      </w:pPr>
      <w:r>
        <w:rPr>
          <w:rFonts w:asciiTheme="minorEastAsia" w:hAnsiTheme="minorEastAsia" w:eastAsiaTheme="minorEastAsia" w:cstheme="minorEastAsia"/>
          <w:b w:val="0"/>
          <w:color w:val="auto"/>
          <w:spacing w:val="-8"/>
          <w:sz w:val="24"/>
          <w:szCs w:val="24"/>
          <w:highlight w:val="none"/>
        </w:rPr>
        <w:t>4.3.1 政府采购节能产品、环境标志产品实施品目清单管理。财政部、</w:t>
      </w:r>
      <w:r>
        <w:rPr>
          <w:rFonts w:hint="default" w:asciiTheme="minorEastAsia" w:hAnsiTheme="minorEastAsia" w:eastAsiaTheme="minorEastAsia" w:cstheme="minorEastAsia"/>
          <w:b w:val="0"/>
          <w:color w:val="auto"/>
          <w:spacing w:val="-8"/>
          <w:sz w:val="24"/>
          <w:szCs w:val="24"/>
          <w:highlight w:val="none"/>
          <w:lang w:eastAsia="en-US"/>
        </w:rPr>
        <w:fldChar w:fldCharType="begin"/>
      </w:r>
      <w:r>
        <w:rPr>
          <w:rFonts w:hint="default" w:asciiTheme="minorEastAsia" w:hAnsiTheme="minorEastAsia" w:eastAsiaTheme="minorEastAsia" w:cstheme="minorEastAsia"/>
          <w:b w:val="0"/>
          <w:color w:val="auto"/>
          <w:spacing w:val="-8"/>
          <w:sz w:val="24"/>
          <w:szCs w:val="24"/>
          <w:highlight w:val="none"/>
        </w:rPr>
        <w:instrText xml:space="preserve">HYPERLINK"https://www.baidu.com/link?url=pV2gqlWQVIfLHb2GO1RMJVp24ETQ1a_TiqQ-2CHpcULsECvXubLhLHJTcTJbIedy&amp;wd=&amp;eqid=88c7d5f9006c2d6b0000000265780e74"\t"https://www.baidu.com/_blank"</w:instrText>
      </w:r>
      <w:r>
        <w:rPr>
          <w:rFonts w:hint="default" w:asciiTheme="minorEastAsia" w:hAnsiTheme="minorEastAsia" w:eastAsiaTheme="minorEastAsia" w:cstheme="minorEastAsia"/>
          <w:b w:val="0"/>
          <w:color w:val="auto"/>
          <w:spacing w:val="-8"/>
          <w:sz w:val="24"/>
          <w:szCs w:val="24"/>
          <w:highlight w:val="none"/>
          <w:lang w:eastAsia="en-US"/>
        </w:rPr>
        <w:fldChar w:fldCharType="separate"/>
      </w:r>
      <w:r>
        <w:rPr>
          <w:rFonts w:hint="default" w:asciiTheme="minorEastAsia" w:hAnsiTheme="minorEastAsia" w:eastAsiaTheme="minorEastAsia" w:cstheme="minorEastAsia"/>
          <w:b w:val="0"/>
          <w:color w:val="auto"/>
          <w:spacing w:val="-8"/>
          <w:sz w:val="24"/>
          <w:szCs w:val="24"/>
          <w:highlight w:val="none"/>
        </w:rPr>
        <w:t>中华人民共和国国家发展和改革委员会</w:t>
      </w:r>
      <w:r>
        <w:rPr>
          <w:rFonts w:hint="default" w:asciiTheme="minorEastAsia" w:hAnsiTheme="minorEastAsia" w:eastAsiaTheme="minorEastAsia" w:cstheme="minorEastAsia"/>
          <w:b w:val="0"/>
          <w:color w:val="auto"/>
          <w:spacing w:val="-8"/>
          <w:sz w:val="24"/>
          <w:szCs w:val="24"/>
          <w:highlight w:val="none"/>
          <w:lang w:eastAsia="en-US"/>
        </w:rPr>
        <w:fldChar w:fldCharType="end"/>
      </w:r>
      <w:r>
        <w:rPr>
          <w:rFonts w:asciiTheme="minorEastAsia" w:hAnsiTheme="minorEastAsia" w:eastAsiaTheme="minorEastAsia" w:cstheme="minorEastAsia"/>
          <w:b w:val="0"/>
          <w:color w:val="auto"/>
          <w:spacing w:val="-8"/>
          <w:sz w:val="24"/>
          <w:szCs w:val="24"/>
          <w:highlight w:val="none"/>
        </w:rPr>
        <w:t>、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A1903AD">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4.3.2 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w:t>
      </w:r>
    </w:p>
    <w:p w14:paraId="5CAEFE6E">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4.3.3 如本项目采购产品属于实施政府强制采购品目清单范围的节能产品，则投标人所报产品必须获得国家确定的认证机构出具的、处于有效期之内的节能产品认证证书，</w:t>
      </w:r>
      <w:r>
        <w:rPr>
          <w:rFonts w:hint="eastAsia" w:asciiTheme="minorEastAsia" w:hAnsiTheme="minorEastAsia" w:eastAsiaTheme="minorEastAsia" w:cstheme="minorEastAsia"/>
          <w:b/>
          <w:bCs/>
          <w:color w:val="auto"/>
          <w:spacing w:val="-8"/>
          <w:sz w:val="24"/>
          <w:szCs w:val="24"/>
          <w:highlight w:val="none"/>
          <w:lang w:eastAsia="zh-CN"/>
        </w:rPr>
        <w:t>否则投标无效；</w:t>
      </w:r>
    </w:p>
    <w:p w14:paraId="4063A218">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4.3.4 非政府强制采购的节能产品或环境标志产品，依据品目清单和认证证书实施政府优先采购。优先采购的具体规定见第四章《开、评标程序、评标方法和评标标准》（如涉及）。</w:t>
      </w:r>
    </w:p>
    <w:p w14:paraId="494E4E48">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4.4 正版软件</w:t>
      </w:r>
    </w:p>
    <w:p w14:paraId="5C1DF8A5">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4.4.1 依据《财政部、</w:t>
      </w:r>
      <w:r>
        <w:rPr>
          <w:color w:val="auto"/>
          <w:highlight w:val="none"/>
        </w:rPr>
        <w:fldChar w:fldCharType="begin"/>
      </w:r>
      <w:r>
        <w:rPr>
          <w:color w:val="auto"/>
          <w:highlight w:val="none"/>
        </w:rPr>
        <w:instrText xml:space="preserve"> HYPERLINK "https://www.baidu.com/link?url=pV2gqlWQVIfLHb2GO1RMJVp24ETQ1a_TiqQ-2CHpcULsECvXubLhLHJTcTJbIedy&amp;wd=&amp;eqid=88c7d5f9006c2d6b0000000265780e74" \t "https://www.baidu.com/_blank" </w:instrText>
      </w:r>
      <w:r>
        <w:rPr>
          <w:color w:val="auto"/>
          <w:highlight w:val="none"/>
        </w:rPr>
        <w:fldChar w:fldCharType="separate"/>
      </w:r>
      <w:r>
        <w:rPr>
          <w:rFonts w:asciiTheme="minorEastAsia" w:hAnsiTheme="minorEastAsia" w:eastAsiaTheme="minorEastAsia" w:cstheme="minorEastAsia"/>
          <w:color w:val="auto"/>
          <w:spacing w:val="-8"/>
          <w:sz w:val="24"/>
          <w:szCs w:val="24"/>
          <w:highlight w:val="none"/>
          <w:lang w:eastAsia="zh-CN"/>
        </w:rPr>
        <w:t>中华人民共和国国家发展和改革委员会</w:t>
      </w:r>
      <w:r>
        <w:rPr>
          <w:rFonts w:asciiTheme="minorEastAsia" w:hAnsiTheme="minorEastAsia" w:eastAsiaTheme="minorEastAsia" w:cstheme="minorEastAsia"/>
          <w:color w:val="auto"/>
          <w:spacing w:val="-8"/>
          <w:sz w:val="24"/>
          <w:szCs w:val="24"/>
          <w:highlight w:val="none"/>
          <w:lang w:eastAsia="zh-CN"/>
        </w:rPr>
        <w:fldChar w:fldCharType="end"/>
      </w:r>
      <w:r>
        <w:rPr>
          <w:rFonts w:hint="eastAsia" w:asciiTheme="minorEastAsia" w:hAnsiTheme="minorEastAsia" w:eastAsiaTheme="minorEastAsia" w:cstheme="minorEastAsia"/>
          <w:color w:val="auto"/>
          <w:spacing w:val="-8"/>
          <w:sz w:val="24"/>
          <w:szCs w:val="24"/>
          <w:highlight w:val="none"/>
          <w:lang w:eastAsia="zh-CN"/>
        </w:rPr>
        <w:t>、信息产业部关于印发无线局域网产品政府采购实施意见的通知》（财库〔2005〕366号），采购无线局域网产品和含有无线局域网功能的计算机、通信设备、打印机、复印机、投影仪等产品的，优先采购符合国家无线局域网安全标准（GB 15629.11/1102）并通过国家产品认证的产品。财政部、</w:t>
      </w:r>
      <w:r>
        <w:rPr>
          <w:rFonts w:asciiTheme="minorEastAsia" w:hAnsiTheme="minorEastAsia" w:eastAsiaTheme="minorEastAsia" w:cstheme="minorEastAsia"/>
          <w:color w:val="auto"/>
          <w:spacing w:val="-8"/>
          <w:sz w:val="24"/>
          <w:szCs w:val="24"/>
          <w:highlight w:val="none"/>
        </w:rPr>
        <w:fldChar w:fldCharType="begin"/>
      </w:r>
      <w:r>
        <w:rPr>
          <w:rFonts w:asciiTheme="minorEastAsia" w:hAnsiTheme="minorEastAsia" w:eastAsiaTheme="minorEastAsia" w:cstheme="minorEastAsia"/>
          <w:color w:val="auto"/>
          <w:spacing w:val="-8"/>
          <w:sz w:val="24"/>
          <w:szCs w:val="24"/>
          <w:highlight w:val="none"/>
          <w:lang w:eastAsia="zh-CN"/>
        </w:rPr>
        <w:instrText xml:space="preserve">HYPERLINK"https://www.baidu.com/link?url=pV2gqlWQVIfLHb2GO1RMJVp24ETQ1a_TiqQ-2CHpcULsECvXubLhLHJTcTJbIedy&amp;wd=&amp;eqid=88c7d5f9006c2d6b0000000265780e74"\t"https://www.baidu.com/_blank"</w:instrText>
      </w:r>
      <w:r>
        <w:rPr>
          <w:rFonts w:asciiTheme="minorEastAsia" w:hAnsiTheme="minorEastAsia" w:eastAsiaTheme="minorEastAsia" w:cstheme="minorEastAsia"/>
          <w:color w:val="auto"/>
          <w:spacing w:val="-8"/>
          <w:sz w:val="24"/>
          <w:szCs w:val="24"/>
          <w:highlight w:val="none"/>
        </w:rPr>
        <w:fldChar w:fldCharType="separate"/>
      </w:r>
      <w:r>
        <w:rPr>
          <w:rFonts w:asciiTheme="minorEastAsia" w:hAnsiTheme="minorEastAsia" w:eastAsiaTheme="minorEastAsia" w:cstheme="minorEastAsia"/>
          <w:color w:val="auto"/>
          <w:spacing w:val="-8"/>
          <w:sz w:val="24"/>
          <w:szCs w:val="24"/>
          <w:highlight w:val="none"/>
          <w:lang w:eastAsia="zh-CN"/>
        </w:rPr>
        <w:t>中华人民共和国国家发展和改革委员会</w:t>
      </w:r>
      <w:r>
        <w:rPr>
          <w:rFonts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eastAsia="zh-CN"/>
        </w:rPr>
        <w:t>、信息产业部根据政府采购改革进展和无线局域网产品技术及市场成熟等情况，从国家指定的认证机构认证的生产厂商和产品型号中确定优先采购的产品，并以无线局域网认证产品政府采购清单（以下简称清单）的形式公布。清单中新增认证产品厂商和型号，由财政部、</w:t>
      </w:r>
      <w:r>
        <w:rPr>
          <w:rFonts w:asciiTheme="minorEastAsia" w:hAnsiTheme="minorEastAsia" w:eastAsiaTheme="minorEastAsia" w:cstheme="minorEastAsia"/>
          <w:color w:val="auto"/>
          <w:spacing w:val="-8"/>
          <w:sz w:val="24"/>
          <w:szCs w:val="24"/>
          <w:highlight w:val="none"/>
        </w:rPr>
        <w:fldChar w:fldCharType="begin"/>
      </w:r>
      <w:r>
        <w:rPr>
          <w:rFonts w:asciiTheme="minorEastAsia" w:hAnsiTheme="minorEastAsia" w:eastAsiaTheme="minorEastAsia" w:cstheme="minorEastAsia"/>
          <w:color w:val="auto"/>
          <w:spacing w:val="-8"/>
          <w:sz w:val="24"/>
          <w:szCs w:val="24"/>
          <w:highlight w:val="none"/>
          <w:lang w:eastAsia="zh-CN"/>
        </w:rPr>
        <w:instrText xml:space="preserve">HYPERLINK"https://www.baidu.com/link?url=pV2gqlWQVIfLHb2GO1RMJVp24ETQ1a_TiqQ-2CHpcULsECvXubLhLHJTcTJbIedy&amp;wd=&amp;eqid=88c7d5f9006c2d6b0000000265780e74"\t"https://www.baidu.com/_blank"</w:instrText>
      </w:r>
      <w:r>
        <w:rPr>
          <w:rFonts w:asciiTheme="minorEastAsia" w:hAnsiTheme="minorEastAsia" w:eastAsiaTheme="minorEastAsia" w:cstheme="minorEastAsia"/>
          <w:color w:val="auto"/>
          <w:spacing w:val="-8"/>
          <w:sz w:val="24"/>
          <w:szCs w:val="24"/>
          <w:highlight w:val="none"/>
        </w:rPr>
        <w:fldChar w:fldCharType="separate"/>
      </w:r>
      <w:r>
        <w:rPr>
          <w:rFonts w:asciiTheme="minorEastAsia" w:hAnsiTheme="minorEastAsia" w:eastAsiaTheme="minorEastAsia" w:cstheme="minorEastAsia"/>
          <w:color w:val="auto"/>
          <w:spacing w:val="-8"/>
          <w:sz w:val="24"/>
          <w:szCs w:val="24"/>
          <w:highlight w:val="none"/>
          <w:lang w:eastAsia="zh-CN"/>
        </w:rPr>
        <w:t>中华人民共和国国家发展和改革委员会</w:t>
      </w:r>
      <w:r>
        <w:rPr>
          <w:rFonts w:asciiTheme="minorEastAsia" w:hAnsiTheme="minorEastAsia" w:eastAsiaTheme="minorEastAsia" w:cstheme="minorEastAsia"/>
          <w:color w:val="auto"/>
          <w:spacing w:val="-8"/>
          <w:sz w:val="24"/>
          <w:szCs w:val="24"/>
          <w:highlight w:val="none"/>
        </w:rPr>
        <w:fldChar w:fldCharType="end"/>
      </w:r>
      <w:r>
        <w:rPr>
          <w:rFonts w:hint="eastAsia" w:asciiTheme="minorEastAsia" w:hAnsiTheme="minorEastAsia" w:eastAsiaTheme="minorEastAsia" w:cstheme="minorEastAsia"/>
          <w:color w:val="auto"/>
          <w:spacing w:val="-8"/>
          <w:sz w:val="24"/>
          <w:szCs w:val="24"/>
          <w:highlight w:val="none"/>
          <w:lang w:eastAsia="zh-CN"/>
        </w:rPr>
        <w:t>、信息产业部以文件形式确定、公布并适时调整。</w:t>
      </w:r>
    </w:p>
    <w:p w14:paraId="04D8BFA4">
      <w:pPr>
        <w:pStyle w:val="6"/>
        <w:kinsoku/>
        <w:wordWrap w:val="0"/>
        <w:spacing w:line="360" w:lineRule="auto"/>
        <w:ind w:firstLine="46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4.4.2 各级政府部门在购置计算机办公设备时，必须采购预装正版操作系统</w:t>
      </w:r>
    </w:p>
    <w:p w14:paraId="0A3CA70F">
      <w:pPr>
        <w:pStyle w:val="6"/>
        <w:kinsoku/>
        <w:wordWrap w:val="0"/>
        <w:spacing w:line="360" w:lineRule="auto"/>
        <w:ind w:firstLine="44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9"/>
          <w:sz w:val="24"/>
          <w:szCs w:val="24"/>
          <w:highlight w:val="none"/>
          <w:lang w:eastAsia="zh-CN"/>
        </w:rPr>
        <w:t>软件的计算机产品，相关规定依据《国家版权局、信息产业</w:t>
      </w:r>
      <w:r>
        <w:rPr>
          <w:rFonts w:hint="eastAsia" w:asciiTheme="minorEastAsia" w:hAnsiTheme="minorEastAsia" w:eastAsiaTheme="minorEastAsia" w:cstheme="minorEastAsia"/>
          <w:color w:val="auto"/>
          <w:spacing w:val="-10"/>
          <w:sz w:val="24"/>
          <w:szCs w:val="24"/>
          <w:highlight w:val="none"/>
          <w:lang w:eastAsia="zh-CN"/>
        </w:rPr>
        <w:t>部、财政</w:t>
      </w:r>
      <w:r>
        <w:rPr>
          <w:rFonts w:hint="eastAsia" w:asciiTheme="minorEastAsia" w:hAnsiTheme="minorEastAsia" w:eastAsiaTheme="minorEastAsia" w:cstheme="minorEastAsia"/>
          <w:color w:val="auto"/>
          <w:spacing w:val="-4"/>
          <w:sz w:val="24"/>
          <w:szCs w:val="24"/>
          <w:highlight w:val="none"/>
          <w:lang w:eastAsia="zh-CN"/>
        </w:rPr>
        <w:t>部、国务院机关事务管理局关于政府部门购置计算机办公设备必须采</w:t>
      </w:r>
      <w:r>
        <w:rPr>
          <w:rFonts w:hint="eastAsia" w:asciiTheme="minorEastAsia" w:hAnsiTheme="minorEastAsia" w:eastAsiaTheme="minorEastAsia" w:cstheme="minorEastAsia"/>
          <w:color w:val="auto"/>
          <w:spacing w:val="-3"/>
          <w:sz w:val="24"/>
          <w:szCs w:val="24"/>
          <w:highlight w:val="none"/>
          <w:lang w:eastAsia="zh-CN"/>
        </w:rPr>
        <w:t>购已预装正版操作系统软件产品的通知》（国权联〔200</w:t>
      </w:r>
      <w:r>
        <w:rPr>
          <w:rFonts w:hint="eastAsia" w:asciiTheme="minorEastAsia" w:hAnsiTheme="minorEastAsia" w:eastAsiaTheme="minorEastAsia" w:cstheme="minorEastAsia"/>
          <w:color w:val="auto"/>
          <w:spacing w:val="-4"/>
          <w:sz w:val="24"/>
          <w:szCs w:val="24"/>
          <w:highlight w:val="none"/>
          <w:lang w:eastAsia="zh-CN"/>
        </w:rPr>
        <w:t>6〕1号）、</w:t>
      </w:r>
      <w:r>
        <w:rPr>
          <w:rFonts w:hint="eastAsia" w:asciiTheme="minorEastAsia" w:hAnsiTheme="minorEastAsia" w:eastAsiaTheme="minorEastAsia" w:cstheme="minorEastAsia"/>
          <w:color w:val="auto"/>
          <w:sz w:val="24"/>
          <w:szCs w:val="24"/>
          <w:highlight w:val="none"/>
          <w:lang w:eastAsia="zh-CN"/>
        </w:rPr>
        <w:t>《国务院办公厅关于进一步做好政府机关使用正版</w:t>
      </w:r>
      <w:r>
        <w:rPr>
          <w:rFonts w:hint="eastAsia" w:asciiTheme="minorEastAsia" w:hAnsiTheme="minorEastAsia" w:eastAsiaTheme="minorEastAsia" w:cstheme="minorEastAsia"/>
          <w:color w:val="auto"/>
          <w:spacing w:val="-1"/>
          <w:sz w:val="24"/>
          <w:szCs w:val="24"/>
          <w:highlight w:val="none"/>
          <w:lang w:eastAsia="zh-CN"/>
        </w:rPr>
        <w:t>软件工作的通知》</w:t>
      </w:r>
      <w:r>
        <w:rPr>
          <w:rFonts w:hint="eastAsia" w:asciiTheme="minorEastAsia" w:hAnsiTheme="minorEastAsia" w:eastAsiaTheme="minorEastAsia" w:cstheme="minorEastAsia"/>
          <w:color w:val="auto"/>
          <w:spacing w:val="-3"/>
          <w:sz w:val="24"/>
          <w:szCs w:val="24"/>
          <w:highlight w:val="none"/>
          <w:lang w:eastAsia="zh-CN"/>
        </w:rPr>
        <w:t>（国办发〔2010〕47号）、《财政部关于进一步做好政府机关使用</w:t>
      </w:r>
      <w:r>
        <w:rPr>
          <w:rFonts w:hint="eastAsia" w:asciiTheme="minorEastAsia" w:hAnsiTheme="minorEastAsia" w:eastAsiaTheme="minorEastAsia" w:cstheme="minorEastAsia"/>
          <w:color w:val="auto"/>
          <w:spacing w:val="-6"/>
          <w:sz w:val="24"/>
          <w:szCs w:val="24"/>
          <w:highlight w:val="none"/>
          <w:lang w:eastAsia="zh-CN"/>
        </w:rPr>
        <w:t>正版软件工作的通知》（财预〔2010〕536号）。</w:t>
      </w:r>
    </w:p>
    <w:p w14:paraId="53E1B1EE">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4.5 网络安全专用产品</w:t>
      </w:r>
    </w:p>
    <w:p w14:paraId="1473DC3E">
      <w:pPr>
        <w:pStyle w:val="6"/>
        <w:kinsoku/>
        <w:wordWrap w:val="0"/>
        <w:spacing w:line="360" w:lineRule="auto"/>
        <w:ind w:firstLine="476"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4.5.1 所投产品属于列入《网络关键设备和网络安全专用产品目录》的网络</w:t>
      </w:r>
      <w:r>
        <w:rPr>
          <w:rFonts w:hint="eastAsia" w:asciiTheme="minorEastAsia" w:hAnsiTheme="minorEastAsia" w:eastAsiaTheme="minorEastAsia" w:cstheme="minorEastAsia"/>
          <w:color w:val="auto"/>
          <w:spacing w:val="-2"/>
          <w:sz w:val="24"/>
          <w:szCs w:val="24"/>
          <w:highlight w:val="none"/>
          <w:lang w:eastAsia="zh-CN"/>
        </w:rPr>
        <w:t>安全专用产品，应当在国家互联网信息办公室会同工业和信息化部、</w:t>
      </w:r>
      <w:r>
        <w:rPr>
          <w:rFonts w:hint="eastAsia" w:asciiTheme="minorEastAsia" w:hAnsiTheme="minorEastAsia" w:eastAsiaTheme="minorEastAsia" w:cstheme="minorEastAsia"/>
          <w:color w:val="auto"/>
          <w:spacing w:val="-4"/>
          <w:sz w:val="24"/>
          <w:szCs w:val="24"/>
          <w:highlight w:val="none"/>
          <w:lang w:eastAsia="zh-CN"/>
        </w:rPr>
        <w:t>公安部、国家认证认可监督管理委员会统一公布和更新</w:t>
      </w:r>
      <w:r>
        <w:rPr>
          <w:rFonts w:hint="eastAsia" w:asciiTheme="minorEastAsia" w:hAnsiTheme="minorEastAsia" w:eastAsiaTheme="minorEastAsia" w:cstheme="minorEastAsia"/>
          <w:color w:val="auto"/>
          <w:spacing w:val="-5"/>
          <w:sz w:val="24"/>
          <w:szCs w:val="24"/>
          <w:highlight w:val="none"/>
          <w:lang w:eastAsia="zh-CN"/>
        </w:rPr>
        <w:t>的符合要求的</w:t>
      </w:r>
      <w:r>
        <w:rPr>
          <w:rFonts w:hint="eastAsia" w:asciiTheme="minorEastAsia" w:hAnsiTheme="minorEastAsia" w:eastAsiaTheme="minorEastAsia" w:cstheme="minorEastAsia"/>
          <w:color w:val="auto"/>
          <w:spacing w:val="-4"/>
          <w:sz w:val="24"/>
          <w:szCs w:val="24"/>
          <w:highlight w:val="none"/>
          <w:lang w:eastAsia="zh-CN"/>
        </w:rPr>
        <w:t>网络关键设备和网络安全专用产品清单中。</w:t>
      </w:r>
    </w:p>
    <w:p w14:paraId="3BD4F5C3">
      <w:pPr>
        <w:pStyle w:val="6"/>
        <w:kinsoku/>
        <w:wordWrap w:val="0"/>
        <w:spacing w:line="360" w:lineRule="auto"/>
        <w:ind w:firstLine="48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4.6 采购需求标准</w:t>
      </w:r>
    </w:p>
    <w:p w14:paraId="73E51F5D">
      <w:pPr>
        <w:pStyle w:val="6"/>
        <w:kinsoku/>
        <w:wordWrap w:val="0"/>
        <w:spacing w:line="360" w:lineRule="auto"/>
        <w:ind w:firstLine="48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4.6.1 商品包装、快递包装政府采购需求标准（试行）</w:t>
      </w:r>
      <w:r>
        <w:rPr>
          <w:rFonts w:hint="eastAsia" w:asciiTheme="minorEastAsia" w:hAnsiTheme="minorEastAsia" w:eastAsiaTheme="minorEastAsia" w:cstheme="minorEastAsia"/>
          <w:color w:val="auto"/>
          <w:spacing w:val="-12"/>
          <w:sz w:val="24"/>
          <w:szCs w:val="24"/>
          <w:highlight w:val="none"/>
          <w:lang w:eastAsia="zh-CN"/>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color w:val="auto"/>
          <w:spacing w:val="-3"/>
          <w:sz w:val="24"/>
          <w:szCs w:val="24"/>
          <w:highlight w:val="none"/>
          <w:lang w:eastAsia="zh-CN"/>
        </w:rPr>
        <w:t>标准（试行）》的通知（财办库〔2020〕1</w:t>
      </w:r>
      <w:r>
        <w:rPr>
          <w:rFonts w:hint="eastAsia" w:asciiTheme="minorEastAsia" w:hAnsiTheme="minorEastAsia" w:eastAsiaTheme="minorEastAsia" w:cstheme="minorEastAsia"/>
          <w:color w:val="auto"/>
          <w:spacing w:val="-4"/>
          <w:sz w:val="24"/>
          <w:szCs w:val="24"/>
          <w:highlight w:val="none"/>
          <w:lang w:eastAsia="zh-CN"/>
        </w:rPr>
        <w:t>23号</w:t>
      </w:r>
      <w:r>
        <w:rPr>
          <w:rFonts w:hint="eastAsia" w:asciiTheme="minorEastAsia" w:hAnsiTheme="minorEastAsia" w:eastAsiaTheme="minorEastAsia" w:cstheme="minorEastAsia"/>
          <w:color w:val="auto"/>
          <w:spacing w:val="-28"/>
          <w:sz w:val="24"/>
          <w:szCs w:val="24"/>
          <w:highlight w:val="none"/>
          <w:lang w:eastAsia="zh-CN"/>
        </w:rPr>
        <w:t>），</w:t>
      </w:r>
      <w:r>
        <w:rPr>
          <w:rFonts w:hint="eastAsia" w:asciiTheme="minorEastAsia" w:hAnsiTheme="minorEastAsia" w:eastAsiaTheme="minorEastAsia" w:cstheme="minorEastAsia"/>
          <w:color w:val="auto"/>
          <w:spacing w:val="-4"/>
          <w:sz w:val="24"/>
          <w:szCs w:val="24"/>
          <w:highlight w:val="none"/>
          <w:lang w:eastAsia="zh-CN"/>
        </w:rPr>
        <w:t>本项目如涉及商</w:t>
      </w:r>
      <w:r>
        <w:rPr>
          <w:rFonts w:hint="eastAsia" w:asciiTheme="minorEastAsia" w:hAnsiTheme="minorEastAsia" w:eastAsiaTheme="minorEastAsia" w:cstheme="minorEastAsia"/>
          <w:color w:val="auto"/>
          <w:spacing w:val="-6"/>
          <w:sz w:val="24"/>
          <w:szCs w:val="24"/>
          <w:highlight w:val="none"/>
          <w:lang w:eastAsia="zh-CN"/>
        </w:rPr>
        <w:t>品包装和快递包装的，则其具体要求见第二章《采购需求》。</w:t>
      </w:r>
    </w:p>
    <w:p w14:paraId="37F137B5">
      <w:pPr>
        <w:pStyle w:val="6"/>
        <w:kinsoku/>
        <w:wordWrap w:val="0"/>
        <w:spacing w:line="360" w:lineRule="auto"/>
        <w:ind w:firstLine="432" w:firstLineChars="200"/>
        <w:jc w:val="both"/>
        <w:rPr>
          <w:rFonts w:hint="eastAsia" w:asciiTheme="minorEastAsia" w:hAnsiTheme="minorEastAsia" w:eastAsiaTheme="minorEastAsia" w:cstheme="minorEastAsia"/>
          <w:color w:val="auto"/>
          <w:spacing w:val="-12"/>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lang w:eastAsia="zh-CN"/>
        </w:rPr>
        <w:t>4.6.2 绿色数据中心政府采购需求标准（试行）</w:t>
      </w:r>
    </w:p>
    <w:p w14:paraId="3BF2FD96">
      <w:pPr>
        <w:pStyle w:val="6"/>
        <w:kinsoku/>
        <w:wordWrap w:val="0"/>
        <w:spacing w:line="360" w:lineRule="auto"/>
        <w:ind w:firstLine="432" w:firstLineChars="200"/>
        <w:jc w:val="both"/>
        <w:rPr>
          <w:rFonts w:hint="eastAsia" w:asciiTheme="minorEastAsia" w:hAnsiTheme="minorEastAsia" w:eastAsiaTheme="minorEastAsia" w:cstheme="minorEastAsia"/>
          <w:color w:val="auto"/>
          <w:spacing w:val="-12"/>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lang w:eastAsia="zh-CN"/>
        </w:rPr>
        <w:t>为加快数据中心绿色转型，根据财政部、生态环境部、工业和信息化部关于印发《绿色数据中心政府采购需求标准（试行）》的通知（财库〔2023〕7号），本项目如涉及绿色数据中心，则具体要求见第二章《采购需求》。</w:t>
      </w:r>
    </w:p>
    <w:p w14:paraId="73F72D5E">
      <w:pPr>
        <w:pStyle w:val="6"/>
        <w:kinsoku/>
        <w:wordWrap w:val="0"/>
        <w:spacing w:line="360" w:lineRule="auto"/>
        <w:ind w:firstLine="47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pacing w:val="-2"/>
          <w:sz w:val="24"/>
          <w:szCs w:val="24"/>
          <w:highlight w:val="none"/>
          <w:lang w:eastAsia="zh-CN"/>
        </w:rPr>
        <w:t>5.投标费用</w:t>
      </w:r>
    </w:p>
    <w:p w14:paraId="6C947318">
      <w:pPr>
        <w:pStyle w:val="6"/>
        <w:kinsoku/>
        <w:wordWrap w:val="0"/>
        <w:spacing w:line="360" w:lineRule="auto"/>
        <w:ind w:firstLine="46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投标人应自行承担所有与准备和招标有关的费用</w:t>
      </w:r>
      <w:r>
        <w:rPr>
          <w:rFonts w:hint="eastAsia" w:asciiTheme="minorEastAsia" w:hAnsiTheme="minorEastAsia" w:eastAsiaTheme="minorEastAsia" w:cstheme="minorEastAsia"/>
          <w:color w:val="auto"/>
          <w:spacing w:val="-5"/>
          <w:sz w:val="24"/>
          <w:szCs w:val="24"/>
          <w:highlight w:val="none"/>
          <w:lang w:eastAsia="zh-CN"/>
        </w:rPr>
        <w:t>，无论招标的结果如何，</w:t>
      </w:r>
      <w:r>
        <w:rPr>
          <w:rFonts w:hint="eastAsia" w:asciiTheme="minorEastAsia" w:hAnsiTheme="minorEastAsia" w:eastAsiaTheme="minorEastAsia" w:cstheme="minorEastAsia"/>
          <w:color w:val="auto"/>
          <w:spacing w:val="-1"/>
          <w:sz w:val="24"/>
          <w:szCs w:val="24"/>
          <w:highlight w:val="none"/>
          <w:lang w:eastAsia="zh-CN"/>
        </w:rPr>
        <w:t>采购人或采购代理机构在任何情况下均无承担</w:t>
      </w:r>
      <w:r>
        <w:rPr>
          <w:rFonts w:hint="eastAsia" w:asciiTheme="minorEastAsia" w:hAnsiTheme="minorEastAsia" w:eastAsiaTheme="minorEastAsia" w:cstheme="minorEastAsia"/>
          <w:color w:val="auto"/>
          <w:spacing w:val="-2"/>
          <w:sz w:val="24"/>
          <w:szCs w:val="24"/>
          <w:highlight w:val="none"/>
          <w:lang w:eastAsia="zh-CN"/>
        </w:rPr>
        <w:t>这些费用的义务和责任。</w:t>
      </w:r>
    </w:p>
    <w:p w14:paraId="16105AFB">
      <w:pPr>
        <w:kinsoku/>
        <w:wordWrap w:val="0"/>
        <w:spacing w:line="360" w:lineRule="auto"/>
        <w:ind w:firstLine="466" w:firstLineChars="200"/>
        <w:jc w:val="both"/>
        <w:rPr>
          <w:rFonts w:hint="eastAsia" w:asciiTheme="minorEastAsia" w:hAnsiTheme="minorEastAsia" w:eastAsiaTheme="minorEastAsia" w:cstheme="minorEastAsia"/>
          <w:b/>
          <w:bCs/>
          <w:color w:val="auto"/>
          <w:spacing w:val="-4"/>
          <w:sz w:val="24"/>
          <w:szCs w:val="24"/>
          <w:highlight w:val="none"/>
          <w:lang w:eastAsia="zh-CN"/>
        </w:rPr>
      </w:pPr>
      <w:r>
        <w:rPr>
          <w:rFonts w:hint="eastAsia" w:asciiTheme="minorEastAsia" w:hAnsiTheme="minorEastAsia" w:eastAsiaTheme="minorEastAsia" w:cstheme="minorEastAsia"/>
          <w:b/>
          <w:bCs/>
          <w:color w:val="auto"/>
          <w:spacing w:val="-4"/>
          <w:sz w:val="24"/>
          <w:szCs w:val="24"/>
          <w:highlight w:val="none"/>
          <w:lang w:eastAsia="zh-CN"/>
        </w:rPr>
        <w:t>6.采购范围及适用法律</w:t>
      </w:r>
    </w:p>
    <w:p w14:paraId="0C7EFB05">
      <w:pPr>
        <w:kinsoku/>
        <w:wordWrap w:val="0"/>
        <w:spacing w:line="360" w:lineRule="auto"/>
        <w:ind w:firstLine="567"/>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6.1 本次招标适用的法律、法规为《中华人民共和国政府采购法》《中华人民共和国政府采购法实施条例》《政府采购货物和服务招标投标管理办法》《中华人民共和国民法典》以及其他相关政府采购法律法规。</w:t>
      </w:r>
    </w:p>
    <w:p w14:paraId="7E70AC41">
      <w:pPr>
        <w:kinsoku/>
        <w:wordWrap w:val="0"/>
        <w:spacing w:line="360" w:lineRule="auto"/>
        <w:ind w:firstLine="567"/>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6.2 “监督管理部门”是指</w:t>
      </w:r>
      <w:r>
        <w:rPr>
          <w:rFonts w:hint="eastAsia" w:asciiTheme="minorEastAsia" w:hAnsiTheme="minorEastAsia" w:eastAsiaTheme="minorEastAsia" w:cstheme="minorEastAsia"/>
          <w:color w:val="auto"/>
          <w:spacing w:val="-2"/>
          <w:sz w:val="24"/>
          <w:szCs w:val="24"/>
          <w:highlight w:val="none"/>
          <w:u w:val="single"/>
          <w:lang w:eastAsia="zh-CN"/>
        </w:rPr>
        <w:t xml:space="preserve"> 南阳市财政局 </w:t>
      </w:r>
      <w:r>
        <w:rPr>
          <w:rFonts w:hint="eastAsia" w:asciiTheme="minorEastAsia" w:hAnsiTheme="minorEastAsia" w:eastAsiaTheme="minorEastAsia" w:cstheme="minorEastAsia"/>
          <w:color w:val="auto"/>
          <w:spacing w:val="-2"/>
          <w:sz w:val="24"/>
          <w:szCs w:val="24"/>
          <w:highlight w:val="none"/>
          <w:lang w:eastAsia="zh-CN"/>
        </w:rPr>
        <w:t>。</w:t>
      </w:r>
    </w:p>
    <w:p w14:paraId="438D37B8">
      <w:pPr>
        <w:kinsoku/>
        <w:wordWrap w:val="0"/>
        <w:spacing w:line="360" w:lineRule="auto"/>
        <w:ind w:firstLine="567"/>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6.3 “货物”指投标人按招标文件规定，须向采购人提供的与本次招标相关的</w:t>
      </w:r>
      <w:r>
        <w:rPr>
          <w:rFonts w:hint="eastAsia" w:asciiTheme="minorEastAsia" w:hAnsiTheme="minorEastAsia" w:eastAsiaTheme="minorEastAsia" w:cstheme="minorEastAsia"/>
          <w:color w:val="auto"/>
          <w:spacing w:val="-2"/>
          <w:sz w:val="24"/>
          <w:szCs w:val="24"/>
          <w:highlight w:val="none"/>
          <w:u w:val="single"/>
          <w:lang w:eastAsia="zh-CN"/>
        </w:rPr>
        <w:t xml:space="preserve"> 电气控制系统综合实践平台实训室、机械产品检验实训平台实训室设备。</w:t>
      </w:r>
    </w:p>
    <w:p w14:paraId="1B9F5C4C">
      <w:pPr>
        <w:kinsoku/>
        <w:wordWrap w:val="0"/>
        <w:spacing w:line="360" w:lineRule="auto"/>
        <w:ind w:firstLine="567"/>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6.4 “服务”指招标文件规定投标人应承担的</w:t>
      </w:r>
      <w:r>
        <w:rPr>
          <w:rFonts w:hint="eastAsia" w:asciiTheme="minorEastAsia" w:hAnsiTheme="minorEastAsia" w:eastAsiaTheme="minorEastAsia" w:cstheme="minorEastAsia"/>
          <w:color w:val="auto"/>
          <w:spacing w:val="-2"/>
          <w:sz w:val="24"/>
          <w:szCs w:val="24"/>
          <w:highlight w:val="none"/>
          <w:u w:val="single"/>
          <w:lang w:eastAsia="zh-CN"/>
        </w:rPr>
        <w:t xml:space="preserve"> 安装调整及售后 </w:t>
      </w:r>
      <w:r>
        <w:rPr>
          <w:rFonts w:hint="eastAsia" w:asciiTheme="minorEastAsia" w:hAnsiTheme="minorEastAsia" w:eastAsiaTheme="minorEastAsia" w:cstheme="minorEastAsia"/>
          <w:color w:val="auto"/>
          <w:spacing w:val="-4"/>
          <w:sz w:val="24"/>
          <w:szCs w:val="24"/>
          <w:highlight w:val="none"/>
          <w:lang w:eastAsia="zh-CN"/>
        </w:rPr>
        <w:t>服务。</w:t>
      </w:r>
    </w:p>
    <w:p w14:paraId="4BA489E7">
      <w:pPr>
        <w:pStyle w:val="24"/>
        <w:wordWrap w:val="0"/>
        <w:jc w:val="both"/>
        <w:rPr>
          <w:rFonts w:hint="eastAsia" w:asciiTheme="minorEastAsia" w:hAnsiTheme="minorEastAsia" w:eastAsiaTheme="minorEastAsia" w:cstheme="minorEastAsia"/>
          <w:color w:val="auto"/>
          <w:spacing w:val="-5"/>
          <w:sz w:val="28"/>
          <w:szCs w:val="28"/>
          <w:highlight w:val="none"/>
          <w14:textOutline w14:w="1803" w14:cap="flat" w14:cmpd="sng" w14:algn="ctr">
            <w14:solidFill>
              <w14:srgbClr w14:val="000000"/>
            </w14:solidFill>
            <w14:prstDash w14:val="solid"/>
            <w14:miter w14:val="0"/>
          </w14:textOutline>
        </w:rPr>
      </w:pPr>
    </w:p>
    <w:p w14:paraId="024B48E6">
      <w:pPr>
        <w:pStyle w:val="6"/>
        <w:kinsoku/>
        <w:wordWrap w:val="0"/>
        <w:spacing w:before="92" w:line="360" w:lineRule="auto"/>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5"/>
          <w:sz w:val="28"/>
          <w:szCs w:val="28"/>
          <w:highlight w:val="none"/>
          <w:lang w:eastAsia="zh-CN"/>
          <w14:textOutline w14:w="1803" w14:cap="flat" w14:cmpd="sng" w14:algn="ctr">
            <w14:solidFill>
              <w14:srgbClr w14:val="000000"/>
            </w14:solidFill>
            <w14:prstDash w14:val="solid"/>
            <w14:miter w14:val="0"/>
          </w14:textOutline>
        </w:rPr>
        <w:t>二</w:t>
      </w:r>
      <w:r>
        <w:rPr>
          <w:rFonts w:hint="eastAsia" w:asciiTheme="minorEastAsia" w:hAnsiTheme="minorEastAsia" w:eastAsiaTheme="minorEastAsia" w:cstheme="minorEastAsia"/>
          <w:color w:val="auto"/>
          <w:spacing w:val="5"/>
          <w:sz w:val="28"/>
          <w:szCs w:val="28"/>
          <w:highlight w:val="none"/>
          <w:lang w:eastAsia="zh-CN"/>
        </w:rPr>
        <w:t>、</w:t>
      </w:r>
      <w:r>
        <w:rPr>
          <w:rFonts w:hint="eastAsia" w:asciiTheme="minorEastAsia" w:hAnsiTheme="minorEastAsia" w:eastAsiaTheme="minorEastAsia" w:cstheme="minorEastAsia"/>
          <w:color w:val="auto"/>
          <w:spacing w:val="-5"/>
          <w:sz w:val="28"/>
          <w:szCs w:val="28"/>
          <w:highlight w:val="none"/>
          <w:lang w:eastAsia="zh-CN"/>
          <w14:textOutline w14:w="1803" w14:cap="flat" w14:cmpd="sng" w14:algn="ctr">
            <w14:solidFill>
              <w14:srgbClr w14:val="000000"/>
            </w14:solidFill>
            <w14:prstDash w14:val="solid"/>
            <w14:miter w14:val="0"/>
          </w14:textOutline>
        </w:rPr>
        <w:t>招标文件</w:t>
      </w:r>
    </w:p>
    <w:p w14:paraId="1D385B33">
      <w:pPr>
        <w:pStyle w:val="6"/>
        <w:kinsoku/>
        <w:wordWrap w:val="0"/>
        <w:spacing w:line="360" w:lineRule="auto"/>
        <w:ind w:firstLine="474" w:firstLineChars="200"/>
        <w:jc w:val="both"/>
        <w:rPr>
          <w:rFonts w:hint="eastAsia" w:asciiTheme="minorEastAsia" w:hAnsiTheme="minorEastAsia" w:eastAsiaTheme="minorEastAsia" w:cstheme="minorEastAsia"/>
          <w:b/>
          <w:bCs/>
          <w:color w:val="auto"/>
          <w:spacing w:val="-2"/>
          <w:sz w:val="24"/>
          <w:szCs w:val="24"/>
          <w:highlight w:val="none"/>
          <w:lang w:eastAsia="zh-CN"/>
        </w:rPr>
      </w:pPr>
      <w:r>
        <w:rPr>
          <w:rFonts w:hint="eastAsia" w:asciiTheme="minorEastAsia" w:hAnsiTheme="minorEastAsia" w:eastAsiaTheme="minorEastAsia" w:cstheme="minorEastAsia"/>
          <w:b/>
          <w:bCs/>
          <w:color w:val="auto"/>
          <w:spacing w:val="-2"/>
          <w:sz w:val="24"/>
          <w:szCs w:val="24"/>
          <w:highlight w:val="none"/>
          <w:lang w:eastAsia="zh-CN"/>
        </w:rPr>
        <w:t>7.招标文件构成</w:t>
      </w:r>
    </w:p>
    <w:p w14:paraId="160F7D7D">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7.1 招标文件包括以下部分：</w:t>
      </w:r>
    </w:p>
    <w:p w14:paraId="6B4DD33D">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第一章 公开招标公告</w:t>
      </w:r>
    </w:p>
    <w:p w14:paraId="23ADB928">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第二章 采购需求</w:t>
      </w:r>
    </w:p>
    <w:p w14:paraId="5AA4FFE2">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第三章 投标人须知</w:t>
      </w:r>
    </w:p>
    <w:p w14:paraId="06F95E77">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第四章 开、评标程序、评标方法和评标标准</w:t>
      </w:r>
    </w:p>
    <w:p w14:paraId="27A9BB25">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第五章 政府采购合同（草案）</w:t>
      </w:r>
    </w:p>
    <w:p w14:paraId="357D51F5">
      <w:pPr>
        <w:kinsoku/>
        <w:wordWrap w:val="0"/>
        <w:spacing w:line="360" w:lineRule="auto"/>
        <w:ind w:firstLine="472" w:firstLineChars="20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第六章 投标文件格式</w:t>
      </w:r>
    </w:p>
    <w:p w14:paraId="23BE03D7">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7.2 投标人应认真阅读招标文件的全部内容。投标人应按照招标文件要求提交投标文件并保证所提供的全部资料的真实性，并对招标文件做出实质性响应，否则投标无效。</w:t>
      </w:r>
    </w:p>
    <w:p w14:paraId="4BA60ECB">
      <w:pPr>
        <w:pStyle w:val="6"/>
        <w:kinsoku/>
        <w:wordWrap w:val="0"/>
        <w:spacing w:line="360" w:lineRule="auto"/>
        <w:ind w:firstLine="450"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8.对招标文件的澄清或修改</w:t>
      </w:r>
    </w:p>
    <w:p w14:paraId="3C926AB9">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8.1 采购人或采购代理机构对已发出的招标文件进行必要澄清或者修改的，将在原公告发布媒体上发布更正公告，不得改变采购标的和资格条件。</w:t>
      </w:r>
    </w:p>
    <w:p w14:paraId="5815010A">
      <w:pPr>
        <w:pStyle w:val="6"/>
        <w:kinsoku/>
        <w:wordWrap w:val="0"/>
        <w:spacing w:line="360" w:lineRule="auto"/>
        <w:ind w:firstLine="448" w:firstLineChars="200"/>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8.2 澄清或者修改的内容为招标文件的组成部分，并对所有获取招标文件的潜在投标人具有约束力。澄清或者修改的内容可能影响投标文件编制的，将在投标截止时间至少15日前，以书面形式（必须在原公告发布媒体上发布公告）通知所有获取招标文件的潜在投标人；不足15日的，将顺延提交投标文件的截止时间和开标时间。</w:t>
      </w:r>
    </w:p>
    <w:p w14:paraId="38D5C190">
      <w:pPr>
        <w:spacing w:line="400" w:lineRule="exact"/>
        <w:ind w:firstLine="450" w:firstLineChars="200"/>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8.3 政府采购项目实行网上受理，开标前所有信息保密。因此，发布的一切公告信息（包括招标公告、更正公告、澄清公告、延期公告等）均在“河南省政府采购网”“全国公共资源交易平台(河南省·南阳市)”发布，请潜在投标供应商随时查询有关公告信息。若因潜在投标供应商没有及时查看到公告信息而造成的投标失误，责任自负。</w:t>
      </w:r>
    </w:p>
    <w:p w14:paraId="7B6F7E7C">
      <w:pPr>
        <w:pStyle w:val="6"/>
        <w:kinsoku/>
        <w:wordWrap w:val="0"/>
        <w:spacing w:line="400" w:lineRule="exact"/>
        <w:ind w:firstLine="450" w:firstLineChars="200"/>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8.4 投标人应关注是否有发布最新的澄清更正公告和更正的最新招标文件（电子答疑文件），如有则需下载最新的招标文件，并在此基础上制作最新的投标文件并上传。</w:t>
      </w:r>
    </w:p>
    <w:p w14:paraId="7F545EB1">
      <w:pPr>
        <w:pStyle w:val="6"/>
        <w:kinsoku/>
        <w:wordWrap w:val="0"/>
        <w:spacing w:line="360" w:lineRule="auto"/>
        <w:jc w:val="both"/>
        <w:rPr>
          <w:rFonts w:hint="eastAsia" w:asciiTheme="minorEastAsia" w:hAnsiTheme="minorEastAsia" w:eastAsiaTheme="minorEastAsia" w:cstheme="minorEastAsia"/>
          <w:color w:val="auto"/>
          <w:spacing w:val="-1"/>
          <w:sz w:val="28"/>
          <w:szCs w:val="28"/>
          <w:highlight w:val="none"/>
          <w:lang w:eastAsia="zh-CN"/>
          <w14:textOutline w14:w="1803" w14:cap="flat" w14:cmpd="sng" w14:algn="ctr">
            <w14:solidFill>
              <w14:srgbClr w14:val="000000"/>
            </w14:solidFill>
            <w14:prstDash w14:val="solid"/>
            <w14:miter w14:val="0"/>
          </w14:textOutline>
        </w:rPr>
      </w:pPr>
    </w:p>
    <w:p w14:paraId="62C1B20C">
      <w:pPr>
        <w:pStyle w:val="6"/>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8"/>
          <w:szCs w:val="28"/>
          <w:highlight w:val="none"/>
          <w:lang w:eastAsia="zh-CN"/>
          <w14:textOutline w14:w="1803" w14:cap="flat" w14:cmpd="sng" w14:algn="ctr">
            <w14:solidFill>
              <w14:srgbClr w14:val="000000"/>
            </w14:solidFill>
            <w14:prstDash w14:val="solid"/>
            <w14:miter w14:val="0"/>
          </w14:textOutline>
        </w:rPr>
        <w:t>三</w:t>
      </w:r>
      <w:r>
        <w:rPr>
          <w:rFonts w:hint="eastAsia" w:asciiTheme="minorEastAsia" w:hAnsiTheme="minorEastAsia" w:eastAsiaTheme="minorEastAsia" w:cstheme="minorEastAsia"/>
          <w:color w:val="auto"/>
          <w:spacing w:val="-1"/>
          <w:sz w:val="28"/>
          <w:szCs w:val="28"/>
          <w:highlight w:val="none"/>
          <w:lang w:eastAsia="zh-CN"/>
        </w:rPr>
        <w:t>、</w:t>
      </w:r>
      <w:r>
        <w:rPr>
          <w:rFonts w:hint="eastAsia" w:asciiTheme="minorEastAsia" w:hAnsiTheme="minorEastAsia" w:eastAsiaTheme="minorEastAsia" w:cstheme="minorEastAsia"/>
          <w:color w:val="auto"/>
          <w:spacing w:val="-1"/>
          <w:sz w:val="28"/>
          <w:szCs w:val="28"/>
          <w:highlight w:val="none"/>
          <w:lang w:eastAsia="zh-CN"/>
          <w14:textOutline w14:w="1803" w14:cap="flat" w14:cmpd="sng" w14:algn="ctr">
            <w14:solidFill>
              <w14:srgbClr w14:val="000000"/>
            </w14:solidFill>
            <w14:prstDash w14:val="solid"/>
            <w14:miter w14:val="0"/>
          </w14:textOutline>
        </w:rPr>
        <w:t>投标文件的编制</w:t>
      </w:r>
    </w:p>
    <w:p w14:paraId="3BD8590A">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9.投标范围、投标文件中计量单位的使用及投标语言</w:t>
      </w:r>
    </w:p>
    <w:p w14:paraId="75DCB6F0">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9.1 本项目如划分采购包，投标人可以对本项目的其中一个采购包进行投标，也可同时对多个采购包进行投标。投标人应当对所投采购包对应第二章《采购需求》所列的全部内容进行投标，不得将一个采购包中的内容拆分投标，否则其对该采购包的投标将被认定为无效投标。</w:t>
      </w:r>
    </w:p>
    <w:p w14:paraId="2F62FB04">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9.2 除招标文件有特殊要求外，本项目投标所使用的计量单位，应采用中华人民共和国法定计量单位。</w:t>
      </w:r>
    </w:p>
    <w:p w14:paraId="03449C9A">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9.3 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7A3872BE">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10.投标文件构成</w:t>
      </w:r>
    </w:p>
    <w:p w14:paraId="6296E912">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10.1 投标人应当按照招标文件的要求编制投标文件。投标文件应由《开标一览表及资格证明文件》、《技术文件》、《商务文件》三部分构成。投标文件的部分格式要求，见第六章《投标文件格式》。如有漏项或评标委员会认为其投标文件有明显缺陷的，造成的后果由投标人自己承担。</w:t>
      </w:r>
    </w:p>
    <w:p w14:paraId="527846A8">
      <w:pPr>
        <w:pStyle w:val="34"/>
        <w:spacing w:line="360" w:lineRule="auto"/>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10.2 对于招标文件中标记了实质性格式文件的，投标人不得改变格式中给定的文字所表达的含义，不得删减格式中的实质性内容，不得对应当填写的空格不填写或不实质性响应，否则投标无效。未标记实质性格式的文件和招标文件未提供格式的内容，可由投标人自行编写。</w:t>
      </w:r>
    </w:p>
    <w:p w14:paraId="6B3B832E">
      <w:pPr>
        <w:pStyle w:val="34"/>
        <w:spacing w:line="360" w:lineRule="auto"/>
        <w:ind w:firstLine="480" w:firstLineChars="200"/>
        <w:textAlignment w:val="auto"/>
        <w:rPr>
          <w:rFonts w:hAnsi="宋体" w:cs="宋体"/>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 xml:space="preserve">10.3 </w:t>
      </w:r>
      <w:r>
        <w:rPr>
          <w:rFonts w:hint="eastAsia" w:hAnsi="宋体" w:cs="宋体"/>
          <w:color w:val="auto"/>
          <w:sz w:val="24"/>
          <w:szCs w:val="24"/>
          <w:highlight w:val="none"/>
          <w:lang w:eastAsia="zh-CN"/>
        </w:rPr>
        <w:t>投标文件应严格按照政府采购法律法规和招标文件要求，分开编制商务标和技术标，对能明显区分投标供应商的内容，应放入商务标；技术标中不能出现涉及投标供应商名称及相关提示内容的任何信息。</w:t>
      </w:r>
    </w:p>
    <w:p w14:paraId="652467FB">
      <w:pPr>
        <w:pStyle w:val="34"/>
        <w:spacing w:line="360" w:lineRule="auto"/>
        <w:ind w:firstLine="480" w:firstLineChars="200"/>
        <w:textAlignment w:val="auto"/>
        <w:rPr>
          <w:rFonts w:hAnsi="宋体" w:cs="宋体"/>
          <w:b/>
          <w:bCs/>
          <w:color w:val="auto"/>
          <w:sz w:val="24"/>
          <w:szCs w:val="24"/>
          <w:highlight w:val="none"/>
          <w:lang w:eastAsia="zh-CN"/>
        </w:rPr>
      </w:pPr>
      <w:r>
        <w:rPr>
          <w:rFonts w:hint="eastAsia" w:hAnsi="宋体" w:cs="宋体"/>
          <w:b/>
          <w:bCs/>
          <w:color w:val="auto"/>
          <w:sz w:val="24"/>
          <w:szCs w:val="24"/>
          <w:highlight w:val="none"/>
          <w:lang w:eastAsia="zh-CN"/>
        </w:rPr>
        <w:t>10.4 技术标文件制作要求：</w:t>
      </w:r>
    </w:p>
    <w:p w14:paraId="40B5F428">
      <w:pPr>
        <w:pStyle w:val="34"/>
        <w:spacing w:line="360" w:lineRule="auto"/>
        <w:ind w:firstLine="482" w:firstLineChars="200"/>
        <w:textAlignment w:val="auto"/>
        <w:rPr>
          <w:rFonts w:hAnsi="宋体" w:cs="宋体"/>
          <w:b/>
          <w:bCs/>
          <w:color w:val="auto"/>
          <w:sz w:val="24"/>
          <w:szCs w:val="24"/>
          <w:highlight w:val="none"/>
          <w:lang w:eastAsia="zh-CN"/>
        </w:rPr>
      </w:pPr>
      <w:r>
        <w:rPr>
          <w:rFonts w:hint="eastAsia" w:hAnsi="宋体" w:eastAsia="宋体" w:cs="宋体"/>
          <w:b/>
          <w:bCs/>
          <w:color w:val="auto"/>
          <w:sz w:val="24"/>
          <w:szCs w:val="24"/>
          <w:highlight w:val="none"/>
          <w:lang w:eastAsia="zh-CN"/>
        </w:rPr>
        <w:t xml:space="preserve">10.4.1 </w:t>
      </w:r>
      <w:r>
        <w:rPr>
          <w:rFonts w:hint="eastAsia" w:hAnsi="宋体" w:cs="宋体"/>
          <w:b/>
          <w:bCs/>
          <w:color w:val="auto"/>
          <w:sz w:val="24"/>
          <w:szCs w:val="24"/>
          <w:highlight w:val="none"/>
          <w:lang w:eastAsia="zh-CN"/>
        </w:rPr>
        <w:t>版面要求：A4纸张大小，纵向排版，不设置封面。</w:t>
      </w:r>
    </w:p>
    <w:p w14:paraId="1F64728F">
      <w:pPr>
        <w:pStyle w:val="34"/>
        <w:spacing w:line="360" w:lineRule="auto"/>
        <w:ind w:firstLine="482" w:firstLineChars="200"/>
        <w:textAlignment w:val="auto"/>
        <w:rPr>
          <w:rFonts w:hAnsi="宋体" w:cs="宋体"/>
          <w:b/>
          <w:bCs/>
          <w:color w:val="auto"/>
          <w:sz w:val="24"/>
          <w:szCs w:val="24"/>
          <w:highlight w:val="none"/>
          <w:lang w:eastAsia="zh-CN"/>
        </w:rPr>
      </w:pPr>
      <w:r>
        <w:rPr>
          <w:rFonts w:hint="eastAsia" w:hAnsi="宋体" w:eastAsia="宋体" w:cs="宋体"/>
          <w:b/>
          <w:bCs/>
          <w:color w:val="auto"/>
          <w:sz w:val="24"/>
          <w:szCs w:val="24"/>
          <w:highlight w:val="none"/>
          <w:lang w:eastAsia="zh-CN"/>
        </w:rPr>
        <w:t>10.4.</w:t>
      </w:r>
      <w:r>
        <w:rPr>
          <w:rFonts w:hint="eastAsia" w:hAnsi="宋体" w:cs="宋体"/>
          <w:b/>
          <w:bCs/>
          <w:color w:val="auto"/>
          <w:sz w:val="24"/>
          <w:szCs w:val="24"/>
          <w:highlight w:val="none"/>
          <w:lang w:eastAsia="zh-CN"/>
        </w:rPr>
        <w:t>2</w:t>
      </w:r>
      <w:r>
        <w:rPr>
          <w:rFonts w:hint="eastAsia" w:hAnsi="宋体" w:eastAsia="宋体" w:cs="宋体"/>
          <w:b/>
          <w:bCs/>
          <w:color w:val="auto"/>
          <w:sz w:val="24"/>
          <w:szCs w:val="24"/>
          <w:highlight w:val="none"/>
          <w:lang w:eastAsia="zh-CN"/>
        </w:rPr>
        <w:t xml:space="preserve"> </w:t>
      </w:r>
      <w:r>
        <w:rPr>
          <w:rFonts w:hint="eastAsia" w:hAnsi="宋体" w:cs="宋体"/>
          <w:b/>
          <w:bCs/>
          <w:color w:val="auto"/>
          <w:sz w:val="24"/>
          <w:szCs w:val="24"/>
          <w:highlight w:val="none"/>
          <w:lang w:eastAsia="zh-CN"/>
        </w:rPr>
        <w:t>颜色要求：所有文字、图表均为黑色。</w:t>
      </w:r>
    </w:p>
    <w:p w14:paraId="6B8B8B1F">
      <w:pPr>
        <w:pStyle w:val="34"/>
        <w:spacing w:line="360" w:lineRule="auto"/>
        <w:ind w:firstLine="482" w:firstLineChars="200"/>
        <w:textAlignment w:val="auto"/>
        <w:rPr>
          <w:rFonts w:hAnsi="宋体" w:cs="宋体"/>
          <w:b/>
          <w:bCs/>
          <w:color w:val="auto"/>
          <w:sz w:val="24"/>
          <w:szCs w:val="24"/>
          <w:highlight w:val="none"/>
          <w:lang w:eastAsia="zh-CN"/>
        </w:rPr>
      </w:pPr>
      <w:r>
        <w:rPr>
          <w:rFonts w:hint="eastAsia" w:hAnsi="宋体" w:eastAsia="宋体" w:cs="宋体"/>
          <w:b/>
          <w:bCs/>
          <w:color w:val="auto"/>
          <w:sz w:val="24"/>
          <w:szCs w:val="24"/>
          <w:highlight w:val="none"/>
          <w:lang w:eastAsia="zh-CN"/>
        </w:rPr>
        <w:t>10.4.</w:t>
      </w:r>
      <w:r>
        <w:rPr>
          <w:rFonts w:hint="eastAsia" w:hAnsi="宋体" w:cs="宋体"/>
          <w:b/>
          <w:bCs/>
          <w:color w:val="auto"/>
          <w:sz w:val="24"/>
          <w:szCs w:val="24"/>
          <w:highlight w:val="none"/>
          <w:lang w:eastAsia="zh-CN"/>
        </w:rPr>
        <w:t>3</w:t>
      </w:r>
      <w:r>
        <w:rPr>
          <w:rFonts w:hint="eastAsia" w:hAnsi="宋体" w:eastAsia="宋体" w:cs="宋体"/>
          <w:b/>
          <w:bCs/>
          <w:color w:val="auto"/>
          <w:sz w:val="24"/>
          <w:szCs w:val="24"/>
          <w:highlight w:val="none"/>
          <w:lang w:eastAsia="zh-CN"/>
        </w:rPr>
        <w:t xml:space="preserve"> </w:t>
      </w:r>
      <w:r>
        <w:rPr>
          <w:rFonts w:hint="eastAsia" w:hAnsi="宋体" w:cs="宋体"/>
          <w:b/>
          <w:bCs/>
          <w:color w:val="auto"/>
          <w:sz w:val="24"/>
          <w:szCs w:val="24"/>
          <w:highlight w:val="none"/>
          <w:lang w:eastAsia="zh-CN"/>
        </w:rPr>
        <w:t>字体要求：标题及正文部分所用文字均采用“宋体”四号“常规”字；图、表内的字体及字号不作要求；所有字体均不得出现加粗、加色、倾斜、下划线等标记。</w:t>
      </w:r>
    </w:p>
    <w:p w14:paraId="636526C9">
      <w:pPr>
        <w:pStyle w:val="34"/>
        <w:spacing w:line="360" w:lineRule="auto"/>
        <w:ind w:firstLine="482" w:firstLineChars="200"/>
        <w:textAlignment w:val="auto"/>
        <w:rPr>
          <w:rFonts w:hAnsi="宋体" w:cs="宋体"/>
          <w:b/>
          <w:bCs/>
          <w:color w:val="auto"/>
          <w:sz w:val="24"/>
          <w:szCs w:val="24"/>
          <w:highlight w:val="none"/>
          <w:lang w:eastAsia="zh-CN"/>
        </w:rPr>
      </w:pPr>
      <w:r>
        <w:rPr>
          <w:rFonts w:hint="eastAsia" w:hAnsi="宋体" w:eastAsia="宋体" w:cs="宋体"/>
          <w:b/>
          <w:bCs/>
          <w:color w:val="auto"/>
          <w:sz w:val="24"/>
          <w:szCs w:val="24"/>
          <w:highlight w:val="none"/>
          <w:lang w:eastAsia="zh-CN"/>
        </w:rPr>
        <w:t xml:space="preserve">10.4.4 </w:t>
      </w:r>
      <w:r>
        <w:rPr>
          <w:rFonts w:hint="eastAsia" w:hAnsi="宋体" w:cs="宋体"/>
          <w:b/>
          <w:bCs/>
          <w:color w:val="auto"/>
          <w:sz w:val="24"/>
          <w:szCs w:val="24"/>
          <w:highlight w:val="none"/>
          <w:lang w:eastAsia="zh-CN"/>
        </w:rPr>
        <w:t>排版要求：页边距要求上、下边距3厘米，左、右页边距2厘米；不得设置目录；段落格式对齐方式统一设为左对齐；正文首行缩进2字符；标题缩进量为0、不设置首行缩进；不得有空格；正文、标题行间距为固定值25磅；段前段后间距为0，且段落前后不得设置空行；不得设置页眉、页脚和页码；图、表部分对齐形式设为居中对齐；标题规则：一级“一、”二级“（一）”三级“1.”四级“（1）”五级“1）”六级“a.”七级“a)”。</w:t>
      </w:r>
    </w:p>
    <w:p w14:paraId="3A8DD70B">
      <w:pPr>
        <w:pStyle w:val="34"/>
        <w:spacing w:line="360" w:lineRule="auto"/>
        <w:ind w:firstLine="482" w:firstLineChars="200"/>
        <w:textAlignment w:val="auto"/>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hAnsi="宋体" w:eastAsia="宋体" w:cs="宋体"/>
          <w:b/>
          <w:bCs/>
          <w:color w:val="auto"/>
          <w:sz w:val="24"/>
          <w:szCs w:val="24"/>
          <w:highlight w:val="none"/>
          <w:lang w:eastAsia="zh-CN"/>
        </w:rPr>
        <w:t>10.4.</w:t>
      </w:r>
      <w:r>
        <w:rPr>
          <w:rFonts w:hint="eastAsia" w:hAnsi="宋体" w:cs="宋体"/>
          <w:b/>
          <w:bCs/>
          <w:color w:val="auto"/>
          <w:sz w:val="24"/>
          <w:szCs w:val="24"/>
          <w:highlight w:val="none"/>
          <w:lang w:eastAsia="zh-CN"/>
        </w:rPr>
        <w:t>5</w:t>
      </w:r>
      <w:r>
        <w:rPr>
          <w:rFonts w:hint="eastAsia" w:hAnsi="宋体" w:eastAsia="宋体" w:cs="宋体"/>
          <w:b/>
          <w:bCs/>
          <w:color w:val="auto"/>
          <w:sz w:val="24"/>
          <w:szCs w:val="24"/>
          <w:highlight w:val="none"/>
          <w:lang w:eastAsia="zh-CN"/>
        </w:rPr>
        <w:t xml:space="preserve"> </w:t>
      </w:r>
      <w:r>
        <w:rPr>
          <w:rFonts w:hint="eastAsia" w:hAnsi="宋体" w:cs="宋体"/>
          <w:b/>
          <w:bCs/>
          <w:color w:val="auto"/>
          <w:sz w:val="24"/>
          <w:szCs w:val="24"/>
          <w:highlight w:val="none"/>
          <w:lang w:eastAsia="zh-CN"/>
        </w:rPr>
        <w:t>除满足上述各项要求外，技术“暗标”中不得出现任何行间插字或删除痕迹，构成投标文件的“技术暗标”的正文中不得出现投标人的名称和其它可识别投标人身份的字符、徽标、人员名称以及其他特殊标记等。</w:t>
      </w:r>
    </w:p>
    <w:p w14:paraId="6E7F9BA8">
      <w:pPr>
        <w:pStyle w:val="34"/>
        <w:spacing w:line="360" w:lineRule="auto"/>
        <w:ind w:firstLine="490" w:firstLineChars="200"/>
        <w:textAlignment w:val="auto"/>
        <w:rPr>
          <w:rFonts w:hAnsi="宋体" w:cs="宋体"/>
          <w:b/>
          <w:bCs/>
          <w:color w:val="auto"/>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10.4.6 编写软件及版本要求:MicrosoftWord2007或以上。</w:t>
      </w:r>
    </w:p>
    <w:p w14:paraId="308373FE">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10.5 电子投标文件应使用CA数字证书生成并在截止时间前上传其加密版本，根据招标文件中规定的下载平台要求，具体详见《投标文件制作工具操作手册》。</w:t>
      </w:r>
      <w:r>
        <w:rPr>
          <w:rFonts w:hint="eastAsia" w:asciiTheme="minorEastAsia" w:hAnsiTheme="minorEastAsia" w:eastAsiaTheme="minorEastAsia" w:cstheme="minorEastAsia"/>
          <w:b/>
          <w:bCs/>
          <w:color w:val="auto"/>
          <w:sz w:val="24"/>
          <w:szCs w:val="24"/>
          <w:highlight w:val="none"/>
          <w:lang w:eastAsia="zh-CN"/>
        </w:rPr>
        <w:t>否则，被视为无效投标文件，将被平台系统拒绝。</w:t>
      </w:r>
    </w:p>
    <w:p w14:paraId="3E05A9C5">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10.6 第四章《开评标程序、评标方法和评标标准》中涉及的证明文件。</w:t>
      </w:r>
    </w:p>
    <w:p w14:paraId="7A4EC3E1">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10.7 对照第二章《采购需求》，说明所提供货物和服务已对第二章《采购需求》做出了响应，或申明与第二章《采购需求》的偏差和例外。如第二章《采购需求》中要求提供证明文件的，投标人应当按具体要求提供证明文件。</w:t>
      </w:r>
    </w:p>
    <w:p w14:paraId="3ABD7C5C">
      <w:pPr>
        <w:kinsoku/>
        <w:wordWrap w:val="0"/>
        <w:spacing w:line="360" w:lineRule="auto"/>
        <w:ind w:firstLine="480" w:firstLineChars="200"/>
        <w:jc w:val="both"/>
        <w:rPr>
          <w:rFonts w:hint="eastAsia" w:ascii="仿宋_GB2312" w:hAnsi="宋体" w:eastAsia="仿宋_GB2312"/>
          <w:b/>
          <w:color w:val="auto"/>
          <w:sz w:val="28"/>
          <w:szCs w:val="28"/>
          <w:highlight w:val="none"/>
          <w:lang w:eastAsia="zh-CN"/>
        </w:rPr>
      </w:pPr>
      <w:r>
        <w:rPr>
          <w:rFonts w:hint="eastAsia" w:asciiTheme="minorEastAsia" w:hAnsiTheme="minorEastAsia" w:eastAsiaTheme="minorEastAsia" w:cstheme="minorEastAsia"/>
          <w:color w:val="auto"/>
          <w:sz w:val="24"/>
          <w:szCs w:val="24"/>
          <w:highlight w:val="none"/>
          <w:lang w:eastAsia="zh-CN"/>
        </w:rPr>
        <w:t>10.8 投标人编制投标文件时，涉及营业执照、资质、业绩、财务、社保、纳税及各类证书、报告等内容，必须是原件的扫描件。</w:t>
      </w:r>
    </w:p>
    <w:p w14:paraId="1258A560">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10.9 投标人认为应附的其他材料。</w:t>
      </w:r>
    </w:p>
    <w:p w14:paraId="6DCD0015">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11.投标报价</w:t>
      </w:r>
    </w:p>
    <w:p w14:paraId="6C8905E9">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11.1 所有投标均以人民币报价。</w:t>
      </w:r>
    </w:p>
    <w:p w14:paraId="5FB4A538">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11.2 投标人的报价应包括为完成本项目所发生的一切费用和税费，采购人将不再支付报价以外的任何费用。投标人的报价应包括但不限于下列内容，招标文件中有特殊规定的，从其规定。</w:t>
      </w:r>
    </w:p>
    <w:p w14:paraId="30332CA3">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报价时应详细列出所投产品的生产厂商、品牌、型号、单价、数量、总价等。</w:t>
      </w:r>
    </w:p>
    <w:p w14:paraId="36443425">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（2）服务项目按照招标文件要求完成本项目的全部相关费用。</w:t>
      </w:r>
    </w:p>
    <w:p w14:paraId="71913B7E">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11.3 采购人不得向供应商索要或者接受其给予的赠品、回扣或者与采购无关的其他商品、服务。</w:t>
      </w:r>
    </w:p>
    <w:p w14:paraId="6BA4389F">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11.4 投标人不能提供任何有选择性或可调整的报价（招标文件另有规定的除外），否则其投标无效。</w:t>
      </w:r>
    </w:p>
    <w:p w14:paraId="161D22AD">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11.5 本次招标设有预算，投标人报价超过预算的，评标委员会将不予评议。</w:t>
      </w:r>
    </w:p>
    <w:p w14:paraId="76C80483">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11.6 异常低价审查</w:t>
      </w:r>
    </w:p>
    <w:p w14:paraId="7262023C">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废标处理。</w:t>
      </w:r>
    </w:p>
    <w:p w14:paraId="34FCA053">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11.6.1 政府采购评审中出现下列情形之一的，评审委员会应当启动异常低价投标（响应）审查程序：</w:t>
      </w:r>
    </w:p>
    <w:p w14:paraId="5A9F529D">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（1）投标（响应）报价低于全部通过符合性审查供应商投标（响应）报价平均值50%的，即投标（响应）报价﹤全部通过符合性审查供应商投标（响应）报价平均值×50%；</w:t>
      </w:r>
    </w:p>
    <w:p w14:paraId="2D312F4C">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（2）投标（响应）报价低于通过符合性审查的次低报价供应商投标（响应）报价50%的，即投标（响应）报价﹤通过符合性审查的次低报价供应商投标（响应）报价×50%；</w:t>
      </w:r>
    </w:p>
    <w:p w14:paraId="52F03D6A">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（3）投标（响应）报价低于采购项目最高限价60%的，即投标（响应）报价﹤采购项目最高限价×60%；</w:t>
      </w:r>
    </w:p>
    <w:p w14:paraId="6570FE4C">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（4）评审委员会基于专业判断，认为供应商报价过低，有可能影响产品质量或者不能诚信履约的其他情形。</w:t>
      </w:r>
    </w:p>
    <w:p w14:paraId="3AD88DF0">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相关法律法规对供应商报价有规定的，从其规定。</w:t>
      </w:r>
    </w:p>
    <w:p w14:paraId="20CA1259">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11.6.2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032E91DD">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C9E813C">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7D0AC3F">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异常低价投标（响应）审查的启动原因、审查意见和审查结果应当在评审报告中记录，并随供应商提供的相关书面说明及证明材料，以及评审委员会有关互联网浏览、查询历史一并归档。</w:t>
      </w:r>
    </w:p>
    <w:p w14:paraId="7B6CC85F">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12.投标有效期</w:t>
      </w:r>
    </w:p>
    <w:p w14:paraId="174FDC66">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12.1 投标文件应在本招标文件《投标人须知表》中规定的投标有效期内保持有效，投标有效期少于招标文件规定期限的，其投标无效。中标人的投标有效期延长至项目验收合格之日。</w:t>
      </w:r>
    </w:p>
    <w:p w14:paraId="6DC70081">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12.2 特别情况下，采购代理机构、采购人可于投标有效期满之前要求投标人同意延长有效期，要求与答复均为书面形式。投标人可以拒绝上述要求。对于同意该要求的投标人，既不要求也不允许其修改投标文件。</w:t>
      </w:r>
    </w:p>
    <w:p w14:paraId="066B51B3">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13.投标文件的签署、盖章</w:t>
      </w:r>
    </w:p>
    <w:p w14:paraId="5E29E4D1">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13.1 电子投标文件必须在规定签章处电子签章或手写签字后扫描上传进投标文件。</w:t>
      </w:r>
    </w:p>
    <w:p w14:paraId="083C06E3">
      <w:pPr>
        <w:kinsoku/>
        <w:wordWrap w:val="0"/>
        <w:spacing w:line="360" w:lineRule="auto"/>
        <w:ind w:firstLine="480" w:firstLineChars="200"/>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z w:val="24"/>
          <w:szCs w:val="24"/>
          <w:highlight w:val="none"/>
          <w:lang w:eastAsia="zh-CN"/>
        </w:rPr>
        <w:t>13.2 招标文件要求盖章的内容，一般通过CA加盖电子签章。</w:t>
      </w:r>
    </w:p>
    <w:p w14:paraId="01E0E798">
      <w:pPr>
        <w:kinsoku/>
        <w:wordWrap w:val="0"/>
        <w:spacing w:line="360" w:lineRule="auto"/>
        <w:ind w:firstLine="420" w:firstLineChars="200"/>
        <w:jc w:val="both"/>
        <w:rPr>
          <w:rFonts w:hint="eastAsia" w:asciiTheme="minorEastAsia" w:hAnsiTheme="minorEastAsia" w:eastAsiaTheme="minorEastAsia" w:cstheme="minorEastAsia"/>
          <w:color w:val="auto"/>
          <w:highlight w:val="none"/>
          <w:lang w:eastAsia="zh-CN"/>
        </w:rPr>
      </w:pPr>
    </w:p>
    <w:p w14:paraId="2C215D61">
      <w:pPr>
        <w:pStyle w:val="6"/>
        <w:kinsoku/>
        <w:wordWrap w:val="0"/>
        <w:spacing w:line="360" w:lineRule="auto"/>
        <w:jc w:val="both"/>
        <w:rPr>
          <w:rFonts w:hint="eastAsia" w:asciiTheme="minorEastAsia" w:hAnsiTheme="minorEastAsia" w:eastAsiaTheme="minorEastAsia" w:cstheme="minorEastAsia"/>
          <w:b/>
          <w:bCs/>
          <w:color w:val="auto"/>
          <w:spacing w:val="1"/>
          <w:sz w:val="24"/>
          <w:szCs w:val="24"/>
          <w:highlight w:val="none"/>
          <w:lang w:eastAsia="zh-CN"/>
        </w:rPr>
      </w:pPr>
      <w:r>
        <w:rPr>
          <w:rFonts w:hint="eastAsia" w:asciiTheme="minorEastAsia" w:hAnsiTheme="minorEastAsia" w:eastAsiaTheme="minorEastAsia" w:cstheme="minorEastAsia"/>
          <w:color w:val="auto"/>
          <w:sz w:val="28"/>
          <w:szCs w:val="28"/>
          <w:highlight w:val="none"/>
          <w:lang w:eastAsia="zh-CN"/>
          <w14:textOutline w14:w="1803" w14:cap="flat" w14:cmpd="sng" w14:algn="ctr">
            <w14:solidFill>
              <w14:srgbClr w14:val="000000"/>
            </w14:solidFill>
            <w14:prstDash w14:val="solid"/>
            <w14:miter w14:val="0"/>
          </w14:textOutline>
        </w:rPr>
        <w:t>四</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eastAsia="zh-CN"/>
          <w14:textOutline w14:w="1803" w14:cap="flat" w14:cmpd="sng" w14:algn="ctr">
            <w14:solidFill>
              <w14:srgbClr w14:val="000000"/>
            </w14:solidFill>
            <w14:prstDash w14:val="solid"/>
            <w14:miter w14:val="0"/>
          </w14:textOutline>
        </w:rPr>
        <w:t>投标文件的提交</w:t>
      </w:r>
    </w:p>
    <w:p w14:paraId="17081DB2">
      <w:pPr>
        <w:kinsoku/>
        <w:wordWrap w:val="0"/>
        <w:spacing w:line="360" w:lineRule="auto"/>
        <w:ind w:firstLine="486"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14.投标文件的提交</w:t>
      </w:r>
    </w:p>
    <w:p w14:paraId="2D67FCC6">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14.1 电子投标文件的提交是指使用南阳市公共资源交易中心网上交易系统在投标截止时间前完成制作软件生成的加密电子投标文件的上传。未在投标截止时间前完成上传的，视为逾期提交。逾期提交的投标文件，招标人不予受理。</w:t>
      </w:r>
    </w:p>
    <w:p w14:paraId="0958F9DF">
      <w:pPr>
        <w:pStyle w:val="6"/>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14.2 采购人及采购代理机构拒绝接受通过电子交易平台以外任何形式提交的投标文件。</w:t>
      </w:r>
    </w:p>
    <w:p w14:paraId="35768D7F">
      <w:pPr>
        <w:pStyle w:val="6"/>
        <w:kinsoku/>
        <w:wordWrap w:val="0"/>
        <w:spacing w:line="360" w:lineRule="auto"/>
        <w:ind w:firstLine="494" w:firstLineChars="200"/>
        <w:jc w:val="both"/>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pacing w:val="3"/>
          <w:sz w:val="24"/>
          <w:szCs w:val="24"/>
          <w:highlight w:val="none"/>
          <w:lang w:eastAsia="zh-CN"/>
        </w:rPr>
        <w:t>15.投标截止时间</w:t>
      </w:r>
    </w:p>
    <w:p w14:paraId="201EFE6E">
      <w:pPr>
        <w:pStyle w:val="6"/>
        <w:kinsoku/>
        <w:wordWrap w:val="0"/>
        <w:spacing w:line="360" w:lineRule="auto"/>
        <w:ind w:firstLine="492"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投标人应在招标文件要求的投标文件截止时间前，将电子投标文件提交至电</w:t>
      </w:r>
      <w:r>
        <w:rPr>
          <w:rFonts w:hint="eastAsia" w:asciiTheme="minorEastAsia" w:hAnsiTheme="minorEastAsia" w:eastAsiaTheme="minorEastAsia" w:cstheme="minorEastAsia"/>
          <w:color w:val="auto"/>
          <w:spacing w:val="-9"/>
          <w:sz w:val="24"/>
          <w:szCs w:val="24"/>
          <w:highlight w:val="none"/>
          <w:lang w:eastAsia="zh-CN"/>
        </w:rPr>
        <w:t>子交易平台。</w:t>
      </w:r>
    </w:p>
    <w:p w14:paraId="60138BC4">
      <w:pPr>
        <w:pStyle w:val="6"/>
        <w:kinsoku/>
        <w:wordWrap w:val="0"/>
        <w:spacing w:line="360" w:lineRule="auto"/>
        <w:ind w:firstLine="478" w:firstLineChars="200"/>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pacing w:val="-1"/>
          <w:sz w:val="24"/>
          <w:szCs w:val="24"/>
          <w:highlight w:val="none"/>
          <w:lang w:eastAsia="zh-CN"/>
        </w:rPr>
        <w:t>16.投标文件的修改与撤回</w:t>
      </w:r>
    </w:p>
    <w:p w14:paraId="68E5B4D1">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16.1 在招标文件规定的投标截止时间前，投标人可以修改或撤回已上传的电子投标文件，最终电子投标文件以投标截止时间前完成上传至南阳市电子交易平台系统最后一份解密投标文件为准。投标截止时间之后，投标人不得修改或撤回电子投标文件。</w:t>
      </w:r>
    </w:p>
    <w:p w14:paraId="4F56B53A">
      <w:pP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br w:type="page"/>
      </w:r>
    </w:p>
    <w:p w14:paraId="4C736336">
      <w:pPr>
        <w:pStyle w:val="6"/>
        <w:kinsoku/>
        <w:wordWrap w:val="0"/>
        <w:spacing w:line="219" w:lineRule="auto"/>
        <w:jc w:val="cente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t>第四章 开、评标程序、评标方法和评标标准</w:t>
      </w:r>
    </w:p>
    <w:p w14:paraId="01B1F31A">
      <w:pPr>
        <w:pStyle w:val="6"/>
        <w:kinsoku/>
        <w:wordWrap w:val="0"/>
        <w:spacing w:before="255" w:line="221" w:lineRule="auto"/>
        <w:ind w:left="3942"/>
        <w:jc w:val="both"/>
        <w:outlineLvl w:val="2"/>
        <w:rPr>
          <w:rFonts w:hint="eastAsia" w:asciiTheme="minorEastAsia" w:hAnsiTheme="minorEastAsia" w:eastAsiaTheme="minorEastAsia" w:cstheme="minorEastAsia"/>
          <w:color w:val="auto"/>
          <w:spacing w:val="-3"/>
          <w:sz w:val="24"/>
          <w:szCs w:val="24"/>
          <w:highlight w:val="none"/>
          <w:lang w:eastAsia="zh-CN"/>
          <w14:textOutline w14:w="1536" w14:cap="flat" w14:cmpd="sng" w14:algn="ctr">
            <w14:solidFill>
              <w14:srgbClr w14:val="000000"/>
            </w14:solidFill>
            <w14:prstDash w14:val="solid"/>
            <w14:miter w14:val="0"/>
          </w14:textOutline>
        </w:rPr>
      </w:pPr>
    </w:p>
    <w:p w14:paraId="22C7CFD0">
      <w:pPr>
        <w:kinsoku/>
        <w:wordWrap w:val="0"/>
        <w:spacing w:line="360" w:lineRule="auto"/>
        <w:jc w:val="both"/>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pacing w:val="3"/>
          <w:sz w:val="24"/>
          <w:szCs w:val="24"/>
          <w:highlight w:val="none"/>
          <w:lang w:eastAsia="zh-CN"/>
        </w:rPr>
        <w:t>一、开标</w:t>
      </w:r>
    </w:p>
    <w:p w14:paraId="667C2E36">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1.采购人或采购代理机构按招标公告中规定的时间开标，本项目使用不见面开标，投标人无需到开标现场。</w:t>
      </w:r>
    </w:p>
    <w:p w14:paraId="4505C1AE">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2.开标：</w:t>
      </w:r>
    </w:p>
    <w:p w14:paraId="08E417EA">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2.1 投标人解密：投标人制作电子投标文件时，必须使用本单位企业数字证书进行加密，投标人在开标前须自行检查数字证书的有效性。在解密时间到达后，系统做出解密提示，请各投标人自行解密即可。开标解密时未在规定时间（30分钟）内进行解密的视为撤销其投标文件（因电子开标系统原因除外）。</w:t>
      </w:r>
    </w:p>
    <w:p w14:paraId="31762E78">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2.2 唱标。查看唱标信息（系统不提供语音在线播放，该页面停留1分钟供投标人查看，如无异议视为同意）。招标（采购）人、监督人员需要关注开标过程中，投标人随时在线提出的异议、问题沟通等信息，并及时做好答复工作。</w:t>
      </w:r>
    </w:p>
    <w:p w14:paraId="1DE18FDB">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2.3 宣布开标结束。</w:t>
      </w:r>
    </w:p>
    <w:p w14:paraId="71588B5D">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p>
    <w:p w14:paraId="6CE76193">
      <w:pPr>
        <w:pStyle w:val="6"/>
        <w:kinsoku/>
        <w:wordWrap w:val="0"/>
        <w:spacing w:line="360" w:lineRule="auto"/>
        <w:jc w:val="both"/>
        <w:outlineLvl w:val="2"/>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pacing w:val="3"/>
          <w:sz w:val="24"/>
          <w:szCs w:val="24"/>
          <w:highlight w:val="none"/>
          <w:lang w:eastAsia="zh-CN"/>
        </w:rPr>
        <w:t>二、资格审查</w:t>
      </w:r>
    </w:p>
    <w:p w14:paraId="039728BC">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1.开标结束后，采购人或采购代理机构将根据资格审查要求中的规定，对投标人进行资格审查，并形成资格审查结果。</w:t>
      </w:r>
    </w:p>
    <w:p w14:paraId="5902702A">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2.投标人《资格证明文件》有任何一项不符合《资格审查要求》的，资格审查不合格，其投标无效。</w:t>
      </w:r>
    </w:p>
    <w:p w14:paraId="4D95DA1E">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3.资格审查合格的投标人不足3家的，不进行评标。</w:t>
      </w:r>
    </w:p>
    <w:p w14:paraId="08DD8918">
      <w:pPr>
        <w:pStyle w:val="24"/>
        <w:rPr>
          <w:color w:val="auto"/>
          <w:highlight w:val="none"/>
        </w:rPr>
      </w:pPr>
    </w:p>
    <w:p w14:paraId="35E1092E">
      <w:pPr>
        <w:pStyle w:val="6"/>
        <w:kinsoku/>
        <w:wordWrap w:val="0"/>
        <w:spacing w:before="79" w:line="220" w:lineRule="auto"/>
        <w:jc w:val="center"/>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6" w14:cap="flat" w14:cmpd="sng" w14:algn="ctr">
            <w14:solidFill>
              <w14:srgbClr w14:val="000000"/>
            </w14:solidFill>
            <w14:prstDash w14:val="solid"/>
            <w14:miter w14:val="0"/>
          </w14:textOutline>
        </w:rPr>
        <w:t>资格审查要求</w:t>
      </w:r>
    </w:p>
    <w:p w14:paraId="1529EAAD">
      <w:pPr>
        <w:kinsoku/>
        <w:wordWrap w:val="0"/>
        <w:spacing w:line="146" w:lineRule="exact"/>
        <w:jc w:val="both"/>
        <w:rPr>
          <w:rFonts w:hint="eastAsia" w:asciiTheme="minorEastAsia" w:hAnsiTheme="minorEastAsia" w:eastAsiaTheme="minorEastAsia" w:cstheme="minorEastAsia"/>
          <w:color w:val="auto"/>
          <w:highlight w:val="none"/>
        </w:rPr>
      </w:pPr>
    </w:p>
    <w:tbl>
      <w:tblPr>
        <w:tblStyle w:val="25"/>
        <w:tblW w:w="835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9"/>
        <w:gridCol w:w="1061"/>
        <w:gridCol w:w="3600"/>
        <w:gridCol w:w="2967"/>
      </w:tblGrid>
      <w:tr w14:paraId="22140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9" w:type="dxa"/>
          </w:tcPr>
          <w:p w14:paraId="041CB4D6">
            <w:pPr>
              <w:kinsoku/>
              <w:wordWrap w:val="0"/>
              <w:spacing w:before="119" w:line="222"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6" w14:cap="flat" w14:cmpd="sng" w14:algn="ctr">
                  <w14:solidFill>
                    <w14:srgbClr w14:val="000000"/>
                  </w14:solidFill>
                  <w14:prstDash w14:val="solid"/>
                  <w14:miter w14:val="0"/>
                </w14:textOutline>
              </w:rPr>
              <w:t>序号</w:t>
            </w:r>
          </w:p>
        </w:tc>
        <w:tc>
          <w:tcPr>
            <w:tcW w:w="1061" w:type="dxa"/>
          </w:tcPr>
          <w:p w14:paraId="5C521BE1">
            <w:pPr>
              <w:kinsoku/>
              <w:wordWrap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6" w14:cap="flat" w14:cmpd="sng" w14:algn="ctr">
                  <w14:solidFill>
                    <w14:srgbClr w14:val="000000"/>
                  </w14:solidFill>
                  <w14:prstDash w14:val="solid"/>
                  <w14:miter w14:val="0"/>
                </w14:textOutline>
              </w:rPr>
              <w:t>审查因素</w:t>
            </w:r>
          </w:p>
        </w:tc>
        <w:tc>
          <w:tcPr>
            <w:tcW w:w="3600" w:type="dxa"/>
          </w:tcPr>
          <w:p w14:paraId="55047209">
            <w:pPr>
              <w:kinsoku/>
              <w:wordWrap w:val="0"/>
              <w:spacing w:before="119" w:line="220"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6" w14:cap="flat" w14:cmpd="sng" w14:algn="ctr">
                  <w14:solidFill>
                    <w14:srgbClr w14:val="000000"/>
                  </w14:solidFill>
                  <w14:prstDash w14:val="solid"/>
                  <w14:miter w14:val="0"/>
                </w14:textOutline>
              </w:rPr>
              <w:t>审查内容</w:t>
            </w:r>
          </w:p>
        </w:tc>
        <w:tc>
          <w:tcPr>
            <w:tcW w:w="2967" w:type="dxa"/>
          </w:tcPr>
          <w:p w14:paraId="2697A14E">
            <w:pPr>
              <w:kinsoku/>
              <w:wordWrap w:val="0"/>
              <w:spacing w:before="119" w:line="22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14:textOutline w14:w="1536" w14:cap="flat" w14:cmpd="sng" w14:algn="ctr">
                  <w14:solidFill>
                    <w14:srgbClr w14:val="000000"/>
                  </w14:solidFill>
                  <w14:prstDash w14:val="solid"/>
                  <w14:miter w14:val="0"/>
                </w14:textOutline>
              </w:rPr>
              <w:t>备注</w:t>
            </w:r>
          </w:p>
        </w:tc>
      </w:tr>
      <w:tr w14:paraId="388A8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729" w:type="dxa"/>
            <w:vAlign w:val="center"/>
          </w:tcPr>
          <w:p w14:paraId="7527BDBB">
            <w:pPr>
              <w:pStyle w:val="26"/>
              <w:kinsoku/>
              <w:wordWrap w:val="0"/>
              <w:spacing w:line="454" w:lineRule="auto"/>
              <w:jc w:val="both"/>
              <w:rPr>
                <w:rFonts w:hint="eastAsia" w:asciiTheme="minorEastAsia" w:hAnsiTheme="minorEastAsia" w:eastAsiaTheme="minorEastAsia" w:cstheme="minorEastAsia"/>
                <w:color w:val="auto"/>
                <w:highlight w:val="none"/>
              </w:rPr>
            </w:pPr>
          </w:p>
          <w:p w14:paraId="10A6B881">
            <w:pPr>
              <w:pStyle w:val="26"/>
              <w:kinsoku/>
              <w:wordWrap w:val="0"/>
              <w:spacing w:before="69" w:line="199" w:lineRule="auto"/>
              <w:ind w:left="37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061" w:type="dxa"/>
            <w:vAlign w:val="center"/>
          </w:tcPr>
          <w:p w14:paraId="6700F338">
            <w:pPr>
              <w:kinsoku/>
              <w:wordWrap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满足第一章《公开招标公告》投标人具备的资格要求</w:t>
            </w:r>
          </w:p>
        </w:tc>
        <w:tc>
          <w:tcPr>
            <w:tcW w:w="3600" w:type="dxa"/>
          </w:tcPr>
          <w:p w14:paraId="2A7F9AB0">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eastAsia="zh-CN"/>
              </w:rPr>
              <w:t>1.</w:t>
            </w:r>
            <w:r>
              <w:rPr>
                <w:rFonts w:hint="eastAsia" w:asciiTheme="minorEastAsia" w:hAnsiTheme="minorEastAsia" w:eastAsiaTheme="minorEastAsia" w:cstheme="minorEastAsia"/>
                <w:color w:val="auto"/>
                <w:spacing w:val="-2"/>
                <w:sz w:val="24"/>
                <w:szCs w:val="24"/>
                <w:highlight w:val="none"/>
                <w:lang w:eastAsia="zh-CN"/>
              </w:rPr>
              <w:t>注册于中华人民共和国境内，具有独立承担民事责任能力；</w:t>
            </w:r>
          </w:p>
          <w:p w14:paraId="7C5E28A0">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2.具有良好的商业信誉和健全的财务会计制度；</w:t>
            </w:r>
          </w:p>
          <w:p w14:paraId="43498866">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3.具有履行合同所必需的设备和专业技术能力；</w:t>
            </w:r>
          </w:p>
          <w:p w14:paraId="770277B6">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4.有依法缴纳税收和社会保障资金的良好记录；</w:t>
            </w:r>
          </w:p>
          <w:p w14:paraId="34B765F9">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5.</w:t>
            </w:r>
            <w:r>
              <w:rPr>
                <w:rFonts w:hint="eastAsia" w:asciiTheme="minorEastAsia" w:hAnsiTheme="minorEastAsia" w:eastAsiaTheme="minorEastAsia" w:cstheme="minorEastAsia"/>
                <w:color w:val="auto"/>
                <w:spacing w:val="-14"/>
                <w:sz w:val="24"/>
                <w:szCs w:val="24"/>
                <w:highlight w:val="none"/>
                <w:lang w:eastAsia="zh-CN"/>
              </w:rPr>
              <w:t>参加政府采购活动前三年内，在经营活动中没有重大违法记录；</w:t>
            </w:r>
          </w:p>
          <w:p w14:paraId="7ACFC7D0">
            <w:pPr>
              <w:kinsoku/>
              <w:wordWrap w:val="0"/>
              <w:spacing w:before="32" w:line="232" w:lineRule="auto"/>
              <w:ind w:left="112"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color w:val="auto"/>
                <w:spacing w:val="-2"/>
                <w:sz w:val="24"/>
                <w:szCs w:val="24"/>
                <w:highlight w:val="none"/>
                <w:lang w:eastAsia="zh-CN"/>
              </w:rPr>
              <w:t>注：采购人或采购代理机构在开标当天将对所有参与本项目投标的供应商的信用情况进行查询、打印留存。在本公告规定的查询时间之后，网站信息发生的任何变更均不再作为评标依据。供应商自行提供的与网站信息不一致的其他证明材料亦不作为资格审查的依据。查询时间：本项目评标结束之前；</w:t>
            </w:r>
          </w:p>
          <w:p w14:paraId="103165E9">
            <w:pPr>
              <w:kinsoku/>
              <w:wordWrap w:val="0"/>
              <w:spacing w:before="32" w:line="232" w:lineRule="auto"/>
              <w:ind w:left="112" w:right="10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7.遵守国家有关法律、法规、规章。</w:t>
            </w:r>
          </w:p>
        </w:tc>
        <w:tc>
          <w:tcPr>
            <w:tcW w:w="2967" w:type="dxa"/>
          </w:tcPr>
          <w:p w14:paraId="521F4C1F">
            <w:pPr>
              <w:kinsoku/>
              <w:wordWrap w:val="0"/>
              <w:spacing w:before="32" w:line="232" w:lineRule="auto"/>
              <w:ind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投标人为企业（包括合伙企业、个体工商户）的，应提供有效的营业执照；</w:t>
            </w:r>
          </w:p>
          <w:p w14:paraId="15B82F1C">
            <w:pPr>
              <w:kinsoku/>
              <w:wordWrap w:val="0"/>
              <w:spacing w:before="32" w:line="232" w:lineRule="auto"/>
              <w:ind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投标人为事业单位的，应提供有效的事业单位法人证书；</w:t>
            </w:r>
          </w:p>
          <w:p w14:paraId="55F40396">
            <w:pPr>
              <w:kinsoku/>
              <w:wordWrap w:val="0"/>
              <w:spacing w:before="32" w:line="232" w:lineRule="auto"/>
              <w:ind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投标人是非企业机构的，应提供有效的执业许可证、登记证书等证明文件；</w:t>
            </w:r>
          </w:p>
          <w:p w14:paraId="0D3A7719">
            <w:pPr>
              <w:kinsoku/>
              <w:wordWrap w:val="0"/>
              <w:spacing w:before="32" w:line="232" w:lineRule="auto"/>
              <w:ind w:right="105"/>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投标人是自然人的，应提供有效的自然人身份证明。</w:t>
            </w:r>
          </w:p>
          <w:p w14:paraId="16F7B940">
            <w:pPr>
              <w:kinsoku/>
              <w:wordWrap w:val="0"/>
              <w:spacing w:before="32" w:line="232" w:lineRule="auto"/>
              <w:ind w:right="105"/>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6F74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9" w:type="dxa"/>
          </w:tcPr>
          <w:p w14:paraId="3507EC18">
            <w:pPr>
              <w:pStyle w:val="26"/>
              <w:kinsoku/>
              <w:wordWrap w:val="0"/>
              <w:spacing w:before="137" w:line="201" w:lineRule="auto"/>
              <w:ind w:left="243"/>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2</w:t>
            </w:r>
          </w:p>
        </w:tc>
        <w:tc>
          <w:tcPr>
            <w:tcW w:w="1061" w:type="dxa"/>
          </w:tcPr>
          <w:p w14:paraId="0BF93707">
            <w:pPr>
              <w:kinsoku/>
              <w:wordWrap w:val="0"/>
              <w:spacing w:before="116" w:line="221" w:lineRule="auto"/>
              <w:ind w:left="13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中小企业政策</w:t>
            </w:r>
          </w:p>
        </w:tc>
        <w:tc>
          <w:tcPr>
            <w:tcW w:w="3600" w:type="dxa"/>
          </w:tcPr>
          <w:p w14:paraId="72C0C701">
            <w:pPr>
              <w:kinsoku/>
              <w:wordWrap w:val="0"/>
              <w:spacing w:before="116" w:line="219" w:lineRule="auto"/>
              <w:ind w:left="119"/>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具体要求见第一章《公开招标公告》</w:t>
            </w:r>
          </w:p>
        </w:tc>
        <w:tc>
          <w:tcPr>
            <w:tcW w:w="2967" w:type="dxa"/>
          </w:tcPr>
          <w:p w14:paraId="689F6BCB">
            <w:pPr>
              <w:pStyle w:val="26"/>
              <w:kinsoku/>
              <w:wordWrap w:val="0"/>
              <w:jc w:val="both"/>
              <w:rPr>
                <w:rFonts w:hint="eastAsia" w:asciiTheme="minorEastAsia" w:hAnsiTheme="minorEastAsia" w:eastAsiaTheme="minorEastAsia" w:cstheme="minorEastAsia"/>
                <w:color w:val="auto"/>
                <w:highlight w:val="none"/>
                <w:lang w:eastAsia="zh-CN"/>
              </w:rPr>
            </w:pPr>
          </w:p>
        </w:tc>
      </w:tr>
      <w:tr w14:paraId="482586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729" w:type="dxa"/>
          </w:tcPr>
          <w:p w14:paraId="16E3AAE2">
            <w:pPr>
              <w:pStyle w:val="26"/>
              <w:kinsoku/>
              <w:wordWrap w:val="0"/>
              <w:spacing w:line="258" w:lineRule="auto"/>
              <w:jc w:val="both"/>
              <w:rPr>
                <w:rFonts w:hint="eastAsia" w:asciiTheme="minorEastAsia" w:hAnsiTheme="minorEastAsia" w:eastAsiaTheme="minorEastAsia" w:cstheme="minorEastAsia"/>
                <w:color w:val="auto"/>
                <w:highlight w:val="none"/>
                <w:lang w:eastAsia="zh-CN"/>
              </w:rPr>
            </w:pPr>
          </w:p>
          <w:p w14:paraId="371F6F9A">
            <w:pPr>
              <w:pStyle w:val="26"/>
              <w:kinsoku/>
              <w:wordWrap w:val="0"/>
              <w:spacing w:line="258" w:lineRule="auto"/>
              <w:jc w:val="both"/>
              <w:rPr>
                <w:rFonts w:hint="eastAsia" w:asciiTheme="minorEastAsia" w:hAnsiTheme="minorEastAsia" w:eastAsiaTheme="minorEastAsia" w:cstheme="minorEastAsia"/>
                <w:color w:val="auto"/>
                <w:highlight w:val="none"/>
                <w:lang w:eastAsia="zh-CN"/>
              </w:rPr>
            </w:pPr>
          </w:p>
          <w:p w14:paraId="4C093612">
            <w:pPr>
              <w:pStyle w:val="26"/>
              <w:kinsoku/>
              <w:wordWrap w:val="0"/>
              <w:spacing w:line="258" w:lineRule="auto"/>
              <w:jc w:val="both"/>
              <w:rPr>
                <w:rFonts w:hint="eastAsia" w:asciiTheme="minorEastAsia" w:hAnsiTheme="minorEastAsia" w:eastAsiaTheme="minorEastAsia" w:cstheme="minorEastAsia"/>
                <w:color w:val="auto"/>
                <w:highlight w:val="none"/>
                <w:lang w:eastAsia="zh-CN"/>
              </w:rPr>
            </w:pPr>
          </w:p>
          <w:p w14:paraId="186C2330">
            <w:pPr>
              <w:pStyle w:val="26"/>
              <w:kinsoku/>
              <w:wordWrap w:val="0"/>
              <w:spacing w:line="258" w:lineRule="auto"/>
              <w:jc w:val="both"/>
              <w:rPr>
                <w:rFonts w:hint="eastAsia" w:asciiTheme="minorEastAsia" w:hAnsiTheme="minorEastAsia" w:eastAsiaTheme="minorEastAsia" w:cstheme="minorEastAsia"/>
                <w:color w:val="auto"/>
                <w:highlight w:val="none"/>
                <w:lang w:eastAsia="zh-CN"/>
              </w:rPr>
            </w:pPr>
          </w:p>
          <w:p w14:paraId="078EA954">
            <w:pPr>
              <w:pStyle w:val="26"/>
              <w:kinsoku/>
              <w:wordWrap w:val="0"/>
              <w:spacing w:line="258" w:lineRule="auto"/>
              <w:jc w:val="both"/>
              <w:rPr>
                <w:rFonts w:hint="eastAsia" w:asciiTheme="minorEastAsia" w:hAnsiTheme="minorEastAsia" w:eastAsiaTheme="minorEastAsia" w:cstheme="minorEastAsia"/>
                <w:color w:val="auto"/>
                <w:highlight w:val="none"/>
                <w:lang w:eastAsia="zh-CN"/>
              </w:rPr>
            </w:pPr>
          </w:p>
          <w:p w14:paraId="0702BA89">
            <w:pPr>
              <w:pStyle w:val="26"/>
              <w:kinsoku/>
              <w:wordWrap w:val="0"/>
              <w:spacing w:line="259" w:lineRule="auto"/>
              <w:jc w:val="both"/>
              <w:rPr>
                <w:rFonts w:hint="eastAsia" w:asciiTheme="minorEastAsia" w:hAnsiTheme="minorEastAsia" w:eastAsiaTheme="minorEastAsia" w:cstheme="minorEastAsia"/>
                <w:color w:val="auto"/>
                <w:highlight w:val="none"/>
                <w:lang w:eastAsia="zh-CN"/>
              </w:rPr>
            </w:pPr>
          </w:p>
          <w:p w14:paraId="0EBAC408">
            <w:pPr>
              <w:pStyle w:val="26"/>
              <w:kinsoku/>
              <w:wordWrap w:val="0"/>
              <w:spacing w:line="259" w:lineRule="auto"/>
              <w:jc w:val="both"/>
              <w:rPr>
                <w:rFonts w:hint="eastAsia" w:asciiTheme="minorEastAsia" w:hAnsiTheme="minorEastAsia" w:eastAsiaTheme="minorEastAsia" w:cstheme="minorEastAsia"/>
                <w:color w:val="auto"/>
                <w:highlight w:val="none"/>
                <w:lang w:eastAsia="zh-CN"/>
              </w:rPr>
            </w:pPr>
          </w:p>
          <w:p w14:paraId="2DFF2B78">
            <w:pPr>
              <w:pStyle w:val="26"/>
              <w:kinsoku/>
              <w:wordWrap w:val="0"/>
              <w:spacing w:line="259" w:lineRule="auto"/>
              <w:jc w:val="both"/>
              <w:rPr>
                <w:rFonts w:hint="eastAsia" w:asciiTheme="minorEastAsia" w:hAnsiTheme="minorEastAsia" w:eastAsiaTheme="minorEastAsia" w:cstheme="minorEastAsia"/>
                <w:color w:val="auto"/>
                <w:highlight w:val="none"/>
                <w:lang w:eastAsia="zh-CN"/>
              </w:rPr>
            </w:pPr>
          </w:p>
          <w:p w14:paraId="313355CA">
            <w:pPr>
              <w:pStyle w:val="26"/>
              <w:kinsoku/>
              <w:wordWrap w:val="0"/>
              <w:spacing w:line="259" w:lineRule="auto"/>
              <w:jc w:val="both"/>
              <w:rPr>
                <w:rFonts w:hint="eastAsia" w:asciiTheme="minorEastAsia" w:hAnsiTheme="minorEastAsia" w:eastAsiaTheme="minorEastAsia" w:cstheme="minorEastAsia"/>
                <w:color w:val="auto"/>
                <w:highlight w:val="none"/>
                <w:lang w:eastAsia="zh-CN"/>
              </w:rPr>
            </w:pPr>
          </w:p>
          <w:p w14:paraId="196EECE5">
            <w:pPr>
              <w:pStyle w:val="26"/>
              <w:kinsoku/>
              <w:wordWrap w:val="0"/>
              <w:spacing w:before="49" w:line="199"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8"/>
                <w:sz w:val="24"/>
                <w:szCs w:val="24"/>
                <w:highlight w:val="none"/>
              </w:rPr>
              <w:t>2-1</w:t>
            </w:r>
          </w:p>
        </w:tc>
        <w:tc>
          <w:tcPr>
            <w:tcW w:w="1061" w:type="dxa"/>
          </w:tcPr>
          <w:p w14:paraId="4F82BDBF">
            <w:pPr>
              <w:pStyle w:val="26"/>
              <w:kinsoku/>
              <w:wordWrap w:val="0"/>
              <w:spacing w:line="253" w:lineRule="auto"/>
              <w:jc w:val="both"/>
              <w:rPr>
                <w:rFonts w:hint="eastAsia" w:asciiTheme="minorEastAsia" w:hAnsiTheme="minorEastAsia" w:eastAsiaTheme="minorEastAsia" w:cstheme="minorEastAsia"/>
                <w:color w:val="auto"/>
                <w:highlight w:val="none"/>
              </w:rPr>
            </w:pPr>
          </w:p>
          <w:p w14:paraId="65B616D6">
            <w:pPr>
              <w:pStyle w:val="26"/>
              <w:kinsoku/>
              <w:wordWrap w:val="0"/>
              <w:spacing w:line="253" w:lineRule="auto"/>
              <w:jc w:val="both"/>
              <w:rPr>
                <w:rFonts w:hint="eastAsia" w:asciiTheme="minorEastAsia" w:hAnsiTheme="minorEastAsia" w:eastAsiaTheme="minorEastAsia" w:cstheme="minorEastAsia"/>
                <w:color w:val="auto"/>
                <w:highlight w:val="none"/>
              </w:rPr>
            </w:pPr>
          </w:p>
          <w:p w14:paraId="1596F067">
            <w:pPr>
              <w:pStyle w:val="26"/>
              <w:kinsoku/>
              <w:wordWrap w:val="0"/>
              <w:spacing w:line="253" w:lineRule="auto"/>
              <w:jc w:val="both"/>
              <w:rPr>
                <w:rFonts w:hint="eastAsia" w:asciiTheme="minorEastAsia" w:hAnsiTheme="minorEastAsia" w:eastAsiaTheme="minorEastAsia" w:cstheme="minorEastAsia"/>
                <w:color w:val="auto"/>
                <w:highlight w:val="none"/>
              </w:rPr>
            </w:pPr>
          </w:p>
          <w:p w14:paraId="5A915F08">
            <w:pPr>
              <w:pStyle w:val="26"/>
              <w:kinsoku/>
              <w:wordWrap w:val="0"/>
              <w:spacing w:line="253" w:lineRule="auto"/>
              <w:jc w:val="both"/>
              <w:rPr>
                <w:rFonts w:hint="eastAsia" w:asciiTheme="minorEastAsia" w:hAnsiTheme="minorEastAsia" w:eastAsiaTheme="minorEastAsia" w:cstheme="minorEastAsia"/>
                <w:color w:val="auto"/>
                <w:highlight w:val="none"/>
              </w:rPr>
            </w:pPr>
          </w:p>
          <w:p w14:paraId="15F797EA">
            <w:pPr>
              <w:pStyle w:val="26"/>
              <w:kinsoku/>
              <w:wordWrap w:val="0"/>
              <w:spacing w:line="253" w:lineRule="auto"/>
              <w:jc w:val="both"/>
              <w:rPr>
                <w:rFonts w:hint="eastAsia" w:asciiTheme="minorEastAsia" w:hAnsiTheme="minorEastAsia" w:eastAsiaTheme="minorEastAsia" w:cstheme="minorEastAsia"/>
                <w:color w:val="auto"/>
                <w:highlight w:val="none"/>
              </w:rPr>
            </w:pPr>
          </w:p>
          <w:p w14:paraId="568BB5F6">
            <w:pPr>
              <w:pStyle w:val="26"/>
              <w:kinsoku/>
              <w:wordWrap w:val="0"/>
              <w:spacing w:line="253" w:lineRule="auto"/>
              <w:jc w:val="both"/>
              <w:rPr>
                <w:rFonts w:hint="eastAsia" w:asciiTheme="minorEastAsia" w:hAnsiTheme="minorEastAsia" w:eastAsiaTheme="minorEastAsia" w:cstheme="minorEastAsia"/>
                <w:color w:val="auto"/>
                <w:highlight w:val="none"/>
              </w:rPr>
            </w:pPr>
          </w:p>
          <w:p w14:paraId="48D082EC">
            <w:pPr>
              <w:pStyle w:val="26"/>
              <w:kinsoku/>
              <w:wordWrap w:val="0"/>
              <w:spacing w:line="254" w:lineRule="auto"/>
              <w:jc w:val="both"/>
              <w:rPr>
                <w:rFonts w:hint="eastAsia" w:asciiTheme="minorEastAsia" w:hAnsiTheme="minorEastAsia" w:eastAsiaTheme="minorEastAsia" w:cstheme="minorEastAsia"/>
                <w:color w:val="auto"/>
                <w:highlight w:val="none"/>
              </w:rPr>
            </w:pPr>
          </w:p>
          <w:p w14:paraId="023B6870">
            <w:pPr>
              <w:pStyle w:val="26"/>
              <w:kinsoku/>
              <w:wordWrap w:val="0"/>
              <w:spacing w:line="254" w:lineRule="auto"/>
              <w:jc w:val="both"/>
              <w:rPr>
                <w:rFonts w:hint="eastAsia" w:asciiTheme="minorEastAsia" w:hAnsiTheme="minorEastAsia" w:eastAsiaTheme="minorEastAsia" w:cstheme="minorEastAsia"/>
                <w:color w:val="auto"/>
                <w:highlight w:val="none"/>
              </w:rPr>
            </w:pPr>
          </w:p>
          <w:p w14:paraId="3C2235DA">
            <w:pPr>
              <w:pStyle w:val="26"/>
              <w:kinsoku/>
              <w:wordWrap w:val="0"/>
              <w:spacing w:line="254" w:lineRule="auto"/>
              <w:jc w:val="both"/>
              <w:rPr>
                <w:rFonts w:hint="eastAsia" w:asciiTheme="minorEastAsia" w:hAnsiTheme="minorEastAsia" w:eastAsiaTheme="minorEastAsia" w:cstheme="minorEastAsia"/>
                <w:color w:val="auto"/>
                <w:highlight w:val="none"/>
              </w:rPr>
            </w:pPr>
          </w:p>
          <w:p w14:paraId="0778C9A3">
            <w:pPr>
              <w:kinsoku/>
              <w:wordWrap w:val="0"/>
              <w:spacing w:before="78" w:line="229" w:lineRule="auto"/>
              <w:ind w:left="112" w:right="105" w:firstLine="23"/>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中小企业证明文</w:t>
            </w:r>
            <w:r>
              <w:rPr>
                <w:rFonts w:hint="eastAsia" w:asciiTheme="minorEastAsia" w:hAnsiTheme="minorEastAsia" w:eastAsiaTheme="minorEastAsia" w:cstheme="minorEastAsia"/>
                <w:color w:val="auto"/>
                <w:sz w:val="24"/>
                <w:szCs w:val="24"/>
                <w:highlight w:val="none"/>
              </w:rPr>
              <w:t>件</w:t>
            </w:r>
          </w:p>
        </w:tc>
        <w:tc>
          <w:tcPr>
            <w:tcW w:w="3600" w:type="dxa"/>
          </w:tcPr>
          <w:p w14:paraId="3FDC29BD">
            <w:pPr>
              <w:kinsoku/>
              <w:wordWrap w:val="0"/>
              <w:spacing w:before="36" w:line="215" w:lineRule="auto"/>
              <w:ind w:left="115" w:right="102" w:firstLine="14"/>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当本项目（包）涉及预留份额专门面向中小企业采购，此时须在《资格证明文件》中</w:t>
            </w:r>
            <w:r>
              <w:rPr>
                <w:rFonts w:hint="eastAsia" w:asciiTheme="minorEastAsia" w:hAnsiTheme="minorEastAsia" w:eastAsiaTheme="minorEastAsia" w:cstheme="minorEastAsia"/>
                <w:color w:val="auto"/>
                <w:spacing w:val="15"/>
                <w:sz w:val="24"/>
                <w:szCs w:val="24"/>
                <w:highlight w:val="none"/>
                <w:lang w:eastAsia="zh-CN"/>
              </w:rPr>
              <w:t>提</w:t>
            </w:r>
            <w:r>
              <w:rPr>
                <w:rFonts w:hint="eastAsia" w:asciiTheme="minorEastAsia" w:hAnsiTheme="minorEastAsia" w:eastAsiaTheme="minorEastAsia" w:cstheme="minorEastAsia"/>
                <w:color w:val="auto"/>
                <w:spacing w:val="-5"/>
                <w:sz w:val="24"/>
                <w:szCs w:val="24"/>
                <w:highlight w:val="none"/>
                <w:lang w:eastAsia="zh-CN"/>
              </w:rPr>
              <w:t>供。</w:t>
            </w:r>
          </w:p>
          <w:p w14:paraId="7C3A01FC">
            <w:pPr>
              <w:pStyle w:val="26"/>
              <w:kinsoku/>
              <w:wordWrap w:val="0"/>
              <w:spacing w:before="4" w:line="220" w:lineRule="auto"/>
              <w:ind w:left="116" w:right="102" w:firstLine="1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1、投标人单独投标的，应提供《中小企业声</w:t>
            </w:r>
            <w:r>
              <w:rPr>
                <w:rFonts w:hint="eastAsia" w:asciiTheme="minorEastAsia" w:hAnsiTheme="minorEastAsia" w:eastAsiaTheme="minorEastAsia" w:cstheme="minorEastAsia"/>
                <w:color w:val="auto"/>
                <w:spacing w:val="1"/>
                <w:sz w:val="24"/>
                <w:szCs w:val="24"/>
                <w:highlight w:val="none"/>
                <w:lang w:eastAsia="zh-CN"/>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color w:val="auto"/>
                <w:spacing w:val="-11"/>
                <w:sz w:val="24"/>
                <w:szCs w:val="24"/>
                <w:highlight w:val="none"/>
                <w:lang w:eastAsia="zh-CN"/>
              </w:rPr>
              <w:t>文件。</w:t>
            </w:r>
          </w:p>
          <w:p w14:paraId="586B27F1">
            <w:pPr>
              <w:pStyle w:val="26"/>
              <w:kinsoku/>
              <w:wordWrap w:val="0"/>
              <w:spacing w:before="20" w:line="236" w:lineRule="auto"/>
              <w:ind w:left="113" w:right="102" w:firstLine="9"/>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sz w:val="24"/>
                <w:szCs w:val="24"/>
                <w:highlight w:val="none"/>
                <w:lang w:eastAsia="zh-CN"/>
              </w:rPr>
              <w:t>2、如招标文件要求以联合体形式参加</w:t>
            </w:r>
            <w:r>
              <w:rPr>
                <w:rFonts w:hint="eastAsia" w:asciiTheme="minorEastAsia" w:hAnsiTheme="minorEastAsia" w:eastAsiaTheme="minorEastAsia" w:cstheme="minorEastAsia"/>
                <w:color w:val="auto"/>
                <w:spacing w:val="1"/>
                <w:sz w:val="24"/>
                <w:szCs w:val="24"/>
                <w:highlight w:val="none"/>
                <w:lang w:eastAsia="zh-CN"/>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w:t>
            </w:r>
            <w:r>
              <w:rPr>
                <w:rFonts w:hint="eastAsia" w:asciiTheme="minorEastAsia" w:hAnsiTheme="minorEastAsia" w:eastAsiaTheme="minorEastAsia" w:cstheme="minorEastAsia"/>
                <w:color w:val="auto"/>
                <w:spacing w:val="-4"/>
                <w:sz w:val="24"/>
                <w:szCs w:val="24"/>
                <w:highlight w:val="none"/>
                <w:lang w:eastAsia="zh-CN"/>
              </w:rPr>
              <w:t>关于预留份额的要求。</w:t>
            </w:r>
          </w:p>
        </w:tc>
        <w:tc>
          <w:tcPr>
            <w:tcW w:w="2967" w:type="dxa"/>
          </w:tcPr>
          <w:p w14:paraId="21E82B15">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62C998FF">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6AFF5CB4">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61945F13">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14103525">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4CD38CBB">
            <w:pPr>
              <w:pStyle w:val="26"/>
              <w:kinsoku/>
              <w:wordWrap w:val="0"/>
              <w:spacing w:line="253" w:lineRule="auto"/>
              <w:jc w:val="both"/>
              <w:rPr>
                <w:rFonts w:hint="eastAsia" w:asciiTheme="minorEastAsia" w:hAnsiTheme="minorEastAsia" w:eastAsiaTheme="minorEastAsia" w:cstheme="minorEastAsia"/>
                <w:color w:val="auto"/>
                <w:highlight w:val="none"/>
                <w:lang w:eastAsia="zh-CN"/>
              </w:rPr>
            </w:pPr>
          </w:p>
          <w:p w14:paraId="6ACAB5ED">
            <w:pPr>
              <w:pStyle w:val="26"/>
              <w:kinsoku/>
              <w:wordWrap w:val="0"/>
              <w:spacing w:line="254" w:lineRule="auto"/>
              <w:jc w:val="both"/>
              <w:rPr>
                <w:rFonts w:hint="eastAsia" w:asciiTheme="minorEastAsia" w:hAnsiTheme="minorEastAsia" w:eastAsiaTheme="minorEastAsia" w:cstheme="minorEastAsia"/>
                <w:color w:val="auto"/>
                <w:highlight w:val="none"/>
                <w:lang w:eastAsia="zh-CN"/>
              </w:rPr>
            </w:pPr>
          </w:p>
          <w:p w14:paraId="7DB236AF">
            <w:pPr>
              <w:pStyle w:val="26"/>
              <w:kinsoku/>
              <w:wordWrap w:val="0"/>
              <w:spacing w:line="254" w:lineRule="auto"/>
              <w:jc w:val="both"/>
              <w:rPr>
                <w:rFonts w:hint="eastAsia" w:asciiTheme="minorEastAsia" w:hAnsiTheme="minorEastAsia" w:eastAsiaTheme="minorEastAsia" w:cstheme="minorEastAsia"/>
                <w:color w:val="auto"/>
                <w:highlight w:val="none"/>
                <w:lang w:eastAsia="zh-CN"/>
              </w:rPr>
            </w:pPr>
          </w:p>
          <w:p w14:paraId="38E8E5DD">
            <w:pPr>
              <w:pStyle w:val="26"/>
              <w:kinsoku/>
              <w:wordWrap w:val="0"/>
              <w:spacing w:line="254" w:lineRule="auto"/>
              <w:jc w:val="both"/>
              <w:rPr>
                <w:rFonts w:hint="eastAsia" w:asciiTheme="minorEastAsia" w:hAnsiTheme="minorEastAsia" w:eastAsiaTheme="minorEastAsia" w:cstheme="minorEastAsia"/>
                <w:color w:val="auto"/>
                <w:highlight w:val="none"/>
                <w:lang w:eastAsia="zh-CN"/>
              </w:rPr>
            </w:pPr>
          </w:p>
          <w:p w14:paraId="59C726BA">
            <w:pPr>
              <w:kinsoku/>
              <w:wordWrap w:val="0"/>
              <w:spacing w:before="78" w:line="229" w:lineRule="auto"/>
              <w:ind w:left="118" w:right="116" w:hanging="1"/>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6"/>
                <w:sz w:val="24"/>
                <w:szCs w:val="24"/>
                <w:highlight w:val="none"/>
                <w:lang w:eastAsia="zh-CN"/>
              </w:rPr>
              <w:t>格式见《投标</w:t>
            </w:r>
            <w:r>
              <w:rPr>
                <w:rFonts w:hint="eastAsia" w:asciiTheme="minorEastAsia" w:hAnsiTheme="minorEastAsia" w:eastAsiaTheme="minorEastAsia" w:cstheme="minorEastAsia"/>
                <w:color w:val="auto"/>
                <w:spacing w:val="-4"/>
                <w:sz w:val="24"/>
                <w:szCs w:val="24"/>
                <w:highlight w:val="none"/>
                <w:lang w:eastAsia="zh-CN"/>
              </w:rPr>
              <w:t>文件格式》</w:t>
            </w:r>
          </w:p>
        </w:tc>
      </w:tr>
      <w:tr w14:paraId="3CB807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9" w:type="dxa"/>
          </w:tcPr>
          <w:p w14:paraId="62A33A7F">
            <w:pPr>
              <w:pStyle w:val="26"/>
              <w:kinsoku/>
              <w:wordWrap w:val="0"/>
              <w:spacing w:before="213" w:line="201" w:lineRule="auto"/>
              <w:ind w:left="36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061" w:type="dxa"/>
          </w:tcPr>
          <w:p w14:paraId="2B0802BD">
            <w:pPr>
              <w:kinsoku/>
              <w:wordWrap w:val="0"/>
              <w:spacing w:before="35" w:line="224" w:lineRule="auto"/>
              <w:ind w:left="113" w:right="10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0"/>
                <w:sz w:val="24"/>
                <w:szCs w:val="24"/>
                <w:highlight w:val="none"/>
                <w:lang w:eastAsia="zh-CN"/>
              </w:rPr>
              <w:t>本项目的其他资</w:t>
            </w:r>
            <w:r>
              <w:rPr>
                <w:rFonts w:hint="eastAsia" w:asciiTheme="minorEastAsia" w:hAnsiTheme="minorEastAsia" w:eastAsiaTheme="minorEastAsia" w:cstheme="minorEastAsia"/>
                <w:color w:val="auto"/>
                <w:spacing w:val="-3"/>
                <w:sz w:val="24"/>
                <w:szCs w:val="24"/>
                <w:highlight w:val="none"/>
                <w:lang w:eastAsia="zh-CN"/>
              </w:rPr>
              <w:t>格要 求</w:t>
            </w:r>
          </w:p>
        </w:tc>
        <w:tc>
          <w:tcPr>
            <w:tcW w:w="3600" w:type="dxa"/>
          </w:tcPr>
          <w:p w14:paraId="6D5DD603">
            <w:pPr>
              <w:kinsoku/>
              <w:wordWrap w:val="0"/>
              <w:spacing w:before="192" w:line="219" w:lineRule="auto"/>
              <w:ind w:left="118"/>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如有，见第一章《公开招标公告》</w:t>
            </w:r>
          </w:p>
        </w:tc>
        <w:tc>
          <w:tcPr>
            <w:tcW w:w="2967" w:type="dxa"/>
          </w:tcPr>
          <w:p w14:paraId="43E82AA0">
            <w:pPr>
              <w:pStyle w:val="26"/>
              <w:kinsoku/>
              <w:wordWrap w:val="0"/>
              <w:jc w:val="both"/>
              <w:rPr>
                <w:rFonts w:hint="eastAsia" w:asciiTheme="minorEastAsia" w:hAnsiTheme="minorEastAsia" w:eastAsiaTheme="minorEastAsia" w:cstheme="minorEastAsia"/>
                <w:color w:val="auto"/>
                <w:highlight w:val="none"/>
                <w:lang w:eastAsia="zh-CN"/>
              </w:rPr>
            </w:pPr>
          </w:p>
        </w:tc>
      </w:tr>
    </w:tbl>
    <w:p w14:paraId="7B078F3B">
      <w:pPr>
        <w:widowControl w:val="0"/>
        <w:kinsoku/>
        <w:wordWrap w:val="0"/>
        <w:snapToGrid/>
        <w:spacing w:line="360" w:lineRule="auto"/>
        <w:ind w:firstLine="482" w:firstLineChars="200"/>
        <w:jc w:val="both"/>
        <w:textAlignment w:val="auto"/>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说明：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序号1中1-5项证明材料”。投标人</w:t>
      </w:r>
      <w:r>
        <w:rPr>
          <w:rFonts w:hint="eastAsia" w:asciiTheme="minorEastAsia" w:hAnsiTheme="minorEastAsia" w:eastAsiaTheme="minorEastAsia" w:cstheme="minorEastAsia"/>
          <w:b/>
          <w:bCs/>
          <w:color w:val="auto"/>
          <w:sz w:val="24"/>
          <w:szCs w:val="24"/>
          <w:highlight w:val="none"/>
          <w:lang w:val="zh-CN" w:eastAsia="zh-CN"/>
        </w:rPr>
        <w:t>在中标后，应将上述由信用承诺书替代的证明材料提交采购人或采购代理机构，证明材料将随公告一并公示。</w:t>
      </w:r>
    </w:p>
    <w:p w14:paraId="6C0EBBCC">
      <w:pPr>
        <w:kinsoku/>
        <w:wordWrap w:val="0"/>
        <w:spacing w:line="360" w:lineRule="auto"/>
        <w:jc w:val="both"/>
        <w:rPr>
          <w:rFonts w:hint="eastAsia" w:asciiTheme="minorEastAsia" w:hAnsiTheme="minorEastAsia" w:eastAsiaTheme="minorEastAsia" w:cstheme="minorEastAsia"/>
          <w:b/>
          <w:bCs/>
          <w:color w:val="auto"/>
          <w:spacing w:val="3"/>
          <w:sz w:val="24"/>
          <w:szCs w:val="24"/>
          <w:highlight w:val="none"/>
          <w:lang w:eastAsia="zh-CN"/>
        </w:rPr>
      </w:pPr>
    </w:p>
    <w:p w14:paraId="0C477A92">
      <w:pPr>
        <w:kinsoku/>
        <w:wordWrap w:val="0"/>
        <w:spacing w:line="360" w:lineRule="auto"/>
        <w:jc w:val="both"/>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pacing w:val="3"/>
          <w:sz w:val="24"/>
          <w:szCs w:val="24"/>
          <w:highlight w:val="none"/>
          <w:lang w:eastAsia="zh-CN"/>
        </w:rPr>
        <w:t>三、评标委员会</w:t>
      </w:r>
    </w:p>
    <w:p w14:paraId="2D35F773">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采购人、采购代理机构将根据《中华人民共和国政府采购法》的规定和招标采购项目的特点组建评标委员会，评标委员会由采购人代表和评审专家组成，成员人数应当为5人以上单数，其中评审专家不得少于成员总数的三分之二。采购预算金额在1000万元以上的或者技术复杂或者社会影响较大的采购项目，评标委员会成员人数应当为7人以上单数。</w:t>
      </w:r>
    </w:p>
    <w:p w14:paraId="0A62CA67">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采购人应当从省级以上财政部门设立的政府采购评审专家库，通过随机方式抽取专家。对技术复杂、专业性强的采购项目，通过随机方式难以确定合适评审专家的，经主管预算单位同意，采购人可以自行选定相应领域的评审专家。但在中标结果公告评审专家名单时，对自行选定的评审专家做出标注。</w:t>
      </w:r>
    </w:p>
    <w:p w14:paraId="0AFB79CF">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3.评标委员会应当严格遵守评审纪律，现场签订评审委员会评审承诺书，并按照客观、公正、审慎的原则，根据采购文件规定的评审程序、评审方法和评审标准进行独立评审。</w:t>
      </w:r>
    </w:p>
    <w:p w14:paraId="6C7CAA00">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4.评标委员会应当在评审报告上签字，对自己评审意见承担法律责任。</w:t>
      </w:r>
    </w:p>
    <w:p w14:paraId="0592BDDC">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5.评审专家未完成评审工作擅自离开评审现场，或者在评审活动中有违法违规行为的，不得获取劳务报酬和报销异地评审差旅费。评审专家以外的其他人员不得获取评审劳务报酬。</w:t>
      </w:r>
    </w:p>
    <w:p w14:paraId="698A5E23">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6.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C4A4DE9">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7.评标委员会或者其成员存在下列情形导致评标结果无效的，采购人、采购代理机构可以重新组建评标委员会进行评标，并书面报告本级财政部门，但采购合同已经履行的除外：</w:t>
      </w:r>
    </w:p>
    <w:p w14:paraId="499BE4BF">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（1）评标委员会组成不符合本办法规定的；</w:t>
      </w:r>
    </w:p>
    <w:p w14:paraId="7CA34C06">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（2）政府采购货物和服务招标投标管理办法（87号令）第六十二条第一至五项情形的；</w:t>
      </w:r>
    </w:p>
    <w:p w14:paraId="1FA87DD0">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（3）评标委员会及其成员独立评标受到非法干预的；</w:t>
      </w:r>
    </w:p>
    <w:p w14:paraId="1DEF6351">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（4）有政府采购法实施条例第七十五条规定的违法行为的。</w:t>
      </w:r>
    </w:p>
    <w:p w14:paraId="03C1CA3C">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有违法违规行为的原评标委员会成员不得参加重新组建的评标委员会。</w:t>
      </w:r>
    </w:p>
    <w:p w14:paraId="3C780EED">
      <w:pPr>
        <w:kinsoku/>
        <w:wordWrap w:val="0"/>
        <w:spacing w:line="360" w:lineRule="auto"/>
        <w:ind w:firstLine="492"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8.评审活动结束，按照《河南省政府采购评审专家劳务报酬支付标准》的通知(豫财购〔2017〕9号)的规定，发放劳务报酬。</w:t>
      </w:r>
    </w:p>
    <w:p w14:paraId="64E17D9A">
      <w:pPr>
        <w:kinsoku/>
        <w:wordWrap w:val="0"/>
        <w:spacing w:line="360" w:lineRule="auto"/>
        <w:ind w:firstLine="494" w:firstLineChars="200"/>
        <w:jc w:val="both"/>
        <w:rPr>
          <w:rFonts w:hint="eastAsia" w:asciiTheme="minorEastAsia" w:hAnsiTheme="minorEastAsia" w:eastAsiaTheme="minorEastAsia" w:cstheme="minorEastAsia"/>
          <w:b/>
          <w:bCs/>
          <w:color w:val="auto"/>
          <w:spacing w:val="3"/>
          <w:sz w:val="24"/>
          <w:szCs w:val="24"/>
          <w:highlight w:val="none"/>
          <w:lang w:eastAsia="zh-CN"/>
        </w:rPr>
      </w:pPr>
    </w:p>
    <w:p w14:paraId="399C5F2D">
      <w:pPr>
        <w:kinsoku/>
        <w:wordWrap w:val="0"/>
        <w:spacing w:line="360" w:lineRule="auto"/>
        <w:jc w:val="both"/>
        <w:rPr>
          <w:rFonts w:hint="eastAsia" w:asciiTheme="minorEastAsia" w:hAnsiTheme="minorEastAsia" w:eastAsiaTheme="minorEastAsia" w:cstheme="minorEastAsia"/>
          <w:b/>
          <w:bCs/>
          <w:color w:val="auto"/>
          <w:spacing w:val="3"/>
          <w:sz w:val="24"/>
          <w:szCs w:val="24"/>
          <w:highlight w:val="none"/>
          <w:lang w:eastAsia="zh-CN"/>
        </w:rPr>
      </w:pPr>
      <w:r>
        <w:rPr>
          <w:rFonts w:hint="eastAsia" w:asciiTheme="minorEastAsia" w:hAnsiTheme="minorEastAsia" w:eastAsiaTheme="minorEastAsia" w:cstheme="minorEastAsia"/>
          <w:b/>
          <w:bCs/>
          <w:color w:val="auto"/>
          <w:spacing w:val="3"/>
          <w:sz w:val="24"/>
          <w:szCs w:val="24"/>
          <w:highlight w:val="none"/>
          <w:lang w:eastAsia="zh-CN"/>
        </w:rPr>
        <w:t>四、投标文件的审查</w:t>
      </w:r>
    </w:p>
    <w:p w14:paraId="3EFC2035">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1.投标文件的符合性审查</w:t>
      </w:r>
    </w:p>
    <w:p w14:paraId="696C6971">
      <w:pPr>
        <w:pStyle w:val="6"/>
        <w:kinsoku/>
        <w:wordWrap w:val="0"/>
        <w:spacing w:line="360" w:lineRule="auto"/>
        <w:ind w:firstLine="48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1.1 评标委员会对资格审查合格的投标人的投标文件进行符合性审查，以</w:t>
      </w:r>
      <w:r>
        <w:rPr>
          <w:rFonts w:hint="eastAsia" w:asciiTheme="minorEastAsia" w:hAnsiTheme="minorEastAsia" w:eastAsiaTheme="minorEastAsia" w:cstheme="minorEastAsia"/>
          <w:color w:val="auto"/>
          <w:spacing w:val="-3"/>
          <w:sz w:val="24"/>
          <w:szCs w:val="24"/>
          <w:highlight w:val="none"/>
          <w:lang w:eastAsia="zh-CN"/>
        </w:rPr>
        <w:t>确定其是否满足招标文件的实质性要求。</w:t>
      </w:r>
    </w:p>
    <w:p w14:paraId="7F160C3B">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1.2 评标委员会根据《符合性审查要求》中规定的审查因素和审查内容，对投标人的投标文件是否实质上响应招标文件进行符合性审查，并形成符合性审查评审结果。投标人《商务技术文件》有任何一项不符合《符合性审查要求》要求的，投标无效。</w:t>
      </w:r>
    </w:p>
    <w:p w14:paraId="0BE04120">
      <w:pPr>
        <w:pStyle w:val="6"/>
        <w:kinsoku/>
        <w:wordWrap w:val="0"/>
        <w:spacing w:before="178" w:line="220" w:lineRule="auto"/>
        <w:ind w:left="364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6" w14:cap="flat" w14:cmpd="sng" w14:algn="ctr">
            <w14:solidFill>
              <w14:srgbClr w14:val="000000"/>
            </w14:solidFill>
            <w14:prstDash w14:val="solid"/>
            <w14:miter w14:val="0"/>
          </w14:textOutline>
        </w:rPr>
        <w:t>符合性审查要求</w:t>
      </w:r>
    </w:p>
    <w:p w14:paraId="352F2EAF">
      <w:pPr>
        <w:kinsoku/>
        <w:wordWrap w:val="0"/>
        <w:spacing w:line="145" w:lineRule="exact"/>
        <w:jc w:val="both"/>
        <w:rPr>
          <w:rFonts w:hint="eastAsia" w:asciiTheme="minorEastAsia" w:hAnsiTheme="minorEastAsia" w:eastAsiaTheme="minorEastAsia" w:cstheme="minorEastAsia"/>
          <w:color w:val="auto"/>
          <w:highlight w:val="none"/>
        </w:rPr>
      </w:pPr>
    </w:p>
    <w:tbl>
      <w:tblPr>
        <w:tblStyle w:val="25"/>
        <w:tblW w:w="8288" w:type="dxa"/>
        <w:tblInd w:w="7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5"/>
        <w:gridCol w:w="1812"/>
        <w:gridCol w:w="5791"/>
      </w:tblGrid>
      <w:tr w14:paraId="6C2C39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5" w:type="dxa"/>
          </w:tcPr>
          <w:p w14:paraId="6E1EC30B">
            <w:pPr>
              <w:kinsoku/>
              <w:wordWrap w:val="0"/>
              <w:spacing w:before="41" w:line="207" w:lineRule="auto"/>
              <w:ind w:left="143"/>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6" w14:cap="flat" w14:cmpd="sng" w14:algn="ctr">
                  <w14:solidFill>
                    <w14:srgbClr w14:val="000000"/>
                  </w14:solidFill>
                  <w14:prstDash w14:val="solid"/>
                  <w14:miter w14:val="0"/>
                </w14:textOutline>
              </w:rPr>
              <w:t>序号</w:t>
            </w:r>
          </w:p>
        </w:tc>
        <w:tc>
          <w:tcPr>
            <w:tcW w:w="1812" w:type="dxa"/>
          </w:tcPr>
          <w:p w14:paraId="2D2D642D">
            <w:pPr>
              <w:kinsoku/>
              <w:wordWrap w:val="0"/>
              <w:spacing w:before="41" w:line="207" w:lineRule="auto"/>
              <w:ind w:left="439"/>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6" w14:cap="flat" w14:cmpd="sng" w14:algn="ctr">
                  <w14:solidFill>
                    <w14:srgbClr w14:val="000000"/>
                  </w14:solidFill>
                  <w14:prstDash w14:val="solid"/>
                  <w14:miter w14:val="0"/>
                </w14:textOutline>
              </w:rPr>
              <w:t>审查因素</w:t>
            </w:r>
          </w:p>
        </w:tc>
        <w:tc>
          <w:tcPr>
            <w:tcW w:w="5791" w:type="dxa"/>
          </w:tcPr>
          <w:p w14:paraId="4168CA78">
            <w:pPr>
              <w:kinsoku/>
              <w:wordWrap w:val="0"/>
              <w:spacing w:before="41" w:line="207" w:lineRule="auto"/>
              <w:ind w:left="289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6" w14:cap="flat" w14:cmpd="sng" w14:algn="ctr">
                  <w14:solidFill>
                    <w14:srgbClr w14:val="000000"/>
                  </w14:solidFill>
                  <w14:prstDash w14:val="solid"/>
                  <w14:miter w14:val="0"/>
                </w14:textOutline>
              </w:rPr>
              <w:t>审查内容</w:t>
            </w:r>
          </w:p>
        </w:tc>
      </w:tr>
      <w:tr w14:paraId="5C198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779F4BC3">
            <w:pPr>
              <w:pStyle w:val="26"/>
              <w:kinsoku/>
              <w:wordWrap w:val="0"/>
              <w:spacing w:before="245" w:line="199" w:lineRule="auto"/>
              <w:ind w:left="32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p>
        </w:tc>
        <w:tc>
          <w:tcPr>
            <w:tcW w:w="1812" w:type="dxa"/>
          </w:tcPr>
          <w:p w14:paraId="352A5D5E">
            <w:pPr>
              <w:kinsoku/>
              <w:wordWrap w:val="0"/>
              <w:spacing w:before="222" w:line="219" w:lineRule="auto"/>
              <w:ind w:left="111"/>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授权委托书</w:t>
            </w:r>
          </w:p>
        </w:tc>
        <w:tc>
          <w:tcPr>
            <w:tcW w:w="5791" w:type="dxa"/>
          </w:tcPr>
          <w:p w14:paraId="354CBDC9">
            <w:pPr>
              <w:kinsoku/>
              <w:wordWrap w:val="0"/>
              <w:spacing w:before="222" w:line="184" w:lineRule="auto"/>
              <w:ind w:left="11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按招标文件要求提供授权委托书。</w:t>
            </w:r>
          </w:p>
        </w:tc>
      </w:tr>
      <w:tr w14:paraId="33429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85" w:type="dxa"/>
            <w:vAlign w:val="center"/>
          </w:tcPr>
          <w:p w14:paraId="5B020D85">
            <w:pPr>
              <w:pStyle w:val="26"/>
              <w:kinsoku/>
              <w:wordWrap w:val="0"/>
              <w:spacing w:before="244" w:line="201" w:lineRule="auto"/>
              <w:ind w:left="31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rPr>
              <w:t>2</w:t>
            </w:r>
          </w:p>
        </w:tc>
        <w:tc>
          <w:tcPr>
            <w:tcW w:w="1812" w:type="dxa"/>
            <w:vAlign w:val="center"/>
          </w:tcPr>
          <w:p w14:paraId="78CD8D84">
            <w:pPr>
              <w:kinsoku/>
              <w:wordWrap w:val="0"/>
              <w:spacing w:before="223" w:line="220" w:lineRule="auto"/>
              <w:ind w:left="11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投标完整性</w:t>
            </w:r>
          </w:p>
        </w:tc>
        <w:tc>
          <w:tcPr>
            <w:tcW w:w="5791" w:type="dxa"/>
            <w:vAlign w:val="center"/>
          </w:tcPr>
          <w:p w14:paraId="00BAF7DE">
            <w:pPr>
              <w:kinsoku/>
              <w:wordWrap w:val="0"/>
              <w:spacing w:before="222" w:line="184" w:lineRule="auto"/>
              <w:ind w:left="116"/>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未将一个采购包中的内容拆分投标；</w:t>
            </w:r>
          </w:p>
          <w:p w14:paraId="1FC3BD51">
            <w:pPr>
              <w:kinsoku/>
              <w:wordWrap w:val="0"/>
              <w:spacing w:before="222" w:line="184" w:lineRule="auto"/>
              <w:ind w:left="11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投标人对所投招标文件中所列的所有内容进行投标。</w:t>
            </w:r>
          </w:p>
        </w:tc>
      </w:tr>
      <w:tr w14:paraId="0D69E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14:paraId="1C031DA2">
            <w:pPr>
              <w:pStyle w:val="26"/>
              <w:kinsoku/>
              <w:wordWrap w:val="0"/>
              <w:spacing w:before="245" w:line="201" w:lineRule="auto"/>
              <w:ind w:left="31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p>
        </w:tc>
        <w:tc>
          <w:tcPr>
            <w:tcW w:w="1812" w:type="dxa"/>
          </w:tcPr>
          <w:p w14:paraId="3E9492F3">
            <w:pPr>
              <w:kinsoku/>
              <w:wordWrap w:val="0"/>
              <w:spacing w:before="221" w:line="219" w:lineRule="auto"/>
              <w:ind w:left="11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投标报价</w:t>
            </w:r>
          </w:p>
        </w:tc>
        <w:tc>
          <w:tcPr>
            <w:tcW w:w="5791" w:type="dxa"/>
          </w:tcPr>
          <w:p w14:paraId="64D65439">
            <w:pPr>
              <w:pStyle w:val="26"/>
              <w:kinsoku/>
              <w:wordWrap w:val="0"/>
              <w:spacing w:before="69" w:line="228" w:lineRule="auto"/>
              <w:ind w:left="117" w:right="29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投标报价未超过招标文件中规定的项目/采购包预算金额或者</w:t>
            </w:r>
            <w:r>
              <w:rPr>
                <w:rFonts w:hint="eastAsia" w:asciiTheme="minorEastAsia" w:hAnsiTheme="minorEastAsia" w:eastAsiaTheme="minorEastAsia" w:cstheme="minorEastAsia"/>
                <w:color w:val="auto"/>
                <w:spacing w:val="-5"/>
                <w:sz w:val="24"/>
                <w:szCs w:val="24"/>
                <w:highlight w:val="none"/>
                <w:lang w:eastAsia="zh-CN"/>
              </w:rPr>
              <w:t>项目/采购包最高限价。</w:t>
            </w:r>
          </w:p>
        </w:tc>
      </w:tr>
      <w:tr w14:paraId="5F630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33922E74">
            <w:pPr>
              <w:pStyle w:val="26"/>
              <w:kinsoku/>
              <w:wordWrap w:val="0"/>
              <w:spacing w:before="247" w:line="199" w:lineRule="auto"/>
              <w:ind w:left="309"/>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7"/>
                <w:sz w:val="24"/>
                <w:szCs w:val="24"/>
                <w:highlight w:val="none"/>
              </w:rPr>
              <w:t>4</w:t>
            </w:r>
          </w:p>
        </w:tc>
        <w:tc>
          <w:tcPr>
            <w:tcW w:w="1812" w:type="dxa"/>
          </w:tcPr>
          <w:p w14:paraId="0A0CEFA9">
            <w:pPr>
              <w:kinsoku/>
              <w:wordWrap w:val="0"/>
              <w:spacing w:before="223" w:line="219" w:lineRule="auto"/>
              <w:ind w:left="11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报价唯一性</w:t>
            </w:r>
          </w:p>
        </w:tc>
        <w:tc>
          <w:tcPr>
            <w:tcW w:w="5791" w:type="dxa"/>
          </w:tcPr>
          <w:p w14:paraId="2D52DFDE">
            <w:pPr>
              <w:kinsoku/>
              <w:wordWrap w:val="0"/>
              <w:spacing w:before="68" w:line="230" w:lineRule="auto"/>
              <w:ind w:left="133" w:right="136" w:hanging="1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投标文件未出现可选择性或可调整的报价（招标文件另有规定</w:t>
            </w:r>
            <w:r>
              <w:rPr>
                <w:rFonts w:hint="eastAsia" w:asciiTheme="minorEastAsia" w:hAnsiTheme="minorEastAsia" w:eastAsiaTheme="minorEastAsia" w:cstheme="minorEastAsia"/>
                <w:color w:val="auto"/>
                <w:spacing w:val="-17"/>
                <w:sz w:val="24"/>
                <w:szCs w:val="24"/>
                <w:highlight w:val="none"/>
                <w:lang w:eastAsia="zh-CN"/>
              </w:rPr>
              <w:t>的除外</w:t>
            </w:r>
            <w:r>
              <w:rPr>
                <w:rFonts w:hint="eastAsia" w:asciiTheme="minorEastAsia" w:hAnsiTheme="minorEastAsia" w:eastAsiaTheme="minorEastAsia" w:cstheme="minorEastAsia"/>
                <w:color w:val="auto"/>
                <w:spacing w:val="-9"/>
                <w:sz w:val="24"/>
                <w:szCs w:val="24"/>
                <w:highlight w:val="none"/>
                <w:lang w:eastAsia="zh-CN"/>
              </w:rPr>
              <w:t>）。</w:t>
            </w:r>
          </w:p>
        </w:tc>
      </w:tr>
      <w:tr w14:paraId="7F9654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tcPr>
          <w:p w14:paraId="751D5737">
            <w:pPr>
              <w:pStyle w:val="26"/>
              <w:kinsoku/>
              <w:wordWrap w:val="0"/>
              <w:spacing w:before="248" w:line="199" w:lineRule="auto"/>
              <w:ind w:left="316"/>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w:t>
            </w:r>
          </w:p>
        </w:tc>
        <w:tc>
          <w:tcPr>
            <w:tcW w:w="1812" w:type="dxa"/>
          </w:tcPr>
          <w:p w14:paraId="01A7C52E">
            <w:pPr>
              <w:kinsoku/>
              <w:wordWrap w:val="0"/>
              <w:spacing w:before="222" w:line="221" w:lineRule="auto"/>
              <w:ind w:left="11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投标有效期</w:t>
            </w:r>
          </w:p>
        </w:tc>
        <w:tc>
          <w:tcPr>
            <w:tcW w:w="5791" w:type="dxa"/>
          </w:tcPr>
          <w:p w14:paraId="1C443447">
            <w:pPr>
              <w:kinsoku/>
              <w:wordWrap w:val="0"/>
              <w:spacing w:before="70" w:line="229" w:lineRule="auto"/>
              <w:ind w:left="117" w:right="13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投标文件中承诺的投标有效期满足招标文件中载明的投标有效</w:t>
            </w:r>
            <w:r>
              <w:rPr>
                <w:rFonts w:hint="eastAsia" w:asciiTheme="minorEastAsia" w:hAnsiTheme="minorEastAsia" w:eastAsiaTheme="minorEastAsia" w:cstheme="minorEastAsia"/>
                <w:color w:val="auto"/>
                <w:spacing w:val="-15"/>
                <w:sz w:val="24"/>
                <w:szCs w:val="24"/>
                <w:highlight w:val="none"/>
                <w:lang w:eastAsia="zh-CN"/>
              </w:rPr>
              <w:t>期的。</w:t>
            </w:r>
          </w:p>
        </w:tc>
      </w:tr>
      <w:tr w14:paraId="001FBA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vAlign w:val="center"/>
          </w:tcPr>
          <w:p w14:paraId="454696E2">
            <w:pPr>
              <w:pStyle w:val="26"/>
              <w:kinsoku/>
              <w:wordWrap w:val="0"/>
              <w:spacing w:before="244" w:line="202" w:lineRule="auto"/>
              <w:ind w:left="31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6</w:t>
            </w:r>
          </w:p>
        </w:tc>
        <w:tc>
          <w:tcPr>
            <w:tcW w:w="1812" w:type="dxa"/>
          </w:tcPr>
          <w:p w14:paraId="401723CF">
            <w:pPr>
              <w:kinsoku/>
              <w:wordWrap w:val="0"/>
              <w:spacing w:before="224" w:line="220" w:lineRule="auto"/>
              <w:ind w:left="118"/>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实质性格式</w:t>
            </w:r>
          </w:p>
        </w:tc>
        <w:tc>
          <w:tcPr>
            <w:tcW w:w="5791" w:type="dxa"/>
          </w:tcPr>
          <w:p w14:paraId="52C58F85">
            <w:pPr>
              <w:kinsoku/>
              <w:wordWrap w:val="0"/>
              <w:spacing w:before="69" w:line="196" w:lineRule="auto"/>
              <w:ind w:left="122" w:right="129" w:hanging="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标记为</w:t>
            </w:r>
            <w:r>
              <w:rPr>
                <w:rFonts w:hint="eastAsia" w:asciiTheme="minorEastAsia" w:hAnsiTheme="minorEastAsia" w:eastAsiaTheme="minorEastAsia" w:cstheme="minorEastAsia"/>
                <w:color w:val="auto"/>
                <w:spacing w:val="-1"/>
                <w:sz w:val="24"/>
                <w:szCs w:val="24"/>
                <w:highlight w:val="none"/>
                <w:lang w:eastAsia="zh-CN"/>
              </w:rPr>
              <w:t>实质性格式的文件均按招标文件要求提供且签署、盖</w:t>
            </w:r>
            <w:r>
              <w:rPr>
                <w:rFonts w:hint="eastAsia" w:asciiTheme="minorEastAsia" w:hAnsiTheme="minorEastAsia" w:eastAsiaTheme="minorEastAsia" w:cstheme="minorEastAsia"/>
                <w:color w:val="auto"/>
                <w:spacing w:val="-17"/>
                <w:sz w:val="24"/>
                <w:szCs w:val="24"/>
                <w:highlight w:val="none"/>
                <w:lang w:eastAsia="zh-CN"/>
              </w:rPr>
              <w:t>章的。</w:t>
            </w:r>
          </w:p>
        </w:tc>
      </w:tr>
      <w:tr w14:paraId="04AA5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685" w:type="dxa"/>
            <w:vAlign w:val="center"/>
          </w:tcPr>
          <w:p w14:paraId="5C44C03C">
            <w:pPr>
              <w:pStyle w:val="26"/>
              <w:kinsoku/>
              <w:wordWrap w:val="0"/>
              <w:spacing w:before="247" w:line="202"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7</w:t>
            </w:r>
          </w:p>
        </w:tc>
        <w:tc>
          <w:tcPr>
            <w:tcW w:w="1812" w:type="dxa"/>
          </w:tcPr>
          <w:p w14:paraId="548FB828">
            <w:pPr>
              <w:kinsoku/>
              <w:wordWrap w:val="0"/>
              <w:spacing w:before="72" w:line="230" w:lineRule="auto"/>
              <w:ind w:left="112" w:right="123" w:hanging="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6"/>
                <w:sz w:val="24"/>
                <w:szCs w:val="24"/>
                <w:highlight w:val="none"/>
              </w:rPr>
              <w:t>报价的修正（如</w:t>
            </w:r>
            <w:r>
              <w:rPr>
                <w:rFonts w:hint="eastAsia" w:asciiTheme="minorEastAsia" w:hAnsiTheme="minorEastAsia" w:eastAsiaTheme="minorEastAsia" w:cstheme="minorEastAsia"/>
                <w:color w:val="auto"/>
                <w:spacing w:val="-7"/>
                <w:sz w:val="24"/>
                <w:szCs w:val="24"/>
                <w:highlight w:val="none"/>
              </w:rPr>
              <w:t>有）</w:t>
            </w:r>
          </w:p>
        </w:tc>
        <w:tc>
          <w:tcPr>
            <w:tcW w:w="5791" w:type="dxa"/>
          </w:tcPr>
          <w:p w14:paraId="2898B026">
            <w:pPr>
              <w:kinsoku/>
              <w:wordWrap w:val="0"/>
              <w:spacing w:before="72" w:line="229" w:lineRule="auto"/>
              <w:ind w:left="114" w:right="136" w:firstLine="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不涉及报价修正，或投标文件报价出现前后不一致时，投标人</w:t>
            </w:r>
            <w:r>
              <w:rPr>
                <w:rFonts w:hint="eastAsia" w:asciiTheme="minorEastAsia" w:hAnsiTheme="minorEastAsia" w:eastAsiaTheme="minorEastAsia" w:cstheme="minorEastAsia"/>
                <w:color w:val="auto"/>
                <w:spacing w:val="-2"/>
                <w:sz w:val="24"/>
                <w:szCs w:val="24"/>
                <w:highlight w:val="none"/>
                <w:lang w:eastAsia="zh-CN"/>
              </w:rPr>
              <w:t>对修正后的报价予以确认</w:t>
            </w:r>
            <w:r>
              <w:rPr>
                <w:rFonts w:hint="eastAsia" w:asciiTheme="minorEastAsia" w:hAnsiTheme="minorEastAsia" w:eastAsiaTheme="minorEastAsia" w:cstheme="minorEastAsia"/>
                <w:color w:val="auto"/>
                <w:spacing w:val="2"/>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rPr>
              <w:t>（</w:t>
            </w:r>
            <w:r>
              <w:rPr>
                <w:rFonts w:hint="eastAsia" w:asciiTheme="minorEastAsia" w:hAnsiTheme="minorEastAsia" w:eastAsiaTheme="minorEastAsia" w:cstheme="minorEastAsia"/>
                <w:color w:val="auto"/>
                <w:spacing w:val="-2"/>
                <w:sz w:val="24"/>
                <w:szCs w:val="24"/>
                <w:highlight w:val="none"/>
              </w:rPr>
              <w:t>如有）</w:t>
            </w:r>
          </w:p>
        </w:tc>
      </w:tr>
      <w:tr w14:paraId="5234E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16FAECCB">
            <w:pPr>
              <w:pStyle w:val="26"/>
              <w:kinsoku/>
              <w:wordWrap w:val="0"/>
              <w:spacing w:line="304" w:lineRule="auto"/>
              <w:jc w:val="center"/>
              <w:rPr>
                <w:rFonts w:hint="eastAsia" w:asciiTheme="minorEastAsia" w:hAnsiTheme="minorEastAsia" w:eastAsiaTheme="minorEastAsia" w:cstheme="minorEastAsia"/>
                <w:color w:val="auto"/>
                <w:highlight w:val="none"/>
              </w:rPr>
            </w:pPr>
          </w:p>
          <w:p w14:paraId="335AF4D9">
            <w:pPr>
              <w:pStyle w:val="26"/>
              <w:kinsoku/>
              <w:wordWrap w:val="0"/>
              <w:spacing w:before="69" w:line="199"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8</w:t>
            </w:r>
          </w:p>
        </w:tc>
        <w:tc>
          <w:tcPr>
            <w:tcW w:w="1812" w:type="dxa"/>
          </w:tcPr>
          <w:p w14:paraId="436FFF26">
            <w:pPr>
              <w:pStyle w:val="26"/>
              <w:kinsoku/>
              <w:wordWrap w:val="0"/>
              <w:spacing w:line="271" w:lineRule="auto"/>
              <w:jc w:val="both"/>
              <w:rPr>
                <w:rFonts w:hint="eastAsia" w:asciiTheme="minorEastAsia" w:hAnsiTheme="minorEastAsia" w:eastAsiaTheme="minorEastAsia" w:cstheme="minorEastAsia"/>
                <w:color w:val="auto"/>
                <w:highlight w:val="none"/>
              </w:rPr>
            </w:pPr>
          </w:p>
          <w:p w14:paraId="3A9C383C">
            <w:pPr>
              <w:kinsoku/>
              <w:wordWrap w:val="0"/>
              <w:spacing w:before="78" w:line="219" w:lineRule="auto"/>
              <w:ind w:left="11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报价合理性</w:t>
            </w:r>
          </w:p>
        </w:tc>
        <w:tc>
          <w:tcPr>
            <w:tcW w:w="5791" w:type="dxa"/>
          </w:tcPr>
          <w:p w14:paraId="16263110">
            <w:pPr>
              <w:kinsoku/>
              <w:wordWrap w:val="0"/>
              <w:spacing w:before="41" w:line="228" w:lineRule="auto"/>
              <w:ind w:left="113" w:right="136"/>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报价合理，或投标人的报价明显低于其他通过符合性审查投标人的报价，有可能影响产品质量或者不能诚信履约的，能够应</w:t>
            </w:r>
            <w:r>
              <w:rPr>
                <w:rFonts w:hint="eastAsia" w:asciiTheme="minorEastAsia" w:hAnsiTheme="minorEastAsia" w:eastAsiaTheme="minorEastAsia" w:cstheme="minorEastAsia"/>
                <w:color w:val="auto"/>
                <w:spacing w:val="-3"/>
                <w:sz w:val="24"/>
                <w:szCs w:val="24"/>
                <w:highlight w:val="none"/>
                <w:lang w:eastAsia="zh-CN"/>
              </w:rPr>
              <w:t>评标委员会要求在规定时间内证明其报价合理性的。</w:t>
            </w:r>
          </w:p>
        </w:tc>
      </w:tr>
      <w:tr w14:paraId="0D12BA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685" w:type="dxa"/>
            <w:vAlign w:val="center"/>
          </w:tcPr>
          <w:p w14:paraId="53D226C7">
            <w:pPr>
              <w:pStyle w:val="26"/>
              <w:kinsoku/>
              <w:wordWrap w:val="0"/>
              <w:spacing w:before="69" w:line="199" w:lineRule="auto"/>
              <w:jc w:val="center"/>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9</w:t>
            </w:r>
          </w:p>
        </w:tc>
        <w:tc>
          <w:tcPr>
            <w:tcW w:w="1812" w:type="dxa"/>
            <w:vAlign w:val="center"/>
          </w:tcPr>
          <w:p w14:paraId="402675A3">
            <w:pPr>
              <w:kinsoku/>
              <w:wordWrap w:val="0"/>
              <w:spacing w:before="69" w:line="196" w:lineRule="auto"/>
              <w:ind w:left="122" w:right="129" w:hanging="7"/>
              <w:jc w:val="both"/>
              <w:rPr>
                <w:rFonts w:hint="eastAsia" w:asciiTheme="minorEastAsia" w:hAnsiTheme="minorEastAsia" w:eastAsiaTheme="minorEastAsia" w:cstheme="minorEastAsia"/>
                <w:color w:val="auto"/>
                <w:spacing w:val="-1"/>
                <w:sz w:val="24"/>
                <w:szCs w:val="24"/>
                <w:highlight w:val="none"/>
              </w:rPr>
            </w:pPr>
            <w:r>
              <w:rPr>
                <w:rFonts w:hint="eastAsia" w:asciiTheme="minorEastAsia" w:hAnsiTheme="minorEastAsia" w:eastAsiaTheme="minorEastAsia" w:cstheme="minorEastAsia"/>
                <w:color w:val="auto"/>
                <w:spacing w:val="-1"/>
                <w:sz w:val="24"/>
                <w:szCs w:val="24"/>
                <w:highlight w:val="none"/>
                <w:lang w:eastAsia="zh-CN"/>
              </w:rPr>
              <w:t>☑交货时间</w:t>
            </w:r>
          </w:p>
        </w:tc>
        <w:tc>
          <w:tcPr>
            <w:tcW w:w="5791" w:type="dxa"/>
            <w:vAlign w:val="center"/>
          </w:tcPr>
          <w:p w14:paraId="1E7BC3C9">
            <w:pPr>
              <w:kinsoku/>
              <w:wordWrap w:val="0"/>
              <w:spacing w:before="69" w:line="196" w:lineRule="auto"/>
              <w:ind w:left="122" w:right="129" w:hanging="7"/>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rPr>
              <w:t>是否符合招标要求</w:t>
            </w:r>
            <w:r>
              <w:rPr>
                <w:rFonts w:hint="eastAsia" w:asciiTheme="minorEastAsia" w:hAnsiTheme="minorEastAsia" w:eastAsiaTheme="minorEastAsia" w:cstheme="minorEastAsia"/>
                <w:color w:val="auto"/>
                <w:spacing w:val="-1"/>
                <w:sz w:val="24"/>
                <w:szCs w:val="24"/>
                <w:highlight w:val="none"/>
                <w:lang w:eastAsia="zh-CN"/>
              </w:rPr>
              <w:t>。</w:t>
            </w:r>
          </w:p>
        </w:tc>
      </w:tr>
      <w:tr w14:paraId="659D8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685" w:type="dxa"/>
            <w:vAlign w:val="center"/>
          </w:tcPr>
          <w:p w14:paraId="227B621A">
            <w:pPr>
              <w:pStyle w:val="26"/>
              <w:kinsoku/>
              <w:wordWrap w:val="0"/>
              <w:spacing w:before="69" w:line="199" w:lineRule="auto"/>
              <w:jc w:val="center"/>
              <w:rPr>
                <w:rFonts w:hint="eastAsia" w:asciiTheme="minorEastAsia" w:hAnsiTheme="minorEastAsia" w:eastAsiaTheme="minorEastAsia" w:cstheme="minorEastAsia"/>
                <w:color w:val="auto"/>
                <w:spacing w:val="5"/>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10</w:t>
            </w:r>
          </w:p>
        </w:tc>
        <w:tc>
          <w:tcPr>
            <w:tcW w:w="1812" w:type="dxa"/>
            <w:vAlign w:val="center"/>
          </w:tcPr>
          <w:p w14:paraId="726F3850">
            <w:pPr>
              <w:kinsoku/>
              <w:wordWrap w:val="0"/>
              <w:spacing w:before="78" w:line="219" w:lineRule="auto"/>
              <w:ind w:left="110"/>
              <w:jc w:val="both"/>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2"/>
                <w:sz w:val="24"/>
                <w:szCs w:val="24"/>
                <w:highlight w:val="none"/>
                <w:lang w:eastAsia="zh-CN"/>
              </w:rPr>
              <w:t>质保期</w:t>
            </w:r>
          </w:p>
        </w:tc>
        <w:tc>
          <w:tcPr>
            <w:tcW w:w="5791" w:type="dxa"/>
            <w:vAlign w:val="center"/>
          </w:tcPr>
          <w:p w14:paraId="2FD05019">
            <w:pPr>
              <w:kinsoku/>
              <w:wordWrap w:val="0"/>
              <w:spacing w:before="41" w:line="228" w:lineRule="auto"/>
              <w:ind w:left="113" w:right="136"/>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rPr>
              <w:t>是否符合招标要求</w:t>
            </w:r>
            <w:r>
              <w:rPr>
                <w:rFonts w:hint="eastAsia" w:asciiTheme="minorEastAsia" w:hAnsiTheme="minorEastAsia" w:eastAsiaTheme="minorEastAsia" w:cstheme="minorEastAsia"/>
                <w:color w:val="auto"/>
                <w:spacing w:val="-1"/>
                <w:sz w:val="24"/>
                <w:szCs w:val="24"/>
                <w:highlight w:val="none"/>
                <w:lang w:eastAsia="zh-CN"/>
              </w:rPr>
              <w:t>。</w:t>
            </w:r>
          </w:p>
        </w:tc>
      </w:tr>
      <w:tr w14:paraId="7CFB5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685" w:type="dxa"/>
            <w:vAlign w:val="center"/>
          </w:tcPr>
          <w:p w14:paraId="6821E88C">
            <w:pPr>
              <w:pStyle w:val="26"/>
              <w:kinsoku/>
              <w:wordWrap w:val="0"/>
              <w:spacing w:before="69" w:line="199"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11</w:t>
            </w:r>
          </w:p>
        </w:tc>
        <w:tc>
          <w:tcPr>
            <w:tcW w:w="1812" w:type="dxa"/>
          </w:tcPr>
          <w:p w14:paraId="77E33BB7">
            <w:pPr>
              <w:pStyle w:val="26"/>
              <w:kinsoku/>
              <w:wordWrap w:val="0"/>
              <w:spacing w:line="269" w:lineRule="auto"/>
              <w:jc w:val="both"/>
              <w:rPr>
                <w:rFonts w:hint="eastAsia" w:asciiTheme="minorEastAsia" w:hAnsiTheme="minorEastAsia" w:eastAsiaTheme="minorEastAsia" w:cstheme="minorEastAsia"/>
                <w:color w:val="auto"/>
                <w:highlight w:val="none"/>
              </w:rPr>
            </w:pPr>
          </w:p>
          <w:p w14:paraId="6376DB28">
            <w:pPr>
              <w:kinsoku/>
              <w:wordWrap w:val="0"/>
              <w:spacing w:before="78" w:line="220" w:lineRule="auto"/>
              <w:ind w:left="12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rPr>
              <w:t>公平竞争</w:t>
            </w:r>
          </w:p>
        </w:tc>
        <w:tc>
          <w:tcPr>
            <w:tcW w:w="5791" w:type="dxa"/>
          </w:tcPr>
          <w:p w14:paraId="61C27B26">
            <w:pPr>
              <w:kinsoku/>
              <w:wordWrap w:val="0"/>
              <w:spacing w:before="38" w:line="228" w:lineRule="auto"/>
              <w:ind w:left="113" w:right="136" w:firstLine="4"/>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投标人遵循公平竞争的原则，不存在恶意串通，妨碍其他投标人的竞争行为，不存在损害采购人或者其他投标人的合法权益</w:t>
            </w:r>
            <w:r>
              <w:rPr>
                <w:rFonts w:hint="eastAsia" w:asciiTheme="minorEastAsia" w:hAnsiTheme="minorEastAsia" w:eastAsiaTheme="minorEastAsia" w:cstheme="minorEastAsia"/>
                <w:color w:val="auto"/>
                <w:spacing w:val="-12"/>
                <w:sz w:val="24"/>
                <w:szCs w:val="24"/>
                <w:highlight w:val="none"/>
                <w:lang w:eastAsia="zh-CN"/>
              </w:rPr>
              <w:t>情形的。</w:t>
            </w:r>
          </w:p>
        </w:tc>
      </w:tr>
      <w:tr w14:paraId="04D9C9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vAlign w:val="center"/>
          </w:tcPr>
          <w:p w14:paraId="51470C99">
            <w:pPr>
              <w:pStyle w:val="26"/>
              <w:kinsoku/>
              <w:wordWrap w:val="0"/>
              <w:spacing w:before="69" w:line="199"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lang w:eastAsia="zh-CN"/>
              </w:rPr>
              <w:t>12</w:t>
            </w:r>
          </w:p>
        </w:tc>
        <w:tc>
          <w:tcPr>
            <w:tcW w:w="1812" w:type="dxa"/>
            <w:vAlign w:val="center"/>
          </w:tcPr>
          <w:p w14:paraId="2DBB2E10">
            <w:pPr>
              <w:kinsoku/>
              <w:wordWrap w:val="0"/>
              <w:spacing w:before="78" w:line="221" w:lineRule="auto"/>
              <w:ind w:left="13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串通投标</w:t>
            </w:r>
          </w:p>
        </w:tc>
        <w:tc>
          <w:tcPr>
            <w:tcW w:w="5791" w:type="dxa"/>
            <w:vMerge w:val="restart"/>
          </w:tcPr>
          <w:p w14:paraId="00E2E58C">
            <w:pPr>
              <w:kinsoku/>
              <w:wordWrap w:val="0"/>
              <w:spacing w:before="42" w:line="234" w:lineRule="auto"/>
              <w:ind w:left="113" w:right="2" w:firstLine="5"/>
              <w:jc w:val="both"/>
              <w:rPr>
                <w:rFonts w:hint="eastAsia" w:asciiTheme="minorEastAsia" w:hAnsiTheme="minorEastAsia" w:eastAsiaTheme="minorEastAsia" w:cstheme="minorEastAsia"/>
                <w:color w:val="auto"/>
                <w:spacing w:val="-19"/>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不存在《政府采购货物和服务招标投标管理办法》视为投标人</w:t>
            </w:r>
            <w:r>
              <w:rPr>
                <w:rFonts w:hint="eastAsia" w:asciiTheme="minorEastAsia" w:hAnsiTheme="minorEastAsia" w:eastAsiaTheme="minorEastAsia" w:cstheme="minorEastAsia"/>
                <w:color w:val="auto"/>
                <w:spacing w:val="-7"/>
                <w:sz w:val="24"/>
                <w:szCs w:val="24"/>
                <w:highlight w:val="none"/>
                <w:lang w:eastAsia="zh-CN"/>
              </w:rPr>
              <w:t>串通投标的情形</w:t>
            </w:r>
            <w:r>
              <w:rPr>
                <w:rFonts w:hint="eastAsia" w:asciiTheme="minorEastAsia" w:hAnsiTheme="minorEastAsia" w:eastAsiaTheme="minorEastAsia" w:cstheme="minorEastAsia"/>
                <w:color w:val="auto"/>
                <w:spacing w:val="-19"/>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eastAsia="zh-CN"/>
              </w:rPr>
              <w:t>一）不同投标人的投标文件由同一单位或者</w:t>
            </w:r>
            <w:r>
              <w:rPr>
                <w:rFonts w:hint="eastAsia" w:asciiTheme="minorEastAsia" w:hAnsiTheme="minorEastAsia" w:eastAsiaTheme="minorEastAsia" w:cstheme="minorEastAsia"/>
                <w:color w:val="auto"/>
                <w:spacing w:val="-8"/>
                <w:sz w:val="24"/>
                <w:szCs w:val="24"/>
                <w:highlight w:val="none"/>
                <w:lang w:eastAsia="zh-CN"/>
              </w:rPr>
              <w:t>个人编制</w:t>
            </w:r>
            <w:r>
              <w:rPr>
                <w:rFonts w:hint="eastAsia" w:asciiTheme="minorEastAsia" w:hAnsiTheme="minorEastAsia" w:eastAsiaTheme="minorEastAsia" w:cstheme="minorEastAsia"/>
                <w:color w:val="auto"/>
                <w:spacing w:val="-31"/>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eastAsia="zh-CN"/>
              </w:rPr>
              <w:t>二）不同投标人委托同一单位或者个人办</w:t>
            </w:r>
            <w:r>
              <w:rPr>
                <w:rFonts w:hint="eastAsia" w:asciiTheme="minorEastAsia" w:hAnsiTheme="minorEastAsia" w:eastAsiaTheme="minorEastAsia" w:cstheme="minorEastAsia"/>
                <w:color w:val="auto"/>
                <w:spacing w:val="-9"/>
                <w:sz w:val="24"/>
                <w:szCs w:val="24"/>
                <w:highlight w:val="none"/>
                <w:lang w:eastAsia="zh-CN"/>
              </w:rPr>
              <w:t>理投标事</w:t>
            </w:r>
            <w:r>
              <w:rPr>
                <w:rFonts w:hint="eastAsia" w:asciiTheme="minorEastAsia" w:hAnsiTheme="minorEastAsia" w:eastAsiaTheme="minorEastAsia" w:cstheme="minorEastAsia"/>
                <w:color w:val="auto"/>
                <w:spacing w:val="-6"/>
                <w:sz w:val="24"/>
                <w:szCs w:val="24"/>
                <w:highlight w:val="none"/>
                <w:lang w:eastAsia="zh-CN"/>
              </w:rPr>
              <w:t>宜</w:t>
            </w:r>
            <w:r>
              <w:rPr>
                <w:rFonts w:hint="eastAsia" w:asciiTheme="minorEastAsia" w:hAnsiTheme="minorEastAsia" w:eastAsiaTheme="minorEastAsia" w:cstheme="minorEastAsia"/>
                <w:color w:val="auto"/>
                <w:spacing w:val="-59"/>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lang w:eastAsia="zh-CN"/>
              </w:rPr>
              <w:t>三）不同投标人的投标文件载明的项目管理成员或者联系人员为同一人</w:t>
            </w:r>
            <w:r>
              <w:rPr>
                <w:rFonts w:hint="eastAsia" w:asciiTheme="minorEastAsia" w:hAnsiTheme="minorEastAsia" w:eastAsiaTheme="minorEastAsia" w:cstheme="minorEastAsia"/>
                <w:color w:val="auto"/>
                <w:spacing w:val="-57"/>
                <w:sz w:val="24"/>
                <w:szCs w:val="24"/>
                <w:highlight w:val="none"/>
                <w:lang w:eastAsia="zh-CN"/>
              </w:rPr>
              <w:t>；（</w:t>
            </w:r>
            <w:r>
              <w:rPr>
                <w:rFonts w:hint="eastAsia" w:asciiTheme="minorEastAsia" w:hAnsiTheme="minorEastAsia" w:eastAsiaTheme="minorEastAsia" w:cstheme="minorEastAsia"/>
                <w:color w:val="auto"/>
                <w:spacing w:val="-6"/>
                <w:sz w:val="24"/>
                <w:szCs w:val="24"/>
                <w:highlight w:val="none"/>
                <w:lang w:eastAsia="zh-CN"/>
              </w:rPr>
              <w:t>四）不同投标人的投标文件异常一</w:t>
            </w:r>
            <w:r>
              <w:rPr>
                <w:rFonts w:hint="eastAsia" w:asciiTheme="minorEastAsia" w:hAnsiTheme="minorEastAsia" w:eastAsiaTheme="minorEastAsia" w:cstheme="minorEastAsia"/>
                <w:color w:val="auto"/>
                <w:spacing w:val="-7"/>
                <w:sz w:val="24"/>
                <w:szCs w:val="24"/>
                <w:highlight w:val="none"/>
                <w:lang w:eastAsia="zh-CN"/>
              </w:rPr>
              <w:t>致或者投标</w:t>
            </w:r>
            <w:r>
              <w:rPr>
                <w:rFonts w:hint="eastAsia" w:asciiTheme="minorEastAsia" w:hAnsiTheme="minorEastAsia" w:eastAsiaTheme="minorEastAsia" w:cstheme="minorEastAsia"/>
                <w:color w:val="auto"/>
                <w:spacing w:val="-18"/>
                <w:sz w:val="24"/>
                <w:szCs w:val="24"/>
                <w:highlight w:val="none"/>
                <w:lang w:eastAsia="zh-CN"/>
              </w:rPr>
              <w:t>报价呈规律性差异</w:t>
            </w:r>
            <w:r>
              <w:rPr>
                <w:rFonts w:hint="eastAsia" w:asciiTheme="minorEastAsia" w:hAnsiTheme="minorEastAsia" w:eastAsiaTheme="minorEastAsia" w:cstheme="minorEastAsia"/>
                <w:color w:val="auto"/>
                <w:spacing w:val="-32"/>
                <w:sz w:val="24"/>
                <w:szCs w:val="24"/>
                <w:highlight w:val="none"/>
                <w:lang w:eastAsia="zh-CN"/>
              </w:rPr>
              <w:t>；（</w:t>
            </w:r>
            <w:r>
              <w:rPr>
                <w:rFonts w:hint="eastAsia" w:asciiTheme="minorEastAsia" w:hAnsiTheme="minorEastAsia" w:eastAsiaTheme="minorEastAsia" w:cstheme="minorEastAsia"/>
                <w:color w:val="auto"/>
                <w:spacing w:val="-18"/>
                <w:sz w:val="24"/>
                <w:szCs w:val="24"/>
                <w:highlight w:val="none"/>
                <w:lang w:eastAsia="zh-CN"/>
              </w:rPr>
              <w:t>五）不同投标人的投标文件相互混装</w:t>
            </w:r>
            <w:r>
              <w:rPr>
                <w:rFonts w:hint="eastAsia" w:asciiTheme="minorEastAsia" w:hAnsiTheme="minorEastAsia" w:eastAsiaTheme="minorEastAsia" w:cstheme="minorEastAsia"/>
                <w:color w:val="auto"/>
                <w:spacing w:val="-32"/>
                <w:sz w:val="24"/>
                <w:szCs w:val="24"/>
                <w:highlight w:val="none"/>
                <w:lang w:eastAsia="zh-CN"/>
              </w:rPr>
              <w:t>；（</w:t>
            </w:r>
            <w:r>
              <w:rPr>
                <w:rFonts w:hint="eastAsia" w:asciiTheme="minorEastAsia" w:hAnsiTheme="minorEastAsia" w:eastAsiaTheme="minorEastAsia" w:cstheme="minorEastAsia"/>
                <w:color w:val="auto"/>
                <w:spacing w:val="-18"/>
                <w:sz w:val="24"/>
                <w:szCs w:val="24"/>
                <w:highlight w:val="none"/>
                <w:lang w:eastAsia="zh-CN"/>
              </w:rPr>
              <w:t>六）</w:t>
            </w:r>
            <w:r>
              <w:rPr>
                <w:rFonts w:hint="eastAsia" w:asciiTheme="minorEastAsia" w:hAnsiTheme="minorEastAsia" w:eastAsiaTheme="minorEastAsia" w:cstheme="minorEastAsia"/>
                <w:color w:val="auto"/>
                <w:spacing w:val="-1"/>
                <w:sz w:val="24"/>
                <w:szCs w:val="24"/>
                <w:highlight w:val="none"/>
                <w:lang w:eastAsia="zh-CN"/>
              </w:rPr>
              <w:t>不同投标人的投标保证金从同一单位或者个人的账户转出；不存在南阳市财政局关于防范供应商串通投标促进政府采购公平竞争的通知（宛财购〔2022〕3号）投标人</w:t>
            </w:r>
            <w:r>
              <w:rPr>
                <w:rFonts w:hint="eastAsia" w:asciiTheme="minorEastAsia" w:hAnsiTheme="minorEastAsia" w:eastAsiaTheme="minorEastAsia" w:cstheme="minorEastAsia"/>
                <w:color w:val="auto"/>
                <w:spacing w:val="-7"/>
                <w:sz w:val="24"/>
                <w:szCs w:val="24"/>
                <w:highlight w:val="none"/>
                <w:lang w:eastAsia="zh-CN"/>
              </w:rPr>
              <w:t>串通投标的情形</w:t>
            </w:r>
            <w:r>
              <w:rPr>
                <w:rFonts w:hint="eastAsia" w:asciiTheme="minorEastAsia" w:hAnsiTheme="minorEastAsia" w:eastAsiaTheme="minorEastAsia" w:cstheme="minorEastAsia"/>
                <w:color w:val="auto"/>
                <w:spacing w:val="-19"/>
                <w:sz w:val="24"/>
                <w:szCs w:val="24"/>
                <w:highlight w:val="none"/>
                <w:lang w:eastAsia="zh-CN"/>
              </w:rPr>
              <w:t>：</w:t>
            </w:r>
          </w:p>
          <w:p w14:paraId="1B8CD526">
            <w:pPr>
              <w:kinsoku/>
              <w:wordWrap w:val="0"/>
              <w:spacing w:line="234" w:lineRule="auto"/>
              <w:ind w:firstLine="5"/>
              <w:jc w:val="both"/>
              <w:rPr>
                <w:rFonts w:hint="eastAsia" w:asciiTheme="minorEastAsia" w:hAnsiTheme="minorEastAsia" w:eastAsiaTheme="minorEastAsia" w:cstheme="minorEastAsia"/>
                <w:color w:val="auto"/>
                <w:spacing w:val="-1"/>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一）不同供应商的电子投标（响应）文件上传的计算机网卡MAC地址、CPU序列号和硬盘序列号等硬件信息相同的；（二）不同供应商的投标（响应）文件由同一电子设备编制、打印、加密或上传；（三）不同供应商的投标（响应）文件由同一电子设备打印、复印；（四）不同供应商的投标（响应）文件由同一人送达或分发，或者不同供应商的联系人为同一人或不同联系人的联系电话一致的；（五）不同供应商的投标（响应）文件内容存在两处以上细节错误一致；（六）不同供应商的法定代表人、委托代理人、项目经理、项目负责人等由同一单位缴纳社会保险或者领取报酬的；（七）不同供应商投标（响应）文件中的法定代表人或负责人签名出自同一人之手；（八）其他涉嫌串通的情形。</w:t>
            </w:r>
          </w:p>
        </w:tc>
      </w:tr>
      <w:tr w14:paraId="392C6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2" w:hRule="atLeast"/>
        </w:trPr>
        <w:tc>
          <w:tcPr>
            <w:tcW w:w="685" w:type="dxa"/>
          </w:tcPr>
          <w:p w14:paraId="32142FC5">
            <w:pPr>
              <w:pStyle w:val="26"/>
              <w:kinsoku/>
              <w:wordWrap w:val="0"/>
              <w:spacing w:before="69" w:line="199" w:lineRule="auto"/>
              <w:jc w:val="center"/>
              <w:rPr>
                <w:rFonts w:hint="eastAsia" w:asciiTheme="minorEastAsia" w:hAnsiTheme="minorEastAsia" w:eastAsiaTheme="minorEastAsia" w:cstheme="minorEastAsia"/>
                <w:color w:val="auto"/>
                <w:spacing w:val="5"/>
                <w:sz w:val="24"/>
                <w:szCs w:val="24"/>
                <w:highlight w:val="none"/>
                <w:lang w:eastAsia="zh-CN"/>
              </w:rPr>
            </w:pPr>
          </w:p>
        </w:tc>
        <w:tc>
          <w:tcPr>
            <w:tcW w:w="1812" w:type="dxa"/>
          </w:tcPr>
          <w:p w14:paraId="4B7968DA">
            <w:pPr>
              <w:kinsoku/>
              <w:wordWrap w:val="0"/>
              <w:spacing w:before="78" w:line="221" w:lineRule="auto"/>
              <w:ind w:left="134"/>
              <w:jc w:val="both"/>
              <w:rPr>
                <w:rFonts w:hint="eastAsia" w:asciiTheme="minorEastAsia" w:hAnsiTheme="minorEastAsia" w:eastAsiaTheme="minorEastAsia" w:cstheme="minorEastAsia"/>
                <w:color w:val="auto"/>
                <w:spacing w:val="-6"/>
                <w:sz w:val="24"/>
                <w:szCs w:val="24"/>
                <w:highlight w:val="none"/>
                <w:lang w:eastAsia="zh-CN"/>
              </w:rPr>
            </w:pPr>
          </w:p>
        </w:tc>
        <w:tc>
          <w:tcPr>
            <w:tcW w:w="5791" w:type="dxa"/>
            <w:vMerge w:val="continue"/>
          </w:tcPr>
          <w:p w14:paraId="0BB851F2">
            <w:pPr>
              <w:pStyle w:val="16"/>
              <w:shd w:val="clear" w:color="auto" w:fill="FFFFFF"/>
              <w:kinsoku/>
              <w:wordWrap w:val="0"/>
              <w:spacing w:beforeAutospacing="0" w:afterAutospacing="0"/>
              <w:jc w:val="both"/>
              <w:rPr>
                <w:rFonts w:hint="eastAsia" w:asciiTheme="minorEastAsia" w:hAnsiTheme="minorEastAsia" w:eastAsiaTheme="minorEastAsia" w:cstheme="minorEastAsia"/>
                <w:color w:val="auto"/>
                <w:spacing w:val="-1"/>
                <w:szCs w:val="24"/>
                <w:highlight w:val="none"/>
              </w:rPr>
            </w:pPr>
          </w:p>
        </w:tc>
      </w:tr>
      <w:tr w14:paraId="3E266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0" w:hRule="atLeast"/>
        </w:trPr>
        <w:tc>
          <w:tcPr>
            <w:tcW w:w="685" w:type="dxa"/>
          </w:tcPr>
          <w:p w14:paraId="782535B6">
            <w:pPr>
              <w:pStyle w:val="26"/>
              <w:kinsoku/>
              <w:wordWrap w:val="0"/>
              <w:spacing w:before="248" w:line="202"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1</w:t>
            </w:r>
            <w:r>
              <w:rPr>
                <w:rFonts w:hint="eastAsia" w:asciiTheme="minorEastAsia" w:hAnsiTheme="minorEastAsia" w:eastAsiaTheme="minorEastAsia" w:cstheme="minorEastAsia"/>
                <w:color w:val="auto"/>
                <w:spacing w:val="5"/>
                <w:sz w:val="24"/>
                <w:szCs w:val="24"/>
                <w:highlight w:val="none"/>
                <w:lang w:eastAsia="zh-CN"/>
              </w:rPr>
              <w:t>3</w:t>
            </w:r>
          </w:p>
        </w:tc>
        <w:tc>
          <w:tcPr>
            <w:tcW w:w="1812" w:type="dxa"/>
          </w:tcPr>
          <w:p w14:paraId="468A7F01">
            <w:pPr>
              <w:kinsoku/>
              <w:wordWrap w:val="0"/>
              <w:spacing w:before="228" w:line="219" w:lineRule="auto"/>
              <w:ind w:left="131"/>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6"/>
                <w:sz w:val="24"/>
                <w:szCs w:val="24"/>
                <w:highlight w:val="none"/>
              </w:rPr>
              <w:t>附加条件</w:t>
            </w:r>
          </w:p>
        </w:tc>
        <w:tc>
          <w:tcPr>
            <w:tcW w:w="5791" w:type="dxa"/>
          </w:tcPr>
          <w:p w14:paraId="4A3714D1">
            <w:pPr>
              <w:kinsoku/>
              <w:wordWrap w:val="0"/>
              <w:spacing w:before="228" w:line="219" w:lineRule="auto"/>
              <w:ind w:left="11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投标文件未含有采购人不能接受的附加条件</w:t>
            </w:r>
            <w:r>
              <w:rPr>
                <w:rFonts w:hint="eastAsia" w:asciiTheme="minorEastAsia" w:hAnsiTheme="minorEastAsia" w:eastAsiaTheme="minorEastAsia" w:cstheme="minorEastAsia"/>
                <w:color w:val="auto"/>
                <w:spacing w:val="-4"/>
                <w:sz w:val="24"/>
                <w:szCs w:val="24"/>
                <w:highlight w:val="none"/>
                <w:lang w:eastAsia="zh-CN"/>
              </w:rPr>
              <w:t>的。</w:t>
            </w:r>
          </w:p>
        </w:tc>
      </w:tr>
      <w:tr w14:paraId="64E78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685" w:type="dxa"/>
          </w:tcPr>
          <w:p w14:paraId="631929B1">
            <w:pPr>
              <w:pStyle w:val="26"/>
              <w:kinsoku/>
              <w:wordWrap w:val="0"/>
              <w:spacing w:before="252" w:line="199"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5"/>
                <w:sz w:val="24"/>
                <w:szCs w:val="24"/>
                <w:highlight w:val="none"/>
              </w:rPr>
              <w:t>1</w:t>
            </w:r>
            <w:r>
              <w:rPr>
                <w:rFonts w:hint="eastAsia" w:asciiTheme="minorEastAsia" w:hAnsiTheme="minorEastAsia" w:eastAsiaTheme="minorEastAsia" w:cstheme="minorEastAsia"/>
                <w:color w:val="auto"/>
                <w:spacing w:val="5"/>
                <w:sz w:val="24"/>
                <w:szCs w:val="24"/>
                <w:highlight w:val="none"/>
                <w:lang w:eastAsia="zh-CN"/>
              </w:rPr>
              <w:t>4</w:t>
            </w:r>
          </w:p>
        </w:tc>
        <w:tc>
          <w:tcPr>
            <w:tcW w:w="1812" w:type="dxa"/>
          </w:tcPr>
          <w:p w14:paraId="576164AF">
            <w:pPr>
              <w:kinsoku/>
              <w:wordWrap w:val="0"/>
              <w:spacing w:before="226" w:line="221" w:lineRule="auto"/>
              <w:ind w:left="113"/>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rPr>
              <w:t>其他无效情形</w:t>
            </w:r>
          </w:p>
        </w:tc>
        <w:tc>
          <w:tcPr>
            <w:tcW w:w="5791" w:type="dxa"/>
          </w:tcPr>
          <w:p w14:paraId="4E60714E">
            <w:pPr>
              <w:kinsoku/>
              <w:wordWrap w:val="0"/>
              <w:spacing w:before="74" w:line="229" w:lineRule="auto"/>
              <w:ind w:left="115" w:right="136" w:firstLine="1"/>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投标人、投标文件不存在不符合法律、法规和招标文件规定的</w:t>
            </w:r>
            <w:r>
              <w:rPr>
                <w:rFonts w:hint="eastAsia" w:asciiTheme="minorEastAsia" w:hAnsiTheme="minorEastAsia" w:eastAsiaTheme="minorEastAsia" w:cstheme="minorEastAsia"/>
                <w:color w:val="auto"/>
                <w:spacing w:val="-6"/>
                <w:sz w:val="24"/>
                <w:szCs w:val="24"/>
                <w:highlight w:val="none"/>
                <w:lang w:eastAsia="zh-CN"/>
              </w:rPr>
              <w:t>其他无效情形。</w:t>
            </w:r>
          </w:p>
        </w:tc>
      </w:tr>
    </w:tbl>
    <w:p w14:paraId="22439AAC">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2.技术审查</w:t>
      </w:r>
    </w:p>
    <w:p w14:paraId="16916B70">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☑货物类，审查投标</w:t>
      </w:r>
      <w:r>
        <w:rPr>
          <w:rFonts w:hint="eastAsia" w:asciiTheme="minorEastAsia" w:hAnsiTheme="minorEastAsia" w:eastAsiaTheme="minorEastAsia" w:cstheme="minorEastAsia"/>
          <w:color w:val="auto"/>
          <w:spacing w:val="2"/>
          <w:position w:val="17"/>
          <w:sz w:val="24"/>
          <w:szCs w:val="24"/>
          <w:highlight w:val="none"/>
          <w:lang w:val="en-US" w:eastAsia="zh-CN"/>
        </w:rPr>
        <w:t>人提供</w:t>
      </w:r>
      <w:r>
        <w:rPr>
          <w:rFonts w:hint="eastAsia" w:asciiTheme="minorEastAsia" w:hAnsiTheme="minorEastAsia" w:eastAsiaTheme="minorEastAsia" w:cstheme="minorEastAsia"/>
          <w:color w:val="auto"/>
          <w:spacing w:val="2"/>
          <w:position w:val="17"/>
          <w:sz w:val="24"/>
          <w:szCs w:val="24"/>
          <w:highlight w:val="none"/>
          <w:lang w:eastAsia="zh-CN"/>
        </w:rPr>
        <w:t>的安全实施方案、安装调试方案、供货方案等是否符合招标要求。</w:t>
      </w:r>
    </w:p>
    <w:p w14:paraId="415409CA">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3.评标委员会将通过审查确定每一投标人是否对招标文件做出了实质性响应</w:t>
      </w:r>
    </w:p>
    <w:p w14:paraId="500855FC">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实质性响应的投标是指投标符合招标文件的所有条款、条件和要求，而无重大偏离和保留。重大偏离和保留是指影响到招标文件规定的范围、质量和性能，或限制了采购人的权利和投标人的义务的规定，而纠正这些偏差将影响到其它提交实质性响应投标的投标人的公平竞争地位。评标委员会判断投标文件的响应性仅基于投标文件本身内容而不靠外部证据。评标委员会将拒绝被确定为非实质性响应的投标人，投标人不得通过修正或撤销不符之处而使其投标成为实质性响应的投标。</w:t>
      </w:r>
    </w:p>
    <w:p w14:paraId="6AD788F3">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4.投标文件的澄清</w:t>
      </w:r>
    </w:p>
    <w:p w14:paraId="69ADBB66">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4.1 为了有助于对投标文件进行审查、评估和比较，评标委员会有权向投标人质疑，请投标人澄清、说明或补正其投标内容。投标人须按照采购人或采购代理机构通知的时间、地点、方式指派法定代表人（负责人）或授权代表进行澄清、说明或补正。</w:t>
      </w:r>
    </w:p>
    <w:p w14:paraId="48FB3243">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4.2 澄清、说明或补正要求。对投标文件中含义不明确、同类问题表述不一致或者有明显文字和计算错误的内容，评标委员会应当以书面形式要求投标人作出必要的澄清、说明或补正。投标人的澄清、说明或者补正应当采用书面形式，由其法定代表人（负责人）或授权代表签字，并不得超出投标文件的范围或者改变投标文件的实质性内容。</w:t>
      </w:r>
    </w:p>
    <w:p w14:paraId="67C417FE">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4.3 投标人的澄清、说明或补正文件是投标文件的组成部分，并取代投标文件中被澄清、说明或补正的部分。</w:t>
      </w:r>
    </w:p>
    <w:p w14:paraId="68D95B70">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p>
    <w:p w14:paraId="7595D4AA">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五.评标方法和评标标准</w:t>
      </w:r>
    </w:p>
    <w:p w14:paraId="100C7D10">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1.本项目采用的评标方法为：</w:t>
      </w:r>
    </w:p>
    <w:p w14:paraId="4A2699AA">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5E1FA34">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多家投标人提供的核心产品品牌相同且通过资格审查、符合性审查的，按一家投标人计算，评审后得分最高的同品牌投标人获得中标人推荐。</w:t>
      </w:r>
    </w:p>
    <w:p w14:paraId="5F9E7652">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2.非政府强制采购的节能产品或环境标志产品，依据品目清单和认证证书实施政府优先采购。优先采购的具体规定（如涉及）。</w:t>
      </w:r>
    </w:p>
    <w:p w14:paraId="5D2E11A9">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3.关于无线局域网认证产品政府采购清单中的产品，优先采购的具体规定（如涉及）。</w:t>
      </w:r>
    </w:p>
    <w:p w14:paraId="4B68737C">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4.确定中标候选人名单</w:t>
      </w:r>
    </w:p>
    <w:p w14:paraId="012335E4">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4.1 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ED71723">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□随机抽取</w:t>
      </w:r>
    </w:p>
    <w:p w14:paraId="5C9F731B">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☑其他方式，具体要求：</w:t>
      </w:r>
      <w:r>
        <w:rPr>
          <w:rFonts w:hint="eastAsia" w:asciiTheme="minorEastAsia" w:hAnsiTheme="minorEastAsia" w:eastAsiaTheme="minorEastAsia" w:cstheme="minorEastAsia"/>
          <w:color w:val="auto"/>
          <w:spacing w:val="2"/>
          <w:position w:val="17"/>
          <w:sz w:val="24"/>
          <w:szCs w:val="24"/>
          <w:highlight w:val="none"/>
          <w:u w:val="single"/>
          <w:lang w:eastAsia="zh-CN"/>
        </w:rPr>
        <w:t xml:space="preserve"> 优先选择报价低的 。</w:t>
      </w:r>
    </w:p>
    <w:p w14:paraId="6C0FAC7F">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4.2 采用综合评分法时，投标人的排名按得分顺序从高到低排列；得分相同的，按投标报价由低到高顺序排列；得分且投标报价相同的，按技术指标优劣顺序排列。</w:t>
      </w:r>
    </w:p>
    <w:p w14:paraId="30596E3D">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4.3 采用最低评标价法时，评标结果按照投标报价由低到高顺序排列。投标报价相同的并列。投标文件满足招标文件全部实质性要求且投标报价最低的投标人为排名第一的中标候选人。</w:t>
      </w:r>
    </w:p>
    <w:p w14:paraId="71E6D56D">
      <w:pPr>
        <w:pStyle w:val="6"/>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4.4 评标委员会要对评分汇总情况进行复核，特别是对排名第一的、报价最低的、投标文件被认定为无效的情形进行重点复核。</w:t>
      </w:r>
    </w:p>
    <w:p w14:paraId="3F96AA70">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4.5 评标委员会将根据各投标人的评标排序，依次推荐本项目（各采购包）的中标候选人，起草并签署评标报告。本项目（采购包）评标委员会共推荐</w:t>
      </w:r>
      <w:r>
        <w:rPr>
          <w:rFonts w:hint="eastAsia" w:asciiTheme="minorEastAsia" w:hAnsiTheme="minorEastAsia" w:eastAsiaTheme="minorEastAsia" w:cstheme="minorEastAsia"/>
          <w:color w:val="auto"/>
          <w:spacing w:val="2"/>
          <w:position w:val="17"/>
          <w:sz w:val="24"/>
          <w:szCs w:val="24"/>
          <w:highlight w:val="none"/>
          <w:u w:val="single"/>
          <w:lang w:eastAsia="zh-CN"/>
        </w:rPr>
        <w:t xml:space="preserve"> 3 </w:t>
      </w:r>
      <w:r>
        <w:rPr>
          <w:rFonts w:hint="eastAsia" w:asciiTheme="minorEastAsia" w:hAnsiTheme="minorEastAsia" w:eastAsiaTheme="minorEastAsia" w:cstheme="minorEastAsia"/>
          <w:color w:val="auto"/>
          <w:spacing w:val="2"/>
          <w:position w:val="17"/>
          <w:sz w:val="24"/>
          <w:szCs w:val="24"/>
          <w:highlight w:val="none"/>
          <w:lang w:eastAsia="zh-CN"/>
        </w:rPr>
        <w:t>名中标候选人。</w:t>
      </w:r>
    </w:p>
    <w:p w14:paraId="12155DA3">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5.报告违法行为</w:t>
      </w:r>
    </w:p>
    <w:p w14:paraId="58B5EC9D">
      <w:pPr>
        <w:pStyle w:val="6"/>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评标委员会在评标过程中发现投标人有行贿、提供虚假材料或者串通等违法行为时，有向采购人、采购代理机构或者有关部门报告的职责。</w:t>
      </w:r>
    </w:p>
    <w:p w14:paraId="564317EE">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6.确定中标人</w:t>
      </w:r>
    </w:p>
    <w:p w14:paraId="19D04BF8">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☑采购人应当在收到评标报告之日起5个工作日内，在评标报告确定的中标候选人名单中按顺序确定中标人。</w:t>
      </w:r>
    </w:p>
    <w:p w14:paraId="66FF1E97">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7.投标人存在下列情况之一的，投标无效：</w:t>
      </w:r>
    </w:p>
    <w:p w14:paraId="64457B38">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（1）投标文件未按招标文件要求签署、盖章的；</w:t>
      </w:r>
    </w:p>
    <w:p w14:paraId="5894F08E">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（2）不具备招标文件中规定的资格要求的；</w:t>
      </w:r>
    </w:p>
    <w:p w14:paraId="64DD4FED">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（3）报价超过招标文件中规定的预算金额或者最高限价的；</w:t>
      </w:r>
    </w:p>
    <w:p w14:paraId="195016DC">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（4）投标文件含有采购人不能接受的附加条件的；</w:t>
      </w:r>
    </w:p>
    <w:p w14:paraId="3089AEA5">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（5）不符合应提交投标文件资料数量要求的；</w:t>
      </w:r>
    </w:p>
    <w:p w14:paraId="2CFDB6AD">
      <w:pPr>
        <w:widowControl w:val="0"/>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（6）开标解密时未在规定时间（30分钟）内进行解密成功的视为撤销其投标文件（因电子开标系统原因除外）；</w:t>
      </w:r>
    </w:p>
    <w:p w14:paraId="1C55D04F">
      <w:pPr>
        <w:widowControl w:val="0"/>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（7）电子投标文件未使用CA认证并加密的；</w:t>
      </w:r>
    </w:p>
    <w:p w14:paraId="232528CA">
      <w:pPr>
        <w:widowControl w:val="0"/>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（8）未在投标截止时间前完成上传的；</w:t>
      </w:r>
    </w:p>
    <w:p w14:paraId="639A88CD">
      <w:pPr>
        <w:widowControl w:val="0"/>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（9）法律、法规和招标文件规定的其他无效情形；</w:t>
      </w:r>
    </w:p>
    <w:p w14:paraId="3A7EFBE3">
      <w:pPr>
        <w:pStyle w:val="13"/>
        <w:ind w:firstLine="490" w:firstLineChars="200"/>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（10）</w:t>
      </w:r>
      <w:r>
        <w:rPr>
          <w:rFonts w:asciiTheme="minorEastAsia" w:hAnsiTheme="minorEastAsia" w:eastAsiaTheme="minorEastAsia" w:cstheme="minorEastAsia"/>
          <w:b/>
          <w:bCs/>
          <w:color w:val="auto"/>
          <w:spacing w:val="2"/>
          <w:position w:val="17"/>
          <w:sz w:val="24"/>
          <w:szCs w:val="24"/>
          <w:highlight w:val="none"/>
          <w:lang w:eastAsia="zh-CN"/>
        </w:rPr>
        <w:t>未按</w:t>
      </w:r>
      <w:r>
        <w:rPr>
          <w:rFonts w:hint="eastAsia" w:asciiTheme="minorEastAsia" w:hAnsiTheme="minorEastAsia" w:eastAsiaTheme="minorEastAsia" w:cstheme="minorEastAsia"/>
          <w:b/>
          <w:bCs/>
          <w:color w:val="auto"/>
          <w:spacing w:val="2"/>
          <w:position w:val="17"/>
          <w:sz w:val="24"/>
          <w:szCs w:val="24"/>
          <w:highlight w:val="none"/>
          <w:lang w:eastAsia="zh-CN"/>
        </w:rPr>
        <w:t>“</w:t>
      </w:r>
      <w:r>
        <w:rPr>
          <w:rFonts w:asciiTheme="minorEastAsia" w:hAnsiTheme="minorEastAsia" w:eastAsiaTheme="minorEastAsia" w:cstheme="minorEastAsia"/>
          <w:b/>
          <w:bCs/>
          <w:color w:val="auto"/>
          <w:spacing w:val="2"/>
          <w:position w:val="17"/>
          <w:sz w:val="24"/>
          <w:szCs w:val="24"/>
          <w:highlight w:val="none"/>
          <w:lang w:eastAsia="zh-CN"/>
        </w:rPr>
        <w:t>暗标</w:t>
      </w:r>
      <w:r>
        <w:rPr>
          <w:rFonts w:hint="eastAsia" w:asciiTheme="minorEastAsia" w:hAnsiTheme="minorEastAsia" w:eastAsiaTheme="minorEastAsia" w:cstheme="minorEastAsia"/>
          <w:b/>
          <w:bCs/>
          <w:color w:val="auto"/>
          <w:spacing w:val="2"/>
          <w:position w:val="17"/>
          <w:sz w:val="24"/>
          <w:szCs w:val="24"/>
          <w:highlight w:val="none"/>
          <w:lang w:eastAsia="zh-CN"/>
        </w:rPr>
        <w:t>”</w:t>
      </w:r>
      <w:r>
        <w:rPr>
          <w:rFonts w:asciiTheme="minorEastAsia" w:hAnsiTheme="minorEastAsia" w:eastAsiaTheme="minorEastAsia" w:cstheme="minorEastAsia"/>
          <w:b/>
          <w:bCs/>
          <w:color w:val="auto"/>
          <w:spacing w:val="2"/>
          <w:position w:val="17"/>
          <w:sz w:val="24"/>
          <w:szCs w:val="24"/>
          <w:highlight w:val="none"/>
          <w:lang w:eastAsia="zh-CN"/>
        </w:rPr>
        <w:t>要求编写技术或方案部分的</w:t>
      </w:r>
      <w:r>
        <w:rPr>
          <w:rFonts w:hint="eastAsia" w:asciiTheme="minorEastAsia" w:hAnsiTheme="minorEastAsia" w:eastAsiaTheme="minorEastAsia" w:cstheme="minorEastAsia"/>
          <w:b/>
          <w:bCs/>
          <w:color w:val="auto"/>
          <w:spacing w:val="2"/>
          <w:position w:val="17"/>
          <w:sz w:val="24"/>
          <w:szCs w:val="24"/>
          <w:highlight w:val="none"/>
          <w:lang w:eastAsia="zh-CN"/>
        </w:rPr>
        <w:t>。</w:t>
      </w:r>
    </w:p>
    <w:p w14:paraId="3491FE05">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8.在招标采购中，出现下列情形之一的，应予废标：</w:t>
      </w:r>
    </w:p>
    <w:p w14:paraId="5FCAD563">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（1）符合专业条件的供应商或者对招标文件作实质性响应的供应商不足三家的；</w:t>
      </w:r>
    </w:p>
    <w:p w14:paraId="0369336D">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（2）出现影响采购公正的违法、违规行为的；</w:t>
      </w:r>
    </w:p>
    <w:p w14:paraId="75E684C2">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（3）投标人的报价均超过了预算金额，采购人不能支付的；</w:t>
      </w:r>
    </w:p>
    <w:p w14:paraId="277FEE1B">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（4）因重大变故，采购任务取消的。</w:t>
      </w:r>
    </w:p>
    <w:p w14:paraId="71DE3D60">
      <w:pPr>
        <w:kinsoku/>
        <w:wordWrap w:val="0"/>
        <w:spacing w:line="360" w:lineRule="auto"/>
        <w:ind w:firstLine="490" w:firstLineChars="200"/>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废标后，应当在指定媒体发布公告，将废标理由通知所有投标人。</w:t>
      </w:r>
    </w:p>
    <w:p w14:paraId="75E57539">
      <w:pPr>
        <w:kinsoku/>
        <w:wordWrap w:val="0"/>
        <w:spacing w:line="256" w:lineRule="auto"/>
        <w:jc w:val="both"/>
        <w:rPr>
          <w:rFonts w:hint="eastAsia" w:asciiTheme="minorEastAsia" w:hAnsiTheme="minorEastAsia" w:eastAsiaTheme="minorEastAsia" w:cstheme="minorEastAsia"/>
          <w:color w:val="auto"/>
          <w:highlight w:val="none"/>
          <w:lang w:eastAsia="zh-CN"/>
        </w:rPr>
      </w:pPr>
    </w:p>
    <w:p w14:paraId="7ECEF487">
      <w:pPr>
        <w:pStyle w:val="6"/>
        <w:kinsoku/>
        <w:wordWrap w:val="0"/>
        <w:spacing w:before="78" w:line="221" w:lineRule="auto"/>
        <w:jc w:val="center"/>
        <w:outlineLvl w:val="2"/>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pacing w:val="-2"/>
          <w:sz w:val="24"/>
          <w:szCs w:val="24"/>
          <w:highlight w:val="none"/>
          <w14:textOutline w14:w="1536" w14:cap="flat" w14:cmpd="sng" w14:algn="ctr">
            <w14:solidFill>
              <w14:srgbClr w14:val="000000"/>
            </w14:solidFill>
            <w14:prstDash w14:val="solid"/>
            <w14:miter w14:val="0"/>
          </w14:textOutline>
        </w:rPr>
        <w:t>评</w:t>
      </w:r>
      <w:r>
        <w:rPr>
          <w:rFonts w:hint="eastAsia" w:asciiTheme="minorEastAsia" w:hAnsiTheme="minorEastAsia" w:eastAsiaTheme="minorEastAsia" w:cstheme="minorEastAsia"/>
          <w:color w:val="auto"/>
          <w:spacing w:val="-2"/>
          <w:sz w:val="24"/>
          <w:szCs w:val="24"/>
          <w:highlight w:val="none"/>
          <w:lang w:eastAsia="zh-CN"/>
          <w14:textOutline w14:w="1536" w14:cap="flat" w14:cmpd="sng" w14:algn="ctr">
            <w14:solidFill>
              <w14:srgbClr w14:val="000000"/>
            </w14:solidFill>
            <w14:prstDash w14:val="solid"/>
            <w14:miter w14:val="0"/>
          </w14:textOutline>
        </w:rPr>
        <w:t>分</w:t>
      </w:r>
      <w:r>
        <w:rPr>
          <w:rFonts w:hint="eastAsia" w:asciiTheme="minorEastAsia" w:hAnsiTheme="minorEastAsia" w:eastAsiaTheme="minorEastAsia" w:cstheme="minorEastAsia"/>
          <w:color w:val="auto"/>
          <w:spacing w:val="-2"/>
          <w:sz w:val="24"/>
          <w:szCs w:val="24"/>
          <w:highlight w:val="none"/>
          <w14:textOutline w14:w="1536" w14:cap="flat" w14:cmpd="sng" w14:algn="ctr">
            <w14:solidFill>
              <w14:srgbClr w14:val="000000"/>
            </w14:solidFill>
            <w14:prstDash w14:val="solid"/>
            <w14:miter w14:val="0"/>
          </w14:textOutline>
        </w:rPr>
        <w:t>标准</w:t>
      </w:r>
    </w:p>
    <w:p w14:paraId="6487E3BD">
      <w:pPr>
        <w:kinsoku/>
        <w:wordWrap w:val="0"/>
        <w:spacing w:before="39"/>
        <w:jc w:val="center"/>
        <w:rPr>
          <w:rFonts w:hint="eastAsia" w:asciiTheme="minorEastAsia" w:hAnsiTheme="minorEastAsia" w:eastAsiaTheme="minorEastAsia" w:cstheme="minorEastAsia"/>
          <w:color w:val="auto"/>
          <w:highlight w:val="none"/>
        </w:rPr>
      </w:pPr>
    </w:p>
    <w:tbl>
      <w:tblPr>
        <w:tblStyle w:val="25"/>
        <w:tblW w:w="83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1"/>
        <w:gridCol w:w="1500"/>
        <w:gridCol w:w="1005"/>
        <w:gridCol w:w="5239"/>
      </w:tblGrid>
      <w:tr w14:paraId="71826C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91" w:type="dxa"/>
          </w:tcPr>
          <w:p w14:paraId="4C38BDE0">
            <w:pPr>
              <w:kinsoku/>
              <w:wordWrap w:val="0"/>
              <w:spacing w:before="40" w:line="20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14:textOutline w14:w="1536" w14:cap="flat" w14:cmpd="sng" w14:algn="ctr">
                  <w14:solidFill>
                    <w14:srgbClr w14:val="000000"/>
                  </w14:solidFill>
                  <w14:prstDash w14:val="solid"/>
                  <w14:miter w14:val="0"/>
                </w14:textOutline>
              </w:rPr>
              <w:t>序号</w:t>
            </w:r>
          </w:p>
        </w:tc>
        <w:tc>
          <w:tcPr>
            <w:tcW w:w="1500" w:type="dxa"/>
          </w:tcPr>
          <w:p w14:paraId="37D909A6">
            <w:pPr>
              <w:kinsoku/>
              <w:wordWrap w:val="0"/>
              <w:spacing w:before="40" w:line="20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2"/>
                <w:sz w:val="24"/>
                <w:szCs w:val="24"/>
                <w:highlight w:val="none"/>
                <w14:textOutline w14:w="1536" w14:cap="flat" w14:cmpd="sng" w14:algn="ctr">
                  <w14:solidFill>
                    <w14:srgbClr w14:val="000000"/>
                  </w14:solidFill>
                  <w14:prstDash w14:val="solid"/>
                  <w14:miter w14:val="0"/>
                </w14:textOutline>
              </w:rPr>
              <w:t>评分因素</w:t>
            </w:r>
          </w:p>
        </w:tc>
        <w:tc>
          <w:tcPr>
            <w:tcW w:w="1005" w:type="dxa"/>
          </w:tcPr>
          <w:p w14:paraId="1C5405E4">
            <w:pPr>
              <w:kinsoku/>
              <w:wordWrap w:val="0"/>
              <w:spacing w:before="40" w:line="208" w:lineRule="auto"/>
              <w:jc w:val="center"/>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4"/>
                <w:sz w:val="24"/>
                <w:szCs w:val="24"/>
                <w:highlight w:val="none"/>
                <w14:textOutline w14:w="1536" w14:cap="flat" w14:cmpd="sng" w14:algn="ctr">
                  <w14:solidFill>
                    <w14:srgbClr w14:val="000000"/>
                  </w14:solidFill>
                  <w14:prstDash w14:val="solid"/>
                  <w14:miter w14:val="0"/>
                </w14:textOutline>
              </w:rPr>
              <w:t>分值</w:t>
            </w:r>
          </w:p>
        </w:tc>
        <w:tc>
          <w:tcPr>
            <w:tcW w:w="5239" w:type="dxa"/>
          </w:tcPr>
          <w:p w14:paraId="5E72B479">
            <w:pPr>
              <w:kinsoku/>
              <w:wordWrap w:val="0"/>
              <w:spacing w:before="40" w:line="208"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14:textOutline w14:w="1536" w14:cap="flat" w14:cmpd="sng" w14:algn="ctr">
                  <w14:solidFill>
                    <w14:srgbClr w14:val="000000"/>
                  </w14:solidFill>
                  <w14:prstDash w14:val="solid"/>
                  <w14:miter w14:val="0"/>
                </w14:textOutline>
              </w:rPr>
              <w:t>评分</w:t>
            </w:r>
            <w:r>
              <w:rPr>
                <w:rFonts w:hint="eastAsia" w:asciiTheme="minorEastAsia" w:hAnsiTheme="minorEastAsia" w:eastAsiaTheme="minorEastAsia" w:cstheme="minorEastAsia"/>
                <w:color w:val="auto"/>
                <w:spacing w:val="-2"/>
                <w:sz w:val="24"/>
                <w:szCs w:val="24"/>
                <w:highlight w:val="none"/>
                <w:lang w:eastAsia="zh-CN"/>
                <w14:textOutline w14:w="1536" w14:cap="flat" w14:cmpd="sng" w14:algn="ctr">
                  <w14:solidFill>
                    <w14:srgbClr w14:val="000000"/>
                  </w14:solidFill>
                  <w14:prstDash w14:val="solid"/>
                  <w14:miter w14:val="0"/>
                </w14:textOutline>
              </w:rPr>
              <w:t>细则</w:t>
            </w:r>
          </w:p>
        </w:tc>
      </w:tr>
      <w:tr w14:paraId="78CFE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591" w:type="dxa"/>
            <w:vAlign w:val="center"/>
          </w:tcPr>
          <w:p w14:paraId="33795193">
            <w:pPr>
              <w:pStyle w:val="26"/>
              <w:kinsoku/>
              <w:wordWrap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w:t>
            </w:r>
          </w:p>
        </w:tc>
        <w:tc>
          <w:tcPr>
            <w:tcW w:w="1500" w:type="dxa"/>
            <w:vAlign w:val="center"/>
          </w:tcPr>
          <w:p w14:paraId="503B3643">
            <w:pPr>
              <w:kinsoku/>
              <w:wordWrap w:val="0"/>
              <w:spacing w:before="78" w:line="219" w:lineRule="auto"/>
              <w:jc w:val="center"/>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rPr>
              <w:t>报价</w:t>
            </w:r>
            <w:r>
              <w:rPr>
                <w:rFonts w:hint="eastAsia" w:asciiTheme="minorEastAsia" w:hAnsiTheme="minorEastAsia" w:eastAsiaTheme="minorEastAsia" w:cstheme="minorEastAsia"/>
                <w:color w:val="auto"/>
                <w:spacing w:val="-3"/>
                <w:sz w:val="24"/>
                <w:szCs w:val="24"/>
                <w:highlight w:val="none"/>
                <w:lang w:eastAsia="zh-CN"/>
              </w:rPr>
              <w:t>部分</w:t>
            </w:r>
          </w:p>
          <w:p w14:paraId="0A9D9B95">
            <w:pPr>
              <w:kinsoku/>
              <w:wordWrap w:val="0"/>
              <w:spacing w:before="78" w:line="219"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（满分30分）</w:t>
            </w:r>
          </w:p>
        </w:tc>
        <w:tc>
          <w:tcPr>
            <w:tcW w:w="1005" w:type="dxa"/>
            <w:vAlign w:val="center"/>
          </w:tcPr>
          <w:p w14:paraId="5B66648A">
            <w:pPr>
              <w:pStyle w:val="26"/>
              <w:kinsoku/>
              <w:wordWrap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投标报价</w:t>
            </w:r>
          </w:p>
          <w:p w14:paraId="022BF1EE">
            <w:pPr>
              <w:pStyle w:val="26"/>
              <w:kinsoku/>
              <w:wordWrap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（30分）</w:t>
            </w:r>
          </w:p>
        </w:tc>
        <w:tc>
          <w:tcPr>
            <w:tcW w:w="5239" w:type="dxa"/>
          </w:tcPr>
          <w:p w14:paraId="6AECEB3C">
            <w:pPr>
              <w:kinsoku/>
              <w:wordWrap w:val="0"/>
              <w:spacing w:before="191" w:line="235" w:lineRule="auto"/>
              <w:ind w:left="113" w:right="103" w:firstLine="52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0"/>
                <w:sz w:val="24"/>
                <w:szCs w:val="24"/>
                <w:highlight w:val="none"/>
                <w:lang w:eastAsia="zh-CN"/>
              </w:rPr>
              <w:t>满足招标文件要求且投标价格最低</w:t>
            </w:r>
            <w:r>
              <w:rPr>
                <w:rFonts w:hint="eastAsia" w:asciiTheme="minorEastAsia" w:hAnsiTheme="minorEastAsia" w:eastAsiaTheme="minorEastAsia" w:cstheme="minorEastAsia"/>
                <w:color w:val="auto"/>
                <w:spacing w:val="-13"/>
                <w:sz w:val="24"/>
                <w:szCs w:val="24"/>
                <w:highlight w:val="none"/>
                <w:lang w:eastAsia="zh-CN"/>
              </w:rPr>
              <w:t>的投标报价为评标基准价，其价格分</w:t>
            </w:r>
            <w:r>
              <w:rPr>
                <w:rFonts w:hint="eastAsia" w:asciiTheme="minorEastAsia" w:hAnsiTheme="minorEastAsia" w:eastAsiaTheme="minorEastAsia" w:cstheme="minorEastAsia"/>
                <w:color w:val="auto"/>
                <w:spacing w:val="-6"/>
                <w:sz w:val="24"/>
                <w:szCs w:val="24"/>
                <w:highlight w:val="none"/>
                <w:lang w:eastAsia="zh-CN"/>
              </w:rPr>
              <w:t>为满分。其他投标人的价格分统一按</w:t>
            </w:r>
            <w:r>
              <w:rPr>
                <w:rFonts w:hint="eastAsia" w:asciiTheme="minorEastAsia" w:hAnsiTheme="minorEastAsia" w:eastAsiaTheme="minorEastAsia" w:cstheme="minorEastAsia"/>
                <w:color w:val="auto"/>
                <w:spacing w:val="-8"/>
                <w:sz w:val="24"/>
                <w:szCs w:val="24"/>
                <w:highlight w:val="none"/>
                <w:lang w:eastAsia="zh-CN"/>
              </w:rPr>
              <w:t>照下列公式计算：</w:t>
            </w:r>
          </w:p>
          <w:p w14:paraId="1E094A59">
            <w:pPr>
              <w:pStyle w:val="26"/>
              <w:kinsoku/>
              <w:wordWrap w:val="0"/>
              <w:spacing w:before="26" w:line="228" w:lineRule="auto"/>
              <w:ind w:left="111" w:right="103" w:firstLine="4"/>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投标报价得分</w:t>
            </w:r>
            <w:r>
              <w:rPr>
                <w:rFonts w:hint="eastAsia" w:asciiTheme="minorEastAsia" w:hAnsiTheme="minorEastAsia" w:eastAsiaTheme="minorEastAsia" w:cstheme="minorEastAsia"/>
                <w:color w:val="auto"/>
                <w:spacing w:val="-8"/>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eastAsia="zh-CN"/>
              </w:rPr>
              <w:t>评标基准价/投标</w:t>
            </w:r>
            <w:r>
              <w:rPr>
                <w:rFonts w:hint="eastAsia" w:asciiTheme="minorEastAsia" w:hAnsiTheme="minorEastAsia" w:eastAsiaTheme="minorEastAsia" w:cstheme="minorEastAsia"/>
                <w:color w:val="auto"/>
                <w:spacing w:val="-12"/>
                <w:sz w:val="24"/>
                <w:szCs w:val="24"/>
                <w:highlight w:val="none"/>
                <w:lang w:eastAsia="zh-CN"/>
              </w:rPr>
              <w:t>报价）×30分。注：价格分计算保留小数点后两位。</w:t>
            </w:r>
          </w:p>
          <w:p w14:paraId="6575F1F3">
            <w:pPr>
              <w:kinsoku/>
              <w:wordWrap w:val="0"/>
              <w:spacing w:before="191" w:line="235" w:lineRule="auto"/>
              <w:ind w:left="113" w:right="103" w:firstLine="428" w:firstLineChars="200"/>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注：根据《政府采购促进中小企业发展管理办法》（财库﹝2020﹞46号）、《关于进一步加大政府采购支持中小企业力度的通知》《财政部司法部关于政府采购支持监狱企业发展有关问题的通知》（财库〔2014〕68号）和《三部门联合发布关于促进残疾人就业政府采购政策的通知》（财库〔2017〕141号）的规定，对满足价格扣除条件且在投标文件中提交了《投标人企业类型声明函》或《残疾人福利性单位声明函》或省级以上监狱管理局、戒毒管理局（含新疆生产建设兵团）出具的属于监狱企业的证明文件的投标人，其投标报价扣除</w:t>
            </w:r>
            <w:r>
              <w:rPr>
                <w:rFonts w:hint="eastAsia" w:asciiTheme="minorEastAsia" w:hAnsiTheme="minorEastAsia" w:eastAsiaTheme="minorEastAsia" w:cstheme="minorEastAsia"/>
                <w:color w:val="auto"/>
                <w:spacing w:val="-13"/>
                <w:sz w:val="24"/>
                <w:szCs w:val="24"/>
                <w:highlight w:val="none"/>
                <w:u w:val="single"/>
                <w:lang w:eastAsia="zh-CN"/>
              </w:rPr>
              <w:t xml:space="preserve"> 15 </w:t>
            </w:r>
            <w:r>
              <w:rPr>
                <w:rFonts w:hint="eastAsia" w:asciiTheme="minorEastAsia" w:hAnsiTheme="minorEastAsia" w:eastAsiaTheme="minorEastAsia" w:cstheme="minorEastAsia"/>
                <w:color w:val="auto"/>
                <w:spacing w:val="-13"/>
                <w:sz w:val="24"/>
                <w:szCs w:val="24"/>
                <w:highlight w:val="none"/>
                <w:lang w:eastAsia="zh-CN"/>
              </w:rPr>
              <w:t>%后参与评审，参与优惠企业的报价=投标报价*（1-15%）。对于同时属于小微企业、监狱企业或残疾人福利性单位的，不重复进行投标报价扣除。（专门面向中小企业的项目除外）</w:t>
            </w:r>
          </w:p>
        </w:tc>
      </w:tr>
      <w:tr w14:paraId="08E54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restart"/>
            <w:vAlign w:val="center"/>
          </w:tcPr>
          <w:p w14:paraId="5B81706F">
            <w:pPr>
              <w:pStyle w:val="26"/>
              <w:kinsoku/>
              <w:wordWrap w:val="0"/>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2</w:t>
            </w:r>
          </w:p>
        </w:tc>
        <w:tc>
          <w:tcPr>
            <w:tcW w:w="1500" w:type="dxa"/>
            <w:vMerge w:val="restart"/>
            <w:vAlign w:val="center"/>
          </w:tcPr>
          <w:p w14:paraId="0FC33F59">
            <w:pPr>
              <w:kinsoku/>
              <w:wordWrap w:val="0"/>
              <w:spacing w:before="78" w:line="219" w:lineRule="auto"/>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技术部分</w:t>
            </w:r>
          </w:p>
          <w:p w14:paraId="5061F7D2">
            <w:pPr>
              <w:kinsoku/>
              <w:wordWrap w:val="0"/>
              <w:spacing w:before="78" w:line="219" w:lineRule="auto"/>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（满分15分）</w:t>
            </w:r>
          </w:p>
          <w:p w14:paraId="596D1FDC">
            <w:pPr>
              <w:kinsoku/>
              <w:wordWrap w:val="0"/>
              <w:spacing w:before="78" w:line="219" w:lineRule="auto"/>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b/>
                <w:bCs/>
                <w:color w:val="auto"/>
                <w:spacing w:val="-13"/>
                <w:sz w:val="24"/>
                <w:szCs w:val="24"/>
                <w:highlight w:val="none"/>
                <w:lang w:eastAsia="zh-CN"/>
              </w:rPr>
              <w:t>暗标</w:t>
            </w:r>
          </w:p>
        </w:tc>
        <w:tc>
          <w:tcPr>
            <w:tcW w:w="1005" w:type="dxa"/>
            <w:shd w:val="clear" w:color="auto" w:fill="auto"/>
            <w:vAlign w:val="center"/>
          </w:tcPr>
          <w:p w14:paraId="4A6C1C54">
            <w:pPr>
              <w:pStyle w:val="26"/>
              <w:kinsoku/>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安全实施方案</w:t>
            </w:r>
          </w:p>
          <w:p w14:paraId="3087A173">
            <w:pPr>
              <w:pStyle w:val="26"/>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（5分）</w:t>
            </w:r>
          </w:p>
        </w:tc>
        <w:tc>
          <w:tcPr>
            <w:tcW w:w="5239" w:type="dxa"/>
            <w:shd w:val="clear" w:color="auto" w:fill="auto"/>
          </w:tcPr>
          <w:p w14:paraId="5E4997EF">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根据投标人针对本项目建立安全管理体系、健全规章制度，落实安全生产责任制、保障安全生产投入、加强安全教育培训、建设风险分级管控及隐患排查治理体系、安全生产标准化建设、强化应急管理、安全考核与激励等措施，安全管理机构健全,各岗位职责明确。 </w:t>
            </w:r>
          </w:p>
          <w:p w14:paraId="48569FE3">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第一档：能够结合实际情况，设置不同的安全应急标准，多场景覆盖，设置安全指挥体系，有安全预案和安全演案练指导流程，内容全面、逻辑严谨、措施具体，得5分。 </w:t>
            </w:r>
          </w:p>
          <w:p w14:paraId="3E40AF2B">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第二档：能够基本结合实际情况，无实质性描述，仅有简单组织分工，能提出较为全面的方案、措施，有一定针对性得3分。 </w:t>
            </w:r>
          </w:p>
          <w:p w14:paraId="528CC715">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第三档：能够结合部分实际情况，但是未明确安全要求，使用模糊表述，未体现管理职责或流程，得1分； </w:t>
            </w:r>
          </w:p>
          <w:p w14:paraId="7DBE4EE3">
            <w:pPr>
              <w:pStyle w:val="26"/>
              <w:ind w:firstLine="428" w:firstLineChars="200"/>
              <w:jc w:val="both"/>
              <w:rPr>
                <w:rFonts w:hint="eastAsia" w:asciiTheme="minorEastAsia" w:hAnsiTheme="minorEastAsia" w:eastAsiaTheme="minorEastAsia" w:cstheme="minorEastAsia"/>
                <w:b/>
                <w:bCs/>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第</w:t>
            </w:r>
            <w:r>
              <w:rPr>
                <w:rFonts w:hint="eastAsia" w:asciiTheme="minorEastAsia" w:hAnsiTheme="minorEastAsia" w:eastAsiaTheme="minorEastAsia" w:cstheme="minorEastAsia"/>
                <w:color w:val="auto"/>
                <w:spacing w:val="-13"/>
                <w:sz w:val="24"/>
                <w:szCs w:val="24"/>
                <w:highlight w:val="none"/>
                <w:lang w:eastAsia="zh-CN"/>
              </w:rPr>
              <w:t>四</w:t>
            </w:r>
            <w:r>
              <w:rPr>
                <w:rFonts w:hint="eastAsia" w:asciiTheme="minorEastAsia" w:hAnsiTheme="minorEastAsia" w:eastAsiaTheme="minorEastAsia" w:cstheme="minorEastAsia"/>
                <w:color w:val="auto"/>
                <w:spacing w:val="-13"/>
                <w:sz w:val="24"/>
                <w:szCs w:val="24"/>
                <w:highlight w:val="none"/>
              </w:rPr>
              <w:t>档：缺项得0分。</w:t>
            </w:r>
          </w:p>
        </w:tc>
      </w:tr>
      <w:tr w14:paraId="777DB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continue"/>
            <w:vAlign w:val="center"/>
          </w:tcPr>
          <w:p w14:paraId="5EFA04B7">
            <w:pPr>
              <w:pStyle w:val="26"/>
              <w:kinsoku/>
              <w:wordWrap w:val="0"/>
              <w:jc w:val="center"/>
              <w:rPr>
                <w:rFonts w:hint="eastAsia" w:asciiTheme="minorEastAsia" w:hAnsiTheme="minorEastAsia" w:eastAsiaTheme="minorEastAsia" w:cstheme="minorEastAsia"/>
                <w:color w:val="auto"/>
                <w:spacing w:val="-13"/>
                <w:sz w:val="24"/>
                <w:szCs w:val="24"/>
                <w:highlight w:val="none"/>
                <w:lang w:eastAsia="zh-CN"/>
              </w:rPr>
            </w:pPr>
          </w:p>
        </w:tc>
        <w:tc>
          <w:tcPr>
            <w:tcW w:w="1500" w:type="dxa"/>
            <w:vMerge w:val="continue"/>
            <w:vAlign w:val="center"/>
          </w:tcPr>
          <w:p w14:paraId="3893CBC7">
            <w:pPr>
              <w:kinsoku/>
              <w:wordWrap w:val="0"/>
              <w:spacing w:before="78" w:line="219" w:lineRule="auto"/>
              <w:jc w:val="center"/>
              <w:rPr>
                <w:rFonts w:hint="eastAsia" w:asciiTheme="minorEastAsia" w:hAnsiTheme="minorEastAsia" w:eastAsiaTheme="minorEastAsia" w:cstheme="minorEastAsia"/>
                <w:color w:val="auto"/>
                <w:spacing w:val="-13"/>
                <w:sz w:val="24"/>
                <w:szCs w:val="24"/>
                <w:highlight w:val="none"/>
                <w:lang w:eastAsia="zh-CN"/>
              </w:rPr>
            </w:pPr>
          </w:p>
        </w:tc>
        <w:tc>
          <w:tcPr>
            <w:tcW w:w="1005" w:type="dxa"/>
            <w:shd w:val="clear" w:color="auto" w:fill="auto"/>
            <w:vAlign w:val="center"/>
          </w:tcPr>
          <w:p w14:paraId="18FD6F55">
            <w:pPr>
              <w:pStyle w:val="26"/>
              <w:kinsoku/>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安装调试方案</w:t>
            </w:r>
          </w:p>
          <w:p w14:paraId="4DA4C1C8">
            <w:pPr>
              <w:pStyle w:val="26"/>
              <w:kinsoku/>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（5分）</w:t>
            </w:r>
          </w:p>
        </w:tc>
        <w:tc>
          <w:tcPr>
            <w:tcW w:w="5239" w:type="dxa"/>
            <w:shd w:val="clear" w:color="auto" w:fill="auto"/>
          </w:tcPr>
          <w:p w14:paraId="44AAEE72">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根据投标人针对本项目提供的安装调试方案包括但不限于安装专业团队配置、安装流程与标准化控制、现场管理与安全保障等进行评审，具体分为以下五档：</w:t>
            </w:r>
          </w:p>
          <w:p w14:paraId="6C8A6E9E">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第一档：安装专业团队配置齐全；安装流程详细规范，符合相关标准，有科学可行的标准化控制措施；现场管理与安全保障针对性强，符合项目实际情况；整体方案目标明确，可实施性强得5分；</w:t>
            </w:r>
          </w:p>
          <w:p w14:paraId="15C2901F">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第二档：安装专业团队配置较全；安装流程规范，符合相关标准，有可行的标准化控制措施；现场管理与安全保障有针对性；整体方案目标较明确，内容比较全面得3分；</w:t>
            </w:r>
          </w:p>
          <w:p w14:paraId="641FBE51">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第三档：有安装专业团队配置；安装流程规范，符合相关标准，有标准化控制措施；现场管理与安全保障较合理；整体方案目标不够明确，内容不够全面的得1分；</w:t>
            </w:r>
          </w:p>
          <w:p w14:paraId="30D50716">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第</w:t>
            </w:r>
            <w:r>
              <w:rPr>
                <w:rFonts w:hint="eastAsia" w:asciiTheme="minorEastAsia" w:hAnsiTheme="minorEastAsia" w:eastAsiaTheme="minorEastAsia" w:cstheme="minorEastAsia"/>
                <w:color w:val="auto"/>
                <w:spacing w:val="-13"/>
                <w:sz w:val="24"/>
                <w:szCs w:val="24"/>
                <w:highlight w:val="none"/>
                <w:lang w:eastAsia="zh-CN"/>
              </w:rPr>
              <w:t>四</w:t>
            </w:r>
            <w:r>
              <w:rPr>
                <w:rFonts w:hint="eastAsia" w:asciiTheme="minorEastAsia" w:hAnsiTheme="minorEastAsia" w:eastAsiaTheme="minorEastAsia" w:cstheme="minorEastAsia"/>
                <w:color w:val="auto"/>
                <w:spacing w:val="-13"/>
                <w:sz w:val="24"/>
                <w:szCs w:val="24"/>
                <w:highlight w:val="none"/>
              </w:rPr>
              <w:t>档：缺项得0分。</w:t>
            </w:r>
          </w:p>
        </w:tc>
      </w:tr>
      <w:tr w14:paraId="33204E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continue"/>
            <w:vAlign w:val="center"/>
          </w:tcPr>
          <w:p w14:paraId="2C4069B1">
            <w:pPr>
              <w:pStyle w:val="26"/>
              <w:kinsoku/>
              <w:wordWrap w:val="0"/>
              <w:jc w:val="center"/>
              <w:rPr>
                <w:rFonts w:hint="eastAsia" w:asciiTheme="minorEastAsia" w:hAnsiTheme="minorEastAsia" w:eastAsiaTheme="minorEastAsia" w:cstheme="minorEastAsia"/>
                <w:color w:val="auto"/>
                <w:spacing w:val="-13"/>
                <w:sz w:val="24"/>
                <w:szCs w:val="24"/>
                <w:highlight w:val="none"/>
                <w:lang w:eastAsia="zh-CN"/>
              </w:rPr>
            </w:pPr>
          </w:p>
        </w:tc>
        <w:tc>
          <w:tcPr>
            <w:tcW w:w="1500" w:type="dxa"/>
            <w:vMerge w:val="continue"/>
            <w:vAlign w:val="center"/>
          </w:tcPr>
          <w:p w14:paraId="3E236645">
            <w:pPr>
              <w:kinsoku/>
              <w:wordWrap w:val="0"/>
              <w:spacing w:before="78" w:line="219" w:lineRule="auto"/>
              <w:jc w:val="center"/>
              <w:rPr>
                <w:rFonts w:hint="eastAsia" w:asciiTheme="minorEastAsia" w:hAnsiTheme="minorEastAsia" w:eastAsiaTheme="minorEastAsia" w:cstheme="minorEastAsia"/>
                <w:color w:val="auto"/>
                <w:spacing w:val="-13"/>
                <w:sz w:val="24"/>
                <w:szCs w:val="24"/>
                <w:highlight w:val="none"/>
                <w:lang w:eastAsia="zh-CN"/>
              </w:rPr>
            </w:pPr>
          </w:p>
        </w:tc>
        <w:tc>
          <w:tcPr>
            <w:tcW w:w="1005" w:type="dxa"/>
            <w:shd w:val="clear" w:color="auto" w:fill="auto"/>
            <w:vAlign w:val="center"/>
          </w:tcPr>
          <w:p w14:paraId="6F173D08">
            <w:pPr>
              <w:pStyle w:val="26"/>
              <w:kinsoku/>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供货方案</w:t>
            </w:r>
          </w:p>
          <w:p w14:paraId="698D3F2F">
            <w:pPr>
              <w:pStyle w:val="26"/>
              <w:kinsoku/>
              <w:wordWrap w:val="0"/>
              <w:jc w:val="center"/>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（5分）</w:t>
            </w:r>
          </w:p>
        </w:tc>
        <w:tc>
          <w:tcPr>
            <w:tcW w:w="5239" w:type="dxa"/>
            <w:shd w:val="clear" w:color="auto" w:fill="auto"/>
          </w:tcPr>
          <w:p w14:paraId="6ABDE1D6">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根据投标人针对本项目提供的供货方案包含但不限于实施计划、进度控制、项目团队岗位构成等进行评审，具体分为以下五档。 </w:t>
            </w:r>
          </w:p>
          <w:p w14:paraId="118DC0F0">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一档：实施阶段划分清晰，关键流程明确；时间节点精确，任务分解至具体责任人；团队岗位角色齐全，项目组织架构完整，项目组成员岗位职责明确，具备项目管理能力；质量管控体系完整，质量保证方案详尽。内容全面、逻辑严谨、措施具体，具备创新性和可落地性，显著优于招标要求得5分。 </w:t>
            </w:r>
          </w:p>
          <w:p w14:paraId="062F63C6">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二档：阶段完整但时间规划较粗，任务分工模糊；团队岗位结构完整，但部分岗位资质未明确，数据管理能力未明确；有质量管控计划但无第三方验证。基本满足招标要求，但部分环节存在不足（如细节缺失、方法常规）得3分。 </w:t>
            </w:r>
          </w:p>
          <w:p w14:paraId="63135953">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 xml:space="preserve">第三档：仅列出阶段名称，无时间、岗位或任务分配；无具体进度控制措施；无具体质量保障措施。关键内容缺失或明显不合理，无法保障项目顺利实施得1分。 </w:t>
            </w:r>
          </w:p>
          <w:p w14:paraId="7856C068">
            <w:pPr>
              <w:pStyle w:val="26"/>
              <w:kinsoku/>
              <w:ind w:firstLine="428" w:firstLineChars="200"/>
              <w:jc w:val="both"/>
              <w:rPr>
                <w:rFonts w:hint="eastAsia" w:asciiTheme="minorEastAsia" w:hAnsiTheme="minorEastAsia" w:eastAsiaTheme="min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rPr>
              <w:t>第</w:t>
            </w:r>
            <w:r>
              <w:rPr>
                <w:rFonts w:hint="eastAsia" w:asciiTheme="minorEastAsia" w:hAnsiTheme="minorEastAsia" w:eastAsiaTheme="minorEastAsia" w:cstheme="minorEastAsia"/>
                <w:color w:val="auto"/>
                <w:spacing w:val="-13"/>
                <w:sz w:val="24"/>
                <w:szCs w:val="24"/>
                <w:highlight w:val="none"/>
                <w:lang w:eastAsia="zh-CN"/>
              </w:rPr>
              <w:t>四</w:t>
            </w:r>
            <w:r>
              <w:rPr>
                <w:rFonts w:hint="eastAsia" w:asciiTheme="minorEastAsia" w:hAnsiTheme="minorEastAsia" w:eastAsiaTheme="minorEastAsia" w:cstheme="minorEastAsia"/>
                <w:color w:val="auto"/>
                <w:spacing w:val="-13"/>
                <w:sz w:val="24"/>
                <w:szCs w:val="24"/>
                <w:highlight w:val="none"/>
              </w:rPr>
              <w:t>档：缺项得0分。</w:t>
            </w:r>
          </w:p>
        </w:tc>
      </w:tr>
      <w:tr w14:paraId="108E2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restart"/>
            <w:vAlign w:val="center"/>
          </w:tcPr>
          <w:p w14:paraId="79676389">
            <w:pPr>
              <w:pStyle w:val="26"/>
              <w:kinsoku/>
              <w:wordWrap w:val="0"/>
              <w:jc w:val="center"/>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3</w:t>
            </w:r>
          </w:p>
        </w:tc>
        <w:tc>
          <w:tcPr>
            <w:tcW w:w="1500" w:type="dxa"/>
            <w:vMerge w:val="restart"/>
            <w:vAlign w:val="center"/>
          </w:tcPr>
          <w:p w14:paraId="0E628100">
            <w:pPr>
              <w:kinsoku/>
              <w:wordWrap w:val="0"/>
              <w:spacing w:before="157" w:line="220" w:lineRule="auto"/>
              <w:jc w:val="center"/>
              <w:rPr>
                <w:rFonts w:hint="eastAsia" w:asciiTheme="minorEastAsia" w:hAnsiTheme="minorEastAsia" w:eastAsiaTheme="minorEastAsia" w:cstheme="minorEastAsia"/>
                <w:color w:val="auto"/>
                <w:spacing w:val="-2"/>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综合部分</w:t>
            </w:r>
          </w:p>
          <w:p w14:paraId="73FB84C9">
            <w:pPr>
              <w:kinsoku/>
              <w:wordWrap w:val="0"/>
              <w:spacing w:before="157" w:line="22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
                <w:sz w:val="24"/>
                <w:szCs w:val="24"/>
                <w:highlight w:val="none"/>
                <w:lang w:eastAsia="zh-CN"/>
              </w:rPr>
              <w:t>（满分55分）</w:t>
            </w:r>
          </w:p>
        </w:tc>
        <w:tc>
          <w:tcPr>
            <w:tcW w:w="1005" w:type="dxa"/>
            <w:shd w:val="clear" w:color="auto" w:fill="auto"/>
            <w:vAlign w:val="center"/>
          </w:tcPr>
          <w:p w14:paraId="1321FE2C">
            <w:pPr>
              <w:pStyle w:val="26"/>
              <w:kinsoku/>
              <w:wordWrap w:val="0"/>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技术</w:t>
            </w:r>
          </w:p>
          <w:p w14:paraId="1A2087DF">
            <w:pPr>
              <w:pStyle w:val="26"/>
              <w:kinsoku/>
              <w:wordWrap w:val="0"/>
              <w:jc w:val="center"/>
              <w:rPr>
                <w:rFonts w:hint="eastAsia" w:asciiTheme="minorEastAsia" w:hAnsiTheme="minorEastAsia" w:eastAsiaTheme="minorEastAsia" w:cstheme="minorEastAsia"/>
                <w:color w:val="auto"/>
                <w:spacing w:val="-13"/>
                <w:sz w:val="24"/>
                <w:szCs w:val="24"/>
                <w:highlight w:val="none"/>
                <w:lang w:eastAsia="zh-CN"/>
              </w:rPr>
            </w:pPr>
            <w:r>
              <w:rPr>
                <w:rFonts w:hint="eastAsia" w:asciiTheme="minorEastAsia" w:hAnsiTheme="minorEastAsia" w:eastAsiaTheme="minorEastAsia" w:cstheme="minorEastAsia"/>
                <w:color w:val="auto"/>
                <w:spacing w:val="-13"/>
                <w:sz w:val="24"/>
                <w:szCs w:val="24"/>
                <w:highlight w:val="none"/>
                <w:lang w:eastAsia="zh-CN"/>
              </w:rPr>
              <w:t>参数</w:t>
            </w:r>
          </w:p>
          <w:p w14:paraId="6D093E17">
            <w:pPr>
              <w:pStyle w:val="26"/>
              <w:kinsoku/>
              <w:wordWrap w:val="0"/>
              <w:jc w:val="center"/>
              <w:rPr>
                <w:rFonts w:hint="eastAsia" w:asciiTheme="majorEastAsia" w:hAnsiTheme="majorEastAsia" w:eastAsiaTheme="majorEastAsia" w:cstheme="minorEastAsia"/>
                <w:color w:val="auto"/>
                <w:spacing w:val="-13"/>
                <w:sz w:val="24"/>
                <w:szCs w:val="24"/>
                <w:highlight w:val="none"/>
              </w:rPr>
            </w:pPr>
            <w:r>
              <w:rPr>
                <w:rFonts w:hint="eastAsia" w:asciiTheme="minorEastAsia" w:hAnsiTheme="minorEastAsia" w:eastAsiaTheme="minorEastAsia" w:cstheme="minorEastAsia"/>
                <w:color w:val="auto"/>
                <w:spacing w:val="-13"/>
                <w:sz w:val="24"/>
                <w:szCs w:val="24"/>
                <w:highlight w:val="none"/>
                <w:lang w:eastAsia="zh-CN"/>
              </w:rPr>
              <w:t>（40分）</w:t>
            </w:r>
          </w:p>
        </w:tc>
        <w:tc>
          <w:tcPr>
            <w:tcW w:w="5239" w:type="dxa"/>
            <w:shd w:val="clear" w:color="auto" w:fill="auto"/>
          </w:tcPr>
          <w:p w14:paraId="169FEE85">
            <w:pPr>
              <w:pStyle w:val="2"/>
              <w:ind w:firstLine="428" w:firstLineChars="200"/>
              <w:rPr>
                <w:rFonts w:asciiTheme="majorEastAsia" w:hAnsiTheme="majorEastAsia" w:eastAsiaTheme="majorEastAsia" w:cstheme="minorEastAsia"/>
                <w:b w:val="0"/>
                <w:bCs w:val="0"/>
                <w:color w:val="auto"/>
                <w:spacing w:val="-13"/>
                <w:kern w:val="0"/>
                <w:sz w:val="24"/>
                <w:szCs w:val="24"/>
                <w:highlight w:val="none"/>
              </w:rPr>
            </w:pPr>
            <w:r>
              <w:rPr>
                <w:rFonts w:asciiTheme="minorEastAsia" w:hAnsiTheme="minorEastAsia" w:eastAsiaTheme="minorEastAsia" w:cstheme="minorEastAsia"/>
                <w:b w:val="0"/>
                <w:bCs w:val="0"/>
                <w:color w:val="auto"/>
                <w:spacing w:val="-13"/>
                <w:kern w:val="0"/>
                <w:sz w:val="24"/>
                <w:szCs w:val="24"/>
                <w:highlight w:val="none"/>
              </w:rPr>
              <w:t>投标货物性能指标及技术参数，有缺漏或不满足招标文件要求，加“★”项参数每有一项不满足扣3分；其他非加“★”项参数每有一项不满足扣1分，扣完为止。</w:t>
            </w:r>
            <w:r>
              <w:rPr>
                <w:rFonts w:hint="default" w:asciiTheme="minorEastAsia" w:hAnsiTheme="minorEastAsia" w:eastAsiaTheme="minorEastAsia" w:cstheme="minorEastAsia"/>
                <w:b w:val="0"/>
                <w:bCs w:val="0"/>
                <w:color w:val="auto"/>
                <w:spacing w:val="-13"/>
                <w:kern w:val="0"/>
                <w:sz w:val="24"/>
                <w:szCs w:val="24"/>
                <w:highlight w:val="none"/>
              </w:rPr>
              <w:t>所有扣分累计核算，总分最低计0分，不产生负分。技术参数与技术要求不响应视为负偏离不作为废标条件</w:t>
            </w:r>
            <w:r>
              <w:rPr>
                <w:rFonts w:asciiTheme="minorEastAsia" w:hAnsiTheme="minorEastAsia" w:eastAsiaTheme="minorEastAsia" w:cstheme="minorEastAsia"/>
                <w:b w:val="0"/>
                <w:bCs w:val="0"/>
                <w:color w:val="auto"/>
                <w:spacing w:val="-13"/>
                <w:kern w:val="0"/>
                <w:sz w:val="24"/>
                <w:szCs w:val="24"/>
                <w:highlight w:val="none"/>
              </w:rPr>
              <w:t>。</w:t>
            </w:r>
          </w:p>
        </w:tc>
      </w:tr>
      <w:tr w14:paraId="7223EE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continue"/>
            <w:vAlign w:val="center"/>
          </w:tcPr>
          <w:p w14:paraId="38C8BAAC">
            <w:pPr>
              <w:pStyle w:val="26"/>
              <w:kinsoku/>
              <w:wordWrap w:val="0"/>
              <w:jc w:val="center"/>
              <w:rPr>
                <w:rFonts w:hint="eastAsia" w:asciiTheme="minorEastAsia" w:hAnsiTheme="minorEastAsia" w:eastAsiaTheme="minorEastAsia" w:cstheme="minorEastAsia"/>
                <w:color w:val="auto"/>
                <w:highlight w:val="none"/>
                <w:lang w:eastAsia="zh-CN"/>
              </w:rPr>
            </w:pPr>
          </w:p>
        </w:tc>
        <w:tc>
          <w:tcPr>
            <w:tcW w:w="1500" w:type="dxa"/>
            <w:vMerge w:val="continue"/>
            <w:vAlign w:val="center"/>
          </w:tcPr>
          <w:p w14:paraId="07AE3D1E">
            <w:pPr>
              <w:kinsoku/>
              <w:wordWrap w:val="0"/>
              <w:spacing w:before="157" w:line="220" w:lineRule="auto"/>
              <w:jc w:val="center"/>
              <w:rPr>
                <w:rFonts w:hint="eastAsia" w:asciiTheme="minorEastAsia" w:hAnsiTheme="minorEastAsia" w:eastAsiaTheme="minorEastAsia" w:cstheme="minorEastAsia"/>
                <w:color w:val="auto"/>
                <w:spacing w:val="-2"/>
                <w:sz w:val="24"/>
                <w:szCs w:val="24"/>
                <w:highlight w:val="none"/>
                <w:lang w:eastAsia="zh-CN"/>
              </w:rPr>
            </w:pPr>
          </w:p>
        </w:tc>
        <w:tc>
          <w:tcPr>
            <w:tcW w:w="1005" w:type="dxa"/>
            <w:shd w:val="clear" w:color="auto" w:fill="auto"/>
            <w:vAlign w:val="center"/>
          </w:tcPr>
          <w:p w14:paraId="426B5934">
            <w:pPr>
              <w:pStyle w:val="26"/>
              <w:kinsoku/>
              <w:wordWrap w:val="0"/>
              <w:jc w:val="center"/>
              <w:rPr>
                <w:rFonts w:hint="eastAsia" w:cs="微软雅黑" w:asciiTheme="majorEastAsia" w:hAnsiTheme="majorEastAsia" w:eastAsiaTheme="majorEastAsia"/>
                <w:color w:val="auto"/>
                <w:sz w:val="24"/>
                <w:szCs w:val="24"/>
                <w:highlight w:val="none"/>
              </w:rPr>
            </w:pPr>
            <w:r>
              <w:rPr>
                <w:rFonts w:hint="eastAsia" w:cs="宋体" w:asciiTheme="majorEastAsia" w:hAnsiTheme="majorEastAsia" w:eastAsiaTheme="majorEastAsia"/>
                <w:color w:val="auto"/>
                <w:sz w:val="24"/>
                <w:szCs w:val="24"/>
                <w:highlight w:val="none"/>
              </w:rPr>
              <w:t>功能演示（</w:t>
            </w:r>
            <w:r>
              <w:rPr>
                <w:rFonts w:hint="eastAsia" w:cs="宋体" w:asciiTheme="majorEastAsia" w:hAnsiTheme="majorEastAsia" w:eastAsiaTheme="majorEastAsia"/>
                <w:color w:val="auto"/>
                <w:sz w:val="24"/>
                <w:szCs w:val="24"/>
                <w:highlight w:val="none"/>
                <w:lang w:eastAsia="zh-CN"/>
              </w:rPr>
              <w:t>10</w:t>
            </w:r>
            <w:r>
              <w:rPr>
                <w:rFonts w:hint="eastAsia" w:cs="宋体" w:asciiTheme="majorEastAsia" w:hAnsiTheme="majorEastAsia" w:eastAsiaTheme="majorEastAsia"/>
                <w:color w:val="auto"/>
                <w:sz w:val="24"/>
                <w:szCs w:val="24"/>
                <w:highlight w:val="none"/>
              </w:rPr>
              <w:t>分）</w:t>
            </w:r>
          </w:p>
        </w:tc>
        <w:tc>
          <w:tcPr>
            <w:tcW w:w="5239" w:type="dxa"/>
            <w:shd w:val="clear" w:color="auto" w:fill="auto"/>
          </w:tcPr>
          <w:p w14:paraId="1EDFDDAF">
            <w:pPr>
              <w:pStyle w:val="26"/>
              <w:ind w:firstLine="428" w:firstLineChars="200"/>
              <w:rPr>
                <w:rFonts w:hint="eastAsia" w:asciiTheme="minorEastAsia" w:hAnsiTheme="minorEastAsia" w:eastAsiaTheme="minorEastAsia" w:cstheme="minorEastAsia"/>
                <w:b w:val="0"/>
                <w:bCs w:val="0"/>
                <w:snapToGrid w:val="0"/>
                <w:color w:val="auto"/>
                <w:spacing w:val="-13"/>
                <w:kern w:val="0"/>
                <w:sz w:val="24"/>
                <w:szCs w:val="24"/>
                <w:highlight w:val="none"/>
                <w:lang w:val="en-US" w:eastAsia="zh-CN" w:bidi="ar"/>
              </w:rPr>
            </w:pPr>
            <w:r>
              <w:rPr>
                <w:rFonts w:hint="eastAsia" w:asciiTheme="minorEastAsia" w:hAnsiTheme="minorEastAsia" w:eastAsiaTheme="minorEastAsia" w:cstheme="minorEastAsia"/>
                <w:b w:val="0"/>
                <w:bCs w:val="0"/>
                <w:snapToGrid w:val="0"/>
                <w:color w:val="auto"/>
                <w:spacing w:val="-13"/>
                <w:kern w:val="0"/>
                <w:sz w:val="24"/>
                <w:szCs w:val="24"/>
                <w:highlight w:val="none"/>
                <w:lang w:val="en-US" w:eastAsia="zh-CN" w:bidi="ar"/>
              </w:rPr>
              <w:t>投标时对招标文件中“电工一体化教学平台”的所有功能提供演示视频进行打分，完全满足招标文件要求并且演示完整的得5分，演示内容较多但不尽完整得3分，演示内容较少、残缺明显的得1分，没演示不得分。</w:t>
            </w:r>
          </w:p>
          <w:p w14:paraId="763C1649">
            <w:pPr>
              <w:pStyle w:val="2"/>
              <w:ind w:firstLine="428" w:firstLineChars="200"/>
              <w:rPr>
                <w:rFonts w:cs="Arial" w:asciiTheme="majorEastAsia" w:hAnsiTheme="majorEastAsia" w:eastAsiaTheme="majorEastAsia"/>
                <w:b w:val="0"/>
                <w:bCs w:val="0"/>
                <w:color w:val="auto"/>
                <w:kern w:val="0"/>
                <w:sz w:val="24"/>
                <w:szCs w:val="24"/>
                <w:highlight w:val="none"/>
              </w:rPr>
            </w:pPr>
            <w:r>
              <w:rPr>
                <w:rFonts w:hint="eastAsia" w:asciiTheme="minorEastAsia" w:hAnsiTheme="minorEastAsia" w:eastAsiaTheme="minorEastAsia" w:cstheme="minorEastAsia"/>
                <w:b w:val="0"/>
                <w:bCs w:val="0"/>
                <w:snapToGrid w:val="0"/>
                <w:color w:val="auto"/>
                <w:spacing w:val="-13"/>
                <w:kern w:val="0"/>
                <w:sz w:val="24"/>
                <w:szCs w:val="24"/>
                <w:highlight w:val="none"/>
                <w:lang w:val="en-US" w:eastAsia="zh-CN" w:bidi="ar"/>
              </w:rPr>
              <w:t>投标时对招标文件中“互联网+教学资源管理平台”的所有功能提供演示视频进行打分，完全满足招标文件要求并且演示完整的得5分，演示内容较多但不尽完整得3分，演示内容较少、残缺明显的得1分，没演示不得分。</w:t>
            </w:r>
          </w:p>
        </w:tc>
      </w:tr>
      <w:tr w14:paraId="71209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continue"/>
            <w:vAlign w:val="center"/>
          </w:tcPr>
          <w:p w14:paraId="6785225F">
            <w:pPr>
              <w:pStyle w:val="26"/>
              <w:kinsoku/>
              <w:wordWrap w:val="0"/>
              <w:jc w:val="center"/>
              <w:rPr>
                <w:rFonts w:hint="eastAsia" w:asciiTheme="minorEastAsia" w:hAnsiTheme="minorEastAsia" w:eastAsiaTheme="minorEastAsia" w:cstheme="minorEastAsia"/>
                <w:color w:val="auto"/>
                <w:highlight w:val="none"/>
                <w:lang w:eastAsia="zh-CN"/>
              </w:rPr>
            </w:pPr>
          </w:p>
        </w:tc>
        <w:tc>
          <w:tcPr>
            <w:tcW w:w="1500" w:type="dxa"/>
            <w:vMerge w:val="continue"/>
            <w:vAlign w:val="center"/>
          </w:tcPr>
          <w:p w14:paraId="798478BD">
            <w:pPr>
              <w:kinsoku/>
              <w:wordWrap w:val="0"/>
              <w:spacing w:before="157" w:line="220" w:lineRule="auto"/>
              <w:jc w:val="center"/>
              <w:rPr>
                <w:rFonts w:hint="eastAsia" w:asciiTheme="minorEastAsia" w:hAnsiTheme="minorEastAsia" w:eastAsiaTheme="minorEastAsia" w:cstheme="minorEastAsia"/>
                <w:color w:val="auto"/>
                <w:spacing w:val="-2"/>
                <w:sz w:val="24"/>
                <w:szCs w:val="24"/>
                <w:highlight w:val="none"/>
                <w:lang w:eastAsia="zh-CN"/>
              </w:rPr>
            </w:pPr>
          </w:p>
        </w:tc>
        <w:tc>
          <w:tcPr>
            <w:tcW w:w="1005" w:type="dxa"/>
            <w:shd w:val="clear" w:color="auto" w:fill="auto"/>
            <w:vAlign w:val="center"/>
          </w:tcPr>
          <w:p w14:paraId="6A18EFE1">
            <w:pPr>
              <w:pStyle w:val="26"/>
              <w:kinsoku/>
              <w:wordWrap w:val="0"/>
              <w:jc w:val="center"/>
              <w:rPr>
                <w:rFonts w:hint="eastAsia" w:asciiTheme="majorEastAsia" w:hAnsiTheme="majorEastAsia" w:eastAsiaTheme="majorEastAsia" w:cstheme="minorEastAsia"/>
                <w:color w:val="auto"/>
                <w:spacing w:val="-13"/>
                <w:sz w:val="24"/>
                <w:szCs w:val="24"/>
                <w:highlight w:val="none"/>
              </w:rPr>
            </w:pPr>
            <w:r>
              <w:rPr>
                <w:rFonts w:hint="eastAsia" w:cs="微软雅黑" w:asciiTheme="majorEastAsia" w:hAnsiTheme="majorEastAsia" w:eastAsiaTheme="majorEastAsia"/>
                <w:color w:val="auto"/>
                <w:sz w:val="24"/>
                <w:szCs w:val="24"/>
                <w:highlight w:val="none"/>
              </w:rPr>
              <w:t>信用评价（</w:t>
            </w:r>
            <w:r>
              <w:rPr>
                <w:rFonts w:hint="eastAsia" w:asciiTheme="majorEastAsia" w:hAnsiTheme="majorEastAsia" w:eastAsiaTheme="majorEastAsia"/>
                <w:color w:val="auto"/>
                <w:sz w:val="24"/>
                <w:szCs w:val="24"/>
                <w:highlight w:val="none"/>
                <w:lang w:eastAsia="zh-CN"/>
              </w:rPr>
              <w:t>2</w:t>
            </w:r>
            <w:r>
              <w:rPr>
                <w:rFonts w:hint="eastAsia" w:cs="微软雅黑" w:asciiTheme="majorEastAsia" w:hAnsiTheme="majorEastAsia" w:eastAsiaTheme="majorEastAsia"/>
                <w:color w:val="auto"/>
                <w:sz w:val="24"/>
                <w:szCs w:val="24"/>
                <w:highlight w:val="none"/>
              </w:rPr>
              <w:t>分）</w:t>
            </w:r>
          </w:p>
        </w:tc>
        <w:tc>
          <w:tcPr>
            <w:tcW w:w="5239" w:type="dxa"/>
            <w:shd w:val="clear" w:color="auto" w:fill="auto"/>
          </w:tcPr>
          <w:p w14:paraId="59B78971">
            <w:pPr>
              <w:pStyle w:val="2"/>
              <w:kinsoku/>
              <w:ind w:firstLine="480" w:firstLineChars="200"/>
              <w:rPr>
                <w:rFonts w:asciiTheme="majorEastAsia" w:hAnsiTheme="majorEastAsia" w:eastAsiaTheme="majorEastAsia" w:cstheme="minorEastAsia"/>
                <w:b w:val="0"/>
                <w:bCs w:val="0"/>
                <w:color w:val="auto"/>
                <w:spacing w:val="-13"/>
                <w:kern w:val="0"/>
                <w:sz w:val="24"/>
                <w:szCs w:val="24"/>
                <w:highlight w:val="none"/>
              </w:rPr>
            </w:pPr>
            <w:r>
              <w:rPr>
                <w:rFonts w:cs="Arial" w:asciiTheme="majorEastAsia" w:hAnsiTheme="majorEastAsia" w:eastAsiaTheme="majorEastAsia"/>
                <w:b w:val="0"/>
                <w:bCs w:val="0"/>
                <w:color w:val="auto"/>
                <w:kern w:val="0"/>
                <w:sz w:val="24"/>
                <w:szCs w:val="24"/>
                <w:highlight w:val="none"/>
              </w:rPr>
              <w:t>根据《南阳市政府采购信用评价实施法》，投标人登录“南阳市政府采购信用管理系统”打印并提交《南阳市政府采购供应商信用记录表》，作为投标(响应)文件的组成部分提交，评审时作为享受政策支持的依据。诚信指数高的供应商，在参加南阳市本级的政府采购活动时，享受政策支持，在采用综合评分法的项目中，诚信评价为满分的得2分，90-99 分（不含90分）之间得1分，90分以下的不得分。</w:t>
            </w:r>
          </w:p>
        </w:tc>
      </w:tr>
      <w:tr w14:paraId="14C64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591" w:type="dxa"/>
            <w:vMerge w:val="continue"/>
            <w:vAlign w:val="center"/>
          </w:tcPr>
          <w:p w14:paraId="09D34B49">
            <w:pPr>
              <w:pStyle w:val="26"/>
              <w:kinsoku/>
              <w:wordWrap w:val="0"/>
              <w:jc w:val="center"/>
              <w:rPr>
                <w:rFonts w:hint="eastAsia" w:asciiTheme="minorEastAsia" w:hAnsiTheme="minorEastAsia" w:eastAsiaTheme="minorEastAsia" w:cstheme="minorEastAsia"/>
                <w:color w:val="auto"/>
                <w:highlight w:val="none"/>
                <w:lang w:eastAsia="zh-CN"/>
              </w:rPr>
            </w:pPr>
          </w:p>
        </w:tc>
        <w:tc>
          <w:tcPr>
            <w:tcW w:w="1500" w:type="dxa"/>
            <w:vMerge w:val="continue"/>
            <w:vAlign w:val="center"/>
          </w:tcPr>
          <w:p w14:paraId="09FBF655">
            <w:pPr>
              <w:kinsoku/>
              <w:wordWrap w:val="0"/>
              <w:spacing w:before="157" w:line="220" w:lineRule="auto"/>
              <w:jc w:val="center"/>
              <w:rPr>
                <w:rFonts w:hint="eastAsia" w:asciiTheme="minorEastAsia" w:hAnsiTheme="minorEastAsia" w:eastAsiaTheme="minorEastAsia" w:cstheme="minorEastAsia"/>
                <w:color w:val="auto"/>
                <w:spacing w:val="-2"/>
                <w:sz w:val="24"/>
                <w:szCs w:val="24"/>
                <w:highlight w:val="none"/>
                <w:lang w:eastAsia="zh-CN"/>
              </w:rPr>
            </w:pPr>
          </w:p>
        </w:tc>
        <w:tc>
          <w:tcPr>
            <w:tcW w:w="1005" w:type="dxa"/>
            <w:shd w:val="clear" w:color="auto" w:fill="auto"/>
            <w:vAlign w:val="center"/>
          </w:tcPr>
          <w:p w14:paraId="2225C0F2">
            <w:pPr>
              <w:pStyle w:val="26"/>
              <w:kinsoku/>
              <w:wordWrap w:val="0"/>
              <w:jc w:val="center"/>
              <w:rPr>
                <w:rFonts w:hint="eastAsia" w:asciiTheme="majorEastAsia" w:hAnsiTheme="majorEastAsia" w:eastAsiaTheme="majorEastAsia" w:cstheme="minorEastAsia"/>
                <w:color w:val="auto"/>
                <w:spacing w:val="-13"/>
                <w:sz w:val="24"/>
                <w:szCs w:val="24"/>
                <w:highlight w:val="none"/>
                <w:lang w:eastAsia="zh-CN"/>
              </w:rPr>
            </w:pPr>
            <w:r>
              <w:rPr>
                <w:rFonts w:hint="eastAsia" w:asciiTheme="majorEastAsia" w:hAnsiTheme="majorEastAsia" w:eastAsiaTheme="majorEastAsia" w:cstheme="minorEastAsia"/>
                <w:color w:val="auto"/>
                <w:spacing w:val="-13"/>
                <w:sz w:val="24"/>
                <w:szCs w:val="24"/>
                <w:highlight w:val="none"/>
                <w:lang w:eastAsia="zh-CN"/>
              </w:rPr>
              <w:t>业绩</w:t>
            </w:r>
          </w:p>
          <w:p w14:paraId="1D67C1E2">
            <w:pPr>
              <w:pStyle w:val="26"/>
              <w:kinsoku/>
              <w:wordWrap w:val="0"/>
              <w:jc w:val="center"/>
              <w:rPr>
                <w:rFonts w:hint="eastAsia" w:asciiTheme="majorEastAsia" w:hAnsiTheme="majorEastAsia" w:eastAsiaTheme="majorEastAsia" w:cstheme="minorEastAsia"/>
                <w:color w:val="auto"/>
                <w:spacing w:val="-13"/>
                <w:sz w:val="24"/>
                <w:szCs w:val="24"/>
                <w:highlight w:val="none"/>
              </w:rPr>
            </w:pPr>
            <w:r>
              <w:rPr>
                <w:rFonts w:hint="eastAsia" w:asciiTheme="majorEastAsia" w:hAnsiTheme="majorEastAsia" w:eastAsiaTheme="majorEastAsia" w:cstheme="minorEastAsia"/>
                <w:color w:val="auto"/>
                <w:spacing w:val="-13"/>
                <w:sz w:val="24"/>
                <w:szCs w:val="24"/>
                <w:highlight w:val="none"/>
                <w:lang w:eastAsia="zh-CN"/>
              </w:rPr>
              <w:t>（</w:t>
            </w:r>
            <w:r>
              <w:rPr>
                <w:rFonts w:hint="eastAsia" w:asciiTheme="majorEastAsia" w:hAnsiTheme="majorEastAsia" w:eastAsiaTheme="majorEastAsia" w:cstheme="minorEastAsia"/>
                <w:color w:val="auto"/>
                <w:spacing w:val="-13"/>
                <w:sz w:val="24"/>
                <w:szCs w:val="24"/>
                <w:highlight w:val="none"/>
                <w:lang w:val="en-US" w:eastAsia="zh-CN"/>
              </w:rPr>
              <w:t>3</w:t>
            </w:r>
            <w:r>
              <w:rPr>
                <w:rFonts w:hint="eastAsia" w:asciiTheme="majorEastAsia" w:hAnsiTheme="majorEastAsia" w:eastAsiaTheme="majorEastAsia" w:cstheme="minorEastAsia"/>
                <w:color w:val="auto"/>
                <w:spacing w:val="-13"/>
                <w:sz w:val="24"/>
                <w:szCs w:val="24"/>
                <w:highlight w:val="none"/>
                <w:lang w:eastAsia="zh-CN"/>
              </w:rPr>
              <w:t>分）</w:t>
            </w:r>
          </w:p>
        </w:tc>
        <w:tc>
          <w:tcPr>
            <w:tcW w:w="5239" w:type="dxa"/>
            <w:shd w:val="clear" w:color="auto" w:fill="auto"/>
          </w:tcPr>
          <w:p w14:paraId="3085B6E5">
            <w:pPr>
              <w:pStyle w:val="2"/>
              <w:ind w:firstLine="428" w:firstLineChars="200"/>
              <w:rPr>
                <w:rFonts w:asciiTheme="majorEastAsia" w:hAnsiTheme="majorEastAsia" w:eastAsiaTheme="majorEastAsia" w:cstheme="minorEastAsia"/>
                <w:b w:val="0"/>
                <w:bCs w:val="0"/>
                <w:color w:val="auto"/>
                <w:spacing w:val="-13"/>
                <w:kern w:val="0"/>
                <w:sz w:val="24"/>
                <w:szCs w:val="24"/>
                <w:highlight w:val="none"/>
              </w:rPr>
            </w:pPr>
            <w:r>
              <w:rPr>
                <w:rFonts w:asciiTheme="majorEastAsia" w:hAnsiTheme="majorEastAsia" w:eastAsiaTheme="majorEastAsia" w:cstheme="minorEastAsia"/>
                <w:b w:val="0"/>
                <w:bCs w:val="0"/>
                <w:color w:val="auto"/>
                <w:spacing w:val="-13"/>
                <w:kern w:val="0"/>
                <w:sz w:val="24"/>
                <w:szCs w:val="24"/>
                <w:highlight w:val="none"/>
              </w:rPr>
              <w:t>投标人或生产厂家提供2023年以来同类项目业绩合同，每份得</w:t>
            </w:r>
            <w:r>
              <w:rPr>
                <w:rFonts w:hint="eastAsia" w:asciiTheme="majorEastAsia" w:hAnsiTheme="majorEastAsia" w:eastAsiaTheme="majorEastAsia" w:cstheme="minorEastAsia"/>
                <w:b w:val="0"/>
                <w:bCs w:val="0"/>
                <w:color w:val="auto"/>
                <w:spacing w:val="-13"/>
                <w:kern w:val="0"/>
                <w:sz w:val="24"/>
                <w:szCs w:val="24"/>
                <w:highlight w:val="none"/>
                <w:lang w:val="en-US" w:eastAsia="zh-CN"/>
              </w:rPr>
              <w:t>1</w:t>
            </w:r>
            <w:r>
              <w:rPr>
                <w:rFonts w:asciiTheme="majorEastAsia" w:hAnsiTheme="majorEastAsia" w:eastAsiaTheme="majorEastAsia" w:cstheme="minorEastAsia"/>
                <w:b w:val="0"/>
                <w:bCs w:val="0"/>
                <w:color w:val="auto"/>
                <w:spacing w:val="-13"/>
                <w:kern w:val="0"/>
                <w:sz w:val="24"/>
                <w:szCs w:val="24"/>
                <w:highlight w:val="none"/>
              </w:rPr>
              <w:t>分，最多得</w:t>
            </w:r>
            <w:r>
              <w:rPr>
                <w:rFonts w:hint="eastAsia" w:asciiTheme="majorEastAsia" w:hAnsiTheme="majorEastAsia" w:eastAsiaTheme="majorEastAsia" w:cstheme="minorEastAsia"/>
                <w:b w:val="0"/>
                <w:bCs w:val="0"/>
                <w:color w:val="auto"/>
                <w:spacing w:val="-13"/>
                <w:kern w:val="0"/>
                <w:sz w:val="24"/>
                <w:szCs w:val="24"/>
                <w:highlight w:val="none"/>
                <w:lang w:val="en-US" w:eastAsia="zh-CN"/>
              </w:rPr>
              <w:t>3</w:t>
            </w:r>
            <w:r>
              <w:rPr>
                <w:rFonts w:asciiTheme="majorEastAsia" w:hAnsiTheme="majorEastAsia" w:eastAsiaTheme="majorEastAsia" w:cstheme="minorEastAsia"/>
                <w:b w:val="0"/>
                <w:bCs w:val="0"/>
                <w:color w:val="auto"/>
                <w:spacing w:val="-13"/>
                <w:kern w:val="0"/>
                <w:sz w:val="24"/>
                <w:szCs w:val="24"/>
                <w:highlight w:val="none"/>
              </w:rPr>
              <w:t>分，投标时提供合同扫描件。</w:t>
            </w:r>
          </w:p>
        </w:tc>
      </w:tr>
      <w:tr w14:paraId="28FF2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091" w:type="dxa"/>
            <w:gridSpan w:val="2"/>
          </w:tcPr>
          <w:p w14:paraId="71BEB377">
            <w:pPr>
              <w:kinsoku/>
              <w:wordWrap w:val="0"/>
              <w:spacing w:before="42" w:line="206" w:lineRule="auto"/>
              <w:ind w:left="932"/>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3"/>
                <w:sz w:val="24"/>
                <w:szCs w:val="24"/>
                <w:highlight w:val="none"/>
              </w:rPr>
              <w:t>合计</w:t>
            </w:r>
          </w:p>
        </w:tc>
        <w:tc>
          <w:tcPr>
            <w:tcW w:w="1005" w:type="dxa"/>
          </w:tcPr>
          <w:p w14:paraId="3BF7CA73">
            <w:pPr>
              <w:pStyle w:val="26"/>
              <w:kinsoku/>
              <w:wordWrap w:val="0"/>
              <w:spacing w:before="59" w:line="202" w:lineRule="auto"/>
              <w:ind w:left="265"/>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9"/>
                <w:sz w:val="24"/>
                <w:szCs w:val="24"/>
                <w:highlight w:val="none"/>
              </w:rPr>
              <w:t>100</w:t>
            </w:r>
          </w:p>
        </w:tc>
        <w:tc>
          <w:tcPr>
            <w:tcW w:w="5239" w:type="dxa"/>
          </w:tcPr>
          <w:p w14:paraId="2C1E7F1C">
            <w:pPr>
              <w:pStyle w:val="26"/>
              <w:kinsoku/>
              <w:wordWrap w:val="0"/>
              <w:jc w:val="both"/>
              <w:rPr>
                <w:rFonts w:hint="eastAsia" w:asciiTheme="minorEastAsia" w:hAnsiTheme="minorEastAsia" w:eastAsiaTheme="minorEastAsia" w:cstheme="minorEastAsia"/>
                <w:color w:val="auto"/>
                <w:highlight w:val="none"/>
              </w:rPr>
            </w:pPr>
          </w:p>
        </w:tc>
      </w:tr>
    </w:tbl>
    <w:p w14:paraId="60737AFE">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p>
    <w:p w14:paraId="494255F6">
      <w:pPr>
        <w:pStyle w:val="13"/>
        <w:rPr>
          <w:color w:val="auto"/>
          <w:highlight w:val="none"/>
          <w:lang w:eastAsia="zh-CN"/>
        </w:rPr>
      </w:pPr>
    </w:p>
    <w:p w14:paraId="10E8A998">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六.中标通知及签订合同</w:t>
      </w:r>
    </w:p>
    <w:p w14:paraId="48BEDCEC">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1.中标通知</w:t>
      </w:r>
    </w:p>
    <w:p w14:paraId="5D2E261F">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1.1 中标人被正式确定后，将在“河南省政府采购网”和“全国公共资源交易平台（河南省</w:t>
      </w:r>
      <w:r>
        <w:rPr>
          <w:rFonts w:hint="eastAsia" w:ascii="微软雅黑" w:hAnsi="微软雅黑" w:eastAsia="微软雅黑" w:cs="微软雅黑"/>
          <w:color w:val="auto"/>
          <w:spacing w:val="2"/>
          <w:position w:val="17"/>
          <w:sz w:val="24"/>
          <w:szCs w:val="24"/>
          <w:highlight w:val="none"/>
          <w:lang w:eastAsia="zh-CN"/>
        </w:rPr>
        <w:t>·</w:t>
      </w:r>
      <w:r>
        <w:rPr>
          <w:rFonts w:hint="eastAsia" w:asciiTheme="minorEastAsia" w:hAnsiTheme="minorEastAsia" w:eastAsiaTheme="minorEastAsia" w:cstheme="minorEastAsia"/>
          <w:color w:val="auto"/>
          <w:spacing w:val="2"/>
          <w:position w:val="17"/>
          <w:sz w:val="24"/>
          <w:szCs w:val="24"/>
          <w:highlight w:val="none"/>
          <w:lang w:eastAsia="zh-CN"/>
        </w:rPr>
        <w:t>南阳市）”上公告中标结果，同时向中标人发出《中标通知书》。</w:t>
      </w:r>
    </w:p>
    <w:p w14:paraId="4E794BAD">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1.2 《中标通知书》将作为签订合同的依据之一。</w:t>
      </w:r>
    </w:p>
    <w:p w14:paraId="1E591294">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1.3 《中标通知书》发放办法：政府采购项目通过“南阳市公共资源交易中心公共服务平台”向中标人发出电子《中标通知书》后，中标供应商可登录南阳市公共资源交易平台会员系统，自行打印加盖电子签章的《中标通知书》。</w:t>
      </w:r>
    </w:p>
    <w:p w14:paraId="5A2A6C5D">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2.签订合同</w:t>
      </w:r>
    </w:p>
    <w:p w14:paraId="288C1942">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2.1 中标供应商打印《中标通知书》后及时与采购人签订政府采购合同。合同签订后，采购人应通过“河南省电子化政府采购系统”(www.hngp.gov.cn)合同管理栏目上传合同原件扫描件完成备案。</w:t>
      </w:r>
    </w:p>
    <w:p w14:paraId="21B1BAEA">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2.2 招标文件、投标文件、答疑及澄清文件，均为签订合同的依据。</w:t>
      </w:r>
    </w:p>
    <w:p w14:paraId="3A5C76DA">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p>
    <w:p w14:paraId="08486CDB">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七.质疑与答复</w:t>
      </w:r>
    </w:p>
    <w:p w14:paraId="5D84B100">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w:t>
      </w:r>
      <w:r>
        <w:rPr>
          <w:rFonts w:asciiTheme="minorEastAsia" w:hAnsiTheme="minorEastAsia" w:eastAsiaTheme="minorEastAsia" w:cstheme="minorEastAsia"/>
          <w:color w:val="auto"/>
          <w:spacing w:val="2"/>
          <w:position w:val="17"/>
          <w:sz w:val="24"/>
          <w:szCs w:val="24"/>
          <w:highlight w:val="none"/>
          <w:lang w:eastAsia="zh-CN"/>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4687239E">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w:t>
      </w:r>
      <w:r>
        <w:rPr>
          <w:rFonts w:asciiTheme="minorEastAsia" w:hAnsiTheme="minorEastAsia" w:eastAsiaTheme="minorEastAsia" w:cstheme="minorEastAsia"/>
          <w:color w:val="auto"/>
          <w:spacing w:val="2"/>
          <w:position w:val="17"/>
          <w:sz w:val="24"/>
          <w:szCs w:val="24"/>
          <w:highlight w:val="none"/>
          <w:lang w:eastAsia="zh-CN"/>
        </w:rPr>
        <w:t>质疑函须按照财政</w:t>
      </w:r>
      <w:r>
        <w:rPr>
          <w:rFonts w:hint="eastAsia" w:asciiTheme="minorEastAsia" w:hAnsiTheme="minorEastAsia" w:eastAsiaTheme="minorEastAsia" w:cstheme="minorEastAsia"/>
          <w:color w:val="auto"/>
          <w:spacing w:val="2"/>
          <w:position w:val="17"/>
          <w:sz w:val="24"/>
          <w:szCs w:val="24"/>
          <w:highlight w:val="none"/>
          <w:lang w:eastAsia="zh-CN"/>
        </w:rPr>
        <w:t>部门</w:t>
      </w:r>
      <w:r>
        <w:rPr>
          <w:rFonts w:asciiTheme="minorEastAsia" w:hAnsiTheme="minorEastAsia" w:eastAsiaTheme="minorEastAsia" w:cstheme="minorEastAsia"/>
          <w:color w:val="auto"/>
          <w:spacing w:val="2"/>
          <w:position w:val="17"/>
          <w:sz w:val="24"/>
          <w:szCs w:val="24"/>
          <w:highlight w:val="none"/>
          <w:lang w:eastAsia="zh-CN"/>
        </w:rPr>
        <w:t>发布的质疑函范本格式编制，质疑事项应具体、明确，并有必要的事实依据和法律依据。</w:t>
      </w:r>
    </w:p>
    <w:p w14:paraId="496E3D57">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3.</w:t>
      </w:r>
      <w:r>
        <w:rPr>
          <w:rFonts w:asciiTheme="minorEastAsia" w:hAnsiTheme="minorEastAsia" w:eastAsiaTheme="minorEastAsia" w:cstheme="minorEastAsia"/>
          <w:color w:val="auto"/>
          <w:spacing w:val="2"/>
          <w:position w:val="17"/>
          <w:sz w:val="24"/>
          <w:szCs w:val="24"/>
          <w:highlight w:val="none"/>
          <w:lang w:eastAsia="zh-CN"/>
        </w:rPr>
        <w:t>接收质疑的方式：</w:t>
      </w:r>
    </w:p>
    <w:p w14:paraId="2533FD63">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 xml:space="preserve">3.1 </w:t>
      </w:r>
      <w:r>
        <w:rPr>
          <w:rFonts w:asciiTheme="minorEastAsia" w:hAnsiTheme="minorEastAsia" w:eastAsiaTheme="minorEastAsia" w:cstheme="minorEastAsia"/>
          <w:color w:val="auto"/>
          <w:spacing w:val="2"/>
          <w:position w:val="17"/>
          <w:sz w:val="24"/>
          <w:szCs w:val="24"/>
          <w:highlight w:val="none"/>
          <w:lang w:eastAsia="zh-CN"/>
        </w:rPr>
        <w:t>在线接收，请质疑人上传质疑函原件扫描件到南阳市公共资源交易系统并电话通知到项目负责人。</w:t>
      </w:r>
    </w:p>
    <w:p w14:paraId="568C7D14">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 xml:space="preserve">3.2 </w:t>
      </w:r>
      <w:r>
        <w:rPr>
          <w:rFonts w:asciiTheme="minorEastAsia" w:hAnsiTheme="minorEastAsia" w:eastAsiaTheme="minorEastAsia" w:cstheme="minorEastAsia"/>
          <w:color w:val="auto"/>
          <w:spacing w:val="2"/>
          <w:position w:val="17"/>
          <w:sz w:val="24"/>
          <w:szCs w:val="24"/>
          <w:highlight w:val="none"/>
          <w:lang w:eastAsia="zh-CN"/>
        </w:rPr>
        <w:t>书面提交，请质疑人将质疑函原件送达或邮寄至采购单位联系人和</w:t>
      </w:r>
      <w:r>
        <w:rPr>
          <w:rFonts w:hint="eastAsia" w:asciiTheme="minorEastAsia" w:hAnsiTheme="minorEastAsia" w:eastAsiaTheme="minorEastAsia" w:cstheme="minorEastAsia"/>
          <w:color w:val="auto"/>
          <w:spacing w:val="2"/>
          <w:position w:val="17"/>
          <w:sz w:val="24"/>
          <w:szCs w:val="24"/>
          <w:highlight w:val="none"/>
          <w:lang w:eastAsia="zh-CN"/>
        </w:rPr>
        <w:t>采购代理机构</w:t>
      </w:r>
      <w:r>
        <w:rPr>
          <w:rFonts w:asciiTheme="minorEastAsia" w:hAnsiTheme="minorEastAsia" w:eastAsiaTheme="minorEastAsia" w:cstheme="minorEastAsia"/>
          <w:color w:val="auto"/>
          <w:spacing w:val="2"/>
          <w:position w:val="17"/>
          <w:sz w:val="24"/>
          <w:szCs w:val="24"/>
          <w:highlight w:val="none"/>
          <w:lang w:eastAsia="zh-CN"/>
        </w:rPr>
        <w:t>项目负责人，联系方式及地址详见采购公告。</w:t>
      </w:r>
    </w:p>
    <w:p w14:paraId="66A7585B">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w:t>
      </w:r>
      <w:r>
        <w:rPr>
          <w:rFonts w:asciiTheme="minorEastAsia" w:hAnsiTheme="minorEastAsia" w:eastAsiaTheme="minorEastAsia" w:cstheme="minorEastAsia"/>
          <w:color w:val="auto"/>
          <w:spacing w:val="2"/>
          <w:position w:val="17"/>
          <w:sz w:val="24"/>
          <w:szCs w:val="24"/>
          <w:highlight w:val="none"/>
          <w:lang w:eastAsia="zh-CN"/>
        </w:rPr>
        <w:t>超出法定质疑期的、重复提出的、分次提出的或内容、形式不符合《政府采购质疑和投诉办法》的，采购人和采购代理机构可以拒收，质疑供应商将依法承担不利后果。</w:t>
      </w:r>
    </w:p>
    <w:p w14:paraId="3CF59112">
      <w:pPr>
        <w:pStyle w:val="5"/>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5.</w:t>
      </w:r>
      <w:r>
        <w:rPr>
          <w:rFonts w:asciiTheme="minorEastAsia" w:hAnsiTheme="minorEastAsia" w:eastAsiaTheme="minorEastAsia" w:cstheme="minorEastAsia"/>
          <w:color w:val="auto"/>
          <w:spacing w:val="2"/>
          <w:position w:val="17"/>
          <w:sz w:val="24"/>
          <w:szCs w:val="24"/>
          <w:highlight w:val="none"/>
          <w:lang w:eastAsia="zh-CN"/>
        </w:rPr>
        <w:t>采购人和采购代理机构在收到质疑函后7个工作日内作出答复，并以书面形式通知质疑供应商和其他有关供应商。</w:t>
      </w:r>
    </w:p>
    <w:p w14:paraId="33CB3C9A">
      <w:pPr>
        <w:kinsoku/>
        <w:wordWrap w:val="0"/>
        <w:spacing w:line="360" w:lineRule="auto"/>
        <w:jc w:val="both"/>
        <w:rPr>
          <w:rFonts w:hint="eastAsia" w:asciiTheme="minorEastAsia" w:hAnsiTheme="minorEastAsia" w:eastAsiaTheme="minorEastAsia" w:cstheme="minorEastAsia"/>
          <w:b/>
          <w:bCs/>
          <w:color w:val="auto"/>
          <w:spacing w:val="2"/>
          <w:position w:val="17"/>
          <w:sz w:val="24"/>
          <w:szCs w:val="24"/>
          <w:highlight w:val="none"/>
          <w:lang w:eastAsia="zh-CN"/>
        </w:rPr>
      </w:pPr>
      <w:r>
        <w:rPr>
          <w:rFonts w:hint="eastAsia" w:asciiTheme="minorEastAsia" w:hAnsiTheme="minorEastAsia" w:eastAsiaTheme="minorEastAsia" w:cstheme="minorEastAsia"/>
          <w:b/>
          <w:bCs/>
          <w:color w:val="auto"/>
          <w:spacing w:val="2"/>
          <w:position w:val="17"/>
          <w:sz w:val="24"/>
          <w:szCs w:val="24"/>
          <w:highlight w:val="none"/>
          <w:lang w:eastAsia="zh-CN"/>
        </w:rPr>
        <w:t>八、相关注意事项</w:t>
      </w:r>
    </w:p>
    <w:p w14:paraId="16E0AA5A">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1.开标及询标时，投标人法定代表人（负责人）或授权代表务必携带有效的身份证明，否则产生的不利后果由投标人自行承担。</w:t>
      </w:r>
    </w:p>
    <w:p w14:paraId="43F40055">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2.各投标人应保证：投标文件中涉及到的所有内容，不会出现因第三方提出侵权而引发法律及经济纠纷，不论何种情况下若发生此类情况，其相应责任由投标人自行承担。</w:t>
      </w:r>
    </w:p>
    <w:p w14:paraId="02BD9B38">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3.开标、评标期间，投标人不得向评委询问评标情况，不得进行旨在影响评标结果的活动。</w:t>
      </w:r>
    </w:p>
    <w:p w14:paraId="3EF85AC2">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4.为了保证评标的公正性，除询标外，评委不得与投标人交换意见。无论评标工作结束与否，参与评标的任何人均不得私下向外透露评标中的任何情况。</w:t>
      </w:r>
    </w:p>
    <w:p w14:paraId="58BE8CC9">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5.投标人应本着公平竞争的原则参与投标，不得用任何方式对其它投标人恶意攻击。</w:t>
      </w:r>
    </w:p>
    <w:p w14:paraId="5FA061AA">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6.投标人如有违反上述要求或违反国家法律、法规的行为，无论评标结果如何，其投标资格将被取消。</w:t>
      </w:r>
    </w:p>
    <w:p w14:paraId="212BD05D">
      <w:pPr>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br w:type="page"/>
      </w:r>
    </w:p>
    <w:p w14:paraId="0108482C">
      <w:pPr>
        <w:kinsoku/>
        <w:wordWrap w:val="0"/>
        <w:spacing w:line="360" w:lineRule="auto"/>
        <w:jc w:val="center"/>
        <w:rPr>
          <w:rFonts w:hint="eastAsia" w:asciiTheme="minorEastAsia" w:hAnsiTheme="minorEastAsia" w:eastAsiaTheme="minorEastAsia" w:cstheme="minorEastAsia"/>
          <w:color w:val="auto"/>
          <w:spacing w:val="2"/>
          <w:position w:val="17"/>
          <w:sz w:val="32"/>
          <w:szCs w:val="32"/>
          <w:highlight w:val="none"/>
          <w:lang w:eastAsia="zh-CN"/>
        </w:rPr>
      </w:pPr>
      <w:r>
        <w:rPr>
          <w:rFonts w:hint="eastAsia" w:asciiTheme="minorEastAsia" w:hAnsiTheme="minorEastAsia" w:eastAsiaTheme="minorEastAsia" w:cstheme="minorEastAsia"/>
          <w:b/>
          <w:bCs/>
          <w:color w:val="auto"/>
          <w:spacing w:val="2"/>
          <w:position w:val="17"/>
          <w:sz w:val="32"/>
          <w:szCs w:val="32"/>
          <w:highlight w:val="none"/>
          <w:lang w:eastAsia="zh-CN"/>
        </w:rPr>
        <w:t>河南省政府采购合同融资政策告知函</w:t>
      </w:r>
    </w:p>
    <w:p w14:paraId="35C577BB">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p>
    <w:p w14:paraId="738F202A">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各供应商：</w:t>
      </w:r>
    </w:p>
    <w:p w14:paraId="54D1F1C1">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欢迎贵公司参与河南省政府采购活动!</w:t>
      </w:r>
    </w:p>
    <w:p w14:paraId="153454C1">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13A42936">
      <w:pPr>
        <w:kinsoku/>
        <w:wordWrap w:val="0"/>
        <w:spacing w:line="360" w:lineRule="auto"/>
        <w:ind w:firstLine="488" w:firstLineChars="200"/>
        <w:jc w:val="both"/>
        <w:rPr>
          <w:rFonts w:hint="eastAsia" w:asciiTheme="minorEastAsia" w:hAnsiTheme="minorEastAsia" w:eastAsiaTheme="minorEastAsia" w:cstheme="minorEastAsia"/>
          <w:color w:val="auto"/>
          <w:spacing w:val="2"/>
          <w:position w:val="17"/>
          <w:sz w:val="24"/>
          <w:szCs w:val="24"/>
          <w:highlight w:val="none"/>
          <w:lang w:eastAsia="zh-CN"/>
        </w:rPr>
      </w:pPr>
      <w:r>
        <w:rPr>
          <w:rFonts w:hint="eastAsia" w:asciiTheme="minorEastAsia" w:hAnsiTheme="minorEastAsia" w:eastAsiaTheme="minorEastAsia" w:cstheme="minorEastAsia"/>
          <w:color w:val="auto"/>
          <w:spacing w:val="2"/>
          <w:position w:val="17"/>
          <w:sz w:val="24"/>
          <w:szCs w:val="24"/>
          <w:highlight w:val="none"/>
          <w:lang w:eastAsia="zh-CN"/>
        </w:rPr>
        <w:t>贷款渠道和提供贷款的金融机构，可在河南省政府采购网“河南省政府采购合同融资平台”查询联系。</w:t>
      </w:r>
    </w:p>
    <w:p w14:paraId="1BCDBFD5">
      <w:pPr>
        <w:pStyle w:val="6"/>
        <w:kinsoku/>
        <w:wordWrap w:val="0"/>
        <w:spacing w:line="360" w:lineRule="auto"/>
        <w:ind w:firstLine="430" w:firstLineChars="200"/>
        <w:jc w:val="both"/>
        <w:rPr>
          <w:rFonts w:hint="eastAsia" w:asciiTheme="minorEastAsia" w:hAnsiTheme="minorEastAsia" w:eastAsiaTheme="minorEastAsia" w:cstheme="minorEastAsia"/>
          <w:b/>
          <w:bCs/>
          <w:color w:val="auto"/>
          <w:spacing w:val="-13"/>
          <w:sz w:val="24"/>
          <w:szCs w:val="24"/>
          <w:highlight w:val="none"/>
          <w:lang w:eastAsia="zh-CN"/>
        </w:rPr>
      </w:pPr>
      <w:r>
        <w:rPr>
          <w:rFonts w:hint="eastAsia" w:asciiTheme="minorEastAsia" w:hAnsiTheme="minorEastAsia" w:eastAsiaTheme="minorEastAsia" w:cstheme="minorEastAsia"/>
          <w:b/>
          <w:bCs/>
          <w:color w:val="auto"/>
          <w:spacing w:val="-13"/>
          <w:sz w:val="24"/>
          <w:szCs w:val="24"/>
          <w:highlight w:val="none"/>
          <w:lang w:eastAsia="zh-CN"/>
        </w:rPr>
        <w:t>为更大力度激发市场活力和社会创造力，增强发展动力，进一步加强政府采购合同线上融资一站式服务（简称“政采贷”），有需求的供应商，可按上述通知要求办理政采贷。</w:t>
      </w:r>
    </w:p>
    <w:p w14:paraId="3F44FF3C">
      <w:pPr>
        <w:pStyle w:val="24"/>
        <w:wordWrap w:val="0"/>
        <w:jc w:val="both"/>
        <w:rPr>
          <w:color w:val="auto"/>
          <w:highlight w:val="none"/>
        </w:rPr>
        <w:sectPr>
          <w:footerReference r:id="rId7" w:type="default"/>
          <w:pgSz w:w="11907" w:h="16840"/>
          <w:pgMar w:top="1440" w:right="1800" w:bottom="1440" w:left="1800" w:header="878" w:footer="886" w:gutter="0"/>
          <w:pgNumType w:start="1"/>
          <w:cols w:space="720" w:num="1"/>
        </w:sectPr>
      </w:pPr>
    </w:p>
    <w:p w14:paraId="550064C2">
      <w:pPr>
        <w:pStyle w:val="6"/>
        <w:kinsoku/>
        <w:wordWrap w:val="0"/>
        <w:spacing w:before="353" w:line="219" w:lineRule="auto"/>
        <w:ind w:left="2294"/>
        <w:jc w:val="both"/>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t>第五章 政府采购合同（草案）</w:t>
      </w:r>
    </w:p>
    <w:p w14:paraId="0B2636A7">
      <w:pPr>
        <w:pStyle w:val="24"/>
        <w:jc w:val="both"/>
        <w:rPr>
          <w:color w:val="auto"/>
          <w:sz w:val="36"/>
          <w:szCs w:val="36"/>
          <w:highlight w:val="none"/>
        </w:rPr>
      </w:pPr>
    </w:p>
    <w:p w14:paraId="540B65C8">
      <w:pPr>
        <w:spacing w:line="720" w:lineRule="auto"/>
        <w:rPr>
          <w:b/>
          <w:color w:val="auto"/>
          <w:sz w:val="40"/>
          <w:szCs w:val="36"/>
          <w:highlight w:val="none"/>
          <w:lang w:eastAsia="zh-CN"/>
        </w:rPr>
      </w:pPr>
      <w:r>
        <w:rPr>
          <w:rFonts w:hint="eastAsia"/>
          <w:b/>
          <w:color w:val="auto"/>
          <w:sz w:val="40"/>
          <w:szCs w:val="36"/>
          <w:highlight w:val="none"/>
          <w:lang w:eastAsia="zh-CN"/>
        </w:rPr>
        <w:t>南阳工业学校省“双优”工程实验室建设项目</w:t>
      </w:r>
    </w:p>
    <w:p w14:paraId="544C7D93">
      <w:pPr>
        <w:spacing w:line="720" w:lineRule="auto"/>
        <w:jc w:val="center"/>
        <w:rPr>
          <w:b/>
          <w:bCs/>
          <w:color w:val="auto"/>
          <w:sz w:val="40"/>
          <w:szCs w:val="36"/>
          <w:highlight w:val="none"/>
          <w:lang w:eastAsia="zh-CN"/>
        </w:rPr>
      </w:pPr>
      <w:r>
        <w:rPr>
          <w:b/>
          <w:color w:val="auto"/>
          <w:sz w:val="40"/>
          <w:szCs w:val="36"/>
          <w:highlight w:val="none"/>
          <w:lang w:eastAsia="zh-CN"/>
        </w:rPr>
        <w:t>合同书</w:t>
      </w:r>
    </w:p>
    <w:p w14:paraId="157A5B07">
      <w:pPr>
        <w:rPr>
          <w:b/>
          <w:color w:val="auto"/>
          <w:sz w:val="32"/>
          <w:szCs w:val="28"/>
          <w:highlight w:val="none"/>
          <w:lang w:eastAsia="zh-CN"/>
        </w:rPr>
      </w:pPr>
      <w:r>
        <w:rPr>
          <w:b/>
          <w:color w:val="auto"/>
          <w:sz w:val="32"/>
          <w:szCs w:val="28"/>
          <w:highlight w:val="none"/>
          <w:lang w:eastAsia="zh-CN"/>
        </w:rPr>
        <w:t>项目名称：</w:t>
      </w:r>
    </w:p>
    <w:p w14:paraId="1202E13B">
      <w:pPr>
        <w:rPr>
          <w:b/>
          <w:color w:val="auto"/>
          <w:sz w:val="32"/>
          <w:szCs w:val="28"/>
          <w:highlight w:val="none"/>
          <w:lang w:eastAsia="zh-CN"/>
        </w:rPr>
      </w:pPr>
      <w:r>
        <w:rPr>
          <w:b/>
          <w:color w:val="auto"/>
          <w:sz w:val="32"/>
          <w:szCs w:val="28"/>
          <w:highlight w:val="none"/>
          <w:lang w:eastAsia="zh-CN"/>
        </w:rPr>
        <w:t>项目编号：</w:t>
      </w:r>
    </w:p>
    <w:p w14:paraId="13874511">
      <w:pPr>
        <w:rPr>
          <w:b/>
          <w:color w:val="auto"/>
          <w:sz w:val="24"/>
          <w:highlight w:val="none"/>
          <w:lang w:eastAsia="zh-CN"/>
        </w:rPr>
      </w:pPr>
    </w:p>
    <w:p w14:paraId="47714C3B">
      <w:pPr>
        <w:rPr>
          <w:b/>
          <w:color w:val="auto"/>
          <w:sz w:val="24"/>
          <w:highlight w:val="none"/>
          <w:lang w:eastAsia="zh-CN"/>
        </w:rPr>
      </w:pPr>
    </w:p>
    <w:p w14:paraId="60864FF8">
      <w:pPr>
        <w:rPr>
          <w:b/>
          <w:color w:val="auto"/>
          <w:sz w:val="32"/>
          <w:szCs w:val="28"/>
          <w:highlight w:val="none"/>
          <w:lang w:eastAsia="zh-CN"/>
        </w:rPr>
      </w:pPr>
      <w:r>
        <w:rPr>
          <w:b/>
          <w:color w:val="auto"/>
          <w:sz w:val="32"/>
          <w:szCs w:val="28"/>
          <w:highlight w:val="none"/>
          <w:lang w:eastAsia="zh-CN"/>
        </w:rPr>
        <w:t>甲方：</w:t>
      </w:r>
      <w:r>
        <w:rPr>
          <w:rFonts w:hint="eastAsia"/>
          <w:b/>
          <w:color w:val="auto"/>
          <w:sz w:val="32"/>
          <w:szCs w:val="28"/>
          <w:highlight w:val="none"/>
          <w:lang w:eastAsia="zh-CN"/>
        </w:rPr>
        <w:t>南阳工业学校</w:t>
      </w:r>
    </w:p>
    <w:p w14:paraId="1BB6C373">
      <w:pPr>
        <w:rPr>
          <w:b/>
          <w:color w:val="auto"/>
          <w:sz w:val="24"/>
          <w:highlight w:val="none"/>
          <w:lang w:eastAsia="zh-CN"/>
        </w:rPr>
      </w:pPr>
      <w:r>
        <w:rPr>
          <w:b/>
          <w:color w:val="auto"/>
          <w:sz w:val="32"/>
          <w:szCs w:val="28"/>
          <w:highlight w:val="none"/>
          <w:lang w:eastAsia="zh-CN"/>
        </w:rPr>
        <w:t>乙方：</w:t>
      </w:r>
      <w:r>
        <w:rPr>
          <w:b/>
          <w:color w:val="auto"/>
          <w:sz w:val="24"/>
          <w:highlight w:val="none"/>
          <w:lang w:eastAsia="zh-CN"/>
        </w:rPr>
        <w:t xml:space="preserve"> </w:t>
      </w:r>
    </w:p>
    <w:p w14:paraId="4D74CAE6">
      <w:pPr>
        <w:rPr>
          <w:b/>
          <w:color w:val="auto"/>
          <w:sz w:val="24"/>
          <w:highlight w:val="none"/>
          <w:lang w:eastAsia="zh-CN"/>
        </w:rPr>
      </w:pPr>
    </w:p>
    <w:p w14:paraId="1498B545">
      <w:pPr>
        <w:rPr>
          <w:b/>
          <w:color w:val="auto"/>
          <w:sz w:val="24"/>
          <w:highlight w:val="none"/>
          <w:lang w:eastAsia="zh-CN"/>
        </w:rPr>
      </w:pPr>
    </w:p>
    <w:p w14:paraId="416ED821">
      <w:pPr>
        <w:rPr>
          <w:b/>
          <w:color w:val="auto"/>
          <w:sz w:val="24"/>
          <w:highlight w:val="none"/>
          <w:lang w:eastAsia="zh-CN"/>
        </w:rPr>
      </w:pPr>
    </w:p>
    <w:p w14:paraId="54664F71">
      <w:pPr>
        <w:rPr>
          <w:b/>
          <w:color w:val="auto"/>
          <w:sz w:val="24"/>
          <w:highlight w:val="none"/>
          <w:lang w:eastAsia="zh-CN"/>
        </w:rPr>
      </w:pPr>
    </w:p>
    <w:p w14:paraId="740279A4">
      <w:pPr>
        <w:rPr>
          <w:b/>
          <w:color w:val="auto"/>
          <w:sz w:val="24"/>
          <w:highlight w:val="none"/>
          <w:lang w:eastAsia="zh-CN"/>
        </w:rPr>
      </w:pPr>
    </w:p>
    <w:p w14:paraId="1E016F62">
      <w:pPr>
        <w:rPr>
          <w:b/>
          <w:color w:val="auto"/>
          <w:sz w:val="32"/>
          <w:szCs w:val="28"/>
          <w:highlight w:val="none"/>
          <w:lang w:eastAsia="zh-CN"/>
        </w:rPr>
      </w:pPr>
      <w:r>
        <w:rPr>
          <w:rFonts w:hint="eastAsia"/>
          <w:b/>
          <w:color w:val="auto"/>
          <w:sz w:val="32"/>
          <w:szCs w:val="28"/>
          <w:highlight w:val="none"/>
          <w:lang w:eastAsia="zh-CN"/>
        </w:rPr>
        <w:t>签</w:t>
      </w:r>
      <w:r>
        <w:rPr>
          <w:b/>
          <w:color w:val="auto"/>
          <w:sz w:val="32"/>
          <w:szCs w:val="28"/>
          <w:highlight w:val="none"/>
          <w:lang w:eastAsia="zh-CN"/>
        </w:rPr>
        <w:t>订地</w:t>
      </w:r>
      <w:r>
        <w:rPr>
          <w:rFonts w:hint="eastAsia"/>
          <w:b/>
          <w:color w:val="auto"/>
          <w:sz w:val="32"/>
          <w:szCs w:val="28"/>
          <w:highlight w:val="none"/>
          <w:lang w:eastAsia="zh-CN"/>
        </w:rPr>
        <w:t>点</w:t>
      </w:r>
      <w:r>
        <w:rPr>
          <w:b/>
          <w:color w:val="auto"/>
          <w:sz w:val="32"/>
          <w:szCs w:val="28"/>
          <w:highlight w:val="none"/>
          <w:lang w:eastAsia="zh-CN"/>
        </w:rPr>
        <w:t>：</w:t>
      </w:r>
      <w:r>
        <w:rPr>
          <w:rFonts w:hint="eastAsia"/>
          <w:b/>
          <w:color w:val="auto"/>
          <w:sz w:val="32"/>
          <w:szCs w:val="28"/>
          <w:highlight w:val="none"/>
          <w:lang w:eastAsia="zh-CN"/>
        </w:rPr>
        <w:t>南阳工业学校</w:t>
      </w:r>
    </w:p>
    <w:p w14:paraId="381ABE2C">
      <w:pPr>
        <w:rPr>
          <w:b/>
          <w:color w:val="auto"/>
          <w:sz w:val="24"/>
          <w:highlight w:val="none"/>
          <w:lang w:eastAsia="zh-CN"/>
        </w:rPr>
      </w:pPr>
      <w:r>
        <w:rPr>
          <w:b/>
          <w:color w:val="auto"/>
          <w:spacing w:val="-1"/>
          <w:sz w:val="32"/>
          <w:szCs w:val="28"/>
          <w:highlight w:val="none"/>
          <w:lang w:eastAsia="zh-CN"/>
        </w:rPr>
        <w:t>签订日期：</w:t>
      </w:r>
      <w:r>
        <w:rPr>
          <w:rFonts w:ascii="Times New Roman" w:hAnsi="Times New Roman" w:eastAsia="Times New Roman"/>
          <w:b/>
          <w:color w:val="auto"/>
          <w:spacing w:val="-1"/>
          <w:sz w:val="32"/>
          <w:szCs w:val="28"/>
          <w:highlight w:val="none"/>
          <w:u w:val="single" w:color="000000"/>
          <w:lang w:eastAsia="zh-CN"/>
        </w:rPr>
        <w:tab/>
      </w:r>
      <w:r>
        <w:rPr>
          <w:rFonts w:hint="eastAsia" w:ascii="Times New Roman" w:hAnsi="Times New Roman"/>
          <w:b/>
          <w:color w:val="auto"/>
          <w:spacing w:val="-1"/>
          <w:sz w:val="32"/>
          <w:szCs w:val="28"/>
          <w:highlight w:val="none"/>
          <w:u w:val="single" w:color="000000"/>
          <w:lang w:eastAsia="zh-CN"/>
        </w:rPr>
        <w:t xml:space="preserve">   </w:t>
      </w:r>
      <w:r>
        <w:rPr>
          <w:b/>
          <w:color w:val="auto"/>
          <w:sz w:val="32"/>
          <w:szCs w:val="28"/>
          <w:highlight w:val="none"/>
          <w:lang w:eastAsia="zh-CN"/>
        </w:rPr>
        <w:t>年</w:t>
      </w:r>
      <w:r>
        <w:rPr>
          <w:rFonts w:ascii="Times New Roman" w:hAnsi="Times New Roman" w:eastAsia="Times New Roman"/>
          <w:b/>
          <w:color w:val="auto"/>
          <w:sz w:val="32"/>
          <w:szCs w:val="28"/>
          <w:highlight w:val="none"/>
          <w:u w:val="single" w:color="000000"/>
          <w:lang w:eastAsia="zh-CN"/>
        </w:rPr>
        <w:tab/>
      </w:r>
      <w:r>
        <w:rPr>
          <w:rFonts w:hint="eastAsia" w:ascii="Times New Roman" w:hAnsi="Times New Roman"/>
          <w:b/>
          <w:color w:val="auto"/>
          <w:sz w:val="32"/>
          <w:szCs w:val="28"/>
          <w:highlight w:val="none"/>
          <w:u w:val="single" w:color="000000"/>
          <w:lang w:eastAsia="zh-CN"/>
        </w:rPr>
        <w:t xml:space="preserve">   </w:t>
      </w:r>
      <w:r>
        <w:rPr>
          <w:b/>
          <w:color w:val="auto"/>
          <w:sz w:val="32"/>
          <w:szCs w:val="28"/>
          <w:highlight w:val="none"/>
          <w:lang w:eastAsia="zh-CN"/>
        </w:rPr>
        <w:t>月</w:t>
      </w:r>
      <w:r>
        <w:rPr>
          <w:rFonts w:ascii="Times New Roman" w:hAnsi="Times New Roman" w:eastAsia="Times New Roman"/>
          <w:b/>
          <w:color w:val="auto"/>
          <w:sz w:val="32"/>
          <w:szCs w:val="28"/>
          <w:highlight w:val="none"/>
          <w:u w:val="single" w:color="000000"/>
          <w:lang w:eastAsia="zh-CN"/>
        </w:rPr>
        <w:tab/>
      </w:r>
      <w:r>
        <w:rPr>
          <w:rFonts w:hint="eastAsia" w:ascii="Times New Roman" w:hAnsi="Times New Roman"/>
          <w:b/>
          <w:color w:val="auto"/>
          <w:sz w:val="32"/>
          <w:szCs w:val="28"/>
          <w:highlight w:val="none"/>
          <w:u w:val="single" w:color="000000"/>
          <w:lang w:eastAsia="zh-CN"/>
        </w:rPr>
        <w:t xml:space="preserve">   </w:t>
      </w:r>
      <w:r>
        <w:rPr>
          <w:b/>
          <w:color w:val="auto"/>
          <w:sz w:val="32"/>
          <w:szCs w:val="28"/>
          <w:highlight w:val="none"/>
          <w:lang w:eastAsia="zh-CN"/>
        </w:rPr>
        <w:t>日</w:t>
      </w:r>
    </w:p>
    <w:p w14:paraId="74FE60F8">
      <w:pPr>
        <w:rPr>
          <w:b/>
          <w:color w:val="auto"/>
          <w:sz w:val="24"/>
          <w:highlight w:val="none"/>
          <w:lang w:eastAsia="zh-CN"/>
        </w:rPr>
        <w:sectPr>
          <w:footerReference r:id="rId8" w:type="default"/>
          <w:pgSz w:w="11906" w:h="16838"/>
          <w:pgMar w:top="1440" w:right="1800" w:bottom="1440" w:left="1800" w:header="851" w:footer="992" w:gutter="0"/>
          <w:cols w:space="720" w:num="1"/>
          <w:docGrid w:type="lines" w:linePitch="312" w:charSpace="0"/>
        </w:sectPr>
      </w:pPr>
    </w:p>
    <w:p w14:paraId="5DDAF2C4">
      <w:pPr>
        <w:kinsoku/>
        <w:spacing w:line="360" w:lineRule="auto"/>
        <w:ind w:firstLine="724" w:firstLineChars="302"/>
        <w:rPr>
          <w:color w:val="auto"/>
          <w:sz w:val="24"/>
          <w:szCs w:val="28"/>
          <w:highlight w:val="none"/>
          <w:lang w:eastAsia="zh-CN"/>
        </w:rPr>
      </w:pPr>
      <w:r>
        <w:rPr>
          <w:rFonts w:hint="eastAsia"/>
          <w:color w:val="auto"/>
          <w:sz w:val="24"/>
          <w:szCs w:val="28"/>
          <w:highlight w:val="none"/>
          <w:lang w:eastAsia="zh-CN"/>
        </w:rPr>
        <w:t>年</w:t>
      </w:r>
      <w:r>
        <w:rPr>
          <w:color w:val="auto"/>
          <w:sz w:val="24"/>
          <w:szCs w:val="28"/>
          <w:highlight w:val="none"/>
          <w:lang w:eastAsia="zh-CN"/>
        </w:rPr>
        <w:t xml:space="preserve">  </w:t>
      </w:r>
      <w:r>
        <w:rPr>
          <w:rFonts w:hint="eastAsia"/>
          <w:color w:val="auto"/>
          <w:sz w:val="24"/>
          <w:szCs w:val="28"/>
          <w:highlight w:val="none"/>
          <w:lang w:eastAsia="zh-CN"/>
        </w:rPr>
        <w:t>月</w:t>
      </w:r>
      <w:r>
        <w:rPr>
          <w:color w:val="auto"/>
          <w:sz w:val="24"/>
          <w:szCs w:val="28"/>
          <w:highlight w:val="none"/>
          <w:lang w:eastAsia="zh-CN"/>
        </w:rPr>
        <w:t xml:space="preserve">  </w:t>
      </w:r>
      <w:r>
        <w:rPr>
          <w:rFonts w:hint="eastAsia"/>
          <w:color w:val="auto"/>
          <w:sz w:val="24"/>
          <w:szCs w:val="28"/>
          <w:highlight w:val="none"/>
          <w:lang w:eastAsia="zh-CN"/>
        </w:rPr>
        <w:t>日，南阳工业学校以公开招标方式对南阳工业学校省“双优”工程实验室建设项目进行了采购。经南阳市</w:t>
      </w:r>
      <w:r>
        <w:rPr>
          <w:rFonts w:hint="eastAsia" w:eastAsia="宋体"/>
          <w:color w:val="auto"/>
          <w:sz w:val="24"/>
          <w:szCs w:val="28"/>
          <w:highlight w:val="none"/>
          <w:lang w:eastAsia="zh-CN"/>
        </w:rPr>
        <w:t>公共资源交易中心</w:t>
      </w:r>
      <w:r>
        <w:rPr>
          <w:rFonts w:hint="eastAsia"/>
          <w:color w:val="auto"/>
          <w:sz w:val="24"/>
          <w:szCs w:val="28"/>
          <w:highlight w:val="none"/>
          <w:lang w:eastAsia="zh-CN"/>
        </w:rPr>
        <w:t xml:space="preserve">评定 </w:t>
      </w:r>
      <w:r>
        <w:rPr>
          <w:color w:val="auto"/>
          <w:sz w:val="24"/>
          <w:szCs w:val="28"/>
          <w:highlight w:val="none"/>
          <w:u w:val="single"/>
          <w:lang w:eastAsia="zh-CN"/>
        </w:rPr>
        <w:t xml:space="preserve">       </w:t>
      </w:r>
      <w:r>
        <w:rPr>
          <w:rFonts w:hint="eastAsia"/>
          <w:color w:val="auto"/>
          <w:sz w:val="24"/>
          <w:szCs w:val="28"/>
          <w:highlight w:val="none"/>
          <w:lang w:eastAsia="zh-CN"/>
        </w:rPr>
        <w:t>为该项目中标供应商。现于中标通知书发出之日起三十日内，按照采购文件确定的事项签订本合同。</w:t>
      </w:r>
    </w:p>
    <w:p w14:paraId="33A03FF7">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 xml:space="preserve">根据《中华人民共和国民法典》、《中华人民共和国政府采购法》等相关法律法规之规定，按照平等、自愿、公平和诚实信用的原则，经南阳工业学校（以下简称：甲方）和 </w:t>
      </w:r>
      <w:r>
        <w:rPr>
          <w:color w:val="auto"/>
          <w:sz w:val="24"/>
          <w:szCs w:val="28"/>
          <w:highlight w:val="none"/>
          <w:u w:val="single"/>
          <w:lang w:eastAsia="zh-CN"/>
        </w:rPr>
        <w:t xml:space="preserve">                  </w:t>
      </w:r>
      <w:r>
        <w:rPr>
          <w:rFonts w:hint="eastAsia"/>
          <w:color w:val="auto"/>
          <w:sz w:val="24"/>
          <w:szCs w:val="28"/>
          <w:highlight w:val="none"/>
          <w:lang w:eastAsia="zh-CN"/>
        </w:rPr>
        <w:t>（以下简称：乙方）协商一致，约定以下合同条款，以兹共同遵守、全面履行。</w:t>
      </w:r>
    </w:p>
    <w:p w14:paraId="25C2BCC0">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1.1 合同组成部分</w:t>
      </w:r>
    </w:p>
    <w:p w14:paraId="3ACFD94F">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下列文件为本合同的组成部分，并构成一个整体，需综合解释、相互补充。如果下列文件内容出现不一致的情形，那么在保证按照采购文件确定的事项的前提下，组成本合同的多个文件的优先适用顺序如下：</w:t>
      </w:r>
    </w:p>
    <w:p w14:paraId="52D07115">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1.1.1 本合同及其补充合同、变更协议；</w:t>
      </w:r>
    </w:p>
    <w:p w14:paraId="218F141D">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1.1.2 中标通知书；</w:t>
      </w:r>
    </w:p>
    <w:p w14:paraId="09035C14">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1.1.3 投标文件（含澄清或者说明文件）；</w:t>
      </w:r>
    </w:p>
    <w:p w14:paraId="60F01FF0">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1.1.4 招标文件（含澄清或者修改文件）；</w:t>
      </w:r>
    </w:p>
    <w:p w14:paraId="77062E9F">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1.1.5 其他相关采购文件。</w:t>
      </w:r>
    </w:p>
    <w:p w14:paraId="4337944E">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1.2 货物</w:t>
      </w:r>
    </w:p>
    <w:p w14:paraId="464148A1">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1.2.1 货物名称：详见附件1。</w:t>
      </w:r>
    </w:p>
    <w:p w14:paraId="518C2F97">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1.2.2 货物数量：详见附件1。</w:t>
      </w:r>
    </w:p>
    <w:p w14:paraId="0A0A8B4D">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1.2.3 货物质量：符合国家质量标准的全新产品。</w:t>
      </w:r>
    </w:p>
    <w:p w14:paraId="518EBB79">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1.3 价款</w:t>
      </w:r>
    </w:p>
    <w:p w14:paraId="6BBAFB21">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本合同总价为：￥</w:t>
      </w:r>
      <w:r>
        <w:rPr>
          <w:color w:val="auto"/>
          <w:sz w:val="24"/>
          <w:szCs w:val="28"/>
          <w:highlight w:val="none"/>
          <w:lang w:eastAsia="zh-CN"/>
        </w:rPr>
        <w:t xml:space="preserve">     </w:t>
      </w:r>
      <w:r>
        <w:rPr>
          <w:rFonts w:hint="eastAsia"/>
          <w:color w:val="auto"/>
          <w:sz w:val="24"/>
          <w:szCs w:val="28"/>
          <w:highlight w:val="none"/>
          <w:lang w:eastAsia="zh-CN"/>
        </w:rPr>
        <w:t xml:space="preserve">元（大写： </w:t>
      </w:r>
      <w:r>
        <w:rPr>
          <w:color w:val="auto"/>
          <w:sz w:val="24"/>
          <w:szCs w:val="28"/>
          <w:highlight w:val="none"/>
          <w:lang w:eastAsia="zh-CN"/>
        </w:rPr>
        <w:t xml:space="preserve">      </w:t>
      </w:r>
      <w:r>
        <w:rPr>
          <w:rFonts w:hint="eastAsia"/>
          <w:color w:val="auto"/>
          <w:sz w:val="24"/>
          <w:szCs w:val="28"/>
          <w:highlight w:val="none"/>
          <w:lang w:eastAsia="zh-CN"/>
        </w:rPr>
        <w:t>元人民币）。</w:t>
      </w:r>
    </w:p>
    <w:p w14:paraId="7F410996">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1.4 付款方式和发票开具方式</w:t>
      </w:r>
    </w:p>
    <w:p w14:paraId="7D19AF35">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1.4.1 付款方式：项目经采购人验收合格后，7个工作日内支付全部货款。</w:t>
      </w:r>
    </w:p>
    <w:p w14:paraId="5D637DDC">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1.4.2 发票开具方式：乙方开具合同总金额的增值税普通发票。</w:t>
      </w:r>
    </w:p>
    <w:p w14:paraId="4CE059A2">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1.5  货物交付期限、地点和方式、</w:t>
      </w:r>
    </w:p>
    <w:p w14:paraId="55DB673A">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1.5.1 交付期限：合同签订后30日内供货、安装、调试、施工完毕。</w:t>
      </w:r>
    </w:p>
    <w:p w14:paraId="5D1411EE">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1.5.2 交付地点：甲方指定交货地点；</w:t>
      </w:r>
    </w:p>
    <w:p w14:paraId="6600CCF2">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1.5.3 交付方式：乙方将所有货物送达甲方指定地点，所产生的费用收乙方全部承担。</w:t>
      </w:r>
    </w:p>
    <w:p w14:paraId="47C358EC">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1.6售后服务：</w:t>
      </w:r>
    </w:p>
    <w:p w14:paraId="2C373CFD">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（1）安装调试：所有设备均由乙方免费送货上门并安装调试；</w:t>
      </w:r>
    </w:p>
    <w:p w14:paraId="5E2B74EC">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（2）所有新安装设备免费质保期3年；质保期内乙方提供免费维修和更换。</w:t>
      </w:r>
    </w:p>
    <w:p w14:paraId="443178B8">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（3）质保期内实行免费更换和维修，售后服务响应时间为 2 小 时以内，24 小时内解决问题。如不能及时解决应提供备用设备。在每次维护完毕后提交相应的维护技术文档。</w:t>
      </w:r>
    </w:p>
    <w:p w14:paraId="38F115C4">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1.7货物的验收：</w:t>
      </w:r>
    </w:p>
    <w:p w14:paraId="13DCE1C3">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货物交付前，乙方应对货物的质量、数量等方面进行详细、全面的检验，并向甲方出具证明货物符合合同约定的文件；乙方安装调试后，在</w:t>
      </w:r>
      <w:r>
        <w:rPr>
          <w:rFonts w:hint="eastAsia"/>
          <w:color w:val="auto"/>
          <w:sz w:val="24"/>
          <w:szCs w:val="28"/>
          <w:highlight w:val="none"/>
          <w:u w:val="single"/>
          <w:lang w:eastAsia="zh-CN"/>
        </w:rPr>
        <w:t>3</w:t>
      </w:r>
      <w:r>
        <w:rPr>
          <w:rFonts w:hint="eastAsia"/>
          <w:color w:val="auto"/>
          <w:sz w:val="24"/>
          <w:szCs w:val="28"/>
          <w:highlight w:val="none"/>
          <w:lang w:eastAsia="zh-CN"/>
        </w:rPr>
        <w:t>天内通知甲方组织验收。甲方有权组织（包括依法邀请国家认可的质量检测机构参加）对乙方履约的验收，即：按照合同约定的技术、服务、安全标准，组织对每一项技术、服务、安全标准的履约情况的验收，并出具验收书。验收不合格的，乙方应负责重新提供达到本合同约定的质量要求的标准；验收合格的，验收书作为支付货款的重要依据。</w:t>
      </w:r>
      <w:r>
        <w:rPr>
          <w:color w:val="auto"/>
          <w:sz w:val="24"/>
          <w:szCs w:val="28"/>
          <w:highlight w:val="none"/>
          <w:lang w:eastAsia="zh-CN"/>
        </w:rPr>
        <w:t xml:space="preserve"> </w:t>
      </w:r>
    </w:p>
    <w:p w14:paraId="1BCDBC5A">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1.8 违约责任</w:t>
      </w:r>
    </w:p>
    <w:p w14:paraId="3EBF7940">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1.8.1 除不可抗力外，如果乙方没有按照本合同约定的期限、地点和方式交付货物，那么甲方可要求乙方支付违约金，违约金按每迟延交付货物一日的应交付而未交付货物价格的1%计算，最高限额为本合同总价的5%；迟延交付货物的违约金计算数额达到前述最高限额之日起，甲方有权在要求乙方支付违约金的同时，书面通知乙方解除本合同；</w:t>
      </w:r>
    </w:p>
    <w:p w14:paraId="529B5AB3">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1.8.2 除不可抗力外，如果甲方没有按照本合同约定的付款方式付款，那么乙方可要求甲方支付违约金，违约金按每迟延付款一日的应付而未付款的1%计算，最高限额为本合同总价的5%；迟延付款的违约金计算数额达到前述最高限额之日起，乙方有权在要求甲方支付违约金的同时，书面通知甲方解除本合同；</w:t>
      </w:r>
    </w:p>
    <w:p w14:paraId="2CF365B0">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1.8.3 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1090D08E">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1.8.4 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1E9D933B">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1.8.5 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260864">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1.8.6 如果出现政府采购监督管理部门在处理投诉事项期间，书面通知甲方暂停采购活动的情形，或者询问或质疑事项可能影响中标结果的，导致甲方中止履行合同的情形，均不视为甲方违约。</w:t>
      </w:r>
    </w:p>
    <w:p w14:paraId="341CA285">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1.8.7关于本项目货物产生的知识产权归甲方所有，</w:t>
      </w:r>
    </w:p>
    <w:p w14:paraId="49939904">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1.8.8乙方交付的全部货物,均采用本行业通用的方式进行包装，没有通用方式的，应当采取足以保护货物的包装方式，且该包装应符合国家有关包装的法律、法规的规定。 如有必要，包装应适用于远距离运输、防潮、防震、防锈和防粗暴装 卸，确保货物安全无损地运抵现场。由于包装不善所引起的货物锈蚀、 损坏和损失等一切风险均由乙方承担。</w:t>
      </w:r>
    </w:p>
    <w:p w14:paraId="3E61F9FB">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1.8.9甲方有权在其认为必要时，对乙方是否能够按照合同约定交付货物进行履约检查，以确保乙方所交付的货物能够依约满足甲方之项目需求，但不得因履约检查妨碍乙方的正常工作，乙方应予积极配合。</w:t>
      </w:r>
    </w:p>
    <w:p w14:paraId="4FBFEF9E">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1.9 合同争议的解决</w:t>
      </w:r>
    </w:p>
    <w:p w14:paraId="11586DA6">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本合同履行过程中发生的任何争议，双方当事人均可通过和解或者调解解决；不愿和解、调解或者和解、调解不成的，可以选择下列第2种方式解决：</w:t>
      </w:r>
    </w:p>
    <w:p w14:paraId="08732657">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1.9.1 将争议提交仲裁委员会依申请仲裁时其现行有效的仲裁规则裁决；</w:t>
      </w:r>
    </w:p>
    <w:p w14:paraId="44929173">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1.9.2 向合同签订地点的人民法院起诉。</w:t>
      </w:r>
    </w:p>
    <w:p w14:paraId="5E645A7E">
      <w:pPr>
        <w:kinsoku/>
        <w:spacing w:line="360" w:lineRule="auto"/>
        <w:ind w:firstLine="485" w:firstLineChars="202"/>
        <w:rPr>
          <w:b/>
          <w:color w:val="auto"/>
          <w:sz w:val="24"/>
          <w:szCs w:val="28"/>
          <w:highlight w:val="none"/>
          <w:lang w:eastAsia="zh-CN"/>
        </w:rPr>
      </w:pPr>
      <w:r>
        <w:rPr>
          <w:rFonts w:hint="eastAsia"/>
          <w:b/>
          <w:color w:val="auto"/>
          <w:sz w:val="24"/>
          <w:szCs w:val="28"/>
          <w:highlight w:val="none"/>
          <w:lang w:eastAsia="zh-CN"/>
        </w:rPr>
        <w:t>2.</w:t>
      </w:r>
      <w:r>
        <w:rPr>
          <w:rFonts w:hint="eastAsia" w:eastAsiaTheme="minorEastAsia"/>
          <w:b/>
          <w:color w:val="auto"/>
          <w:sz w:val="24"/>
          <w:szCs w:val="28"/>
          <w:highlight w:val="none"/>
          <w:lang w:eastAsia="zh-CN"/>
        </w:rPr>
        <w:t>1</w:t>
      </w:r>
      <w:r>
        <w:rPr>
          <w:rFonts w:hint="eastAsia"/>
          <w:b/>
          <w:color w:val="auto"/>
          <w:sz w:val="24"/>
          <w:szCs w:val="28"/>
          <w:highlight w:val="none"/>
          <w:lang w:eastAsia="zh-CN"/>
        </w:rPr>
        <w:t>合同生效</w:t>
      </w:r>
    </w:p>
    <w:p w14:paraId="4AF07A6D">
      <w:pPr>
        <w:kinsoku/>
        <w:spacing w:line="360" w:lineRule="auto"/>
        <w:ind w:firstLine="484" w:firstLineChars="202"/>
        <w:rPr>
          <w:color w:val="auto"/>
          <w:sz w:val="24"/>
          <w:szCs w:val="28"/>
          <w:highlight w:val="none"/>
          <w:lang w:eastAsia="zh-CN"/>
        </w:rPr>
      </w:pPr>
      <w:r>
        <w:rPr>
          <w:rFonts w:hint="eastAsia"/>
          <w:color w:val="auto"/>
          <w:sz w:val="24"/>
          <w:szCs w:val="28"/>
          <w:highlight w:val="none"/>
          <w:lang w:eastAsia="zh-CN"/>
        </w:rPr>
        <w:t>本合同一式六份，甲乙双方各持三份，自双方当事人盖章或者签字时生效。</w:t>
      </w:r>
    </w:p>
    <w:tbl>
      <w:tblPr>
        <w:tblStyle w:val="19"/>
        <w:tblW w:w="8897" w:type="dxa"/>
        <w:tblInd w:w="0" w:type="dxa"/>
        <w:tblLayout w:type="autofit"/>
        <w:tblCellMar>
          <w:top w:w="0" w:type="dxa"/>
          <w:left w:w="108" w:type="dxa"/>
          <w:bottom w:w="0" w:type="dxa"/>
          <w:right w:w="108" w:type="dxa"/>
        </w:tblCellMar>
      </w:tblPr>
      <w:tblGrid>
        <w:gridCol w:w="4261"/>
        <w:gridCol w:w="4636"/>
      </w:tblGrid>
      <w:tr w14:paraId="0AE29A58">
        <w:tblPrEx>
          <w:tblCellMar>
            <w:top w:w="0" w:type="dxa"/>
            <w:left w:w="108" w:type="dxa"/>
            <w:bottom w:w="0" w:type="dxa"/>
            <w:right w:w="108" w:type="dxa"/>
          </w:tblCellMar>
        </w:tblPrEx>
        <w:tc>
          <w:tcPr>
            <w:tcW w:w="4261" w:type="dxa"/>
          </w:tcPr>
          <w:p w14:paraId="06957B99">
            <w:pPr>
              <w:spacing w:line="360" w:lineRule="auto"/>
              <w:rPr>
                <w:color w:val="auto"/>
                <w:sz w:val="24"/>
                <w:szCs w:val="28"/>
                <w:highlight w:val="none"/>
              </w:rPr>
            </w:pPr>
            <w:r>
              <w:rPr>
                <w:rFonts w:hint="eastAsia"/>
                <w:color w:val="auto"/>
                <w:sz w:val="24"/>
                <w:szCs w:val="28"/>
                <w:highlight w:val="none"/>
              </w:rPr>
              <w:t>甲方：南阳工业学校</w:t>
            </w:r>
          </w:p>
        </w:tc>
        <w:tc>
          <w:tcPr>
            <w:tcW w:w="4636" w:type="dxa"/>
          </w:tcPr>
          <w:p w14:paraId="2FB34173">
            <w:pPr>
              <w:spacing w:line="360" w:lineRule="auto"/>
              <w:rPr>
                <w:color w:val="auto"/>
                <w:sz w:val="24"/>
                <w:szCs w:val="28"/>
                <w:highlight w:val="none"/>
              </w:rPr>
            </w:pPr>
            <w:r>
              <w:rPr>
                <w:rFonts w:hint="eastAsia"/>
                <w:color w:val="auto"/>
                <w:sz w:val="24"/>
                <w:szCs w:val="28"/>
                <w:highlight w:val="none"/>
              </w:rPr>
              <w:t>乙方：</w:t>
            </w:r>
            <w:r>
              <w:rPr>
                <w:color w:val="auto"/>
                <w:sz w:val="24"/>
                <w:szCs w:val="28"/>
                <w:highlight w:val="none"/>
              </w:rPr>
              <w:t xml:space="preserve"> </w:t>
            </w:r>
          </w:p>
        </w:tc>
      </w:tr>
      <w:tr w14:paraId="1BCAA6FE">
        <w:tblPrEx>
          <w:tblCellMar>
            <w:top w:w="0" w:type="dxa"/>
            <w:left w:w="108" w:type="dxa"/>
            <w:bottom w:w="0" w:type="dxa"/>
            <w:right w:w="108" w:type="dxa"/>
          </w:tblCellMar>
        </w:tblPrEx>
        <w:tc>
          <w:tcPr>
            <w:tcW w:w="4261" w:type="dxa"/>
          </w:tcPr>
          <w:p w14:paraId="3247D2F9">
            <w:pPr>
              <w:spacing w:line="360" w:lineRule="auto"/>
              <w:rPr>
                <w:color w:val="auto"/>
                <w:sz w:val="24"/>
                <w:szCs w:val="28"/>
                <w:highlight w:val="none"/>
              </w:rPr>
            </w:pPr>
            <w:r>
              <w:rPr>
                <w:rFonts w:hint="eastAsia"/>
                <w:color w:val="auto"/>
                <w:sz w:val="24"/>
                <w:szCs w:val="28"/>
                <w:highlight w:val="none"/>
              </w:rPr>
              <w:t>统一社会信用代码：</w:t>
            </w:r>
          </w:p>
        </w:tc>
        <w:tc>
          <w:tcPr>
            <w:tcW w:w="4636" w:type="dxa"/>
          </w:tcPr>
          <w:p w14:paraId="08756C5B">
            <w:pPr>
              <w:spacing w:line="360" w:lineRule="auto"/>
              <w:rPr>
                <w:color w:val="auto"/>
                <w:sz w:val="24"/>
                <w:szCs w:val="28"/>
                <w:highlight w:val="none"/>
              </w:rPr>
            </w:pPr>
            <w:r>
              <w:rPr>
                <w:rFonts w:hint="eastAsia"/>
                <w:color w:val="auto"/>
                <w:sz w:val="24"/>
                <w:szCs w:val="28"/>
                <w:highlight w:val="none"/>
              </w:rPr>
              <w:t>统一社会信用代码：</w:t>
            </w:r>
          </w:p>
        </w:tc>
      </w:tr>
      <w:tr w14:paraId="5AE9A7A1">
        <w:tblPrEx>
          <w:tblCellMar>
            <w:top w:w="0" w:type="dxa"/>
            <w:left w:w="108" w:type="dxa"/>
            <w:bottom w:w="0" w:type="dxa"/>
            <w:right w:w="108" w:type="dxa"/>
          </w:tblCellMar>
        </w:tblPrEx>
        <w:tc>
          <w:tcPr>
            <w:tcW w:w="4261" w:type="dxa"/>
          </w:tcPr>
          <w:p w14:paraId="48752023">
            <w:pPr>
              <w:spacing w:line="360" w:lineRule="auto"/>
              <w:rPr>
                <w:color w:val="auto"/>
                <w:sz w:val="24"/>
                <w:szCs w:val="28"/>
                <w:highlight w:val="none"/>
                <w:lang w:eastAsia="zh-CN"/>
              </w:rPr>
            </w:pPr>
            <w:r>
              <w:rPr>
                <w:rFonts w:hint="eastAsia"/>
                <w:color w:val="auto"/>
                <w:sz w:val="24"/>
                <w:szCs w:val="28"/>
                <w:highlight w:val="none"/>
                <w:lang w:eastAsia="zh-CN"/>
              </w:rPr>
              <w:t>住所：南阳市宛城区枣林街759号</w:t>
            </w:r>
          </w:p>
        </w:tc>
        <w:tc>
          <w:tcPr>
            <w:tcW w:w="4636" w:type="dxa"/>
          </w:tcPr>
          <w:p w14:paraId="505EAB97">
            <w:pPr>
              <w:spacing w:line="360" w:lineRule="auto"/>
              <w:ind w:left="29" w:leftChars="-272" w:hanging="600" w:hangingChars="250"/>
              <w:rPr>
                <w:color w:val="auto"/>
                <w:sz w:val="24"/>
                <w:szCs w:val="28"/>
                <w:highlight w:val="none"/>
              </w:rPr>
            </w:pPr>
            <w:r>
              <w:rPr>
                <w:rFonts w:hint="eastAsia"/>
                <w:color w:val="auto"/>
                <w:sz w:val="24"/>
                <w:szCs w:val="28"/>
                <w:highlight w:val="none"/>
              </w:rPr>
              <w:t>住所 住所：</w:t>
            </w:r>
          </w:p>
        </w:tc>
      </w:tr>
      <w:tr w14:paraId="57CC5322">
        <w:tblPrEx>
          <w:tblCellMar>
            <w:top w:w="0" w:type="dxa"/>
            <w:left w:w="108" w:type="dxa"/>
            <w:bottom w:w="0" w:type="dxa"/>
            <w:right w:w="108" w:type="dxa"/>
          </w:tblCellMar>
        </w:tblPrEx>
        <w:tc>
          <w:tcPr>
            <w:tcW w:w="4261" w:type="dxa"/>
          </w:tcPr>
          <w:p w14:paraId="50D0BB48">
            <w:pPr>
              <w:spacing w:line="360" w:lineRule="auto"/>
              <w:rPr>
                <w:color w:val="auto"/>
                <w:sz w:val="24"/>
                <w:szCs w:val="28"/>
                <w:highlight w:val="none"/>
                <w:lang w:eastAsia="zh-CN"/>
              </w:rPr>
            </w:pPr>
            <w:r>
              <w:rPr>
                <w:rFonts w:hint="eastAsia"/>
                <w:color w:val="auto"/>
                <w:sz w:val="24"/>
                <w:szCs w:val="28"/>
                <w:highlight w:val="none"/>
                <w:lang w:eastAsia="zh-CN"/>
              </w:rPr>
              <w:t>法定代表人或</w:t>
            </w:r>
          </w:p>
          <w:p w14:paraId="72AD934B">
            <w:pPr>
              <w:spacing w:line="360" w:lineRule="auto"/>
              <w:rPr>
                <w:color w:val="auto"/>
                <w:sz w:val="24"/>
                <w:szCs w:val="28"/>
                <w:highlight w:val="none"/>
                <w:lang w:eastAsia="zh-CN"/>
              </w:rPr>
            </w:pPr>
            <w:r>
              <w:rPr>
                <w:rFonts w:hint="eastAsia"/>
                <w:color w:val="auto"/>
                <w:sz w:val="24"/>
                <w:szCs w:val="28"/>
                <w:highlight w:val="none"/>
                <w:lang w:eastAsia="zh-CN"/>
              </w:rPr>
              <w:t>授权代表（签字）：</w:t>
            </w:r>
          </w:p>
        </w:tc>
        <w:tc>
          <w:tcPr>
            <w:tcW w:w="4636" w:type="dxa"/>
          </w:tcPr>
          <w:p w14:paraId="07F891CC">
            <w:pPr>
              <w:spacing w:line="360" w:lineRule="auto"/>
              <w:rPr>
                <w:color w:val="auto"/>
                <w:sz w:val="24"/>
                <w:szCs w:val="28"/>
                <w:highlight w:val="none"/>
                <w:lang w:eastAsia="zh-CN"/>
              </w:rPr>
            </w:pPr>
            <w:r>
              <w:rPr>
                <w:rFonts w:hint="eastAsia"/>
                <w:color w:val="auto"/>
                <w:sz w:val="24"/>
                <w:szCs w:val="28"/>
                <w:highlight w:val="none"/>
                <w:lang w:eastAsia="zh-CN"/>
              </w:rPr>
              <w:t>法定代表人或</w:t>
            </w:r>
          </w:p>
          <w:p w14:paraId="65FDE1CD">
            <w:pPr>
              <w:spacing w:line="360" w:lineRule="auto"/>
              <w:rPr>
                <w:color w:val="auto"/>
                <w:sz w:val="24"/>
                <w:szCs w:val="28"/>
                <w:highlight w:val="none"/>
                <w:u w:val="single"/>
                <w:lang w:eastAsia="zh-CN"/>
              </w:rPr>
            </w:pPr>
            <w:r>
              <w:rPr>
                <w:rFonts w:hint="eastAsia"/>
                <w:color w:val="auto"/>
                <w:sz w:val="24"/>
                <w:szCs w:val="28"/>
                <w:highlight w:val="none"/>
                <w:lang w:eastAsia="zh-CN"/>
              </w:rPr>
              <w:t>授权代表（签字）：</w:t>
            </w:r>
          </w:p>
        </w:tc>
      </w:tr>
      <w:tr w14:paraId="72454280">
        <w:tblPrEx>
          <w:tblCellMar>
            <w:top w:w="0" w:type="dxa"/>
            <w:left w:w="108" w:type="dxa"/>
            <w:bottom w:w="0" w:type="dxa"/>
            <w:right w:w="108" w:type="dxa"/>
          </w:tblCellMar>
        </w:tblPrEx>
        <w:tc>
          <w:tcPr>
            <w:tcW w:w="4261" w:type="dxa"/>
          </w:tcPr>
          <w:p w14:paraId="549E1B23">
            <w:pPr>
              <w:spacing w:line="360" w:lineRule="auto"/>
              <w:rPr>
                <w:color w:val="auto"/>
                <w:sz w:val="24"/>
                <w:szCs w:val="28"/>
                <w:highlight w:val="none"/>
              </w:rPr>
            </w:pPr>
            <w:r>
              <w:rPr>
                <w:rFonts w:hint="eastAsia"/>
                <w:color w:val="auto"/>
                <w:sz w:val="24"/>
                <w:szCs w:val="28"/>
                <w:highlight w:val="none"/>
              </w:rPr>
              <w:t>联系人：</w:t>
            </w:r>
          </w:p>
        </w:tc>
        <w:tc>
          <w:tcPr>
            <w:tcW w:w="4636" w:type="dxa"/>
          </w:tcPr>
          <w:p w14:paraId="5083FB1C">
            <w:pPr>
              <w:spacing w:line="360" w:lineRule="auto"/>
              <w:rPr>
                <w:color w:val="auto"/>
                <w:sz w:val="24"/>
                <w:szCs w:val="28"/>
                <w:highlight w:val="none"/>
              </w:rPr>
            </w:pPr>
            <w:r>
              <w:rPr>
                <w:rFonts w:hint="eastAsia"/>
                <w:color w:val="auto"/>
                <w:sz w:val="24"/>
                <w:szCs w:val="28"/>
                <w:highlight w:val="none"/>
              </w:rPr>
              <w:t>联系人：</w:t>
            </w:r>
            <w:r>
              <w:rPr>
                <w:color w:val="auto"/>
                <w:sz w:val="24"/>
                <w:szCs w:val="28"/>
                <w:highlight w:val="none"/>
              </w:rPr>
              <w:t xml:space="preserve"> </w:t>
            </w:r>
          </w:p>
        </w:tc>
      </w:tr>
      <w:tr w14:paraId="38EFCEAD">
        <w:tblPrEx>
          <w:tblCellMar>
            <w:top w:w="0" w:type="dxa"/>
            <w:left w:w="108" w:type="dxa"/>
            <w:bottom w:w="0" w:type="dxa"/>
            <w:right w:w="108" w:type="dxa"/>
          </w:tblCellMar>
        </w:tblPrEx>
        <w:tc>
          <w:tcPr>
            <w:tcW w:w="4261" w:type="dxa"/>
          </w:tcPr>
          <w:p w14:paraId="661526D4">
            <w:pPr>
              <w:spacing w:line="360" w:lineRule="auto"/>
              <w:rPr>
                <w:color w:val="auto"/>
                <w:sz w:val="24"/>
                <w:szCs w:val="28"/>
                <w:highlight w:val="none"/>
                <w:lang w:eastAsia="zh-CN"/>
              </w:rPr>
            </w:pPr>
            <w:r>
              <w:rPr>
                <w:rFonts w:hint="eastAsia"/>
                <w:color w:val="auto"/>
                <w:sz w:val="24"/>
                <w:szCs w:val="28"/>
                <w:highlight w:val="none"/>
                <w:lang w:eastAsia="zh-CN"/>
              </w:rPr>
              <w:t>约定送达地址：南阳市宛城区枣林街759 号</w:t>
            </w:r>
          </w:p>
        </w:tc>
        <w:tc>
          <w:tcPr>
            <w:tcW w:w="4636" w:type="dxa"/>
          </w:tcPr>
          <w:p w14:paraId="547F7672">
            <w:pPr>
              <w:spacing w:line="360" w:lineRule="auto"/>
              <w:rPr>
                <w:color w:val="auto"/>
                <w:sz w:val="24"/>
                <w:szCs w:val="28"/>
                <w:highlight w:val="none"/>
                <w:lang w:eastAsia="zh-CN"/>
              </w:rPr>
            </w:pPr>
            <w:r>
              <w:rPr>
                <w:rFonts w:hint="eastAsia"/>
                <w:color w:val="auto"/>
                <w:sz w:val="24"/>
                <w:szCs w:val="28"/>
                <w:highlight w:val="none"/>
                <w:lang w:eastAsia="zh-CN"/>
              </w:rPr>
              <w:t>约定送达地址：南阳市宛城区枣林街759 号</w:t>
            </w:r>
          </w:p>
        </w:tc>
      </w:tr>
      <w:tr w14:paraId="4273F9B9">
        <w:tblPrEx>
          <w:tblCellMar>
            <w:top w:w="0" w:type="dxa"/>
            <w:left w:w="108" w:type="dxa"/>
            <w:bottom w:w="0" w:type="dxa"/>
            <w:right w:w="108" w:type="dxa"/>
          </w:tblCellMar>
        </w:tblPrEx>
        <w:tc>
          <w:tcPr>
            <w:tcW w:w="4261" w:type="dxa"/>
          </w:tcPr>
          <w:p w14:paraId="62D8A5D3">
            <w:pPr>
              <w:spacing w:line="360" w:lineRule="auto"/>
              <w:rPr>
                <w:color w:val="auto"/>
                <w:sz w:val="24"/>
                <w:szCs w:val="28"/>
                <w:highlight w:val="none"/>
              </w:rPr>
            </w:pPr>
            <w:r>
              <w:rPr>
                <w:rFonts w:hint="eastAsia"/>
                <w:color w:val="auto"/>
                <w:sz w:val="24"/>
                <w:szCs w:val="28"/>
                <w:highlight w:val="none"/>
              </w:rPr>
              <w:t>邮政编码：</w:t>
            </w:r>
          </w:p>
        </w:tc>
        <w:tc>
          <w:tcPr>
            <w:tcW w:w="4636" w:type="dxa"/>
          </w:tcPr>
          <w:p w14:paraId="2C5E8DD5">
            <w:pPr>
              <w:spacing w:line="360" w:lineRule="auto"/>
              <w:rPr>
                <w:color w:val="auto"/>
                <w:sz w:val="24"/>
                <w:szCs w:val="28"/>
                <w:highlight w:val="none"/>
              </w:rPr>
            </w:pPr>
            <w:r>
              <w:rPr>
                <w:rFonts w:hint="eastAsia"/>
                <w:color w:val="auto"/>
                <w:sz w:val="24"/>
                <w:szCs w:val="28"/>
                <w:highlight w:val="none"/>
              </w:rPr>
              <w:t>邮政编码：</w:t>
            </w:r>
          </w:p>
        </w:tc>
      </w:tr>
      <w:tr w14:paraId="2352269B">
        <w:tblPrEx>
          <w:tblCellMar>
            <w:top w:w="0" w:type="dxa"/>
            <w:left w:w="108" w:type="dxa"/>
            <w:bottom w:w="0" w:type="dxa"/>
            <w:right w:w="108" w:type="dxa"/>
          </w:tblCellMar>
        </w:tblPrEx>
        <w:tc>
          <w:tcPr>
            <w:tcW w:w="4261" w:type="dxa"/>
          </w:tcPr>
          <w:p w14:paraId="764003C6">
            <w:pPr>
              <w:spacing w:line="360" w:lineRule="auto"/>
              <w:rPr>
                <w:color w:val="auto"/>
                <w:sz w:val="24"/>
                <w:szCs w:val="28"/>
                <w:highlight w:val="none"/>
              </w:rPr>
            </w:pPr>
            <w:r>
              <w:rPr>
                <w:rFonts w:hint="eastAsia"/>
                <w:color w:val="auto"/>
                <w:sz w:val="24"/>
                <w:szCs w:val="28"/>
                <w:highlight w:val="none"/>
              </w:rPr>
              <w:t>电话：</w:t>
            </w:r>
          </w:p>
        </w:tc>
        <w:tc>
          <w:tcPr>
            <w:tcW w:w="4636" w:type="dxa"/>
          </w:tcPr>
          <w:p w14:paraId="10DDAD68">
            <w:pPr>
              <w:spacing w:line="360" w:lineRule="auto"/>
              <w:rPr>
                <w:color w:val="auto"/>
                <w:sz w:val="24"/>
                <w:szCs w:val="28"/>
                <w:highlight w:val="none"/>
              </w:rPr>
            </w:pPr>
            <w:r>
              <w:rPr>
                <w:rFonts w:hint="eastAsia"/>
                <w:color w:val="auto"/>
                <w:sz w:val="24"/>
                <w:szCs w:val="28"/>
                <w:highlight w:val="none"/>
              </w:rPr>
              <w:t>电话：</w:t>
            </w:r>
          </w:p>
        </w:tc>
      </w:tr>
      <w:tr w14:paraId="453BA2A6">
        <w:tblPrEx>
          <w:tblCellMar>
            <w:top w:w="0" w:type="dxa"/>
            <w:left w:w="108" w:type="dxa"/>
            <w:bottom w:w="0" w:type="dxa"/>
            <w:right w:w="108" w:type="dxa"/>
          </w:tblCellMar>
        </w:tblPrEx>
        <w:tc>
          <w:tcPr>
            <w:tcW w:w="4261" w:type="dxa"/>
          </w:tcPr>
          <w:p w14:paraId="219FC826">
            <w:pPr>
              <w:spacing w:line="360" w:lineRule="auto"/>
              <w:rPr>
                <w:color w:val="auto"/>
                <w:sz w:val="24"/>
                <w:szCs w:val="28"/>
                <w:highlight w:val="none"/>
              </w:rPr>
            </w:pPr>
            <w:r>
              <w:rPr>
                <w:rFonts w:hint="eastAsia"/>
                <w:color w:val="auto"/>
                <w:sz w:val="24"/>
                <w:szCs w:val="28"/>
                <w:highlight w:val="none"/>
              </w:rPr>
              <w:t>电子邮箱：</w:t>
            </w:r>
          </w:p>
        </w:tc>
        <w:tc>
          <w:tcPr>
            <w:tcW w:w="4636" w:type="dxa"/>
          </w:tcPr>
          <w:p w14:paraId="09CE2A5B">
            <w:pPr>
              <w:spacing w:line="360" w:lineRule="auto"/>
              <w:rPr>
                <w:color w:val="auto"/>
                <w:sz w:val="24"/>
                <w:szCs w:val="28"/>
                <w:highlight w:val="none"/>
              </w:rPr>
            </w:pPr>
            <w:r>
              <w:rPr>
                <w:rFonts w:hint="eastAsia"/>
                <w:color w:val="auto"/>
                <w:sz w:val="24"/>
                <w:szCs w:val="28"/>
                <w:highlight w:val="none"/>
              </w:rPr>
              <w:t>电子邮箱：</w:t>
            </w:r>
            <w:r>
              <w:rPr>
                <w:color w:val="auto"/>
                <w:sz w:val="24"/>
                <w:szCs w:val="28"/>
                <w:highlight w:val="none"/>
              </w:rPr>
              <w:t xml:space="preserve"> </w:t>
            </w:r>
          </w:p>
        </w:tc>
      </w:tr>
      <w:tr w14:paraId="21AB89A7">
        <w:tblPrEx>
          <w:tblCellMar>
            <w:top w:w="0" w:type="dxa"/>
            <w:left w:w="108" w:type="dxa"/>
            <w:bottom w:w="0" w:type="dxa"/>
            <w:right w:w="108" w:type="dxa"/>
          </w:tblCellMar>
        </w:tblPrEx>
        <w:tc>
          <w:tcPr>
            <w:tcW w:w="4261" w:type="dxa"/>
          </w:tcPr>
          <w:p w14:paraId="1BDB9FFC">
            <w:pPr>
              <w:spacing w:line="360" w:lineRule="auto"/>
              <w:rPr>
                <w:color w:val="auto"/>
                <w:sz w:val="24"/>
                <w:szCs w:val="28"/>
                <w:highlight w:val="none"/>
              </w:rPr>
            </w:pPr>
            <w:r>
              <w:rPr>
                <w:rFonts w:hint="eastAsia"/>
                <w:color w:val="auto"/>
                <w:sz w:val="24"/>
                <w:szCs w:val="28"/>
                <w:highlight w:val="none"/>
              </w:rPr>
              <w:t>开户银行：</w:t>
            </w:r>
          </w:p>
        </w:tc>
        <w:tc>
          <w:tcPr>
            <w:tcW w:w="4636" w:type="dxa"/>
          </w:tcPr>
          <w:p w14:paraId="53954CAE">
            <w:pPr>
              <w:spacing w:line="360" w:lineRule="auto"/>
              <w:rPr>
                <w:color w:val="auto"/>
                <w:sz w:val="24"/>
                <w:szCs w:val="28"/>
                <w:highlight w:val="none"/>
              </w:rPr>
            </w:pPr>
            <w:r>
              <w:rPr>
                <w:rFonts w:hint="eastAsia"/>
                <w:color w:val="auto"/>
                <w:sz w:val="24"/>
                <w:szCs w:val="28"/>
                <w:highlight w:val="none"/>
              </w:rPr>
              <w:t>开户银行：</w:t>
            </w:r>
            <w:r>
              <w:rPr>
                <w:color w:val="auto"/>
                <w:sz w:val="24"/>
                <w:szCs w:val="28"/>
                <w:highlight w:val="none"/>
              </w:rPr>
              <w:t xml:space="preserve"> </w:t>
            </w:r>
          </w:p>
        </w:tc>
      </w:tr>
      <w:tr w14:paraId="2DB2927A">
        <w:tblPrEx>
          <w:tblCellMar>
            <w:top w:w="0" w:type="dxa"/>
            <w:left w:w="108" w:type="dxa"/>
            <w:bottom w:w="0" w:type="dxa"/>
            <w:right w:w="108" w:type="dxa"/>
          </w:tblCellMar>
        </w:tblPrEx>
        <w:tc>
          <w:tcPr>
            <w:tcW w:w="4261" w:type="dxa"/>
          </w:tcPr>
          <w:p w14:paraId="4CCC885C">
            <w:pPr>
              <w:spacing w:line="360" w:lineRule="auto"/>
              <w:rPr>
                <w:color w:val="auto"/>
                <w:sz w:val="24"/>
                <w:szCs w:val="28"/>
                <w:highlight w:val="none"/>
              </w:rPr>
            </w:pPr>
            <w:r>
              <w:rPr>
                <w:rFonts w:hint="eastAsia"/>
                <w:color w:val="auto"/>
                <w:sz w:val="24"/>
                <w:szCs w:val="28"/>
                <w:highlight w:val="none"/>
              </w:rPr>
              <w:t>开户名称：</w:t>
            </w:r>
          </w:p>
        </w:tc>
        <w:tc>
          <w:tcPr>
            <w:tcW w:w="4636" w:type="dxa"/>
          </w:tcPr>
          <w:p w14:paraId="5D981034">
            <w:pPr>
              <w:spacing w:line="360" w:lineRule="auto"/>
              <w:rPr>
                <w:color w:val="auto"/>
                <w:sz w:val="24"/>
                <w:szCs w:val="28"/>
                <w:highlight w:val="none"/>
              </w:rPr>
            </w:pPr>
            <w:r>
              <w:rPr>
                <w:rFonts w:hint="eastAsia"/>
                <w:color w:val="auto"/>
                <w:sz w:val="24"/>
                <w:szCs w:val="28"/>
                <w:highlight w:val="none"/>
              </w:rPr>
              <w:t>开户名称：</w:t>
            </w:r>
            <w:r>
              <w:rPr>
                <w:color w:val="auto"/>
                <w:sz w:val="24"/>
                <w:szCs w:val="28"/>
                <w:highlight w:val="none"/>
              </w:rPr>
              <w:t xml:space="preserve"> </w:t>
            </w:r>
          </w:p>
        </w:tc>
      </w:tr>
      <w:tr w14:paraId="3D54FBC0">
        <w:tblPrEx>
          <w:tblCellMar>
            <w:top w:w="0" w:type="dxa"/>
            <w:left w:w="108" w:type="dxa"/>
            <w:bottom w:w="0" w:type="dxa"/>
            <w:right w:w="108" w:type="dxa"/>
          </w:tblCellMar>
        </w:tblPrEx>
        <w:tc>
          <w:tcPr>
            <w:tcW w:w="4261" w:type="dxa"/>
          </w:tcPr>
          <w:p w14:paraId="36AA2844">
            <w:pPr>
              <w:spacing w:line="360" w:lineRule="auto"/>
              <w:rPr>
                <w:color w:val="auto"/>
                <w:sz w:val="24"/>
                <w:szCs w:val="28"/>
                <w:highlight w:val="none"/>
              </w:rPr>
            </w:pPr>
            <w:r>
              <w:rPr>
                <w:rFonts w:hint="eastAsia"/>
                <w:color w:val="auto"/>
                <w:sz w:val="24"/>
                <w:szCs w:val="28"/>
                <w:highlight w:val="none"/>
              </w:rPr>
              <w:t>开户账号：</w:t>
            </w:r>
          </w:p>
        </w:tc>
        <w:tc>
          <w:tcPr>
            <w:tcW w:w="4636" w:type="dxa"/>
          </w:tcPr>
          <w:p w14:paraId="38D7794B">
            <w:pPr>
              <w:spacing w:line="360" w:lineRule="auto"/>
              <w:rPr>
                <w:color w:val="auto"/>
                <w:sz w:val="24"/>
                <w:szCs w:val="28"/>
                <w:highlight w:val="none"/>
              </w:rPr>
            </w:pPr>
            <w:r>
              <w:rPr>
                <w:rFonts w:hint="eastAsia"/>
                <w:color w:val="auto"/>
                <w:sz w:val="24"/>
                <w:szCs w:val="28"/>
                <w:highlight w:val="none"/>
              </w:rPr>
              <w:t>开户账号：</w:t>
            </w:r>
          </w:p>
        </w:tc>
      </w:tr>
    </w:tbl>
    <w:p w14:paraId="004AD5DC">
      <w:pPr>
        <w:pStyle w:val="6"/>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rPr>
      </w:pPr>
    </w:p>
    <w:p w14:paraId="51FB1BFB">
      <w:pPr>
        <w:rPr>
          <w:color w:val="auto"/>
          <w:highlight w:val="none"/>
        </w:rPr>
      </w:pPr>
    </w:p>
    <w:p w14:paraId="296D5BD4">
      <w:pPr>
        <w:kinsoku/>
        <w:wordWrap w:val="0"/>
        <w:spacing w:line="220" w:lineRule="auto"/>
        <w:jc w:val="both"/>
        <w:rPr>
          <w:rFonts w:hint="eastAsia" w:asciiTheme="minorEastAsia" w:hAnsiTheme="minorEastAsia" w:eastAsiaTheme="minorEastAsia" w:cstheme="minorEastAsia"/>
          <w:color w:val="auto"/>
          <w:sz w:val="24"/>
          <w:szCs w:val="24"/>
          <w:highlight w:val="none"/>
        </w:rPr>
        <w:sectPr>
          <w:headerReference r:id="rId9" w:type="default"/>
          <w:footerReference r:id="rId10" w:type="default"/>
          <w:pgSz w:w="11907" w:h="16840"/>
          <w:pgMar w:top="1440" w:right="1800" w:bottom="1440" w:left="1800" w:header="878" w:footer="886" w:gutter="0"/>
          <w:cols w:space="720" w:num="1"/>
        </w:sectPr>
      </w:pPr>
    </w:p>
    <w:p w14:paraId="6368AE9A">
      <w:pPr>
        <w:pStyle w:val="6"/>
        <w:kinsoku/>
        <w:wordWrap w:val="0"/>
        <w:spacing w:before="353" w:line="219" w:lineRule="auto"/>
        <w:ind w:left="2654"/>
        <w:jc w:val="both"/>
        <w:rPr>
          <w:rFonts w:hint="eastAsia" w:asciiTheme="minorEastAsia" w:hAnsiTheme="minorEastAsia" w:eastAsiaTheme="minorEastAsia" w:cstheme="minorEastAsia"/>
          <w:color w:val="auto"/>
          <w:sz w:val="36"/>
          <w:szCs w:val="36"/>
          <w:highlight w:val="none"/>
        </w:rPr>
      </w:pPr>
      <w:r>
        <w:rPr>
          <w:rFonts w:hint="eastAsia" w:asciiTheme="minorEastAsia" w:hAnsiTheme="minorEastAsia" w:eastAsiaTheme="minorEastAsia" w:cstheme="minorEastAsia"/>
          <w:color w:val="auto"/>
          <w:spacing w:val="-1"/>
          <w:sz w:val="36"/>
          <w:szCs w:val="36"/>
          <w:highlight w:val="none"/>
          <w14:textOutline w14:w="2311" w14:cap="flat" w14:cmpd="sng" w14:algn="ctr">
            <w14:solidFill>
              <w14:srgbClr w14:val="000000"/>
            </w14:solidFill>
            <w14:prstDash w14:val="solid"/>
            <w14:miter w14:val="0"/>
          </w14:textOutline>
        </w:rPr>
        <w:t>第</w:t>
      </w:r>
      <w: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t>六</w:t>
      </w:r>
      <w:r>
        <w:rPr>
          <w:rFonts w:hint="eastAsia" w:asciiTheme="minorEastAsia" w:hAnsiTheme="minorEastAsia" w:eastAsiaTheme="minorEastAsia" w:cstheme="minorEastAsia"/>
          <w:color w:val="auto"/>
          <w:spacing w:val="-1"/>
          <w:sz w:val="36"/>
          <w:szCs w:val="36"/>
          <w:highlight w:val="none"/>
          <w14:textOutline w14:w="2311" w14:cap="flat" w14:cmpd="sng" w14:algn="ctr">
            <w14:solidFill>
              <w14:srgbClr w14:val="000000"/>
            </w14:solidFill>
            <w14:prstDash w14:val="solid"/>
            <w14:miter w14:val="0"/>
          </w14:textOutline>
        </w:rPr>
        <w:t>章</w:t>
      </w:r>
      <w:r>
        <w:rPr>
          <w:rFonts w:hint="eastAsia" w:asciiTheme="minorEastAsia" w:hAnsiTheme="minorEastAsia" w:eastAsiaTheme="minorEastAsia" w:cstheme="minorEastAsia"/>
          <w:color w:val="auto"/>
          <w:spacing w:val="-1"/>
          <w:sz w:val="36"/>
          <w:szCs w:val="36"/>
          <w:highlight w:val="none"/>
          <w:lang w:eastAsia="zh-CN"/>
          <w14:textOutline w14:w="2311" w14:cap="flat" w14:cmpd="sng" w14:algn="ctr">
            <w14:solidFill>
              <w14:srgbClr w14:val="000000"/>
            </w14:solidFill>
            <w14:prstDash w14:val="solid"/>
            <w14:miter w14:val="0"/>
          </w14:textOutline>
        </w:rPr>
        <w:t xml:space="preserve"> </w:t>
      </w:r>
      <w:r>
        <w:rPr>
          <w:rFonts w:hint="eastAsia" w:asciiTheme="minorEastAsia" w:hAnsiTheme="minorEastAsia" w:eastAsiaTheme="minorEastAsia" w:cstheme="minorEastAsia"/>
          <w:color w:val="auto"/>
          <w:spacing w:val="-1"/>
          <w:sz w:val="36"/>
          <w:szCs w:val="36"/>
          <w:highlight w:val="none"/>
          <w14:textOutline w14:w="2311" w14:cap="flat" w14:cmpd="sng" w14:algn="ctr">
            <w14:solidFill>
              <w14:srgbClr w14:val="000000"/>
            </w14:solidFill>
            <w14:prstDash w14:val="solid"/>
            <w14:miter w14:val="0"/>
          </w14:textOutline>
        </w:rPr>
        <w:t>投标文件格式</w:t>
      </w:r>
    </w:p>
    <w:p w14:paraId="41FF3AF0">
      <w:pPr>
        <w:kinsoku/>
        <w:wordWrap w:val="0"/>
        <w:spacing w:line="253" w:lineRule="auto"/>
        <w:jc w:val="both"/>
        <w:rPr>
          <w:rFonts w:hint="eastAsia" w:asciiTheme="minorEastAsia" w:hAnsiTheme="minorEastAsia" w:eastAsiaTheme="minorEastAsia" w:cstheme="minorEastAsia"/>
          <w:color w:val="auto"/>
          <w:highlight w:val="none"/>
        </w:rPr>
      </w:pPr>
    </w:p>
    <w:p w14:paraId="7784DFBA">
      <w:pPr>
        <w:pStyle w:val="6"/>
        <w:kinsoku/>
        <w:wordWrap w:val="0"/>
        <w:spacing w:before="78" w:line="360" w:lineRule="auto"/>
        <w:ind w:left="154"/>
        <w:jc w:val="both"/>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pacing w:val="-1"/>
          <w:sz w:val="24"/>
          <w:szCs w:val="24"/>
          <w:highlight w:val="none"/>
          <w14:textOutline w14:w="1536" w14:cap="flat" w14:cmpd="sng" w14:algn="ctr">
            <w14:solidFill>
              <w14:srgbClr w14:val="000000"/>
            </w14:solidFill>
            <w14:prstDash w14:val="solid"/>
            <w14:miter w14:val="0"/>
          </w14:textOutline>
        </w:rPr>
        <w:t>投标人编制文件须知</w:t>
      </w:r>
    </w:p>
    <w:p w14:paraId="3F87DAE8">
      <w:pPr>
        <w:pStyle w:val="6"/>
        <w:kinsoku/>
        <w:wordWrap w:val="0"/>
        <w:spacing w:line="360" w:lineRule="auto"/>
        <w:ind w:firstLine="468"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1.投标人按照本部分的顺序编制投标文件（资格证明文件）、投标</w:t>
      </w:r>
      <w:r>
        <w:rPr>
          <w:rFonts w:hint="eastAsia" w:asciiTheme="minorEastAsia" w:hAnsiTheme="minorEastAsia" w:eastAsiaTheme="minorEastAsia" w:cstheme="minorEastAsia"/>
          <w:color w:val="auto"/>
          <w:spacing w:val="-4"/>
          <w:sz w:val="24"/>
          <w:szCs w:val="24"/>
          <w:highlight w:val="none"/>
          <w:lang w:eastAsia="zh-CN"/>
        </w:rPr>
        <w:t>文件（商务技术文</w:t>
      </w:r>
      <w:r>
        <w:rPr>
          <w:rFonts w:hint="eastAsia" w:asciiTheme="minorEastAsia" w:hAnsiTheme="minorEastAsia" w:eastAsiaTheme="minorEastAsia" w:cstheme="minorEastAsia"/>
          <w:color w:val="auto"/>
          <w:spacing w:val="-8"/>
          <w:sz w:val="24"/>
          <w:szCs w:val="24"/>
          <w:highlight w:val="none"/>
          <w:lang w:eastAsia="zh-CN"/>
        </w:rPr>
        <w:t>件</w:t>
      </w:r>
      <w:r>
        <w:rPr>
          <w:rFonts w:hint="eastAsia" w:asciiTheme="minorEastAsia" w:hAnsiTheme="minorEastAsia" w:eastAsiaTheme="minorEastAsia" w:cstheme="minorEastAsia"/>
          <w:color w:val="auto"/>
          <w:spacing w:val="-29"/>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eastAsia="zh-CN"/>
        </w:rPr>
        <w:t>编制中涉及格式资料的，应按照本部分提供的内容和格式（所有表格的格式可扩</w:t>
      </w:r>
      <w:r>
        <w:rPr>
          <w:rFonts w:hint="eastAsia" w:asciiTheme="minorEastAsia" w:hAnsiTheme="minorEastAsia" w:eastAsiaTheme="minorEastAsia" w:cstheme="minorEastAsia"/>
          <w:color w:val="auto"/>
          <w:spacing w:val="-3"/>
          <w:sz w:val="24"/>
          <w:szCs w:val="24"/>
          <w:highlight w:val="none"/>
          <w:lang w:eastAsia="zh-CN"/>
        </w:rPr>
        <w:t>展）填写提交。</w:t>
      </w:r>
    </w:p>
    <w:p w14:paraId="59E5C554">
      <w:pPr>
        <w:pStyle w:val="6"/>
        <w:kinsoku/>
        <w:wordWrap w:val="0"/>
        <w:spacing w:line="360" w:lineRule="auto"/>
        <w:ind w:firstLine="468" w:firstLineChars="20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w:t>
      </w:r>
      <w:r>
        <w:rPr>
          <w:rFonts w:hint="eastAsia" w:asciiTheme="minorEastAsia" w:hAnsiTheme="minorEastAsia" w:eastAsiaTheme="minorEastAsia" w:cstheme="minorEastAsia"/>
          <w:color w:val="auto"/>
          <w:spacing w:val="-1"/>
          <w:sz w:val="24"/>
          <w:szCs w:val="24"/>
          <w:highlight w:val="none"/>
          <w:lang w:eastAsia="zh-CN"/>
        </w:rPr>
        <w:t>全部声明和问题的回答及所附材料必须是真实的、准确的和完整</w:t>
      </w:r>
      <w:r>
        <w:rPr>
          <w:rFonts w:hint="eastAsia" w:asciiTheme="minorEastAsia" w:hAnsiTheme="minorEastAsia" w:eastAsiaTheme="minorEastAsia" w:cstheme="minorEastAsia"/>
          <w:color w:val="auto"/>
          <w:spacing w:val="-2"/>
          <w:sz w:val="24"/>
          <w:szCs w:val="24"/>
          <w:highlight w:val="none"/>
          <w:lang w:eastAsia="zh-CN"/>
        </w:rPr>
        <w:t>的。</w:t>
      </w:r>
    </w:p>
    <w:p w14:paraId="5ED0198E">
      <w:pPr>
        <w:kinsoku/>
        <w:wordWrap w:val="0"/>
        <w:spacing w:line="219" w:lineRule="auto"/>
        <w:jc w:val="both"/>
        <w:rPr>
          <w:rFonts w:hint="eastAsia" w:asciiTheme="minorEastAsia" w:hAnsiTheme="minorEastAsia" w:eastAsiaTheme="minorEastAsia" w:cstheme="minorEastAsia"/>
          <w:color w:val="auto"/>
          <w:sz w:val="24"/>
          <w:szCs w:val="24"/>
          <w:highlight w:val="none"/>
          <w:lang w:eastAsia="zh-CN"/>
        </w:rPr>
        <w:sectPr>
          <w:headerReference r:id="rId11" w:type="default"/>
          <w:footerReference r:id="rId12" w:type="default"/>
          <w:pgSz w:w="11907" w:h="16840"/>
          <w:pgMar w:top="1440" w:right="1800" w:bottom="1440" w:left="1800" w:header="878" w:footer="886" w:gutter="0"/>
          <w:cols w:space="720" w:num="1"/>
        </w:sectPr>
      </w:pPr>
    </w:p>
    <w:p w14:paraId="707147F5">
      <w:pPr>
        <w:pStyle w:val="6"/>
        <w:kinsoku/>
        <w:wordWrap w:val="0"/>
        <w:spacing w:before="78" w:line="360" w:lineRule="auto"/>
        <w:ind w:left="13"/>
        <w:jc w:val="both"/>
        <w:outlineLvl w:val="2"/>
        <w:rPr>
          <w:rFonts w:hint="eastAsia" w:asciiTheme="minorEastAsia" w:hAnsiTheme="minorEastAsia" w:eastAsiaTheme="minorEastAsia" w:cstheme="minorEastAsia"/>
          <w:color w:val="auto"/>
          <w:sz w:val="21"/>
          <w:highlight w:val="none"/>
          <w:lang w:eastAsia="zh-CN"/>
        </w:rPr>
      </w:pPr>
      <w: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t>一、资格证明文件格式</w:t>
      </w:r>
    </w:p>
    <w:p w14:paraId="44E26702">
      <w:pPr>
        <w:kinsoku/>
        <w:wordWrap w:val="0"/>
        <w:spacing w:line="360" w:lineRule="auto"/>
        <w:jc w:val="both"/>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t>1.开标一览表</w:t>
      </w:r>
    </w:p>
    <w:p w14:paraId="3C968BDF">
      <w:pPr>
        <w:kinsoku/>
        <w:wordWrap w:val="0"/>
        <w:spacing w:line="360" w:lineRule="auto"/>
        <w:jc w:val="cente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t>开标一览表</w:t>
      </w:r>
    </w:p>
    <w:tbl>
      <w:tblPr>
        <w:tblStyle w:val="19"/>
        <w:tblW w:w="8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6926"/>
      </w:tblGrid>
      <w:tr w14:paraId="72B28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vAlign w:val="center"/>
          </w:tcPr>
          <w:p w14:paraId="7680C32C">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项目名称</w:t>
            </w:r>
          </w:p>
        </w:tc>
        <w:tc>
          <w:tcPr>
            <w:tcW w:w="6926" w:type="dxa"/>
            <w:tcBorders>
              <w:top w:val="single" w:color="auto" w:sz="4" w:space="0"/>
              <w:left w:val="single" w:color="auto" w:sz="4" w:space="0"/>
              <w:bottom w:val="single" w:color="auto" w:sz="4" w:space="0"/>
              <w:right w:val="single" w:color="auto" w:sz="4" w:space="0"/>
            </w:tcBorders>
            <w:vAlign w:val="center"/>
          </w:tcPr>
          <w:p w14:paraId="44CC7508">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tc>
      </w:tr>
      <w:tr w14:paraId="12455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vAlign w:val="center"/>
          </w:tcPr>
          <w:p w14:paraId="46B56CE7">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项目编号</w:t>
            </w:r>
          </w:p>
        </w:tc>
        <w:tc>
          <w:tcPr>
            <w:tcW w:w="6926" w:type="dxa"/>
            <w:tcBorders>
              <w:top w:val="single" w:color="auto" w:sz="4" w:space="0"/>
              <w:left w:val="single" w:color="auto" w:sz="4" w:space="0"/>
              <w:bottom w:val="single" w:color="auto" w:sz="4" w:space="0"/>
              <w:right w:val="single" w:color="auto" w:sz="4" w:space="0"/>
            </w:tcBorders>
            <w:vAlign w:val="center"/>
          </w:tcPr>
          <w:p w14:paraId="391FC13F">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tc>
      </w:tr>
      <w:tr w14:paraId="36E0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vAlign w:val="center"/>
          </w:tcPr>
          <w:p w14:paraId="08AF5E84">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投标人</w:t>
            </w:r>
          </w:p>
        </w:tc>
        <w:tc>
          <w:tcPr>
            <w:tcW w:w="6926" w:type="dxa"/>
            <w:tcBorders>
              <w:top w:val="single" w:color="auto" w:sz="4" w:space="0"/>
              <w:left w:val="single" w:color="auto" w:sz="4" w:space="0"/>
              <w:bottom w:val="single" w:color="auto" w:sz="4" w:space="0"/>
              <w:right w:val="single" w:color="auto" w:sz="4" w:space="0"/>
            </w:tcBorders>
            <w:vAlign w:val="center"/>
          </w:tcPr>
          <w:p w14:paraId="4AC9B2E3">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tc>
      </w:tr>
      <w:tr w14:paraId="0C086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vAlign w:val="center"/>
          </w:tcPr>
          <w:p w14:paraId="5F7AE2C4">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投标报价</w:t>
            </w:r>
          </w:p>
        </w:tc>
        <w:tc>
          <w:tcPr>
            <w:tcW w:w="6926" w:type="dxa"/>
            <w:tcBorders>
              <w:top w:val="single" w:color="auto" w:sz="4" w:space="0"/>
              <w:left w:val="single" w:color="auto" w:sz="4" w:space="0"/>
              <w:bottom w:val="single" w:color="auto" w:sz="4" w:space="0"/>
              <w:right w:val="single" w:color="auto" w:sz="4" w:space="0"/>
            </w:tcBorders>
            <w:vAlign w:val="center"/>
          </w:tcPr>
          <w:p w14:paraId="085A51FF">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大写：（￥：）</w:t>
            </w:r>
          </w:p>
        </w:tc>
      </w:tr>
      <w:tr w14:paraId="5B8F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vAlign w:val="center"/>
          </w:tcPr>
          <w:p w14:paraId="386A150B">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交货安装时间</w:t>
            </w:r>
          </w:p>
        </w:tc>
        <w:tc>
          <w:tcPr>
            <w:tcW w:w="6926" w:type="dxa"/>
            <w:tcBorders>
              <w:top w:val="single" w:color="auto" w:sz="4" w:space="0"/>
              <w:left w:val="single" w:color="auto" w:sz="4" w:space="0"/>
              <w:bottom w:val="single" w:color="auto" w:sz="4" w:space="0"/>
              <w:right w:val="single" w:color="auto" w:sz="4" w:space="0"/>
            </w:tcBorders>
            <w:vAlign w:val="center"/>
          </w:tcPr>
          <w:p w14:paraId="58B60FFA">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tc>
      </w:tr>
      <w:tr w14:paraId="169DE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vAlign w:val="center"/>
          </w:tcPr>
          <w:p w14:paraId="34D94180">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免费质保期</w:t>
            </w:r>
          </w:p>
        </w:tc>
        <w:tc>
          <w:tcPr>
            <w:tcW w:w="6926" w:type="dxa"/>
            <w:tcBorders>
              <w:top w:val="single" w:color="auto" w:sz="4" w:space="0"/>
              <w:left w:val="single" w:color="auto" w:sz="4" w:space="0"/>
              <w:bottom w:val="single" w:color="auto" w:sz="4" w:space="0"/>
              <w:right w:val="single" w:color="auto" w:sz="4" w:space="0"/>
            </w:tcBorders>
            <w:vAlign w:val="center"/>
          </w:tcPr>
          <w:p w14:paraId="0DB29229">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年</w:t>
            </w:r>
          </w:p>
        </w:tc>
      </w:tr>
      <w:tr w14:paraId="4F0A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vAlign w:val="center"/>
          </w:tcPr>
          <w:p w14:paraId="43A8B52C">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备注</w:t>
            </w:r>
          </w:p>
        </w:tc>
        <w:tc>
          <w:tcPr>
            <w:tcW w:w="6926" w:type="dxa"/>
            <w:tcBorders>
              <w:top w:val="single" w:color="auto" w:sz="4" w:space="0"/>
              <w:left w:val="single" w:color="auto" w:sz="4" w:space="0"/>
              <w:bottom w:val="single" w:color="auto" w:sz="4" w:space="0"/>
              <w:right w:val="single" w:color="auto" w:sz="4" w:space="0"/>
            </w:tcBorders>
            <w:vAlign w:val="center"/>
          </w:tcPr>
          <w:p w14:paraId="3A3B3A64">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p w14:paraId="0D3BED44">
            <w:pPr>
              <w:kinsoku/>
              <w:wordWrap w:val="0"/>
              <w:spacing w:line="360" w:lineRule="auto"/>
              <w:jc w:val="both"/>
              <w:rPr>
                <w:rFonts w:hint="eastAsia" w:asciiTheme="minorEastAsia" w:hAnsiTheme="minorEastAsia" w:eastAsiaTheme="minorEastAsia" w:cstheme="minorEastAsia"/>
                <w:color w:val="auto"/>
                <w:spacing w:val="-8"/>
                <w:sz w:val="24"/>
                <w:szCs w:val="24"/>
                <w:highlight w:val="none"/>
                <w:lang w:eastAsia="zh-CN"/>
              </w:rPr>
            </w:pPr>
          </w:p>
        </w:tc>
      </w:tr>
    </w:tbl>
    <w:p w14:paraId="4E0EB633">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注：“开标一览表”报总价。</w:t>
      </w:r>
    </w:p>
    <w:p w14:paraId="2570AA3B">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投标人（公章）：法定代表人（负责人）或授权代表（签字）：</w:t>
      </w:r>
    </w:p>
    <w:p w14:paraId="6E3F5BE4">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pPr>
      <w:r>
        <w:rPr>
          <w:rFonts w:hint="eastAsia" w:asciiTheme="minorEastAsia" w:hAnsiTheme="minorEastAsia" w:eastAsiaTheme="minorEastAsia" w:cstheme="minorEastAsia"/>
          <w:b/>
          <w:bCs/>
          <w:color w:val="auto"/>
          <w:spacing w:val="-8"/>
          <w:sz w:val="24"/>
          <w:szCs w:val="24"/>
          <w:highlight w:val="none"/>
          <w:lang w:eastAsia="zh-CN"/>
        </w:rPr>
        <w:t>日期：</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年</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月</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日</w:t>
      </w:r>
    </w:p>
    <w:p w14:paraId="0FB53E74">
      <w:pPr>
        <w:kinsoku/>
        <w:wordWrap w:val="0"/>
        <w:spacing w:line="360" w:lineRule="auto"/>
        <w:jc w:val="both"/>
        <w:rPr>
          <w:rFonts w:hint="eastAsia" w:asciiTheme="minorEastAsia" w:hAnsiTheme="minorEastAsia" w:eastAsiaTheme="minorEastAsia" w:cstheme="minorEastAsia"/>
          <w:b/>
          <w:bCs/>
          <w:color w:val="auto"/>
          <w:spacing w:val="-8"/>
          <w:sz w:val="24"/>
          <w:szCs w:val="24"/>
          <w:highlight w:val="none"/>
          <w:lang w:eastAsia="zh-CN"/>
        </w:rPr>
        <w:sectPr>
          <w:pgSz w:w="11907" w:h="16840"/>
          <w:pgMar w:top="1440" w:right="1800" w:bottom="1440" w:left="1800" w:header="851" w:footer="992" w:gutter="0"/>
          <w:cols w:space="720" w:num="1"/>
        </w:sectPr>
      </w:pPr>
    </w:p>
    <w:p w14:paraId="3729AF19">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2.授权书格式</w:t>
      </w:r>
    </w:p>
    <w:p w14:paraId="552F2C72">
      <w:pPr>
        <w:kinsoku/>
        <w:wordWrap w:val="0"/>
        <w:spacing w:line="360" w:lineRule="auto"/>
        <w:ind w:firstLine="567"/>
        <w:jc w:val="center"/>
        <w:rPr>
          <w:rFonts w:hint="eastAsia" w:asciiTheme="minorEastAsia" w:hAnsiTheme="minorEastAsia" w:eastAsiaTheme="minorEastAsia" w:cstheme="minorEastAsia"/>
          <w:b/>
          <w:color w:val="auto"/>
          <w:sz w:val="24"/>
          <w:szCs w:val="24"/>
          <w:highlight w:val="none"/>
          <w:lang w:eastAsia="zh-CN"/>
        </w:rPr>
      </w:pPr>
    </w:p>
    <w:p w14:paraId="0DC8ED81">
      <w:pPr>
        <w:kinsoku/>
        <w:wordWrap w:val="0"/>
        <w:spacing w:line="360" w:lineRule="auto"/>
        <w:ind w:firstLine="567"/>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法定代表人（负责人）授权委托书</w:t>
      </w:r>
    </w:p>
    <w:p w14:paraId="704C2A67">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p>
    <w:p w14:paraId="3503A8A1">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委托单位：</w:t>
      </w:r>
    </w:p>
    <w:p w14:paraId="68690207">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地址：法定代表人（负责人）：</w:t>
      </w:r>
    </w:p>
    <w:p w14:paraId="1F7FA2B5">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授权代表姓名：性别：出生日期：年月日</w:t>
      </w:r>
    </w:p>
    <w:p w14:paraId="7E91BD43">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所在单位：职务：</w:t>
      </w:r>
    </w:p>
    <w:p w14:paraId="3816A66E">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身份证：现住：</w:t>
      </w:r>
    </w:p>
    <w:p w14:paraId="57FBA3CC">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兹委托参加项目事宜，并授权其全权办理以下事宜：</w:t>
      </w:r>
    </w:p>
    <w:p w14:paraId="6BC7C124">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1、参加投标活动；</w:t>
      </w:r>
    </w:p>
    <w:p w14:paraId="694981D4">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2、签订与中标事宜有关的合同。</w:t>
      </w:r>
    </w:p>
    <w:p w14:paraId="440696AE">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授权代表在办理上述事宜过程中以其自己的名义所签署的所有文件我均予以承认。</w:t>
      </w:r>
    </w:p>
    <w:p w14:paraId="4BCF63EE">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授权代表无转委托权。</w:t>
      </w:r>
    </w:p>
    <w:p w14:paraId="6E398FAE">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委托期限：至上述事宜处理完毕止。</w:t>
      </w:r>
    </w:p>
    <w:p w14:paraId="3149E778">
      <w:pPr>
        <w:pStyle w:val="18"/>
        <w:kinsoku/>
        <w:wordWrap w:val="0"/>
        <w:ind w:firstLine="480"/>
        <w:jc w:val="both"/>
        <w:rPr>
          <w:rFonts w:hint="eastAsia" w:asciiTheme="minorEastAsia" w:hAnsiTheme="minorEastAsia" w:eastAsiaTheme="minorEastAsia" w:cstheme="minorEastAsia"/>
          <w:color w:val="auto"/>
          <w:sz w:val="24"/>
          <w:szCs w:val="24"/>
          <w:highlight w:val="none"/>
        </w:rPr>
      </w:pPr>
    </w:p>
    <w:p w14:paraId="7B41B7BD">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委托单位（公章）：</w:t>
      </w:r>
    </w:p>
    <w:p w14:paraId="2332C300">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法定代表人（负责人）（签字）：</w:t>
      </w:r>
    </w:p>
    <w:p w14:paraId="6D6F9BDB">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授权代表（签字）：</w:t>
      </w:r>
    </w:p>
    <w:p w14:paraId="6DBB1DFC">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日期：</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3E7A4F72">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p>
    <w:p w14:paraId="7546AED7">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附：法定代表人（负责人）的身份证及授权代表的身份证</w:t>
      </w:r>
    </w:p>
    <w:p w14:paraId="33AE538F">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41C86CB1">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40FE90AD">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101168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21CA6FDF">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6E327947">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21639823">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4D031D6">
      <w:pPr>
        <w:kinsoku/>
        <w:wordWrap w:val="0"/>
        <w:spacing w:line="360" w:lineRule="auto"/>
        <w:jc w:val="both"/>
        <w:rPr>
          <w:rFonts w:hint="eastAsia" w:ascii="仿宋_GB2312" w:hAnsi="宋体" w:eastAsia="仿宋_GB2312"/>
          <w:color w:val="auto"/>
          <w:sz w:val="28"/>
          <w:szCs w:val="28"/>
          <w:highlight w:val="none"/>
          <w:lang w:eastAsia="zh-CN"/>
        </w:rPr>
      </w:pPr>
      <w:r>
        <w:rPr>
          <w:rFonts w:hint="eastAsia" w:asciiTheme="minorEastAsia" w:hAnsiTheme="minorEastAsia" w:eastAsiaTheme="minorEastAsia" w:cstheme="minorEastAsia"/>
          <w:b/>
          <w:color w:val="auto"/>
          <w:sz w:val="24"/>
          <w:szCs w:val="24"/>
          <w:highlight w:val="none"/>
          <w:lang w:eastAsia="zh-CN"/>
        </w:rPr>
        <w:t>3.资格声明函格式</w:t>
      </w:r>
    </w:p>
    <w:p w14:paraId="42149E48">
      <w:pPr>
        <w:kinsoku/>
        <w:wordWrap w:val="0"/>
        <w:spacing w:line="360" w:lineRule="auto"/>
        <w:jc w:val="center"/>
        <w:rPr>
          <w:rFonts w:hint="eastAsia" w:asciiTheme="minorEastAsia" w:hAnsiTheme="minorEastAsia" w:eastAsiaTheme="minorEastAsia" w:cstheme="minorEastAsia"/>
          <w:b/>
          <w:color w:val="auto"/>
          <w:sz w:val="24"/>
          <w:szCs w:val="24"/>
          <w:highlight w:val="none"/>
          <w:lang w:eastAsia="zh-CN"/>
        </w:rPr>
      </w:pPr>
    </w:p>
    <w:p w14:paraId="2C090B32">
      <w:pPr>
        <w:kinsoku/>
        <w:wordWrap w:val="0"/>
        <w:spacing w:line="360" w:lineRule="auto"/>
        <w:jc w:val="center"/>
        <w:rPr>
          <w:rFonts w:hint="eastAsia" w:ascii="仿宋_GB2312" w:hAnsi="宋体" w:eastAsia="仿宋_GB2312"/>
          <w:color w:val="auto"/>
          <w:sz w:val="28"/>
          <w:szCs w:val="28"/>
          <w:highlight w:val="none"/>
          <w:lang w:eastAsia="zh-CN"/>
        </w:rPr>
      </w:pPr>
      <w:r>
        <w:rPr>
          <w:rFonts w:hint="eastAsia" w:asciiTheme="minorEastAsia" w:hAnsiTheme="minorEastAsia" w:eastAsiaTheme="minorEastAsia" w:cstheme="minorEastAsia"/>
          <w:b/>
          <w:color w:val="auto"/>
          <w:sz w:val="24"/>
          <w:szCs w:val="24"/>
          <w:highlight w:val="none"/>
          <w:lang w:eastAsia="zh-CN"/>
        </w:rPr>
        <w:t>关于资格的声明函</w:t>
      </w:r>
    </w:p>
    <w:p w14:paraId="71FF4B3D">
      <w:pPr>
        <w:pStyle w:val="6"/>
        <w:kinsoku/>
        <w:wordWrap w:val="0"/>
        <w:spacing w:line="360" w:lineRule="auto"/>
        <w:jc w:val="both"/>
        <w:rPr>
          <w:rFonts w:hint="eastAsia" w:asciiTheme="minorEastAsia" w:hAnsiTheme="minorEastAsia" w:eastAsiaTheme="minorEastAsia" w:cstheme="minorEastAsia"/>
          <w:color w:val="auto"/>
          <w:spacing w:val="-3"/>
          <w:sz w:val="24"/>
          <w:szCs w:val="24"/>
          <w:highlight w:val="none"/>
          <w:lang w:eastAsia="zh-CN"/>
        </w:rPr>
      </w:pPr>
    </w:p>
    <w:p w14:paraId="69F64756">
      <w:pPr>
        <w:pStyle w:val="6"/>
        <w:kinsoku/>
        <w:wordWrap w:val="0"/>
        <w:spacing w:line="360" w:lineRule="auto"/>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采购人或代理机构名称：</w:t>
      </w:r>
    </w:p>
    <w:p w14:paraId="281BA8E7">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关于贵方编号为公开招标，本签字人愿意参加投标，提供“采购内容及要求”中规定的服务，并证明提交的下列文件和说明是准确的真实的。</w:t>
      </w:r>
    </w:p>
    <w:p w14:paraId="482B66A8">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1、由市场监管局签发的我方工商营业执照副本。</w:t>
      </w:r>
    </w:p>
    <w:p w14:paraId="440E1279">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2、法定代表人（负责人）授权书。</w:t>
      </w:r>
    </w:p>
    <w:p w14:paraId="6AE784D2">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3、法定代表人（负责人）或授权代表身份证（答疑时出示原件）。</w:t>
      </w:r>
    </w:p>
    <w:p w14:paraId="4EDF5676">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4、公司地址、联系电话、传真等。</w:t>
      </w:r>
    </w:p>
    <w:p w14:paraId="6904D58A">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5、法定代表人（负责人）或授权代表的联系电话。</w:t>
      </w:r>
    </w:p>
    <w:p w14:paraId="798105D1">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6、招标项目要求的其他文件。</w:t>
      </w:r>
    </w:p>
    <w:p w14:paraId="65C91856">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7、本签字人确认资格文件中的说明是真实的、准确的。</w:t>
      </w:r>
    </w:p>
    <w:p w14:paraId="6EB78D5B">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p>
    <w:p w14:paraId="12B6CE67">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p>
    <w:p w14:paraId="0A190017">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投标人（公章）：法定代表人（负责人）或授权代表（签字）：</w:t>
      </w:r>
    </w:p>
    <w:p w14:paraId="7C252E72">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p>
    <w:p w14:paraId="3973BF2E">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日期：</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bCs/>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287A139D">
      <w:pPr>
        <w:pStyle w:val="6"/>
        <w:kinsoku/>
        <w:wordWrap w:val="0"/>
        <w:spacing w:line="360" w:lineRule="auto"/>
        <w:ind w:firstLine="468" w:firstLineChars="200"/>
        <w:jc w:val="both"/>
        <w:rPr>
          <w:rFonts w:hint="eastAsia" w:asciiTheme="minorEastAsia" w:hAnsiTheme="minorEastAsia" w:eastAsiaTheme="minorEastAsia" w:cstheme="minorEastAsia"/>
          <w:color w:val="auto"/>
          <w:spacing w:val="-3"/>
          <w:sz w:val="24"/>
          <w:szCs w:val="24"/>
          <w:highlight w:val="none"/>
          <w:lang w:eastAsia="zh-CN"/>
        </w:rPr>
      </w:pPr>
    </w:p>
    <w:p w14:paraId="6E4F47F2">
      <w:pPr>
        <w:pStyle w:val="6"/>
        <w:kinsoku/>
        <w:wordWrap w:val="0"/>
        <w:spacing w:line="360" w:lineRule="auto"/>
        <w:ind w:firstLine="470" w:firstLineChars="200"/>
        <w:jc w:val="both"/>
        <w:rPr>
          <w:rFonts w:hint="eastAsia" w:asciiTheme="minorEastAsia" w:hAnsiTheme="minorEastAsia" w:eastAsiaTheme="minorEastAsia" w:cstheme="minorEastAsia"/>
          <w:color w:val="auto"/>
          <w:sz w:val="24"/>
          <w:szCs w:val="24"/>
          <w:highlight w:val="none"/>
          <w:lang w:eastAsia="zh-CN"/>
        </w:rPr>
        <w:sectPr>
          <w:headerReference r:id="rId13" w:type="default"/>
          <w:footerReference r:id="rId14"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b/>
          <w:bCs/>
          <w:color w:val="auto"/>
          <w:spacing w:val="-3"/>
          <w:sz w:val="24"/>
          <w:szCs w:val="24"/>
          <w:highlight w:val="none"/>
          <w:lang w:eastAsia="zh-CN"/>
        </w:rPr>
        <w:t>说明：供应商承诺不实的，依据《中华人民共和国政府采购法》第七十七条提</w:t>
      </w:r>
      <w:r>
        <w:rPr>
          <w:rFonts w:hint="eastAsia" w:asciiTheme="minorEastAsia" w:hAnsiTheme="minorEastAsia" w:eastAsiaTheme="minorEastAsia" w:cstheme="minorEastAsia"/>
          <w:b/>
          <w:bCs/>
          <w:color w:val="auto"/>
          <w:spacing w:val="8"/>
          <w:sz w:val="24"/>
          <w:szCs w:val="24"/>
          <w:highlight w:val="none"/>
          <w:lang w:eastAsia="zh-CN"/>
        </w:rPr>
        <w:t>供虚假材料谋取中标、</w:t>
      </w:r>
      <w:r>
        <w:rPr>
          <w:rFonts w:hint="eastAsia" w:asciiTheme="minorEastAsia" w:hAnsiTheme="minorEastAsia" w:eastAsiaTheme="minorEastAsia" w:cstheme="minorEastAsia"/>
          <w:b/>
          <w:bCs/>
          <w:color w:val="auto"/>
          <w:spacing w:val="-4"/>
          <w:sz w:val="24"/>
          <w:szCs w:val="24"/>
          <w:highlight w:val="none"/>
          <w:lang w:eastAsia="zh-CN"/>
        </w:rPr>
        <w:t>成交的有关规定予以处理。</w:t>
      </w:r>
    </w:p>
    <w:p w14:paraId="72880DE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4.承诺函格式</w:t>
      </w:r>
    </w:p>
    <w:p w14:paraId="688AC5B6">
      <w:pPr>
        <w:kinsoku/>
        <w:wordWrap w:val="0"/>
        <w:spacing w:line="360" w:lineRule="auto"/>
        <w:jc w:val="center"/>
        <w:rPr>
          <w:rFonts w:hint="eastAsia" w:asciiTheme="minorEastAsia" w:hAnsiTheme="minorEastAsia" w:eastAsiaTheme="minorEastAsia" w:cstheme="minorEastAsia"/>
          <w:b/>
          <w:bCs/>
          <w:color w:val="auto"/>
          <w:sz w:val="24"/>
          <w:szCs w:val="24"/>
          <w:highlight w:val="none"/>
          <w:lang w:eastAsia="zh-CN"/>
        </w:rPr>
      </w:pPr>
    </w:p>
    <w:p w14:paraId="2ECFD320">
      <w:pPr>
        <w:kinsoku/>
        <w:wordWrap w:val="0"/>
        <w:spacing w:line="360" w:lineRule="auto"/>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投标人承诺函</w:t>
      </w:r>
    </w:p>
    <w:p w14:paraId="75E33DB3">
      <w:pPr>
        <w:pStyle w:val="6"/>
        <w:kinsoku/>
        <w:wordWrap w:val="0"/>
        <w:spacing w:line="360" w:lineRule="auto"/>
        <w:jc w:val="both"/>
        <w:rPr>
          <w:rFonts w:hint="eastAsia" w:asciiTheme="minorEastAsia" w:hAnsiTheme="minorEastAsia" w:eastAsiaTheme="minorEastAsia" w:cstheme="minorEastAsia"/>
          <w:color w:val="auto"/>
          <w:spacing w:val="-3"/>
          <w:sz w:val="24"/>
          <w:szCs w:val="24"/>
          <w:highlight w:val="none"/>
          <w:lang w:eastAsia="zh-CN"/>
        </w:rPr>
      </w:pPr>
    </w:p>
    <w:p w14:paraId="29C2FC62">
      <w:pPr>
        <w:pStyle w:val="6"/>
        <w:kinsoku/>
        <w:wordWrap w:val="0"/>
        <w:spacing w:line="360" w:lineRule="auto"/>
        <w:jc w:val="both"/>
        <w:rPr>
          <w:rFonts w:hint="eastAsia" w:asciiTheme="minorEastAsia" w:hAnsiTheme="minorEastAsia" w:eastAsiaTheme="minorEastAsia" w:cstheme="minorEastAsia"/>
          <w:color w:val="auto"/>
          <w:spacing w:val="-3"/>
          <w:sz w:val="24"/>
          <w:szCs w:val="24"/>
          <w:highlight w:val="none"/>
          <w:lang w:eastAsia="zh-CN"/>
        </w:rPr>
      </w:pPr>
      <w:r>
        <w:rPr>
          <w:rFonts w:hint="eastAsia" w:asciiTheme="minorEastAsia" w:hAnsiTheme="minorEastAsia" w:eastAsiaTheme="minorEastAsia" w:cstheme="minorEastAsia"/>
          <w:color w:val="auto"/>
          <w:spacing w:val="-3"/>
          <w:sz w:val="24"/>
          <w:szCs w:val="24"/>
          <w:highlight w:val="none"/>
          <w:lang w:eastAsia="zh-CN"/>
        </w:rPr>
        <w:t>采购人或代理机构名称：</w:t>
      </w:r>
    </w:p>
    <w:p w14:paraId="3858F4EC">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很荣幸能参与项目编号为项目的投标。</w:t>
      </w:r>
    </w:p>
    <w:p w14:paraId="47B8D9DA">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我代表（投标人名称），在此作如下承诺：</w:t>
      </w:r>
    </w:p>
    <w:p w14:paraId="198A4B0D">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1、完全理解和接受本项目招标文件的一切规定和要求；</w:t>
      </w:r>
    </w:p>
    <w:p w14:paraId="696DF6CE">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2、我方递交的投标文件中所有的资料均为真实的、准确的，无任何虚假内容。若存在有虚假内容，我方愿意承担法律责任。</w:t>
      </w:r>
    </w:p>
    <w:p w14:paraId="3AA228CF">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若中标，我方将按照招标文件的具体规定与采购人签订供货安装调试或服务合同，并且严格按合同履行义务，按时交付使用，保证设备或服务质量符合招标文件要求，并提供优质服务。如果在合同执行过程中，发现问题，我方一定尽快对其进行调整，并承担相应的经济责任；</w:t>
      </w:r>
    </w:p>
    <w:p w14:paraId="7A045D38">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4、若中标，本承诺将成为合同不可分割的一部分，与合同具有同等的法律效力。</w:t>
      </w:r>
    </w:p>
    <w:p w14:paraId="14792D40">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5、我方同意招标文件所附的合同文本作为与采购方签约的合同文本，非经双方一致同意，不得改变原合同文本的条款。</w:t>
      </w:r>
    </w:p>
    <w:p w14:paraId="07C9A621">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6、我方保证，严格遵守《中华人民共和国政府采购法》《中华人民共和国政府采购法实施条例》《政府采购货物和服务招标投标管理办法》及其他相关法律法规的规定，若有违反上述法律法规的行为，愿意接受处罚并承担相应的法律责任。</w:t>
      </w:r>
    </w:p>
    <w:p w14:paraId="5DF6E41A">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p>
    <w:p w14:paraId="6399A86A">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投标人（公章）：法定代表人（负责人）或授权代表（签字）：</w:t>
      </w:r>
    </w:p>
    <w:p w14:paraId="18DEC4B9">
      <w:pPr>
        <w:kinsoku/>
        <w:wordWrap w:val="0"/>
        <w:spacing w:line="360" w:lineRule="auto"/>
        <w:ind w:firstLine="720" w:firstLineChars="3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352DBB5C">
      <w:pPr>
        <w:kinsoku/>
        <w:wordWrap w:val="0"/>
        <w:spacing w:line="256" w:lineRule="auto"/>
        <w:jc w:val="both"/>
        <w:rPr>
          <w:rFonts w:hint="eastAsia" w:asciiTheme="minorEastAsia" w:hAnsiTheme="minorEastAsia" w:eastAsiaTheme="minorEastAsia" w:cstheme="minorEastAsia"/>
          <w:color w:val="auto"/>
          <w:highlight w:val="none"/>
          <w:lang w:eastAsia="zh-CN"/>
        </w:rPr>
      </w:pPr>
    </w:p>
    <w:p w14:paraId="36797D35">
      <w:pPr>
        <w:kinsoku/>
        <w:wordWrap w:val="0"/>
        <w:spacing w:line="256" w:lineRule="auto"/>
        <w:jc w:val="both"/>
        <w:rPr>
          <w:rFonts w:hint="eastAsia" w:asciiTheme="minorEastAsia" w:hAnsiTheme="minorEastAsia" w:eastAsiaTheme="minorEastAsia" w:cstheme="minorEastAsia"/>
          <w:color w:val="auto"/>
          <w:highlight w:val="none"/>
          <w:lang w:eastAsia="zh-CN"/>
        </w:rPr>
      </w:pPr>
    </w:p>
    <w:p w14:paraId="6DC52A5A">
      <w:pPr>
        <w:kinsoku/>
        <w:wordWrap w:val="0"/>
        <w:spacing w:line="256" w:lineRule="auto"/>
        <w:jc w:val="both"/>
        <w:rPr>
          <w:rFonts w:hint="eastAsia" w:asciiTheme="minorEastAsia" w:hAnsiTheme="minorEastAsia" w:eastAsiaTheme="minorEastAsia" w:cstheme="minorEastAsia"/>
          <w:color w:val="auto"/>
          <w:highlight w:val="none"/>
          <w:lang w:eastAsia="zh-CN"/>
        </w:rPr>
      </w:pPr>
    </w:p>
    <w:p w14:paraId="3FF69F34">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734665EE">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6EC145B5">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079C207A">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5.营业执照副本或其他资格证明文件</w:t>
      </w:r>
    </w:p>
    <w:p w14:paraId="0B969535">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6.具有履行合同所必需的设备和专业技术能力的承诺</w:t>
      </w:r>
    </w:p>
    <w:p w14:paraId="2AE6BE2A">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7.依法缴纳税收和社会保障资金的缴费凭证(提供近半年内任意三个月的有效凭证)</w:t>
      </w:r>
    </w:p>
    <w:p w14:paraId="711A15AA">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8.良好的商业信誉和健全的财务会计制度的证明文件</w:t>
      </w:r>
    </w:p>
    <w:p w14:paraId="10BE14BF">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1）提供本单位上年度经会计师事务所出具的审计报告或本公司出具的财务报表或提供银行出具的证明文件。银行出具的证明文件应能说明该投标人与银行之间业务往来正常，企业信誉良好等。（2）投标人提供企业有关财务会计制度。</w:t>
      </w:r>
    </w:p>
    <w:p w14:paraId="672E8BC5">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9.投标人出具参加政府采购活动前三年内，在经营活动中没有重大违法记录的书面声明（加盖单位公章）</w:t>
      </w:r>
    </w:p>
    <w:p w14:paraId="7FB50118">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DF7F193">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0BFB77FC">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4936C162">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4A5A757">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72118D2B">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26619F49">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0A288652">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4FB5A040">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05D19464">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4366B56">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46C0A61F">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67B1D1F8">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2BD107B6">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0D21AB2F">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FB0EA49">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2118E5E9">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5338EAFE">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499BF9D3">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7FCBEE89">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10.投标人诚信承诺书</w:t>
      </w:r>
    </w:p>
    <w:p w14:paraId="4D8B0AA2">
      <w:pPr>
        <w:kinsoku/>
        <w:wordWrap w:val="0"/>
        <w:spacing w:line="360" w:lineRule="auto"/>
        <w:jc w:val="center"/>
        <w:rPr>
          <w:rFonts w:hint="eastAsia" w:asciiTheme="minorEastAsia" w:hAnsiTheme="minorEastAsia" w:eastAsiaTheme="minorEastAsia" w:cstheme="minorEastAsia"/>
          <w:b/>
          <w:bCs/>
          <w:color w:val="auto"/>
          <w:sz w:val="24"/>
          <w:szCs w:val="24"/>
          <w:highlight w:val="none"/>
          <w:lang w:eastAsia="zh-CN"/>
        </w:rPr>
      </w:pPr>
    </w:p>
    <w:p w14:paraId="6A23D545">
      <w:pPr>
        <w:kinsoku/>
        <w:wordWrap w:val="0"/>
        <w:spacing w:line="360" w:lineRule="auto"/>
        <w:jc w:val="center"/>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诚信承诺书</w:t>
      </w:r>
    </w:p>
    <w:p w14:paraId="7BB9B1E6">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p>
    <w:p w14:paraId="1DEAABBC">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为维护市场公平竞争，营造诚实守信的公共资源交易环境，本公司郑重承诺：</w:t>
      </w:r>
    </w:p>
    <w:p w14:paraId="4ECB036B">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本次投标在电子投标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5D4EFB95">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2、本公司在参加本项目过程中严格遵守各项诚信廉洁规定，如有违反，自愿按规定接受处罚。</w:t>
      </w:r>
    </w:p>
    <w:p w14:paraId="3A16698E">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p>
    <w:p w14:paraId="08DC520B">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承诺人法定名称（盖章）：</w:t>
      </w:r>
    </w:p>
    <w:p w14:paraId="0744213A">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承诺人法定地址：</w:t>
      </w:r>
    </w:p>
    <w:p w14:paraId="5BBB6E82">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授权代表（签字或盖章）：</w:t>
      </w:r>
    </w:p>
    <w:p w14:paraId="408B5328">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电话：</w:t>
      </w:r>
    </w:p>
    <w:p w14:paraId="3C020EE2">
      <w:pPr>
        <w:kinsoku/>
        <w:wordWrap w:val="0"/>
        <w:spacing w:line="360" w:lineRule="auto"/>
        <w:ind w:firstLine="672" w:firstLineChars="3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sz w:val="24"/>
          <w:szCs w:val="24"/>
          <w:highlight w:val="none"/>
          <w:lang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3601B66A">
      <w:pPr>
        <w:kinsoku/>
        <w:wordWrap w:val="0"/>
        <w:spacing w:line="360" w:lineRule="auto"/>
        <w:ind w:firstLine="607" w:firstLineChars="252"/>
        <w:jc w:val="both"/>
        <w:rPr>
          <w:rFonts w:hint="eastAsia" w:asciiTheme="minorEastAsia" w:hAnsiTheme="minorEastAsia" w:eastAsiaTheme="minorEastAsia" w:cstheme="minorEastAsia"/>
          <w:b/>
          <w:bCs/>
          <w:color w:val="auto"/>
          <w:sz w:val="24"/>
          <w:szCs w:val="24"/>
          <w:highlight w:val="none"/>
          <w:lang w:eastAsia="zh-CN"/>
        </w:rPr>
      </w:pPr>
    </w:p>
    <w:p w14:paraId="7ABFD0D4">
      <w:pPr>
        <w:kinsoku/>
        <w:wordWrap w:val="0"/>
        <w:spacing w:line="360" w:lineRule="auto"/>
        <w:ind w:firstLine="607" w:firstLineChars="252"/>
        <w:jc w:val="both"/>
        <w:rPr>
          <w:rFonts w:hint="eastAsia" w:asciiTheme="minorEastAsia" w:hAnsiTheme="minorEastAsia" w:eastAsiaTheme="minorEastAsia" w:cstheme="minorEastAsia"/>
          <w:b/>
          <w:bCs/>
          <w:color w:val="auto"/>
          <w:sz w:val="24"/>
          <w:szCs w:val="24"/>
          <w:highlight w:val="none"/>
          <w:lang w:eastAsia="zh-CN"/>
        </w:rPr>
      </w:pPr>
    </w:p>
    <w:p w14:paraId="2BBB4A6E">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11.其他资格证明</w:t>
      </w:r>
    </w:p>
    <w:p w14:paraId="4B2329B7">
      <w:pPr>
        <w:kinsoku/>
        <w:wordWrap w:val="0"/>
        <w:spacing w:line="360" w:lineRule="auto"/>
        <w:jc w:val="both"/>
        <w:rPr>
          <w:rFonts w:hint="eastAsia" w:asciiTheme="minorEastAsia" w:hAnsiTheme="minorEastAsia" w:eastAsiaTheme="minorEastAsia" w:cstheme="minorEastAsia"/>
          <w:b/>
          <w:bCs/>
          <w:color w:val="auto"/>
          <w:sz w:val="24"/>
          <w:szCs w:val="24"/>
          <w:highlight w:val="none"/>
          <w:lang w:eastAsia="zh-CN"/>
        </w:rPr>
      </w:pPr>
    </w:p>
    <w:p w14:paraId="1F041D76">
      <w:pPr>
        <w:kinsoku/>
        <w:wordWrap w:val="0"/>
        <w:spacing w:line="360" w:lineRule="auto"/>
        <w:ind w:firstLine="482" w:firstLineChars="200"/>
        <w:jc w:val="both"/>
        <w:rPr>
          <w:rFonts w:hint="eastAsia" w:asciiTheme="minorEastAsia" w:hAnsiTheme="minorEastAsia" w:eastAsiaTheme="minorEastAsia" w:cstheme="minorEastAsia"/>
          <w:b/>
          <w:bCs/>
          <w:color w:val="auto"/>
          <w:sz w:val="24"/>
          <w:szCs w:val="24"/>
          <w:highlight w:val="none"/>
          <w:lang w:val="zh-CN" w:eastAsia="zh-CN"/>
        </w:rPr>
      </w:pPr>
      <w:r>
        <w:rPr>
          <w:rFonts w:hint="eastAsia" w:asciiTheme="minorEastAsia" w:hAnsiTheme="minorEastAsia" w:eastAsiaTheme="minorEastAsia" w:cstheme="minorEastAsia"/>
          <w:b/>
          <w:bCs/>
          <w:color w:val="auto"/>
          <w:sz w:val="24"/>
          <w:szCs w:val="24"/>
          <w:highlight w:val="none"/>
          <w:lang w:eastAsia="zh-CN"/>
        </w:rPr>
        <w:t>按照南阳市财政局《关于在政府采购活动中施行供应商资格信用承诺制的通知》宛财购〔2023〕4号的要求，对于市本级政府采购项目，全部实施供应商资格信用承诺，投标人在投标时，按照规定提供“南阳市政府采购供应商信用承诺函”（详见附件）的，无需再提交上述5-9项证明材料”。投标人</w:t>
      </w:r>
      <w:r>
        <w:rPr>
          <w:rFonts w:hint="eastAsia" w:asciiTheme="minorEastAsia" w:hAnsiTheme="minorEastAsia" w:eastAsiaTheme="minorEastAsia" w:cstheme="minorEastAsia"/>
          <w:b/>
          <w:bCs/>
          <w:color w:val="auto"/>
          <w:sz w:val="24"/>
          <w:szCs w:val="24"/>
          <w:highlight w:val="none"/>
          <w:lang w:val="zh-CN" w:eastAsia="zh-CN"/>
        </w:rPr>
        <w:t>在中标后，应将上述由信用承诺书替代的证明材料提交采购人或采购代理机构，证明材料将随公告一并公示。</w:t>
      </w:r>
    </w:p>
    <w:p w14:paraId="7BEAF262">
      <w:pPr>
        <w:rPr>
          <w:rFonts w:hint="eastAsia" w:asciiTheme="minorEastAsia" w:hAnsiTheme="minorEastAsia" w:eastAsiaTheme="minorEastAsia" w:cstheme="minorEastAsia"/>
          <w:b/>
          <w:bCs/>
          <w:color w:val="auto"/>
          <w:sz w:val="32"/>
          <w:szCs w:val="32"/>
          <w:highlight w:val="none"/>
          <w:lang w:val="zh-CN" w:eastAsia="zh-CN"/>
        </w:rPr>
      </w:pPr>
      <w:r>
        <w:rPr>
          <w:rFonts w:hint="eastAsia" w:asciiTheme="minorEastAsia" w:hAnsiTheme="minorEastAsia" w:eastAsiaTheme="minorEastAsia" w:cstheme="minorEastAsia"/>
          <w:b/>
          <w:bCs/>
          <w:color w:val="auto"/>
          <w:sz w:val="32"/>
          <w:szCs w:val="32"/>
          <w:highlight w:val="none"/>
          <w:lang w:val="zh-CN" w:eastAsia="zh-CN"/>
        </w:rPr>
        <w:br w:type="page"/>
      </w:r>
    </w:p>
    <w:p w14:paraId="7F61947B">
      <w:pPr>
        <w:pStyle w:val="6"/>
        <w:kinsoku/>
        <w:wordWrap w:val="0"/>
        <w:spacing w:line="360" w:lineRule="auto"/>
        <w:jc w:val="center"/>
        <w:rPr>
          <w:rFonts w:hint="eastAsia" w:asciiTheme="minorEastAsia" w:hAnsiTheme="minorEastAsia" w:eastAsiaTheme="minorEastAsia" w:cstheme="minorEastAsia"/>
          <w:b/>
          <w:bCs/>
          <w:color w:val="auto"/>
          <w:sz w:val="32"/>
          <w:szCs w:val="32"/>
          <w:highlight w:val="none"/>
          <w:lang w:val="zh-CN" w:eastAsia="zh-CN"/>
        </w:rPr>
      </w:pPr>
      <w:r>
        <w:rPr>
          <w:rFonts w:hint="eastAsia" w:asciiTheme="minorEastAsia" w:hAnsiTheme="minorEastAsia" w:eastAsiaTheme="minorEastAsia" w:cstheme="minorEastAsia"/>
          <w:b/>
          <w:bCs/>
          <w:color w:val="auto"/>
          <w:sz w:val="32"/>
          <w:szCs w:val="32"/>
          <w:highlight w:val="none"/>
          <w:lang w:val="zh-CN" w:eastAsia="zh-CN"/>
        </w:rPr>
        <w:t>南阳市政府采购供应商信用承诺函</w:t>
      </w:r>
    </w:p>
    <w:p w14:paraId="5D8A2EB0">
      <w:pPr>
        <w:widowControl w:val="0"/>
        <w:kinsoku/>
        <w:wordWrap w:val="0"/>
        <w:spacing w:line="360" w:lineRule="auto"/>
        <w:jc w:val="both"/>
        <w:rPr>
          <w:rFonts w:hint="eastAsia" w:asciiTheme="minorEastAsia" w:hAnsiTheme="minorEastAsia" w:eastAsiaTheme="minorEastAsia" w:cstheme="minorEastAsia"/>
          <w:b/>
          <w:bCs/>
          <w:color w:val="auto"/>
          <w:sz w:val="24"/>
          <w:szCs w:val="24"/>
          <w:highlight w:val="none"/>
          <w:lang w:val="zh-CN" w:eastAsia="zh-CN"/>
        </w:rPr>
      </w:pPr>
    </w:p>
    <w:p w14:paraId="192E0775">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zh-CN" w:eastAsia="zh-CN"/>
        </w:rPr>
        <w:t>致（采购人或</w:t>
      </w:r>
      <w:r>
        <w:rPr>
          <w:rFonts w:hint="eastAsia" w:asciiTheme="minorEastAsia" w:hAnsiTheme="minorEastAsia" w:eastAsiaTheme="minorEastAsia" w:cstheme="minorEastAsia"/>
          <w:color w:val="auto"/>
          <w:sz w:val="24"/>
          <w:szCs w:val="24"/>
          <w:highlight w:val="none"/>
          <w:lang w:eastAsia="zh-CN"/>
        </w:rPr>
        <w:t>采购代理机构</w:t>
      </w:r>
      <w:r>
        <w:rPr>
          <w:rFonts w:hint="eastAsia" w:asciiTheme="minorEastAsia" w:hAnsiTheme="minorEastAsia" w:eastAsiaTheme="minorEastAsia" w:cstheme="minorEastAsia"/>
          <w:color w:val="auto"/>
          <w:sz w:val="24"/>
          <w:szCs w:val="24"/>
          <w:highlight w:val="none"/>
          <w:lang w:val="zh-CN" w:eastAsia="zh-CN"/>
        </w:rPr>
        <w:t>）：</w:t>
      </w:r>
    </w:p>
    <w:p w14:paraId="15E0CE1A">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单位名称：</w:t>
      </w:r>
    </w:p>
    <w:p w14:paraId="6C4F7091">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统一社会信用代码：</w:t>
      </w:r>
    </w:p>
    <w:p w14:paraId="3E9E6290">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法定代表人：</w:t>
      </w:r>
    </w:p>
    <w:p w14:paraId="5D37F9C4">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联系地址和电话：</w:t>
      </w:r>
    </w:p>
    <w:p w14:paraId="4775AAAC">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0821537E">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（一）具有独立承担民事责任的能力；</w:t>
      </w:r>
    </w:p>
    <w:p w14:paraId="018CB56F">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（二）具有良好的商业信誉和健全的财务会计制度；</w:t>
      </w:r>
    </w:p>
    <w:p w14:paraId="0E1920B2">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（三）具有履行合同所必需的设备和专业技术能力；</w:t>
      </w:r>
    </w:p>
    <w:p w14:paraId="7507F712">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（四）有依法缴纳税收和社会保障资金的良好记录；</w:t>
      </w:r>
    </w:p>
    <w:p w14:paraId="4D9E71E6">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（五）参加政府采购活动前三年内，在经营活动中没有重大违法记录；</w:t>
      </w:r>
    </w:p>
    <w:p w14:paraId="52846CA1">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（六）法律、行政法规规定的其他条件。</w:t>
      </w:r>
    </w:p>
    <w:p w14:paraId="3D4841CB">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我单位保证上述承诺事项的真实性，如有弄虚作假或其他违法违规行为，愿意承担一切法律责任，并承担因此所造成的一切损失。</w:t>
      </w:r>
    </w:p>
    <w:p w14:paraId="1810D267">
      <w:pPr>
        <w:widowControl w:val="0"/>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58648219">
      <w:pPr>
        <w:widowControl w:val="0"/>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22DFDA44">
      <w:pPr>
        <w:widowControl w:val="0"/>
        <w:kinsoku/>
        <w:wordWrap w:val="0"/>
        <w:spacing w:line="360" w:lineRule="auto"/>
        <w:ind w:firstLine="2160" w:firstLineChars="9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投标人（企业电子章）：</w:t>
      </w:r>
    </w:p>
    <w:p w14:paraId="00C52CBD">
      <w:pPr>
        <w:widowControl w:val="0"/>
        <w:kinsoku/>
        <w:wordWrap w:val="0"/>
        <w:spacing w:line="360" w:lineRule="auto"/>
        <w:ind w:firstLine="2160" w:firstLineChars="9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法定代表人或授权代表（签字或电子印章）：</w:t>
      </w:r>
    </w:p>
    <w:p w14:paraId="2751ED75">
      <w:pPr>
        <w:widowControl w:val="0"/>
        <w:kinsoku/>
        <w:wordWrap w:val="0"/>
        <w:spacing w:line="360" w:lineRule="auto"/>
        <w:ind w:firstLine="2160" w:firstLineChars="9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0D0F6E16">
      <w:pPr>
        <w:widowControl w:val="0"/>
        <w:kinsoku/>
        <w:wordWrap w:val="0"/>
        <w:spacing w:line="360" w:lineRule="auto"/>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注：</w:t>
      </w:r>
    </w:p>
    <w:p w14:paraId="23FEF309">
      <w:pPr>
        <w:widowControl w:val="0"/>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1、投标人须在投标文件中按此模板提供承诺函，未提供视为未实质性响应招标文件要求，按无效投标处理。</w:t>
      </w:r>
    </w:p>
    <w:p w14:paraId="06BE6279">
      <w:pPr>
        <w:kinsoku/>
        <w:wordWrap w:val="0"/>
        <w:spacing w:line="360" w:lineRule="auto"/>
        <w:ind w:firstLine="480" w:firstLineChars="200"/>
        <w:jc w:val="both"/>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2、投标人的法定代表人或者授权代表的签字或盖章应真实、有效，如由授权代表签字或盖章的，应提供“法定代表人授权书”。</w:t>
      </w:r>
    </w:p>
    <w:p w14:paraId="50D46EA5">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二、技术格式（暗标）</w:t>
      </w:r>
    </w:p>
    <w:p w14:paraId="00A5985C">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1.安全实施方案</w:t>
      </w:r>
    </w:p>
    <w:p w14:paraId="6BD2A622">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2.安装调试方案</w:t>
      </w:r>
    </w:p>
    <w:p w14:paraId="0B3C66B5">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3.供货方案</w:t>
      </w:r>
    </w:p>
    <w:p w14:paraId="273CF29D">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6834481A">
      <w:pPr>
        <w:pStyle w:val="6"/>
        <w:kinsoku/>
        <w:wordWrap w:val="0"/>
        <w:jc w:val="both"/>
        <w:rPr>
          <w:rFonts w:hint="eastAsia" w:asciiTheme="minorEastAsia" w:hAnsiTheme="minorEastAsia" w:eastAsiaTheme="minorEastAsia" w:cstheme="minorEastAsia"/>
          <w:color w:val="auto"/>
          <w:sz w:val="24"/>
          <w:szCs w:val="24"/>
          <w:highlight w:val="none"/>
          <w:lang w:eastAsia="zh-CN" w:bidi="en-US"/>
        </w:rPr>
      </w:pPr>
    </w:p>
    <w:p w14:paraId="38BEE9D5">
      <w:pP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pPr>
      <w:r>
        <w:rPr>
          <w:rFonts w:hint="eastAsia"/>
          <w:color w:val="auto"/>
          <w:highlight w:val="none"/>
          <w:lang w:eastAsia="zh-CN"/>
        </w:rPr>
        <w:br w:type="page"/>
      </w:r>
    </w:p>
    <w:p w14:paraId="0F1D68CC">
      <w:pPr>
        <w:pStyle w:val="13"/>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t>三、商务文件格式</w:t>
      </w:r>
    </w:p>
    <w:p w14:paraId="764A1A78">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24"/>
          <w:sz w:val="24"/>
          <w:szCs w:val="24"/>
          <w:highlight w:val="none"/>
          <w:lang w:eastAsia="zh-CN"/>
          <w14:textOutline w14:w="1536" w14:cap="flat" w14:cmpd="sng" w14:algn="ctr">
            <w14:solidFill>
              <w14:srgbClr w14:val="000000"/>
            </w14:solidFill>
            <w14:prstDash w14:val="solid"/>
            <w14:miter w14:val="0"/>
          </w14:textOutline>
        </w:rPr>
        <w:t>1.投标书格式</w:t>
      </w:r>
    </w:p>
    <w:p w14:paraId="13E66EEC">
      <w:pPr>
        <w:kinsoku/>
        <w:wordWrap w:val="0"/>
        <w:spacing w:line="360" w:lineRule="auto"/>
        <w:ind w:firstLine="607" w:firstLineChars="252"/>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投标书</w:t>
      </w:r>
    </w:p>
    <w:p w14:paraId="0A3A1AFF">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p>
    <w:p w14:paraId="722A5225">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致：采购人或采购代理机构</w:t>
      </w:r>
    </w:p>
    <w:p w14:paraId="5C9E4768">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根据贵方招标编号为（）的公开招标公告，签字代表（全名、职务）经正式授权并代表投标人（投标人名称、地址）提交电子投标文件一份，并对之负法律责任。</w:t>
      </w:r>
    </w:p>
    <w:p w14:paraId="3F264543">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投标文件组成资格证明文件第1至</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lang w:eastAsia="zh-CN"/>
        </w:rPr>
        <w:t>项，技术文件第1至</w:t>
      </w:r>
      <w:r>
        <w:rPr>
          <w:rFonts w:hint="eastAsia" w:asciiTheme="minorEastAsia" w:hAnsiTheme="minorEastAsia" w:eastAsiaTheme="minorEastAsia" w:cstheme="minorEastAsia"/>
          <w:color w:val="auto"/>
          <w:sz w:val="24"/>
          <w:szCs w:val="24"/>
          <w:highlight w:val="none"/>
          <w:u w:val="single"/>
          <w:lang w:eastAsia="zh-CN"/>
        </w:rPr>
        <w:t xml:space="preserve">  项</w:t>
      </w:r>
      <w:r>
        <w:rPr>
          <w:rFonts w:hint="eastAsia" w:asciiTheme="minorEastAsia" w:hAnsiTheme="minorEastAsia" w:eastAsiaTheme="minorEastAsia" w:cstheme="minorEastAsia"/>
          <w:color w:val="auto"/>
          <w:sz w:val="24"/>
          <w:szCs w:val="24"/>
          <w:highlight w:val="none"/>
          <w:lang w:eastAsia="zh-CN"/>
        </w:rPr>
        <w:t>，商务文件第1至</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lang w:eastAsia="zh-CN"/>
        </w:rPr>
        <w:t>项。</w:t>
      </w:r>
    </w:p>
    <w:p w14:paraId="3A3BE512">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据此函，签字代表宣布同意如下：</w:t>
      </w:r>
    </w:p>
    <w:p w14:paraId="26CFB331">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1、所附服务报价为以开标一览表为准。</w:t>
      </w:r>
    </w:p>
    <w:p w14:paraId="091A1581">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2、如果我们的投标书被接受，我们将履行招标文件中规定的每一项要求，按期、按质、按量履行合同。</w:t>
      </w:r>
    </w:p>
    <w:p w14:paraId="48B799E7">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3、我方愿按《中华人民共和国政府采购法》和《中华人民共和国民法典》履行我方的全部责任。</w:t>
      </w:r>
    </w:p>
    <w:p w14:paraId="46981AEB">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4、我方已详细审查全部招标文件，包括修改文件以及全部参考资料和有关附件。我们完全理解并同意放弃对这方面有不明白及误解的权利。</w:t>
      </w:r>
    </w:p>
    <w:p w14:paraId="544D87B4">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5、本投标自开标之日起有效期为60天。</w:t>
      </w:r>
    </w:p>
    <w:p w14:paraId="3D5BF888">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地址：</w:t>
      </w:r>
    </w:p>
    <w:p w14:paraId="0C5A41B7">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电话（传真）：</w:t>
      </w:r>
    </w:p>
    <w:p w14:paraId="7D97C7D1">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法定代表人（负责人）或授权代表（签字）：</w:t>
      </w:r>
    </w:p>
    <w:p w14:paraId="42D9A1EC">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投标人名称（公章）：</w:t>
      </w:r>
    </w:p>
    <w:p w14:paraId="3225C476">
      <w:pPr>
        <w:kinsoku/>
        <w:wordWrap w:val="0"/>
        <w:spacing w:line="360" w:lineRule="auto"/>
        <w:ind w:firstLine="604" w:firstLineChars="252"/>
        <w:jc w:val="both"/>
        <w:rPr>
          <w:rFonts w:hint="eastAsia" w:asciiTheme="minorEastAsia" w:hAnsiTheme="minorEastAsia" w:eastAsiaTheme="minorEastAsia" w:cstheme="minorEastAsia"/>
          <w:color w:val="auto"/>
          <w:sz w:val="24"/>
          <w:szCs w:val="24"/>
          <w:highlight w:val="none"/>
          <w:lang w:eastAsia="zh-CN"/>
        </w:rPr>
        <w:sectPr>
          <w:headerReference r:id="rId15" w:type="default"/>
          <w:footerReference r:id="rId16" w:type="default"/>
          <w:pgSz w:w="11907" w:h="16840"/>
          <w:pgMar w:top="1440" w:right="1800" w:bottom="1440" w:left="1800" w:header="878" w:footer="886" w:gutter="0"/>
          <w:cols w:space="720" w:num="1"/>
        </w:sectPr>
      </w:pPr>
      <w:r>
        <w:rPr>
          <w:rFonts w:hint="eastAsia" w:asciiTheme="minorEastAsia" w:hAnsiTheme="minorEastAsia" w:eastAsiaTheme="minorEastAsia" w:cstheme="minorEastAsia"/>
          <w:color w:val="auto"/>
          <w:sz w:val="24"/>
          <w:szCs w:val="24"/>
          <w:highlight w:val="none"/>
          <w:lang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p>
    <w:p w14:paraId="6DEEA1A8">
      <w:pPr>
        <w:kinsoku/>
        <w:wordWrap w:val="0"/>
        <w:jc w:val="both"/>
        <w:rPr>
          <w:rFonts w:ascii="宋体" w:hAnsi="宋体"/>
          <w:b/>
          <w:color w:val="auto"/>
          <w:sz w:val="24"/>
          <w:szCs w:val="24"/>
          <w:highlight w:val="none"/>
          <w:lang w:eastAsia="zh-CN"/>
        </w:rPr>
      </w:pPr>
      <w:r>
        <w:rPr>
          <w:rFonts w:hint="eastAsia" w:ascii="宋体" w:hAnsi="宋体"/>
          <w:b/>
          <w:color w:val="auto"/>
          <w:sz w:val="24"/>
          <w:szCs w:val="24"/>
          <w:highlight w:val="none"/>
          <w:lang w:eastAsia="zh-CN"/>
        </w:rPr>
        <w:t>2.投标分项报价一览表</w:t>
      </w:r>
    </w:p>
    <w:p w14:paraId="76BC8C1C">
      <w:pPr>
        <w:kinsoku/>
        <w:wordWrap w:val="0"/>
        <w:jc w:val="both"/>
        <w:rPr>
          <w:rFonts w:ascii="宋体" w:hAnsi="宋体"/>
          <w:b/>
          <w:color w:val="auto"/>
          <w:sz w:val="24"/>
          <w:szCs w:val="24"/>
          <w:highlight w:val="none"/>
          <w:lang w:eastAsia="zh-CN"/>
        </w:rPr>
      </w:pPr>
    </w:p>
    <w:p w14:paraId="3A580589">
      <w:pPr>
        <w:kinsoku/>
        <w:wordWrap w:val="0"/>
        <w:jc w:val="center"/>
        <w:rPr>
          <w:rFonts w:hint="eastAsia" w:asciiTheme="minorEastAsia" w:hAnsiTheme="minorEastAsia" w:eastAsiaTheme="minorEastAsia" w:cstheme="minorEastAsia"/>
          <w:b/>
          <w:color w:val="auto"/>
          <w:sz w:val="28"/>
          <w:szCs w:val="28"/>
          <w:highlight w:val="none"/>
          <w:lang w:eastAsia="zh-CN"/>
        </w:rPr>
      </w:pPr>
      <w:r>
        <w:rPr>
          <w:rFonts w:hint="eastAsia" w:asciiTheme="minorEastAsia" w:hAnsiTheme="minorEastAsia" w:eastAsiaTheme="minorEastAsia" w:cstheme="minorEastAsia"/>
          <w:b/>
          <w:color w:val="auto"/>
          <w:sz w:val="24"/>
          <w:szCs w:val="24"/>
          <w:highlight w:val="none"/>
        </w:rPr>
        <w:t>投标</w:t>
      </w:r>
      <w:r>
        <w:rPr>
          <w:rFonts w:hint="eastAsia" w:asciiTheme="minorEastAsia" w:hAnsiTheme="minorEastAsia" w:eastAsiaTheme="minorEastAsia" w:cstheme="minorEastAsia"/>
          <w:b/>
          <w:color w:val="auto"/>
          <w:sz w:val="24"/>
          <w:szCs w:val="24"/>
          <w:highlight w:val="none"/>
          <w:lang w:eastAsia="zh-CN"/>
        </w:rPr>
        <w:t>分项</w:t>
      </w:r>
      <w:r>
        <w:rPr>
          <w:rFonts w:hint="eastAsia" w:asciiTheme="minorEastAsia" w:hAnsiTheme="minorEastAsia" w:eastAsiaTheme="minorEastAsia" w:cstheme="minorEastAsia"/>
          <w:b/>
          <w:color w:val="auto"/>
          <w:sz w:val="24"/>
          <w:szCs w:val="24"/>
          <w:highlight w:val="none"/>
        </w:rPr>
        <w:t>报价一览表</w:t>
      </w:r>
    </w:p>
    <w:tbl>
      <w:tblPr>
        <w:tblStyle w:val="19"/>
        <w:tblpPr w:leftFromText="180" w:rightFromText="180" w:vertAnchor="text" w:horzAnchor="page" w:tblpX="1670" w:tblpY="348"/>
        <w:tblOverlap w:val="never"/>
        <w:tblW w:w="0" w:type="auto"/>
        <w:tblInd w:w="0" w:type="dxa"/>
        <w:tblLayout w:type="fixed"/>
        <w:tblCellMar>
          <w:top w:w="0" w:type="dxa"/>
          <w:left w:w="108" w:type="dxa"/>
          <w:bottom w:w="0" w:type="dxa"/>
          <w:right w:w="108" w:type="dxa"/>
        </w:tblCellMar>
      </w:tblPr>
      <w:tblGrid>
        <w:gridCol w:w="710"/>
        <w:gridCol w:w="1241"/>
        <w:gridCol w:w="1276"/>
        <w:gridCol w:w="850"/>
        <w:gridCol w:w="709"/>
        <w:gridCol w:w="284"/>
        <w:gridCol w:w="566"/>
        <w:gridCol w:w="993"/>
        <w:gridCol w:w="1134"/>
        <w:gridCol w:w="141"/>
        <w:gridCol w:w="1418"/>
        <w:gridCol w:w="1843"/>
      </w:tblGrid>
      <w:tr w14:paraId="5D168A31">
        <w:tblPrEx>
          <w:tblCellMar>
            <w:top w:w="0" w:type="dxa"/>
            <w:left w:w="108" w:type="dxa"/>
            <w:bottom w:w="0" w:type="dxa"/>
            <w:right w:w="108" w:type="dxa"/>
          </w:tblCellMar>
        </w:tblPrEx>
        <w:trPr>
          <w:trHeight w:val="522" w:hRule="exact"/>
        </w:trPr>
        <w:tc>
          <w:tcPr>
            <w:tcW w:w="3227" w:type="dxa"/>
            <w:gridSpan w:val="3"/>
            <w:tcBorders>
              <w:top w:val="nil"/>
              <w:left w:val="nil"/>
              <w:bottom w:val="single" w:color="auto" w:sz="4" w:space="0"/>
              <w:right w:val="nil"/>
            </w:tcBorders>
            <w:vAlign w:val="center"/>
          </w:tcPr>
          <w:p w14:paraId="5DD919E1">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tc>
        <w:tc>
          <w:tcPr>
            <w:tcW w:w="850" w:type="dxa"/>
            <w:tcBorders>
              <w:top w:val="nil"/>
              <w:left w:val="nil"/>
              <w:bottom w:val="single" w:color="auto" w:sz="4" w:space="0"/>
              <w:right w:val="nil"/>
            </w:tcBorders>
            <w:vAlign w:val="center"/>
          </w:tcPr>
          <w:p w14:paraId="6CC2C705">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p>
        </w:tc>
        <w:tc>
          <w:tcPr>
            <w:tcW w:w="993" w:type="dxa"/>
            <w:gridSpan w:val="2"/>
            <w:tcBorders>
              <w:top w:val="nil"/>
              <w:left w:val="nil"/>
              <w:bottom w:val="single" w:color="auto" w:sz="4" w:space="0"/>
              <w:right w:val="nil"/>
            </w:tcBorders>
            <w:vAlign w:val="center"/>
          </w:tcPr>
          <w:p w14:paraId="0759F571">
            <w:pPr>
              <w:kinsoku/>
              <w:wordWrap w:val="0"/>
              <w:spacing w:line="360" w:lineRule="auto"/>
              <w:ind w:firstLine="567"/>
              <w:jc w:val="both"/>
              <w:rPr>
                <w:rFonts w:hint="eastAsia" w:asciiTheme="minorEastAsia" w:hAnsiTheme="minorEastAsia" w:eastAsiaTheme="minorEastAsia" w:cstheme="minorEastAsia"/>
                <w:color w:val="auto"/>
                <w:sz w:val="24"/>
                <w:szCs w:val="24"/>
                <w:highlight w:val="none"/>
                <w:lang w:eastAsia="zh-CN"/>
              </w:rPr>
            </w:pPr>
          </w:p>
        </w:tc>
        <w:tc>
          <w:tcPr>
            <w:tcW w:w="2693" w:type="dxa"/>
            <w:gridSpan w:val="3"/>
            <w:tcBorders>
              <w:top w:val="nil"/>
              <w:left w:val="nil"/>
              <w:bottom w:val="single" w:color="auto" w:sz="4" w:space="0"/>
              <w:right w:val="nil"/>
            </w:tcBorders>
            <w:vAlign w:val="center"/>
          </w:tcPr>
          <w:p w14:paraId="2129B5D0">
            <w:pPr>
              <w:kinsoku/>
              <w:wordWrap w:val="0"/>
              <w:spacing w:line="360" w:lineRule="auto"/>
              <w:ind w:firstLine="360" w:firstLineChars="15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项目编号：</w:t>
            </w:r>
          </w:p>
        </w:tc>
        <w:tc>
          <w:tcPr>
            <w:tcW w:w="3402" w:type="dxa"/>
            <w:gridSpan w:val="3"/>
            <w:tcBorders>
              <w:top w:val="nil"/>
              <w:left w:val="nil"/>
              <w:bottom w:val="single" w:color="auto" w:sz="4" w:space="0"/>
              <w:right w:val="nil"/>
            </w:tcBorders>
            <w:vAlign w:val="center"/>
          </w:tcPr>
          <w:p w14:paraId="5830A428">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tc>
      </w:tr>
      <w:tr w14:paraId="06F056CA">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44C056B6">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序号</w:t>
            </w:r>
          </w:p>
        </w:tc>
        <w:tc>
          <w:tcPr>
            <w:tcW w:w="1241" w:type="dxa"/>
            <w:tcBorders>
              <w:top w:val="single" w:color="auto" w:sz="4" w:space="0"/>
              <w:left w:val="single" w:color="auto" w:sz="4" w:space="0"/>
              <w:bottom w:val="single" w:color="auto" w:sz="4" w:space="0"/>
              <w:right w:val="single" w:color="auto" w:sz="4" w:space="0"/>
            </w:tcBorders>
            <w:vAlign w:val="center"/>
          </w:tcPr>
          <w:p w14:paraId="21CB66F3">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设备名称</w:t>
            </w:r>
          </w:p>
        </w:tc>
        <w:tc>
          <w:tcPr>
            <w:tcW w:w="1276" w:type="dxa"/>
            <w:tcBorders>
              <w:top w:val="single" w:color="auto" w:sz="4" w:space="0"/>
              <w:left w:val="single" w:color="auto" w:sz="4" w:space="0"/>
              <w:bottom w:val="single" w:color="auto" w:sz="4" w:space="0"/>
              <w:right w:val="single" w:color="auto" w:sz="4" w:space="0"/>
            </w:tcBorders>
            <w:vAlign w:val="center"/>
          </w:tcPr>
          <w:p w14:paraId="13394229">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品牌型号</w:t>
            </w:r>
          </w:p>
        </w:tc>
        <w:tc>
          <w:tcPr>
            <w:tcW w:w="1559" w:type="dxa"/>
            <w:gridSpan w:val="2"/>
            <w:tcBorders>
              <w:top w:val="single" w:color="auto" w:sz="4" w:space="0"/>
              <w:left w:val="single" w:color="auto" w:sz="4" w:space="0"/>
              <w:bottom w:val="single" w:color="auto" w:sz="4" w:space="0"/>
              <w:right w:val="single" w:color="auto" w:sz="4" w:space="0"/>
            </w:tcBorders>
            <w:vAlign w:val="center"/>
          </w:tcPr>
          <w:p w14:paraId="16ABD61F">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生产厂家</w:t>
            </w:r>
          </w:p>
        </w:tc>
        <w:tc>
          <w:tcPr>
            <w:tcW w:w="850" w:type="dxa"/>
            <w:gridSpan w:val="2"/>
            <w:tcBorders>
              <w:top w:val="single" w:color="auto" w:sz="4" w:space="0"/>
              <w:left w:val="single" w:color="auto" w:sz="4" w:space="0"/>
              <w:bottom w:val="single" w:color="auto" w:sz="4" w:space="0"/>
              <w:right w:val="single" w:color="auto" w:sz="4" w:space="0"/>
            </w:tcBorders>
            <w:vAlign w:val="center"/>
          </w:tcPr>
          <w:p w14:paraId="594211B7">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单位</w:t>
            </w:r>
          </w:p>
        </w:tc>
        <w:tc>
          <w:tcPr>
            <w:tcW w:w="993" w:type="dxa"/>
            <w:tcBorders>
              <w:top w:val="single" w:color="auto" w:sz="4" w:space="0"/>
              <w:left w:val="single" w:color="auto" w:sz="4" w:space="0"/>
              <w:bottom w:val="single" w:color="auto" w:sz="4" w:space="0"/>
              <w:right w:val="single" w:color="auto" w:sz="4" w:space="0"/>
            </w:tcBorders>
            <w:vAlign w:val="center"/>
          </w:tcPr>
          <w:p w14:paraId="56AE8AFF">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数量</w:t>
            </w:r>
          </w:p>
        </w:tc>
        <w:tc>
          <w:tcPr>
            <w:tcW w:w="1275" w:type="dxa"/>
            <w:gridSpan w:val="2"/>
            <w:tcBorders>
              <w:top w:val="single" w:color="auto" w:sz="4" w:space="0"/>
              <w:left w:val="single" w:color="auto" w:sz="4" w:space="0"/>
              <w:bottom w:val="single" w:color="auto" w:sz="4" w:space="0"/>
              <w:right w:val="single" w:color="auto" w:sz="4" w:space="0"/>
            </w:tcBorders>
            <w:vAlign w:val="center"/>
          </w:tcPr>
          <w:p w14:paraId="01173999">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投标单价</w:t>
            </w:r>
          </w:p>
        </w:tc>
        <w:tc>
          <w:tcPr>
            <w:tcW w:w="1418" w:type="dxa"/>
            <w:tcBorders>
              <w:top w:val="single" w:color="auto" w:sz="4" w:space="0"/>
              <w:left w:val="single" w:color="auto" w:sz="4" w:space="0"/>
              <w:bottom w:val="single" w:color="auto" w:sz="4" w:space="0"/>
              <w:right w:val="single" w:color="auto" w:sz="4" w:space="0"/>
            </w:tcBorders>
            <w:vAlign w:val="center"/>
          </w:tcPr>
          <w:p w14:paraId="730957B4">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小计（元）</w:t>
            </w:r>
          </w:p>
        </w:tc>
        <w:tc>
          <w:tcPr>
            <w:tcW w:w="1843" w:type="dxa"/>
            <w:tcBorders>
              <w:top w:val="single" w:color="auto" w:sz="4" w:space="0"/>
              <w:left w:val="single" w:color="auto" w:sz="4" w:space="0"/>
              <w:bottom w:val="single" w:color="auto" w:sz="4" w:space="0"/>
              <w:right w:val="single" w:color="auto" w:sz="4" w:space="0"/>
            </w:tcBorders>
            <w:vAlign w:val="center"/>
          </w:tcPr>
          <w:p w14:paraId="48768C47">
            <w:pPr>
              <w:kinsoku/>
              <w:wordWrap w:val="0"/>
              <w:spacing w:line="360" w:lineRule="auto"/>
              <w:jc w:val="both"/>
              <w:rPr>
                <w:rFonts w:hint="eastAsia" w:asciiTheme="minorEastAsia" w:hAnsiTheme="minorEastAsia" w:eastAsiaTheme="minorEastAsia" w:cstheme="minorEastAsia"/>
                <w:color w:val="auto"/>
                <w:highlight w:val="none"/>
                <w:lang w:eastAsia="zh-CN"/>
              </w:rPr>
            </w:pPr>
            <w:r>
              <w:rPr>
                <w:rFonts w:hint="eastAsia" w:asciiTheme="minorEastAsia" w:hAnsiTheme="minorEastAsia" w:eastAsiaTheme="minorEastAsia" w:cstheme="minorEastAsia"/>
                <w:color w:val="auto"/>
                <w:highlight w:val="none"/>
                <w:lang w:eastAsia="zh-CN"/>
              </w:rPr>
              <w:t>交货安装时间</w:t>
            </w:r>
          </w:p>
        </w:tc>
      </w:tr>
      <w:tr w14:paraId="67051BB5">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4D3E3270">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1</w:t>
            </w:r>
          </w:p>
        </w:tc>
        <w:tc>
          <w:tcPr>
            <w:tcW w:w="1241" w:type="dxa"/>
            <w:tcBorders>
              <w:top w:val="single" w:color="auto" w:sz="4" w:space="0"/>
              <w:left w:val="single" w:color="auto" w:sz="4" w:space="0"/>
              <w:bottom w:val="single" w:color="auto" w:sz="4" w:space="0"/>
              <w:right w:val="single" w:color="auto" w:sz="4" w:space="0"/>
            </w:tcBorders>
            <w:vAlign w:val="bottom"/>
          </w:tcPr>
          <w:p w14:paraId="6621CF39">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3A17A40F">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37FDB1EF">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1A9FF98A">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0634E333">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35FCDA9E">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405BB6FD">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1987EEB7">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p w14:paraId="0EDD9E0D">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56F8B065">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4A04D76E">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2</w:t>
            </w:r>
          </w:p>
        </w:tc>
        <w:tc>
          <w:tcPr>
            <w:tcW w:w="1241" w:type="dxa"/>
            <w:tcBorders>
              <w:top w:val="single" w:color="auto" w:sz="4" w:space="0"/>
              <w:left w:val="single" w:color="auto" w:sz="4" w:space="0"/>
              <w:bottom w:val="single" w:color="auto" w:sz="4" w:space="0"/>
              <w:right w:val="single" w:color="auto" w:sz="4" w:space="0"/>
            </w:tcBorders>
            <w:vAlign w:val="bottom"/>
          </w:tcPr>
          <w:p w14:paraId="36C96749">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678C2A91">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0749EEB8">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3A57CDDA">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55810933">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524ABDAC">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185B48A7">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00FEE7FE">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p w14:paraId="4E16AD06">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07A8FBBE">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1D94099B">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3</w:t>
            </w:r>
          </w:p>
        </w:tc>
        <w:tc>
          <w:tcPr>
            <w:tcW w:w="1241" w:type="dxa"/>
            <w:tcBorders>
              <w:top w:val="single" w:color="auto" w:sz="4" w:space="0"/>
              <w:left w:val="single" w:color="auto" w:sz="4" w:space="0"/>
              <w:bottom w:val="single" w:color="auto" w:sz="4" w:space="0"/>
              <w:right w:val="single" w:color="auto" w:sz="4" w:space="0"/>
            </w:tcBorders>
            <w:vAlign w:val="bottom"/>
          </w:tcPr>
          <w:p w14:paraId="53413CE6">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08CA293C">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4E9CA8EE">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6B098CE6">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686F369C">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0D8EDD9C">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3CD86278">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5446634B">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p w14:paraId="2B5C1BF3">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4C956A3C">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78CE5FEB">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4</w:t>
            </w:r>
          </w:p>
        </w:tc>
        <w:tc>
          <w:tcPr>
            <w:tcW w:w="1241" w:type="dxa"/>
            <w:tcBorders>
              <w:top w:val="single" w:color="auto" w:sz="4" w:space="0"/>
              <w:left w:val="single" w:color="auto" w:sz="4" w:space="0"/>
              <w:bottom w:val="single" w:color="auto" w:sz="4" w:space="0"/>
              <w:right w:val="single" w:color="auto" w:sz="4" w:space="0"/>
            </w:tcBorders>
            <w:vAlign w:val="bottom"/>
          </w:tcPr>
          <w:p w14:paraId="2042A78B">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38224C00">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16CA60F0">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6CF58EDB">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23766631">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103B1861">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46230C04">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4990D9EF">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p w14:paraId="55056F8D">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5BE439DB">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1B195CDC">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w:t>
            </w:r>
          </w:p>
        </w:tc>
        <w:tc>
          <w:tcPr>
            <w:tcW w:w="1241" w:type="dxa"/>
            <w:tcBorders>
              <w:top w:val="single" w:color="auto" w:sz="4" w:space="0"/>
              <w:left w:val="single" w:color="auto" w:sz="4" w:space="0"/>
              <w:bottom w:val="single" w:color="auto" w:sz="4" w:space="0"/>
              <w:right w:val="single" w:color="auto" w:sz="4" w:space="0"/>
            </w:tcBorders>
            <w:vAlign w:val="bottom"/>
          </w:tcPr>
          <w:p w14:paraId="370C2E54">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695A0E27">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3EDDCC81">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5DFB3EA3">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0A9EE1E3">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0C4C7FCF">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6DCFE078">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5AE3453E">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4EF519DE">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5D8C7AB2">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w:t>
            </w:r>
          </w:p>
        </w:tc>
        <w:tc>
          <w:tcPr>
            <w:tcW w:w="1241" w:type="dxa"/>
            <w:tcBorders>
              <w:top w:val="single" w:color="auto" w:sz="4" w:space="0"/>
              <w:left w:val="single" w:color="auto" w:sz="4" w:space="0"/>
              <w:bottom w:val="single" w:color="auto" w:sz="4" w:space="0"/>
              <w:right w:val="single" w:color="auto" w:sz="4" w:space="0"/>
            </w:tcBorders>
            <w:vAlign w:val="bottom"/>
          </w:tcPr>
          <w:p w14:paraId="714BED55">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08DCBA96">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16EEC4C4">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60FF567D">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3EA5D798">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7B4CC86B">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4BB1A7C8">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797E87AF">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p w14:paraId="06283139">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r w14:paraId="18FAA352">
        <w:tblPrEx>
          <w:tblCellMar>
            <w:top w:w="0" w:type="dxa"/>
            <w:left w:w="108" w:type="dxa"/>
            <w:bottom w:w="0" w:type="dxa"/>
            <w:right w:w="108" w:type="dxa"/>
          </w:tblCellMar>
        </w:tblPrEx>
        <w:trPr>
          <w:trHeight w:val="567" w:hRule="exact"/>
        </w:trPr>
        <w:tc>
          <w:tcPr>
            <w:tcW w:w="710" w:type="dxa"/>
            <w:tcBorders>
              <w:top w:val="single" w:color="auto" w:sz="4" w:space="0"/>
              <w:left w:val="single" w:color="auto" w:sz="4" w:space="0"/>
              <w:bottom w:val="single" w:color="auto" w:sz="4" w:space="0"/>
              <w:right w:val="single" w:color="auto" w:sz="4" w:space="0"/>
            </w:tcBorders>
            <w:vAlign w:val="center"/>
          </w:tcPr>
          <w:p w14:paraId="2BEE4266">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w:t>
            </w:r>
          </w:p>
        </w:tc>
        <w:tc>
          <w:tcPr>
            <w:tcW w:w="1241" w:type="dxa"/>
            <w:tcBorders>
              <w:top w:val="single" w:color="auto" w:sz="4" w:space="0"/>
              <w:left w:val="single" w:color="auto" w:sz="4" w:space="0"/>
              <w:bottom w:val="single" w:color="auto" w:sz="4" w:space="0"/>
              <w:right w:val="single" w:color="auto" w:sz="4" w:space="0"/>
            </w:tcBorders>
            <w:vAlign w:val="bottom"/>
          </w:tcPr>
          <w:p w14:paraId="6E761A58">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276" w:type="dxa"/>
            <w:tcBorders>
              <w:top w:val="single" w:color="auto" w:sz="4" w:space="0"/>
              <w:left w:val="single" w:color="auto" w:sz="4" w:space="0"/>
              <w:bottom w:val="single" w:color="auto" w:sz="4" w:space="0"/>
              <w:right w:val="single" w:color="auto" w:sz="4" w:space="0"/>
            </w:tcBorders>
            <w:vAlign w:val="bottom"/>
          </w:tcPr>
          <w:p w14:paraId="43DD9343">
            <w:pPr>
              <w:kinsoku/>
              <w:wordWrap w:val="0"/>
              <w:spacing w:line="360" w:lineRule="auto"/>
              <w:jc w:val="both"/>
              <w:rPr>
                <w:rFonts w:hint="eastAsia" w:asciiTheme="minorEastAsia" w:hAnsiTheme="minorEastAsia" w:eastAsiaTheme="minorEastAsia" w:cstheme="minorEastAsia"/>
                <w:color w:val="auto"/>
                <w:sz w:val="28"/>
                <w:szCs w:val="28"/>
                <w:highlight w:val="none"/>
                <w:lang w:eastAsia="zh-CN"/>
              </w:rPr>
            </w:pPr>
          </w:p>
        </w:tc>
        <w:tc>
          <w:tcPr>
            <w:tcW w:w="1559" w:type="dxa"/>
            <w:gridSpan w:val="2"/>
            <w:tcBorders>
              <w:top w:val="single" w:color="auto" w:sz="4" w:space="0"/>
              <w:left w:val="single" w:color="auto" w:sz="4" w:space="0"/>
              <w:bottom w:val="single" w:color="auto" w:sz="4" w:space="0"/>
              <w:right w:val="single" w:color="auto" w:sz="4" w:space="0"/>
            </w:tcBorders>
            <w:vAlign w:val="bottom"/>
          </w:tcPr>
          <w:p w14:paraId="26673D65">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850" w:type="dxa"/>
            <w:gridSpan w:val="2"/>
            <w:tcBorders>
              <w:top w:val="single" w:color="auto" w:sz="4" w:space="0"/>
              <w:left w:val="single" w:color="auto" w:sz="4" w:space="0"/>
              <w:bottom w:val="single" w:color="auto" w:sz="4" w:space="0"/>
              <w:right w:val="single" w:color="auto" w:sz="4" w:space="0"/>
            </w:tcBorders>
            <w:vAlign w:val="bottom"/>
          </w:tcPr>
          <w:p w14:paraId="61AB0D2D">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993" w:type="dxa"/>
            <w:tcBorders>
              <w:top w:val="single" w:color="auto" w:sz="4" w:space="0"/>
              <w:left w:val="single" w:color="auto" w:sz="4" w:space="0"/>
              <w:bottom w:val="single" w:color="auto" w:sz="4" w:space="0"/>
              <w:right w:val="single" w:color="auto" w:sz="4" w:space="0"/>
            </w:tcBorders>
            <w:vAlign w:val="bottom"/>
          </w:tcPr>
          <w:p w14:paraId="7A256E1B">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275" w:type="dxa"/>
            <w:gridSpan w:val="2"/>
            <w:tcBorders>
              <w:top w:val="single" w:color="auto" w:sz="4" w:space="0"/>
              <w:left w:val="single" w:color="auto" w:sz="4" w:space="0"/>
              <w:bottom w:val="single" w:color="auto" w:sz="4" w:space="0"/>
              <w:right w:val="single" w:color="auto" w:sz="4" w:space="0"/>
            </w:tcBorders>
            <w:vAlign w:val="bottom"/>
          </w:tcPr>
          <w:p w14:paraId="08FDFE31">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418" w:type="dxa"/>
            <w:tcBorders>
              <w:top w:val="single" w:color="auto" w:sz="4" w:space="0"/>
              <w:left w:val="single" w:color="auto" w:sz="4" w:space="0"/>
              <w:bottom w:val="single" w:color="auto" w:sz="4" w:space="0"/>
              <w:right w:val="single" w:color="auto" w:sz="4" w:space="0"/>
            </w:tcBorders>
            <w:vAlign w:val="bottom"/>
          </w:tcPr>
          <w:p w14:paraId="130D655C">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c>
          <w:tcPr>
            <w:tcW w:w="1843" w:type="dxa"/>
            <w:tcBorders>
              <w:top w:val="single" w:color="auto" w:sz="4" w:space="0"/>
              <w:left w:val="single" w:color="auto" w:sz="4" w:space="0"/>
              <w:bottom w:val="single" w:color="auto" w:sz="4" w:space="0"/>
              <w:right w:val="single" w:color="auto" w:sz="4" w:space="0"/>
            </w:tcBorders>
            <w:vAlign w:val="bottom"/>
          </w:tcPr>
          <w:p w14:paraId="03F63FCF">
            <w:pPr>
              <w:kinsoku/>
              <w:wordWrap w:val="0"/>
              <w:spacing w:line="360" w:lineRule="auto"/>
              <w:ind w:firstLine="567"/>
              <w:jc w:val="both"/>
              <w:rPr>
                <w:rFonts w:hint="eastAsia" w:asciiTheme="minorEastAsia" w:hAnsiTheme="minorEastAsia" w:eastAsiaTheme="minorEastAsia" w:cstheme="minorEastAsia"/>
                <w:color w:val="auto"/>
                <w:sz w:val="28"/>
                <w:szCs w:val="28"/>
                <w:highlight w:val="none"/>
                <w:lang w:eastAsia="zh-CN"/>
              </w:rPr>
            </w:pPr>
          </w:p>
        </w:tc>
      </w:tr>
    </w:tbl>
    <w:p w14:paraId="62584054">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6EA8B18D">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58B062A9">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1C5D1B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1D0B885E">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5E7B2FAD">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36E0F32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6EDD5AA3">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3CEB0AE3">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200D810E">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411CC0B7">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71A0307">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BF2CF28">
      <w:pPr>
        <w:kinsoku/>
        <w:wordWrap w:val="0"/>
        <w:spacing w:line="360" w:lineRule="auto"/>
        <w:jc w:val="both"/>
        <w:rPr>
          <w:color w:val="auto"/>
          <w:highlight w:val="none"/>
          <w:lang w:val="zh-CN" w:eastAsia="zh-CN"/>
        </w:rPr>
        <w:sectPr>
          <w:pgSz w:w="16840" w:h="11907" w:orient="landscape"/>
          <w:pgMar w:top="1800" w:right="1440" w:bottom="1800" w:left="1440" w:header="878" w:footer="886" w:gutter="0"/>
          <w:cols w:space="720" w:num="1"/>
        </w:sectPr>
      </w:pPr>
      <w:r>
        <w:rPr>
          <w:rFonts w:hint="eastAsia" w:asciiTheme="minorEastAsia" w:hAnsiTheme="minorEastAsia" w:eastAsiaTheme="minorEastAsia" w:cstheme="minorEastAsia"/>
          <w:color w:val="auto"/>
          <w:sz w:val="24"/>
          <w:szCs w:val="24"/>
          <w:highlight w:val="none"/>
          <w:lang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7D01DA10">
      <w:pPr>
        <w:kinsoku/>
        <w:wordWrap w:val="0"/>
        <w:spacing w:line="360" w:lineRule="auto"/>
        <w:jc w:val="both"/>
        <w:rPr>
          <w:rFonts w:hint="default"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eastAsia="zh-CN"/>
        </w:rPr>
        <w:t>3.设备技术指标及技术性能说明</w:t>
      </w:r>
      <w:r>
        <w:rPr>
          <w:rFonts w:hint="eastAsia" w:asciiTheme="minorEastAsia" w:hAnsiTheme="minorEastAsia" w:eastAsiaTheme="minorEastAsia" w:cstheme="minorEastAsia"/>
          <w:b/>
          <w:color w:val="auto"/>
          <w:sz w:val="24"/>
          <w:szCs w:val="24"/>
          <w:highlight w:val="none"/>
          <w:lang w:val="en-US" w:eastAsia="zh-CN"/>
        </w:rPr>
        <w:t>文件</w:t>
      </w:r>
    </w:p>
    <w:p w14:paraId="4B17A248">
      <w:pPr>
        <w:kinsoku/>
        <w:wordWrap w:val="0"/>
        <w:spacing w:line="240" w:lineRule="atLeast"/>
        <w:jc w:val="both"/>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4.技术偏差情况</w:t>
      </w:r>
    </w:p>
    <w:p w14:paraId="64B97168">
      <w:pPr>
        <w:kinsoku/>
        <w:wordWrap w:val="0"/>
        <w:spacing w:line="240" w:lineRule="atLeast"/>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技术规格偏离表</w:t>
      </w:r>
    </w:p>
    <w:p w14:paraId="39408709">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p w14:paraId="7B893F74">
      <w:pPr>
        <w:kinsoku/>
        <w:wordWrap w:val="0"/>
        <w:spacing w:line="240" w:lineRule="atLeast"/>
        <w:ind w:left="1154" w:leftChars="485" w:hanging="136" w:hangingChars="57"/>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项目名称:                                  项目编号:</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81"/>
        <w:gridCol w:w="1418"/>
        <w:gridCol w:w="1337"/>
        <w:gridCol w:w="1276"/>
        <w:gridCol w:w="1214"/>
      </w:tblGrid>
      <w:tr w14:paraId="2777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vAlign w:val="center"/>
          </w:tcPr>
          <w:p w14:paraId="5B544784">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序号</w:t>
            </w:r>
          </w:p>
        </w:tc>
        <w:tc>
          <w:tcPr>
            <w:tcW w:w="1381" w:type="dxa"/>
            <w:tcBorders>
              <w:top w:val="single" w:color="auto" w:sz="4" w:space="0"/>
              <w:left w:val="single" w:color="auto" w:sz="4" w:space="0"/>
              <w:bottom w:val="single" w:color="auto" w:sz="4" w:space="0"/>
              <w:right w:val="single" w:color="auto" w:sz="4" w:space="0"/>
            </w:tcBorders>
            <w:vAlign w:val="center"/>
          </w:tcPr>
          <w:p w14:paraId="4B486EE4">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货物名称</w:t>
            </w:r>
          </w:p>
        </w:tc>
        <w:tc>
          <w:tcPr>
            <w:tcW w:w="1418" w:type="dxa"/>
            <w:tcBorders>
              <w:top w:val="single" w:color="auto" w:sz="4" w:space="0"/>
              <w:left w:val="single" w:color="auto" w:sz="4" w:space="0"/>
              <w:bottom w:val="single" w:color="auto" w:sz="4" w:space="0"/>
              <w:right w:val="single" w:color="auto" w:sz="4" w:space="0"/>
            </w:tcBorders>
            <w:vAlign w:val="center"/>
          </w:tcPr>
          <w:p w14:paraId="34D2F5CC">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招标规格</w:t>
            </w:r>
          </w:p>
        </w:tc>
        <w:tc>
          <w:tcPr>
            <w:tcW w:w="1337" w:type="dxa"/>
            <w:tcBorders>
              <w:top w:val="single" w:color="auto" w:sz="4" w:space="0"/>
              <w:left w:val="single" w:color="auto" w:sz="4" w:space="0"/>
              <w:bottom w:val="single" w:color="auto" w:sz="4" w:space="0"/>
              <w:right w:val="single" w:color="auto" w:sz="4" w:space="0"/>
            </w:tcBorders>
            <w:vAlign w:val="center"/>
          </w:tcPr>
          <w:p w14:paraId="1C2C6C34">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投标规格</w:t>
            </w:r>
          </w:p>
        </w:tc>
        <w:tc>
          <w:tcPr>
            <w:tcW w:w="1276" w:type="dxa"/>
            <w:tcBorders>
              <w:top w:val="single" w:color="auto" w:sz="4" w:space="0"/>
              <w:left w:val="single" w:color="auto" w:sz="4" w:space="0"/>
              <w:bottom w:val="single" w:color="auto" w:sz="4" w:space="0"/>
              <w:right w:val="single" w:color="auto" w:sz="4" w:space="0"/>
            </w:tcBorders>
            <w:vAlign w:val="center"/>
          </w:tcPr>
          <w:p w14:paraId="6F3FB93D">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偏离</w:t>
            </w:r>
          </w:p>
        </w:tc>
        <w:tc>
          <w:tcPr>
            <w:tcW w:w="1214" w:type="dxa"/>
            <w:tcBorders>
              <w:top w:val="single" w:color="auto" w:sz="4" w:space="0"/>
              <w:left w:val="single" w:color="auto" w:sz="4" w:space="0"/>
              <w:bottom w:val="single" w:color="auto" w:sz="4" w:space="0"/>
              <w:right w:val="single" w:color="auto" w:sz="4" w:space="0"/>
            </w:tcBorders>
            <w:vAlign w:val="center"/>
          </w:tcPr>
          <w:p w14:paraId="7AB25BC2">
            <w:pPr>
              <w:kinsoku/>
              <w:wordWrap w:val="0"/>
              <w:spacing w:line="240" w:lineRule="atLeast"/>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说明</w:t>
            </w:r>
          </w:p>
        </w:tc>
      </w:tr>
      <w:tr w14:paraId="3CFD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1E097C5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6CF3F2A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65B1548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5F0480C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4ACC516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1B5C3F87">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3B8A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73892863">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6FDF4E5B">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64CDE49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49C6F4C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70A96F8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2F2863D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5123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5A06811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469351F5">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1CBBEE7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70B8D3A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7D9C87E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7915B740">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60C8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6CBFE219">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1851BC7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12B6E923">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0E1A8C0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2B7AB7BE">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1DE7CDA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5E49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11E11AB9">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03CAF850">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1CA4C505">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78270DE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0D4C725E">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48CC3CE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24F1E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4EC17FF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705616DE">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31B8261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0099A89B">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21E605E5">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107CF5E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52D5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6F2BA84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78E3355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3F82642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08484D3D">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58C7CB5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03CFB813">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75DB4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5D426863">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57AB7D9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68FD418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56C88D3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66DDA23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5FA5C74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7D651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tcPr>
          <w:p w14:paraId="782CE74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6DB0968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2A8BCB3B">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5000589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3853A7F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7C5FAC6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3690C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2B12493F">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7790B77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05DA8E2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2C8BF37D">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1008D84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3E5DFBC7">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4CB83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tcPr>
          <w:p w14:paraId="6C5EEE1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10E14865">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2DA3025D">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619E820D">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18F0058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4B1055CB">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2D61D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52817993">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4C21D31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48AC1FA0">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0E462A2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34CBB24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0583D3D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2630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tcPr>
          <w:p w14:paraId="1E01CDD1">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464183B9">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5A671DE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40F334FB">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4D446A02">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54A3ACF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0604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829" w:type="dxa"/>
            <w:tcBorders>
              <w:top w:val="single" w:color="auto" w:sz="4" w:space="0"/>
              <w:left w:val="single" w:color="auto" w:sz="4" w:space="0"/>
              <w:bottom w:val="single" w:color="auto" w:sz="4" w:space="0"/>
              <w:right w:val="single" w:color="auto" w:sz="4" w:space="0"/>
            </w:tcBorders>
          </w:tcPr>
          <w:p w14:paraId="21305B4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572A4A65">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0C74E6D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7BC8EAB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65E1978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1A7E9AC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r w14:paraId="599C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829" w:type="dxa"/>
            <w:tcBorders>
              <w:top w:val="single" w:color="auto" w:sz="4" w:space="0"/>
              <w:left w:val="single" w:color="auto" w:sz="4" w:space="0"/>
              <w:bottom w:val="single" w:color="auto" w:sz="4" w:space="0"/>
              <w:right w:val="single" w:color="auto" w:sz="4" w:space="0"/>
            </w:tcBorders>
          </w:tcPr>
          <w:p w14:paraId="65C0DB86">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81" w:type="dxa"/>
            <w:tcBorders>
              <w:top w:val="single" w:color="auto" w:sz="4" w:space="0"/>
              <w:left w:val="single" w:color="auto" w:sz="4" w:space="0"/>
              <w:bottom w:val="single" w:color="auto" w:sz="4" w:space="0"/>
              <w:right w:val="single" w:color="auto" w:sz="4" w:space="0"/>
            </w:tcBorders>
          </w:tcPr>
          <w:p w14:paraId="32B294AC">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418" w:type="dxa"/>
            <w:tcBorders>
              <w:top w:val="single" w:color="auto" w:sz="4" w:space="0"/>
              <w:left w:val="single" w:color="auto" w:sz="4" w:space="0"/>
              <w:bottom w:val="single" w:color="auto" w:sz="4" w:space="0"/>
              <w:right w:val="single" w:color="auto" w:sz="4" w:space="0"/>
            </w:tcBorders>
          </w:tcPr>
          <w:p w14:paraId="07FE6108">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337" w:type="dxa"/>
            <w:tcBorders>
              <w:top w:val="single" w:color="auto" w:sz="4" w:space="0"/>
              <w:left w:val="single" w:color="auto" w:sz="4" w:space="0"/>
              <w:bottom w:val="single" w:color="auto" w:sz="4" w:space="0"/>
              <w:right w:val="single" w:color="auto" w:sz="4" w:space="0"/>
            </w:tcBorders>
          </w:tcPr>
          <w:p w14:paraId="44DD1B84">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76" w:type="dxa"/>
            <w:tcBorders>
              <w:top w:val="single" w:color="auto" w:sz="4" w:space="0"/>
              <w:left w:val="single" w:color="auto" w:sz="4" w:space="0"/>
              <w:bottom w:val="single" w:color="auto" w:sz="4" w:space="0"/>
              <w:right w:val="single" w:color="auto" w:sz="4" w:space="0"/>
            </w:tcBorders>
          </w:tcPr>
          <w:p w14:paraId="717565DA">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c>
          <w:tcPr>
            <w:tcW w:w="1214" w:type="dxa"/>
            <w:tcBorders>
              <w:top w:val="single" w:color="auto" w:sz="4" w:space="0"/>
              <w:left w:val="single" w:color="auto" w:sz="4" w:space="0"/>
              <w:bottom w:val="single" w:color="auto" w:sz="4" w:space="0"/>
              <w:right w:val="single" w:color="auto" w:sz="4" w:space="0"/>
            </w:tcBorders>
          </w:tcPr>
          <w:p w14:paraId="3FD1404D">
            <w:pPr>
              <w:kinsoku/>
              <w:wordWrap w:val="0"/>
              <w:spacing w:line="240" w:lineRule="atLeast"/>
              <w:ind w:left="1080" w:leftChars="257" w:hanging="540"/>
              <w:jc w:val="both"/>
              <w:rPr>
                <w:rFonts w:hint="eastAsia" w:asciiTheme="minorEastAsia" w:hAnsiTheme="minorEastAsia" w:eastAsiaTheme="minorEastAsia" w:cstheme="minorEastAsia"/>
                <w:color w:val="auto"/>
                <w:sz w:val="24"/>
                <w:szCs w:val="24"/>
                <w:highlight w:val="none"/>
                <w:lang w:eastAsia="zh-CN"/>
              </w:rPr>
            </w:pPr>
          </w:p>
        </w:tc>
      </w:tr>
    </w:tbl>
    <w:p w14:paraId="676249F6">
      <w:pPr>
        <w:kinsoku/>
        <w:wordWrap w:val="0"/>
        <w:spacing w:line="360" w:lineRule="auto"/>
        <w:ind w:firstLine="482" w:firstLineChars="200"/>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日期：</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年</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月</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日</w:t>
      </w:r>
    </w:p>
    <w:p w14:paraId="40BC3D8E">
      <w:pP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10924C9A">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5.商务偏差表格式</w:t>
      </w:r>
    </w:p>
    <w:p w14:paraId="57916585">
      <w:pPr>
        <w:kinsoku/>
        <w:wordWrap w:val="0"/>
        <w:ind w:firstLine="482"/>
        <w:jc w:val="both"/>
        <w:rPr>
          <w:rFonts w:hint="eastAsia" w:asciiTheme="minorEastAsia" w:hAnsiTheme="minorEastAsia" w:eastAsiaTheme="minorEastAsia" w:cstheme="minorEastAsia"/>
          <w:b/>
          <w:color w:val="auto"/>
          <w:sz w:val="24"/>
          <w:szCs w:val="24"/>
          <w:highlight w:val="none"/>
          <w:lang w:eastAsia="zh-CN"/>
        </w:rPr>
      </w:pPr>
    </w:p>
    <w:p w14:paraId="7FF07448">
      <w:pPr>
        <w:kinsoku/>
        <w:wordWrap w:val="0"/>
        <w:jc w:val="center"/>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商务偏差表</w:t>
      </w:r>
    </w:p>
    <w:p w14:paraId="46A9ED9C">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p>
    <w:p w14:paraId="000D5277">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项目名称：                                 项目编号：</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1172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vAlign w:val="center"/>
          </w:tcPr>
          <w:p w14:paraId="1A215C13">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序号</w:t>
            </w:r>
          </w:p>
        </w:tc>
        <w:tc>
          <w:tcPr>
            <w:tcW w:w="1974" w:type="dxa"/>
            <w:tcBorders>
              <w:top w:val="single" w:color="auto" w:sz="4" w:space="0"/>
              <w:left w:val="single" w:color="auto" w:sz="4" w:space="0"/>
              <w:bottom w:val="single" w:color="auto" w:sz="4" w:space="0"/>
              <w:right w:val="single" w:color="auto" w:sz="4" w:space="0"/>
            </w:tcBorders>
            <w:vAlign w:val="bottom"/>
          </w:tcPr>
          <w:p w14:paraId="0CD60B44">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招标文件</w:t>
            </w:r>
          </w:p>
          <w:p w14:paraId="0A7ADFFB">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商务条款</w:t>
            </w:r>
          </w:p>
        </w:tc>
        <w:tc>
          <w:tcPr>
            <w:tcW w:w="1853" w:type="dxa"/>
            <w:tcBorders>
              <w:top w:val="single" w:color="auto" w:sz="4" w:space="0"/>
              <w:left w:val="single" w:color="auto" w:sz="4" w:space="0"/>
              <w:bottom w:val="single" w:color="auto" w:sz="4" w:space="0"/>
              <w:right w:val="single" w:color="auto" w:sz="4" w:space="0"/>
            </w:tcBorders>
            <w:vAlign w:val="bottom"/>
          </w:tcPr>
          <w:p w14:paraId="26EF4AE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投标文件商务条款</w:t>
            </w:r>
          </w:p>
        </w:tc>
        <w:tc>
          <w:tcPr>
            <w:tcW w:w="1690" w:type="dxa"/>
            <w:tcBorders>
              <w:top w:val="single" w:color="auto" w:sz="4" w:space="0"/>
              <w:left w:val="single" w:color="auto" w:sz="4" w:space="0"/>
              <w:bottom w:val="single" w:color="auto" w:sz="4" w:space="0"/>
              <w:right w:val="single" w:color="auto" w:sz="4" w:space="0"/>
            </w:tcBorders>
            <w:vAlign w:val="center"/>
          </w:tcPr>
          <w:p w14:paraId="4519B32A">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偏差描述</w:t>
            </w:r>
          </w:p>
        </w:tc>
        <w:tc>
          <w:tcPr>
            <w:tcW w:w="1276" w:type="dxa"/>
            <w:tcBorders>
              <w:top w:val="single" w:color="auto" w:sz="4" w:space="0"/>
              <w:left w:val="single" w:color="auto" w:sz="4" w:space="0"/>
              <w:bottom w:val="single" w:color="auto" w:sz="4" w:space="0"/>
              <w:right w:val="single" w:color="auto" w:sz="4" w:space="0"/>
            </w:tcBorders>
            <w:vAlign w:val="center"/>
          </w:tcPr>
          <w:p w14:paraId="05FB36D1">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结论</w:t>
            </w:r>
          </w:p>
        </w:tc>
      </w:tr>
      <w:tr w14:paraId="58B4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7494C7DD">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0AC46D16">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2C99ABF3">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1E6663A5">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590966AA">
            <w:pPr>
              <w:kinsoku/>
              <w:wordWrap w:val="0"/>
              <w:jc w:val="both"/>
              <w:rPr>
                <w:rFonts w:hint="eastAsia" w:asciiTheme="minorEastAsia" w:hAnsiTheme="minorEastAsia" w:eastAsiaTheme="minorEastAsia" w:cstheme="minorEastAsia"/>
                <w:color w:val="auto"/>
                <w:sz w:val="24"/>
                <w:szCs w:val="24"/>
                <w:highlight w:val="none"/>
              </w:rPr>
            </w:pPr>
          </w:p>
        </w:tc>
      </w:tr>
      <w:tr w14:paraId="3208B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1C6CCC9C">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14F22FC7">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2A1F9420">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18825742">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5B5A4B54">
            <w:pPr>
              <w:kinsoku/>
              <w:wordWrap w:val="0"/>
              <w:jc w:val="both"/>
              <w:rPr>
                <w:rFonts w:hint="eastAsia" w:asciiTheme="minorEastAsia" w:hAnsiTheme="minorEastAsia" w:eastAsiaTheme="minorEastAsia" w:cstheme="minorEastAsia"/>
                <w:color w:val="auto"/>
                <w:sz w:val="24"/>
                <w:szCs w:val="24"/>
                <w:highlight w:val="none"/>
              </w:rPr>
            </w:pPr>
          </w:p>
        </w:tc>
      </w:tr>
      <w:tr w14:paraId="543C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12C321A8">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62EEDB2F">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005B79E9">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50609F55">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25CD68DB">
            <w:pPr>
              <w:kinsoku/>
              <w:wordWrap w:val="0"/>
              <w:jc w:val="both"/>
              <w:rPr>
                <w:rFonts w:hint="eastAsia" w:asciiTheme="minorEastAsia" w:hAnsiTheme="minorEastAsia" w:eastAsiaTheme="minorEastAsia" w:cstheme="minorEastAsia"/>
                <w:color w:val="auto"/>
                <w:sz w:val="24"/>
                <w:szCs w:val="24"/>
                <w:highlight w:val="none"/>
              </w:rPr>
            </w:pPr>
          </w:p>
        </w:tc>
      </w:tr>
      <w:tr w14:paraId="3066E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2D4C4B6D">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62F67029">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2339AD63">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76BD764B">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5D701873">
            <w:pPr>
              <w:kinsoku/>
              <w:wordWrap w:val="0"/>
              <w:jc w:val="both"/>
              <w:rPr>
                <w:rFonts w:hint="eastAsia" w:asciiTheme="minorEastAsia" w:hAnsiTheme="minorEastAsia" w:eastAsiaTheme="minorEastAsia" w:cstheme="minorEastAsia"/>
                <w:color w:val="auto"/>
                <w:sz w:val="24"/>
                <w:szCs w:val="24"/>
                <w:highlight w:val="none"/>
              </w:rPr>
            </w:pPr>
          </w:p>
        </w:tc>
      </w:tr>
      <w:tr w14:paraId="0508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75ED5568">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2CF27EA1">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6DF0A61A">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44211574">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4440CD18">
            <w:pPr>
              <w:kinsoku/>
              <w:wordWrap w:val="0"/>
              <w:jc w:val="both"/>
              <w:rPr>
                <w:rFonts w:hint="eastAsia" w:asciiTheme="minorEastAsia" w:hAnsiTheme="minorEastAsia" w:eastAsiaTheme="minorEastAsia" w:cstheme="minorEastAsia"/>
                <w:color w:val="auto"/>
                <w:sz w:val="24"/>
                <w:szCs w:val="24"/>
                <w:highlight w:val="none"/>
              </w:rPr>
            </w:pPr>
          </w:p>
        </w:tc>
      </w:tr>
      <w:tr w14:paraId="7EF88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43DCAC21">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03C43985">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19DF5A64">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289B7536">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6EEC6C03">
            <w:pPr>
              <w:kinsoku/>
              <w:wordWrap w:val="0"/>
              <w:jc w:val="both"/>
              <w:rPr>
                <w:rFonts w:hint="eastAsia" w:asciiTheme="minorEastAsia" w:hAnsiTheme="minorEastAsia" w:eastAsiaTheme="minorEastAsia" w:cstheme="minorEastAsia"/>
                <w:color w:val="auto"/>
                <w:sz w:val="24"/>
                <w:szCs w:val="24"/>
                <w:highlight w:val="none"/>
              </w:rPr>
            </w:pPr>
          </w:p>
        </w:tc>
      </w:tr>
      <w:tr w14:paraId="0E11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209E3924">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7102EE85">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1885595B">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4EC1C768">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B0BC854">
            <w:pPr>
              <w:kinsoku/>
              <w:wordWrap w:val="0"/>
              <w:jc w:val="both"/>
              <w:rPr>
                <w:rFonts w:hint="eastAsia" w:asciiTheme="minorEastAsia" w:hAnsiTheme="minorEastAsia" w:eastAsiaTheme="minorEastAsia" w:cstheme="minorEastAsia"/>
                <w:color w:val="auto"/>
                <w:sz w:val="24"/>
                <w:szCs w:val="24"/>
                <w:highlight w:val="none"/>
              </w:rPr>
            </w:pPr>
          </w:p>
        </w:tc>
      </w:tr>
      <w:tr w14:paraId="47986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46C828C8">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07D14DB0">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039E01ED">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5FBCA249">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62AAA568">
            <w:pPr>
              <w:kinsoku/>
              <w:wordWrap w:val="0"/>
              <w:jc w:val="both"/>
              <w:rPr>
                <w:rFonts w:hint="eastAsia" w:asciiTheme="minorEastAsia" w:hAnsiTheme="minorEastAsia" w:eastAsiaTheme="minorEastAsia" w:cstheme="minorEastAsia"/>
                <w:color w:val="auto"/>
                <w:sz w:val="24"/>
                <w:szCs w:val="24"/>
                <w:highlight w:val="none"/>
              </w:rPr>
            </w:pPr>
          </w:p>
        </w:tc>
      </w:tr>
      <w:tr w14:paraId="1F83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3DA54F94">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09EAB43D">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0C1148FA">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0E2956DF">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62F65764">
            <w:pPr>
              <w:kinsoku/>
              <w:wordWrap w:val="0"/>
              <w:jc w:val="both"/>
              <w:rPr>
                <w:rFonts w:hint="eastAsia" w:asciiTheme="minorEastAsia" w:hAnsiTheme="minorEastAsia" w:eastAsiaTheme="minorEastAsia" w:cstheme="minorEastAsia"/>
                <w:color w:val="auto"/>
                <w:sz w:val="24"/>
                <w:szCs w:val="24"/>
                <w:highlight w:val="none"/>
              </w:rPr>
            </w:pPr>
          </w:p>
        </w:tc>
      </w:tr>
      <w:tr w14:paraId="404C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131A5375">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74006440">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4E12E6A8">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46279B2A">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787875D1">
            <w:pPr>
              <w:kinsoku/>
              <w:wordWrap w:val="0"/>
              <w:jc w:val="both"/>
              <w:rPr>
                <w:rFonts w:hint="eastAsia" w:asciiTheme="minorEastAsia" w:hAnsiTheme="minorEastAsia" w:eastAsiaTheme="minorEastAsia" w:cstheme="minorEastAsia"/>
                <w:color w:val="auto"/>
                <w:sz w:val="24"/>
                <w:szCs w:val="24"/>
                <w:highlight w:val="none"/>
              </w:rPr>
            </w:pPr>
          </w:p>
        </w:tc>
      </w:tr>
      <w:tr w14:paraId="6A3AA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tcPr>
          <w:p w14:paraId="5E18AD10">
            <w:pPr>
              <w:kinsoku/>
              <w:wordWrap w:val="0"/>
              <w:jc w:val="both"/>
              <w:rPr>
                <w:rFonts w:hint="eastAsia" w:asciiTheme="minorEastAsia" w:hAnsiTheme="minorEastAsia" w:eastAsiaTheme="minorEastAsia" w:cstheme="minorEastAsia"/>
                <w:color w:val="auto"/>
                <w:sz w:val="24"/>
                <w:szCs w:val="24"/>
                <w:highlight w:val="none"/>
              </w:rPr>
            </w:pPr>
          </w:p>
        </w:tc>
        <w:tc>
          <w:tcPr>
            <w:tcW w:w="1974" w:type="dxa"/>
            <w:tcBorders>
              <w:top w:val="single" w:color="auto" w:sz="4" w:space="0"/>
              <w:left w:val="single" w:color="auto" w:sz="4" w:space="0"/>
              <w:bottom w:val="single" w:color="auto" w:sz="4" w:space="0"/>
              <w:right w:val="single" w:color="auto" w:sz="4" w:space="0"/>
            </w:tcBorders>
          </w:tcPr>
          <w:p w14:paraId="73B41C9F">
            <w:pPr>
              <w:kinsoku/>
              <w:wordWrap w:val="0"/>
              <w:jc w:val="both"/>
              <w:rPr>
                <w:rFonts w:hint="eastAsia" w:asciiTheme="minorEastAsia" w:hAnsiTheme="minorEastAsia" w:eastAsiaTheme="minorEastAsia" w:cstheme="minorEastAsia"/>
                <w:color w:val="auto"/>
                <w:sz w:val="24"/>
                <w:szCs w:val="24"/>
                <w:highlight w:val="none"/>
              </w:rPr>
            </w:pPr>
          </w:p>
        </w:tc>
        <w:tc>
          <w:tcPr>
            <w:tcW w:w="1853" w:type="dxa"/>
            <w:tcBorders>
              <w:top w:val="single" w:color="auto" w:sz="4" w:space="0"/>
              <w:left w:val="single" w:color="auto" w:sz="4" w:space="0"/>
              <w:bottom w:val="single" w:color="auto" w:sz="4" w:space="0"/>
              <w:right w:val="single" w:color="auto" w:sz="4" w:space="0"/>
            </w:tcBorders>
          </w:tcPr>
          <w:p w14:paraId="5FBAE97C">
            <w:pPr>
              <w:kinsoku/>
              <w:wordWrap w:val="0"/>
              <w:jc w:val="both"/>
              <w:rPr>
                <w:rFonts w:hint="eastAsia" w:asciiTheme="minorEastAsia" w:hAnsiTheme="minorEastAsia" w:eastAsiaTheme="minorEastAsia" w:cstheme="minorEastAsia"/>
                <w:color w:val="auto"/>
                <w:sz w:val="24"/>
                <w:szCs w:val="24"/>
                <w:highlight w:val="none"/>
              </w:rPr>
            </w:pPr>
          </w:p>
        </w:tc>
        <w:tc>
          <w:tcPr>
            <w:tcW w:w="1690" w:type="dxa"/>
            <w:tcBorders>
              <w:top w:val="single" w:color="auto" w:sz="4" w:space="0"/>
              <w:left w:val="single" w:color="auto" w:sz="4" w:space="0"/>
              <w:bottom w:val="single" w:color="auto" w:sz="4" w:space="0"/>
              <w:right w:val="single" w:color="auto" w:sz="4" w:space="0"/>
            </w:tcBorders>
          </w:tcPr>
          <w:p w14:paraId="209C1F47">
            <w:pPr>
              <w:kinsoku/>
              <w:wordWrap w:val="0"/>
              <w:jc w:val="both"/>
              <w:rPr>
                <w:rFonts w:hint="eastAsia" w:asciiTheme="minorEastAsia" w:hAnsiTheme="minorEastAsia" w:eastAsiaTheme="minorEastAsia" w:cstheme="minorEastAsia"/>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2068A97B">
            <w:pPr>
              <w:kinsoku/>
              <w:wordWrap w:val="0"/>
              <w:jc w:val="both"/>
              <w:rPr>
                <w:rFonts w:hint="eastAsia" w:asciiTheme="minorEastAsia" w:hAnsiTheme="minorEastAsia" w:eastAsiaTheme="minorEastAsia" w:cstheme="minorEastAsia"/>
                <w:color w:val="auto"/>
                <w:sz w:val="24"/>
                <w:szCs w:val="24"/>
                <w:highlight w:val="none"/>
              </w:rPr>
            </w:pPr>
          </w:p>
        </w:tc>
      </w:tr>
    </w:tbl>
    <w:p w14:paraId="662B95DA">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投标人（公章）：法定代表人（负责人）或授权代表（签字）：</w:t>
      </w:r>
    </w:p>
    <w:p w14:paraId="3120C01C">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日期：</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年</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月</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b/>
          <w:bCs/>
          <w:color w:val="auto"/>
          <w:spacing w:val="-8"/>
          <w:sz w:val="24"/>
          <w:szCs w:val="24"/>
          <w:highlight w:val="none"/>
          <w:lang w:eastAsia="zh-CN"/>
        </w:rPr>
        <w:t>日</w:t>
      </w:r>
    </w:p>
    <w:p w14:paraId="5076CBEF">
      <w:pP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787A80E3">
      <w:pPr>
        <w:kinsoku/>
        <w:wordWrap w:val="0"/>
        <w:spacing w:after="120"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6.关于符合本国产品标准的声明函</w:t>
      </w:r>
    </w:p>
    <w:p w14:paraId="0EAF8858">
      <w:pPr>
        <w:kinsoku/>
        <w:wordWrap w:val="0"/>
        <w:spacing w:after="120" w:line="360" w:lineRule="auto"/>
        <w:jc w:val="center"/>
        <w:rPr>
          <w:rFonts w:hint="eastAsia" w:asciiTheme="minorEastAsia" w:hAnsiTheme="minorEastAsia" w:eastAsiaTheme="minorEastAsia" w:cstheme="minorEastAsia"/>
          <w:bCs/>
          <w:color w:val="auto"/>
          <w:sz w:val="32"/>
          <w:szCs w:val="32"/>
          <w:highlight w:val="none"/>
          <w:lang w:eastAsia="zh-CN"/>
        </w:rPr>
      </w:pPr>
      <w:r>
        <w:rPr>
          <w:rFonts w:hint="eastAsia" w:ascii="黑体" w:hAnsi="黑体" w:eastAsia="黑体" w:cs="黑体"/>
          <w:bCs/>
          <w:color w:val="auto"/>
          <w:sz w:val="32"/>
          <w:szCs w:val="32"/>
          <w:highlight w:val="none"/>
          <w:lang w:eastAsia="zh-CN"/>
        </w:rPr>
        <w:t>关于符合本国产品标准的声明函</w:t>
      </w:r>
    </w:p>
    <w:p w14:paraId="7F0E3F74">
      <w:pPr>
        <w:kinsoku/>
        <w:wordWrap w:val="0"/>
        <w:spacing w:after="120" w:line="360" w:lineRule="auto"/>
        <w:jc w:val="center"/>
        <w:rPr>
          <w:rFonts w:hint="eastAsia" w:asciiTheme="minorEastAsia" w:hAnsiTheme="minorEastAsia" w:eastAsiaTheme="minorEastAsia" w:cstheme="minorEastAsia"/>
          <w:b/>
          <w:color w:val="auto"/>
          <w:sz w:val="32"/>
          <w:szCs w:val="32"/>
          <w:highlight w:val="none"/>
          <w:lang w:eastAsia="zh-CN"/>
        </w:rPr>
      </w:pPr>
    </w:p>
    <w:p w14:paraId="60A53AC7">
      <w:pPr>
        <w:kinsoku/>
        <w:wordWrap w:val="0"/>
        <w:spacing w:after="120"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本公司（单位）郑重声明，根据《国务院办公厅关于在政府采购中实施本国产品标准及相关政策的通知》（国办发〔2025〕34号）的规定，本公司（单位）提供的以下产品属于本国产品。具体情况如下：</w:t>
      </w:r>
    </w:p>
    <w:p w14:paraId="3DCCC507">
      <w:pPr>
        <w:kinsoku/>
        <w:wordWrap w:val="0"/>
        <w:spacing w:after="120"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1.</w:t>
      </w:r>
      <w:r>
        <w:rPr>
          <w:rFonts w:hint="eastAsia" w:asciiTheme="minorEastAsia" w:hAnsiTheme="minorEastAsia" w:eastAsiaTheme="minorEastAsia" w:cstheme="minorEastAsia"/>
          <w:bCs/>
          <w:color w:val="auto"/>
          <w:sz w:val="24"/>
          <w:szCs w:val="24"/>
          <w:highlight w:val="none"/>
          <w:u w:val="single"/>
          <w:lang w:eastAsia="zh-CN"/>
        </w:rPr>
        <w:t>（产品名称1）</w:t>
      </w:r>
      <w:r>
        <w:rPr>
          <w:rFonts w:hint="eastAsia" w:ascii="宋体" w:hAnsi="宋体" w:eastAsia="宋体" w:cs="宋体"/>
          <w:bCs/>
          <w:color w:val="auto"/>
          <w:sz w:val="24"/>
          <w:szCs w:val="24"/>
          <w:highlight w:val="none"/>
          <w:lang w:eastAsia="zh-CN"/>
        </w:rPr>
        <w:t>①</w:t>
      </w:r>
      <w:r>
        <w:rPr>
          <w:rFonts w:hint="eastAsia" w:asciiTheme="minorEastAsia" w:hAnsiTheme="minorEastAsia" w:eastAsiaTheme="minorEastAsia" w:cstheme="minorEastAsia"/>
          <w:bCs/>
          <w:color w:val="auto"/>
          <w:sz w:val="24"/>
          <w:szCs w:val="24"/>
          <w:highlight w:val="none"/>
          <w:lang w:eastAsia="zh-CN"/>
        </w:rPr>
        <w:t>，生产厂为</w:t>
      </w:r>
      <w:r>
        <w:rPr>
          <w:rFonts w:hint="eastAsia" w:asciiTheme="minorEastAsia" w:hAnsiTheme="minorEastAsia" w:eastAsiaTheme="minorEastAsia" w:cstheme="minorEastAsia"/>
          <w:bCs/>
          <w:color w:val="auto"/>
          <w:sz w:val="24"/>
          <w:szCs w:val="24"/>
          <w:highlight w:val="none"/>
          <w:u w:val="single"/>
          <w:lang w:eastAsia="zh-CN"/>
        </w:rPr>
        <w:t>（厂名）</w:t>
      </w:r>
      <w:r>
        <w:rPr>
          <w:rFonts w:hint="eastAsia" w:ascii="宋体" w:hAnsi="宋体" w:eastAsia="宋体" w:cs="宋体"/>
          <w:bCs/>
          <w:color w:val="auto"/>
          <w:sz w:val="24"/>
          <w:szCs w:val="24"/>
          <w:highlight w:val="none"/>
          <w:lang w:eastAsia="zh-CN"/>
        </w:rPr>
        <w:t>②</w:t>
      </w:r>
      <w:r>
        <w:rPr>
          <w:rFonts w:hint="eastAsia" w:asciiTheme="minorEastAsia" w:hAnsiTheme="minorEastAsia" w:eastAsiaTheme="minorEastAsia" w:cstheme="minorEastAsia"/>
          <w:bCs/>
          <w:color w:val="auto"/>
          <w:sz w:val="24"/>
          <w:szCs w:val="24"/>
          <w:highlight w:val="none"/>
          <w:lang w:eastAsia="zh-CN"/>
        </w:rPr>
        <w:t>，厂址为</w:t>
      </w:r>
      <w:r>
        <w:rPr>
          <w:rFonts w:hint="eastAsia" w:asciiTheme="minorEastAsia" w:hAnsiTheme="minorEastAsia" w:eastAsiaTheme="minorEastAsia" w:cstheme="minorEastAsia"/>
          <w:bCs/>
          <w:color w:val="auto"/>
          <w:sz w:val="24"/>
          <w:szCs w:val="24"/>
          <w:highlight w:val="none"/>
          <w:u w:val="single"/>
          <w:lang w:eastAsia="zh-CN"/>
        </w:rPr>
        <w:t>（生产厂址）</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u w:val="single"/>
          <w:lang w:eastAsia="zh-CN"/>
        </w:rPr>
        <w:t>（产品名称1）</w:t>
      </w:r>
      <w:r>
        <w:rPr>
          <w:rFonts w:hint="eastAsia" w:asciiTheme="minorEastAsia" w:hAnsiTheme="minorEastAsia" w:eastAsiaTheme="minorEastAsia" w:cstheme="minorEastAsia"/>
          <w:bCs/>
          <w:color w:val="auto"/>
          <w:sz w:val="24"/>
          <w:szCs w:val="24"/>
          <w:highlight w:val="none"/>
          <w:lang w:eastAsia="zh-CN"/>
        </w:rPr>
        <w:t>的中国境内生产的组件成本占比≥</w:t>
      </w:r>
      <w:r>
        <w:rPr>
          <w:rFonts w:hint="eastAsia" w:asciiTheme="minorEastAsia" w:hAnsiTheme="minorEastAsia" w:eastAsiaTheme="minorEastAsia" w:cstheme="minorEastAsia"/>
          <w:bCs/>
          <w:color w:val="auto"/>
          <w:sz w:val="24"/>
          <w:szCs w:val="24"/>
          <w:highlight w:val="none"/>
          <w:u w:val="single"/>
          <w:lang w:eastAsia="zh-CN"/>
        </w:rPr>
        <w:t>（规定比例）</w:t>
      </w:r>
      <w:r>
        <w:rPr>
          <w:rFonts w:hint="eastAsia" w:ascii="宋体" w:hAnsi="宋体" w:eastAsia="宋体" w:cs="宋体"/>
          <w:bCs/>
          <w:color w:val="auto"/>
          <w:sz w:val="24"/>
          <w:szCs w:val="24"/>
          <w:highlight w:val="none"/>
          <w:lang w:eastAsia="zh-CN"/>
        </w:rPr>
        <w:t>③</w:t>
      </w:r>
      <w:r>
        <w:rPr>
          <w:rFonts w:hint="eastAsia" w:asciiTheme="minorEastAsia" w:hAnsiTheme="minorEastAsia" w:eastAsiaTheme="minorEastAsia" w:cstheme="minorEastAsia"/>
          <w:bCs/>
          <w:color w:val="auto"/>
          <w:sz w:val="24"/>
          <w:szCs w:val="24"/>
          <w:highlight w:val="none"/>
          <w:lang w:eastAsia="zh-CN"/>
        </w:rPr>
        <w:t>。（产品名称1）的</w:t>
      </w:r>
      <w:r>
        <w:rPr>
          <w:rFonts w:hint="eastAsia" w:asciiTheme="minorEastAsia" w:hAnsiTheme="minorEastAsia" w:eastAsiaTheme="minorEastAsia" w:cstheme="minorEastAsia"/>
          <w:bCs/>
          <w:color w:val="auto"/>
          <w:sz w:val="24"/>
          <w:szCs w:val="24"/>
          <w:highlight w:val="none"/>
          <w:u w:val="single"/>
          <w:lang w:eastAsia="zh-CN"/>
        </w:rPr>
        <w:t>（关键组件）</w:t>
      </w:r>
      <w:r>
        <w:rPr>
          <w:rFonts w:hint="eastAsia" w:ascii="宋体" w:hAnsi="宋体" w:eastAsia="宋体" w:cs="宋体"/>
          <w:bCs/>
          <w:color w:val="auto"/>
          <w:sz w:val="24"/>
          <w:szCs w:val="24"/>
          <w:highlight w:val="none"/>
          <w:lang w:eastAsia="zh-CN"/>
        </w:rPr>
        <w:t>④</w:t>
      </w:r>
      <w:r>
        <w:rPr>
          <w:rFonts w:hint="eastAsia" w:asciiTheme="minorEastAsia" w:hAnsiTheme="minorEastAsia" w:eastAsiaTheme="minorEastAsia" w:cstheme="minorEastAsia"/>
          <w:bCs/>
          <w:color w:val="auto"/>
          <w:sz w:val="24"/>
          <w:szCs w:val="24"/>
          <w:highlight w:val="none"/>
          <w:lang w:eastAsia="zh-CN"/>
        </w:rPr>
        <w:t>在中国境内生产。</w:t>
      </w:r>
      <w:r>
        <w:rPr>
          <w:rFonts w:hint="eastAsia" w:asciiTheme="minorEastAsia" w:hAnsiTheme="minorEastAsia" w:eastAsiaTheme="minorEastAsia" w:cstheme="minorEastAsia"/>
          <w:bCs/>
          <w:color w:val="auto"/>
          <w:sz w:val="24"/>
          <w:szCs w:val="24"/>
          <w:highlight w:val="none"/>
          <w:u w:val="single"/>
          <w:lang w:eastAsia="zh-CN"/>
        </w:rPr>
        <w:t>（产品名称1）</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u w:val="single"/>
          <w:lang w:eastAsia="zh-CN"/>
        </w:rPr>
        <w:t>（关键工序）</w:t>
      </w:r>
      <w:r>
        <w:rPr>
          <w:rFonts w:hint="eastAsia" w:ascii="宋体" w:hAnsi="宋体" w:eastAsia="宋体" w:cs="宋体"/>
          <w:bCs/>
          <w:color w:val="auto"/>
          <w:sz w:val="24"/>
          <w:szCs w:val="24"/>
          <w:highlight w:val="none"/>
          <w:lang w:eastAsia="zh-CN"/>
        </w:rPr>
        <w:t>⑤</w:t>
      </w:r>
      <w:r>
        <w:rPr>
          <w:rFonts w:hint="eastAsia" w:asciiTheme="minorEastAsia" w:hAnsiTheme="minorEastAsia" w:eastAsiaTheme="minorEastAsia" w:cstheme="minorEastAsia"/>
          <w:bCs/>
          <w:color w:val="auto"/>
          <w:sz w:val="24"/>
          <w:szCs w:val="24"/>
          <w:highlight w:val="none"/>
          <w:lang w:eastAsia="zh-CN"/>
        </w:rPr>
        <w:t>在中国境内完成。</w:t>
      </w:r>
    </w:p>
    <w:p w14:paraId="73AF641F">
      <w:pPr>
        <w:kinsoku/>
        <w:wordWrap w:val="0"/>
        <w:spacing w:after="120"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2.（产品名称2），生产厂为（厂名），厂址为（生产厂址）。（产品名称2）的中国境内生产的组件成本占比≥（规定比例）。（产品名称2）的（关键组件）在中国境内生产。（产品名称2）的（关键工序）在中国境内完成。</w:t>
      </w:r>
    </w:p>
    <w:p w14:paraId="2AA0FD83">
      <w:pPr>
        <w:kinsoku/>
        <w:wordWrap w:val="0"/>
        <w:spacing w:after="120"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w:t>
      </w:r>
    </w:p>
    <w:p w14:paraId="7D2A54FD">
      <w:pPr>
        <w:kinsoku/>
        <w:wordWrap w:val="0"/>
        <w:spacing w:after="120"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本公司（单位）对上述声明内容的真实性负责。如有虚假，愿承担相应法律责任。</w:t>
      </w:r>
    </w:p>
    <w:p w14:paraId="5C0B7C46">
      <w:pPr>
        <w:kinsoku/>
        <w:wordWrap w:val="0"/>
        <w:spacing w:after="120" w:line="360" w:lineRule="auto"/>
        <w:ind w:firstLine="4320" w:firstLineChars="1800"/>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公司（单位）名称（盖章）：　                                        日期：　     年　  月　  日</w:t>
      </w:r>
      <w:r>
        <w:rPr>
          <w:rFonts w:hint="eastAsia" w:asciiTheme="minorEastAsia" w:hAnsiTheme="minorEastAsia" w:eastAsiaTheme="minorEastAsia" w:cstheme="minorEastAsia"/>
          <w:b/>
          <w:color w:val="auto"/>
          <w:sz w:val="24"/>
          <w:szCs w:val="24"/>
          <w:highlight w:val="none"/>
          <w:lang w:eastAsia="zh-CN"/>
        </w:rPr>
        <w:t>         </w:t>
      </w:r>
    </w:p>
    <w:p w14:paraId="3FAB67C4">
      <w:pPr>
        <w:kinsoku/>
        <w:wordWrap w:val="0"/>
        <w:spacing w:after="120"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注：</w:t>
      </w:r>
      <w:r>
        <w:rPr>
          <w:rFonts w:hint="eastAsia" w:ascii="宋体" w:hAnsi="宋体" w:eastAsia="宋体" w:cs="宋体"/>
          <w:bCs/>
          <w:color w:val="auto"/>
          <w:sz w:val="24"/>
          <w:szCs w:val="24"/>
          <w:highlight w:val="none"/>
          <w:lang w:eastAsia="zh-CN"/>
        </w:rPr>
        <w:t>①</w:t>
      </w:r>
      <w:r>
        <w:rPr>
          <w:rFonts w:hint="eastAsia" w:asciiTheme="minorEastAsia" w:hAnsiTheme="minorEastAsia" w:eastAsiaTheme="minorEastAsia" w:cstheme="minorEastAsia"/>
          <w:bCs/>
          <w:color w:val="auto"/>
          <w:sz w:val="24"/>
          <w:szCs w:val="24"/>
          <w:highlight w:val="none"/>
          <w:lang w:eastAsia="zh-CN"/>
        </w:rPr>
        <w:t>产品如有型号，请在“产品名称”栏一并填写。</w:t>
      </w:r>
    </w:p>
    <w:p w14:paraId="2DB897FB">
      <w:pPr>
        <w:kinsoku/>
        <w:wordWrap w:val="0"/>
        <w:spacing w:after="120"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宋体" w:hAnsi="宋体" w:eastAsia="宋体" w:cs="宋体"/>
          <w:bCs/>
          <w:color w:val="auto"/>
          <w:sz w:val="24"/>
          <w:szCs w:val="24"/>
          <w:highlight w:val="none"/>
          <w:lang w:eastAsia="zh-CN"/>
        </w:rPr>
        <w:t>②</w:t>
      </w:r>
      <w:r>
        <w:rPr>
          <w:rFonts w:hint="eastAsia" w:asciiTheme="minorEastAsia" w:hAnsiTheme="minorEastAsia" w:eastAsiaTheme="minorEastAsia" w:cstheme="minorEastAsia"/>
          <w:bCs/>
          <w:color w:val="auto"/>
          <w:sz w:val="24"/>
          <w:szCs w:val="24"/>
          <w:highlight w:val="none"/>
          <w:lang w:eastAsia="zh-CN"/>
        </w:rPr>
        <w:t>生产厂名与厂址应与生产厂营业执照载明的相关信息保持一致。</w:t>
      </w:r>
    </w:p>
    <w:p w14:paraId="1DAB407E">
      <w:pPr>
        <w:kinsoku/>
        <w:wordWrap w:val="0"/>
        <w:spacing w:after="120"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宋体" w:hAnsi="宋体" w:eastAsia="宋体" w:cs="宋体"/>
          <w:bCs/>
          <w:color w:val="auto"/>
          <w:sz w:val="24"/>
          <w:szCs w:val="24"/>
          <w:highlight w:val="none"/>
          <w:lang w:eastAsia="zh-CN"/>
        </w:rPr>
        <w:t>③</w:t>
      </w:r>
      <w:r>
        <w:rPr>
          <w:rFonts w:hint="eastAsia" w:asciiTheme="minorEastAsia" w:hAnsiTheme="minorEastAsia" w:eastAsiaTheme="minorEastAsia" w:cstheme="minorEastAsia"/>
          <w:bCs/>
          <w:color w:val="auto"/>
          <w:sz w:val="24"/>
          <w:szCs w:val="24"/>
          <w:highlight w:val="none"/>
          <w:lang w:eastAsia="zh-CN"/>
        </w:rPr>
        <w:t>该产品的中国境内生产的组件成本占比相关要求实施前，“规定比例”栏可不填，下同。</w:t>
      </w:r>
    </w:p>
    <w:p w14:paraId="4DD5E01D">
      <w:pPr>
        <w:kinsoku/>
        <w:wordWrap w:val="0"/>
        <w:spacing w:after="120"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宋体" w:hAnsi="宋体" w:eastAsia="宋体" w:cs="宋体"/>
          <w:bCs/>
          <w:color w:val="auto"/>
          <w:sz w:val="24"/>
          <w:szCs w:val="24"/>
          <w:highlight w:val="none"/>
          <w:lang w:eastAsia="zh-CN"/>
        </w:rPr>
        <w:t>④</w:t>
      </w:r>
      <w:r>
        <w:rPr>
          <w:rFonts w:hint="eastAsia" w:asciiTheme="minorEastAsia" w:hAnsiTheme="minorEastAsia" w:eastAsiaTheme="minorEastAsia" w:cstheme="minorEastAsia"/>
          <w:bCs/>
          <w:color w:val="auto"/>
          <w:sz w:val="24"/>
          <w:szCs w:val="24"/>
          <w:highlight w:val="none"/>
          <w:lang w:eastAsia="zh-CN"/>
        </w:rPr>
        <w:t>该产品的关键组件要求实施前，“关键组件”栏可不填，下同。</w:t>
      </w:r>
    </w:p>
    <w:p w14:paraId="2103972C">
      <w:pPr>
        <w:kinsoku/>
        <w:wordWrap w:val="0"/>
        <w:spacing w:after="120"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宋体" w:hAnsi="宋体" w:eastAsia="宋体" w:cs="宋体"/>
          <w:bCs/>
          <w:color w:val="auto"/>
          <w:sz w:val="24"/>
          <w:szCs w:val="24"/>
          <w:highlight w:val="none"/>
          <w:lang w:eastAsia="zh-CN"/>
        </w:rPr>
        <w:t>⑤</w:t>
      </w:r>
      <w:r>
        <w:rPr>
          <w:rFonts w:hint="eastAsia" w:asciiTheme="minorEastAsia" w:hAnsiTheme="minorEastAsia" w:eastAsiaTheme="minorEastAsia" w:cstheme="minorEastAsia"/>
          <w:bCs/>
          <w:color w:val="auto"/>
          <w:sz w:val="24"/>
          <w:szCs w:val="24"/>
          <w:highlight w:val="none"/>
          <w:lang w:eastAsia="zh-CN"/>
        </w:rPr>
        <w:t>该产品的关键工序要求实施前，“关键工序”栏可不填，下同。</w:t>
      </w:r>
    </w:p>
    <w:p w14:paraId="21CB3646">
      <w:pP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0BEDD341">
      <w:pPr>
        <w:kinsoku/>
        <w:wordWrap w:val="0"/>
        <w:spacing w:after="120"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7.节能产品、环境标志产品明细表</w:t>
      </w:r>
    </w:p>
    <w:p w14:paraId="3DCE2474">
      <w:pPr>
        <w:kinsoku/>
        <w:wordWrap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节能产品明细表</w:t>
      </w:r>
    </w:p>
    <w:p w14:paraId="285946B1">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4"/>
        <w:gridCol w:w="810"/>
        <w:gridCol w:w="1125"/>
        <w:gridCol w:w="1110"/>
        <w:gridCol w:w="1380"/>
        <w:gridCol w:w="780"/>
        <w:gridCol w:w="720"/>
        <w:gridCol w:w="705"/>
      </w:tblGrid>
      <w:tr w14:paraId="35CC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04" w:type="dxa"/>
            <w:tcBorders>
              <w:top w:val="single" w:color="auto" w:sz="4" w:space="0"/>
              <w:left w:val="single" w:color="auto" w:sz="4" w:space="0"/>
              <w:bottom w:val="single" w:color="auto" w:sz="4" w:space="0"/>
              <w:right w:val="single" w:color="auto" w:sz="4" w:space="0"/>
            </w:tcBorders>
          </w:tcPr>
          <w:p w14:paraId="03F9B1E5">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序号</w:t>
            </w:r>
          </w:p>
        </w:tc>
        <w:tc>
          <w:tcPr>
            <w:tcW w:w="810" w:type="dxa"/>
            <w:tcBorders>
              <w:top w:val="single" w:color="auto" w:sz="4" w:space="0"/>
              <w:left w:val="single" w:color="auto" w:sz="4" w:space="0"/>
              <w:bottom w:val="single" w:color="auto" w:sz="4" w:space="0"/>
              <w:right w:val="single" w:color="auto" w:sz="4" w:space="0"/>
            </w:tcBorders>
          </w:tcPr>
          <w:p w14:paraId="1D2A5D82">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设备名称</w:t>
            </w:r>
          </w:p>
        </w:tc>
        <w:tc>
          <w:tcPr>
            <w:tcW w:w="1125" w:type="dxa"/>
            <w:tcBorders>
              <w:top w:val="single" w:color="auto" w:sz="4" w:space="0"/>
              <w:left w:val="single" w:color="auto" w:sz="4" w:space="0"/>
              <w:bottom w:val="single" w:color="auto" w:sz="4" w:space="0"/>
              <w:right w:val="single" w:color="auto" w:sz="4" w:space="0"/>
            </w:tcBorders>
          </w:tcPr>
          <w:p w14:paraId="7D520A5B">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品牌</w:t>
            </w:r>
          </w:p>
          <w:p w14:paraId="4F6445D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型号</w:t>
            </w:r>
          </w:p>
        </w:tc>
        <w:tc>
          <w:tcPr>
            <w:tcW w:w="1110" w:type="dxa"/>
            <w:tcBorders>
              <w:top w:val="single" w:color="auto" w:sz="4" w:space="0"/>
              <w:left w:val="single" w:color="auto" w:sz="4" w:space="0"/>
              <w:bottom w:val="single" w:color="auto" w:sz="4" w:space="0"/>
              <w:right w:val="single" w:color="auto" w:sz="4" w:space="0"/>
            </w:tcBorders>
          </w:tcPr>
          <w:p w14:paraId="54D8EC0D">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节字标</w:t>
            </w:r>
          </w:p>
          <w:p w14:paraId="20E4947A">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志认证</w:t>
            </w:r>
          </w:p>
          <w:p w14:paraId="7C20D96B">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证书号</w:t>
            </w:r>
          </w:p>
        </w:tc>
        <w:tc>
          <w:tcPr>
            <w:tcW w:w="1380" w:type="dxa"/>
            <w:tcBorders>
              <w:top w:val="single" w:color="auto" w:sz="4" w:space="0"/>
              <w:left w:val="single" w:color="auto" w:sz="4" w:space="0"/>
              <w:bottom w:val="single" w:color="auto" w:sz="4" w:space="0"/>
              <w:right w:val="single" w:color="auto" w:sz="4" w:space="0"/>
            </w:tcBorders>
          </w:tcPr>
          <w:p w14:paraId="1341DA8E">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国家节能产品认证证书有效截止日期</w:t>
            </w:r>
          </w:p>
        </w:tc>
        <w:tc>
          <w:tcPr>
            <w:tcW w:w="780" w:type="dxa"/>
            <w:tcBorders>
              <w:top w:val="single" w:color="auto" w:sz="4" w:space="0"/>
              <w:left w:val="single" w:color="auto" w:sz="4" w:space="0"/>
              <w:bottom w:val="single" w:color="auto" w:sz="4" w:space="0"/>
              <w:right w:val="single" w:color="auto" w:sz="4" w:space="0"/>
            </w:tcBorders>
          </w:tcPr>
          <w:p w14:paraId="606A36A7">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数量</w:t>
            </w:r>
          </w:p>
        </w:tc>
        <w:tc>
          <w:tcPr>
            <w:tcW w:w="720" w:type="dxa"/>
            <w:tcBorders>
              <w:top w:val="single" w:color="auto" w:sz="4" w:space="0"/>
              <w:left w:val="single" w:color="auto" w:sz="4" w:space="0"/>
              <w:bottom w:val="single" w:color="auto" w:sz="4" w:space="0"/>
              <w:right w:val="single" w:color="auto" w:sz="4" w:space="0"/>
            </w:tcBorders>
          </w:tcPr>
          <w:p w14:paraId="65BF7FEE">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单价</w:t>
            </w:r>
          </w:p>
        </w:tc>
        <w:tc>
          <w:tcPr>
            <w:tcW w:w="705" w:type="dxa"/>
            <w:tcBorders>
              <w:top w:val="single" w:color="auto" w:sz="4" w:space="0"/>
              <w:left w:val="single" w:color="auto" w:sz="4" w:space="0"/>
              <w:bottom w:val="single" w:color="auto" w:sz="4" w:space="0"/>
              <w:right w:val="single" w:color="auto" w:sz="4" w:space="0"/>
            </w:tcBorders>
          </w:tcPr>
          <w:p w14:paraId="7E9BB070">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总价</w:t>
            </w:r>
          </w:p>
        </w:tc>
      </w:tr>
      <w:tr w14:paraId="5028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tcPr>
          <w:p w14:paraId="099037FF">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810" w:type="dxa"/>
            <w:tcBorders>
              <w:top w:val="single" w:color="auto" w:sz="4" w:space="0"/>
              <w:left w:val="single" w:color="auto" w:sz="4" w:space="0"/>
              <w:bottom w:val="single" w:color="auto" w:sz="4" w:space="0"/>
              <w:right w:val="single" w:color="auto" w:sz="4" w:space="0"/>
            </w:tcBorders>
          </w:tcPr>
          <w:p w14:paraId="7CC0E0D7">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0E7E8295">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266445F4">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6FDC617A">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74947C3B">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7F6EC77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57E6E69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r w14:paraId="446A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tcPr>
          <w:p w14:paraId="4EBB834E">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810" w:type="dxa"/>
            <w:tcBorders>
              <w:top w:val="single" w:color="auto" w:sz="4" w:space="0"/>
              <w:left w:val="single" w:color="auto" w:sz="4" w:space="0"/>
              <w:bottom w:val="single" w:color="auto" w:sz="4" w:space="0"/>
              <w:right w:val="single" w:color="auto" w:sz="4" w:space="0"/>
            </w:tcBorders>
          </w:tcPr>
          <w:p w14:paraId="0AA92320">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15B549A9">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66D7935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773D2EBF">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01375F09">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4445834F">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39CB3987">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r w14:paraId="4E46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04" w:type="dxa"/>
            <w:tcBorders>
              <w:top w:val="single" w:color="auto" w:sz="4" w:space="0"/>
              <w:left w:val="single" w:color="auto" w:sz="4" w:space="0"/>
              <w:bottom w:val="single" w:color="auto" w:sz="4" w:space="0"/>
              <w:right w:val="single" w:color="auto" w:sz="4" w:space="0"/>
            </w:tcBorders>
          </w:tcPr>
          <w:p w14:paraId="507F0CE2">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810" w:type="dxa"/>
            <w:tcBorders>
              <w:top w:val="single" w:color="auto" w:sz="4" w:space="0"/>
              <w:left w:val="single" w:color="auto" w:sz="4" w:space="0"/>
              <w:bottom w:val="single" w:color="auto" w:sz="4" w:space="0"/>
              <w:right w:val="single" w:color="auto" w:sz="4" w:space="0"/>
            </w:tcBorders>
          </w:tcPr>
          <w:p w14:paraId="351E24A7">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6070D962">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64505FB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7A74C485">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6CA428B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70BBAF67">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6B44ED0A">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bl>
    <w:p w14:paraId="025FBE27">
      <w:pPr>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日期：</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2E0E9012">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p>
    <w:p w14:paraId="7FB9DB54">
      <w:pPr>
        <w:kinsoku/>
        <w:wordWrap w:val="0"/>
        <w:spacing w:line="360" w:lineRule="auto"/>
        <w:jc w:val="cente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环境标志产品明细表</w:t>
      </w:r>
    </w:p>
    <w:p w14:paraId="18201FBA">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0"/>
        <w:gridCol w:w="1110"/>
        <w:gridCol w:w="1125"/>
        <w:gridCol w:w="1380"/>
        <w:gridCol w:w="750"/>
        <w:gridCol w:w="720"/>
        <w:gridCol w:w="705"/>
      </w:tblGrid>
      <w:tr w14:paraId="16B06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trPr>
        <w:tc>
          <w:tcPr>
            <w:tcW w:w="634" w:type="dxa"/>
            <w:tcBorders>
              <w:top w:val="single" w:color="auto" w:sz="4" w:space="0"/>
              <w:left w:val="single" w:color="auto" w:sz="4" w:space="0"/>
              <w:bottom w:val="single" w:color="auto" w:sz="4" w:space="0"/>
              <w:right w:val="single" w:color="auto" w:sz="4" w:space="0"/>
            </w:tcBorders>
          </w:tcPr>
          <w:p w14:paraId="236DDFF0">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序号</w:t>
            </w:r>
          </w:p>
        </w:tc>
        <w:tc>
          <w:tcPr>
            <w:tcW w:w="780" w:type="dxa"/>
            <w:tcBorders>
              <w:top w:val="single" w:color="auto" w:sz="4" w:space="0"/>
              <w:left w:val="single" w:color="auto" w:sz="4" w:space="0"/>
              <w:bottom w:val="single" w:color="auto" w:sz="4" w:space="0"/>
              <w:right w:val="single" w:color="auto" w:sz="4" w:space="0"/>
            </w:tcBorders>
          </w:tcPr>
          <w:p w14:paraId="4934CAF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设备名称</w:t>
            </w:r>
          </w:p>
        </w:tc>
        <w:tc>
          <w:tcPr>
            <w:tcW w:w="1110" w:type="dxa"/>
            <w:tcBorders>
              <w:top w:val="single" w:color="auto" w:sz="4" w:space="0"/>
              <w:left w:val="single" w:color="auto" w:sz="4" w:space="0"/>
              <w:bottom w:val="single" w:color="auto" w:sz="4" w:space="0"/>
              <w:right w:val="single" w:color="auto" w:sz="4" w:space="0"/>
            </w:tcBorders>
          </w:tcPr>
          <w:p w14:paraId="095B11DE">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品牌</w:t>
            </w:r>
          </w:p>
          <w:p w14:paraId="05C9249B">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型号</w:t>
            </w:r>
          </w:p>
        </w:tc>
        <w:tc>
          <w:tcPr>
            <w:tcW w:w="1125" w:type="dxa"/>
            <w:tcBorders>
              <w:top w:val="single" w:color="auto" w:sz="4" w:space="0"/>
              <w:left w:val="single" w:color="auto" w:sz="4" w:space="0"/>
              <w:bottom w:val="single" w:color="auto" w:sz="4" w:space="0"/>
              <w:right w:val="single" w:color="auto" w:sz="4" w:space="0"/>
            </w:tcBorders>
          </w:tcPr>
          <w:p w14:paraId="108DEF35">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中国环境标志认证证书编号</w:t>
            </w:r>
          </w:p>
        </w:tc>
        <w:tc>
          <w:tcPr>
            <w:tcW w:w="1380" w:type="dxa"/>
            <w:tcBorders>
              <w:top w:val="single" w:color="auto" w:sz="4" w:space="0"/>
              <w:left w:val="single" w:color="auto" w:sz="4" w:space="0"/>
              <w:bottom w:val="single" w:color="auto" w:sz="4" w:space="0"/>
              <w:right w:val="single" w:color="auto" w:sz="4" w:space="0"/>
            </w:tcBorders>
          </w:tcPr>
          <w:p w14:paraId="301E6DC4">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认证证书有效截止日期</w:t>
            </w:r>
          </w:p>
        </w:tc>
        <w:tc>
          <w:tcPr>
            <w:tcW w:w="750" w:type="dxa"/>
            <w:tcBorders>
              <w:top w:val="single" w:color="auto" w:sz="4" w:space="0"/>
              <w:left w:val="single" w:color="auto" w:sz="4" w:space="0"/>
              <w:bottom w:val="single" w:color="auto" w:sz="4" w:space="0"/>
              <w:right w:val="single" w:color="auto" w:sz="4" w:space="0"/>
            </w:tcBorders>
          </w:tcPr>
          <w:p w14:paraId="1A65C3CF">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数量</w:t>
            </w:r>
          </w:p>
        </w:tc>
        <w:tc>
          <w:tcPr>
            <w:tcW w:w="720" w:type="dxa"/>
            <w:tcBorders>
              <w:top w:val="single" w:color="auto" w:sz="4" w:space="0"/>
              <w:left w:val="single" w:color="auto" w:sz="4" w:space="0"/>
              <w:bottom w:val="single" w:color="auto" w:sz="4" w:space="0"/>
              <w:right w:val="single" w:color="auto" w:sz="4" w:space="0"/>
            </w:tcBorders>
          </w:tcPr>
          <w:p w14:paraId="4D159A3D">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单价</w:t>
            </w:r>
          </w:p>
        </w:tc>
        <w:tc>
          <w:tcPr>
            <w:tcW w:w="705" w:type="dxa"/>
            <w:tcBorders>
              <w:top w:val="single" w:color="auto" w:sz="4" w:space="0"/>
              <w:left w:val="single" w:color="auto" w:sz="4" w:space="0"/>
              <w:bottom w:val="single" w:color="auto" w:sz="4" w:space="0"/>
              <w:right w:val="single" w:color="auto" w:sz="4" w:space="0"/>
            </w:tcBorders>
          </w:tcPr>
          <w:p w14:paraId="50CAFF49">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总价</w:t>
            </w:r>
          </w:p>
        </w:tc>
      </w:tr>
      <w:tr w14:paraId="1D11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tcPr>
          <w:p w14:paraId="08775E93">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6673D4F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04BDDDFA">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02F975E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372D97C1">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50" w:type="dxa"/>
            <w:tcBorders>
              <w:top w:val="single" w:color="auto" w:sz="4" w:space="0"/>
              <w:left w:val="single" w:color="auto" w:sz="4" w:space="0"/>
              <w:bottom w:val="single" w:color="auto" w:sz="4" w:space="0"/>
              <w:right w:val="single" w:color="auto" w:sz="4" w:space="0"/>
            </w:tcBorders>
          </w:tcPr>
          <w:p w14:paraId="6B23A9B8">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5232EA2F">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064EEE1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r w14:paraId="6C61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tcPr>
          <w:p w14:paraId="3F40521B">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219AA1A3">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4437BD29">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2960AAA8">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7C7FC3EC">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50" w:type="dxa"/>
            <w:tcBorders>
              <w:top w:val="single" w:color="auto" w:sz="4" w:space="0"/>
              <w:left w:val="single" w:color="auto" w:sz="4" w:space="0"/>
              <w:bottom w:val="single" w:color="auto" w:sz="4" w:space="0"/>
              <w:right w:val="single" w:color="auto" w:sz="4" w:space="0"/>
            </w:tcBorders>
          </w:tcPr>
          <w:p w14:paraId="4C8C2D38">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38AF9A2E">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43BAB293">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r w14:paraId="4CAF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Borders>
              <w:top w:val="single" w:color="auto" w:sz="4" w:space="0"/>
              <w:left w:val="single" w:color="auto" w:sz="4" w:space="0"/>
              <w:bottom w:val="single" w:color="auto" w:sz="4" w:space="0"/>
              <w:right w:val="single" w:color="auto" w:sz="4" w:space="0"/>
            </w:tcBorders>
          </w:tcPr>
          <w:p w14:paraId="73616FA0">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80" w:type="dxa"/>
            <w:tcBorders>
              <w:top w:val="single" w:color="auto" w:sz="4" w:space="0"/>
              <w:left w:val="single" w:color="auto" w:sz="4" w:space="0"/>
              <w:bottom w:val="single" w:color="auto" w:sz="4" w:space="0"/>
              <w:right w:val="single" w:color="auto" w:sz="4" w:space="0"/>
            </w:tcBorders>
          </w:tcPr>
          <w:p w14:paraId="7C044BD3">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10" w:type="dxa"/>
            <w:tcBorders>
              <w:top w:val="single" w:color="auto" w:sz="4" w:space="0"/>
              <w:left w:val="single" w:color="auto" w:sz="4" w:space="0"/>
              <w:bottom w:val="single" w:color="auto" w:sz="4" w:space="0"/>
              <w:right w:val="single" w:color="auto" w:sz="4" w:space="0"/>
            </w:tcBorders>
          </w:tcPr>
          <w:p w14:paraId="4BDDE3D9">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125" w:type="dxa"/>
            <w:tcBorders>
              <w:top w:val="single" w:color="auto" w:sz="4" w:space="0"/>
              <w:left w:val="single" w:color="auto" w:sz="4" w:space="0"/>
              <w:bottom w:val="single" w:color="auto" w:sz="4" w:space="0"/>
              <w:right w:val="single" w:color="auto" w:sz="4" w:space="0"/>
            </w:tcBorders>
          </w:tcPr>
          <w:p w14:paraId="1A7AE1F6">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1380" w:type="dxa"/>
            <w:tcBorders>
              <w:top w:val="single" w:color="auto" w:sz="4" w:space="0"/>
              <w:left w:val="single" w:color="auto" w:sz="4" w:space="0"/>
              <w:bottom w:val="single" w:color="auto" w:sz="4" w:space="0"/>
              <w:right w:val="single" w:color="auto" w:sz="4" w:space="0"/>
            </w:tcBorders>
          </w:tcPr>
          <w:p w14:paraId="773B63F2">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50" w:type="dxa"/>
            <w:tcBorders>
              <w:top w:val="single" w:color="auto" w:sz="4" w:space="0"/>
              <w:left w:val="single" w:color="auto" w:sz="4" w:space="0"/>
              <w:bottom w:val="single" w:color="auto" w:sz="4" w:space="0"/>
              <w:right w:val="single" w:color="auto" w:sz="4" w:space="0"/>
            </w:tcBorders>
          </w:tcPr>
          <w:p w14:paraId="3C7622FD">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20" w:type="dxa"/>
            <w:tcBorders>
              <w:top w:val="single" w:color="auto" w:sz="4" w:space="0"/>
              <w:left w:val="single" w:color="auto" w:sz="4" w:space="0"/>
              <w:bottom w:val="single" w:color="auto" w:sz="4" w:space="0"/>
              <w:right w:val="single" w:color="auto" w:sz="4" w:space="0"/>
            </w:tcBorders>
          </w:tcPr>
          <w:p w14:paraId="1B29294A">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c>
          <w:tcPr>
            <w:tcW w:w="705" w:type="dxa"/>
            <w:tcBorders>
              <w:top w:val="single" w:color="auto" w:sz="4" w:space="0"/>
              <w:left w:val="single" w:color="auto" w:sz="4" w:space="0"/>
              <w:bottom w:val="single" w:color="auto" w:sz="4" w:space="0"/>
              <w:right w:val="single" w:color="auto" w:sz="4" w:space="0"/>
            </w:tcBorders>
          </w:tcPr>
          <w:p w14:paraId="1521CC82">
            <w:pPr>
              <w:widowControl w:val="0"/>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p>
        </w:tc>
      </w:tr>
    </w:tbl>
    <w:p w14:paraId="7E610F93">
      <w:pPr>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日期：</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6C9F6745">
      <w:pPr>
        <w:kinsoku/>
        <w:wordWrap w:val="0"/>
        <w:spacing w:line="360" w:lineRule="auto"/>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填报要求：</w:t>
      </w:r>
    </w:p>
    <w:p w14:paraId="3A49BF6C">
      <w:pPr>
        <w:kinsoku/>
        <w:wordWrap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1.本表的设备名称、品牌型号、金额应与货物分项报价一览表一致。</w:t>
      </w:r>
    </w:p>
    <w:p w14:paraId="3A4167BA">
      <w:pPr>
        <w:kinsoku/>
        <w:wordWrap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2.节能产品是指财政部和国家发展和改革委员会公布的《节能产品政府采购品目清单》中的产品。投标人须在投标文件中附该产品节能证书，否则评标委员会有权不予认可。</w:t>
      </w:r>
    </w:p>
    <w:p w14:paraId="7A352E12">
      <w:pPr>
        <w:kinsoku/>
        <w:wordWrap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3.环境标志产品是指财政部、生态环境部发布的《环境标志产品政府采购品目清单》中的产品。投标人须在投标文件中附该产品环保证书，否则评委委员会有权不予认可。</w:t>
      </w:r>
    </w:p>
    <w:p w14:paraId="65357122">
      <w:pPr>
        <w:kinsoku/>
        <w:wordWrap w:val="0"/>
        <w:spacing w:line="360" w:lineRule="auto"/>
        <w:ind w:firstLine="480" w:firstLineChars="2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4.请投标人正确填写本表，所填内容将作为评审的依据。其内容或数据应与对应的证明资料相符。</w:t>
      </w:r>
    </w:p>
    <w:p w14:paraId="4E420449">
      <w:pPr>
        <w:kinsoku/>
        <w:wordWrap w:val="0"/>
        <w:spacing w:line="360" w:lineRule="auto"/>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5.没有相关产品可不提供本表。</w:t>
      </w:r>
    </w:p>
    <w:p w14:paraId="55AB43AD">
      <w:pPr>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br w:type="page"/>
      </w:r>
    </w:p>
    <w:p w14:paraId="6B3B91CB">
      <w:pPr>
        <w:kinsoku/>
        <w:wordWrap w:val="0"/>
        <w:spacing w:line="360" w:lineRule="auto"/>
        <w:jc w:val="both"/>
        <w:rPr>
          <w:rFonts w:ascii="宋体" w:hAnsi="宋体"/>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8.投标人业绩</w:t>
      </w:r>
    </w:p>
    <w:p w14:paraId="6754F714">
      <w:pPr>
        <w:rPr>
          <w:b/>
          <w:color w:val="auto"/>
          <w:sz w:val="24"/>
          <w:szCs w:val="24"/>
          <w:highlight w:val="none"/>
          <w:lang w:eastAsia="zh-CN"/>
        </w:rPr>
      </w:pPr>
      <w:r>
        <w:rPr>
          <w:rFonts w:hint="eastAsia"/>
          <w:b/>
          <w:color w:val="auto"/>
          <w:sz w:val="24"/>
          <w:szCs w:val="24"/>
          <w:highlight w:val="none"/>
          <w:lang w:eastAsia="zh-CN"/>
        </w:rPr>
        <w:br w:type="page"/>
      </w:r>
    </w:p>
    <w:p w14:paraId="4197AE7B">
      <w:pPr>
        <w:pStyle w:val="6"/>
        <w:kinsoku/>
        <w:wordWrap w:val="0"/>
        <w:spacing w:line="360" w:lineRule="auto"/>
        <w:jc w:val="both"/>
        <w:rPr>
          <w:rFonts w:hint="eastAsia" w:asciiTheme="minorEastAsia" w:hAnsiTheme="minorEastAsia" w:eastAsiaTheme="minorEastAsia" w:cstheme="minorEastAsia"/>
          <w:color w:val="auto"/>
          <w:spacing w:val="-3"/>
          <w:sz w:val="36"/>
          <w:szCs w:val="36"/>
          <w:highlight w:val="none"/>
          <w:lang w:eastAsia="zh-CN"/>
          <w14:textOutline w14:w="2311" w14:cap="flat" w14:cmpd="sng" w14:algn="ctr">
            <w14:solidFill>
              <w14:srgbClr w14:val="000000"/>
            </w14:solidFill>
            <w14:prstDash w14:val="solid"/>
            <w14:miter w14:val="0"/>
          </w14:textOutline>
        </w:rPr>
      </w:pPr>
      <w:r>
        <w:rPr>
          <w:rFonts w:hint="eastAsia" w:eastAsia="Arial" w:cs="Arial"/>
          <w:b/>
          <w:color w:val="auto"/>
          <w:sz w:val="24"/>
          <w:szCs w:val="24"/>
          <w:highlight w:val="none"/>
          <w:lang w:val="en-US" w:eastAsia="zh-CN"/>
        </w:rPr>
        <w:t>9</w:t>
      </w:r>
      <w:r>
        <w:rPr>
          <w:rFonts w:hint="eastAsia" w:eastAsia="Arial" w:cs="Arial"/>
          <w:b/>
          <w:color w:val="auto"/>
          <w:sz w:val="24"/>
          <w:szCs w:val="24"/>
          <w:highlight w:val="none"/>
          <w:lang w:eastAsia="zh-CN"/>
        </w:rPr>
        <w:t>.中小企业、监狱企业或残疾人福利性单位声明函（对于专门面向中小企业采购的项目必须提供，不专门面向的项目可选择提供）</w:t>
      </w:r>
    </w:p>
    <w:p w14:paraId="730D73F4">
      <w:pPr>
        <w:pStyle w:val="6"/>
        <w:kinsoku/>
        <w:wordWrap w:val="0"/>
        <w:spacing w:line="360" w:lineRule="auto"/>
        <w:jc w:val="center"/>
        <w:rPr>
          <w:rFonts w:hint="eastAsia" w:asciiTheme="minorEastAsia" w:hAnsiTheme="minorEastAsia" w:eastAsiaTheme="minorEastAsia" w:cstheme="minorEastAsia"/>
          <w:color w:val="auto"/>
          <w:spacing w:val="-3"/>
          <w:sz w:val="36"/>
          <w:szCs w:val="36"/>
          <w:highlight w:val="none"/>
          <w:lang w:eastAsia="zh-CN"/>
          <w14:textOutline w14:w="2311" w14:cap="flat" w14:cmpd="sng" w14:algn="ctr">
            <w14:solidFill>
              <w14:srgbClr w14:val="000000"/>
            </w14:solidFill>
            <w14:prstDash w14:val="solid"/>
            <w14:miter w14:val="0"/>
          </w14:textOutline>
        </w:rPr>
      </w:pPr>
    </w:p>
    <w:p w14:paraId="66265E96">
      <w:pPr>
        <w:pStyle w:val="6"/>
        <w:kinsoku/>
        <w:wordWrap w:val="0"/>
        <w:spacing w:line="360" w:lineRule="auto"/>
        <w:jc w:val="center"/>
        <w:rPr>
          <w:rFonts w:hint="eastAsia" w:asciiTheme="minorEastAsia" w:hAnsiTheme="minorEastAsia" w:eastAsiaTheme="minorEastAsia" w:cstheme="minorEastAsia"/>
          <w:color w:val="auto"/>
          <w:sz w:val="36"/>
          <w:szCs w:val="36"/>
          <w:highlight w:val="none"/>
          <w:lang w:eastAsia="zh-CN"/>
        </w:rPr>
      </w:pPr>
      <w:r>
        <w:rPr>
          <w:rFonts w:hint="eastAsia" w:asciiTheme="minorEastAsia" w:hAnsiTheme="minorEastAsia" w:eastAsiaTheme="minorEastAsia" w:cstheme="minorEastAsia"/>
          <w:color w:val="auto"/>
          <w:spacing w:val="-3"/>
          <w:sz w:val="36"/>
          <w:szCs w:val="36"/>
          <w:highlight w:val="none"/>
          <w:lang w:eastAsia="zh-CN"/>
          <w14:textOutline w14:w="2311" w14:cap="flat" w14:cmpd="sng" w14:algn="ctr">
            <w14:solidFill>
              <w14:srgbClr w14:val="000000"/>
            </w14:solidFill>
            <w14:prstDash w14:val="solid"/>
            <w14:miter w14:val="0"/>
          </w14:textOutline>
        </w:rPr>
        <w:t>中小企业声明函（货物）格式</w:t>
      </w:r>
    </w:p>
    <w:p w14:paraId="69077F93">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5FB6177F">
      <w:pPr>
        <w:pStyle w:val="6"/>
        <w:kinsoku/>
        <w:wordWrap w:val="0"/>
        <w:spacing w:line="360" w:lineRule="auto"/>
        <w:ind w:firstLine="50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本公司（联合体）郑重声明，根据《政府采购促进中小企业发展管理办法》（财</w:t>
      </w:r>
      <w:r>
        <w:rPr>
          <w:rFonts w:hint="eastAsia" w:asciiTheme="minorEastAsia" w:hAnsiTheme="minorEastAsia" w:eastAsiaTheme="minorEastAsia" w:cstheme="minorEastAsia"/>
          <w:color w:val="auto"/>
          <w:spacing w:val="10"/>
          <w:sz w:val="24"/>
          <w:szCs w:val="24"/>
          <w:highlight w:val="none"/>
          <w:lang w:eastAsia="zh-CN"/>
        </w:rPr>
        <w:t>库﹝2020﹞46号）的规定，本公司（联合体）参加（单位名称）的（项目</w:t>
      </w:r>
      <w:r>
        <w:rPr>
          <w:rFonts w:hint="eastAsia" w:asciiTheme="minorEastAsia" w:hAnsiTheme="minorEastAsia" w:eastAsiaTheme="minorEastAsia" w:cstheme="minorEastAsia"/>
          <w:color w:val="auto"/>
          <w:spacing w:val="9"/>
          <w:sz w:val="24"/>
          <w:szCs w:val="24"/>
          <w:highlight w:val="none"/>
          <w:lang w:eastAsia="zh-CN"/>
        </w:rPr>
        <w:t>名称）</w:t>
      </w:r>
      <w:r>
        <w:rPr>
          <w:rFonts w:hint="eastAsia" w:asciiTheme="minorEastAsia" w:hAnsiTheme="minorEastAsia" w:eastAsiaTheme="minorEastAsia" w:cstheme="minorEastAsia"/>
          <w:color w:val="auto"/>
          <w:spacing w:val="14"/>
          <w:sz w:val="24"/>
          <w:szCs w:val="24"/>
          <w:highlight w:val="none"/>
          <w:lang w:eastAsia="zh-CN"/>
        </w:rPr>
        <w:t>采购活动，提供的货物全部由符合政策要求的</w:t>
      </w:r>
      <w:r>
        <w:rPr>
          <w:rFonts w:hint="eastAsia" w:asciiTheme="minorEastAsia" w:hAnsiTheme="minorEastAsia" w:eastAsiaTheme="minorEastAsia" w:cstheme="minorEastAsia"/>
          <w:color w:val="auto"/>
          <w:spacing w:val="13"/>
          <w:sz w:val="24"/>
          <w:szCs w:val="24"/>
          <w:highlight w:val="none"/>
          <w:lang w:eastAsia="zh-CN"/>
        </w:rPr>
        <w:t>中小企业制造。相关企业（含联合体</w:t>
      </w:r>
      <w:r>
        <w:rPr>
          <w:rFonts w:hint="eastAsia" w:asciiTheme="minorEastAsia" w:hAnsiTheme="minorEastAsia" w:eastAsiaTheme="minorEastAsia" w:cstheme="minorEastAsia"/>
          <w:color w:val="auto"/>
          <w:spacing w:val="8"/>
          <w:sz w:val="24"/>
          <w:szCs w:val="24"/>
          <w:highlight w:val="none"/>
          <w:lang w:eastAsia="zh-CN"/>
        </w:rPr>
        <w:t>中的中小企业、签订分包意向协议的中小企业）的具体情况如下：</w:t>
      </w:r>
    </w:p>
    <w:p w14:paraId="67B04EF5">
      <w:pPr>
        <w:pStyle w:val="6"/>
        <w:kinsoku/>
        <w:wordWrap w:val="0"/>
        <w:spacing w:line="360" w:lineRule="auto"/>
        <w:ind w:firstLine="518"/>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1.</w:t>
      </w:r>
      <w:r>
        <w:rPr>
          <w:rFonts w:hint="eastAsia" w:asciiTheme="minorEastAsia" w:hAnsiTheme="minorEastAsia" w:eastAsiaTheme="minorEastAsia" w:cstheme="minorEastAsia"/>
          <w:color w:val="auto"/>
          <w:spacing w:val="7"/>
          <w:sz w:val="24"/>
          <w:szCs w:val="24"/>
          <w:highlight w:val="none"/>
          <w:u w:val="single"/>
          <w:lang w:eastAsia="zh-CN"/>
        </w:rPr>
        <w:t>（标的名称</w:t>
      </w:r>
      <w:r>
        <w:rPr>
          <w:rFonts w:hint="eastAsia" w:asciiTheme="minorEastAsia" w:hAnsiTheme="minorEastAsia" w:eastAsiaTheme="minorEastAsia" w:cstheme="minorEastAsia"/>
          <w:color w:val="auto"/>
          <w:spacing w:val="-41"/>
          <w:sz w:val="24"/>
          <w:szCs w:val="24"/>
          <w:highlight w:val="none"/>
          <w:u w:val="single"/>
          <w:lang w:eastAsia="zh-CN"/>
        </w:rPr>
        <w:t>）</w:t>
      </w:r>
      <w:r>
        <w:rPr>
          <w:rFonts w:hint="eastAsia" w:asciiTheme="minorEastAsia" w:hAnsiTheme="minorEastAsia" w:eastAsiaTheme="minorEastAsia" w:cstheme="minorEastAsia"/>
          <w:color w:val="auto"/>
          <w:spacing w:val="-41"/>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eastAsia="zh-CN"/>
        </w:rPr>
        <w:t>属于</w:t>
      </w:r>
      <w:r>
        <w:rPr>
          <w:rFonts w:hint="eastAsia" w:asciiTheme="minorEastAsia" w:hAnsiTheme="minorEastAsia" w:eastAsiaTheme="minorEastAsia" w:cstheme="minorEastAsia"/>
          <w:color w:val="auto"/>
          <w:spacing w:val="7"/>
          <w:sz w:val="24"/>
          <w:szCs w:val="24"/>
          <w:highlight w:val="none"/>
          <w:u w:val="single"/>
          <w:lang w:eastAsia="zh-CN"/>
        </w:rPr>
        <w:t>（采购文件中明确的所属行业）</w:t>
      </w:r>
      <w:r>
        <w:rPr>
          <w:rFonts w:hint="eastAsia" w:asciiTheme="minorEastAsia" w:hAnsiTheme="minorEastAsia" w:eastAsiaTheme="minorEastAsia" w:cstheme="minorEastAsia"/>
          <w:color w:val="auto"/>
          <w:spacing w:val="7"/>
          <w:sz w:val="24"/>
          <w:szCs w:val="24"/>
          <w:highlight w:val="none"/>
          <w:lang w:eastAsia="zh-CN"/>
        </w:rPr>
        <w:t>行业；制造商为</w:t>
      </w:r>
      <w:r>
        <w:rPr>
          <w:rFonts w:hint="eastAsia" w:asciiTheme="minorEastAsia" w:hAnsiTheme="minorEastAsia" w:eastAsiaTheme="minorEastAsia" w:cstheme="minorEastAsia"/>
          <w:color w:val="auto"/>
          <w:spacing w:val="7"/>
          <w:sz w:val="24"/>
          <w:szCs w:val="24"/>
          <w:highlight w:val="none"/>
          <w:u w:val="single"/>
          <w:lang w:eastAsia="zh-CN"/>
        </w:rPr>
        <w:t>（企业名</w:t>
      </w:r>
      <w:r>
        <w:rPr>
          <w:rFonts w:hint="eastAsia" w:asciiTheme="minorEastAsia" w:hAnsiTheme="minorEastAsia" w:eastAsiaTheme="minorEastAsia" w:cstheme="minorEastAsia"/>
          <w:color w:val="auto"/>
          <w:spacing w:val="3"/>
          <w:sz w:val="24"/>
          <w:szCs w:val="24"/>
          <w:highlight w:val="none"/>
          <w:u w:val="single"/>
          <w:lang w:eastAsia="zh-CN"/>
        </w:rPr>
        <w:t>称</w:t>
      </w:r>
      <w:r>
        <w:rPr>
          <w:rFonts w:hint="eastAsia" w:asciiTheme="minorEastAsia" w:hAnsiTheme="minorEastAsia" w:eastAsiaTheme="minorEastAsia" w:cstheme="minorEastAsia"/>
          <w:color w:val="auto"/>
          <w:spacing w:val="-40"/>
          <w:sz w:val="24"/>
          <w:szCs w:val="24"/>
          <w:highlight w:val="none"/>
          <w:u w:val="single"/>
          <w:lang w:eastAsia="zh-CN"/>
        </w:rPr>
        <w:t>）</w:t>
      </w:r>
      <w:r>
        <w:rPr>
          <w:rFonts w:hint="eastAsia" w:asciiTheme="minorEastAsia" w:hAnsiTheme="minorEastAsia" w:eastAsiaTheme="minorEastAsia" w:cstheme="minorEastAsia"/>
          <w:color w:val="auto"/>
          <w:spacing w:val="-40"/>
          <w:sz w:val="24"/>
          <w:szCs w:val="24"/>
          <w:highlight w:val="none"/>
          <w:lang w:eastAsia="zh-CN"/>
        </w:rPr>
        <w:t>，</w:t>
      </w:r>
      <w:r>
        <w:rPr>
          <w:rFonts w:hint="eastAsia" w:asciiTheme="minorEastAsia" w:hAnsiTheme="minorEastAsia" w:eastAsiaTheme="minorEastAsia" w:cstheme="minorEastAsia"/>
          <w:color w:val="auto"/>
          <w:spacing w:val="3"/>
          <w:sz w:val="24"/>
          <w:szCs w:val="24"/>
          <w:highlight w:val="none"/>
          <w:lang w:eastAsia="zh-CN"/>
        </w:rPr>
        <w:t>从业人员</w:t>
      </w:r>
      <w:r>
        <w:rPr>
          <w:rFonts w:hint="eastAsia" w:asciiTheme="minorEastAsia" w:hAnsiTheme="minorEastAsia" w:eastAsiaTheme="minorEastAsia" w:cstheme="minorEastAsia"/>
          <w:color w:val="auto"/>
          <w:spacing w:val="-108"/>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u w:val="single"/>
          <w:lang w:eastAsia="zh-CN"/>
        </w:rPr>
        <w:t xml:space="preserve">   </w:t>
      </w:r>
      <w:r>
        <w:rPr>
          <w:rFonts w:hint="eastAsia" w:asciiTheme="minorEastAsia" w:hAnsiTheme="minorEastAsia" w:eastAsiaTheme="minorEastAsia" w:cstheme="minorEastAsia"/>
          <w:color w:val="auto"/>
          <w:spacing w:val="3"/>
          <w:sz w:val="24"/>
          <w:szCs w:val="24"/>
          <w:highlight w:val="none"/>
          <w:lang w:eastAsia="zh-CN"/>
        </w:rPr>
        <w:t>人，</w:t>
      </w:r>
      <w:r>
        <w:rPr>
          <w:rFonts w:hint="eastAsia" w:asciiTheme="minorEastAsia" w:hAnsiTheme="minorEastAsia" w:eastAsiaTheme="minorEastAsia" w:cstheme="minorEastAsia"/>
          <w:color w:val="auto"/>
          <w:spacing w:val="7"/>
          <w:sz w:val="24"/>
          <w:szCs w:val="24"/>
          <w:highlight w:val="none"/>
          <w:lang w:eastAsia="zh-CN"/>
        </w:rPr>
        <w:t>营业收入为</w:t>
      </w:r>
      <w:r>
        <w:rPr>
          <w:rFonts w:hint="eastAsia" w:asciiTheme="minorEastAsia" w:hAnsiTheme="minorEastAsia" w:eastAsiaTheme="minorEastAsia" w:cstheme="minorEastAsia"/>
          <w:color w:val="auto"/>
          <w:spacing w:val="-108"/>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u w:val="single"/>
          <w:lang w:eastAsia="zh-CN"/>
        </w:rPr>
        <w:t xml:space="preserve">      </w:t>
      </w:r>
      <w:r>
        <w:rPr>
          <w:rFonts w:hint="eastAsia" w:asciiTheme="minorEastAsia" w:hAnsiTheme="minorEastAsia" w:eastAsiaTheme="minorEastAsia" w:cstheme="minorEastAsia"/>
          <w:color w:val="auto"/>
          <w:spacing w:val="-91"/>
          <w:sz w:val="24"/>
          <w:szCs w:val="24"/>
          <w:highlight w:val="none"/>
          <w:lang w:eastAsia="zh-CN"/>
        </w:rPr>
        <w:t xml:space="preserve"> </w:t>
      </w:r>
      <w:r>
        <w:rPr>
          <w:rFonts w:hint="eastAsia" w:asciiTheme="minorEastAsia" w:hAnsiTheme="minorEastAsia" w:eastAsiaTheme="minorEastAsia" w:cstheme="minorEastAsia"/>
          <w:color w:val="auto"/>
          <w:spacing w:val="7"/>
          <w:sz w:val="24"/>
          <w:szCs w:val="24"/>
          <w:highlight w:val="none"/>
          <w:lang w:eastAsia="zh-CN"/>
        </w:rPr>
        <w:t>万元，资产总额为</w:t>
      </w:r>
      <w:r>
        <w:rPr>
          <w:rFonts w:hint="eastAsia" w:asciiTheme="minorEastAsia" w:hAnsiTheme="minorEastAsia" w:eastAsiaTheme="minorEastAsia" w:cstheme="minorEastAsia"/>
          <w:color w:val="auto"/>
          <w:spacing w:val="-107"/>
          <w:sz w:val="24"/>
          <w:szCs w:val="24"/>
          <w:highlight w:val="none"/>
          <w:lang w:eastAsia="zh-CN"/>
        </w:rPr>
        <w:t xml:space="preserve"> </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3"/>
          <w:sz w:val="24"/>
          <w:szCs w:val="24"/>
          <w:highlight w:val="none"/>
          <w:lang w:eastAsia="zh-CN"/>
        </w:rPr>
        <w:t>，属于</w:t>
      </w:r>
      <w:r>
        <w:rPr>
          <w:rFonts w:hint="eastAsia" w:asciiTheme="minorEastAsia" w:hAnsiTheme="minorEastAsia" w:eastAsiaTheme="minorEastAsia" w:cstheme="minorEastAsia"/>
          <w:color w:val="auto"/>
          <w:spacing w:val="2"/>
          <w:sz w:val="24"/>
          <w:szCs w:val="24"/>
          <w:highlight w:val="none"/>
          <w:u w:val="single"/>
          <w:lang w:eastAsia="zh-CN"/>
        </w:rPr>
        <w:t>（中型企业、小型企业、微型企业</w:t>
      </w:r>
      <w:r>
        <w:rPr>
          <w:rFonts w:hint="eastAsia" w:asciiTheme="minorEastAsia" w:hAnsiTheme="minorEastAsia" w:eastAsiaTheme="minorEastAsia" w:cstheme="minorEastAsia"/>
          <w:color w:val="auto"/>
          <w:spacing w:val="-51"/>
          <w:sz w:val="24"/>
          <w:szCs w:val="24"/>
          <w:highlight w:val="none"/>
          <w:u w:val="single"/>
          <w:lang w:eastAsia="zh-CN"/>
        </w:rPr>
        <w:t>）</w:t>
      </w:r>
      <w:r>
        <w:rPr>
          <w:rFonts w:hint="eastAsia" w:asciiTheme="minorEastAsia" w:hAnsiTheme="minorEastAsia" w:eastAsiaTheme="minorEastAsia" w:cstheme="minorEastAsia"/>
          <w:color w:val="auto"/>
          <w:spacing w:val="-51"/>
          <w:sz w:val="24"/>
          <w:szCs w:val="24"/>
          <w:highlight w:val="none"/>
          <w:lang w:eastAsia="zh-CN"/>
        </w:rPr>
        <w:t>；</w:t>
      </w:r>
    </w:p>
    <w:p w14:paraId="71D1F574">
      <w:pPr>
        <w:pStyle w:val="6"/>
        <w:kinsoku/>
        <w:wordWrap w:val="0"/>
        <w:spacing w:line="360" w:lineRule="auto"/>
        <w:ind w:firstLine="513"/>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2.</w:t>
      </w:r>
      <w:r>
        <w:rPr>
          <w:rFonts w:hint="eastAsia" w:asciiTheme="minorEastAsia" w:hAnsiTheme="minorEastAsia" w:eastAsiaTheme="minorEastAsia" w:cstheme="minorEastAsia"/>
          <w:color w:val="auto"/>
          <w:spacing w:val="7"/>
          <w:sz w:val="24"/>
          <w:szCs w:val="24"/>
          <w:highlight w:val="none"/>
          <w:u w:val="single"/>
          <w:lang w:eastAsia="zh-CN"/>
        </w:rPr>
        <w:t>（标的名称</w:t>
      </w:r>
      <w:r>
        <w:rPr>
          <w:rFonts w:hint="eastAsia" w:asciiTheme="minorEastAsia" w:hAnsiTheme="minorEastAsia" w:eastAsiaTheme="minorEastAsia" w:cstheme="minorEastAsia"/>
          <w:color w:val="auto"/>
          <w:spacing w:val="-43"/>
          <w:sz w:val="24"/>
          <w:szCs w:val="24"/>
          <w:highlight w:val="none"/>
          <w:u w:val="single"/>
          <w:lang w:eastAsia="zh-CN"/>
        </w:rPr>
        <w:t>）</w:t>
      </w:r>
      <w:r>
        <w:rPr>
          <w:rFonts w:hint="eastAsia" w:asciiTheme="minorEastAsia" w:hAnsiTheme="minorEastAsia" w:eastAsiaTheme="minorEastAsia" w:cstheme="minorEastAsia"/>
          <w:color w:val="auto"/>
          <w:spacing w:val="-43"/>
          <w:sz w:val="24"/>
          <w:szCs w:val="24"/>
          <w:highlight w:val="none"/>
          <w:lang w:eastAsia="zh-CN"/>
        </w:rPr>
        <w:t>，</w:t>
      </w:r>
      <w:r>
        <w:rPr>
          <w:rFonts w:hint="eastAsia" w:asciiTheme="minorEastAsia" w:hAnsiTheme="minorEastAsia" w:eastAsiaTheme="minorEastAsia" w:cstheme="minorEastAsia"/>
          <w:color w:val="auto"/>
          <w:spacing w:val="7"/>
          <w:sz w:val="24"/>
          <w:szCs w:val="24"/>
          <w:highlight w:val="none"/>
          <w:lang w:eastAsia="zh-CN"/>
        </w:rPr>
        <w:t>属于</w:t>
      </w:r>
      <w:r>
        <w:rPr>
          <w:rFonts w:hint="eastAsia" w:asciiTheme="minorEastAsia" w:hAnsiTheme="minorEastAsia" w:eastAsiaTheme="minorEastAsia" w:cstheme="minorEastAsia"/>
          <w:color w:val="auto"/>
          <w:spacing w:val="7"/>
          <w:sz w:val="24"/>
          <w:szCs w:val="24"/>
          <w:highlight w:val="none"/>
          <w:u w:val="single"/>
          <w:lang w:eastAsia="zh-CN"/>
        </w:rPr>
        <w:t>（采购文件中明确的所属行业）</w:t>
      </w:r>
      <w:r>
        <w:rPr>
          <w:rFonts w:hint="eastAsia" w:asciiTheme="minorEastAsia" w:hAnsiTheme="minorEastAsia" w:eastAsiaTheme="minorEastAsia" w:cstheme="minorEastAsia"/>
          <w:color w:val="auto"/>
          <w:spacing w:val="7"/>
          <w:sz w:val="24"/>
          <w:szCs w:val="24"/>
          <w:highlight w:val="none"/>
          <w:lang w:eastAsia="zh-CN"/>
        </w:rPr>
        <w:t>行业；制造商为</w:t>
      </w:r>
      <w:r>
        <w:rPr>
          <w:rFonts w:hint="eastAsia" w:asciiTheme="minorEastAsia" w:hAnsiTheme="minorEastAsia" w:eastAsiaTheme="minorEastAsia" w:cstheme="minorEastAsia"/>
          <w:color w:val="auto"/>
          <w:spacing w:val="7"/>
          <w:sz w:val="24"/>
          <w:szCs w:val="24"/>
          <w:highlight w:val="none"/>
          <w:u w:val="single"/>
          <w:lang w:eastAsia="zh-CN"/>
        </w:rPr>
        <w:t>（企业名</w:t>
      </w:r>
      <w:r>
        <w:rPr>
          <w:rFonts w:hint="eastAsia" w:asciiTheme="minorEastAsia" w:hAnsiTheme="minorEastAsia" w:eastAsiaTheme="minorEastAsia" w:cstheme="minorEastAsia"/>
          <w:color w:val="auto"/>
          <w:spacing w:val="-5"/>
          <w:sz w:val="24"/>
          <w:szCs w:val="24"/>
          <w:highlight w:val="none"/>
          <w:u w:val="single"/>
          <w:lang w:eastAsia="zh-CN"/>
        </w:rPr>
        <w:t>称</w:t>
      </w:r>
      <w:r>
        <w:rPr>
          <w:rFonts w:hint="eastAsia" w:asciiTheme="minorEastAsia" w:hAnsiTheme="minorEastAsia" w:eastAsiaTheme="minorEastAsia" w:cstheme="minorEastAsia"/>
          <w:color w:val="auto"/>
          <w:spacing w:val="-59"/>
          <w:w w:val="94"/>
          <w:sz w:val="24"/>
          <w:szCs w:val="24"/>
          <w:highlight w:val="none"/>
          <w:u w:val="single"/>
          <w:lang w:eastAsia="zh-CN"/>
        </w:rPr>
        <w:t>）</w:t>
      </w:r>
      <w:r>
        <w:rPr>
          <w:rFonts w:hint="eastAsia" w:asciiTheme="minorEastAsia" w:hAnsiTheme="minorEastAsia" w:eastAsiaTheme="minorEastAsia" w:cstheme="minorEastAsia"/>
          <w:color w:val="auto"/>
          <w:spacing w:val="-59"/>
          <w:w w:val="94"/>
          <w:sz w:val="24"/>
          <w:szCs w:val="24"/>
          <w:highlight w:val="none"/>
          <w:lang w:eastAsia="zh-CN"/>
        </w:rPr>
        <w:t>，</w:t>
      </w:r>
      <w:r>
        <w:rPr>
          <w:rFonts w:hint="eastAsia" w:asciiTheme="minorEastAsia" w:hAnsiTheme="minorEastAsia" w:eastAsiaTheme="minorEastAsia" w:cstheme="minorEastAsia"/>
          <w:color w:val="auto"/>
          <w:spacing w:val="-5"/>
          <w:sz w:val="24"/>
          <w:szCs w:val="24"/>
          <w:highlight w:val="none"/>
          <w:lang w:eastAsia="zh-CN"/>
        </w:rPr>
        <w:t>从业人员</w:t>
      </w:r>
      <w:r>
        <w:rPr>
          <w:rFonts w:hint="eastAsia" w:asciiTheme="minorEastAsia" w:hAnsiTheme="minorEastAsia" w:eastAsiaTheme="minorEastAsia" w:cstheme="minorEastAsia"/>
          <w:color w:val="auto"/>
          <w:spacing w:val="-108"/>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u w:val="single"/>
          <w:lang w:eastAsia="zh-CN"/>
        </w:rPr>
        <w:t xml:space="preserve">   </w:t>
      </w:r>
      <w:r>
        <w:rPr>
          <w:rFonts w:hint="eastAsia" w:asciiTheme="minorEastAsia" w:hAnsiTheme="minorEastAsia" w:eastAsiaTheme="minorEastAsia" w:cstheme="minorEastAsia"/>
          <w:color w:val="auto"/>
          <w:spacing w:val="-5"/>
          <w:sz w:val="24"/>
          <w:szCs w:val="24"/>
          <w:highlight w:val="none"/>
          <w:lang w:eastAsia="zh-CN"/>
        </w:rPr>
        <w:t>人，营业收入为</w:t>
      </w:r>
      <w:r>
        <w:rPr>
          <w:rFonts w:hint="eastAsia" w:asciiTheme="minorEastAsia" w:hAnsiTheme="minorEastAsia" w:eastAsiaTheme="minorEastAsia" w:cstheme="minorEastAsia"/>
          <w:color w:val="auto"/>
          <w:spacing w:val="-108"/>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u w:val="single"/>
          <w:lang w:eastAsia="zh-CN"/>
        </w:rPr>
        <w:t xml:space="preserve">      </w:t>
      </w:r>
      <w:r>
        <w:rPr>
          <w:rFonts w:hint="eastAsia" w:asciiTheme="minorEastAsia" w:hAnsiTheme="minorEastAsia" w:eastAsiaTheme="minorEastAsia" w:cstheme="minorEastAsia"/>
          <w:color w:val="auto"/>
          <w:spacing w:val="-91"/>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lang w:eastAsia="zh-CN"/>
        </w:rPr>
        <w:t>万元，资产总额为</w:t>
      </w:r>
      <w:r>
        <w:rPr>
          <w:rFonts w:hint="eastAsia" w:asciiTheme="minorEastAsia" w:hAnsiTheme="minorEastAsia" w:eastAsiaTheme="minorEastAsia" w:cstheme="minorEastAsia"/>
          <w:color w:val="auto"/>
          <w:spacing w:val="-108"/>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u w:val="single"/>
          <w:lang w:eastAsia="zh-CN"/>
        </w:rPr>
        <w:t xml:space="preserve">      </w:t>
      </w:r>
      <w:r>
        <w:rPr>
          <w:rFonts w:hint="eastAsia" w:asciiTheme="minorEastAsia" w:hAnsiTheme="minorEastAsia" w:eastAsiaTheme="minorEastAsia" w:cstheme="minorEastAsia"/>
          <w:color w:val="auto"/>
          <w:spacing w:val="-91"/>
          <w:sz w:val="24"/>
          <w:szCs w:val="24"/>
          <w:highlight w:val="none"/>
          <w:lang w:eastAsia="zh-CN"/>
        </w:rPr>
        <w:t xml:space="preserve"> </w:t>
      </w:r>
      <w:r>
        <w:rPr>
          <w:rFonts w:hint="eastAsia" w:asciiTheme="minorEastAsia" w:hAnsiTheme="minorEastAsia" w:eastAsiaTheme="minorEastAsia" w:cstheme="minorEastAsia"/>
          <w:color w:val="auto"/>
          <w:spacing w:val="-5"/>
          <w:sz w:val="24"/>
          <w:szCs w:val="24"/>
          <w:highlight w:val="none"/>
          <w:lang w:eastAsia="zh-CN"/>
        </w:rPr>
        <w:t>万元，属于</w:t>
      </w:r>
      <w:r>
        <w:rPr>
          <w:rFonts w:hint="eastAsia" w:asciiTheme="minorEastAsia" w:hAnsiTheme="minorEastAsia" w:eastAsiaTheme="minorEastAsia" w:cstheme="minorEastAsia"/>
          <w:color w:val="auto"/>
          <w:spacing w:val="-5"/>
          <w:sz w:val="24"/>
          <w:szCs w:val="24"/>
          <w:highlight w:val="none"/>
          <w:u w:val="single"/>
          <w:lang w:eastAsia="zh-CN"/>
        </w:rPr>
        <w:t>（中</w:t>
      </w:r>
      <w:r>
        <w:rPr>
          <w:rFonts w:hint="eastAsia" w:asciiTheme="minorEastAsia" w:hAnsiTheme="minorEastAsia" w:eastAsiaTheme="minorEastAsia" w:cstheme="minorEastAsia"/>
          <w:color w:val="auto"/>
          <w:spacing w:val="9"/>
          <w:sz w:val="24"/>
          <w:szCs w:val="24"/>
          <w:highlight w:val="none"/>
          <w:u w:val="single"/>
          <w:lang w:eastAsia="zh-CN"/>
        </w:rPr>
        <w:t>型企业、小型企业、微型企业</w:t>
      </w:r>
      <w:r>
        <w:rPr>
          <w:rFonts w:hint="eastAsia" w:asciiTheme="minorEastAsia" w:hAnsiTheme="minorEastAsia" w:eastAsiaTheme="minorEastAsia" w:cstheme="minorEastAsia"/>
          <w:color w:val="auto"/>
          <w:spacing w:val="-48"/>
          <w:sz w:val="24"/>
          <w:szCs w:val="24"/>
          <w:highlight w:val="none"/>
          <w:u w:val="single"/>
          <w:lang w:eastAsia="zh-CN"/>
        </w:rPr>
        <w:t>）</w:t>
      </w:r>
      <w:r>
        <w:rPr>
          <w:rFonts w:hint="eastAsia" w:asciiTheme="minorEastAsia" w:hAnsiTheme="minorEastAsia" w:eastAsiaTheme="minorEastAsia" w:cstheme="minorEastAsia"/>
          <w:color w:val="auto"/>
          <w:spacing w:val="-48"/>
          <w:sz w:val="24"/>
          <w:szCs w:val="24"/>
          <w:highlight w:val="none"/>
          <w:lang w:eastAsia="zh-CN"/>
        </w:rPr>
        <w:t>；</w:t>
      </w:r>
    </w:p>
    <w:p w14:paraId="1EC244ED">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1DDAED39">
      <w:pPr>
        <w:kinsoku/>
        <w:wordWrap w:val="0"/>
        <w:spacing w:line="360" w:lineRule="auto"/>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position w:val="1"/>
          <w:sz w:val="24"/>
          <w:szCs w:val="24"/>
          <w:highlight w:val="none"/>
          <w:lang w:eastAsia="zh-CN"/>
        </w:rPr>
        <w:t>……</w:t>
      </w:r>
    </w:p>
    <w:p w14:paraId="72CB753A">
      <w:pPr>
        <w:pStyle w:val="6"/>
        <w:kinsoku/>
        <w:wordWrap w:val="0"/>
        <w:spacing w:line="360" w:lineRule="auto"/>
        <w:ind w:firstLine="496"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以上企业，不属于大企业的分支机构，不存在控股股东为大企业的情形，也不存在与大企业的负责人为同一人的情形。</w:t>
      </w:r>
    </w:p>
    <w:p w14:paraId="025D23E4">
      <w:pPr>
        <w:pStyle w:val="6"/>
        <w:kinsoku/>
        <w:wordWrap w:val="0"/>
        <w:spacing w:line="360" w:lineRule="auto"/>
        <w:ind w:firstLine="496" w:firstLineChars="200"/>
        <w:jc w:val="both"/>
        <w:rPr>
          <w:rFonts w:hint="eastAsia" w:asciiTheme="minorEastAsia" w:hAnsiTheme="minorEastAsia" w:eastAsiaTheme="minorEastAsia" w:cstheme="minorEastAsia"/>
          <w:color w:val="auto"/>
          <w:spacing w:val="4"/>
          <w:sz w:val="24"/>
          <w:szCs w:val="24"/>
          <w:highlight w:val="none"/>
          <w:lang w:eastAsia="zh-CN"/>
        </w:rPr>
      </w:pPr>
      <w:r>
        <w:rPr>
          <w:rFonts w:hint="eastAsia" w:asciiTheme="minorEastAsia" w:hAnsiTheme="minorEastAsia" w:eastAsiaTheme="minorEastAsia" w:cstheme="minorEastAsia"/>
          <w:color w:val="auto"/>
          <w:spacing w:val="4"/>
          <w:sz w:val="24"/>
          <w:szCs w:val="24"/>
          <w:highlight w:val="none"/>
          <w:lang w:eastAsia="zh-CN"/>
        </w:rPr>
        <w:t>本企业对上述声明内容的真实性负责。如有虚假，将依法承担相应责任。</w:t>
      </w:r>
    </w:p>
    <w:p w14:paraId="4A369202">
      <w:pPr>
        <w:pStyle w:val="6"/>
        <w:kinsoku/>
        <w:wordWrap w:val="0"/>
        <w:spacing w:line="360" w:lineRule="auto"/>
        <w:ind w:firstLine="496" w:firstLineChars="200"/>
        <w:jc w:val="both"/>
        <w:rPr>
          <w:rFonts w:hint="eastAsia" w:asciiTheme="minorEastAsia" w:hAnsiTheme="minorEastAsia" w:eastAsiaTheme="minorEastAsia" w:cstheme="minorEastAsia"/>
          <w:color w:val="auto"/>
          <w:spacing w:val="4"/>
          <w:sz w:val="24"/>
          <w:szCs w:val="24"/>
          <w:highlight w:val="none"/>
          <w:lang w:eastAsia="zh-CN"/>
        </w:rPr>
      </w:pPr>
    </w:p>
    <w:p w14:paraId="2A8C28B4">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5E0240EE">
      <w:pPr>
        <w:pStyle w:val="6"/>
        <w:kinsoku/>
        <w:wordWrap w:val="0"/>
        <w:spacing w:line="360" w:lineRule="auto"/>
        <w:ind w:firstLine="3838" w:firstLineChars="19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9"/>
          <w:sz w:val="24"/>
          <w:szCs w:val="24"/>
          <w:highlight w:val="none"/>
          <w:lang w:eastAsia="zh-CN"/>
        </w:rPr>
        <w:t>企业名称（盖章</w:t>
      </w:r>
      <w:r>
        <w:rPr>
          <w:rFonts w:hint="eastAsia" w:asciiTheme="minorEastAsia" w:hAnsiTheme="minorEastAsia" w:eastAsiaTheme="minorEastAsia" w:cstheme="minorEastAsia"/>
          <w:color w:val="auto"/>
          <w:spacing w:val="-2"/>
          <w:sz w:val="24"/>
          <w:szCs w:val="24"/>
          <w:highlight w:val="none"/>
          <w:lang w:eastAsia="zh-CN"/>
        </w:rPr>
        <w:t>）：</w:t>
      </w:r>
    </w:p>
    <w:p w14:paraId="1781C580">
      <w:pPr>
        <w:kinsoku/>
        <w:wordWrap w:val="0"/>
        <w:spacing w:line="360" w:lineRule="auto"/>
        <w:ind w:firstLine="3600" w:firstLineChars="15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日期：</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68828D93">
      <w:pPr>
        <w:pStyle w:val="6"/>
        <w:kinsoku/>
        <w:wordWrap w:val="0"/>
        <w:spacing w:line="360" w:lineRule="auto"/>
        <w:ind w:firstLine="10080" w:firstLineChars="4200"/>
        <w:jc w:val="both"/>
        <w:rPr>
          <w:rFonts w:hint="eastAsia" w:asciiTheme="minorEastAsia" w:hAnsiTheme="minorEastAsia" w:eastAsiaTheme="minorEastAsia" w:cstheme="minorEastAsia"/>
          <w:color w:val="auto"/>
          <w:sz w:val="24"/>
          <w:szCs w:val="24"/>
          <w:highlight w:val="none"/>
          <w:lang w:eastAsia="zh-CN"/>
        </w:rPr>
      </w:pPr>
    </w:p>
    <w:p w14:paraId="737E2494">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494E3C59">
      <w:pPr>
        <w:pStyle w:val="6"/>
        <w:kinsoku/>
        <w:wordWrap w:val="0"/>
        <w:spacing w:line="360" w:lineRule="auto"/>
        <w:ind w:firstLine="516" w:firstLineChars="200"/>
        <w:jc w:val="both"/>
        <w:rPr>
          <w:rFonts w:hint="eastAsia" w:asciiTheme="minorEastAsia" w:hAnsiTheme="minorEastAsia" w:eastAsiaTheme="minorEastAsia" w:cstheme="minorEastAsia"/>
          <w:color w:val="auto"/>
          <w:spacing w:val="9"/>
          <w:sz w:val="24"/>
          <w:szCs w:val="24"/>
          <w:highlight w:val="none"/>
          <w:lang w:eastAsia="zh-CN"/>
        </w:rPr>
      </w:pPr>
      <w:r>
        <w:rPr>
          <w:rFonts w:hint="eastAsia" w:asciiTheme="minorEastAsia" w:hAnsiTheme="minorEastAsia" w:eastAsiaTheme="minorEastAsia" w:cstheme="minorEastAsia"/>
          <w:color w:val="auto"/>
          <w:spacing w:val="9"/>
          <w:sz w:val="24"/>
          <w:szCs w:val="24"/>
          <w:highlight w:val="none"/>
          <w:lang w:eastAsia="zh-CN"/>
        </w:rPr>
        <w:t>备注：从业人员、营业收入、资产总额填报上一年度数据，无上一年度数据的新成立企业可不填报。</w:t>
      </w:r>
    </w:p>
    <w:p w14:paraId="596E0277">
      <w:pPr>
        <w:pStyle w:val="24"/>
        <w:rPr>
          <w:rFonts w:hint="eastAsia" w:asciiTheme="minorEastAsia" w:hAnsiTheme="minorEastAsia" w:eastAsiaTheme="minorEastAsia" w:cstheme="minorEastAsia"/>
          <w:color w:val="auto"/>
          <w:spacing w:val="9"/>
          <w:highlight w:val="none"/>
        </w:rPr>
        <w:sectPr>
          <w:pgSz w:w="11907" w:h="16840"/>
          <w:pgMar w:top="1440" w:right="1800" w:bottom="1440" w:left="1800" w:header="878" w:footer="886" w:gutter="0"/>
          <w:cols w:space="720" w:num="1"/>
        </w:sectPr>
      </w:pPr>
    </w:p>
    <w:p w14:paraId="6C616ACA">
      <w:pPr>
        <w:pStyle w:val="6"/>
        <w:kinsoku/>
        <w:wordWrap w:val="0"/>
        <w:spacing w:line="360" w:lineRule="auto"/>
        <w:jc w:val="center"/>
        <w:rPr>
          <w:rFonts w:hint="eastAsia" w:asciiTheme="minorEastAsia" w:hAnsiTheme="minorEastAsia" w:eastAsiaTheme="minorEastAsia" w:cstheme="minorEastAsia"/>
          <w:color w:val="auto"/>
          <w:sz w:val="32"/>
          <w:szCs w:val="32"/>
          <w:highlight w:val="none"/>
          <w:lang w:eastAsia="zh-CN"/>
        </w:rPr>
      </w:pPr>
      <w:r>
        <w:rPr>
          <w:rFonts w:hint="eastAsia" w:asciiTheme="minorEastAsia" w:hAnsiTheme="minorEastAsia" w:eastAsiaTheme="minorEastAsia" w:cstheme="minorEastAsia"/>
          <w:color w:val="auto"/>
          <w:sz w:val="32"/>
          <w:szCs w:val="32"/>
          <w:highlight w:val="none"/>
          <w:lang w:eastAsia="zh-CN"/>
          <w14:textOutline w14:w="2311" w14:cap="flat" w14:cmpd="sng" w14:algn="ctr">
            <w14:solidFill>
              <w14:srgbClr w14:val="000000"/>
            </w14:solidFill>
            <w14:prstDash w14:val="solid"/>
            <w14:miter w14:val="0"/>
          </w14:textOutline>
        </w:rPr>
        <w:t>残疾人福利性单位声明函格式</w:t>
      </w:r>
    </w:p>
    <w:p w14:paraId="704AC63C">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7FA3D990">
      <w:pPr>
        <w:pStyle w:val="6"/>
        <w:kinsoku/>
        <w:wordWrap w:val="0"/>
        <w:spacing w:line="360" w:lineRule="auto"/>
        <w:ind w:firstLine="49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0"/>
          <w:sz w:val="24"/>
          <w:szCs w:val="24"/>
          <w:highlight w:val="none"/>
          <w:lang w:eastAsia="zh-CN"/>
        </w:rPr>
        <w:t>本单位郑重声明，根据《财政部民政部中国残疾人联合会关于促进残疾人就业政府采购政策的通知》（财库〔2017〕141号）的规定，本单位</w:t>
      </w:r>
      <w:r>
        <w:rPr>
          <w:rFonts w:hint="eastAsia" w:asciiTheme="minorEastAsia" w:hAnsiTheme="minorEastAsia" w:eastAsiaTheme="minorEastAsia" w:cstheme="minorEastAsia"/>
          <w:color w:val="auto"/>
          <w:spacing w:val="8"/>
          <w:sz w:val="24"/>
          <w:szCs w:val="24"/>
          <w:highlight w:val="none"/>
          <w:lang w:eastAsia="zh-CN"/>
          <w14:textOutline w14:w="1536" w14:cap="flat" w14:cmpd="sng" w14:algn="ctr">
            <w14:solidFill>
              <w14:srgbClr w14:val="000000"/>
            </w14:solidFill>
            <w14:prstDash w14:val="solid"/>
            <w14:miter w14:val="0"/>
          </w14:textOutline>
        </w:rPr>
        <w:t>（请进行选择）：</w:t>
      </w:r>
    </w:p>
    <w:p w14:paraId="4BDE6D8F">
      <w:pPr>
        <w:pStyle w:val="6"/>
        <w:kinsoku/>
        <w:wordWrap w:val="0"/>
        <w:spacing w:line="360" w:lineRule="auto"/>
        <w:ind w:firstLine="484"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8"/>
          <w:sz w:val="24"/>
          <w:szCs w:val="24"/>
          <w:highlight w:val="none"/>
          <w:lang w:eastAsia="zh-CN"/>
          <w14:textOutline w14:w="1536" w14:cap="flat" w14:cmpd="sng" w14:algn="ctr">
            <w14:solidFill>
              <w14:srgbClr w14:val="000000"/>
            </w14:solidFill>
            <w14:prstDash w14:val="solid"/>
            <w14:miter w14:val="0"/>
          </w14:textOutline>
        </w:rPr>
        <w:t>不属于符合条件的残疾人福利性单位。</w:t>
      </w:r>
    </w:p>
    <w:p w14:paraId="2F1DF7B8">
      <w:pPr>
        <w:pStyle w:val="6"/>
        <w:kinsoku/>
        <w:wordWrap w:val="0"/>
        <w:spacing w:line="360" w:lineRule="auto"/>
        <w:ind w:firstLine="495"/>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
          <w:sz w:val="24"/>
          <w:szCs w:val="24"/>
          <w:highlight w:val="none"/>
          <w:lang w:eastAsia="zh-CN"/>
        </w:rPr>
        <w:t>□</w:t>
      </w:r>
      <w:r>
        <w:rPr>
          <w:rFonts w:hint="eastAsia" w:asciiTheme="minorEastAsia" w:hAnsiTheme="minorEastAsia" w:eastAsiaTheme="minorEastAsia" w:cstheme="minorEastAsia"/>
          <w:color w:val="auto"/>
          <w:spacing w:val="10"/>
          <w:sz w:val="24"/>
          <w:szCs w:val="24"/>
          <w:highlight w:val="none"/>
          <w:lang w:eastAsia="zh-CN"/>
          <w14:textOutline w14:w="1536" w14:cap="flat" w14:cmpd="sng" w14:algn="ctr">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color w:val="auto"/>
          <w:spacing w:val="10"/>
          <w:sz w:val="24"/>
          <w:szCs w:val="24"/>
          <w:highlight w:val="none"/>
          <w:lang w:eastAsia="zh-CN"/>
        </w:rPr>
        <w:t>且本单位参加单位的项目</w:t>
      </w:r>
      <w:r>
        <w:rPr>
          <w:rFonts w:hint="eastAsia" w:asciiTheme="minorEastAsia" w:hAnsiTheme="minorEastAsia" w:eastAsiaTheme="minorEastAsia" w:cstheme="minorEastAsia"/>
          <w:color w:val="auto"/>
          <w:spacing w:val="21"/>
          <w:sz w:val="24"/>
          <w:szCs w:val="24"/>
          <w:highlight w:val="none"/>
          <w:lang w:eastAsia="zh-CN"/>
        </w:rPr>
        <w:t>采购活动提供本单位制造的货物（由本单位承担工程/提供服务</w:t>
      </w:r>
      <w:r>
        <w:rPr>
          <w:rFonts w:hint="eastAsia" w:asciiTheme="minorEastAsia" w:hAnsiTheme="minorEastAsia" w:eastAsiaTheme="minorEastAsia" w:cstheme="minorEastAsia"/>
          <w:color w:val="auto"/>
          <w:spacing w:val="-62"/>
          <w:sz w:val="24"/>
          <w:szCs w:val="24"/>
          <w:highlight w:val="none"/>
          <w:lang w:eastAsia="zh-CN"/>
        </w:rPr>
        <w:t>），</w:t>
      </w:r>
      <w:r>
        <w:rPr>
          <w:rFonts w:hint="eastAsia" w:asciiTheme="minorEastAsia" w:hAnsiTheme="minorEastAsia" w:eastAsiaTheme="minorEastAsia" w:cstheme="minorEastAsia"/>
          <w:color w:val="auto"/>
          <w:spacing w:val="21"/>
          <w:sz w:val="24"/>
          <w:szCs w:val="24"/>
          <w:highlight w:val="none"/>
          <w:lang w:eastAsia="zh-CN"/>
        </w:rPr>
        <w:t>或者提供其他残</w:t>
      </w:r>
      <w:r>
        <w:rPr>
          <w:rFonts w:hint="eastAsia" w:asciiTheme="minorEastAsia" w:hAnsiTheme="minorEastAsia" w:eastAsiaTheme="minorEastAsia" w:cstheme="minorEastAsia"/>
          <w:color w:val="auto"/>
          <w:spacing w:val="7"/>
          <w:sz w:val="24"/>
          <w:szCs w:val="24"/>
          <w:highlight w:val="none"/>
          <w:lang w:eastAsia="zh-CN"/>
        </w:rPr>
        <w:t>疾人福利性单位制造的货物（不包括使用非残疾人福利性单位注册商标的货物）。</w:t>
      </w:r>
    </w:p>
    <w:p w14:paraId="2BB50F7C">
      <w:pPr>
        <w:pStyle w:val="6"/>
        <w:kinsoku/>
        <w:wordWrap w:val="0"/>
        <w:spacing w:line="360" w:lineRule="auto"/>
        <w:ind w:firstLine="528"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12"/>
          <w:sz w:val="24"/>
          <w:szCs w:val="24"/>
          <w:highlight w:val="none"/>
          <w:lang w:eastAsia="zh-CN"/>
          <w14:textOutline w14:w="1536" w14:cap="flat" w14:cmpd="sng" w14:algn="ctr">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color w:val="auto"/>
          <w:spacing w:val="11"/>
          <w:sz w:val="24"/>
          <w:szCs w:val="24"/>
          <w:highlight w:val="none"/>
          <w:lang w:eastAsia="zh-CN"/>
          <w14:textOutline w14:w="1536" w14:cap="flat" w14:cmpd="sng" w14:algn="ctr">
            <w14:solidFill>
              <w14:srgbClr w14:val="000000"/>
            </w14:solidFill>
            <w14:prstDash w14:val="solid"/>
            <w14:miter w14:val="0"/>
          </w14:textOutline>
        </w:rPr>
        <w:t>承担相应责任。</w:t>
      </w:r>
    </w:p>
    <w:p w14:paraId="5C1FC004">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49164D97">
      <w:pPr>
        <w:kinsoku/>
        <w:wordWrap w:val="0"/>
        <w:spacing w:line="360" w:lineRule="auto"/>
        <w:jc w:val="both"/>
        <w:rPr>
          <w:rFonts w:hint="eastAsia" w:asciiTheme="minorEastAsia" w:hAnsiTheme="minorEastAsia" w:eastAsiaTheme="minorEastAsia" w:cstheme="minorEastAsia"/>
          <w:color w:val="auto"/>
          <w:highlight w:val="none"/>
          <w:lang w:eastAsia="zh-CN"/>
        </w:rPr>
      </w:pPr>
    </w:p>
    <w:p w14:paraId="77AB8885">
      <w:pPr>
        <w:pStyle w:val="6"/>
        <w:kinsoku/>
        <w:wordWrap w:val="0"/>
        <w:spacing w:line="360" w:lineRule="auto"/>
        <w:ind w:firstLine="5120" w:firstLineChars="20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pacing w:val="8"/>
          <w:position w:val="26"/>
          <w:sz w:val="24"/>
          <w:szCs w:val="24"/>
          <w:highlight w:val="none"/>
          <w:lang w:eastAsia="zh-CN"/>
        </w:rPr>
        <w:t>单位名称（盖章</w:t>
      </w:r>
      <w:r>
        <w:rPr>
          <w:rFonts w:hint="eastAsia" w:asciiTheme="minorEastAsia" w:hAnsiTheme="minorEastAsia" w:eastAsiaTheme="minorEastAsia" w:cstheme="minorEastAsia"/>
          <w:color w:val="auto"/>
          <w:spacing w:val="-60"/>
          <w:position w:val="26"/>
          <w:sz w:val="24"/>
          <w:szCs w:val="24"/>
          <w:highlight w:val="none"/>
          <w:lang w:eastAsia="zh-CN"/>
        </w:rPr>
        <w:t>）：</w:t>
      </w:r>
    </w:p>
    <w:p w14:paraId="0AA16163">
      <w:pPr>
        <w:widowControl w:val="0"/>
        <w:kinsoku/>
        <w:wordWrap w:val="0"/>
        <w:spacing w:line="360" w:lineRule="auto"/>
        <w:ind w:firstLine="5152" w:firstLineChars="2300"/>
        <w:jc w:val="both"/>
        <w:rPr>
          <w:rFonts w:hint="eastAsia" w:asciiTheme="minorEastAsia" w:hAnsiTheme="minorEastAsia" w:eastAsiaTheme="minorEastAsia" w:cstheme="minorEastAsia"/>
          <w:color w:val="auto"/>
          <w:spacing w:val="-8"/>
          <w:sz w:val="24"/>
          <w:szCs w:val="24"/>
          <w:highlight w:val="none"/>
          <w:lang w:val="zh-CN" w:eastAsia="zh-CN"/>
        </w:rPr>
      </w:pPr>
      <w:r>
        <w:rPr>
          <w:rFonts w:hint="eastAsia" w:asciiTheme="minorEastAsia" w:hAnsiTheme="minorEastAsia" w:eastAsiaTheme="minorEastAsia" w:cstheme="minorEastAsia"/>
          <w:color w:val="auto"/>
          <w:spacing w:val="-8"/>
          <w:sz w:val="24"/>
          <w:szCs w:val="24"/>
          <w:highlight w:val="none"/>
          <w:lang w:eastAsia="zh-CN"/>
        </w:rPr>
        <w:t>日期：</w:t>
      </w:r>
      <w:r>
        <w:rPr>
          <w:rFonts w:hint="eastAsia" w:asciiTheme="minorEastAsia" w:hAnsiTheme="minorEastAsia" w:eastAsiaTheme="minorEastAsia" w:cstheme="minorEastAsia"/>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color w:val="auto"/>
          <w:spacing w:val="-8"/>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6C21CB3C">
      <w:pP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pPr>
      <w: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br w:type="page"/>
      </w:r>
    </w:p>
    <w:p w14:paraId="677EA672">
      <w:pPr>
        <w:kinsoku/>
        <w:wordWrap w:val="0"/>
        <w:spacing w:line="360" w:lineRule="auto"/>
        <w:jc w:val="center"/>
        <w:rPr>
          <w:rFonts w:ascii="宋体" w:hAnsi="宋体"/>
          <w:b/>
          <w:color w:val="auto"/>
          <w:sz w:val="28"/>
          <w:szCs w:val="28"/>
          <w:highlight w:val="none"/>
          <w:lang w:eastAsia="zh-CN"/>
        </w:rPr>
      </w:pPr>
      <w:r>
        <w:rPr>
          <w:rFonts w:hint="eastAsia" w:asciiTheme="minorEastAsia" w:hAnsiTheme="minorEastAsia" w:eastAsiaTheme="minorEastAsia" w:cstheme="minorEastAsia"/>
          <w:color w:val="auto"/>
          <w:sz w:val="36"/>
          <w:szCs w:val="36"/>
          <w:highlight w:val="none"/>
          <w:lang w:eastAsia="zh-CN"/>
          <w14:textOutline w14:w="2311" w14:cap="flat" w14:cmpd="sng" w14:algn="ctr">
            <w14:solidFill>
              <w14:srgbClr w14:val="000000"/>
            </w14:solidFill>
            <w14:prstDash w14:val="solid"/>
            <w14:miter w14:val="0"/>
          </w14:textOutline>
        </w:rPr>
        <w:t>监狱企业声明函格式</w:t>
      </w:r>
    </w:p>
    <w:p w14:paraId="00C441C1">
      <w:pPr>
        <w:kinsoku/>
        <w:wordWrap w:val="0"/>
        <w:spacing w:line="360" w:lineRule="auto"/>
        <w:jc w:val="both"/>
        <w:rPr>
          <w:rFonts w:ascii="宋体" w:hAnsi="宋体"/>
          <w:b/>
          <w:color w:val="auto"/>
          <w:sz w:val="28"/>
          <w:szCs w:val="28"/>
          <w:highlight w:val="none"/>
          <w:lang w:eastAsia="zh-CN"/>
        </w:rPr>
      </w:pPr>
    </w:p>
    <w:p w14:paraId="041B3088">
      <w:pPr>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2221735A">
      <w:pPr>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本企业对上述声明的真实性负责。如有虚假，将依法承担相应责任。</w:t>
      </w:r>
    </w:p>
    <w:p w14:paraId="78530D88">
      <w:pPr>
        <w:tabs>
          <w:tab w:val="left" w:pos="4860"/>
        </w:tabs>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 xml:space="preserve">                         </w:t>
      </w:r>
    </w:p>
    <w:p w14:paraId="253B000C">
      <w:pPr>
        <w:tabs>
          <w:tab w:val="left" w:pos="4860"/>
        </w:tabs>
        <w:kinsoku/>
        <w:wordWrap w:val="0"/>
        <w:spacing w:line="360" w:lineRule="auto"/>
        <w:ind w:firstLine="508" w:firstLineChars="200"/>
        <w:jc w:val="both"/>
        <w:rPr>
          <w:rFonts w:hint="eastAsia" w:asciiTheme="minorEastAsia" w:hAnsiTheme="minorEastAsia" w:eastAsiaTheme="minorEastAsia" w:cstheme="minorEastAsia"/>
          <w:color w:val="auto"/>
          <w:spacing w:val="7"/>
          <w:sz w:val="24"/>
          <w:szCs w:val="24"/>
          <w:highlight w:val="none"/>
          <w:lang w:eastAsia="zh-CN"/>
        </w:rPr>
      </w:pPr>
      <w:r>
        <w:rPr>
          <w:rFonts w:hint="eastAsia" w:asciiTheme="minorEastAsia" w:hAnsiTheme="minorEastAsia" w:eastAsiaTheme="minorEastAsia" w:cstheme="minorEastAsia"/>
          <w:color w:val="auto"/>
          <w:spacing w:val="7"/>
          <w:sz w:val="24"/>
          <w:szCs w:val="24"/>
          <w:highlight w:val="none"/>
          <w:lang w:eastAsia="zh-CN"/>
        </w:rPr>
        <w:t xml:space="preserve">                             企业名称（盖章）： </w:t>
      </w:r>
    </w:p>
    <w:p w14:paraId="637DA24D">
      <w:pPr>
        <w:kinsoku/>
        <w:wordWrap w:val="0"/>
        <w:spacing w:line="360" w:lineRule="auto"/>
        <w:ind w:firstLine="4320" w:firstLineChars="1800"/>
        <w:jc w:val="both"/>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eastAsia="zh-CN"/>
        </w:rPr>
        <w:t>日期：</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年</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月</w:t>
      </w:r>
      <w:r>
        <w:rPr>
          <w:rFonts w:hint="eastAsia" w:asciiTheme="minorEastAsia" w:hAnsiTheme="minorEastAsia" w:eastAsiaTheme="minorEastAsia" w:cstheme="minorEastAsia"/>
          <w:b/>
          <w:color w:val="auto"/>
          <w:sz w:val="24"/>
          <w:szCs w:val="24"/>
          <w:highlight w:val="none"/>
          <w:u w:val="single"/>
          <w:lang w:eastAsia="zh-CN"/>
        </w:rPr>
        <w:t xml:space="preserve">    </w:t>
      </w:r>
      <w:r>
        <w:rPr>
          <w:rFonts w:hint="eastAsia" w:asciiTheme="minorEastAsia" w:hAnsiTheme="minorEastAsia" w:eastAsiaTheme="minorEastAsia" w:cstheme="minorEastAsia"/>
          <w:color w:val="auto"/>
          <w:spacing w:val="-8"/>
          <w:sz w:val="24"/>
          <w:szCs w:val="24"/>
          <w:highlight w:val="none"/>
          <w:lang w:eastAsia="zh-CN"/>
        </w:rPr>
        <w:t>日</w:t>
      </w:r>
    </w:p>
    <w:p w14:paraId="65C84AEC">
      <w:pPr>
        <w:kinsoku/>
        <w:wordWrap w:val="0"/>
        <w:spacing w:line="360" w:lineRule="auto"/>
        <w:jc w:val="both"/>
        <w:rPr>
          <w:rFonts w:hint="eastAsia" w:asciiTheme="minorEastAsia" w:hAnsiTheme="minorEastAsia" w:eastAsiaTheme="minorEastAsia" w:cstheme="minorEastAsia"/>
          <w:b/>
          <w:bCs/>
          <w:color w:val="auto"/>
          <w:spacing w:val="8"/>
          <w:position w:val="26"/>
          <w:sz w:val="24"/>
          <w:szCs w:val="24"/>
          <w:highlight w:val="none"/>
          <w:lang w:eastAsia="zh-CN"/>
        </w:rPr>
      </w:pPr>
      <w:r>
        <w:rPr>
          <w:rFonts w:hint="eastAsia" w:asciiTheme="minorEastAsia" w:hAnsiTheme="minorEastAsia" w:eastAsiaTheme="minorEastAsia" w:cstheme="minorEastAsia"/>
          <w:b/>
          <w:bCs/>
          <w:color w:val="auto"/>
          <w:spacing w:val="8"/>
          <w:position w:val="26"/>
          <w:sz w:val="24"/>
          <w:szCs w:val="24"/>
          <w:highlight w:val="none"/>
          <w:lang w:eastAsia="zh-CN"/>
        </w:rPr>
        <w:t>1</w:t>
      </w:r>
      <w:r>
        <w:rPr>
          <w:rFonts w:hint="eastAsia" w:asciiTheme="minorEastAsia" w:hAnsiTheme="minorEastAsia" w:eastAsiaTheme="minorEastAsia" w:cstheme="minorEastAsia"/>
          <w:b/>
          <w:bCs/>
          <w:color w:val="auto"/>
          <w:spacing w:val="8"/>
          <w:position w:val="26"/>
          <w:sz w:val="24"/>
          <w:szCs w:val="24"/>
          <w:highlight w:val="none"/>
          <w:lang w:val="en-US" w:eastAsia="zh-CN"/>
        </w:rPr>
        <w:t>0</w:t>
      </w:r>
      <w:r>
        <w:rPr>
          <w:rFonts w:hint="eastAsia" w:asciiTheme="minorEastAsia" w:hAnsiTheme="minorEastAsia" w:eastAsiaTheme="minorEastAsia" w:cstheme="minorEastAsia"/>
          <w:b/>
          <w:bCs/>
          <w:color w:val="auto"/>
          <w:spacing w:val="8"/>
          <w:position w:val="26"/>
          <w:sz w:val="24"/>
          <w:szCs w:val="24"/>
          <w:highlight w:val="none"/>
          <w:lang w:eastAsia="zh-CN"/>
        </w:rPr>
        <w:t>.招标文件要求的其它材料及投标人认为有必要提供的材料</w:t>
      </w:r>
    </w:p>
    <w:p w14:paraId="72344875">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b/>
          <w:bCs/>
          <w:snapToGrid w:val="0"/>
          <w:color w:val="auto"/>
          <w:spacing w:val="8"/>
          <w:kern w:val="0"/>
          <w:position w:val="26"/>
          <w:sz w:val="24"/>
          <w:szCs w:val="24"/>
          <w:highlight w:val="none"/>
          <w:lang w:val="en-US" w:eastAsia="en-US" w:bidi="ar-SA"/>
        </w:rPr>
      </w:pPr>
    </w:p>
    <w:sectPr>
      <w:headerReference r:id="rId17" w:type="default"/>
      <w:footerReference r:id="rId18"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华文楷体">
    <w:altName w:val="宋体"/>
    <w:panose1 w:val="02010600040101010101"/>
    <w:charset w:val="86"/>
    <w:family w:val="auto"/>
    <w:pitch w:val="default"/>
    <w:sig w:usb0="00000000" w:usb1="00000000" w:usb2="00000000" w:usb3="00000000" w:csb0="0004009F" w:csb1="DFD70000"/>
  </w:font>
  <w:font w:name="ˎ̥">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ED413">
    <w:pPr>
      <w:spacing w:line="189" w:lineRule="auto"/>
      <w:rPr>
        <w:rFonts w:ascii="Arial" w:hAnsi="Arial" w:eastAsia="Arial" w:cs="Arial"/>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C24F0">
    <w:pPr>
      <w:spacing w:line="189" w:lineRule="auto"/>
      <w:ind w:left="4547"/>
      <w:rPr>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posOffset>2602230</wp:posOffset>
              </wp:positionH>
              <wp:positionV relativeFrom="paragraph">
                <wp:posOffset>1270</wp:posOffset>
              </wp:positionV>
              <wp:extent cx="269875" cy="12382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69924" cy="1236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F4A6F">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204.9pt;margin-top:0.1pt;height:9.75pt;width:21.25pt;mso-position-horizontal-relative:margin;z-index:251665408;mso-width-relative:page;mso-height-relative:page;" filled="f" stroked="f" coordsize="21600,21600" o:gfxdata="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8t4/VtYAAAAHAQAADwAAAAAAAAABACAAAAAiAAAAZHJzL2Rvd25yZXYueG1sUEsB&#10;AhQAFAAAAAgAh07iQFw2Vp4wAgAAVQQAAA4AAAAAAAAAAQAgAAAAJQEAAGRycy9lMm9Eb2MueG1s&#10;UEsFBgAAAAAGAAYAWQEAAMcFAAAAAA==&#10;">
              <v:fill on="f" focussize="0,0"/>
              <v:stroke on="f" weight="0.5pt"/>
              <v:imagedata o:title=""/>
              <o:lock v:ext="edit" aspectratio="f"/>
              <v:textbox inset="0mm,0mm,0mm,0mm">
                <w:txbxContent>
                  <w:p w14:paraId="5DCF4A6F">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15</w:t>
                    </w:r>
                    <w:r>
                      <w:rPr>
                        <w:rFonts w:hint="eastAsia" w:eastAsia="宋体"/>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8C40E1">
    <w:pPr>
      <w:pStyle w:val="10"/>
      <w:jc w:val="center"/>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1825F6">
                          <w:pPr>
                            <w:pStyle w:val="10"/>
                          </w:pPr>
                          <w:r>
                            <w:t xml:space="preserve">— </w:t>
                          </w:r>
                          <w:r>
                            <w:fldChar w:fldCharType="begin"/>
                          </w:r>
                          <w:r>
                            <w:instrText xml:space="preserve"> PAGE  \* MERGEFORMAT </w:instrText>
                          </w:r>
                          <w:r>
                            <w:fldChar w:fldCharType="separate"/>
                          </w:r>
                          <w:r>
                            <w:t>36</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3F1825F6">
                    <w:pPr>
                      <w:pStyle w:val="10"/>
                    </w:pPr>
                    <w:r>
                      <w:t xml:space="preserve">— </w:t>
                    </w:r>
                    <w:r>
                      <w:fldChar w:fldCharType="begin"/>
                    </w:r>
                    <w:r>
                      <w:instrText xml:space="preserve"> PAGE  \* MERGEFORMAT </w:instrText>
                    </w:r>
                    <w:r>
                      <w:fldChar w:fldCharType="separate"/>
                    </w:r>
                    <w:r>
                      <w:t>36</w:t>
                    </w:r>
                    <w:r>
                      <w:fldChar w:fldCharType="end"/>
                    </w:r>
                    <w:r>
                      <w:t xml:space="preserve"> —</w:t>
                    </w:r>
                  </w:p>
                </w:txbxContent>
              </v:textbox>
            </v:shape>
          </w:pict>
        </mc:Fallback>
      </mc:AlternateContent>
    </w:r>
  </w:p>
  <w:p w14:paraId="27A1B45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AE61E">
    <w:pPr>
      <w:spacing w:line="189" w:lineRule="auto"/>
      <w:ind w:left="4435"/>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2CCF95">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552CCF95">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23</w:t>
                    </w:r>
                    <w:r>
                      <w:rPr>
                        <w:rFonts w:hint="eastAsia" w:eastAsia="宋体"/>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04B9E">
    <w:pPr>
      <w:spacing w:line="189" w:lineRule="auto"/>
      <w:ind w:left="4435"/>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42557">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14D42557">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24</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65F44A">
    <w:pPr>
      <w:spacing w:line="189" w:lineRule="auto"/>
      <w:ind w:left="4435"/>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FDB170">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H3jSMsAgAAVwQAAA4AAABkcnMvZTJvRG9jLnhtbK1UzY7TMBC+I/EO&#10;lu80aRGrUj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4feNIywCAABXBAAADgAAAAAAAAABACAAAAAfAQAAZHJzL2Uyb0RvYy54bWxQSwUGAAAAAAYA&#10;BgBZAQAAvQUAAAAA&#10;">
              <v:fill on="f" focussize="0,0"/>
              <v:stroke on="f" weight="0.5pt"/>
              <v:imagedata o:title=""/>
              <o:lock v:ext="edit" aspectratio="f"/>
              <v:textbox inset="0mm,0mm,0mm,0mm" style="mso-fit-shape-to-text:t;">
                <w:txbxContent>
                  <w:p w14:paraId="59FDB170">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29</w:t>
                    </w:r>
                    <w:r>
                      <w:rPr>
                        <w:rFonts w:hint="eastAsia" w:eastAsia="宋体"/>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5C1C7">
    <w:pPr>
      <w:spacing w:line="189" w:lineRule="auto"/>
      <w:ind w:left="4538"/>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08385">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60408385">
                    <w:pPr>
                      <w:pStyle w:val="10"/>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30</w:t>
                    </w:r>
                    <w:r>
                      <w:rPr>
                        <w:rFonts w:hint="eastAsia" w:eastAsia="宋体"/>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FFE16">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9E760">
                          <w:pPr>
                            <w:pStyle w:val="10"/>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5AC9E760">
                    <w:pPr>
                      <w:pStyle w:val="10"/>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42</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7317C">
    <w:pPr>
      <w:pStyle w:val="1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0CB8">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881A3">
    <w:pPr>
      <w:pStyle w:val="1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F5A0F">
    <w:pPr>
      <w:pStyle w:val="1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49221">
    <w:pPr>
      <w:pStyle w:val="12"/>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80CBE">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E5FA"/>
    <w:multiLevelType w:val="singleLevel"/>
    <w:tmpl w:val="5D7BE5F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ZDU5ODFjOGEyNWRlYTNkMjA0OTNkYmM2YTBlNjc3YTEifQ=="/>
  </w:docVars>
  <w:rsids>
    <w:rsidRoot w:val="00000000"/>
    <w:rsid w:val="00621C19"/>
    <w:rsid w:val="0096273C"/>
    <w:rsid w:val="00D24FF0"/>
    <w:rsid w:val="014E35A1"/>
    <w:rsid w:val="01C02D71"/>
    <w:rsid w:val="023E759B"/>
    <w:rsid w:val="027730B6"/>
    <w:rsid w:val="02FA03F5"/>
    <w:rsid w:val="031427D0"/>
    <w:rsid w:val="03217B69"/>
    <w:rsid w:val="032F1B9E"/>
    <w:rsid w:val="03C26B83"/>
    <w:rsid w:val="03CC315E"/>
    <w:rsid w:val="03DF5A69"/>
    <w:rsid w:val="044921B6"/>
    <w:rsid w:val="046E59EF"/>
    <w:rsid w:val="050D556D"/>
    <w:rsid w:val="05234F67"/>
    <w:rsid w:val="05545C1C"/>
    <w:rsid w:val="055748A3"/>
    <w:rsid w:val="059A3EA8"/>
    <w:rsid w:val="06593C39"/>
    <w:rsid w:val="06787E06"/>
    <w:rsid w:val="068E3768"/>
    <w:rsid w:val="06AF4861"/>
    <w:rsid w:val="06B0495B"/>
    <w:rsid w:val="06C93A28"/>
    <w:rsid w:val="06E37C8B"/>
    <w:rsid w:val="076721B4"/>
    <w:rsid w:val="07BE62CF"/>
    <w:rsid w:val="08CB596A"/>
    <w:rsid w:val="08F71A98"/>
    <w:rsid w:val="09222FEA"/>
    <w:rsid w:val="092D385C"/>
    <w:rsid w:val="09684744"/>
    <w:rsid w:val="09A129E2"/>
    <w:rsid w:val="09CC6764"/>
    <w:rsid w:val="09E3271C"/>
    <w:rsid w:val="0A29644D"/>
    <w:rsid w:val="0A437032"/>
    <w:rsid w:val="0A633B33"/>
    <w:rsid w:val="0A634924"/>
    <w:rsid w:val="0AB46C2A"/>
    <w:rsid w:val="0ABC7CF1"/>
    <w:rsid w:val="0ABE6FC5"/>
    <w:rsid w:val="0AD86A92"/>
    <w:rsid w:val="0B3B7AF5"/>
    <w:rsid w:val="0B3C24F6"/>
    <w:rsid w:val="0B3D3F99"/>
    <w:rsid w:val="0BC76E66"/>
    <w:rsid w:val="0BF0521B"/>
    <w:rsid w:val="0CB101B0"/>
    <w:rsid w:val="0CBD4DA7"/>
    <w:rsid w:val="0CF900A3"/>
    <w:rsid w:val="0D9A718E"/>
    <w:rsid w:val="0DA859D3"/>
    <w:rsid w:val="0DC1671D"/>
    <w:rsid w:val="0DD30B7C"/>
    <w:rsid w:val="0DDC7AB4"/>
    <w:rsid w:val="0E307EEE"/>
    <w:rsid w:val="0E3B58C3"/>
    <w:rsid w:val="0EE505E5"/>
    <w:rsid w:val="0EE83F9D"/>
    <w:rsid w:val="0EF41040"/>
    <w:rsid w:val="0F0D035A"/>
    <w:rsid w:val="0F672DA8"/>
    <w:rsid w:val="0FB87AA7"/>
    <w:rsid w:val="0FE34B24"/>
    <w:rsid w:val="102C0845"/>
    <w:rsid w:val="104F3F68"/>
    <w:rsid w:val="10B145AD"/>
    <w:rsid w:val="10F60887"/>
    <w:rsid w:val="115A7068"/>
    <w:rsid w:val="11620280"/>
    <w:rsid w:val="117D2D56"/>
    <w:rsid w:val="11B43A6A"/>
    <w:rsid w:val="11B5429E"/>
    <w:rsid w:val="121A79BB"/>
    <w:rsid w:val="122675E2"/>
    <w:rsid w:val="12417927"/>
    <w:rsid w:val="126E021D"/>
    <w:rsid w:val="126F5143"/>
    <w:rsid w:val="1288061D"/>
    <w:rsid w:val="12C549DA"/>
    <w:rsid w:val="12D9220E"/>
    <w:rsid w:val="12FD5FFB"/>
    <w:rsid w:val="1380268A"/>
    <w:rsid w:val="13C5707D"/>
    <w:rsid w:val="13F07810"/>
    <w:rsid w:val="1446371A"/>
    <w:rsid w:val="146A5814"/>
    <w:rsid w:val="14EC3DCF"/>
    <w:rsid w:val="15037E2D"/>
    <w:rsid w:val="15193A0A"/>
    <w:rsid w:val="156B2323"/>
    <w:rsid w:val="15AC3C0A"/>
    <w:rsid w:val="15B05882"/>
    <w:rsid w:val="15E04F64"/>
    <w:rsid w:val="162679E4"/>
    <w:rsid w:val="164A7458"/>
    <w:rsid w:val="16F45CE8"/>
    <w:rsid w:val="16FC049F"/>
    <w:rsid w:val="17343EB7"/>
    <w:rsid w:val="174C193E"/>
    <w:rsid w:val="179B0D80"/>
    <w:rsid w:val="17B27393"/>
    <w:rsid w:val="17C34B7C"/>
    <w:rsid w:val="17E20058"/>
    <w:rsid w:val="183D23CB"/>
    <w:rsid w:val="18510AEB"/>
    <w:rsid w:val="18610CDC"/>
    <w:rsid w:val="19161B44"/>
    <w:rsid w:val="19D46BD3"/>
    <w:rsid w:val="19E260C0"/>
    <w:rsid w:val="1A3348FA"/>
    <w:rsid w:val="1A464AA0"/>
    <w:rsid w:val="1A510EC6"/>
    <w:rsid w:val="1A6B22E0"/>
    <w:rsid w:val="1A9F789A"/>
    <w:rsid w:val="1AAC0209"/>
    <w:rsid w:val="1AC47924"/>
    <w:rsid w:val="1AF57E02"/>
    <w:rsid w:val="1B4F168F"/>
    <w:rsid w:val="1B6F0841"/>
    <w:rsid w:val="1C8651B5"/>
    <w:rsid w:val="1D374689"/>
    <w:rsid w:val="1D391455"/>
    <w:rsid w:val="1D72498F"/>
    <w:rsid w:val="1D9D7C75"/>
    <w:rsid w:val="1E0754FF"/>
    <w:rsid w:val="1E2712E1"/>
    <w:rsid w:val="1E7249AF"/>
    <w:rsid w:val="1E8474D2"/>
    <w:rsid w:val="1F6D4511"/>
    <w:rsid w:val="1F8737CC"/>
    <w:rsid w:val="1FE61854"/>
    <w:rsid w:val="1FF31541"/>
    <w:rsid w:val="20F10837"/>
    <w:rsid w:val="210939CE"/>
    <w:rsid w:val="212D6A29"/>
    <w:rsid w:val="217E2260"/>
    <w:rsid w:val="21DC7625"/>
    <w:rsid w:val="21E33D7D"/>
    <w:rsid w:val="22937C80"/>
    <w:rsid w:val="22E737AC"/>
    <w:rsid w:val="23B24569"/>
    <w:rsid w:val="23C6058D"/>
    <w:rsid w:val="23D34A58"/>
    <w:rsid w:val="24C8734D"/>
    <w:rsid w:val="24E3577B"/>
    <w:rsid w:val="24E94D19"/>
    <w:rsid w:val="25052271"/>
    <w:rsid w:val="254F519F"/>
    <w:rsid w:val="255045B2"/>
    <w:rsid w:val="256253DA"/>
    <w:rsid w:val="25722260"/>
    <w:rsid w:val="257A4289"/>
    <w:rsid w:val="25A83616"/>
    <w:rsid w:val="25D07317"/>
    <w:rsid w:val="260373D2"/>
    <w:rsid w:val="263A5FE5"/>
    <w:rsid w:val="265713EE"/>
    <w:rsid w:val="266177F8"/>
    <w:rsid w:val="26734FA1"/>
    <w:rsid w:val="267811A0"/>
    <w:rsid w:val="2710714F"/>
    <w:rsid w:val="27EF7E63"/>
    <w:rsid w:val="27F6032D"/>
    <w:rsid w:val="2944096C"/>
    <w:rsid w:val="29462E99"/>
    <w:rsid w:val="29C94933"/>
    <w:rsid w:val="29EF5E58"/>
    <w:rsid w:val="2A5E573D"/>
    <w:rsid w:val="2A870159"/>
    <w:rsid w:val="2ABA04F6"/>
    <w:rsid w:val="2AD7512C"/>
    <w:rsid w:val="2B296C36"/>
    <w:rsid w:val="2B32017A"/>
    <w:rsid w:val="2B4C1378"/>
    <w:rsid w:val="2BD35370"/>
    <w:rsid w:val="2C0B23D8"/>
    <w:rsid w:val="2C187060"/>
    <w:rsid w:val="2CA1464D"/>
    <w:rsid w:val="2CB368C6"/>
    <w:rsid w:val="2CD72B82"/>
    <w:rsid w:val="2CE542E8"/>
    <w:rsid w:val="2D4C797B"/>
    <w:rsid w:val="2D854259"/>
    <w:rsid w:val="2DD5743D"/>
    <w:rsid w:val="2DF6291A"/>
    <w:rsid w:val="2E037ECE"/>
    <w:rsid w:val="2E123636"/>
    <w:rsid w:val="2EC1207D"/>
    <w:rsid w:val="2EDE4089"/>
    <w:rsid w:val="2EF37D5C"/>
    <w:rsid w:val="2F637F91"/>
    <w:rsid w:val="2F795793"/>
    <w:rsid w:val="2F7E5B21"/>
    <w:rsid w:val="2FAF3423"/>
    <w:rsid w:val="305F18E8"/>
    <w:rsid w:val="30E910EE"/>
    <w:rsid w:val="311741D6"/>
    <w:rsid w:val="3119309A"/>
    <w:rsid w:val="312A5594"/>
    <w:rsid w:val="312C625F"/>
    <w:rsid w:val="31C81974"/>
    <w:rsid w:val="32230959"/>
    <w:rsid w:val="3289460C"/>
    <w:rsid w:val="3322495F"/>
    <w:rsid w:val="337450B5"/>
    <w:rsid w:val="344C700B"/>
    <w:rsid w:val="34C22FEC"/>
    <w:rsid w:val="34EB0670"/>
    <w:rsid w:val="34F86C33"/>
    <w:rsid w:val="357D65D2"/>
    <w:rsid w:val="36266C69"/>
    <w:rsid w:val="36B765C5"/>
    <w:rsid w:val="374E72FE"/>
    <w:rsid w:val="37512649"/>
    <w:rsid w:val="37C036A0"/>
    <w:rsid w:val="37D42E21"/>
    <w:rsid w:val="37D664EB"/>
    <w:rsid w:val="37E776C2"/>
    <w:rsid w:val="37F92887"/>
    <w:rsid w:val="383C09C6"/>
    <w:rsid w:val="38704382"/>
    <w:rsid w:val="388B2F38"/>
    <w:rsid w:val="399D1B1E"/>
    <w:rsid w:val="3A046503"/>
    <w:rsid w:val="3A386160"/>
    <w:rsid w:val="3B35724B"/>
    <w:rsid w:val="3BB63ADA"/>
    <w:rsid w:val="3BDC4EDA"/>
    <w:rsid w:val="3C37498E"/>
    <w:rsid w:val="3C860462"/>
    <w:rsid w:val="3C94450B"/>
    <w:rsid w:val="3CA37266"/>
    <w:rsid w:val="3CD83A9C"/>
    <w:rsid w:val="3D051AB3"/>
    <w:rsid w:val="3D13022E"/>
    <w:rsid w:val="3D680576"/>
    <w:rsid w:val="3D9C0E9C"/>
    <w:rsid w:val="3DDE7B24"/>
    <w:rsid w:val="3E233D5C"/>
    <w:rsid w:val="3E353902"/>
    <w:rsid w:val="3E497139"/>
    <w:rsid w:val="3E60285C"/>
    <w:rsid w:val="3E7A6E5F"/>
    <w:rsid w:val="3E807399"/>
    <w:rsid w:val="3E923BF9"/>
    <w:rsid w:val="3ED454B4"/>
    <w:rsid w:val="3F0A4EA1"/>
    <w:rsid w:val="3F487C50"/>
    <w:rsid w:val="3F814E1B"/>
    <w:rsid w:val="3FC65745"/>
    <w:rsid w:val="3FCE3BC4"/>
    <w:rsid w:val="40274071"/>
    <w:rsid w:val="405D1A2A"/>
    <w:rsid w:val="407F405E"/>
    <w:rsid w:val="409370B0"/>
    <w:rsid w:val="40CB0B39"/>
    <w:rsid w:val="40D41902"/>
    <w:rsid w:val="410F0A26"/>
    <w:rsid w:val="41884B35"/>
    <w:rsid w:val="423849B8"/>
    <w:rsid w:val="423C1CEE"/>
    <w:rsid w:val="430F22F3"/>
    <w:rsid w:val="435F746A"/>
    <w:rsid w:val="4372309F"/>
    <w:rsid w:val="44093E52"/>
    <w:rsid w:val="444E5D13"/>
    <w:rsid w:val="446F3136"/>
    <w:rsid w:val="44790C24"/>
    <w:rsid w:val="453A628D"/>
    <w:rsid w:val="45660E30"/>
    <w:rsid w:val="45CF0C25"/>
    <w:rsid w:val="45DD7715"/>
    <w:rsid w:val="45F4468E"/>
    <w:rsid w:val="470A37CB"/>
    <w:rsid w:val="47503B46"/>
    <w:rsid w:val="476F2CBE"/>
    <w:rsid w:val="478B438F"/>
    <w:rsid w:val="47990B20"/>
    <w:rsid w:val="47C562E2"/>
    <w:rsid w:val="47C81344"/>
    <w:rsid w:val="47CC7975"/>
    <w:rsid w:val="47DC5E38"/>
    <w:rsid w:val="480A1F47"/>
    <w:rsid w:val="483B0352"/>
    <w:rsid w:val="488A3088"/>
    <w:rsid w:val="48DF1625"/>
    <w:rsid w:val="48F078C5"/>
    <w:rsid w:val="49320965"/>
    <w:rsid w:val="49AC2E6D"/>
    <w:rsid w:val="4A3F3154"/>
    <w:rsid w:val="4A4562D3"/>
    <w:rsid w:val="4A52328E"/>
    <w:rsid w:val="4A700878"/>
    <w:rsid w:val="4B050440"/>
    <w:rsid w:val="4B227F62"/>
    <w:rsid w:val="4B3D1C65"/>
    <w:rsid w:val="4B6545C2"/>
    <w:rsid w:val="4BBC369E"/>
    <w:rsid w:val="4C4526F6"/>
    <w:rsid w:val="4C52210E"/>
    <w:rsid w:val="4CD51E61"/>
    <w:rsid w:val="4CEC4659"/>
    <w:rsid w:val="4D493511"/>
    <w:rsid w:val="4DBE45EA"/>
    <w:rsid w:val="4DF21FC2"/>
    <w:rsid w:val="4DF932EA"/>
    <w:rsid w:val="4E201C1D"/>
    <w:rsid w:val="4E3B35B6"/>
    <w:rsid w:val="4E473770"/>
    <w:rsid w:val="4E7A34EC"/>
    <w:rsid w:val="4E861641"/>
    <w:rsid w:val="4F622668"/>
    <w:rsid w:val="4FAB04B3"/>
    <w:rsid w:val="4FB426AD"/>
    <w:rsid w:val="4FEE2DC9"/>
    <w:rsid w:val="500B2736"/>
    <w:rsid w:val="51346287"/>
    <w:rsid w:val="51850890"/>
    <w:rsid w:val="5191084A"/>
    <w:rsid w:val="519F1DA4"/>
    <w:rsid w:val="525210BA"/>
    <w:rsid w:val="52A90328"/>
    <w:rsid w:val="52DC3333"/>
    <w:rsid w:val="53036690"/>
    <w:rsid w:val="53376A7B"/>
    <w:rsid w:val="533D001D"/>
    <w:rsid w:val="537441A1"/>
    <w:rsid w:val="53B1020C"/>
    <w:rsid w:val="54065481"/>
    <w:rsid w:val="557169CF"/>
    <w:rsid w:val="557D5D2A"/>
    <w:rsid w:val="55A41C2D"/>
    <w:rsid w:val="56682D63"/>
    <w:rsid w:val="56905D0D"/>
    <w:rsid w:val="56C625EA"/>
    <w:rsid w:val="56FB4C08"/>
    <w:rsid w:val="574153BB"/>
    <w:rsid w:val="57F8000E"/>
    <w:rsid w:val="589A668A"/>
    <w:rsid w:val="58AC00F0"/>
    <w:rsid w:val="58C46E3D"/>
    <w:rsid w:val="58D971B2"/>
    <w:rsid w:val="59001461"/>
    <w:rsid w:val="59042C0B"/>
    <w:rsid w:val="59272568"/>
    <w:rsid w:val="594A2AEB"/>
    <w:rsid w:val="59576FB6"/>
    <w:rsid w:val="59BC1D1A"/>
    <w:rsid w:val="59C142A0"/>
    <w:rsid w:val="59C641E6"/>
    <w:rsid w:val="59D65347"/>
    <w:rsid w:val="5A2E3043"/>
    <w:rsid w:val="5A7A082C"/>
    <w:rsid w:val="5A9763C3"/>
    <w:rsid w:val="5A9920D7"/>
    <w:rsid w:val="5AEA63E6"/>
    <w:rsid w:val="5B2C7B17"/>
    <w:rsid w:val="5B5B0B94"/>
    <w:rsid w:val="5BCB0AF4"/>
    <w:rsid w:val="5C2D5181"/>
    <w:rsid w:val="5C4B1054"/>
    <w:rsid w:val="5C9B1B86"/>
    <w:rsid w:val="5C9B37C4"/>
    <w:rsid w:val="5CA02E79"/>
    <w:rsid w:val="5CEA5B79"/>
    <w:rsid w:val="5D150553"/>
    <w:rsid w:val="5D3550FB"/>
    <w:rsid w:val="5D902A97"/>
    <w:rsid w:val="5E3606EF"/>
    <w:rsid w:val="5E766130"/>
    <w:rsid w:val="5EDA32DC"/>
    <w:rsid w:val="5F321771"/>
    <w:rsid w:val="5F3A0F0C"/>
    <w:rsid w:val="5F412CC2"/>
    <w:rsid w:val="5F553F98"/>
    <w:rsid w:val="5F8F74AA"/>
    <w:rsid w:val="5F942E25"/>
    <w:rsid w:val="5FE2771E"/>
    <w:rsid w:val="600E6D7C"/>
    <w:rsid w:val="607F1E09"/>
    <w:rsid w:val="60BD2923"/>
    <w:rsid w:val="618C2692"/>
    <w:rsid w:val="622D31D4"/>
    <w:rsid w:val="62443A91"/>
    <w:rsid w:val="62A74B0A"/>
    <w:rsid w:val="62E015B0"/>
    <w:rsid w:val="63510510"/>
    <w:rsid w:val="639D4CC6"/>
    <w:rsid w:val="642053CC"/>
    <w:rsid w:val="646A5DEF"/>
    <w:rsid w:val="646F5EF6"/>
    <w:rsid w:val="65785E0F"/>
    <w:rsid w:val="658A75F4"/>
    <w:rsid w:val="65C669C4"/>
    <w:rsid w:val="65CF7A95"/>
    <w:rsid w:val="66547B43"/>
    <w:rsid w:val="66A23F66"/>
    <w:rsid w:val="672526A7"/>
    <w:rsid w:val="67B33F51"/>
    <w:rsid w:val="680D3662"/>
    <w:rsid w:val="68222C97"/>
    <w:rsid w:val="68333F9A"/>
    <w:rsid w:val="683858D3"/>
    <w:rsid w:val="68645FE7"/>
    <w:rsid w:val="69413090"/>
    <w:rsid w:val="697450DE"/>
    <w:rsid w:val="69855FCD"/>
    <w:rsid w:val="699416E8"/>
    <w:rsid w:val="69BC17E8"/>
    <w:rsid w:val="69DD77FF"/>
    <w:rsid w:val="6ACD4147"/>
    <w:rsid w:val="6AE37CE3"/>
    <w:rsid w:val="6B0625EA"/>
    <w:rsid w:val="6B5442BA"/>
    <w:rsid w:val="6B574A26"/>
    <w:rsid w:val="6BC96D67"/>
    <w:rsid w:val="6C593408"/>
    <w:rsid w:val="6C68544B"/>
    <w:rsid w:val="6C785167"/>
    <w:rsid w:val="6CF414E8"/>
    <w:rsid w:val="6D0715D4"/>
    <w:rsid w:val="6D0D5EB2"/>
    <w:rsid w:val="6DDB2C74"/>
    <w:rsid w:val="6E0E0C0F"/>
    <w:rsid w:val="6E2D2550"/>
    <w:rsid w:val="6E3C39D2"/>
    <w:rsid w:val="6E8E7670"/>
    <w:rsid w:val="6EEB0447"/>
    <w:rsid w:val="6FAF3250"/>
    <w:rsid w:val="6FC71762"/>
    <w:rsid w:val="70312E6C"/>
    <w:rsid w:val="703F6560"/>
    <w:rsid w:val="70447D0C"/>
    <w:rsid w:val="70725ED5"/>
    <w:rsid w:val="70B362F9"/>
    <w:rsid w:val="70FC3328"/>
    <w:rsid w:val="71653340"/>
    <w:rsid w:val="718222D2"/>
    <w:rsid w:val="71F347D3"/>
    <w:rsid w:val="71FC098F"/>
    <w:rsid w:val="723F6B0D"/>
    <w:rsid w:val="72415D05"/>
    <w:rsid w:val="7296241B"/>
    <w:rsid w:val="72BA0B6E"/>
    <w:rsid w:val="732A300A"/>
    <w:rsid w:val="73803FEB"/>
    <w:rsid w:val="73CE2CA8"/>
    <w:rsid w:val="73DC65DE"/>
    <w:rsid w:val="743A4414"/>
    <w:rsid w:val="747F7695"/>
    <w:rsid w:val="748C5DD6"/>
    <w:rsid w:val="754A398B"/>
    <w:rsid w:val="75624046"/>
    <w:rsid w:val="7570735F"/>
    <w:rsid w:val="75857AA3"/>
    <w:rsid w:val="758D5DE2"/>
    <w:rsid w:val="75943299"/>
    <w:rsid w:val="7599577E"/>
    <w:rsid w:val="75C13CDD"/>
    <w:rsid w:val="76017BAF"/>
    <w:rsid w:val="767A5F36"/>
    <w:rsid w:val="76837B47"/>
    <w:rsid w:val="76B97261"/>
    <w:rsid w:val="77183DD1"/>
    <w:rsid w:val="772D4414"/>
    <w:rsid w:val="7744228A"/>
    <w:rsid w:val="77846D70"/>
    <w:rsid w:val="77974CF6"/>
    <w:rsid w:val="781E668F"/>
    <w:rsid w:val="788C166D"/>
    <w:rsid w:val="78AC0934"/>
    <w:rsid w:val="78BD4DDD"/>
    <w:rsid w:val="78E700F4"/>
    <w:rsid w:val="78EE7B24"/>
    <w:rsid w:val="7907377A"/>
    <w:rsid w:val="792E7F96"/>
    <w:rsid w:val="793B1352"/>
    <w:rsid w:val="79AB21E7"/>
    <w:rsid w:val="79CC501C"/>
    <w:rsid w:val="79F12DE4"/>
    <w:rsid w:val="7AF107A8"/>
    <w:rsid w:val="7B0E17E2"/>
    <w:rsid w:val="7B3E48AE"/>
    <w:rsid w:val="7BC47E86"/>
    <w:rsid w:val="7C6203C7"/>
    <w:rsid w:val="7CB47DAA"/>
    <w:rsid w:val="7D076A17"/>
    <w:rsid w:val="7D462131"/>
    <w:rsid w:val="7DC974CD"/>
    <w:rsid w:val="7DCC1882"/>
    <w:rsid w:val="7E4B00B1"/>
    <w:rsid w:val="7EA62275"/>
    <w:rsid w:val="7F034C8E"/>
    <w:rsid w:val="7F136209"/>
    <w:rsid w:val="7F235328"/>
    <w:rsid w:val="7F640382"/>
    <w:rsid w:val="7F710522"/>
    <w:rsid w:val="7FB30C7B"/>
    <w:rsid w:val="7FB346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autoRedefine/>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20">
    <w:name w:val="Default Paragraph Font"/>
    <w:autoRedefine/>
    <w:semiHidden/>
    <w:qFormat/>
    <w:uiPriority w:val="0"/>
  </w:style>
  <w:style w:type="table" w:default="1" w:styleId="19">
    <w:name w:val="Normal Table"/>
    <w:autoRedefine/>
    <w:semiHidden/>
    <w:qFormat/>
    <w:uiPriority w:val="0"/>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next w:val="1"/>
    <w:autoRedefine/>
    <w:qFormat/>
    <w:uiPriority w:val="0"/>
    <w:rPr>
      <w:rFonts w:ascii="宋体" w:hAnsi="宋体" w:eastAsia="宋体" w:cs="宋体"/>
      <w:sz w:val="31"/>
      <w:szCs w:val="31"/>
      <w:lang w:val="en-US" w:eastAsia="en-US" w:bidi="ar-SA"/>
    </w:rPr>
  </w:style>
  <w:style w:type="paragraph" w:styleId="7">
    <w:name w:val="Body Text Indent"/>
    <w:basedOn w:val="1"/>
    <w:autoRedefine/>
    <w:qFormat/>
    <w:uiPriority w:val="99"/>
    <w:pPr>
      <w:spacing w:after="120" w:afterLines="0"/>
      <w:ind w:left="420" w:leftChars="200"/>
    </w:pPr>
    <w:rPr>
      <w:kern w:val="2"/>
      <w:sz w:val="21"/>
      <w:lang w:eastAsia="zh-CN" w:bidi="ar-SA"/>
    </w:rPr>
  </w:style>
  <w:style w:type="paragraph" w:styleId="8">
    <w:name w:val="Plain Text"/>
    <w:basedOn w:val="1"/>
    <w:autoRedefine/>
    <w:qFormat/>
    <w:uiPriority w:val="0"/>
    <w:rPr>
      <w:rFonts w:ascii="宋体" w:hAnsi="Courier New" w:cs="Courier New"/>
      <w:szCs w:val="21"/>
    </w:rPr>
  </w:style>
  <w:style w:type="paragraph" w:styleId="9">
    <w:name w:val="Date"/>
    <w:basedOn w:val="1"/>
    <w:next w:val="1"/>
    <w:autoRedefine/>
    <w:qFormat/>
    <w:uiPriority w:val="0"/>
    <w:rPr>
      <w:kern w:val="2"/>
      <w:sz w:val="21"/>
      <w:lang w:eastAsia="zh-CN" w:bidi="ar-SA"/>
    </w:rPr>
  </w:style>
  <w:style w:type="paragraph" w:styleId="10">
    <w:name w:val="footer"/>
    <w:basedOn w:val="1"/>
    <w:autoRedefine/>
    <w:qFormat/>
    <w:uiPriority w:val="0"/>
    <w:pPr>
      <w:tabs>
        <w:tab w:val="center" w:pos="4153"/>
        <w:tab w:val="right" w:pos="8306"/>
      </w:tabs>
      <w:snapToGrid w:val="0"/>
      <w:jc w:val="left"/>
    </w:pPr>
    <w:rPr>
      <w:sz w:val="18"/>
    </w:rPr>
  </w:style>
  <w:style w:type="paragraph" w:styleId="11">
    <w:name w:val="envelope return"/>
    <w:basedOn w:val="1"/>
    <w:autoRedefine/>
    <w:qFormat/>
    <w:uiPriority w:val="0"/>
    <w:pPr>
      <w:snapToGrid w:val="0"/>
    </w:pPr>
    <w:rPr>
      <w:rFonts w:ascii="Arial" w:hAnsi="Arial"/>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qFormat/>
    <w:uiPriority w:val="0"/>
    <w:pPr>
      <w:snapToGrid w:val="0"/>
      <w:jc w:val="left"/>
    </w:pPr>
    <w:rPr>
      <w:sz w:val="18"/>
      <w:szCs w:val="18"/>
    </w:rPr>
  </w:style>
  <w:style w:type="paragraph" w:styleId="14">
    <w:name w:val="Body Text 2"/>
    <w:basedOn w:val="1"/>
    <w:autoRedefine/>
    <w:qFormat/>
    <w:uiPriority w:val="0"/>
    <w:pPr>
      <w:spacing w:after="120" w:line="480" w:lineRule="auto"/>
    </w:pPr>
    <w:rPr>
      <w:rFonts w:ascii="Tahoma" w:hAnsi="Tahoma"/>
    </w:rPr>
  </w:style>
  <w:style w:type="paragraph" w:styleId="15">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basedOn w:val="6"/>
    <w:unhideWhenUsed/>
    <w:qFormat/>
    <w:uiPriority w:val="99"/>
    <w:pPr>
      <w:ind w:firstLine="420" w:firstLineChars="100"/>
    </w:pPr>
    <w:rPr>
      <w:rFonts w:ascii="Times New Roman" w:hAnsi="Times New Roman"/>
      <w:szCs w:val="24"/>
    </w:rPr>
  </w:style>
  <w:style w:type="paragraph" w:styleId="18">
    <w:name w:val="Body Text First Indent 2"/>
    <w:basedOn w:val="7"/>
    <w:next w:val="1"/>
    <w:autoRedefine/>
    <w:qFormat/>
    <w:uiPriority w:val="0"/>
    <w:pPr>
      <w:ind w:firstLine="200" w:firstLineChars="200"/>
    </w:pPr>
    <w:rPr>
      <w:kern w:val="2"/>
      <w:sz w:val="28"/>
      <w:lang w:eastAsia="zh-CN" w:bidi="ar-SA"/>
    </w:rPr>
  </w:style>
  <w:style w:type="character" w:styleId="21">
    <w:name w:val="FollowedHyperlink"/>
    <w:basedOn w:val="20"/>
    <w:autoRedefine/>
    <w:qFormat/>
    <w:uiPriority w:val="0"/>
    <w:rPr>
      <w:color w:val="444444"/>
      <w:sz w:val="16"/>
      <w:szCs w:val="16"/>
      <w:u w:val="none"/>
    </w:rPr>
  </w:style>
  <w:style w:type="character" w:styleId="22">
    <w:name w:val="Hyperlink"/>
    <w:basedOn w:val="20"/>
    <w:autoRedefine/>
    <w:qFormat/>
    <w:uiPriority w:val="0"/>
    <w:rPr>
      <w:color w:val="0000FF"/>
      <w:u w:val="single"/>
    </w:rPr>
  </w:style>
  <w:style w:type="paragraph" w:customStyle="1" w:styleId="2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4">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25">
    <w:name w:val="Table Normal"/>
    <w:autoRedefine/>
    <w:semiHidden/>
    <w:unhideWhenUsed/>
    <w:qFormat/>
    <w:uiPriority w:val="0"/>
    <w:tblPr>
      <w:tblCellMar>
        <w:top w:w="0" w:type="dxa"/>
        <w:left w:w="0" w:type="dxa"/>
        <w:bottom w:w="0" w:type="dxa"/>
        <w:right w:w="0" w:type="dxa"/>
      </w:tblCellMar>
    </w:tblPr>
  </w:style>
  <w:style w:type="paragraph" w:customStyle="1" w:styleId="26">
    <w:name w:val="Table Text"/>
    <w:basedOn w:val="1"/>
    <w:autoRedefine/>
    <w:semiHidden/>
    <w:qFormat/>
    <w:uiPriority w:val="0"/>
    <w:rPr>
      <w:rFonts w:ascii="Arial" w:hAnsi="Arial" w:eastAsia="Arial" w:cs="Arial"/>
      <w:sz w:val="21"/>
      <w:szCs w:val="21"/>
      <w:lang w:val="en-US" w:eastAsia="en-US" w:bidi="ar-SA"/>
    </w:rPr>
  </w:style>
  <w:style w:type="paragraph" w:customStyle="1" w:styleId="27">
    <w:name w:val="Default"/>
    <w:next w:val="1"/>
    <w:autoRedefine/>
    <w:qFormat/>
    <w:uiPriority w:val="0"/>
    <w:pPr>
      <w:widowControl w:val="0"/>
      <w:autoSpaceDE w:val="0"/>
      <w:autoSpaceDN w:val="0"/>
      <w:adjustRightInd w:val="0"/>
      <w:spacing w:after="200" w:line="276" w:lineRule="auto"/>
    </w:pPr>
    <w:rPr>
      <w:rFonts w:ascii="宋体" w:hAnsi="Times New Roman" w:eastAsia="宋体" w:cs="Times New Roman"/>
      <w:color w:val="000000"/>
      <w:sz w:val="24"/>
      <w:szCs w:val="24"/>
      <w:lang w:val="en-US" w:eastAsia="zh-CN" w:bidi="ar-SA"/>
    </w:rPr>
  </w:style>
  <w:style w:type="paragraph" w:customStyle="1" w:styleId="28">
    <w:name w:val="Char Char10 Char Char Char Char"/>
    <w:basedOn w:val="1"/>
    <w:next w:val="29"/>
    <w:autoRedefine/>
    <w:qFormat/>
    <w:uiPriority w:val="99"/>
    <w:pPr>
      <w:autoSpaceDE w:val="0"/>
      <w:autoSpaceDN w:val="0"/>
      <w:jc w:val="left"/>
    </w:pPr>
    <w:rPr>
      <w:rFonts w:ascii="宋体" w:hAnsi="宋体" w:cs="宋体"/>
      <w:lang w:val="zh-CN" w:bidi="zh-CN"/>
    </w:rPr>
  </w:style>
  <w:style w:type="paragraph" w:customStyle="1" w:styleId="29">
    <w:name w:val="xl87"/>
    <w:basedOn w:val="1"/>
    <w:next w:val="30"/>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ˎ̥" w:hAnsi="ˎ̥" w:cs="宋体"/>
      <w:sz w:val="18"/>
      <w:szCs w:val="18"/>
      <w:lang w:eastAsia="zh-CN" w:bidi="ar-SA"/>
    </w:rPr>
  </w:style>
  <w:style w:type="paragraph" w:customStyle="1" w:styleId="30">
    <w:name w:val="xl72"/>
    <w:basedOn w:val="1"/>
    <w:next w:val="9"/>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2"/>
      <w:szCs w:val="22"/>
      <w:lang w:eastAsia="zh-CN" w:bidi="ar-SA"/>
    </w:rPr>
  </w:style>
  <w:style w:type="paragraph" w:customStyle="1" w:styleId="31">
    <w:name w:val="MessageHeader"/>
    <w:basedOn w:val="1"/>
    <w:autoRedefine/>
    <w:qFormat/>
    <w:uiPriority w:val="0"/>
    <w:pPr>
      <w:pBdr>
        <w:top w:val="single" w:color="000000" w:sz="6" w:space="1"/>
        <w:left w:val="single" w:color="000000" w:sz="6" w:space="1"/>
        <w:bottom w:val="single" w:color="000000" w:sz="6" w:space="1"/>
        <w:right w:val="single" w:color="000000" w:sz="6" w:space="1"/>
      </w:pBdr>
      <w:ind w:left="1080" w:leftChars="500" w:hanging="1080" w:hangingChars="500"/>
      <w:jc w:val="both"/>
      <w:textAlignment w:val="baseline"/>
    </w:pPr>
    <w:rPr>
      <w:rFonts w:ascii="Calibri Light" w:hAnsi="Calibri Light" w:eastAsia="宋体"/>
      <w:kern w:val="2"/>
      <w:sz w:val="21"/>
      <w:szCs w:val="24"/>
      <w:lang w:val="en-US" w:eastAsia="zh-CN" w:bidi="ar-SA"/>
    </w:rPr>
  </w:style>
  <w:style w:type="character" w:customStyle="1" w:styleId="32">
    <w:name w:val="hover18"/>
    <w:basedOn w:val="20"/>
    <w:autoRedefine/>
    <w:qFormat/>
    <w:uiPriority w:val="0"/>
  </w:style>
  <w:style w:type="paragraph" w:customStyle="1" w:styleId="33">
    <w:name w:val="列出段落1"/>
    <w:basedOn w:val="1"/>
    <w:autoRedefine/>
    <w:qFormat/>
    <w:uiPriority w:val="0"/>
    <w:pPr>
      <w:ind w:firstLine="420" w:firstLineChars="200"/>
    </w:pPr>
    <w:rPr>
      <w:szCs w:val="21"/>
    </w:rPr>
  </w:style>
  <w:style w:type="paragraph" w:customStyle="1" w:styleId="34">
    <w:name w:val="样式1"/>
    <w:basedOn w:val="1"/>
    <w:qFormat/>
    <w:uiPriority w:val="0"/>
    <w:pPr>
      <w:spacing w:line="240" w:lineRule="auto"/>
      <w:jc w:val="both"/>
    </w:pPr>
    <w:rPr>
      <w:rFonts w:ascii="宋体"/>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jpe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101</Pages>
  <Words>101</Words>
  <Characters>117</Characters>
  <TotalTime>72</TotalTime>
  <ScaleCrop>false</ScaleCrop>
  <LinksUpToDate>false</LinksUpToDate>
  <CharactersWithSpaces>217</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2023-09-08T09:17:00Z</dcterms:created>
  <dc:creator>尹皓</dc:creator>
  <cp:lastModifiedBy>NTKO</cp:lastModifiedBy>
  <cp:lastPrinted>2024-04-07T03:01:00Z</cp:lastPrinted>
  <dcterms:modified xsi:type="dcterms:W3CDTF">2026-11-04T09:07:55Z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2052-12.1.0.29161</vt:lpwstr>
  </property>
  <property fmtid="{D5CDD505-2E9C-101B-9397-08002B2CF9AE}" pid="5" name="ICV">
    <vt:lpwstr>E43C218B5A934845836196C9D47C9C87_13</vt:lpwstr>
  </property>
  <property fmtid="{D5CDD505-2E9C-101B-9397-08002B2CF9AE}" pid="6" name="KSOTemplateDocerSaveRecord">
    <vt:lpwstr>eyJoZGlkIjoiYTUyM2UwYjBmYzc3YmM3ZjI1ODg2NTk3ZGJhZGNiNGIiLCJ1c2VySWQiOiI0MTY3MTE2MDgifQ==</vt:lpwstr>
  </property>
</Properties>
</file>