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440ED2">
      <w:pPr>
        <w:spacing w:before="190" w:line="397" w:lineRule="auto"/>
        <w:ind w:right="54"/>
        <w:jc w:val="center"/>
        <w:rPr>
          <w:rFonts w:hint="eastAsia" w:ascii="宋体" w:hAnsi="宋体" w:cs="宋体"/>
          <w:b/>
          <w:bCs/>
          <w:spacing w:val="8"/>
          <w:sz w:val="22"/>
          <w:szCs w:val="22"/>
          <w:lang w:eastAsia="zh-CN"/>
        </w:rPr>
      </w:pPr>
      <w:bookmarkStart w:id="0" w:name="_Toc1182"/>
      <w:bookmarkStart w:id="1" w:name="_Toc427393010"/>
      <w:bookmarkStart w:id="2" w:name="_Toc144974478"/>
      <w:bookmarkStart w:id="3" w:name="_Toc247527532"/>
      <w:bookmarkStart w:id="4" w:name="_Toc300834926"/>
      <w:bookmarkStart w:id="5" w:name="_Toc152042286"/>
      <w:r>
        <w:rPr>
          <w:rFonts w:hint="eastAsia" w:ascii="宋体" w:hAnsi="宋体" w:cs="宋体"/>
          <w:b/>
          <w:bCs/>
          <w:spacing w:val="8"/>
          <w:sz w:val="22"/>
          <w:szCs w:val="22"/>
          <w:lang w:eastAsia="zh-CN"/>
        </w:rPr>
        <w:drawing>
          <wp:inline distT="0" distB="0" distL="114300" distR="114300">
            <wp:extent cx="6115050" cy="8648065"/>
            <wp:effectExtent l="0" t="0" r="0" b="635"/>
            <wp:docPr id="5" name="图片 5" descr="招标文件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招标文件封面"/>
                    <pic:cNvPicPr>
                      <a:picLocks noChangeAspect="1"/>
                    </pic:cNvPicPr>
                  </pic:nvPicPr>
                  <pic:blipFill>
                    <a:blip r:embed="rId13"/>
                    <a:stretch>
                      <a:fillRect/>
                    </a:stretch>
                  </pic:blipFill>
                  <pic:spPr>
                    <a:xfrm>
                      <a:off x="0" y="0"/>
                      <a:ext cx="6115050" cy="8648065"/>
                    </a:xfrm>
                    <a:prstGeom prst="rect">
                      <a:avLst/>
                    </a:prstGeom>
                  </pic:spPr>
                </pic:pic>
              </a:graphicData>
            </a:graphic>
          </wp:inline>
        </w:drawing>
      </w:r>
    </w:p>
    <w:p w14:paraId="77B08B91">
      <w:pPr>
        <w:spacing w:before="190" w:line="397" w:lineRule="auto"/>
        <w:ind w:right="54"/>
        <w:jc w:val="center"/>
        <w:rPr>
          <w:rFonts w:hint="eastAsia" w:ascii="宋体" w:hAnsi="宋体" w:cs="宋体"/>
          <w:b/>
          <w:bCs/>
          <w:spacing w:val="8"/>
          <w:sz w:val="44"/>
          <w:szCs w:val="44"/>
          <w:lang w:eastAsia="zh-CN"/>
        </w:rPr>
      </w:pPr>
    </w:p>
    <w:p w14:paraId="48B2EE90">
      <w:pPr>
        <w:spacing w:before="190" w:line="397" w:lineRule="auto"/>
        <w:ind w:right="54"/>
        <w:jc w:val="center"/>
        <w:rPr>
          <w:rFonts w:hint="eastAsia" w:ascii="宋体" w:hAnsi="宋体" w:cs="宋体"/>
          <w:b/>
          <w:bCs/>
          <w:spacing w:val="8"/>
          <w:sz w:val="44"/>
          <w:szCs w:val="44"/>
          <w:lang w:eastAsia="zh-CN"/>
        </w:rPr>
      </w:pPr>
      <w:r>
        <w:rPr>
          <w:rFonts w:hint="eastAsia" w:ascii="宋体" w:hAnsi="宋体" w:cs="宋体"/>
          <w:b/>
          <w:bCs/>
          <w:spacing w:val="8"/>
          <w:sz w:val="44"/>
          <w:szCs w:val="44"/>
          <w:lang w:eastAsia="zh-CN"/>
        </w:rPr>
        <w:t>鲁山县鲁阳街道办事处鲁山县西关大街</w:t>
      </w:r>
    </w:p>
    <w:p w14:paraId="53CAEF92">
      <w:pPr>
        <w:spacing w:before="190" w:line="397" w:lineRule="auto"/>
        <w:ind w:right="54"/>
        <w:jc w:val="center"/>
        <w:rPr>
          <w:rFonts w:hint="eastAsia" w:ascii="宋体" w:hAnsi="宋体" w:eastAsia="宋体" w:cs="宋体"/>
          <w:b/>
          <w:bCs/>
          <w:spacing w:val="8"/>
          <w:sz w:val="40"/>
          <w:szCs w:val="40"/>
          <w:lang w:eastAsia="zh-CN"/>
        </w:rPr>
      </w:pPr>
      <w:r>
        <w:rPr>
          <w:rFonts w:hint="eastAsia" w:ascii="宋体" w:hAnsi="宋体" w:cs="宋体"/>
          <w:b/>
          <w:bCs/>
          <w:spacing w:val="8"/>
          <w:sz w:val="44"/>
          <w:szCs w:val="44"/>
          <w:lang w:eastAsia="zh-CN"/>
        </w:rPr>
        <w:t>老旧街区改造项目勘察</w:t>
      </w:r>
    </w:p>
    <w:p w14:paraId="4B008057">
      <w:pPr>
        <w:pStyle w:val="15"/>
        <w:spacing w:line="249" w:lineRule="auto"/>
      </w:pPr>
    </w:p>
    <w:p w14:paraId="4BC2A4B4">
      <w:pPr>
        <w:pStyle w:val="15"/>
        <w:spacing w:line="250" w:lineRule="auto"/>
      </w:pPr>
      <w:bookmarkStart w:id="467" w:name="_GoBack"/>
      <w:bookmarkEnd w:id="467"/>
    </w:p>
    <w:p w14:paraId="424B9FE2">
      <w:pPr>
        <w:pStyle w:val="15"/>
        <w:spacing w:line="250" w:lineRule="auto"/>
      </w:pPr>
    </w:p>
    <w:p w14:paraId="0D914637">
      <w:pPr>
        <w:pStyle w:val="15"/>
        <w:spacing w:line="250" w:lineRule="auto"/>
      </w:pPr>
    </w:p>
    <w:p w14:paraId="236E8340">
      <w:pPr>
        <w:spacing w:before="305" w:line="220" w:lineRule="auto"/>
        <w:ind w:left="1669" w:firstLine="641" w:firstLineChars="100"/>
        <w:jc w:val="both"/>
        <w:rPr>
          <w:rFonts w:ascii="宋体" w:hAnsi="宋体" w:eastAsia="宋体" w:cs="宋体"/>
          <w:b/>
          <w:bCs/>
          <w:spacing w:val="-41"/>
          <w:sz w:val="72"/>
          <w:szCs w:val="72"/>
        </w:rPr>
      </w:pPr>
    </w:p>
    <w:p w14:paraId="10EC8CC7">
      <w:pPr>
        <w:spacing w:before="305" w:line="220" w:lineRule="auto"/>
        <w:jc w:val="center"/>
        <w:rPr>
          <w:rFonts w:ascii="宋体" w:hAnsi="宋体" w:eastAsia="宋体" w:cs="宋体"/>
          <w:color w:val="auto"/>
          <w:sz w:val="72"/>
          <w:szCs w:val="72"/>
        </w:rPr>
      </w:pPr>
      <w:r>
        <w:rPr>
          <w:rFonts w:ascii="宋体" w:hAnsi="宋体" w:eastAsia="宋体" w:cs="宋体"/>
          <w:b/>
          <w:bCs/>
          <w:color w:val="auto"/>
          <w:spacing w:val="-41"/>
          <w:sz w:val="72"/>
          <w:szCs w:val="72"/>
        </w:rPr>
        <w:t>招</w:t>
      </w:r>
      <w:r>
        <w:rPr>
          <w:rFonts w:ascii="宋体" w:hAnsi="宋体" w:eastAsia="宋体" w:cs="宋体"/>
          <w:color w:val="auto"/>
          <w:spacing w:val="46"/>
          <w:sz w:val="72"/>
          <w:szCs w:val="72"/>
        </w:rPr>
        <w:t xml:space="preserve"> </w:t>
      </w:r>
      <w:r>
        <w:rPr>
          <w:rFonts w:ascii="宋体" w:hAnsi="宋体" w:eastAsia="宋体" w:cs="宋体"/>
          <w:b/>
          <w:bCs/>
          <w:color w:val="auto"/>
          <w:spacing w:val="-41"/>
          <w:sz w:val="72"/>
          <w:szCs w:val="72"/>
        </w:rPr>
        <w:t>标</w:t>
      </w:r>
      <w:r>
        <w:rPr>
          <w:rFonts w:ascii="宋体" w:hAnsi="宋体" w:eastAsia="宋体" w:cs="宋体"/>
          <w:color w:val="auto"/>
          <w:spacing w:val="50"/>
          <w:sz w:val="72"/>
          <w:szCs w:val="72"/>
        </w:rPr>
        <w:t xml:space="preserve"> </w:t>
      </w:r>
      <w:r>
        <w:rPr>
          <w:rFonts w:ascii="宋体" w:hAnsi="宋体" w:eastAsia="宋体" w:cs="宋体"/>
          <w:b/>
          <w:bCs/>
          <w:color w:val="auto"/>
          <w:spacing w:val="-41"/>
          <w:sz w:val="72"/>
          <w:szCs w:val="72"/>
        </w:rPr>
        <w:t>文</w:t>
      </w:r>
      <w:r>
        <w:rPr>
          <w:rFonts w:ascii="宋体" w:hAnsi="宋体" w:eastAsia="宋体" w:cs="宋体"/>
          <w:color w:val="auto"/>
          <w:spacing w:val="35"/>
          <w:sz w:val="72"/>
          <w:szCs w:val="72"/>
        </w:rPr>
        <w:t xml:space="preserve"> </w:t>
      </w:r>
      <w:r>
        <w:rPr>
          <w:rFonts w:ascii="宋体" w:hAnsi="宋体" w:eastAsia="宋体" w:cs="宋体"/>
          <w:b/>
          <w:bCs/>
          <w:color w:val="auto"/>
          <w:spacing w:val="-41"/>
          <w:sz w:val="72"/>
          <w:szCs w:val="72"/>
        </w:rPr>
        <w:t>件</w:t>
      </w:r>
    </w:p>
    <w:p w14:paraId="3840A16D">
      <w:pPr>
        <w:pStyle w:val="15"/>
        <w:spacing w:line="285" w:lineRule="auto"/>
        <w:jc w:val="center"/>
        <w:rPr>
          <w:color w:val="auto"/>
        </w:rPr>
      </w:pPr>
    </w:p>
    <w:p w14:paraId="33FDC1C2">
      <w:pPr>
        <w:spacing w:before="101" w:line="224" w:lineRule="auto"/>
        <w:jc w:val="center"/>
        <w:rPr>
          <w:rFonts w:hint="default" w:ascii="宋体" w:hAnsi="宋体" w:eastAsia="宋体" w:cs="宋体"/>
          <w:color w:val="auto"/>
          <w:sz w:val="31"/>
          <w:szCs w:val="31"/>
          <w:lang w:val="en-US" w:eastAsia="zh-CN"/>
        </w:rPr>
      </w:pPr>
      <w:r>
        <w:rPr>
          <w:rFonts w:hint="eastAsia" w:ascii="宋体" w:hAnsi="宋体" w:cs="宋体"/>
          <w:b/>
          <w:bCs/>
          <w:color w:val="auto"/>
          <w:spacing w:val="5"/>
          <w:sz w:val="31"/>
          <w:szCs w:val="31"/>
          <w:lang w:val="en-US" w:eastAsia="zh-CN"/>
        </w:rPr>
        <w:t>项目</w:t>
      </w:r>
      <w:r>
        <w:rPr>
          <w:rFonts w:ascii="宋体" w:hAnsi="宋体" w:eastAsia="宋体" w:cs="宋体"/>
          <w:b/>
          <w:bCs/>
          <w:color w:val="auto"/>
          <w:spacing w:val="5"/>
          <w:sz w:val="31"/>
          <w:szCs w:val="31"/>
        </w:rPr>
        <w:t>编号：</w:t>
      </w:r>
      <w:r>
        <w:rPr>
          <w:rFonts w:hint="eastAsia" w:ascii="宋体" w:hAnsi="宋体" w:cs="宋体"/>
          <w:b/>
          <w:bCs/>
          <w:color w:val="auto"/>
          <w:spacing w:val="5"/>
          <w:sz w:val="31"/>
          <w:szCs w:val="31"/>
          <w:lang w:val="en-US" w:eastAsia="zh-CN"/>
        </w:rPr>
        <w:t>鲁</w:t>
      </w:r>
      <w:r>
        <w:rPr>
          <w:rFonts w:ascii="宋体" w:hAnsi="宋体" w:eastAsia="宋体" w:cs="宋体"/>
          <w:b/>
          <w:bCs/>
          <w:color w:val="auto"/>
          <w:spacing w:val="5"/>
          <w:sz w:val="31"/>
          <w:szCs w:val="31"/>
        </w:rPr>
        <w:t>采招标</w:t>
      </w:r>
      <w:r>
        <w:rPr>
          <w:rFonts w:hint="eastAsia" w:ascii="宋体" w:hAnsi="宋体" w:eastAsia="宋体" w:cs="宋体"/>
          <w:b/>
          <w:bCs/>
          <w:color w:val="auto"/>
          <w:spacing w:val="5"/>
          <w:sz w:val="31"/>
          <w:szCs w:val="31"/>
          <w:lang w:val="en-US" w:eastAsia="zh-CN"/>
        </w:rPr>
        <w:t>-2026-</w:t>
      </w:r>
      <w:r>
        <w:rPr>
          <w:rFonts w:hint="eastAsia" w:ascii="宋体" w:hAnsi="宋体" w:cs="宋体"/>
          <w:b/>
          <w:bCs/>
          <w:color w:val="auto"/>
          <w:spacing w:val="5"/>
          <w:sz w:val="31"/>
          <w:szCs w:val="31"/>
          <w:lang w:val="en-US" w:eastAsia="zh-CN"/>
        </w:rPr>
        <w:t>56</w:t>
      </w:r>
    </w:p>
    <w:p w14:paraId="0840BC0A">
      <w:pPr>
        <w:pStyle w:val="15"/>
        <w:spacing w:line="282" w:lineRule="auto"/>
      </w:pPr>
    </w:p>
    <w:p w14:paraId="0D96664D">
      <w:pPr>
        <w:pStyle w:val="15"/>
        <w:spacing w:line="282" w:lineRule="auto"/>
      </w:pPr>
    </w:p>
    <w:p w14:paraId="57172F6B">
      <w:pPr>
        <w:pStyle w:val="15"/>
        <w:spacing w:line="282" w:lineRule="auto"/>
      </w:pPr>
    </w:p>
    <w:p w14:paraId="6A162CC9">
      <w:pPr>
        <w:spacing w:before="1" w:line="2880" w:lineRule="exact"/>
        <w:ind w:firstLine="2598"/>
        <w:rPr>
          <w:sz w:val="2"/>
          <w:szCs w:val="6"/>
        </w:rPr>
      </w:pPr>
    </w:p>
    <w:p w14:paraId="3B20A392">
      <w:pPr>
        <w:keepNext w:val="0"/>
        <w:keepLines w:val="0"/>
        <w:pageBreakBefore w:val="0"/>
        <w:widowControl w:val="0"/>
        <w:tabs>
          <w:tab w:val="left" w:pos="1470"/>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spacing w:val="-10"/>
          <w:kern w:val="2"/>
          <w:sz w:val="36"/>
          <w:szCs w:val="36"/>
          <w:lang w:eastAsia="zh-CN"/>
        </w:rPr>
      </w:pPr>
      <w:r>
        <w:rPr>
          <w:rFonts w:hint="eastAsia" w:ascii="宋体" w:hAnsi="宋体" w:eastAsia="宋体" w:cs="宋体"/>
          <w:b/>
          <w:bCs/>
          <w:snapToGrid/>
          <w:spacing w:val="-10"/>
          <w:kern w:val="2"/>
          <w:sz w:val="36"/>
          <w:szCs w:val="36"/>
          <w:lang w:eastAsia="zh-CN"/>
        </w:rPr>
        <w:t>招标人：</w:t>
      </w:r>
      <w:r>
        <w:rPr>
          <w:rFonts w:hint="eastAsia" w:ascii="宋体" w:hAnsi="宋体" w:cs="宋体"/>
          <w:b/>
          <w:bCs/>
          <w:snapToGrid/>
          <w:spacing w:val="-10"/>
          <w:kern w:val="2"/>
          <w:sz w:val="36"/>
          <w:szCs w:val="36"/>
          <w:lang w:eastAsia="zh-CN"/>
        </w:rPr>
        <w:t>鲁山县鲁阳街道办事处</w:t>
      </w:r>
    </w:p>
    <w:p w14:paraId="3459D7FD">
      <w:pPr>
        <w:keepNext w:val="0"/>
        <w:keepLines w:val="0"/>
        <w:pageBreakBefore w:val="0"/>
        <w:widowControl w:val="0"/>
        <w:tabs>
          <w:tab w:val="left" w:pos="1470"/>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spacing w:val="-10"/>
          <w:kern w:val="2"/>
          <w:sz w:val="36"/>
          <w:szCs w:val="36"/>
          <w:lang w:eastAsia="zh-CN"/>
        </w:rPr>
      </w:pPr>
      <w:r>
        <w:rPr>
          <w:rFonts w:hint="eastAsia" w:ascii="宋体" w:hAnsi="宋体" w:eastAsia="宋体" w:cs="宋体"/>
          <w:b/>
          <w:bCs/>
          <w:snapToGrid/>
          <w:spacing w:val="-10"/>
          <w:kern w:val="2"/>
          <w:sz w:val="36"/>
          <w:szCs w:val="36"/>
          <w:lang w:eastAsia="zh-CN"/>
        </w:rPr>
        <w:t>招标代理机构：</w:t>
      </w:r>
      <w:r>
        <w:rPr>
          <w:rFonts w:hint="eastAsia" w:ascii="宋体" w:hAnsi="宋体" w:cs="宋体"/>
          <w:b/>
          <w:bCs/>
          <w:snapToGrid/>
          <w:spacing w:val="-10"/>
          <w:kern w:val="2"/>
          <w:sz w:val="36"/>
          <w:szCs w:val="36"/>
          <w:lang w:eastAsia="zh-CN"/>
        </w:rPr>
        <w:t>河南智升工程咨询有限公司</w:t>
      </w:r>
    </w:p>
    <w:p w14:paraId="278232C3">
      <w:pPr>
        <w:keepNext w:val="0"/>
        <w:keepLines w:val="0"/>
        <w:pageBreakBefore w:val="0"/>
        <w:widowControl w:val="0"/>
        <w:tabs>
          <w:tab w:val="left" w:pos="1470"/>
        </w:tabs>
        <w:kinsoku/>
        <w:wordWrap/>
        <w:overflowPunct/>
        <w:topLinePunct w:val="0"/>
        <w:autoSpaceDE/>
        <w:autoSpaceDN/>
        <w:bidi w:val="0"/>
        <w:adjustRightInd/>
        <w:snapToGrid/>
        <w:spacing w:line="360" w:lineRule="auto"/>
        <w:jc w:val="center"/>
        <w:textAlignment w:val="auto"/>
        <w:rPr>
          <w:rFonts w:hint="default" w:ascii="华文中宋" w:hAnsi="华文中宋" w:eastAsia="华文中宋" w:cs="楷体"/>
          <w:b/>
          <w:sz w:val="32"/>
          <w:szCs w:val="32"/>
          <w:lang w:val="en-US" w:eastAsia="zh-CN"/>
        </w:rPr>
      </w:pPr>
      <w:r>
        <w:rPr>
          <w:rFonts w:hint="eastAsia" w:ascii="宋体" w:hAnsi="宋体" w:eastAsia="宋体" w:cs="宋体"/>
          <w:b/>
          <w:bCs/>
          <w:snapToGrid/>
          <w:spacing w:val="-10"/>
          <w:kern w:val="2"/>
          <w:sz w:val="36"/>
          <w:szCs w:val="36"/>
          <w:lang w:eastAsia="zh-CN"/>
        </w:rPr>
        <w:t>二零二</w:t>
      </w:r>
      <w:r>
        <w:rPr>
          <w:rFonts w:hint="eastAsia" w:ascii="宋体" w:hAnsi="宋体" w:eastAsia="宋体" w:cs="宋体"/>
          <w:b/>
          <w:bCs/>
          <w:snapToGrid/>
          <w:spacing w:val="-10"/>
          <w:kern w:val="2"/>
          <w:sz w:val="36"/>
          <w:szCs w:val="36"/>
          <w:lang w:val="en-US" w:eastAsia="zh-CN"/>
        </w:rPr>
        <w:t>六</w:t>
      </w:r>
      <w:r>
        <w:rPr>
          <w:rFonts w:hint="eastAsia" w:ascii="宋体" w:hAnsi="宋体" w:eastAsia="宋体" w:cs="宋体"/>
          <w:b/>
          <w:bCs/>
          <w:snapToGrid/>
          <w:spacing w:val="-10"/>
          <w:kern w:val="2"/>
          <w:sz w:val="36"/>
          <w:szCs w:val="36"/>
          <w:lang w:eastAsia="zh-CN"/>
        </w:rPr>
        <w:t>年</w:t>
      </w:r>
      <w:r>
        <w:rPr>
          <w:rFonts w:hint="eastAsia" w:ascii="宋体" w:hAnsi="宋体" w:cs="宋体"/>
          <w:b/>
          <w:bCs/>
          <w:snapToGrid/>
          <w:spacing w:val="-10"/>
          <w:kern w:val="2"/>
          <w:sz w:val="36"/>
          <w:szCs w:val="36"/>
          <w:lang w:val="en-US" w:eastAsia="zh-CN"/>
        </w:rPr>
        <w:t>八</w:t>
      </w:r>
      <w:r>
        <w:rPr>
          <w:rFonts w:hint="eastAsia" w:ascii="宋体" w:hAnsi="宋体" w:eastAsia="宋体" w:cs="宋体"/>
          <w:b/>
          <w:bCs/>
          <w:snapToGrid/>
          <w:spacing w:val="-10"/>
          <w:kern w:val="2"/>
          <w:sz w:val="36"/>
          <w:szCs w:val="36"/>
          <w:lang w:eastAsia="zh-CN"/>
        </w:rPr>
        <w:t>月</w:t>
      </w:r>
    </w:p>
    <w:bookmarkEnd w:id="0"/>
    <w:bookmarkEnd w:id="1"/>
    <w:p w14:paraId="47E82B25">
      <w:pPr>
        <w:rPr>
          <w:rFonts w:hint="eastAsia" w:ascii="宋体" w:hAnsi="宋体"/>
          <w:b/>
          <w:sz w:val="32"/>
          <w:szCs w:val="32"/>
        </w:rPr>
      </w:pPr>
      <w:r>
        <w:rPr>
          <w:rFonts w:hint="eastAsia" w:ascii="宋体" w:hAnsi="宋体"/>
          <w:b/>
          <w:sz w:val="32"/>
          <w:szCs w:val="32"/>
        </w:rPr>
        <w:br w:type="page"/>
      </w:r>
    </w:p>
    <w:p w14:paraId="0B32F0BB">
      <w:pPr>
        <w:jc w:val="center"/>
        <w:rPr>
          <w:rFonts w:ascii="宋体" w:hAnsi="宋体"/>
        </w:rPr>
      </w:pPr>
      <w:r>
        <w:rPr>
          <w:rFonts w:hint="eastAsia" w:ascii="宋体" w:hAnsi="宋体"/>
          <w:b/>
          <w:sz w:val="32"/>
          <w:szCs w:val="32"/>
        </w:rPr>
        <w:t>目     录</w:t>
      </w:r>
      <w:bookmarkEnd w:id="2"/>
      <w:bookmarkEnd w:id="3"/>
      <w:bookmarkEnd w:id="4"/>
      <w:bookmarkEnd w:id="5"/>
    </w:p>
    <w:p w14:paraId="2361E157">
      <w:pPr>
        <w:jc w:val="center"/>
        <w:rPr>
          <w:rFonts w:ascii="宋体" w:hAnsi="宋体"/>
        </w:rPr>
      </w:pPr>
      <w:bookmarkStart w:id="6" w:name="_Toc12724_WPSOffice_Type1"/>
    </w:p>
    <w:p w14:paraId="7F4503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28"/>
          <w:szCs w:val="36"/>
        </w:rPr>
      </w:pPr>
      <w:r>
        <w:rPr>
          <w:rFonts w:hint="eastAsia" w:asciiTheme="minorEastAsia" w:hAnsiTheme="minorEastAsia" w:eastAsiaTheme="minorEastAsia" w:cstheme="minorEastAsia"/>
          <w:b/>
          <w:bCs/>
          <w:sz w:val="28"/>
          <w:szCs w:val="36"/>
        </w:rPr>
        <w:fldChar w:fldCharType="begin"/>
      </w:r>
      <w:r>
        <w:rPr>
          <w:rFonts w:hint="eastAsia" w:asciiTheme="minorEastAsia" w:hAnsiTheme="minorEastAsia" w:eastAsiaTheme="minorEastAsia" w:cstheme="minorEastAsia"/>
          <w:b/>
          <w:bCs/>
          <w:sz w:val="28"/>
          <w:szCs w:val="36"/>
        </w:rPr>
        <w:instrText xml:space="preserve"> HYPERLINK \l "_Toc30560_WPSOffice_Level1" </w:instrText>
      </w:r>
      <w:r>
        <w:rPr>
          <w:rFonts w:hint="eastAsia" w:asciiTheme="minorEastAsia" w:hAnsiTheme="minorEastAsia" w:eastAsiaTheme="minorEastAsia" w:cstheme="minorEastAsia"/>
          <w:b/>
          <w:bCs/>
          <w:sz w:val="28"/>
          <w:szCs w:val="36"/>
        </w:rPr>
        <w:fldChar w:fldCharType="separate"/>
      </w:r>
      <w:r>
        <w:rPr>
          <w:rFonts w:hint="eastAsia" w:asciiTheme="minorEastAsia" w:hAnsiTheme="minorEastAsia" w:eastAsiaTheme="minorEastAsia" w:cstheme="minorEastAsia"/>
          <w:b/>
          <w:bCs/>
          <w:sz w:val="28"/>
          <w:szCs w:val="36"/>
        </w:rPr>
        <w:t>第一章 招标公告</w:t>
      </w:r>
      <w:r>
        <w:rPr>
          <w:rFonts w:hint="eastAsia" w:asciiTheme="minorEastAsia" w:hAnsiTheme="minorEastAsia" w:eastAsiaTheme="minorEastAsia" w:cstheme="minorEastAsia"/>
          <w:b/>
          <w:bCs/>
          <w:sz w:val="28"/>
          <w:szCs w:val="36"/>
        </w:rPr>
        <w:fldChar w:fldCharType="end"/>
      </w:r>
    </w:p>
    <w:p w14:paraId="70689B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28"/>
          <w:szCs w:val="36"/>
        </w:rPr>
      </w:pPr>
      <w:r>
        <w:rPr>
          <w:rFonts w:hint="eastAsia" w:asciiTheme="minorEastAsia" w:hAnsiTheme="minorEastAsia" w:eastAsiaTheme="minorEastAsia" w:cstheme="minorEastAsia"/>
          <w:b/>
          <w:bCs/>
          <w:sz w:val="28"/>
          <w:szCs w:val="36"/>
        </w:rPr>
        <w:fldChar w:fldCharType="begin"/>
      </w:r>
      <w:r>
        <w:rPr>
          <w:rFonts w:hint="eastAsia" w:asciiTheme="minorEastAsia" w:hAnsiTheme="minorEastAsia" w:eastAsiaTheme="minorEastAsia" w:cstheme="minorEastAsia"/>
          <w:b/>
          <w:bCs/>
          <w:sz w:val="28"/>
          <w:szCs w:val="36"/>
        </w:rPr>
        <w:instrText xml:space="preserve"> HYPERLINK \l "_Toc10907_WPSOffice_Level1" </w:instrText>
      </w:r>
      <w:r>
        <w:rPr>
          <w:rFonts w:hint="eastAsia" w:asciiTheme="minorEastAsia" w:hAnsiTheme="minorEastAsia" w:eastAsiaTheme="minorEastAsia" w:cstheme="minorEastAsia"/>
          <w:b/>
          <w:bCs/>
          <w:sz w:val="28"/>
          <w:szCs w:val="36"/>
        </w:rPr>
        <w:fldChar w:fldCharType="separate"/>
      </w:r>
      <w:r>
        <w:rPr>
          <w:rFonts w:hint="eastAsia" w:asciiTheme="minorEastAsia" w:hAnsiTheme="minorEastAsia" w:eastAsiaTheme="minorEastAsia" w:cstheme="minorEastAsia"/>
          <w:b/>
          <w:bCs/>
          <w:sz w:val="28"/>
          <w:szCs w:val="36"/>
        </w:rPr>
        <w:t>第二章 投标人须知</w:t>
      </w:r>
      <w:r>
        <w:rPr>
          <w:rFonts w:hint="eastAsia" w:asciiTheme="minorEastAsia" w:hAnsiTheme="minorEastAsia" w:eastAsiaTheme="minorEastAsia" w:cstheme="minorEastAsia"/>
          <w:b/>
          <w:bCs/>
          <w:sz w:val="28"/>
          <w:szCs w:val="36"/>
        </w:rPr>
        <w:fldChar w:fldCharType="end"/>
      </w:r>
    </w:p>
    <w:p w14:paraId="6436F6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28"/>
          <w:szCs w:val="36"/>
          <w:lang w:val="en-US" w:eastAsia="zh-CN"/>
        </w:rPr>
      </w:pPr>
      <w:r>
        <w:rPr>
          <w:rFonts w:hint="eastAsia" w:asciiTheme="minorEastAsia" w:hAnsiTheme="minorEastAsia" w:eastAsiaTheme="minorEastAsia" w:cstheme="minorEastAsia"/>
          <w:b/>
          <w:bCs/>
          <w:sz w:val="28"/>
          <w:szCs w:val="36"/>
        </w:rPr>
        <w:fldChar w:fldCharType="begin"/>
      </w:r>
      <w:r>
        <w:rPr>
          <w:rFonts w:hint="eastAsia" w:asciiTheme="minorEastAsia" w:hAnsiTheme="minorEastAsia" w:eastAsiaTheme="minorEastAsia" w:cstheme="minorEastAsia"/>
          <w:b/>
          <w:bCs/>
          <w:sz w:val="28"/>
          <w:szCs w:val="36"/>
        </w:rPr>
        <w:instrText xml:space="preserve"> HYPERLINK \l "_Toc1607_WPSOffice_Level1" </w:instrText>
      </w:r>
      <w:r>
        <w:rPr>
          <w:rFonts w:hint="eastAsia" w:asciiTheme="minorEastAsia" w:hAnsiTheme="minorEastAsia" w:eastAsiaTheme="minorEastAsia" w:cstheme="minorEastAsia"/>
          <w:b/>
          <w:bCs/>
          <w:sz w:val="28"/>
          <w:szCs w:val="36"/>
        </w:rPr>
        <w:fldChar w:fldCharType="separate"/>
      </w:r>
      <w:r>
        <w:rPr>
          <w:rFonts w:hint="eastAsia" w:asciiTheme="minorEastAsia" w:hAnsiTheme="minorEastAsia" w:eastAsiaTheme="minorEastAsia" w:cstheme="minorEastAsia"/>
          <w:b/>
          <w:bCs/>
          <w:sz w:val="28"/>
          <w:szCs w:val="36"/>
        </w:rPr>
        <w:t>第三章 评标办法（综合评估法）</w:t>
      </w:r>
      <w:r>
        <w:rPr>
          <w:rFonts w:hint="eastAsia" w:asciiTheme="minorEastAsia" w:hAnsiTheme="minorEastAsia" w:eastAsiaTheme="minorEastAsia" w:cstheme="minorEastAsia"/>
          <w:b/>
          <w:bCs/>
          <w:sz w:val="28"/>
          <w:szCs w:val="36"/>
        </w:rPr>
        <w:fldChar w:fldCharType="end"/>
      </w:r>
    </w:p>
    <w:p w14:paraId="68E888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28"/>
          <w:szCs w:val="36"/>
        </w:rPr>
      </w:pPr>
      <w:r>
        <w:rPr>
          <w:rFonts w:hint="eastAsia" w:asciiTheme="minorEastAsia" w:hAnsiTheme="minorEastAsia" w:eastAsiaTheme="minorEastAsia" w:cstheme="minorEastAsia"/>
          <w:b/>
          <w:bCs/>
          <w:sz w:val="28"/>
          <w:szCs w:val="36"/>
        </w:rPr>
        <w:fldChar w:fldCharType="begin"/>
      </w:r>
      <w:r>
        <w:rPr>
          <w:rFonts w:hint="eastAsia" w:asciiTheme="minorEastAsia" w:hAnsiTheme="minorEastAsia" w:eastAsiaTheme="minorEastAsia" w:cstheme="minorEastAsia"/>
          <w:b/>
          <w:bCs/>
          <w:sz w:val="28"/>
          <w:szCs w:val="36"/>
        </w:rPr>
        <w:instrText xml:space="preserve"> HYPERLINK \l "_Toc6229_WPSOffice_Level1" </w:instrText>
      </w:r>
      <w:r>
        <w:rPr>
          <w:rFonts w:hint="eastAsia" w:asciiTheme="minorEastAsia" w:hAnsiTheme="minorEastAsia" w:eastAsiaTheme="minorEastAsia" w:cstheme="minorEastAsia"/>
          <w:b/>
          <w:bCs/>
          <w:sz w:val="28"/>
          <w:szCs w:val="36"/>
        </w:rPr>
        <w:fldChar w:fldCharType="separate"/>
      </w:r>
      <w:r>
        <w:rPr>
          <w:rFonts w:hint="eastAsia" w:asciiTheme="minorEastAsia" w:hAnsiTheme="minorEastAsia" w:eastAsiaTheme="minorEastAsia" w:cstheme="minorEastAsia"/>
          <w:b/>
          <w:bCs/>
          <w:sz w:val="28"/>
          <w:szCs w:val="36"/>
        </w:rPr>
        <w:t>第四章 合同条款及格式</w:t>
      </w:r>
      <w:r>
        <w:rPr>
          <w:rFonts w:hint="eastAsia" w:asciiTheme="minorEastAsia" w:hAnsiTheme="minorEastAsia" w:eastAsiaTheme="minorEastAsia" w:cstheme="minorEastAsia"/>
          <w:b/>
          <w:bCs/>
          <w:sz w:val="28"/>
          <w:szCs w:val="36"/>
        </w:rPr>
        <w:fldChar w:fldCharType="end"/>
      </w:r>
    </w:p>
    <w:p w14:paraId="0D1CD7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28"/>
          <w:szCs w:val="36"/>
          <w:lang w:val="en-US" w:eastAsia="zh-CN"/>
        </w:rPr>
      </w:pPr>
      <w:r>
        <w:rPr>
          <w:rFonts w:hint="eastAsia" w:asciiTheme="minorEastAsia" w:hAnsiTheme="minorEastAsia" w:eastAsiaTheme="minorEastAsia" w:cstheme="minorEastAsia"/>
          <w:b/>
          <w:bCs/>
          <w:sz w:val="28"/>
          <w:szCs w:val="36"/>
          <w:lang w:val="en-US" w:eastAsia="zh-CN"/>
        </w:rPr>
        <w:t>第五章 服务要求</w:t>
      </w:r>
    </w:p>
    <w:p w14:paraId="60D81E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28"/>
          <w:szCs w:val="36"/>
          <w:lang w:val="en-US" w:eastAsia="zh-CN"/>
        </w:rPr>
      </w:pPr>
      <w:r>
        <w:rPr>
          <w:rFonts w:hint="eastAsia" w:asciiTheme="minorEastAsia" w:hAnsiTheme="minorEastAsia" w:eastAsiaTheme="minorEastAsia" w:cstheme="minorEastAsia"/>
          <w:b/>
          <w:bCs/>
          <w:sz w:val="28"/>
          <w:szCs w:val="36"/>
        </w:rPr>
        <w:fldChar w:fldCharType="begin"/>
      </w:r>
      <w:r>
        <w:rPr>
          <w:rFonts w:hint="eastAsia" w:asciiTheme="minorEastAsia" w:hAnsiTheme="minorEastAsia" w:eastAsiaTheme="minorEastAsia" w:cstheme="minorEastAsia"/>
          <w:b/>
          <w:bCs/>
          <w:sz w:val="28"/>
          <w:szCs w:val="36"/>
        </w:rPr>
        <w:instrText xml:space="preserve"> HYPERLINK \l "_Toc9064_WPSOffice_Level1" </w:instrText>
      </w:r>
      <w:r>
        <w:rPr>
          <w:rFonts w:hint="eastAsia" w:asciiTheme="minorEastAsia" w:hAnsiTheme="minorEastAsia" w:eastAsiaTheme="minorEastAsia" w:cstheme="minorEastAsia"/>
          <w:b/>
          <w:bCs/>
          <w:sz w:val="28"/>
          <w:szCs w:val="36"/>
        </w:rPr>
        <w:fldChar w:fldCharType="separate"/>
      </w:r>
      <w:r>
        <w:rPr>
          <w:rFonts w:hint="eastAsia" w:asciiTheme="minorEastAsia" w:hAnsiTheme="minorEastAsia" w:eastAsiaTheme="minorEastAsia" w:cstheme="minorEastAsia"/>
          <w:b/>
          <w:bCs/>
          <w:sz w:val="28"/>
          <w:szCs w:val="36"/>
        </w:rPr>
        <w:t>第</w:t>
      </w:r>
      <w:r>
        <w:rPr>
          <w:rFonts w:hint="eastAsia" w:asciiTheme="minorEastAsia" w:hAnsiTheme="minorEastAsia" w:eastAsiaTheme="minorEastAsia" w:cstheme="minorEastAsia"/>
          <w:b/>
          <w:bCs/>
          <w:sz w:val="28"/>
          <w:szCs w:val="36"/>
          <w:lang w:val="en-US" w:eastAsia="zh-CN"/>
        </w:rPr>
        <w:t>六</w:t>
      </w:r>
      <w:r>
        <w:rPr>
          <w:rFonts w:hint="eastAsia" w:asciiTheme="minorEastAsia" w:hAnsiTheme="minorEastAsia" w:eastAsiaTheme="minorEastAsia" w:cstheme="minorEastAsia"/>
          <w:b/>
          <w:bCs/>
          <w:sz w:val="28"/>
          <w:szCs w:val="36"/>
        </w:rPr>
        <w:t>章 投标文件格式</w:t>
      </w:r>
      <w:r>
        <w:rPr>
          <w:rFonts w:hint="eastAsia" w:asciiTheme="minorEastAsia" w:hAnsiTheme="minorEastAsia" w:eastAsiaTheme="minorEastAsia" w:cstheme="minorEastAsia"/>
          <w:b/>
          <w:bCs/>
          <w:sz w:val="28"/>
          <w:szCs w:val="36"/>
        </w:rPr>
        <w:fldChar w:fldCharType="end"/>
      </w:r>
    </w:p>
    <w:p w14:paraId="284436F5">
      <w:pPr>
        <w:pStyle w:val="148"/>
        <w:tabs>
          <w:tab w:val="right" w:leader="dot" w:pos="9638"/>
        </w:tabs>
        <w:spacing w:line="360" w:lineRule="auto"/>
        <w:rPr>
          <w:rFonts w:ascii="宋体" w:hAnsi="宋体"/>
          <w:bCs/>
        </w:rPr>
      </w:pPr>
    </w:p>
    <w:bookmarkEnd w:id="6"/>
    <w:p w14:paraId="2C589566">
      <w:pPr>
        <w:rPr>
          <w:rFonts w:ascii="宋体" w:hAnsi="宋体"/>
          <w:szCs w:val="21"/>
        </w:rPr>
      </w:pPr>
    </w:p>
    <w:p w14:paraId="2D3C4520">
      <w:pPr>
        <w:rPr>
          <w:rFonts w:ascii="宋体" w:hAnsi="宋体"/>
          <w:szCs w:val="21"/>
        </w:rPr>
        <w:sectPr>
          <w:footerReference r:id="rId3" w:type="default"/>
          <w:pgSz w:w="11906" w:h="16838"/>
          <w:pgMar w:top="1418" w:right="1134" w:bottom="1418" w:left="1134" w:header="851" w:footer="992" w:gutter="0"/>
          <w:pgNumType w:start="1"/>
          <w:cols w:space="720" w:num="1"/>
          <w:docGrid w:type="lines" w:linePitch="312" w:charSpace="0"/>
        </w:sectPr>
      </w:pPr>
    </w:p>
    <w:p w14:paraId="3A47085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sz w:val="32"/>
          <w:szCs w:val="40"/>
        </w:rPr>
      </w:pPr>
      <w:bookmarkStart w:id="7" w:name="_Toc29763"/>
      <w:r>
        <w:rPr>
          <w:rFonts w:hint="eastAsia" w:asciiTheme="minorEastAsia" w:hAnsiTheme="minorEastAsia" w:eastAsiaTheme="minorEastAsia" w:cstheme="minorEastAsia"/>
          <w:b/>
          <w:bCs/>
          <w:sz w:val="32"/>
          <w:szCs w:val="40"/>
        </w:rPr>
        <w:t>第一</w:t>
      </w:r>
      <w:bookmarkEnd w:id="7"/>
      <w:r>
        <w:rPr>
          <w:rFonts w:hint="eastAsia" w:asciiTheme="minorEastAsia" w:hAnsiTheme="minorEastAsia" w:eastAsiaTheme="minorEastAsia" w:cstheme="minorEastAsia"/>
          <w:b/>
          <w:bCs/>
          <w:sz w:val="32"/>
          <w:szCs w:val="40"/>
        </w:rPr>
        <w:t>章  招标公告</w:t>
      </w:r>
    </w:p>
    <w:p w14:paraId="11FB37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sz w:val="32"/>
          <w:szCs w:val="40"/>
          <w:lang w:eastAsia="zh-CN"/>
        </w:rPr>
      </w:pPr>
      <w:bookmarkStart w:id="8" w:name="_Toc152045527"/>
      <w:bookmarkStart w:id="9" w:name="_Toc247527551"/>
      <w:bookmarkStart w:id="10" w:name="_Toc144974495"/>
      <w:bookmarkStart w:id="11" w:name="_Toc152042303"/>
      <w:bookmarkStart w:id="12" w:name="_Toc247513950"/>
    </w:p>
    <w:p w14:paraId="3063267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sz w:val="32"/>
          <w:szCs w:val="40"/>
        </w:rPr>
      </w:pPr>
      <w:r>
        <w:rPr>
          <w:rFonts w:hint="eastAsia" w:asciiTheme="minorEastAsia" w:hAnsiTheme="minorEastAsia" w:eastAsiaTheme="minorEastAsia" w:cstheme="minorEastAsia"/>
          <w:b/>
          <w:bCs/>
          <w:sz w:val="32"/>
          <w:szCs w:val="40"/>
          <w:lang w:eastAsia="zh-CN"/>
        </w:rPr>
        <w:t>【平公资采2026887号】鲁山县鲁阳街道办事处鲁山县西关大街老旧街区改造项目勘察</w:t>
      </w:r>
      <w:r>
        <w:rPr>
          <w:rFonts w:hint="eastAsia" w:asciiTheme="minorEastAsia" w:hAnsiTheme="minorEastAsia" w:eastAsiaTheme="minorEastAsia" w:cstheme="minorEastAsia"/>
          <w:b/>
          <w:bCs/>
          <w:sz w:val="32"/>
          <w:szCs w:val="40"/>
        </w:rPr>
        <w:t>招标公告</w:t>
      </w:r>
    </w:p>
    <w:p w14:paraId="193888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rPr>
      </w:pPr>
    </w:p>
    <w:p w14:paraId="6C4A69C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32"/>
        </w:rPr>
      </w:pPr>
      <w:r>
        <w:rPr>
          <w:rFonts w:hint="eastAsia" w:asciiTheme="minorEastAsia" w:hAnsiTheme="minorEastAsia" w:eastAsiaTheme="minorEastAsia" w:cstheme="minorEastAsia"/>
          <w:b/>
          <w:bCs/>
          <w:sz w:val="24"/>
          <w:szCs w:val="32"/>
        </w:rPr>
        <w:t>项目概况</w:t>
      </w:r>
    </w:p>
    <w:p w14:paraId="47B2BB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lang w:eastAsia="zh-CN"/>
        </w:rPr>
        <w:t>鲁山县鲁阳街道办事处鲁山县西关大街老旧街区改造项目勘察</w:t>
      </w:r>
      <w:r>
        <w:rPr>
          <w:rFonts w:hint="eastAsia" w:asciiTheme="minorEastAsia" w:hAnsiTheme="minorEastAsia" w:eastAsiaTheme="minorEastAsia" w:cstheme="minorEastAsia"/>
          <w:sz w:val="24"/>
          <w:szCs w:val="32"/>
        </w:rPr>
        <w:t>招标项目的潜在投标人应在平顶山市公共资源交易中心电子交易系统获取招标文件，并于202</w:t>
      </w:r>
      <w:r>
        <w:rPr>
          <w:rFonts w:hint="eastAsia" w:asciiTheme="minorEastAsia" w:hAnsiTheme="minorEastAsia" w:eastAsiaTheme="minorEastAsia" w:cstheme="minorEastAsia"/>
          <w:sz w:val="24"/>
          <w:szCs w:val="32"/>
          <w:lang w:val="en-US" w:eastAsia="zh-CN"/>
        </w:rPr>
        <w:t>6</w:t>
      </w:r>
      <w:r>
        <w:rPr>
          <w:rFonts w:hint="eastAsia" w:asciiTheme="minorEastAsia" w:hAnsiTheme="minorEastAsia" w:eastAsiaTheme="minorEastAsia" w:cstheme="minorEastAsia"/>
          <w:sz w:val="24"/>
          <w:szCs w:val="32"/>
        </w:rPr>
        <w:t>年</w:t>
      </w:r>
      <w:r>
        <w:rPr>
          <w:rFonts w:hint="eastAsia" w:asciiTheme="minorEastAsia" w:hAnsiTheme="minorEastAsia" w:eastAsiaTheme="minorEastAsia" w:cstheme="minorEastAsia"/>
          <w:sz w:val="24"/>
          <w:szCs w:val="32"/>
          <w:lang w:val="en-US" w:eastAsia="zh-CN"/>
        </w:rPr>
        <w:t>09</w:t>
      </w:r>
      <w:r>
        <w:rPr>
          <w:rFonts w:hint="eastAsia" w:asciiTheme="minorEastAsia" w:hAnsiTheme="minorEastAsia" w:eastAsiaTheme="minorEastAsia" w:cstheme="minorEastAsia"/>
          <w:sz w:val="24"/>
          <w:szCs w:val="32"/>
        </w:rPr>
        <w:t>月</w:t>
      </w:r>
      <w:r>
        <w:rPr>
          <w:rFonts w:hint="eastAsia" w:asciiTheme="minorEastAsia" w:hAnsiTheme="minorEastAsia" w:eastAsiaTheme="minorEastAsia" w:cstheme="minorEastAsia"/>
          <w:sz w:val="24"/>
          <w:szCs w:val="32"/>
          <w:lang w:val="en-US" w:eastAsia="zh-CN"/>
        </w:rPr>
        <w:t>11</w:t>
      </w:r>
      <w:r>
        <w:rPr>
          <w:rFonts w:hint="eastAsia" w:asciiTheme="minorEastAsia" w:hAnsiTheme="minorEastAsia" w:eastAsiaTheme="minorEastAsia" w:cstheme="minorEastAsia"/>
          <w:sz w:val="24"/>
          <w:szCs w:val="32"/>
        </w:rPr>
        <w:t>日</w:t>
      </w:r>
      <w:r>
        <w:rPr>
          <w:rFonts w:hint="eastAsia" w:asciiTheme="minorEastAsia" w:hAnsiTheme="minorEastAsia" w:eastAsiaTheme="minorEastAsia" w:cstheme="minorEastAsia"/>
          <w:sz w:val="24"/>
          <w:szCs w:val="32"/>
          <w:lang w:val="en-US" w:eastAsia="zh-CN"/>
        </w:rPr>
        <w:t>08</w:t>
      </w:r>
      <w:r>
        <w:rPr>
          <w:rFonts w:hint="eastAsia" w:asciiTheme="minorEastAsia" w:hAnsiTheme="minorEastAsia" w:eastAsiaTheme="minorEastAsia" w:cstheme="minorEastAsia"/>
          <w:sz w:val="24"/>
          <w:szCs w:val="32"/>
        </w:rPr>
        <w:t>时</w:t>
      </w:r>
      <w:r>
        <w:rPr>
          <w:rFonts w:hint="eastAsia" w:asciiTheme="minorEastAsia" w:hAnsiTheme="minorEastAsia" w:eastAsiaTheme="minorEastAsia" w:cstheme="minorEastAsia"/>
          <w:sz w:val="24"/>
          <w:szCs w:val="32"/>
          <w:lang w:val="en-US" w:eastAsia="zh-CN"/>
        </w:rPr>
        <w:t>40</w:t>
      </w:r>
      <w:r>
        <w:rPr>
          <w:rFonts w:hint="eastAsia" w:asciiTheme="minorEastAsia" w:hAnsiTheme="minorEastAsia" w:eastAsiaTheme="minorEastAsia" w:cstheme="minorEastAsia"/>
          <w:sz w:val="24"/>
          <w:szCs w:val="32"/>
        </w:rPr>
        <w:t>分（北京时间）前递交</w:t>
      </w:r>
      <w:r>
        <w:rPr>
          <w:rFonts w:hint="eastAsia" w:asciiTheme="minorEastAsia" w:hAnsiTheme="minorEastAsia" w:eastAsiaTheme="minorEastAsia" w:cstheme="minorEastAsia"/>
          <w:sz w:val="24"/>
          <w:szCs w:val="32"/>
          <w:lang w:eastAsia="zh-CN"/>
        </w:rPr>
        <w:t>投标</w:t>
      </w:r>
      <w:r>
        <w:rPr>
          <w:rFonts w:hint="eastAsia" w:asciiTheme="minorEastAsia" w:hAnsiTheme="minorEastAsia" w:eastAsiaTheme="minorEastAsia" w:cstheme="minorEastAsia"/>
          <w:sz w:val="24"/>
          <w:szCs w:val="32"/>
        </w:rPr>
        <w:t>文件。</w:t>
      </w:r>
    </w:p>
    <w:p w14:paraId="3800653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32"/>
        </w:rPr>
      </w:pPr>
      <w:r>
        <w:rPr>
          <w:rFonts w:hint="eastAsia" w:asciiTheme="minorEastAsia" w:hAnsiTheme="minorEastAsia" w:eastAsiaTheme="minorEastAsia" w:cstheme="minorEastAsia"/>
          <w:b/>
          <w:bCs/>
          <w:sz w:val="24"/>
          <w:szCs w:val="32"/>
        </w:rPr>
        <w:t>一、项目基本情况</w:t>
      </w:r>
    </w:p>
    <w:p w14:paraId="08AD42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rPr>
        <w:t>1、项目编号：</w:t>
      </w:r>
      <w:r>
        <w:rPr>
          <w:rFonts w:hint="eastAsia" w:asciiTheme="minorEastAsia" w:hAnsiTheme="minorEastAsia" w:eastAsiaTheme="minorEastAsia" w:cstheme="minorEastAsia"/>
          <w:sz w:val="24"/>
          <w:szCs w:val="32"/>
          <w:lang w:val="en-US" w:eastAsia="zh-CN"/>
        </w:rPr>
        <w:t>鲁</w:t>
      </w:r>
      <w:r>
        <w:rPr>
          <w:rFonts w:hint="eastAsia" w:asciiTheme="minorEastAsia" w:hAnsiTheme="minorEastAsia" w:eastAsiaTheme="minorEastAsia" w:cstheme="minorEastAsia"/>
          <w:sz w:val="24"/>
          <w:szCs w:val="32"/>
        </w:rPr>
        <w:t>采</w:t>
      </w:r>
      <w:r>
        <w:rPr>
          <w:rFonts w:hint="eastAsia" w:asciiTheme="minorEastAsia" w:hAnsiTheme="minorEastAsia" w:eastAsiaTheme="minorEastAsia" w:cstheme="minorEastAsia"/>
          <w:sz w:val="24"/>
          <w:szCs w:val="32"/>
          <w:lang w:val="en-US" w:eastAsia="zh-CN"/>
        </w:rPr>
        <w:t>招标</w:t>
      </w:r>
      <w:r>
        <w:rPr>
          <w:rFonts w:hint="eastAsia" w:asciiTheme="minorEastAsia" w:hAnsiTheme="minorEastAsia" w:eastAsiaTheme="minorEastAsia" w:cstheme="minorEastAsia"/>
          <w:sz w:val="24"/>
          <w:szCs w:val="32"/>
        </w:rPr>
        <w:t>-</w:t>
      </w:r>
      <w:r>
        <w:rPr>
          <w:rFonts w:hint="eastAsia" w:asciiTheme="minorEastAsia" w:hAnsiTheme="minorEastAsia" w:eastAsiaTheme="minorEastAsia" w:cstheme="minorEastAsia"/>
          <w:sz w:val="24"/>
          <w:szCs w:val="32"/>
          <w:lang w:val="en-US" w:eastAsia="zh-CN"/>
        </w:rPr>
        <w:t>2026-56</w:t>
      </w:r>
    </w:p>
    <w:p w14:paraId="78F092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rPr>
        <w:t>2、项目名称：</w:t>
      </w:r>
      <w:r>
        <w:rPr>
          <w:rFonts w:hint="eastAsia" w:asciiTheme="minorEastAsia" w:hAnsiTheme="minorEastAsia" w:eastAsiaTheme="minorEastAsia" w:cstheme="minorEastAsia"/>
          <w:sz w:val="24"/>
          <w:szCs w:val="32"/>
          <w:lang w:eastAsia="zh-CN"/>
        </w:rPr>
        <w:t>鲁山县鲁阳街道办事处鲁山县西关大街老旧街区改造项目勘察</w:t>
      </w:r>
    </w:p>
    <w:p w14:paraId="3F9A88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rPr>
        <w:t>3、采购方式：</w:t>
      </w:r>
      <w:r>
        <w:rPr>
          <w:rFonts w:hint="eastAsia" w:asciiTheme="minorEastAsia" w:hAnsiTheme="minorEastAsia" w:eastAsiaTheme="minorEastAsia" w:cstheme="minorEastAsia"/>
          <w:sz w:val="24"/>
          <w:szCs w:val="32"/>
          <w:lang w:val="en-US" w:eastAsia="zh-CN"/>
        </w:rPr>
        <w:t>公开招标</w:t>
      </w:r>
    </w:p>
    <w:p w14:paraId="5D55DE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4、预算金额：</w:t>
      </w:r>
      <w:r>
        <w:rPr>
          <w:rFonts w:hint="eastAsia" w:asciiTheme="minorEastAsia" w:hAnsiTheme="minorEastAsia" w:eastAsiaTheme="minorEastAsia" w:cstheme="minorEastAsia"/>
          <w:sz w:val="24"/>
          <w:szCs w:val="32"/>
          <w:lang w:val="en-US" w:eastAsia="zh-CN"/>
        </w:rPr>
        <w:t>720000.00</w:t>
      </w:r>
      <w:r>
        <w:rPr>
          <w:rFonts w:hint="eastAsia" w:asciiTheme="minorEastAsia" w:hAnsiTheme="minorEastAsia" w:eastAsiaTheme="minorEastAsia" w:cstheme="minorEastAsia"/>
          <w:sz w:val="24"/>
          <w:szCs w:val="32"/>
        </w:rPr>
        <w:t>元</w:t>
      </w:r>
    </w:p>
    <w:p w14:paraId="3EAC6A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最高限价：</w:t>
      </w:r>
      <w:r>
        <w:rPr>
          <w:rFonts w:hint="eastAsia" w:asciiTheme="minorEastAsia" w:hAnsiTheme="minorEastAsia" w:eastAsiaTheme="minorEastAsia" w:cstheme="minorEastAsia"/>
          <w:sz w:val="24"/>
          <w:szCs w:val="32"/>
          <w:lang w:val="en-US" w:eastAsia="zh-CN"/>
        </w:rPr>
        <w:t>720000.00</w:t>
      </w:r>
      <w:r>
        <w:rPr>
          <w:rFonts w:hint="eastAsia" w:asciiTheme="minorEastAsia" w:hAnsiTheme="minorEastAsia" w:eastAsiaTheme="minorEastAsia" w:cstheme="minorEastAsia"/>
          <w:sz w:val="24"/>
          <w:szCs w:val="32"/>
        </w:rPr>
        <w:t>元</w:t>
      </w:r>
    </w:p>
    <w:tbl>
      <w:tblPr>
        <w:tblStyle w:val="36"/>
        <w:tblW w:w="986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2"/>
        <w:gridCol w:w="1445"/>
        <w:gridCol w:w="2494"/>
        <w:gridCol w:w="1577"/>
        <w:gridCol w:w="1351"/>
        <w:gridCol w:w="1156"/>
        <w:gridCol w:w="1294"/>
      </w:tblGrid>
      <w:tr w14:paraId="2CA81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14:paraId="1CF2B1CE">
            <w:pPr>
              <w:bidi w:val="0"/>
              <w:jc w:val="center"/>
              <w:rPr>
                <w:rFonts w:hint="eastAsia"/>
              </w:rPr>
            </w:pPr>
            <w:r>
              <w:rPr>
                <w:rFonts w:hint="eastAsia"/>
              </w:rPr>
              <w:t>序号</w:t>
            </w:r>
          </w:p>
        </w:tc>
        <w:tc>
          <w:tcPr>
            <w:tcW w:w="1445" w:type="dxa"/>
            <w:tcBorders>
              <w:top w:val="single" w:color="000000" w:sz="4" w:space="0"/>
              <w:left w:val="single" w:color="000000" w:sz="4" w:space="0"/>
              <w:bottom w:val="single" w:color="000000" w:sz="4" w:space="0"/>
              <w:right w:val="single" w:color="000000" w:sz="4" w:space="0"/>
            </w:tcBorders>
            <w:noWrap w:val="0"/>
            <w:vAlign w:val="center"/>
          </w:tcPr>
          <w:p w14:paraId="441E3357">
            <w:pPr>
              <w:bidi w:val="0"/>
              <w:jc w:val="center"/>
              <w:rPr>
                <w:rFonts w:hint="eastAsia"/>
              </w:rPr>
            </w:pPr>
            <w:r>
              <w:rPr>
                <w:rFonts w:hint="eastAsia"/>
              </w:rPr>
              <w:t>包号</w:t>
            </w:r>
          </w:p>
        </w:tc>
        <w:tc>
          <w:tcPr>
            <w:tcW w:w="2494" w:type="dxa"/>
            <w:tcBorders>
              <w:top w:val="single" w:color="000000" w:sz="4" w:space="0"/>
              <w:left w:val="single" w:color="000000" w:sz="4" w:space="0"/>
              <w:bottom w:val="single" w:color="000000" w:sz="4" w:space="0"/>
              <w:right w:val="single" w:color="000000" w:sz="4" w:space="0"/>
            </w:tcBorders>
            <w:noWrap w:val="0"/>
            <w:vAlign w:val="center"/>
          </w:tcPr>
          <w:p w14:paraId="7ABE947D">
            <w:pPr>
              <w:bidi w:val="0"/>
              <w:jc w:val="center"/>
              <w:rPr>
                <w:rFonts w:hint="eastAsia"/>
              </w:rPr>
            </w:pPr>
            <w:r>
              <w:rPr>
                <w:rFonts w:hint="eastAsia"/>
              </w:rPr>
              <w:t>包名称</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0F887325">
            <w:pPr>
              <w:bidi w:val="0"/>
              <w:jc w:val="center"/>
              <w:rPr>
                <w:rFonts w:hint="eastAsia"/>
              </w:rPr>
            </w:pPr>
            <w:r>
              <w:rPr>
                <w:rFonts w:hint="eastAsia"/>
              </w:rPr>
              <w:t>包预算（元）</w:t>
            </w:r>
          </w:p>
        </w:tc>
        <w:tc>
          <w:tcPr>
            <w:tcW w:w="1351" w:type="dxa"/>
            <w:tcBorders>
              <w:top w:val="single" w:color="000000" w:sz="4" w:space="0"/>
              <w:left w:val="single" w:color="000000" w:sz="4" w:space="0"/>
              <w:bottom w:val="single" w:color="000000" w:sz="4" w:space="0"/>
              <w:right w:val="single" w:color="auto" w:sz="4" w:space="0"/>
            </w:tcBorders>
            <w:noWrap w:val="0"/>
            <w:vAlign w:val="center"/>
          </w:tcPr>
          <w:p w14:paraId="7AA7173C">
            <w:pPr>
              <w:bidi w:val="0"/>
              <w:jc w:val="center"/>
              <w:rPr>
                <w:rFonts w:hint="eastAsia"/>
              </w:rPr>
            </w:pPr>
            <w:r>
              <w:rPr>
                <w:rFonts w:hint="eastAsia"/>
              </w:rPr>
              <w:t>包最高限价（元）</w:t>
            </w:r>
          </w:p>
        </w:tc>
        <w:tc>
          <w:tcPr>
            <w:tcW w:w="1156" w:type="dxa"/>
            <w:tcBorders>
              <w:top w:val="single" w:color="000000" w:sz="4" w:space="0"/>
              <w:left w:val="single" w:color="auto" w:sz="4" w:space="0"/>
              <w:bottom w:val="single" w:color="000000" w:sz="4" w:space="0"/>
              <w:right w:val="single" w:color="auto" w:sz="4" w:space="0"/>
            </w:tcBorders>
            <w:noWrap w:val="0"/>
            <w:vAlign w:val="center"/>
          </w:tcPr>
          <w:p w14:paraId="1F3346F2">
            <w:pPr>
              <w:bidi w:val="0"/>
              <w:jc w:val="center"/>
              <w:rPr>
                <w:rFonts w:hint="eastAsia"/>
              </w:rPr>
            </w:pPr>
            <w:r>
              <w:rPr>
                <w:rFonts w:hint="eastAsia"/>
              </w:rPr>
              <w:t>是否专门面向中小企业</w:t>
            </w:r>
          </w:p>
        </w:tc>
        <w:tc>
          <w:tcPr>
            <w:tcW w:w="1294" w:type="dxa"/>
            <w:tcBorders>
              <w:top w:val="single" w:color="000000" w:sz="4" w:space="0"/>
              <w:left w:val="single" w:color="auto" w:sz="4" w:space="0"/>
              <w:bottom w:val="single" w:color="000000" w:sz="4" w:space="0"/>
              <w:right w:val="single" w:color="000000" w:sz="4" w:space="0"/>
            </w:tcBorders>
            <w:noWrap w:val="0"/>
            <w:vAlign w:val="center"/>
          </w:tcPr>
          <w:p w14:paraId="3A1FCD6F">
            <w:pPr>
              <w:bidi w:val="0"/>
              <w:jc w:val="center"/>
              <w:rPr>
                <w:rFonts w:hint="eastAsia"/>
              </w:rPr>
            </w:pPr>
            <w:r>
              <w:rPr>
                <w:rFonts w:hint="eastAsia"/>
              </w:rPr>
              <w:t>采购预留金额（元）</w:t>
            </w:r>
          </w:p>
        </w:tc>
      </w:tr>
      <w:tr w14:paraId="075D2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14:paraId="3EC4E070">
            <w:pPr>
              <w:bidi w:val="0"/>
              <w:jc w:val="center"/>
              <w:rPr>
                <w:rFonts w:hint="eastAsia"/>
                <w:lang w:eastAsia="zh-CN"/>
              </w:rPr>
            </w:pPr>
            <w:r>
              <w:rPr>
                <w:rFonts w:hint="eastAsia"/>
                <w:lang w:eastAsia="zh-CN"/>
              </w:rPr>
              <w:t>1</w:t>
            </w:r>
          </w:p>
        </w:tc>
        <w:tc>
          <w:tcPr>
            <w:tcW w:w="1445" w:type="dxa"/>
            <w:tcBorders>
              <w:top w:val="single" w:color="000000" w:sz="4" w:space="0"/>
              <w:left w:val="single" w:color="000000" w:sz="4" w:space="0"/>
              <w:bottom w:val="single" w:color="000000" w:sz="4" w:space="0"/>
              <w:right w:val="single" w:color="000000" w:sz="4" w:space="0"/>
            </w:tcBorders>
            <w:noWrap w:val="0"/>
            <w:vAlign w:val="center"/>
          </w:tcPr>
          <w:p w14:paraId="61B5BF69">
            <w:pPr>
              <w:bidi w:val="0"/>
              <w:jc w:val="center"/>
              <w:rPr>
                <w:rFonts w:hint="eastAsia"/>
                <w:lang w:eastAsia="zh-CN"/>
              </w:rPr>
            </w:pPr>
            <w:r>
              <w:rPr>
                <w:rFonts w:hint="eastAsia"/>
                <w:lang w:eastAsia="zh-CN"/>
              </w:rPr>
              <w:t>平公资采2026887号</w:t>
            </w:r>
            <w:r>
              <w:rPr>
                <w:rFonts w:hint="eastAsia"/>
                <w:lang w:val="en-US" w:eastAsia="zh-CN"/>
              </w:rPr>
              <w:t>-1</w:t>
            </w:r>
          </w:p>
        </w:tc>
        <w:tc>
          <w:tcPr>
            <w:tcW w:w="2494" w:type="dxa"/>
            <w:tcBorders>
              <w:top w:val="single" w:color="000000" w:sz="4" w:space="0"/>
              <w:left w:val="single" w:color="000000" w:sz="4" w:space="0"/>
              <w:bottom w:val="single" w:color="000000" w:sz="4" w:space="0"/>
              <w:right w:val="single" w:color="000000" w:sz="4" w:space="0"/>
            </w:tcBorders>
            <w:noWrap w:val="0"/>
            <w:vAlign w:val="center"/>
          </w:tcPr>
          <w:p w14:paraId="108554F6">
            <w:pPr>
              <w:bidi w:val="0"/>
              <w:jc w:val="center"/>
              <w:rPr>
                <w:rFonts w:hint="eastAsia"/>
                <w:lang w:eastAsia="zh-CN"/>
              </w:rPr>
            </w:pPr>
            <w:r>
              <w:rPr>
                <w:rFonts w:hint="eastAsia"/>
                <w:lang w:eastAsia="zh-CN"/>
              </w:rPr>
              <w:t>鲁山县鲁阳街道办事处</w:t>
            </w:r>
          </w:p>
          <w:p w14:paraId="55AB4DED">
            <w:pPr>
              <w:bidi w:val="0"/>
              <w:jc w:val="center"/>
              <w:rPr>
                <w:rFonts w:hint="default"/>
                <w:lang w:val="en-US" w:eastAsia="zh-CN"/>
              </w:rPr>
            </w:pPr>
            <w:r>
              <w:rPr>
                <w:rFonts w:hint="eastAsia"/>
                <w:lang w:eastAsia="zh-CN"/>
              </w:rPr>
              <w:t>鲁山县西关大街老旧街区改造项目勘察</w:t>
            </w:r>
          </w:p>
        </w:tc>
        <w:tc>
          <w:tcPr>
            <w:tcW w:w="1577" w:type="dxa"/>
            <w:tcBorders>
              <w:top w:val="single" w:color="000000" w:sz="4" w:space="0"/>
              <w:left w:val="single" w:color="000000" w:sz="4" w:space="0"/>
              <w:bottom w:val="single" w:color="000000" w:sz="4" w:space="0"/>
              <w:right w:val="single" w:color="000000" w:sz="4" w:space="0"/>
            </w:tcBorders>
            <w:noWrap w:val="0"/>
            <w:vAlign w:val="center"/>
          </w:tcPr>
          <w:p w14:paraId="02B1D9F4">
            <w:pPr>
              <w:bidi w:val="0"/>
              <w:jc w:val="center"/>
              <w:rPr>
                <w:rFonts w:hint="default"/>
                <w:lang w:val="en-US" w:eastAsia="zh-CN"/>
              </w:rPr>
            </w:pPr>
            <w:r>
              <w:rPr>
                <w:rFonts w:hint="eastAsia"/>
                <w:lang w:val="en-US" w:eastAsia="zh-CN"/>
              </w:rPr>
              <w:t>720000.00</w:t>
            </w:r>
          </w:p>
        </w:tc>
        <w:tc>
          <w:tcPr>
            <w:tcW w:w="1351" w:type="dxa"/>
            <w:tcBorders>
              <w:top w:val="single" w:color="000000" w:sz="4" w:space="0"/>
              <w:left w:val="single" w:color="000000" w:sz="4" w:space="0"/>
              <w:bottom w:val="single" w:color="000000" w:sz="4" w:space="0"/>
              <w:right w:val="single" w:color="auto" w:sz="4" w:space="0"/>
            </w:tcBorders>
            <w:noWrap w:val="0"/>
            <w:vAlign w:val="center"/>
          </w:tcPr>
          <w:p w14:paraId="0E8C54A0">
            <w:pPr>
              <w:bidi w:val="0"/>
              <w:jc w:val="center"/>
              <w:rPr>
                <w:rFonts w:hint="default"/>
                <w:lang w:val="en-US" w:eastAsia="zh-CN"/>
              </w:rPr>
            </w:pPr>
            <w:r>
              <w:rPr>
                <w:rFonts w:hint="eastAsia"/>
                <w:lang w:val="en-US" w:eastAsia="zh-CN"/>
              </w:rPr>
              <w:t>720000.00</w:t>
            </w:r>
          </w:p>
        </w:tc>
        <w:tc>
          <w:tcPr>
            <w:tcW w:w="1156" w:type="dxa"/>
            <w:tcBorders>
              <w:top w:val="single" w:color="000000" w:sz="4" w:space="0"/>
              <w:left w:val="single" w:color="auto" w:sz="4" w:space="0"/>
              <w:bottom w:val="single" w:color="000000" w:sz="4" w:space="0"/>
              <w:right w:val="single" w:color="auto" w:sz="4" w:space="0"/>
            </w:tcBorders>
            <w:noWrap w:val="0"/>
            <w:vAlign w:val="center"/>
          </w:tcPr>
          <w:p w14:paraId="15B13349">
            <w:pPr>
              <w:bidi w:val="0"/>
              <w:jc w:val="center"/>
              <w:rPr>
                <w:rFonts w:hint="eastAsia"/>
                <w:lang w:val="en-US" w:eastAsia="zh-CN"/>
              </w:rPr>
            </w:pPr>
            <w:r>
              <w:rPr>
                <w:rFonts w:hint="eastAsia"/>
                <w:lang w:val="en-US" w:eastAsia="zh-CN"/>
              </w:rPr>
              <w:t>是</w:t>
            </w:r>
          </w:p>
        </w:tc>
        <w:tc>
          <w:tcPr>
            <w:tcW w:w="1294" w:type="dxa"/>
            <w:tcBorders>
              <w:top w:val="single" w:color="000000" w:sz="4" w:space="0"/>
              <w:left w:val="single" w:color="auto" w:sz="4" w:space="0"/>
              <w:bottom w:val="single" w:color="000000" w:sz="4" w:space="0"/>
              <w:right w:val="single" w:color="000000" w:sz="4" w:space="0"/>
            </w:tcBorders>
            <w:noWrap w:val="0"/>
            <w:vAlign w:val="center"/>
          </w:tcPr>
          <w:p w14:paraId="61E64746">
            <w:pPr>
              <w:bidi w:val="0"/>
              <w:jc w:val="center"/>
              <w:rPr>
                <w:rFonts w:hint="default"/>
                <w:lang w:val="en-US" w:eastAsia="zh-CN"/>
              </w:rPr>
            </w:pPr>
            <w:r>
              <w:rPr>
                <w:rFonts w:hint="eastAsia"/>
                <w:lang w:val="en-US" w:eastAsia="zh-CN"/>
              </w:rPr>
              <w:t>720000.00</w:t>
            </w:r>
          </w:p>
        </w:tc>
      </w:tr>
    </w:tbl>
    <w:p w14:paraId="6FF226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5、采购需求（包括但不限于标的的名称、数量、简要技术需求或服务要求等）</w:t>
      </w:r>
    </w:p>
    <w:p w14:paraId="7D4DB0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5.1、项目地点：</w:t>
      </w:r>
      <w:r>
        <w:rPr>
          <w:rFonts w:hint="eastAsia" w:asciiTheme="minorEastAsia" w:hAnsiTheme="minorEastAsia" w:eastAsiaTheme="minorEastAsia" w:cstheme="minorEastAsia"/>
          <w:sz w:val="24"/>
          <w:szCs w:val="32"/>
          <w:lang w:val="en-US" w:eastAsia="zh-CN"/>
        </w:rPr>
        <w:t>平顶山市鲁山县境内</w:t>
      </w:r>
      <w:r>
        <w:rPr>
          <w:rFonts w:hint="eastAsia" w:asciiTheme="minorEastAsia" w:hAnsiTheme="minorEastAsia" w:eastAsiaTheme="minorEastAsia" w:cstheme="minorEastAsia"/>
          <w:sz w:val="24"/>
          <w:szCs w:val="32"/>
          <w:lang w:eastAsia="zh-CN"/>
        </w:rPr>
        <w:t>。</w:t>
      </w:r>
    </w:p>
    <w:p w14:paraId="52E1E1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lang w:eastAsia="zh-CN"/>
        </w:rPr>
        <w:t>5.2、建设内容：</w:t>
      </w:r>
      <w:r>
        <w:rPr>
          <w:rFonts w:hint="eastAsia" w:asciiTheme="minorEastAsia" w:hAnsiTheme="minorEastAsia" w:eastAsiaTheme="minorEastAsia" w:cstheme="minorEastAsia"/>
          <w:sz w:val="24"/>
          <w:szCs w:val="32"/>
          <w:lang w:val="en-US" w:eastAsia="zh-CN"/>
        </w:rPr>
        <w:t>为鲁山县西关大街老旧街区改造项目勘察服务。（详见招标文件）</w:t>
      </w:r>
    </w:p>
    <w:p w14:paraId="2273D1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5.3、招标范围：</w:t>
      </w:r>
      <w:r>
        <w:rPr>
          <w:rFonts w:hint="eastAsia" w:asciiTheme="minorEastAsia" w:hAnsiTheme="minorEastAsia" w:eastAsiaTheme="minorEastAsia" w:cstheme="minorEastAsia"/>
          <w:sz w:val="24"/>
          <w:szCs w:val="32"/>
          <w:lang w:val="en-US" w:eastAsia="zh-CN"/>
        </w:rPr>
        <w:t>包括但不仅限于鲁山县西关大街老旧街区改造项目施工图勘察，包括但不限于地质勘察，岩土工程勘察报告书编制，配合工程设计和施工验收等相关工作。</w:t>
      </w:r>
    </w:p>
    <w:p w14:paraId="3BC612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5.4、标段划分：共划分为</w:t>
      </w:r>
      <w:r>
        <w:rPr>
          <w:rFonts w:hint="eastAsia" w:asciiTheme="minorEastAsia" w:hAnsiTheme="minorEastAsia" w:eastAsiaTheme="minorEastAsia" w:cstheme="minorEastAsia"/>
          <w:sz w:val="24"/>
          <w:szCs w:val="32"/>
          <w:lang w:val="en-US" w:eastAsia="zh-CN"/>
        </w:rPr>
        <w:t>一</w:t>
      </w:r>
      <w:r>
        <w:rPr>
          <w:rFonts w:hint="eastAsia" w:asciiTheme="minorEastAsia" w:hAnsiTheme="minorEastAsia" w:eastAsiaTheme="minorEastAsia" w:cstheme="minorEastAsia"/>
          <w:sz w:val="24"/>
          <w:szCs w:val="32"/>
          <w:lang w:eastAsia="zh-CN"/>
        </w:rPr>
        <w:t>个标段。</w:t>
      </w:r>
    </w:p>
    <w:p w14:paraId="719B81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5.5、资金来源：财政资金，已落实。</w:t>
      </w:r>
    </w:p>
    <w:p w14:paraId="72F13D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5.6、质量要求:</w:t>
      </w:r>
      <w:r>
        <w:rPr>
          <w:rFonts w:hint="eastAsia" w:asciiTheme="minorEastAsia" w:hAnsiTheme="minorEastAsia" w:eastAsiaTheme="minorEastAsia" w:cstheme="minorEastAsia"/>
          <w:sz w:val="24"/>
          <w:szCs w:val="32"/>
          <w:lang w:val="en-US" w:eastAsia="zh-CN"/>
        </w:rPr>
        <w:t>合格标准，符合国家及行业相关标准、规范要求及采购人要求</w:t>
      </w:r>
      <w:r>
        <w:rPr>
          <w:rFonts w:hint="eastAsia" w:asciiTheme="minorEastAsia" w:hAnsiTheme="minorEastAsia" w:eastAsiaTheme="minorEastAsia" w:cstheme="minorEastAsia"/>
          <w:sz w:val="24"/>
          <w:szCs w:val="32"/>
          <w:lang w:eastAsia="zh-CN"/>
        </w:rPr>
        <w:t>。</w:t>
      </w:r>
    </w:p>
    <w:p w14:paraId="420EF7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5.7、</w:t>
      </w:r>
      <w:r>
        <w:rPr>
          <w:rFonts w:hint="eastAsia" w:asciiTheme="minorEastAsia" w:hAnsiTheme="minorEastAsia" w:eastAsiaTheme="minorEastAsia" w:cstheme="minorEastAsia"/>
          <w:sz w:val="24"/>
          <w:szCs w:val="32"/>
          <w:lang w:val="en-US" w:eastAsia="zh-CN"/>
        </w:rPr>
        <w:t>服务期限</w:t>
      </w:r>
      <w:r>
        <w:rPr>
          <w:rFonts w:hint="eastAsia" w:asciiTheme="minorEastAsia" w:hAnsiTheme="minorEastAsia" w:eastAsiaTheme="minorEastAsia" w:cstheme="minorEastAsia"/>
          <w:sz w:val="24"/>
          <w:szCs w:val="32"/>
          <w:lang w:eastAsia="zh-CN"/>
        </w:rPr>
        <w:t>：</w:t>
      </w:r>
      <w:r>
        <w:rPr>
          <w:rFonts w:hint="eastAsia" w:asciiTheme="minorEastAsia" w:hAnsiTheme="minorEastAsia" w:eastAsiaTheme="minorEastAsia" w:cstheme="minorEastAsia"/>
          <w:sz w:val="24"/>
          <w:szCs w:val="32"/>
          <w:lang w:val="en-US" w:eastAsia="zh-CN"/>
        </w:rPr>
        <w:t>30日历天</w:t>
      </w:r>
      <w:r>
        <w:rPr>
          <w:rFonts w:hint="eastAsia" w:asciiTheme="minorEastAsia" w:hAnsiTheme="minorEastAsia" w:eastAsiaTheme="minorEastAsia" w:cstheme="minorEastAsia"/>
          <w:sz w:val="24"/>
          <w:szCs w:val="32"/>
          <w:lang w:eastAsia="zh-CN"/>
        </w:rPr>
        <w:t>。</w:t>
      </w:r>
    </w:p>
    <w:p w14:paraId="6E9A65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6、合同履行期限：同工期</w:t>
      </w:r>
    </w:p>
    <w:p w14:paraId="3D20AF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7、本项目是否接受联合体投标：否</w:t>
      </w:r>
    </w:p>
    <w:p w14:paraId="6B2F2C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8、是否接受进口产品：否</w:t>
      </w:r>
    </w:p>
    <w:p w14:paraId="0A5D92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9、是否专门面向中小企业：是</w:t>
      </w:r>
    </w:p>
    <w:p w14:paraId="13FF100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32"/>
          <w:lang w:eastAsia="zh-CN"/>
        </w:rPr>
      </w:pPr>
      <w:r>
        <w:rPr>
          <w:rFonts w:hint="eastAsia" w:asciiTheme="minorEastAsia" w:hAnsiTheme="minorEastAsia" w:eastAsiaTheme="minorEastAsia" w:cstheme="minorEastAsia"/>
          <w:b/>
          <w:bCs/>
          <w:sz w:val="24"/>
          <w:szCs w:val="32"/>
          <w:lang w:eastAsia="zh-CN"/>
        </w:rPr>
        <w:t>二、申请人资格要求：</w:t>
      </w:r>
    </w:p>
    <w:p w14:paraId="34D584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1、满足《中华人民共和国政府采购法》第二十二条规定；</w:t>
      </w:r>
    </w:p>
    <w:p w14:paraId="32823F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2、落实政府采购政策需满足的资格要求：根据《政府采购促进中小企业发展管理办法》（财库[2020]46号）的规定，本项目专门面向中小企业采购，供应商应为中小微企业、监狱企业、残疾人福利性单位，须提供相关有效证明材料，中小企业划型标准请依据工信部联企业〔2011〕300号文件之规定。</w:t>
      </w:r>
    </w:p>
    <w:p w14:paraId="32D668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3、本项目的特定资格要求：</w:t>
      </w:r>
    </w:p>
    <w:p w14:paraId="318C5E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3.1、投标人须在中华人民共和国境内注册，具有独立法人资格和有效的营业执照（可提供扫描件或电子营业执照）；</w:t>
      </w:r>
    </w:p>
    <w:p w14:paraId="10E0F6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3.2、</w:t>
      </w:r>
      <w:r>
        <w:rPr>
          <w:rFonts w:hint="eastAsia" w:asciiTheme="minorEastAsia" w:hAnsiTheme="minorEastAsia" w:eastAsiaTheme="minorEastAsia" w:cstheme="minorEastAsia"/>
          <w:sz w:val="24"/>
          <w:szCs w:val="32"/>
          <w:lang w:val="en-US" w:eastAsia="zh-CN"/>
        </w:rPr>
        <w:t>投标人应具备建设行政主管部门颁发的工程勘察专业（岩土工程）乙级及以上资质或工程勘察综合资质</w:t>
      </w:r>
      <w:r>
        <w:rPr>
          <w:rFonts w:hint="eastAsia" w:asciiTheme="minorEastAsia" w:hAnsiTheme="minorEastAsia" w:eastAsiaTheme="minorEastAsia" w:cstheme="minorEastAsia"/>
          <w:sz w:val="24"/>
          <w:szCs w:val="32"/>
          <w:lang w:eastAsia="zh-CN"/>
        </w:rPr>
        <w:t>；</w:t>
      </w:r>
    </w:p>
    <w:p w14:paraId="12E7BB0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3.</w:t>
      </w:r>
      <w:r>
        <w:rPr>
          <w:rFonts w:hint="eastAsia" w:asciiTheme="minorEastAsia" w:hAnsiTheme="minorEastAsia" w:eastAsiaTheme="minorEastAsia" w:cstheme="minorEastAsia"/>
          <w:sz w:val="24"/>
          <w:szCs w:val="32"/>
          <w:lang w:val="en-US" w:eastAsia="zh-CN"/>
        </w:rPr>
        <w:t>3</w:t>
      </w:r>
      <w:r>
        <w:rPr>
          <w:rFonts w:hint="eastAsia" w:asciiTheme="minorEastAsia" w:hAnsiTheme="minorEastAsia" w:eastAsiaTheme="minorEastAsia" w:cstheme="minorEastAsia"/>
          <w:sz w:val="24"/>
          <w:szCs w:val="32"/>
          <w:lang w:eastAsia="zh-CN"/>
        </w:rPr>
        <w:t>、财务要求：具有良好的商业信誉和健全的财务会计制度（提供加盖单位公章的承诺书）、具有履行合同所必须的设备和专业技术能力（提供加盖单位公章的承诺书）、有依法缴纳税收和社会保障金的良好记录（提供加盖单位公章的承诺书）、参加政府采购活动前三年内，在经营活动中没有重大违法记录（提供加盖单位公章的承诺书）；</w:t>
      </w:r>
    </w:p>
    <w:p w14:paraId="2AEE60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3</w:t>
      </w:r>
      <w:r>
        <w:rPr>
          <w:rFonts w:hint="eastAsia" w:asciiTheme="minorEastAsia" w:hAnsiTheme="minorEastAsia" w:eastAsiaTheme="minorEastAsia" w:cstheme="minorEastAsia"/>
          <w:sz w:val="24"/>
          <w:szCs w:val="32"/>
          <w:lang w:val="en-US" w:eastAsia="zh-CN"/>
        </w:rPr>
        <w:t>.4</w:t>
      </w:r>
      <w:r>
        <w:rPr>
          <w:rFonts w:hint="eastAsia" w:asciiTheme="minorEastAsia" w:hAnsiTheme="minorEastAsia" w:eastAsiaTheme="minorEastAsia" w:cstheme="minorEastAsia"/>
          <w:sz w:val="24"/>
          <w:szCs w:val="32"/>
          <w:lang w:eastAsia="zh-CN"/>
        </w:rPr>
        <w:t>、信誉要求：投标人须未列入“信用中国”网站的“重大税收违法失信主体”、“中国执行信息公开网”的“失信被执行人”和“中国政府采购”网站的“政府采购严重违法失信行为记录名单”，查询结果页面截图（查询时间为自公告发布之日后），不得有不良记录（执行财库【2016】125号文）</w:t>
      </w:r>
    </w:p>
    <w:p w14:paraId="3BEE23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3.</w:t>
      </w:r>
      <w:r>
        <w:rPr>
          <w:rFonts w:hint="eastAsia" w:asciiTheme="minorEastAsia" w:hAnsiTheme="minorEastAsia" w:eastAsiaTheme="minorEastAsia" w:cstheme="minorEastAsia"/>
          <w:sz w:val="24"/>
          <w:szCs w:val="32"/>
          <w:lang w:val="en-US" w:eastAsia="zh-CN"/>
        </w:rPr>
        <w:t>5</w:t>
      </w:r>
      <w:r>
        <w:rPr>
          <w:rFonts w:hint="eastAsia" w:asciiTheme="minorEastAsia" w:hAnsiTheme="minorEastAsia" w:eastAsiaTheme="minorEastAsia" w:cstheme="minorEastAsia"/>
          <w:sz w:val="24"/>
          <w:szCs w:val="32"/>
          <w:lang w:eastAsia="zh-CN"/>
        </w:rPr>
        <w:t>、本项目不接受联合体投标，采用资格后审方式；</w:t>
      </w:r>
    </w:p>
    <w:p w14:paraId="4676AA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3.</w:t>
      </w:r>
      <w:r>
        <w:rPr>
          <w:rFonts w:hint="eastAsia" w:asciiTheme="minorEastAsia" w:hAnsiTheme="minorEastAsia" w:eastAsiaTheme="minorEastAsia" w:cstheme="minorEastAsia"/>
          <w:sz w:val="24"/>
          <w:szCs w:val="32"/>
          <w:lang w:val="en-US" w:eastAsia="zh-CN"/>
        </w:rPr>
        <w:t>6</w:t>
      </w:r>
      <w:r>
        <w:rPr>
          <w:rFonts w:hint="eastAsia" w:asciiTheme="minorEastAsia" w:hAnsiTheme="minorEastAsia" w:eastAsiaTheme="minorEastAsia" w:cstheme="minorEastAsia"/>
          <w:sz w:val="24"/>
          <w:szCs w:val="32"/>
          <w:lang w:eastAsia="zh-CN"/>
        </w:rPr>
        <w:t>、单位负责人为同一人或者存在直接控股、管理关系的不同供应商，不得同时参加本项目的投标；</w:t>
      </w:r>
    </w:p>
    <w:p w14:paraId="61367F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注：若投标单位为新成立企业，可提供注册后的相关证明材料。</w:t>
      </w:r>
    </w:p>
    <w:p w14:paraId="7877E33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32"/>
          <w:lang w:eastAsia="zh-CN"/>
        </w:rPr>
      </w:pPr>
      <w:r>
        <w:rPr>
          <w:rFonts w:hint="eastAsia" w:asciiTheme="minorEastAsia" w:hAnsiTheme="minorEastAsia" w:eastAsiaTheme="minorEastAsia" w:cstheme="minorEastAsia"/>
          <w:b/>
          <w:bCs/>
          <w:sz w:val="24"/>
          <w:szCs w:val="32"/>
          <w:lang w:eastAsia="zh-CN"/>
        </w:rPr>
        <w:t>三、获取采购文件</w:t>
      </w:r>
    </w:p>
    <w:p w14:paraId="3D23EC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1.时间：202</w:t>
      </w:r>
      <w:r>
        <w:rPr>
          <w:rFonts w:hint="eastAsia" w:asciiTheme="minorEastAsia" w:hAnsiTheme="minorEastAsia" w:eastAsiaTheme="minorEastAsia" w:cstheme="minorEastAsia"/>
          <w:sz w:val="24"/>
          <w:szCs w:val="32"/>
          <w:lang w:val="en-US" w:eastAsia="zh-CN"/>
        </w:rPr>
        <w:t>6年08</w:t>
      </w:r>
      <w:r>
        <w:rPr>
          <w:rFonts w:hint="eastAsia" w:asciiTheme="minorEastAsia" w:hAnsiTheme="minorEastAsia" w:eastAsiaTheme="minorEastAsia" w:cstheme="minorEastAsia"/>
          <w:sz w:val="24"/>
          <w:szCs w:val="32"/>
          <w:lang w:eastAsia="zh-CN"/>
        </w:rPr>
        <w:t>月</w:t>
      </w:r>
      <w:r>
        <w:rPr>
          <w:rFonts w:hint="eastAsia" w:asciiTheme="minorEastAsia" w:hAnsiTheme="minorEastAsia" w:eastAsiaTheme="minorEastAsia" w:cstheme="minorEastAsia"/>
          <w:sz w:val="24"/>
          <w:szCs w:val="32"/>
          <w:lang w:val="en-US" w:eastAsia="zh-CN"/>
        </w:rPr>
        <w:t>21</w:t>
      </w:r>
      <w:r>
        <w:rPr>
          <w:rFonts w:hint="eastAsia" w:asciiTheme="minorEastAsia" w:hAnsiTheme="minorEastAsia" w:eastAsiaTheme="minorEastAsia" w:cstheme="minorEastAsia"/>
          <w:sz w:val="24"/>
          <w:szCs w:val="32"/>
          <w:lang w:eastAsia="zh-CN"/>
        </w:rPr>
        <w:t>日至202</w:t>
      </w:r>
      <w:r>
        <w:rPr>
          <w:rFonts w:hint="eastAsia" w:asciiTheme="minorEastAsia" w:hAnsiTheme="minorEastAsia" w:eastAsiaTheme="minorEastAsia" w:cstheme="minorEastAsia"/>
          <w:sz w:val="24"/>
          <w:szCs w:val="32"/>
          <w:lang w:val="en-US" w:eastAsia="zh-CN"/>
        </w:rPr>
        <w:t>6</w:t>
      </w:r>
      <w:r>
        <w:rPr>
          <w:rFonts w:hint="eastAsia" w:asciiTheme="minorEastAsia" w:hAnsiTheme="minorEastAsia" w:eastAsiaTheme="minorEastAsia" w:cstheme="minorEastAsia"/>
          <w:sz w:val="24"/>
          <w:szCs w:val="32"/>
          <w:lang w:eastAsia="zh-CN"/>
        </w:rPr>
        <w:t>年</w:t>
      </w:r>
      <w:r>
        <w:rPr>
          <w:rFonts w:hint="eastAsia" w:asciiTheme="minorEastAsia" w:hAnsiTheme="minorEastAsia" w:eastAsiaTheme="minorEastAsia" w:cstheme="minorEastAsia"/>
          <w:sz w:val="24"/>
          <w:szCs w:val="32"/>
          <w:lang w:val="en-US" w:eastAsia="zh-CN"/>
        </w:rPr>
        <w:t>09</w:t>
      </w:r>
      <w:r>
        <w:rPr>
          <w:rFonts w:hint="eastAsia" w:asciiTheme="minorEastAsia" w:hAnsiTheme="minorEastAsia" w:eastAsiaTheme="minorEastAsia" w:cstheme="minorEastAsia"/>
          <w:sz w:val="24"/>
          <w:szCs w:val="32"/>
          <w:lang w:eastAsia="zh-CN"/>
        </w:rPr>
        <w:t>月</w:t>
      </w:r>
      <w:r>
        <w:rPr>
          <w:rFonts w:hint="eastAsia" w:asciiTheme="minorEastAsia" w:hAnsiTheme="minorEastAsia" w:eastAsiaTheme="minorEastAsia" w:cstheme="minorEastAsia"/>
          <w:sz w:val="24"/>
          <w:szCs w:val="32"/>
          <w:lang w:val="en-US" w:eastAsia="zh-CN"/>
        </w:rPr>
        <w:t>10</w:t>
      </w:r>
      <w:r>
        <w:rPr>
          <w:rFonts w:hint="eastAsia" w:asciiTheme="minorEastAsia" w:hAnsiTheme="minorEastAsia" w:eastAsiaTheme="minorEastAsia" w:cstheme="minorEastAsia"/>
          <w:sz w:val="24"/>
          <w:szCs w:val="32"/>
          <w:lang w:eastAsia="zh-CN"/>
        </w:rPr>
        <w:t>日，每天上午00:00至12:00，下午12:00至23:59（北京时间，法定节假日除外。）</w:t>
      </w:r>
    </w:p>
    <w:p w14:paraId="2AC5EE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2.地点：平顶山市公共资源交易中心电子交易系统；</w:t>
      </w:r>
    </w:p>
    <w:p w14:paraId="3A265B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3.方式：本项目只接受网上报名，不接受其它形式报名。潜在供应商报名需凭CA数字证书通过平顶山市公共资源交易中心网（网址：http://ggzy.pds.gov.cn）“供应商登录”入口进入交易系统进行报名。具体操作请查看以下链接：</w:t>
      </w:r>
    </w:p>
    <w:p w14:paraId="319BDB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链接地址：http://ggzy.pds.gov.cn/fwzn/11020.jhtml</w:t>
      </w:r>
    </w:p>
    <w:p w14:paraId="2712B1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办理CA证书：http://ggzy.pds.gov.cn/tzgg/10814.jhtml</w:t>
      </w:r>
    </w:p>
    <w:p w14:paraId="740EF9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4.售价：0元</w:t>
      </w:r>
    </w:p>
    <w:p w14:paraId="36B7A4E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32"/>
          <w:lang w:eastAsia="zh-CN"/>
        </w:rPr>
      </w:pPr>
      <w:r>
        <w:rPr>
          <w:rFonts w:hint="eastAsia" w:asciiTheme="minorEastAsia" w:hAnsiTheme="minorEastAsia" w:eastAsiaTheme="minorEastAsia" w:cstheme="minorEastAsia"/>
          <w:b/>
          <w:bCs/>
          <w:sz w:val="24"/>
          <w:szCs w:val="32"/>
          <w:lang w:eastAsia="zh-CN"/>
        </w:rPr>
        <w:t>四、投标文件提交</w:t>
      </w:r>
    </w:p>
    <w:p w14:paraId="6309BA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1.截止时间：2026年09月11日08时40分（北京时间）</w:t>
      </w:r>
    </w:p>
    <w:p w14:paraId="564E0C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2.地点：平顶山市公共资源交易中心网上开标大厅，未按要求上传加密电子投标文件的，采购人不予受理。</w:t>
      </w:r>
    </w:p>
    <w:p w14:paraId="5B78279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32"/>
          <w:lang w:eastAsia="zh-CN"/>
        </w:rPr>
      </w:pPr>
      <w:r>
        <w:rPr>
          <w:rFonts w:hint="eastAsia" w:asciiTheme="minorEastAsia" w:hAnsiTheme="minorEastAsia" w:eastAsiaTheme="minorEastAsia" w:cstheme="minorEastAsia"/>
          <w:b/>
          <w:bCs/>
          <w:sz w:val="24"/>
          <w:szCs w:val="32"/>
          <w:lang w:eastAsia="zh-CN"/>
        </w:rPr>
        <w:t>五、投标文件开启</w:t>
      </w:r>
    </w:p>
    <w:p w14:paraId="559511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1.时间：2026年09月11日08时40分（北京时间）</w:t>
      </w:r>
    </w:p>
    <w:p w14:paraId="1515FA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2.地点：平顶山市公共资源交易中心网上开标大厅。</w:t>
      </w:r>
    </w:p>
    <w:p w14:paraId="6BC9313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32"/>
          <w:lang w:eastAsia="zh-CN"/>
        </w:rPr>
      </w:pPr>
      <w:r>
        <w:rPr>
          <w:rFonts w:hint="eastAsia" w:asciiTheme="minorEastAsia" w:hAnsiTheme="minorEastAsia" w:eastAsiaTheme="minorEastAsia" w:cstheme="minorEastAsia"/>
          <w:b/>
          <w:bCs/>
          <w:sz w:val="24"/>
          <w:szCs w:val="32"/>
          <w:lang w:eastAsia="zh-CN"/>
        </w:rPr>
        <w:t>六、发布公告的媒介及招标公告期限</w:t>
      </w:r>
    </w:p>
    <w:p w14:paraId="59E7E8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本次招标公告在《河南省政府采购网》、《平顶山市政府采购网》、《鲁山县政府采购网》、《全国公共资源交易平台（河南省·平顶山市）》上发布，招标公告期限为</w:t>
      </w:r>
      <w:r>
        <w:rPr>
          <w:rFonts w:hint="eastAsia" w:asciiTheme="minorEastAsia" w:hAnsiTheme="minorEastAsia" w:eastAsiaTheme="minorEastAsia" w:cstheme="minorEastAsia"/>
          <w:sz w:val="24"/>
          <w:szCs w:val="32"/>
          <w:lang w:val="en-US" w:eastAsia="zh-CN"/>
        </w:rPr>
        <w:t>五</w:t>
      </w:r>
      <w:r>
        <w:rPr>
          <w:rFonts w:hint="eastAsia" w:asciiTheme="minorEastAsia" w:hAnsiTheme="minorEastAsia" w:eastAsiaTheme="minorEastAsia" w:cstheme="minorEastAsia"/>
          <w:sz w:val="24"/>
          <w:szCs w:val="32"/>
          <w:lang w:eastAsia="zh-CN"/>
        </w:rPr>
        <w:t>个工作日。</w:t>
      </w:r>
    </w:p>
    <w:p w14:paraId="57397A2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32"/>
          <w:lang w:eastAsia="zh-CN"/>
        </w:rPr>
      </w:pPr>
      <w:r>
        <w:rPr>
          <w:rFonts w:hint="eastAsia" w:asciiTheme="minorEastAsia" w:hAnsiTheme="minorEastAsia" w:eastAsiaTheme="minorEastAsia" w:cstheme="minorEastAsia"/>
          <w:b/>
          <w:bCs/>
          <w:sz w:val="24"/>
          <w:szCs w:val="32"/>
          <w:lang w:eastAsia="zh-CN"/>
        </w:rPr>
        <w:t>七、其他补充事宜</w:t>
      </w:r>
    </w:p>
    <w:p w14:paraId="42FF83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1、全面实行在线“不见面”开标，投标人远程在线解密投标文件，不再到开标现场，投标人开标前应仔细阅读《“不见面”开标注意事项及操作流程》、《关于“不见面开标系统”升级的通知》及交易中心相关通知。</w:t>
      </w:r>
    </w:p>
    <w:p w14:paraId="2B3D42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2、各投标人如有异议可通过平顶山市公共资源交易平台向采购人（代理机构）、行政监督部门在线提出质疑（异议）、投诉。</w:t>
      </w:r>
    </w:p>
    <w:p w14:paraId="5FC92A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3、该公告已同步至“平顶山市公共资源交易中心微信公众号”，可通过公众号中的服务栏目进行查阅。</w:t>
      </w:r>
    </w:p>
    <w:p w14:paraId="5C4EBF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4、本项目监督单位</w:t>
      </w:r>
    </w:p>
    <w:p w14:paraId="37D369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监督单位：鲁山县财政局</w:t>
      </w:r>
    </w:p>
    <w:p w14:paraId="76F2F3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社会信用代码：11410423005487188A</w:t>
      </w:r>
    </w:p>
    <w:p w14:paraId="33F8F5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监管部门联系方式：0375-5057526</w:t>
      </w:r>
    </w:p>
    <w:p w14:paraId="2155275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32"/>
          <w:lang w:eastAsia="zh-CN"/>
        </w:rPr>
      </w:pPr>
      <w:r>
        <w:rPr>
          <w:rFonts w:hint="eastAsia" w:asciiTheme="minorEastAsia" w:hAnsiTheme="minorEastAsia" w:eastAsiaTheme="minorEastAsia" w:cstheme="minorEastAsia"/>
          <w:b/>
          <w:bCs/>
          <w:sz w:val="24"/>
          <w:szCs w:val="32"/>
          <w:lang w:eastAsia="zh-CN"/>
        </w:rPr>
        <w:t>八、凡对本次招标提出询问，请按照以下方式联系</w:t>
      </w:r>
    </w:p>
    <w:p w14:paraId="300A51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1.采购人信息</w:t>
      </w:r>
    </w:p>
    <w:p w14:paraId="2A1083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名称：鲁山县鲁阳街道办事处</w:t>
      </w:r>
    </w:p>
    <w:p w14:paraId="075A53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地址：</w:t>
      </w:r>
      <w:r>
        <w:rPr>
          <w:rFonts w:hint="eastAsia" w:asciiTheme="minorEastAsia" w:hAnsiTheme="minorEastAsia" w:eastAsiaTheme="minorEastAsia" w:cstheme="minorEastAsia"/>
          <w:sz w:val="24"/>
          <w:szCs w:val="32"/>
          <w:lang w:val="en-US" w:eastAsia="zh-CN"/>
        </w:rPr>
        <w:t>河南省平顶山市鲁山县鲁阳街道办事处</w:t>
      </w:r>
    </w:p>
    <w:p w14:paraId="4F6826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联系人：</w:t>
      </w:r>
      <w:r>
        <w:rPr>
          <w:rFonts w:hint="eastAsia" w:asciiTheme="minorEastAsia" w:hAnsiTheme="minorEastAsia" w:eastAsiaTheme="minorEastAsia" w:cstheme="minorEastAsia"/>
          <w:sz w:val="24"/>
          <w:szCs w:val="32"/>
        </w:rPr>
        <w:t>康</w:t>
      </w:r>
      <w:r>
        <w:rPr>
          <w:rFonts w:hint="eastAsia" w:asciiTheme="minorEastAsia" w:hAnsiTheme="minorEastAsia" w:eastAsiaTheme="minorEastAsia" w:cstheme="minorEastAsia"/>
          <w:sz w:val="24"/>
          <w:szCs w:val="32"/>
          <w:lang w:val="en-US" w:eastAsia="zh-CN"/>
        </w:rPr>
        <w:t>先生</w:t>
      </w:r>
    </w:p>
    <w:p w14:paraId="76CA12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val="en-US" w:eastAsia="zh-CN"/>
        </w:rPr>
      </w:pPr>
      <w:r>
        <w:rPr>
          <w:rFonts w:hint="eastAsia" w:asciiTheme="minorEastAsia" w:hAnsiTheme="minorEastAsia" w:eastAsiaTheme="minorEastAsia" w:cstheme="minorEastAsia"/>
          <w:sz w:val="24"/>
          <w:szCs w:val="32"/>
          <w:lang w:eastAsia="zh-CN"/>
        </w:rPr>
        <w:t>联系方式：</w:t>
      </w:r>
      <w:r>
        <w:rPr>
          <w:rFonts w:hint="eastAsia" w:asciiTheme="minorEastAsia" w:hAnsiTheme="minorEastAsia" w:eastAsiaTheme="minorEastAsia" w:cstheme="minorEastAsia"/>
          <w:sz w:val="24"/>
          <w:szCs w:val="32"/>
          <w:lang w:val="en-US" w:eastAsia="zh-CN"/>
        </w:rPr>
        <w:t>15738161118</w:t>
      </w:r>
    </w:p>
    <w:p w14:paraId="554350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2.采购代理机构信息</w:t>
      </w:r>
    </w:p>
    <w:p w14:paraId="3B0B4C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名称：河南智升工程咨询有限公司</w:t>
      </w:r>
    </w:p>
    <w:p w14:paraId="0715A9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地址：河南省郑州市高新技术产业开发区莲花街338号1号楼7层70号</w:t>
      </w:r>
    </w:p>
    <w:p w14:paraId="7D2B45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联系人：王女士</w:t>
      </w:r>
    </w:p>
    <w:p w14:paraId="195ED3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联系方式：13017552170</w:t>
      </w:r>
    </w:p>
    <w:p w14:paraId="60FAD4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3.项目联系方式</w:t>
      </w:r>
    </w:p>
    <w:p w14:paraId="00E0C9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lang w:eastAsia="zh-CN"/>
        </w:rPr>
      </w:pPr>
      <w:r>
        <w:rPr>
          <w:rFonts w:hint="eastAsia" w:asciiTheme="minorEastAsia" w:hAnsiTheme="minorEastAsia" w:eastAsiaTheme="minorEastAsia" w:cstheme="minorEastAsia"/>
          <w:sz w:val="24"/>
          <w:szCs w:val="32"/>
          <w:lang w:eastAsia="zh-CN"/>
        </w:rPr>
        <w:t>项目联系人：王女士</w:t>
      </w:r>
    </w:p>
    <w:p w14:paraId="31B483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lang w:eastAsia="zh-CN"/>
        </w:rPr>
        <w:t>联系方式：13017552170</w:t>
      </w:r>
    </w:p>
    <w:p w14:paraId="703F6FF5">
      <w:pPr>
        <w:spacing w:line="360" w:lineRule="exact"/>
        <w:ind w:firstLine="420" w:firstLineChars="200"/>
        <w:rPr>
          <w:rFonts w:hint="eastAsia"/>
          <w:bCs/>
          <w:color w:val="000000"/>
        </w:rPr>
        <w:sectPr>
          <w:footerReference r:id="rId7" w:type="first"/>
          <w:headerReference r:id="rId4" w:type="default"/>
          <w:footerReference r:id="rId5" w:type="default"/>
          <w:footerReference r:id="rId6" w:type="even"/>
          <w:pgSz w:w="11907" w:h="16840"/>
          <w:pgMar w:top="1797" w:right="1440" w:bottom="1797" w:left="1440" w:header="851" w:footer="851" w:gutter="0"/>
          <w:pgNumType w:start="3"/>
          <w:cols w:space="720" w:num="1"/>
          <w:docGrid w:linePitch="600" w:charSpace="0"/>
        </w:sectPr>
      </w:pPr>
      <w:r>
        <w:rPr>
          <w:rFonts w:hint="eastAsia"/>
          <w:bCs/>
          <w:color w:val="000000"/>
        </w:rPr>
        <w:br w:type="page"/>
      </w:r>
      <w:bookmarkStart w:id="13" w:name="_Toc16992"/>
      <w:bookmarkStart w:id="14" w:name="_Toc6931_WPSOffice_Level1"/>
      <w:bookmarkStart w:id="15" w:name="_Toc10907_WPSOffice_Level1"/>
    </w:p>
    <w:p w14:paraId="6A872A75">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center"/>
        <w:textAlignment w:val="auto"/>
        <w:rPr>
          <w:b/>
          <w:bCs/>
          <w:sz w:val="32"/>
          <w:szCs w:val="40"/>
        </w:rPr>
      </w:pPr>
      <w:r>
        <w:rPr>
          <w:b/>
          <w:bCs/>
          <w:sz w:val="32"/>
          <w:szCs w:val="40"/>
        </w:rPr>
        <w:t>温馨提示：</w:t>
      </w:r>
    </w:p>
    <w:p w14:paraId="56F9DE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注：本项目实行在线“不见面”开标，投标人远程在线解密投标文件，不再到开标现场，投标人开标前应仔细阅读《“不见面”开标注意事项及操作流程》，本项目相关要求与《“不见面”开标注意事项及操作流程》不一致之处以《“不见面”开标注意事项及操作流程》为准。</w:t>
      </w:r>
    </w:p>
    <w:p w14:paraId="2184B0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本项目为全流程电子化交易项目，请认真阅读采购文件，并注意以下事项。</w:t>
      </w:r>
    </w:p>
    <w:p w14:paraId="45ED64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1.供应商应按招标文件规定编制、提交电子投标文件。</w:t>
      </w:r>
    </w:p>
    <w:p w14:paraId="543F22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2.本项目供应商不用再提供纸质投标文件。</w:t>
      </w:r>
    </w:p>
    <w:p w14:paraId="2A3CB0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3.电子文件下载、制作、提交期间和开标（电子投标文件的解密）环节，供应商须使用CA数字证书（证书须在有效期内）。</w:t>
      </w:r>
    </w:p>
    <w:p w14:paraId="07D060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4.电子投标文件的制作</w:t>
      </w:r>
    </w:p>
    <w:p w14:paraId="59DDF9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4.1供应商登录《全国公共资源交易平台(河南省▪平顶山市)》公共资源交易系统（http://221.176.192.166:8080/ggzy/）下载“平顶山投标文件制作系统”，按招标文件要求制作电子投标文件。</w:t>
      </w:r>
    </w:p>
    <w:p w14:paraId="3715FF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电子投标文件的制作，参考《全国公共资源交易平台(河南省▪平顶山市)》公共资源交易系统——组件下载——交易系统操作手册（投标人、供应商）。</w:t>
      </w:r>
    </w:p>
    <w:p w14:paraId="70EFAF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4.2供应商须将招标文件要求的资质、业绩、荣誉及相关人员证明材料等资料原件扫描件（或图片）制作到所提交的电子投标文件中。</w:t>
      </w:r>
    </w:p>
    <w:p w14:paraId="2A0881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4.3允许供应商对同一项目多个标段进行投标的，应分别下载所投标段的招标文件，按标段制作电子投标文件，并按招标文件要求在相应位置加盖供应商电子印章和法人电子印章。</w:t>
      </w:r>
    </w:p>
    <w:p w14:paraId="14CC38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一个标段对应生成一个文件夹（xxxx项目xx标段）,其中包含2个文件和1个文件夹。后缀名为“.file”的文件用于电子投标使用，名称为“备份”的文件夹使用电子介质存储，供开标现场备用。</w:t>
      </w:r>
    </w:p>
    <w:p w14:paraId="23D3ED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5.加密电子投标文件的提交</w:t>
      </w:r>
    </w:p>
    <w:p w14:paraId="4DBFC2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5.1加密电子投标文件应在招标文件规定的投标截止时间（开标时间）之前成功提交至《全国公共资源交易平台(河南省▪平顶山市)》公共资源交易系统（http://221.176.192.166:8080/ggzy/）。</w:t>
      </w:r>
    </w:p>
    <w:p w14:paraId="752548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供应商应充分考虑并预留技术处理和上传数据所需时间。</w:t>
      </w:r>
    </w:p>
    <w:p w14:paraId="434A63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lang w:val="en-US" w:eastAsia="zh-CN"/>
        </w:rPr>
        <w:t>6.</w:t>
      </w:r>
      <w:r>
        <w:rPr>
          <w:rFonts w:hint="eastAsia" w:asciiTheme="minorEastAsia" w:hAnsiTheme="minorEastAsia" w:eastAsiaTheme="minorEastAsia" w:cstheme="minorEastAsia"/>
          <w:sz w:val="24"/>
          <w:szCs w:val="32"/>
        </w:rPr>
        <w:t>供应商应在招标文件规定的投标截止时间（开标时间）之前在《河南省政府采购网》上完成账号注册。</w:t>
      </w:r>
    </w:p>
    <w:p w14:paraId="23C22723">
      <w:pPr>
        <w:pStyle w:val="31"/>
        <w:widowControl w:val="0"/>
        <w:numPr>
          <w:ilvl w:val="0"/>
          <w:numId w:val="0"/>
        </w:numPr>
        <w:shd w:val="clear" w:color="auto" w:fill="FFFFFF"/>
        <w:spacing w:before="0" w:beforeAutospacing="0" w:after="0" w:afterAutospacing="0" w:line="460" w:lineRule="exact"/>
        <w:jc w:val="left"/>
        <w:rPr>
          <w:rFonts w:hint="eastAsia" w:ascii="宋体" w:hAnsi="宋体"/>
          <w:b/>
          <w:bCs/>
          <w:szCs w:val="21"/>
        </w:rPr>
      </w:pPr>
    </w:p>
    <w:p w14:paraId="0766B0F6">
      <w:pPr>
        <w:pStyle w:val="31"/>
        <w:widowControl w:val="0"/>
        <w:numPr>
          <w:ilvl w:val="0"/>
          <w:numId w:val="0"/>
        </w:numPr>
        <w:shd w:val="clear" w:color="auto" w:fill="FFFFFF"/>
        <w:spacing w:before="0" w:beforeAutospacing="0" w:after="0" w:afterAutospacing="0" w:line="460" w:lineRule="exact"/>
        <w:jc w:val="left"/>
        <w:rPr>
          <w:rFonts w:hint="eastAsia" w:ascii="宋体" w:hAnsi="宋体"/>
          <w:b/>
          <w:bCs/>
          <w:szCs w:val="21"/>
        </w:rPr>
        <w:sectPr>
          <w:pgSz w:w="11907" w:h="16840"/>
          <w:pgMar w:top="1797" w:right="1440" w:bottom="1797" w:left="1440" w:header="851" w:footer="851" w:gutter="0"/>
          <w:pgNumType w:start="3"/>
          <w:cols w:space="720" w:num="1"/>
          <w:docGrid w:linePitch="600" w:charSpace="0"/>
        </w:sectPr>
      </w:pPr>
    </w:p>
    <w:p w14:paraId="5F23DB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sz w:val="32"/>
          <w:szCs w:val="40"/>
        </w:rPr>
      </w:pPr>
      <w:r>
        <w:rPr>
          <w:rFonts w:hint="eastAsia"/>
          <w:b/>
          <w:bCs/>
          <w:sz w:val="32"/>
          <w:szCs w:val="40"/>
        </w:rPr>
        <w:t>第二章 投标人须知</w:t>
      </w:r>
      <w:bookmarkEnd w:id="8"/>
      <w:bookmarkEnd w:id="9"/>
      <w:bookmarkEnd w:id="10"/>
      <w:bookmarkEnd w:id="11"/>
      <w:bookmarkEnd w:id="12"/>
      <w:bookmarkEnd w:id="13"/>
      <w:bookmarkEnd w:id="14"/>
      <w:bookmarkEnd w:id="15"/>
    </w:p>
    <w:p w14:paraId="69B0F0C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sz w:val="32"/>
          <w:szCs w:val="40"/>
        </w:rPr>
      </w:pPr>
      <w:bookmarkStart w:id="16" w:name="_Toc247527552"/>
      <w:bookmarkStart w:id="17" w:name="_Toc152045528"/>
      <w:bookmarkStart w:id="18" w:name="_Toc247513951"/>
      <w:bookmarkStart w:id="19" w:name="_Toc152042304"/>
      <w:bookmarkStart w:id="20" w:name="_Toc144974496"/>
      <w:bookmarkStart w:id="21" w:name="_Toc16529"/>
      <w:r>
        <w:rPr>
          <w:rFonts w:hint="eastAsia"/>
          <w:b/>
          <w:bCs/>
          <w:sz w:val="32"/>
          <w:szCs w:val="40"/>
        </w:rPr>
        <w:t>投标人须知前附表</w:t>
      </w:r>
      <w:bookmarkEnd w:id="16"/>
      <w:bookmarkEnd w:id="17"/>
      <w:bookmarkEnd w:id="18"/>
      <w:bookmarkEnd w:id="19"/>
      <w:bookmarkEnd w:id="20"/>
      <w:bookmarkEnd w:id="21"/>
    </w:p>
    <w:tbl>
      <w:tblPr>
        <w:tblStyle w:val="36"/>
        <w:tblW w:w="98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0"/>
        <w:gridCol w:w="2790"/>
        <w:gridCol w:w="6064"/>
      </w:tblGrid>
      <w:tr w14:paraId="6ACB19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49374419">
            <w:pPr>
              <w:spacing w:line="440" w:lineRule="exact"/>
              <w:jc w:val="center"/>
              <w:rPr>
                <w:rFonts w:asciiTheme="minorEastAsia" w:hAnsiTheme="minorEastAsia" w:eastAsiaTheme="minorEastAsia"/>
                <w:b/>
                <w:color w:val="auto"/>
                <w:szCs w:val="21"/>
              </w:rPr>
            </w:pPr>
            <w:bookmarkStart w:id="22" w:name="_Toc152042305"/>
            <w:bookmarkStart w:id="23" w:name="_Toc247527553"/>
            <w:bookmarkStart w:id="24" w:name="_Toc152045529"/>
            <w:bookmarkStart w:id="25" w:name="_Toc247513952"/>
            <w:bookmarkStart w:id="26" w:name="_Toc144974497"/>
            <w:r>
              <w:rPr>
                <w:rFonts w:asciiTheme="minorEastAsia" w:hAnsiTheme="minorEastAsia" w:eastAsiaTheme="minorEastAsia"/>
                <w:b/>
                <w:color w:val="auto"/>
                <w:szCs w:val="21"/>
              </w:rPr>
              <w:t>条款号</w:t>
            </w:r>
          </w:p>
        </w:tc>
        <w:tc>
          <w:tcPr>
            <w:tcW w:w="2790" w:type="dxa"/>
            <w:vAlign w:val="center"/>
          </w:tcPr>
          <w:p w14:paraId="716204D4">
            <w:pPr>
              <w:spacing w:line="440" w:lineRule="exact"/>
              <w:jc w:val="center"/>
              <w:rPr>
                <w:rFonts w:asciiTheme="minorEastAsia" w:hAnsiTheme="minorEastAsia" w:eastAsiaTheme="minorEastAsia"/>
                <w:b/>
                <w:color w:val="auto"/>
                <w:szCs w:val="21"/>
              </w:rPr>
            </w:pPr>
            <w:r>
              <w:rPr>
                <w:rFonts w:asciiTheme="minorEastAsia" w:hAnsiTheme="minorEastAsia" w:eastAsiaTheme="minorEastAsia"/>
                <w:b/>
                <w:color w:val="auto"/>
                <w:szCs w:val="21"/>
              </w:rPr>
              <w:t>条  款  名  称</w:t>
            </w:r>
          </w:p>
        </w:tc>
        <w:tc>
          <w:tcPr>
            <w:tcW w:w="6064" w:type="dxa"/>
            <w:vAlign w:val="center"/>
          </w:tcPr>
          <w:p w14:paraId="4CC07508">
            <w:pPr>
              <w:spacing w:line="440" w:lineRule="exact"/>
              <w:jc w:val="center"/>
              <w:rPr>
                <w:rFonts w:asciiTheme="minorEastAsia" w:hAnsiTheme="minorEastAsia" w:eastAsiaTheme="minorEastAsia"/>
                <w:b/>
                <w:color w:val="auto"/>
                <w:szCs w:val="21"/>
              </w:rPr>
            </w:pPr>
            <w:r>
              <w:rPr>
                <w:rFonts w:asciiTheme="minorEastAsia" w:hAnsiTheme="minorEastAsia" w:eastAsiaTheme="minorEastAsia"/>
                <w:b/>
                <w:color w:val="auto"/>
                <w:szCs w:val="21"/>
              </w:rPr>
              <w:t>编  列  内  容</w:t>
            </w:r>
          </w:p>
        </w:tc>
      </w:tr>
      <w:tr w14:paraId="456E61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5F893FF9">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1.1.2</w:t>
            </w:r>
          </w:p>
        </w:tc>
        <w:tc>
          <w:tcPr>
            <w:tcW w:w="2790" w:type="dxa"/>
            <w:vAlign w:val="center"/>
          </w:tcPr>
          <w:p w14:paraId="4445E482">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招标人</w:t>
            </w:r>
          </w:p>
        </w:tc>
        <w:tc>
          <w:tcPr>
            <w:tcW w:w="6064" w:type="dxa"/>
            <w:vAlign w:val="center"/>
          </w:tcPr>
          <w:p w14:paraId="239963C0">
            <w:pPr>
              <w:spacing w:line="360" w:lineRule="auto"/>
              <w:rPr>
                <w:rFonts w:hint="eastAsia" w:ascii="宋体" w:hAnsi="宋体" w:eastAsiaTheme="minorEastAsia"/>
                <w:color w:val="auto"/>
                <w:lang w:eastAsia="zh-CN"/>
              </w:rPr>
            </w:pPr>
            <w:r>
              <w:rPr>
                <w:rFonts w:hint="eastAsia" w:ascii="宋体" w:hAnsi="宋体" w:eastAsiaTheme="minorEastAsia"/>
                <w:color w:val="auto"/>
                <w:lang w:eastAsia="zh-CN"/>
              </w:rPr>
              <w:t>名称：鲁山县鲁阳街道办事处</w:t>
            </w:r>
          </w:p>
          <w:p w14:paraId="793E4343">
            <w:pPr>
              <w:spacing w:line="360" w:lineRule="auto"/>
              <w:rPr>
                <w:rFonts w:hint="eastAsia" w:ascii="宋体" w:hAnsi="宋体" w:eastAsiaTheme="minorEastAsia"/>
                <w:color w:val="auto"/>
                <w:lang w:val="en-US" w:eastAsia="zh-CN"/>
              </w:rPr>
            </w:pPr>
            <w:r>
              <w:rPr>
                <w:rFonts w:hint="eastAsia" w:ascii="宋体" w:hAnsi="宋体" w:eastAsiaTheme="minorEastAsia"/>
                <w:color w:val="auto"/>
                <w:lang w:eastAsia="zh-CN"/>
              </w:rPr>
              <w:t>地址：河南省</w:t>
            </w:r>
            <w:r>
              <w:rPr>
                <w:rFonts w:hint="eastAsia" w:ascii="宋体" w:hAnsi="宋体" w:eastAsiaTheme="minorEastAsia"/>
                <w:color w:val="auto"/>
                <w:lang w:val="en-US" w:eastAsia="zh-CN"/>
              </w:rPr>
              <w:t>平顶山市</w:t>
            </w:r>
            <w:r>
              <w:rPr>
                <w:rFonts w:hint="eastAsia" w:ascii="宋体" w:hAnsi="宋体" w:eastAsiaTheme="minorEastAsia"/>
                <w:color w:val="auto"/>
                <w:lang w:eastAsia="zh-CN"/>
              </w:rPr>
              <w:t>鲁山县鲁阳街道办事处</w:t>
            </w:r>
          </w:p>
          <w:p w14:paraId="1818F2A1">
            <w:pPr>
              <w:spacing w:line="360" w:lineRule="auto"/>
              <w:rPr>
                <w:rFonts w:hint="default" w:ascii="宋体" w:hAnsi="宋体" w:eastAsiaTheme="minorEastAsia"/>
                <w:color w:val="auto"/>
                <w:lang w:val="en-US" w:eastAsia="zh-CN"/>
              </w:rPr>
            </w:pPr>
            <w:r>
              <w:rPr>
                <w:rFonts w:hint="eastAsia" w:ascii="宋体" w:hAnsi="宋体" w:eastAsiaTheme="minorEastAsia"/>
                <w:color w:val="auto"/>
                <w:lang w:eastAsia="zh-CN"/>
              </w:rPr>
              <w:t>联系人：</w:t>
            </w:r>
            <w:r>
              <w:rPr>
                <w:rFonts w:hint="eastAsia" w:ascii="宋体" w:hAnsi="宋体" w:eastAsiaTheme="minorEastAsia"/>
                <w:color w:val="auto"/>
                <w:lang w:val="en-US" w:eastAsia="zh-CN"/>
              </w:rPr>
              <w:t>康先生</w:t>
            </w:r>
          </w:p>
          <w:p w14:paraId="75D73CA4">
            <w:pPr>
              <w:spacing w:line="360" w:lineRule="auto"/>
              <w:rPr>
                <w:rFonts w:hint="eastAsia" w:ascii="宋体" w:hAnsi="宋体" w:eastAsiaTheme="minorEastAsia"/>
                <w:color w:val="auto"/>
                <w:lang w:eastAsia="zh-CN"/>
              </w:rPr>
            </w:pPr>
            <w:r>
              <w:rPr>
                <w:rFonts w:hint="eastAsia" w:ascii="宋体" w:hAnsi="宋体" w:eastAsiaTheme="minorEastAsia"/>
                <w:color w:val="auto"/>
                <w:lang w:eastAsia="zh-CN"/>
              </w:rPr>
              <w:t>联系方式：</w:t>
            </w:r>
            <w:r>
              <w:rPr>
                <w:rFonts w:hint="eastAsia" w:ascii="宋体" w:hAnsi="宋体" w:cs="宋体"/>
                <w:color w:val="auto"/>
                <w:sz w:val="24"/>
                <w:lang w:val="en-US" w:eastAsia="zh-CN"/>
              </w:rPr>
              <w:t>15738161118</w:t>
            </w:r>
          </w:p>
        </w:tc>
      </w:tr>
      <w:tr w14:paraId="51CF58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00" w:type="dxa"/>
            <w:vAlign w:val="center"/>
          </w:tcPr>
          <w:p w14:paraId="4FC3D68E">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1.1.3</w:t>
            </w:r>
          </w:p>
        </w:tc>
        <w:tc>
          <w:tcPr>
            <w:tcW w:w="2790" w:type="dxa"/>
            <w:vAlign w:val="center"/>
          </w:tcPr>
          <w:p w14:paraId="78D9B088">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招标代理机构</w:t>
            </w:r>
          </w:p>
        </w:tc>
        <w:tc>
          <w:tcPr>
            <w:tcW w:w="6064" w:type="dxa"/>
            <w:vAlign w:val="center"/>
          </w:tcPr>
          <w:p w14:paraId="529E935E">
            <w:pPr>
              <w:spacing w:line="360" w:lineRule="auto"/>
              <w:rPr>
                <w:rFonts w:hint="eastAsia" w:ascii="宋体" w:hAnsi="宋体" w:eastAsiaTheme="minorEastAsia"/>
                <w:color w:val="auto"/>
                <w:lang w:eastAsia="zh-CN"/>
              </w:rPr>
            </w:pPr>
            <w:r>
              <w:rPr>
                <w:rFonts w:hint="eastAsia" w:ascii="宋体" w:hAnsi="宋体" w:eastAsiaTheme="minorEastAsia"/>
                <w:color w:val="auto"/>
                <w:lang w:eastAsia="zh-CN"/>
              </w:rPr>
              <w:t>名称：河南智升工程咨询有限公司</w:t>
            </w:r>
          </w:p>
          <w:p w14:paraId="731A6E66">
            <w:pPr>
              <w:spacing w:line="360" w:lineRule="auto"/>
              <w:rPr>
                <w:rFonts w:hint="eastAsia" w:ascii="宋体" w:hAnsi="宋体" w:eastAsiaTheme="minorEastAsia"/>
                <w:color w:val="auto"/>
                <w:lang w:eastAsia="zh-CN"/>
              </w:rPr>
            </w:pPr>
            <w:r>
              <w:rPr>
                <w:rFonts w:hint="eastAsia" w:ascii="宋体" w:hAnsi="宋体" w:eastAsiaTheme="minorEastAsia"/>
                <w:color w:val="auto"/>
                <w:lang w:eastAsia="zh-CN"/>
              </w:rPr>
              <w:t>地址：河南省郑州市高新技术产业开发区莲花街338号1号楼7层70号</w:t>
            </w:r>
          </w:p>
          <w:p w14:paraId="21D3986A">
            <w:pPr>
              <w:spacing w:line="360" w:lineRule="auto"/>
              <w:rPr>
                <w:rFonts w:hint="eastAsia" w:ascii="宋体" w:hAnsi="宋体" w:eastAsiaTheme="minorEastAsia"/>
                <w:color w:val="auto"/>
                <w:lang w:eastAsia="zh-CN"/>
              </w:rPr>
            </w:pPr>
            <w:r>
              <w:rPr>
                <w:rFonts w:hint="eastAsia" w:ascii="宋体" w:hAnsi="宋体" w:eastAsiaTheme="minorEastAsia"/>
                <w:color w:val="auto"/>
                <w:lang w:eastAsia="zh-CN"/>
              </w:rPr>
              <w:t>联系人：</w:t>
            </w:r>
            <w:r>
              <w:rPr>
                <w:rFonts w:hint="eastAsia" w:ascii="宋体" w:hAnsi="宋体" w:eastAsiaTheme="minorEastAsia"/>
                <w:color w:val="auto"/>
                <w:lang w:val="en-US" w:eastAsia="zh-CN"/>
              </w:rPr>
              <w:t>王女士</w:t>
            </w:r>
          </w:p>
          <w:p w14:paraId="37269F45">
            <w:pPr>
              <w:spacing w:line="360" w:lineRule="auto"/>
              <w:rPr>
                <w:rFonts w:hint="eastAsia" w:ascii="宋体" w:hAnsi="宋体" w:eastAsiaTheme="minorEastAsia"/>
                <w:color w:val="auto"/>
                <w:lang w:eastAsia="zh-CN"/>
              </w:rPr>
            </w:pPr>
            <w:r>
              <w:rPr>
                <w:rFonts w:hint="eastAsia" w:ascii="宋体" w:hAnsi="宋体" w:eastAsiaTheme="minorEastAsia"/>
                <w:color w:val="auto"/>
                <w:lang w:eastAsia="zh-CN"/>
              </w:rPr>
              <w:t>联系方式：13017552170</w:t>
            </w:r>
          </w:p>
        </w:tc>
      </w:tr>
      <w:tr w14:paraId="6ED8C9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2EFEAA61">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1.1.4</w:t>
            </w:r>
          </w:p>
        </w:tc>
        <w:tc>
          <w:tcPr>
            <w:tcW w:w="2790" w:type="dxa"/>
            <w:vAlign w:val="center"/>
          </w:tcPr>
          <w:p w14:paraId="5EA49F8A">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项目名称</w:t>
            </w:r>
          </w:p>
        </w:tc>
        <w:tc>
          <w:tcPr>
            <w:tcW w:w="6064" w:type="dxa"/>
            <w:vAlign w:val="center"/>
          </w:tcPr>
          <w:p w14:paraId="0D6EEB23">
            <w:pPr>
              <w:spacing w:line="360" w:lineRule="auto"/>
              <w:rPr>
                <w:rFonts w:hint="eastAsia" w:asciiTheme="minorEastAsia" w:hAnsiTheme="minorEastAsia" w:eastAsiaTheme="minorEastAsia"/>
                <w:color w:val="auto"/>
                <w:szCs w:val="21"/>
                <w:lang w:eastAsia="zh-CN"/>
              </w:rPr>
            </w:pPr>
            <w:r>
              <w:rPr>
                <w:rFonts w:hint="eastAsia" w:ascii="宋体" w:hAnsi="宋体" w:eastAsiaTheme="minorEastAsia"/>
                <w:color w:val="auto"/>
                <w:lang w:eastAsia="zh-CN"/>
              </w:rPr>
              <w:t>鲁山县鲁阳街道办事处鲁山县西关大街老旧街区改造项目勘察</w:t>
            </w:r>
          </w:p>
        </w:tc>
      </w:tr>
      <w:tr w14:paraId="3F4863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3" w:hRule="atLeast"/>
          <w:jc w:val="center"/>
        </w:trPr>
        <w:tc>
          <w:tcPr>
            <w:tcW w:w="1000" w:type="dxa"/>
            <w:vAlign w:val="center"/>
          </w:tcPr>
          <w:p w14:paraId="28CCCDF1">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1.1.5</w:t>
            </w:r>
          </w:p>
        </w:tc>
        <w:tc>
          <w:tcPr>
            <w:tcW w:w="2790" w:type="dxa"/>
            <w:vAlign w:val="center"/>
          </w:tcPr>
          <w:p w14:paraId="32FC5EB5">
            <w:pPr>
              <w:spacing w:line="440" w:lineRule="exact"/>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项目地址</w:t>
            </w:r>
          </w:p>
        </w:tc>
        <w:tc>
          <w:tcPr>
            <w:tcW w:w="6064" w:type="dxa"/>
            <w:vAlign w:val="center"/>
          </w:tcPr>
          <w:p w14:paraId="648E1CCA">
            <w:pPr>
              <w:spacing w:line="44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平顶山市</w:t>
            </w:r>
            <w:r>
              <w:rPr>
                <w:rFonts w:hint="eastAsia" w:asciiTheme="minorEastAsia" w:hAnsiTheme="minorEastAsia" w:eastAsiaTheme="minorEastAsia"/>
                <w:color w:val="auto"/>
                <w:szCs w:val="21"/>
                <w:lang w:val="en-US" w:eastAsia="zh-CN"/>
              </w:rPr>
              <w:t>鲁山县</w:t>
            </w:r>
            <w:r>
              <w:rPr>
                <w:rFonts w:hint="eastAsia" w:asciiTheme="minorEastAsia" w:hAnsiTheme="minorEastAsia" w:eastAsiaTheme="minorEastAsia"/>
                <w:color w:val="auto"/>
                <w:szCs w:val="21"/>
              </w:rPr>
              <w:t>境内</w:t>
            </w:r>
          </w:p>
        </w:tc>
      </w:tr>
      <w:tr w14:paraId="1A6140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39D04C6D">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1.2.1</w:t>
            </w:r>
          </w:p>
        </w:tc>
        <w:tc>
          <w:tcPr>
            <w:tcW w:w="2790" w:type="dxa"/>
            <w:tcBorders>
              <w:bottom w:val="single" w:color="auto" w:sz="6" w:space="0"/>
            </w:tcBorders>
            <w:vAlign w:val="center"/>
          </w:tcPr>
          <w:p w14:paraId="06EC71EE">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资金来源</w:t>
            </w:r>
          </w:p>
        </w:tc>
        <w:tc>
          <w:tcPr>
            <w:tcW w:w="6064" w:type="dxa"/>
            <w:tcBorders>
              <w:bottom w:val="single" w:color="auto" w:sz="6" w:space="0"/>
            </w:tcBorders>
            <w:vAlign w:val="center"/>
          </w:tcPr>
          <w:p w14:paraId="50B3BC7E">
            <w:pPr>
              <w:spacing w:line="440" w:lineRule="exact"/>
              <w:jc w:val="left"/>
              <w:rPr>
                <w:rFonts w:asciiTheme="minorEastAsia" w:hAnsiTheme="minorEastAsia" w:eastAsiaTheme="minorEastAsia"/>
                <w:color w:val="auto"/>
                <w:szCs w:val="21"/>
              </w:rPr>
            </w:pPr>
            <w:r>
              <w:rPr>
                <w:rFonts w:hint="eastAsia" w:asciiTheme="minorEastAsia" w:hAnsiTheme="minorEastAsia" w:eastAsiaTheme="minorEastAsia"/>
                <w:color w:val="auto"/>
                <w:szCs w:val="21"/>
              </w:rPr>
              <w:t>财政资金，已落实</w:t>
            </w:r>
          </w:p>
        </w:tc>
      </w:tr>
      <w:tr w14:paraId="286DB0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4" w:hRule="atLeast"/>
          <w:jc w:val="center"/>
        </w:trPr>
        <w:tc>
          <w:tcPr>
            <w:tcW w:w="1000" w:type="dxa"/>
            <w:vAlign w:val="center"/>
          </w:tcPr>
          <w:p w14:paraId="65DBBE81">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1.</w:t>
            </w:r>
            <w:r>
              <w:rPr>
                <w:rFonts w:hint="eastAsia" w:asciiTheme="minorEastAsia" w:hAnsiTheme="minorEastAsia" w:eastAsiaTheme="minorEastAsia"/>
                <w:color w:val="auto"/>
                <w:szCs w:val="21"/>
              </w:rPr>
              <w:t>3</w:t>
            </w:r>
            <w:r>
              <w:rPr>
                <w:rFonts w:asciiTheme="minorEastAsia" w:hAnsiTheme="minorEastAsia" w:eastAsiaTheme="minorEastAsia"/>
                <w:color w:val="auto"/>
                <w:szCs w:val="21"/>
              </w:rPr>
              <w:t>.1</w:t>
            </w:r>
          </w:p>
        </w:tc>
        <w:tc>
          <w:tcPr>
            <w:tcW w:w="2790" w:type="dxa"/>
            <w:tcBorders>
              <w:top w:val="single" w:color="auto" w:sz="6" w:space="0"/>
              <w:bottom w:val="single" w:color="auto" w:sz="6" w:space="0"/>
            </w:tcBorders>
            <w:vAlign w:val="center"/>
          </w:tcPr>
          <w:p w14:paraId="195A0462">
            <w:pPr>
              <w:pStyle w:val="55"/>
              <w:shd w:val="clear" w:color="auto" w:fill="FFFFFF"/>
              <w:autoSpaceDE w:val="0"/>
              <w:jc w:val="center"/>
              <w:rPr>
                <w:rFonts w:cs="Times New Roman" w:asciiTheme="minorEastAsia" w:hAnsiTheme="minorEastAsia" w:eastAsiaTheme="minorEastAsia"/>
                <w:color w:val="auto"/>
                <w:kern w:val="2"/>
                <w:sz w:val="21"/>
                <w:szCs w:val="21"/>
              </w:rPr>
            </w:pPr>
            <w:r>
              <w:rPr>
                <w:rFonts w:hint="eastAsia" w:cs="Times New Roman" w:asciiTheme="minorEastAsia" w:hAnsiTheme="minorEastAsia" w:eastAsiaTheme="minorEastAsia"/>
                <w:color w:val="auto"/>
                <w:kern w:val="2"/>
                <w:sz w:val="21"/>
                <w:szCs w:val="21"/>
              </w:rPr>
              <w:t>招标范围</w:t>
            </w:r>
          </w:p>
        </w:tc>
        <w:tc>
          <w:tcPr>
            <w:tcW w:w="6064" w:type="dxa"/>
            <w:tcBorders>
              <w:top w:val="single" w:color="auto" w:sz="6" w:space="0"/>
              <w:bottom w:val="single" w:color="auto" w:sz="6" w:space="0"/>
            </w:tcBorders>
            <w:vAlign w:val="center"/>
          </w:tcPr>
          <w:p w14:paraId="6C311CD2">
            <w:pPr>
              <w:spacing w:line="420" w:lineRule="exact"/>
              <w:jc w:val="left"/>
              <w:rPr>
                <w:rFonts w:asciiTheme="minorEastAsia" w:hAnsiTheme="minorEastAsia"/>
                <w:color w:val="auto"/>
                <w:szCs w:val="21"/>
                <w:highlight w:val="yellow"/>
              </w:rPr>
            </w:pPr>
            <w:r>
              <w:rPr>
                <w:rFonts w:hint="eastAsia" w:ascii="宋体" w:hAnsi="宋体" w:eastAsia="宋体" w:cs="宋体"/>
                <w:color w:val="auto"/>
                <w:kern w:val="2"/>
                <w:sz w:val="21"/>
                <w:szCs w:val="21"/>
                <w:lang w:val="en-US" w:eastAsia="zh-CN" w:bidi="ar-SA"/>
              </w:rPr>
              <w:t>包括但不仅限于质勘察，岩土工程勘察报告书编制，配合工程设计和施工验收等相关工作。</w:t>
            </w:r>
          </w:p>
        </w:tc>
      </w:tr>
      <w:tr w14:paraId="4653AA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75A475E5">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1.3.2</w:t>
            </w:r>
          </w:p>
        </w:tc>
        <w:tc>
          <w:tcPr>
            <w:tcW w:w="2790" w:type="dxa"/>
            <w:tcBorders>
              <w:top w:val="single" w:color="auto" w:sz="6" w:space="0"/>
              <w:bottom w:val="single" w:color="auto" w:sz="6" w:space="0"/>
            </w:tcBorders>
            <w:vAlign w:val="center"/>
          </w:tcPr>
          <w:p w14:paraId="470DAB94">
            <w:pPr>
              <w:pStyle w:val="55"/>
              <w:shd w:val="clear" w:color="auto" w:fill="FFFFFF"/>
              <w:autoSpaceDE w:val="0"/>
              <w:jc w:val="center"/>
              <w:rPr>
                <w:rFonts w:hint="default" w:cs="Times New Roman" w:asciiTheme="minorEastAsia" w:hAnsiTheme="minorEastAsia" w:eastAsiaTheme="minorEastAsia"/>
                <w:color w:val="auto"/>
                <w:kern w:val="2"/>
                <w:sz w:val="21"/>
                <w:szCs w:val="21"/>
                <w:highlight w:val="yellow"/>
                <w:lang w:val="en-US" w:eastAsia="zh-CN"/>
              </w:rPr>
            </w:pPr>
            <w:r>
              <w:rPr>
                <w:rFonts w:hint="eastAsia" w:cs="Times New Roman" w:asciiTheme="minorEastAsia" w:hAnsiTheme="minorEastAsia" w:eastAsiaTheme="minorEastAsia"/>
                <w:color w:val="auto"/>
                <w:kern w:val="2"/>
                <w:sz w:val="21"/>
                <w:szCs w:val="21"/>
                <w:highlight w:val="none"/>
                <w:lang w:val="en-US" w:eastAsia="zh-CN"/>
              </w:rPr>
              <w:t>服务期限</w:t>
            </w:r>
          </w:p>
        </w:tc>
        <w:tc>
          <w:tcPr>
            <w:tcW w:w="6064" w:type="dxa"/>
            <w:tcBorders>
              <w:top w:val="single" w:color="auto" w:sz="6" w:space="0"/>
              <w:bottom w:val="single" w:color="auto" w:sz="6" w:space="0"/>
            </w:tcBorders>
            <w:vAlign w:val="center"/>
          </w:tcPr>
          <w:p w14:paraId="3C9B8DA1">
            <w:pPr>
              <w:pStyle w:val="55"/>
              <w:shd w:val="clear" w:color="auto" w:fill="FFFFFF"/>
              <w:autoSpaceDE w:val="0"/>
              <w:rPr>
                <w:rFonts w:hint="default" w:ascii="宋体" w:hAnsi="宋体" w:eastAsia="宋体" w:cs="宋体"/>
                <w:color w:val="auto"/>
                <w:kern w:val="2"/>
                <w:sz w:val="21"/>
                <w:szCs w:val="21"/>
                <w:lang w:val="en-US" w:eastAsia="zh-CN" w:bidi="ar-SA"/>
              </w:rPr>
            </w:pPr>
            <w:r>
              <w:rPr>
                <w:rFonts w:hint="eastAsia" w:cs="宋体"/>
                <w:color w:val="auto"/>
                <w:kern w:val="2"/>
                <w:sz w:val="21"/>
                <w:szCs w:val="21"/>
                <w:lang w:val="en-US" w:eastAsia="zh-CN" w:bidi="ar-SA"/>
              </w:rPr>
              <w:t>30日历天</w:t>
            </w:r>
          </w:p>
        </w:tc>
      </w:tr>
      <w:tr w14:paraId="38F250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1247B832">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1.3.3</w:t>
            </w:r>
          </w:p>
        </w:tc>
        <w:tc>
          <w:tcPr>
            <w:tcW w:w="2790" w:type="dxa"/>
            <w:tcBorders>
              <w:top w:val="single" w:color="auto" w:sz="6" w:space="0"/>
              <w:bottom w:val="single" w:color="auto" w:sz="6" w:space="0"/>
            </w:tcBorders>
            <w:vAlign w:val="center"/>
          </w:tcPr>
          <w:p w14:paraId="3BB8D2C2">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质量</w:t>
            </w:r>
            <w:r>
              <w:rPr>
                <w:rFonts w:hint="eastAsia" w:asciiTheme="minorEastAsia" w:hAnsiTheme="minorEastAsia" w:eastAsiaTheme="minorEastAsia"/>
                <w:color w:val="auto"/>
                <w:szCs w:val="21"/>
              </w:rPr>
              <w:t>要求</w:t>
            </w:r>
          </w:p>
        </w:tc>
        <w:tc>
          <w:tcPr>
            <w:tcW w:w="6064" w:type="dxa"/>
            <w:tcBorders>
              <w:top w:val="single" w:color="auto" w:sz="6" w:space="0"/>
              <w:bottom w:val="single" w:color="auto" w:sz="6" w:space="0"/>
            </w:tcBorders>
            <w:vAlign w:val="center"/>
          </w:tcPr>
          <w:p w14:paraId="3C833FF8">
            <w:pPr>
              <w:spacing w:line="420" w:lineRule="exact"/>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合格标准，符合国家及行业相关标准、规范要求及采购人要求</w:t>
            </w:r>
          </w:p>
        </w:tc>
      </w:tr>
      <w:tr w14:paraId="275261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1F827111">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1.4.1</w:t>
            </w:r>
          </w:p>
        </w:tc>
        <w:tc>
          <w:tcPr>
            <w:tcW w:w="2790" w:type="dxa"/>
            <w:tcBorders>
              <w:top w:val="single" w:color="auto" w:sz="6" w:space="0"/>
              <w:bottom w:val="single" w:color="auto" w:sz="6" w:space="0"/>
            </w:tcBorders>
            <w:vAlign w:val="center"/>
          </w:tcPr>
          <w:p w14:paraId="477CA449">
            <w:pPr>
              <w:spacing w:line="360" w:lineRule="exact"/>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供应商资格要求</w:t>
            </w:r>
          </w:p>
        </w:tc>
        <w:tc>
          <w:tcPr>
            <w:tcW w:w="6064" w:type="dxa"/>
            <w:tcBorders>
              <w:top w:val="single" w:color="auto" w:sz="6" w:space="0"/>
              <w:bottom w:val="single" w:color="auto" w:sz="6" w:space="0"/>
            </w:tcBorders>
            <w:vAlign w:val="center"/>
          </w:tcPr>
          <w:p w14:paraId="25620B49">
            <w:pPr>
              <w:pStyle w:val="152"/>
              <w:spacing w:line="36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详见招标公告中“二、申请人资格要求”要求中资格要求相关内容</w:t>
            </w:r>
          </w:p>
        </w:tc>
      </w:tr>
      <w:tr w14:paraId="7859A5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05397611">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1.4.2</w:t>
            </w:r>
          </w:p>
        </w:tc>
        <w:tc>
          <w:tcPr>
            <w:tcW w:w="2790" w:type="dxa"/>
            <w:tcBorders>
              <w:top w:val="single" w:color="auto" w:sz="6" w:space="0"/>
            </w:tcBorders>
            <w:vAlign w:val="center"/>
          </w:tcPr>
          <w:p w14:paraId="2AF69D36">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是否接受联合体投标</w:t>
            </w:r>
          </w:p>
        </w:tc>
        <w:tc>
          <w:tcPr>
            <w:tcW w:w="6064" w:type="dxa"/>
            <w:tcBorders>
              <w:top w:val="single" w:color="auto" w:sz="6" w:space="0"/>
            </w:tcBorders>
            <w:vAlign w:val="center"/>
          </w:tcPr>
          <w:p w14:paraId="175A7BAC">
            <w:pPr>
              <w:pStyle w:val="14"/>
              <w:rPr>
                <w:color w:val="auto"/>
              </w:rPr>
            </w:pPr>
            <w:r>
              <w:rPr>
                <w:rFonts w:hint="eastAsia"/>
                <w:color w:val="auto"/>
              </w:rPr>
              <w:t>不接受</w:t>
            </w:r>
          </w:p>
        </w:tc>
      </w:tr>
      <w:tr w14:paraId="7C2C4E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0B8FC2B8">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1.</w:t>
            </w:r>
            <w:r>
              <w:rPr>
                <w:rFonts w:hint="eastAsia" w:asciiTheme="minorEastAsia" w:hAnsiTheme="minorEastAsia" w:eastAsiaTheme="minorEastAsia"/>
                <w:color w:val="auto"/>
                <w:szCs w:val="21"/>
              </w:rPr>
              <w:t>9</w:t>
            </w:r>
            <w:r>
              <w:rPr>
                <w:rFonts w:asciiTheme="minorEastAsia" w:hAnsiTheme="minorEastAsia" w:eastAsiaTheme="minorEastAsia"/>
                <w:color w:val="auto"/>
                <w:szCs w:val="21"/>
              </w:rPr>
              <w:t>.1</w:t>
            </w:r>
          </w:p>
        </w:tc>
        <w:tc>
          <w:tcPr>
            <w:tcW w:w="2790" w:type="dxa"/>
            <w:vAlign w:val="center"/>
          </w:tcPr>
          <w:p w14:paraId="39ADC6DA">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踏勘</w:t>
            </w:r>
          </w:p>
        </w:tc>
        <w:tc>
          <w:tcPr>
            <w:tcW w:w="6064" w:type="dxa"/>
            <w:vAlign w:val="center"/>
          </w:tcPr>
          <w:p w14:paraId="3D6E539A">
            <w:pPr>
              <w:spacing w:line="44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不组织：自行踏勘</w:t>
            </w:r>
          </w:p>
        </w:tc>
      </w:tr>
      <w:tr w14:paraId="4EC806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5E6B2078">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1.10.1</w:t>
            </w:r>
          </w:p>
        </w:tc>
        <w:tc>
          <w:tcPr>
            <w:tcW w:w="2790" w:type="dxa"/>
            <w:vAlign w:val="center"/>
          </w:tcPr>
          <w:p w14:paraId="5AE54AAD">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投标预备会</w:t>
            </w:r>
          </w:p>
        </w:tc>
        <w:tc>
          <w:tcPr>
            <w:tcW w:w="6064" w:type="dxa"/>
            <w:vAlign w:val="center"/>
          </w:tcPr>
          <w:p w14:paraId="1AB9FAA7">
            <w:pPr>
              <w:pStyle w:val="14"/>
              <w:rPr>
                <w:color w:val="auto"/>
              </w:rPr>
            </w:pPr>
            <w:r>
              <w:rPr>
                <w:rFonts w:hint="eastAsia"/>
                <w:color w:val="auto"/>
              </w:rPr>
              <w:t>不召开</w:t>
            </w:r>
          </w:p>
        </w:tc>
      </w:tr>
      <w:tr w14:paraId="40C64D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14E813EC">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1.10.2</w:t>
            </w:r>
          </w:p>
        </w:tc>
        <w:tc>
          <w:tcPr>
            <w:tcW w:w="2790" w:type="dxa"/>
            <w:vAlign w:val="center"/>
          </w:tcPr>
          <w:p w14:paraId="1B5C24E6">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投标人提出问题的截止时间</w:t>
            </w:r>
          </w:p>
        </w:tc>
        <w:tc>
          <w:tcPr>
            <w:tcW w:w="6064" w:type="dxa"/>
            <w:vAlign w:val="center"/>
          </w:tcPr>
          <w:p w14:paraId="075F0578">
            <w:pPr>
              <w:spacing w:line="44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递交投标文件截止时间10天前</w:t>
            </w:r>
          </w:p>
        </w:tc>
      </w:tr>
      <w:tr w14:paraId="6EA1DA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00FE1A5B">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1.10.3</w:t>
            </w:r>
          </w:p>
        </w:tc>
        <w:tc>
          <w:tcPr>
            <w:tcW w:w="2790" w:type="dxa"/>
            <w:vAlign w:val="center"/>
          </w:tcPr>
          <w:p w14:paraId="34AC3910">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招标人书面澄清的时间</w:t>
            </w:r>
          </w:p>
        </w:tc>
        <w:tc>
          <w:tcPr>
            <w:tcW w:w="6064" w:type="dxa"/>
            <w:vAlign w:val="center"/>
          </w:tcPr>
          <w:p w14:paraId="1FB3BA8E">
            <w:pPr>
              <w:spacing w:line="44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递交投标文件截止时间15天前</w:t>
            </w:r>
          </w:p>
        </w:tc>
      </w:tr>
      <w:tr w14:paraId="702A29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00" w:type="dxa"/>
            <w:vAlign w:val="center"/>
          </w:tcPr>
          <w:p w14:paraId="6A438C51">
            <w:pPr>
              <w:spacing w:line="440" w:lineRule="exact"/>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1.11</w:t>
            </w:r>
          </w:p>
        </w:tc>
        <w:tc>
          <w:tcPr>
            <w:tcW w:w="2790" w:type="dxa"/>
            <w:vAlign w:val="center"/>
          </w:tcPr>
          <w:p w14:paraId="2FA39E2F">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分包</w:t>
            </w:r>
          </w:p>
        </w:tc>
        <w:tc>
          <w:tcPr>
            <w:tcW w:w="6064" w:type="dxa"/>
            <w:vAlign w:val="center"/>
          </w:tcPr>
          <w:p w14:paraId="5D557AA4">
            <w:pPr>
              <w:spacing w:line="44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w:t>
            </w:r>
          </w:p>
        </w:tc>
      </w:tr>
      <w:tr w14:paraId="5646B7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7565AEB6">
            <w:pPr>
              <w:spacing w:line="440" w:lineRule="exact"/>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1.12</w:t>
            </w:r>
          </w:p>
        </w:tc>
        <w:tc>
          <w:tcPr>
            <w:tcW w:w="2790" w:type="dxa"/>
            <w:vAlign w:val="center"/>
          </w:tcPr>
          <w:p w14:paraId="3891760C">
            <w:pPr>
              <w:spacing w:line="440" w:lineRule="exact"/>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偏离</w:t>
            </w:r>
          </w:p>
        </w:tc>
        <w:tc>
          <w:tcPr>
            <w:tcW w:w="6064" w:type="dxa"/>
            <w:vAlign w:val="center"/>
          </w:tcPr>
          <w:p w14:paraId="4B2C7E90">
            <w:pPr>
              <w:pStyle w:val="14"/>
              <w:rPr>
                <w:color w:val="auto"/>
              </w:rPr>
            </w:pPr>
            <w:r>
              <w:rPr>
                <w:rFonts w:hint="eastAsia"/>
                <w:color w:val="auto"/>
              </w:rPr>
              <w:t>不允许</w:t>
            </w:r>
          </w:p>
        </w:tc>
      </w:tr>
      <w:tr w14:paraId="3CEEFA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6" w:hRule="atLeast"/>
          <w:jc w:val="center"/>
        </w:trPr>
        <w:tc>
          <w:tcPr>
            <w:tcW w:w="1000" w:type="dxa"/>
            <w:vAlign w:val="center"/>
          </w:tcPr>
          <w:p w14:paraId="74082FE6">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2.1</w:t>
            </w:r>
          </w:p>
        </w:tc>
        <w:tc>
          <w:tcPr>
            <w:tcW w:w="2790" w:type="dxa"/>
            <w:vAlign w:val="center"/>
          </w:tcPr>
          <w:p w14:paraId="564B9724">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构成招标文件的其他</w:t>
            </w:r>
            <w:r>
              <w:rPr>
                <w:rFonts w:hint="eastAsia" w:asciiTheme="minorEastAsia" w:hAnsiTheme="minorEastAsia" w:eastAsiaTheme="minorEastAsia"/>
                <w:color w:val="auto"/>
                <w:szCs w:val="21"/>
              </w:rPr>
              <w:t>资</w:t>
            </w:r>
            <w:r>
              <w:rPr>
                <w:rFonts w:asciiTheme="minorEastAsia" w:hAnsiTheme="minorEastAsia" w:eastAsiaTheme="minorEastAsia"/>
                <w:color w:val="auto"/>
                <w:szCs w:val="21"/>
              </w:rPr>
              <w:t>料</w:t>
            </w:r>
          </w:p>
        </w:tc>
        <w:tc>
          <w:tcPr>
            <w:tcW w:w="6064" w:type="dxa"/>
            <w:vAlign w:val="center"/>
          </w:tcPr>
          <w:p w14:paraId="061A6734">
            <w:pPr>
              <w:spacing w:line="44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答疑、澄清、修改、补充等</w:t>
            </w:r>
          </w:p>
        </w:tc>
      </w:tr>
      <w:tr w14:paraId="0DC297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0" w:hRule="atLeast"/>
          <w:jc w:val="center"/>
        </w:trPr>
        <w:tc>
          <w:tcPr>
            <w:tcW w:w="1000" w:type="dxa"/>
            <w:vAlign w:val="center"/>
          </w:tcPr>
          <w:p w14:paraId="57ADD0FC">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2.2.1</w:t>
            </w:r>
          </w:p>
        </w:tc>
        <w:tc>
          <w:tcPr>
            <w:tcW w:w="2790" w:type="dxa"/>
            <w:vAlign w:val="center"/>
          </w:tcPr>
          <w:p w14:paraId="236FE3C9">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投标人要求澄清招标文件的截止时间</w:t>
            </w:r>
          </w:p>
        </w:tc>
        <w:tc>
          <w:tcPr>
            <w:tcW w:w="6064" w:type="dxa"/>
            <w:vAlign w:val="center"/>
          </w:tcPr>
          <w:p w14:paraId="50F63015">
            <w:pPr>
              <w:spacing w:line="44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同投标人提出问题的截止时间</w:t>
            </w:r>
          </w:p>
        </w:tc>
      </w:tr>
      <w:tr w14:paraId="6BA072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609087AE">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2.2.2</w:t>
            </w:r>
          </w:p>
        </w:tc>
        <w:tc>
          <w:tcPr>
            <w:tcW w:w="2790" w:type="dxa"/>
            <w:vAlign w:val="center"/>
          </w:tcPr>
          <w:p w14:paraId="15364DC4">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投标截止时间</w:t>
            </w:r>
          </w:p>
        </w:tc>
        <w:tc>
          <w:tcPr>
            <w:tcW w:w="6064" w:type="dxa"/>
            <w:vAlign w:val="center"/>
          </w:tcPr>
          <w:p w14:paraId="5BCC273E">
            <w:pPr>
              <w:spacing w:line="440" w:lineRule="exact"/>
              <w:rPr>
                <w:rFonts w:cs="宋体" w:asciiTheme="minorEastAsia" w:hAnsiTheme="minorEastAsia" w:eastAsiaTheme="minorEastAsia"/>
                <w:b/>
                <w:bCs/>
                <w:color w:val="auto"/>
                <w:szCs w:val="21"/>
              </w:rPr>
            </w:pPr>
            <w:r>
              <w:rPr>
                <w:rFonts w:hint="eastAsia" w:asciiTheme="minorEastAsia" w:hAnsiTheme="minorEastAsia" w:eastAsiaTheme="minorEastAsia"/>
                <w:color w:val="auto"/>
                <w:szCs w:val="21"/>
              </w:rPr>
              <w:t>详见招标公告</w:t>
            </w:r>
          </w:p>
        </w:tc>
      </w:tr>
      <w:tr w14:paraId="4B7AD6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2A17FF25">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2.2.3</w:t>
            </w:r>
          </w:p>
        </w:tc>
        <w:tc>
          <w:tcPr>
            <w:tcW w:w="2790" w:type="dxa"/>
            <w:vAlign w:val="center"/>
          </w:tcPr>
          <w:p w14:paraId="039A1E96">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投标人确认收到招标文件澄清的时间</w:t>
            </w:r>
          </w:p>
        </w:tc>
        <w:tc>
          <w:tcPr>
            <w:tcW w:w="6064" w:type="dxa"/>
            <w:vAlign w:val="center"/>
          </w:tcPr>
          <w:p w14:paraId="7B6A2F2A">
            <w:pPr>
              <w:rPr>
                <w:rFonts w:asciiTheme="minorEastAsia" w:hAnsiTheme="minorEastAsia" w:eastAsiaTheme="minorEastAsia"/>
                <w:color w:val="auto"/>
                <w:szCs w:val="21"/>
              </w:rPr>
            </w:pPr>
            <w:r>
              <w:rPr>
                <w:rFonts w:hint="eastAsia" w:cs="宋体" w:asciiTheme="minorEastAsia" w:hAnsiTheme="minorEastAsia" w:eastAsiaTheme="minorEastAsia"/>
                <w:color w:val="auto"/>
                <w:szCs w:val="21"/>
              </w:rPr>
              <w:t>收到招标文件澄清24小时内</w:t>
            </w:r>
          </w:p>
        </w:tc>
      </w:tr>
      <w:tr w14:paraId="29F014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3E165336">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2.3.2</w:t>
            </w:r>
          </w:p>
        </w:tc>
        <w:tc>
          <w:tcPr>
            <w:tcW w:w="2790" w:type="dxa"/>
            <w:vAlign w:val="center"/>
          </w:tcPr>
          <w:p w14:paraId="00F00737">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投标人确认收到招标文件修改的时间</w:t>
            </w:r>
          </w:p>
        </w:tc>
        <w:tc>
          <w:tcPr>
            <w:tcW w:w="6064" w:type="dxa"/>
            <w:vAlign w:val="center"/>
          </w:tcPr>
          <w:p w14:paraId="46BF9176">
            <w:pPr>
              <w:rPr>
                <w:rFonts w:asciiTheme="minorEastAsia" w:hAnsiTheme="minorEastAsia" w:eastAsiaTheme="minorEastAsia"/>
                <w:color w:val="auto"/>
                <w:szCs w:val="21"/>
              </w:rPr>
            </w:pPr>
            <w:r>
              <w:rPr>
                <w:rFonts w:hint="eastAsia" w:asciiTheme="minorEastAsia" w:hAnsiTheme="minorEastAsia" w:eastAsiaTheme="minorEastAsia"/>
                <w:color w:val="auto"/>
                <w:szCs w:val="21"/>
              </w:rPr>
              <w:t>收到招标文件修改24小时内</w:t>
            </w:r>
          </w:p>
        </w:tc>
      </w:tr>
      <w:tr w14:paraId="764875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00" w:type="dxa"/>
            <w:vAlign w:val="center"/>
          </w:tcPr>
          <w:p w14:paraId="5C7059C8">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3.1</w:t>
            </w:r>
            <w:r>
              <w:rPr>
                <w:rFonts w:hint="eastAsia" w:asciiTheme="minorEastAsia" w:hAnsiTheme="minorEastAsia" w:eastAsiaTheme="minorEastAsia"/>
                <w:color w:val="auto"/>
                <w:szCs w:val="21"/>
              </w:rPr>
              <w:t>.1</w:t>
            </w:r>
          </w:p>
        </w:tc>
        <w:tc>
          <w:tcPr>
            <w:tcW w:w="2790" w:type="dxa"/>
            <w:vAlign w:val="center"/>
          </w:tcPr>
          <w:p w14:paraId="021BAFE9">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构成投标文件的其他</w:t>
            </w:r>
            <w:r>
              <w:rPr>
                <w:rFonts w:hint="eastAsia" w:asciiTheme="minorEastAsia" w:hAnsiTheme="minorEastAsia" w:eastAsiaTheme="minorEastAsia"/>
                <w:color w:val="auto"/>
                <w:szCs w:val="21"/>
              </w:rPr>
              <w:t>资</w:t>
            </w:r>
            <w:r>
              <w:rPr>
                <w:rFonts w:asciiTheme="minorEastAsia" w:hAnsiTheme="minorEastAsia" w:eastAsiaTheme="minorEastAsia"/>
                <w:color w:val="auto"/>
                <w:szCs w:val="21"/>
              </w:rPr>
              <w:t>料</w:t>
            </w:r>
          </w:p>
        </w:tc>
        <w:tc>
          <w:tcPr>
            <w:tcW w:w="6064" w:type="dxa"/>
            <w:vAlign w:val="center"/>
          </w:tcPr>
          <w:p w14:paraId="4B2ECEB5">
            <w:pPr>
              <w:spacing w:line="288" w:lineRule="auto"/>
              <w:rPr>
                <w:rFonts w:asciiTheme="minorEastAsia" w:hAnsiTheme="minorEastAsia" w:eastAsiaTheme="minorEastAsia"/>
                <w:color w:val="auto"/>
                <w:szCs w:val="21"/>
              </w:rPr>
            </w:pPr>
            <w:r>
              <w:rPr>
                <w:rFonts w:hint="eastAsia" w:asciiTheme="minorEastAsia" w:hAnsiTheme="minorEastAsia" w:eastAsiaTheme="minorEastAsia"/>
                <w:color w:val="auto"/>
                <w:szCs w:val="21"/>
              </w:rPr>
              <w:t>按招标文件要求。</w:t>
            </w:r>
          </w:p>
        </w:tc>
      </w:tr>
      <w:tr w14:paraId="6D4AE1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052BE5E5">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3.3</w:t>
            </w:r>
            <w:r>
              <w:rPr>
                <w:rFonts w:hint="eastAsia" w:asciiTheme="minorEastAsia" w:hAnsiTheme="minorEastAsia" w:eastAsiaTheme="minorEastAsia"/>
                <w:color w:val="auto"/>
                <w:szCs w:val="21"/>
              </w:rPr>
              <w:t>.1</w:t>
            </w:r>
          </w:p>
        </w:tc>
        <w:tc>
          <w:tcPr>
            <w:tcW w:w="2790" w:type="dxa"/>
            <w:vAlign w:val="center"/>
          </w:tcPr>
          <w:p w14:paraId="1AFDC526">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投标有效期</w:t>
            </w:r>
          </w:p>
        </w:tc>
        <w:tc>
          <w:tcPr>
            <w:tcW w:w="6064" w:type="dxa"/>
            <w:vAlign w:val="center"/>
          </w:tcPr>
          <w:p w14:paraId="1240A009">
            <w:pPr>
              <w:spacing w:line="440" w:lineRule="exact"/>
              <w:jc w:val="left"/>
              <w:rPr>
                <w:rFonts w:asciiTheme="minorEastAsia" w:hAnsiTheme="minorEastAsia" w:eastAsiaTheme="minorEastAsia"/>
                <w:color w:val="auto"/>
                <w:szCs w:val="21"/>
              </w:rPr>
            </w:pPr>
            <w:r>
              <w:rPr>
                <w:rFonts w:hint="eastAsia" w:asciiTheme="minorEastAsia" w:hAnsiTheme="minorEastAsia" w:eastAsiaTheme="minorEastAsia"/>
                <w:color w:val="auto"/>
                <w:szCs w:val="21"/>
                <w:lang w:val="en-US" w:eastAsia="zh-CN"/>
              </w:rPr>
              <w:t>60</w:t>
            </w:r>
            <w:r>
              <w:rPr>
                <w:rFonts w:hint="eastAsia" w:asciiTheme="minorEastAsia" w:hAnsiTheme="minorEastAsia" w:eastAsiaTheme="minorEastAsia"/>
                <w:color w:val="auto"/>
                <w:szCs w:val="21"/>
              </w:rPr>
              <w:t>日历天（从投标截止之日算起）</w:t>
            </w:r>
          </w:p>
        </w:tc>
      </w:tr>
      <w:tr w14:paraId="38EE91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00" w:type="dxa"/>
            <w:tcBorders>
              <w:bottom w:val="single" w:color="auto" w:sz="4" w:space="0"/>
            </w:tcBorders>
            <w:vAlign w:val="center"/>
          </w:tcPr>
          <w:p w14:paraId="1FFF6FDE">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3.4.1</w:t>
            </w:r>
          </w:p>
        </w:tc>
        <w:tc>
          <w:tcPr>
            <w:tcW w:w="2790" w:type="dxa"/>
            <w:tcBorders>
              <w:bottom w:val="single" w:color="auto" w:sz="4" w:space="0"/>
            </w:tcBorders>
            <w:vAlign w:val="center"/>
          </w:tcPr>
          <w:p w14:paraId="1E76568E">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投标保证金</w:t>
            </w:r>
          </w:p>
        </w:tc>
        <w:tc>
          <w:tcPr>
            <w:tcW w:w="6064" w:type="dxa"/>
            <w:tcBorders>
              <w:bottom w:val="single" w:color="auto" w:sz="4" w:space="0"/>
            </w:tcBorders>
            <w:vAlign w:val="center"/>
          </w:tcPr>
          <w:p w14:paraId="6050661C">
            <w:pPr>
              <w:autoSpaceDE w:val="0"/>
              <w:autoSpaceDN w:val="0"/>
              <w:adjustRightInd w:val="0"/>
              <w:spacing w:line="312" w:lineRule="auto"/>
              <w:rPr>
                <w:rFonts w:cs="宋体" w:asciiTheme="minorEastAsia" w:hAnsiTheme="minorEastAsia" w:eastAsiaTheme="minorEastAsia"/>
                <w:color w:val="auto"/>
                <w:szCs w:val="21"/>
              </w:rPr>
            </w:pPr>
            <w:r>
              <w:rPr>
                <w:rFonts w:asciiTheme="minorEastAsia" w:hAnsiTheme="minorEastAsia" w:eastAsiaTheme="minorEastAsia"/>
                <w:b/>
                <w:color w:val="auto"/>
                <w:szCs w:val="21"/>
              </w:rPr>
              <w:t>本项目不收取投标保证金</w:t>
            </w:r>
          </w:p>
        </w:tc>
      </w:tr>
      <w:tr w14:paraId="695C3E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77" w:hRule="atLeast"/>
          <w:jc w:val="center"/>
        </w:trPr>
        <w:tc>
          <w:tcPr>
            <w:tcW w:w="1000" w:type="dxa"/>
            <w:vAlign w:val="center"/>
          </w:tcPr>
          <w:p w14:paraId="440B5000">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3.5.</w:t>
            </w:r>
            <w:r>
              <w:rPr>
                <w:rFonts w:hint="eastAsia" w:asciiTheme="minorEastAsia" w:hAnsiTheme="minorEastAsia" w:eastAsiaTheme="minorEastAsia"/>
                <w:color w:val="auto"/>
                <w:szCs w:val="21"/>
              </w:rPr>
              <w:t>5</w:t>
            </w:r>
          </w:p>
        </w:tc>
        <w:tc>
          <w:tcPr>
            <w:tcW w:w="2790" w:type="dxa"/>
            <w:vAlign w:val="center"/>
          </w:tcPr>
          <w:p w14:paraId="21C97932">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近年发生的</w:t>
            </w:r>
            <w:r>
              <w:rPr>
                <w:rFonts w:hint="eastAsia" w:asciiTheme="minorEastAsia" w:hAnsiTheme="minorEastAsia" w:eastAsiaTheme="minorEastAsia"/>
                <w:color w:val="auto"/>
                <w:szCs w:val="21"/>
              </w:rPr>
              <w:t>重大</w:t>
            </w:r>
            <w:r>
              <w:rPr>
                <w:rFonts w:asciiTheme="minorEastAsia" w:hAnsiTheme="minorEastAsia" w:eastAsiaTheme="minorEastAsia"/>
                <w:color w:val="auto"/>
                <w:szCs w:val="21"/>
              </w:rPr>
              <w:t>诉讼及仲裁情况</w:t>
            </w:r>
          </w:p>
        </w:tc>
        <w:tc>
          <w:tcPr>
            <w:tcW w:w="6064" w:type="dxa"/>
            <w:vAlign w:val="center"/>
          </w:tcPr>
          <w:p w14:paraId="3DE93A29">
            <w:pPr>
              <w:spacing w:line="44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不要求</w:t>
            </w:r>
          </w:p>
        </w:tc>
      </w:tr>
      <w:tr w14:paraId="6E747F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16AB8966">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3.6</w:t>
            </w:r>
          </w:p>
        </w:tc>
        <w:tc>
          <w:tcPr>
            <w:tcW w:w="2790" w:type="dxa"/>
            <w:vAlign w:val="center"/>
          </w:tcPr>
          <w:p w14:paraId="44C6BA09">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是否允许</w:t>
            </w:r>
            <w:r>
              <w:rPr>
                <w:rFonts w:hint="eastAsia" w:asciiTheme="minorEastAsia" w:hAnsiTheme="minorEastAsia" w:eastAsiaTheme="minorEastAsia"/>
                <w:color w:val="auto"/>
                <w:szCs w:val="21"/>
              </w:rPr>
              <w:t>递交备</w:t>
            </w:r>
            <w:r>
              <w:rPr>
                <w:rFonts w:asciiTheme="minorEastAsia" w:hAnsiTheme="minorEastAsia" w:eastAsiaTheme="minorEastAsia"/>
                <w:color w:val="auto"/>
                <w:szCs w:val="21"/>
              </w:rPr>
              <w:t>选投标方案</w:t>
            </w:r>
          </w:p>
        </w:tc>
        <w:tc>
          <w:tcPr>
            <w:tcW w:w="6064" w:type="dxa"/>
            <w:vAlign w:val="center"/>
          </w:tcPr>
          <w:p w14:paraId="080F533A">
            <w:pPr>
              <w:pStyle w:val="14"/>
              <w:rPr>
                <w:color w:val="auto"/>
              </w:rPr>
            </w:pPr>
            <w:r>
              <w:rPr>
                <w:rFonts w:hint="eastAsia"/>
                <w:color w:val="auto"/>
              </w:rPr>
              <w:t>不允许</w:t>
            </w:r>
          </w:p>
        </w:tc>
      </w:tr>
      <w:tr w14:paraId="394436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6F646028">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3.7.3</w:t>
            </w:r>
          </w:p>
        </w:tc>
        <w:tc>
          <w:tcPr>
            <w:tcW w:w="2790" w:type="dxa"/>
            <w:vAlign w:val="center"/>
          </w:tcPr>
          <w:p w14:paraId="11975DF9">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签字或盖章要求</w:t>
            </w:r>
          </w:p>
        </w:tc>
        <w:tc>
          <w:tcPr>
            <w:tcW w:w="6064" w:type="dxa"/>
            <w:vAlign w:val="center"/>
          </w:tcPr>
          <w:p w14:paraId="36108AC5">
            <w:pPr>
              <w:autoSpaceDE w:val="0"/>
              <w:autoSpaceDN w:val="0"/>
              <w:adjustRightInd w:val="0"/>
              <w:spacing w:line="312" w:lineRule="auto"/>
              <w:rPr>
                <w:rFonts w:cs="宋体" w:asciiTheme="minorEastAsia" w:hAnsiTheme="minorEastAsia" w:eastAsiaTheme="minorEastAsia"/>
                <w:color w:val="auto"/>
                <w:spacing w:val="2"/>
                <w:szCs w:val="21"/>
              </w:rPr>
            </w:pPr>
            <w:r>
              <w:rPr>
                <w:rFonts w:hint="eastAsia" w:cs="宋体" w:asciiTheme="minorEastAsia" w:hAnsiTheme="minorEastAsia" w:eastAsiaTheme="minorEastAsia"/>
                <w:color w:val="auto"/>
                <w:spacing w:val="2"/>
                <w:szCs w:val="21"/>
              </w:rPr>
              <w:t>1、投标文件应按采购文件中的要求进行电子签章。</w:t>
            </w:r>
          </w:p>
          <w:p w14:paraId="47AC315A">
            <w:pPr>
              <w:autoSpaceDE w:val="0"/>
              <w:autoSpaceDN w:val="0"/>
              <w:adjustRightInd w:val="0"/>
              <w:spacing w:line="312" w:lineRule="auto"/>
              <w:rPr>
                <w:rFonts w:cs="宋体" w:asciiTheme="minorEastAsia" w:hAnsiTheme="minorEastAsia" w:eastAsiaTheme="minorEastAsia"/>
                <w:color w:val="auto"/>
                <w:spacing w:val="2"/>
                <w:szCs w:val="21"/>
              </w:rPr>
            </w:pPr>
            <w:r>
              <w:rPr>
                <w:rFonts w:hint="eastAsia" w:cs="宋体" w:asciiTheme="minorEastAsia" w:hAnsiTheme="minorEastAsia" w:eastAsiaTheme="minorEastAsia"/>
                <w:color w:val="auto"/>
                <w:spacing w:val="2"/>
                <w:szCs w:val="21"/>
              </w:rPr>
              <w:t>注：投标人在生成电子化投标文件后，应对电子化投标文件进行签章，未进行签章的视为无效投标。</w:t>
            </w:r>
          </w:p>
          <w:p w14:paraId="21A735E1">
            <w:pPr>
              <w:spacing w:line="440" w:lineRule="exact"/>
              <w:rPr>
                <w:rFonts w:asciiTheme="minorEastAsia" w:hAnsiTheme="minorEastAsia" w:eastAsiaTheme="minorEastAsia"/>
                <w:color w:val="auto"/>
                <w:szCs w:val="21"/>
              </w:rPr>
            </w:pPr>
            <w:r>
              <w:rPr>
                <w:rFonts w:hint="eastAsia" w:cs="宋体" w:asciiTheme="minorEastAsia" w:hAnsiTheme="minorEastAsia" w:eastAsiaTheme="minorEastAsia"/>
                <w:color w:val="auto"/>
                <w:spacing w:val="2"/>
                <w:szCs w:val="21"/>
              </w:rPr>
              <w:t>2、招标文件中要求法定代表人或授权委托人签字或盖章的，投标人在进行电子化投标文件签章时，以签盖法定代表人签章为准。电子化投标文件具体制作教材请投标人通过CA证书登录平顶山市公共资源电子化交易系统在右上角“组建下载”中查看。</w:t>
            </w:r>
          </w:p>
        </w:tc>
      </w:tr>
      <w:tr w14:paraId="75A7D0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131368C9">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3.7.4</w:t>
            </w:r>
          </w:p>
        </w:tc>
        <w:tc>
          <w:tcPr>
            <w:tcW w:w="2790" w:type="dxa"/>
            <w:vAlign w:val="center"/>
          </w:tcPr>
          <w:p w14:paraId="7BE84DBD">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投标文件份数</w:t>
            </w:r>
          </w:p>
        </w:tc>
        <w:tc>
          <w:tcPr>
            <w:tcW w:w="6064" w:type="dxa"/>
            <w:vAlign w:val="center"/>
          </w:tcPr>
          <w:p w14:paraId="499FCEC7">
            <w:pPr>
              <w:spacing w:line="440" w:lineRule="exact"/>
              <w:rPr>
                <w:rFonts w:asciiTheme="minorEastAsia" w:hAnsiTheme="minorEastAsia" w:eastAsiaTheme="minorEastAsia"/>
                <w:b/>
                <w:color w:val="auto"/>
                <w:szCs w:val="21"/>
              </w:rPr>
            </w:pPr>
            <w:r>
              <w:rPr>
                <w:rFonts w:hint="eastAsia" w:asciiTheme="minorEastAsia" w:hAnsiTheme="minorEastAsia" w:eastAsiaTheme="minorEastAsia"/>
                <w:color w:val="auto"/>
                <w:szCs w:val="21"/>
              </w:rPr>
              <w:t>除以上传的投标文件外，另需一份纸质版投标文件，参与投标的投标人应在公示期结束后，邮寄或递送纸质版文件一份给招标人，以备招标人存档。</w:t>
            </w:r>
          </w:p>
        </w:tc>
      </w:tr>
      <w:tr w14:paraId="24382A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1CE71F71">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3.7.5</w:t>
            </w:r>
          </w:p>
        </w:tc>
        <w:tc>
          <w:tcPr>
            <w:tcW w:w="2790" w:type="dxa"/>
            <w:vAlign w:val="center"/>
          </w:tcPr>
          <w:p w14:paraId="6319174D">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装订要求</w:t>
            </w:r>
          </w:p>
        </w:tc>
        <w:tc>
          <w:tcPr>
            <w:tcW w:w="6064" w:type="dxa"/>
            <w:vAlign w:val="center"/>
          </w:tcPr>
          <w:p w14:paraId="04F48DA1">
            <w:pPr>
              <w:spacing w:line="44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无</w:t>
            </w:r>
          </w:p>
        </w:tc>
      </w:tr>
      <w:tr w14:paraId="593959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00" w:type="dxa"/>
            <w:vAlign w:val="center"/>
          </w:tcPr>
          <w:p w14:paraId="3D2A970D">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4.1.2</w:t>
            </w:r>
          </w:p>
        </w:tc>
        <w:tc>
          <w:tcPr>
            <w:tcW w:w="2790" w:type="dxa"/>
            <w:vAlign w:val="center"/>
          </w:tcPr>
          <w:p w14:paraId="1D644B15">
            <w:pPr>
              <w:spacing w:line="440" w:lineRule="exact"/>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电子版</w:t>
            </w:r>
            <w:r>
              <w:rPr>
                <w:rFonts w:asciiTheme="minorEastAsia" w:hAnsiTheme="minorEastAsia" w:eastAsiaTheme="minorEastAsia"/>
                <w:color w:val="auto"/>
                <w:szCs w:val="21"/>
              </w:rPr>
              <w:t>封套上</w:t>
            </w:r>
            <w:r>
              <w:rPr>
                <w:rFonts w:hint="eastAsia" w:asciiTheme="minorEastAsia" w:hAnsiTheme="minorEastAsia" w:eastAsiaTheme="minorEastAsia"/>
                <w:color w:val="auto"/>
                <w:szCs w:val="21"/>
              </w:rPr>
              <w:t>应载明的信息</w:t>
            </w:r>
          </w:p>
        </w:tc>
        <w:tc>
          <w:tcPr>
            <w:tcW w:w="6064" w:type="dxa"/>
            <w:vAlign w:val="center"/>
          </w:tcPr>
          <w:p w14:paraId="31633584">
            <w:pPr>
              <w:autoSpaceDE w:val="0"/>
              <w:autoSpaceDN w:val="0"/>
              <w:adjustRightInd w:val="0"/>
              <w:snapToGrid w:val="0"/>
              <w:spacing w:before="50" w:line="300" w:lineRule="exact"/>
              <w:ind w:right="35"/>
              <w:rPr>
                <w:rFonts w:asciiTheme="minorEastAsia" w:hAnsiTheme="minorEastAsia" w:eastAsiaTheme="minorEastAsia"/>
                <w:color w:val="auto"/>
                <w:szCs w:val="21"/>
              </w:rPr>
            </w:pPr>
            <w:r>
              <w:rPr>
                <w:rFonts w:hint="eastAsia" w:asciiTheme="minorEastAsia" w:hAnsiTheme="minorEastAsia" w:eastAsiaTheme="minorEastAsia"/>
                <w:color w:val="auto"/>
                <w:szCs w:val="21"/>
              </w:rPr>
              <w:t>不要求，需要电子交易系统中提交投标文件。</w:t>
            </w:r>
          </w:p>
        </w:tc>
      </w:tr>
      <w:tr w14:paraId="133107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1AA66550">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4.2.2</w:t>
            </w:r>
          </w:p>
        </w:tc>
        <w:tc>
          <w:tcPr>
            <w:tcW w:w="2790" w:type="dxa"/>
            <w:vAlign w:val="center"/>
          </w:tcPr>
          <w:p w14:paraId="755F4D72">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递交投标文件地点</w:t>
            </w:r>
          </w:p>
        </w:tc>
        <w:tc>
          <w:tcPr>
            <w:tcW w:w="6064" w:type="dxa"/>
            <w:vAlign w:val="center"/>
          </w:tcPr>
          <w:p w14:paraId="08301820">
            <w:pPr>
              <w:spacing w:line="440" w:lineRule="exact"/>
              <w:rPr>
                <w:rFonts w:asciiTheme="minorEastAsia" w:hAnsiTheme="minorEastAsia" w:eastAsiaTheme="minorEastAsia"/>
                <w:color w:val="auto"/>
                <w:szCs w:val="21"/>
              </w:rPr>
            </w:pPr>
            <w:r>
              <w:rPr>
                <w:rFonts w:hint="eastAsia" w:cs="Arial" w:asciiTheme="minorEastAsia" w:hAnsiTheme="minorEastAsia" w:eastAsiaTheme="minorEastAsia"/>
                <w:color w:val="auto"/>
                <w:szCs w:val="21"/>
              </w:rPr>
              <w:t>根据最新政策不要求投标人出场。</w:t>
            </w:r>
          </w:p>
        </w:tc>
      </w:tr>
      <w:tr w14:paraId="574B5C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00" w:type="dxa"/>
            <w:vAlign w:val="center"/>
          </w:tcPr>
          <w:p w14:paraId="5D54772F">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4.2.3</w:t>
            </w:r>
          </w:p>
        </w:tc>
        <w:tc>
          <w:tcPr>
            <w:tcW w:w="2790" w:type="dxa"/>
            <w:vAlign w:val="center"/>
          </w:tcPr>
          <w:p w14:paraId="5C12FDA7">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是否退还投标文件</w:t>
            </w:r>
          </w:p>
        </w:tc>
        <w:tc>
          <w:tcPr>
            <w:tcW w:w="6064" w:type="dxa"/>
            <w:vAlign w:val="center"/>
          </w:tcPr>
          <w:p w14:paraId="2E77E149">
            <w:pPr>
              <w:pStyle w:val="14"/>
              <w:rPr>
                <w:b/>
                <w:bCs w:val="0"/>
                <w:color w:val="auto"/>
              </w:rPr>
            </w:pPr>
            <w:r>
              <w:rPr>
                <w:rFonts w:hint="eastAsia"/>
                <w:b/>
                <w:bCs w:val="0"/>
                <w:color w:val="auto"/>
              </w:rPr>
              <w:t>否</w:t>
            </w:r>
          </w:p>
        </w:tc>
      </w:tr>
      <w:tr w14:paraId="493749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2" w:hRule="atLeast"/>
          <w:jc w:val="center"/>
        </w:trPr>
        <w:tc>
          <w:tcPr>
            <w:tcW w:w="1000" w:type="dxa"/>
            <w:vAlign w:val="center"/>
          </w:tcPr>
          <w:p w14:paraId="37C68C47">
            <w:pPr>
              <w:spacing w:line="440" w:lineRule="exact"/>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4.2.4</w:t>
            </w:r>
          </w:p>
        </w:tc>
        <w:tc>
          <w:tcPr>
            <w:tcW w:w="2790" w:type="dxa"/>
            <w:vAlign w:val="center"/>
          </w:tcPr>
          <w:p w14:paraId="54CED9F1">
            <w:pPr>
              <w:spacing w:line="440" w:lineRule="exact"/>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招标控制价</w:t>
            </w:r>
          </w:p>
        </w:tc>
        <w:tc>
          <w:tcPr>
            <w:tcW w:w="6064" w:type="dxa"/>
            <w:vAlign w:val="center"/>
          </w:tcPr>
          <w:p w14:paraId="39694698">
            <w:pPr>
              <w:spacing w:line="440" w:lineRule="exact"/>
              <w:jc w:val="both"/>
              <w:rPr>
                <w:rFonts w:hint="default"/>
                <w:color w:val="auto"/>
                <w:lang w:val="en-US"/>
              </w:rPr>
            </w:pPr>
            <w:r>
              <w:rPr>
                <w:rFonts w:hint="eastAsia" w:ascii="宋体" w:hAnsi="宋体" w:cs="宋体"/>
                <w:color w:val="auto"/>
                <w:sz w:val="21"/>
                <w:szCs w:val="21"/>
                <w:lang w:val="en-US" w:eastAsia="zh-CN"/>
              </w:rPr>
              <w:t>720000.00元（投标报价超过本金额按无效投标处理）</w:t>
            </w:r>
          </w:p>
        </w:tc>
      </w:tr>
      <w:tr w14:paraId="0C1E06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0" w:hRule="atLeast"/>
          <w:jc w:val="center"/>
        </w:trPr>
        <w:tc>
          <w:tcPr>
            <w:tcW w:w="1000" w:type="dxa"/>
            <w:vAlign w:val="center"/>
          </w:tcPr>
          <w:p w14:paraId="2055BEFA">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5.1</w:t>
            </w:r>
          </w:p>
        </w:tc>
        <w:tc>
          <w:tcPr>
            <w:tcW w:w="2790" w:type="dxa"/>
            <w:vAlign w:val="center"/>
          </w:tcPr>
          <w:p w14:paraId="18207154">
            <w:pPr>
              <w:spacing w:line="440" w:lineRule="exact"/>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开标时间和地点</w:t>
            </w:r>
          </w:p>
        </w:tc>
        <w:tc>
          <w:tcPr>
            <w:tcW w:w="6064" w:type="dxa"/>
            <w:vAlign w:val="center"/>
          </w:tcPr>
          <w:p w14:paraId="73D34E2C">
            <w:pPr>
              <w:spacing w:line="440" w:lineRule="exact"/>
              <w:rPr>
                <w:rFonts w:asciiTheme="minorEastAsia" w:hAnsiTheme="minorEastAsia" w:eastAsiaTheme="minorEastAsia"/>
                <w:color w:val="auto"/>
                <w:szCs w:val="21"/>
              </w:rPr>
            </w:pPr>
            <w:r>
              <w:rPr>
                <w:rFonts w:asciiTheme="minorEastAsia" w:hAnsiTheme="minorEastAsia" w:eastAsiaTheme="minorEastAsia"/>
                <w:color w:val="auto"/>
                <w:szCs w:val="21"/>
              </w:rPr>
              <w:t>开标时间</w:t>
            </w:r>
            <w:r>
              <w:rPr>
                <w:rFonts w:hint="eastAsia" w:asciiTheme="minorEastAsia" w:hAnsiTheme="minorEastAsia" w:eastAsiaTheme="minorEastAsia"/>
                <w:color w:val="auto"/>
                <w:szCs w:val="21"/>
              </w:rPr>
              <w:t>：</w:t>
            </w:r>
            <w:r>
              <w:rPr>
                <w:rFonts w:asciiTheme="minorEastAsia" w:hAnsiTheme="minorEastAsia" w:eastAsiaTheme="minorEastAsia"/>
                <w:color w:val="auto"/>
                <w:szCs w:val="21"/>
              </w:rPr>
              <w:t>同投标截止时间</w:t>
            </w:r>
          </w:p>
          <w:p w14:paraId="67900B5A">
            <w:pPr>
              <w:spacing w:line="440" w:lineRule="exact"/>
              <w:rPr>
                <w:rFonts w:asciiTheme="minorEastAsia" w:hAnsiTheme="minorEastAsia" w:eastAsiaTheme="minorEastAsia"/>
                <w:color w:val="auto"/>
                <w:szCs w:val="21"/>
              </w:rPr>
            </w:pPr>
            <w:r>
              <w:rPr>
                <w:rFonts w:asciiTheme="minorEastAsia" w:hAnsiTheme="minorEastAsia" w:eastAsiaTheme="minorEastAsia"/>
                <w:color w:val="auto"/>
                <w:szCs w:val="21"/>
              </w:rPr>
              <w:t>开标地点</w:t>
            </w:r>
            <w:r>
              <w:rPr>
                <w:rFonts w:hint="eastAsia" w:asciiTheme="minorEastAsia" w:hAnsiTheme="minorEastAsia" w:eastAsiaTheme="minorEastAsia"/>
                <w:color w:val="auto"/>
                <w:szCs w:val="21"/>
              </w:rPr>
              <w:t>：同投标文件递交地点</w:t>
            </w:r>
          </w:p>
        </w:tc>
      </w:tr>
      <w:tr w14:paraId="5D7AEF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2" w:hRule="atLeast"/>
          <w:jc w:val="center"/>
        </w:trPr>
        <w:tc>
          <w:tcPr>
            <w:tcW w:w="1000" w:type="dxa"/>
            <w:vAlign w:val="center"/>
          </w:tcPr>
          <w:p w14:paraId="58BD4A81">
            <w:pPr>
              <w:spacing w:line="440" w:lineRule="exact"/>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5.2</w:t>
            </w:r>
          </w:p>
        </w:tc>
        <w:tc>
          <w:tcPr>
            <w:tcW w:w="2790" w:type="dxa"/>
            <w:vAlign w:val="center"/>
          </w:tcPr>
          <w:p w14:paraId="7934CF2F">
            <w:pPr>
              <w:spacing w:line="440" w:lineRule="exact"/>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开标程序</w:t>
            </w:r>
          </w:p>
        </w:tc>
        <w:tc>
          <w:tcPr>
            <w:tcW w:w="6064" w:type="dxa"/>
            <w:vAlign w:val="center"/>
          </w:tcPr>
          <w:p w14:paraId="68F12121">
            <w:pPr>
              <w:spacing w:line="44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1、电子化投标文件采用双重加密方式。开标时，首先由投标人使用CA证书，在规定时间内对其电子化投标文件进行首次解密，投标人解密完成后，再由中介服务机构使用CA证书对投标文件进行再次解密。</w:t>
            </w:r>
          </w:p>
          <w:p w14:paraId="5552F308">
            <w:pPr>
              <w:spacing w:line="44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2、电子化投标文件解密异常的处理</w:t>
            </w:r>
          </w:p>
          <w:p w14:paraId="00003273">
            <w:pPr>
              <w:spacing w:line="44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如出现投标人的电子投标文件无法解密的情况，投标人应及时联系中介服务机构说明。投标文件解密异常，按以下步骤进行处理：</w:t>
            </w:r>
          </w:p>
          <w:p w14:paraId="546F3223">
            <w:pPr>
              <w:spacing w:line="44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（1）首先由技术人员进行问题排查。</w:t>
            </w:r>
          </w:p>
          <w:p w14:paraId="7B4DCA90">
            <w:pPr>
              <w:spacing w:line="44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（2）经技术人员排查后，是投标人文件自身问题导致投标文件无法解密的，该投标文件将不予接收、解密和唱标，开标会议继续进行。</w:t>
            </w:r>
          </w:p>
          <w:p w14:paraId="49C9336A">
            <w:pPr>
              <w:spacing w:line="44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685BFD96">
            <w:pPr>
              <w:spacing w:line="44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（4）投标文件解密后，投标人自行查看各自标段投标报价、工期、质量等，应交易中心要求，不在进行唱标，对报价有异议的，应在开标后5分钟内电话提出，逾期或未提出的视为认同开标结果。</w:t>
            </w:r>
          </w:p>
          <w:p w14:paraId="513EF227">
            <w:pPr>
              <w:spacing w:line="44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（5）开标结束。</w:t>
            </w:r>
          </w:p>
        </w:tc>
      </w:tr>
      <w:tr w14:paraId="3564FC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9" w:hRule="atLeast"/>
          <w:jc w:val="center"/>
        </w:trPr>
        <w:tc>
          <w:tcPr>
            <w:tcW w:w="1000" w:type="dxa"/>
            <w:vAlign w:val="center"/>
          </w:tcPr>
          <w:p w14:paraId="0E93C348">
            <w:pPr>
              <w:spacing w:line="440" w:lineRule="exact"/>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5.3</w:t>
            </w:r>
          </w:p>
        </w:tc>
        <w:tc>
          <w:tcPr>
            <w:tcW w:w="2790" w:type="dxa"/>
            <w:vAlign w:val="center"/>
          </w:tcPr>
          <w:p w14:paraId="060A23FB">
            <w:pPr>
              <w:spacing w:line="440" w:lineRule="exact"/>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废标条件</w:t>
            </w:r>
          </w:p>
        </w:tc>
        <w:tc>
          <w:tcPr>
            <w:tcW w:w="6064" w:type="dxa"/>
            <w:vAlign w:val="center"/>
          </w:tcPr>
          <w:p w14:paraId="0768F029">
            <w:pPr>
              <w:spacing w:line="44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按招标文件要求</w:t>
            </w:r>
          </w:p>
        </w:tc>
      </w:tr>
      <w:tr w14:paraId="4C6C4B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0" w:hRule="atLeast"/>
          <w:jc w:val="center"/>
        </w:trPr>
        <w:tc>
          <w:tcPr>
            <w:tcW w:w="1000" w:type="dxa"/>
            <w:vAlign w:val="center"/>
          </w:tcPr>
          <w:p w14:paraId="3C7B16AD">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6.1.1</w:t>
            </w:r>
          </w:p>
        </w:tc>
        <w:tc>
          <w:tcPr>
            <w:tcW w:w="2790" w:type="dxa"/>
            <w:vAlign w:val="center"/>
          </w:tcPr>
          <w:p w14:paraId="4FD3B4F2">
            <w:pPr>
              <w:spacing w:line="440" w:lineRule="exact"/>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评标委员会的组建</w:t>
            </w:r>
          </w:p>
        </w:tc>
        <w:tc>
          <w:tcPr>
            <w:tcW w:w="6064" w:type="dxa"/>
            <w:vAlign w:val="center"/>
          </w:tcPr>
          <w:p w14:paraId="677AC054">
            <w:pPr>
              <w:spacing w:line="440" w:lineRule="exact"/>
              <w:rPr>
                <w:rFonts w:hint="eastAsia" w:cs="Times New Roman" w:asciiTheme="minorEastAsia" w:hAnsiTheme="minorEastAsia" w:eastAsiaTheme="minorEastAsia"/>
                <w:color w:val="auto"/>
                <w:szCs w:val="21"/>
                <w:lang w:eastAsia="zh-CN"/>
              </w:rPr>
            </w:pPr>
            <w:r>
              <w:rPr>
                <w:rFonts w:hint="eastAsia" w:asciiTheme="minorEastAsia" w:hAnsiTheme="minorEastAsia" w:eastAsiaTheme="minorEastAsia"/>
                <w:color w:val="auto"/>
                <w:szCs w:val="21"/>
              </w:rPr>
              <w:t>评标委员会构成：由招标人代表和有关经济、技术等方面的评审专</w:t>
            </w:r>
            <w:r>
              <w:rPr>
                <w:rFonts w:hint="eastAsia" w:cs="Times New Roman" w:asciiTheme="minorEastAsia" w:hAnsiTheme="minorEastAsia" w:eastAsiaTheme="minorEastAsia"/>
                <w:color w:val="auto"/>
                <w:szCs w:val="21"/>
              </w:rPr>
              <w:t>家5人以上单数组成</w:t>
            </w:r>
            <w:r>
              <w:rPr>
                <w:rFonts w:hint="eastAsia" w:cs="Times New Roman" w:asciiTheme="minorEastAsia" w:hAnsiTheme="minorEastAsia" w:eastAsiaTheme="minorEastAsia"/>
                <w:color w:val="auto"/>
                <w:szCs w:val="21"/>
                <w:lang w:eastAsia="zh-CN"/>
              </w:rPr>
              <w:t>。</w:t>
            </w:r>
          </w:p>
          <w:p w14:paraId="2A10D0FC">
            <w:pPr>
              <w:spacing w:line="440" w:lineRule="exact"/>
              <w:rPr>
                <w:rFonts w:hint="eastAsia" w:cs="Times New Roman" w:asciiTheme="minorEastAsia" w:hAnsiTheme="minorEastAsia" w:eastAsiaTheme="minorEastAsia"/>
                <w:color w:val="auto"/>
                <w:szCs w:val="21"/>
              </w:rPr>
            </w:pPr>
            <w:r>
              <w:rPr>
                <w:rFonts w:hint="eastAsia" w:cs="Times New Roman" w:asciiTheme="minorEastAsia" w:hAnsiTheme="minorEastAsia" w:eastAsiaTheme="minorEastAsia"/>
                <w:color w:val="auto"/>
                <w:szCs w:val="21"/>
              </w:rPr>
              <w:t>评标专家确定方式：由招标人在开标前从相关评标专家库中随机抽取。</w:t>
            </w:r>
          </w:p>
          <w:p w14:paraId="2932D288">
            <w:pPr>
              <w:spacing w:line="440" w:lineRule="exact"/>
              <w:rPr>
                <w:rFonts w:asciiTheme="minorEastAsia" w:hAnsiTheme="minorEastAsia" w:eastAsiaTheme="minorEastAsia"/>
                <w:color w:val="auto"/>
                <w:szCs w:val="21"/>
              </w:rPr>
            </w:pPr>
            <w:r>
              <w:rPr>
                <w:rFonts w:hint="eastAsia" w:cs="Times New Roman" w:asciiTheme="minorEastAsia" w:hAnsiTheme="minorEastAsia" w:eastAsiaTheme="minorEastAsia"/>
                <w:color w:val="auto"/>
                <w:szCs w:val="21"/>
              </w:rPr>
              <w:t>上述规定为一组评标专家组成方式，根据项目标段数量和评标工作量，可由多组专家完成评审，但一个标段只能由一组专家评审。</w:t>
            </w:r>
          </w:p>
        </w:tc>
      </w:tr>
      <w:tr w14:paraId="31AAC3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00" w:type="dxa"/>
            <w:vAlign w:val="center"/>
          </w:tcPr>
          <w:p w14:paraId="4C90E115">
            <w:pPr>
              <w:spacing w:line="440" w:lineRule="exact"/>
              <w:jc w:val="center"/>
              <w:rPr>
                <w:rFonts w:asciiTheme="minorEastAsia" w:hAnsiTheme="minorEastAsia" w:eastAsiaTheme="minorEastAsia"/>
                <w:color w:val="auto"/>
                <w:szCs w:val="21"/>
              </w:rPr>
            </w:pPr>
            <w:r>
              <w:rPr>
                <w:rFonts w:asciiTheme="minorEastAsia" w:hAnsiTheme="minorEastAsia" w:eastAsiaTheme="minorEastAsia"/>
                <w:color w:val="auto"/>
                <w:szCs w:val="21"/>
              </w:rPr>
              <w:t>7.1</w:t>
            </w:r>
          </w:p>
        </w:tc>
        <w:tc>
          <w:tcPr>
            <w:tcW w:w="2790" w:type="dxa"/>
            <w:vAlign w:val="center"/>
          </w:tcPr>
          <w:p w14:paraId="75274899">
            <w:pPr>
              <w:spacing w:line="440" w:lineRule="exact"/>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是否授权评标委员会确定中标人</w:t>
            </w:r>
          </w:p>
        </w:tc>
        <w:tc>
          <w:tcPr>
            <w:tcW w:w="6064" w:type="dxa"/>
            <w:vAlign w:val="center"/>
          </w:tcPr>
          <w:p w14:paraId="20F11D4B">
            <w:pPr>
              <w:spacing w:line="440" w:lineRule="exact"/>
              <w:rPr>
                <w:rFonts w:asciiTheme="minorEastAsia" w:hAnsiTheme="minorEastAsia" w:eastAsiaTheme="minorEastAsia"/>
                <w:color w:val="auto"/>
                <w:szCs w:val="21"/>
              </w:rPr>
            </w:pPr>
            <w:r>
              <w:rPr>
                <w:rFonts w:hint="eastAsia" w:cs="Times New Roman" w:asciiTheme="minorEastAsia" w:hAnsiTheme="minorEastAsia" w:eastAsiaTheme="minorEastAsia"/>
                <w:color w:val="auto"/>
                <w:szCs w:val="21"/>
              </w:rPr>
              <w:t>否，按照评审得分由高到低顺序推荐3名成交候选供应商</w:t>
            </w:r>
          </w:p>
        </w:tc>
      </w:tr>
      <w:tr w14:paraId="7A9AE2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00" w:type="dxa"/>
            <w:vAlign w:val="center"/>
          </w:tcPr>
          <w:p w14:paraId="4E1D5A76">
            <w:pPr>
              <w:spacing w:line="440" w:lineRule="exact"/>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7.2</w:t>
            </w:r>
          </w:p>
        </w:tc>
        <w:tc>
          <w:tcPr>
            <w:tcW w:w="2790" w:type="dxa"/>
            <w:vAlign w:val="center"/>
          </w:tcPr>
          <w:p w14:paraId="3C90D0F0">
            <w:pPr>
              <w:spacing w:line="440" w:lineRule="exact"/>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中标候选人公示媒介</w:t>
            </w:r>
          </w:p>
        </w:tc>
        <w:tc>
          <w:tcPr>
            <w:tcW w:w="6064" w:type="dxa"/>
            <w:vAlign w:val="center"/>
          </w:tcPr>
          <w:p w14:paraId="18D23A09">
            <w:pPr>
              <w:autoSpaceDE w:val="0"/>
              <w:autoSpaceDN w:val="0"/>
              <w:spacing w:line="32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中标后公示3日历天，在发布招标公告的媒体上公示</w:t>
            </w:r>
          </w:p>
        </w:tc>
      </w:tr>
      <w:tr w14:paraId="7BF41F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3" w:hRule="atLeast"/>
          <w:jc w:val="center"/>
        </w:trPr>
        <w:tc>
          <w:tcPr>
            <w:tcW w:w="1000" w:type="dxa"/>
            <w:vAlign w:val="center"/>
          </w:tcPr>
          <w:p w14:paraId="18A42C5C">
            <w:pPr>
              <w:autoSpaceDE w:val="0"/>
              <w:autoSpaceDN w:val="0"/>
              <w:spacing w:line="320" w:lineRule="exact"/>
              <w:jc w:val="center"/>
              <w:rPr>
                <w:rFonts w:asciiTheme="minorEastAsia" w:hAnsiTheme="minorEastAsia" w:eastAsiaTheme="minorEastAsia"/>
                <w:color w:val="auto"/>
                <w:szCs w:val="21"/>
              </w:rPr>
            </w:pPr>
            <w:r>
              <w:rPr>
                <w:rFonts w:asciiTheme="minorEastAsia" w:hAnsiTheme="minorEastAsia" w:eastAsiaTheme="minorEastAsia"/>
                <w:color w:val="auto"/>
                <w:kern w:val="0"/>
                <w:szCs w:val="21"/>
              </w:rPr>
              <w:t>9</w:t>
            </w:r>
            <w:r>
              <w:rPr>
                <w:rFonts w:hint="eastAsia" w:asciiTheme="minorEastAsia" w:hAnsiTheme="minorEastAsia" w:eastAsiaTheme="minorEastAsia"/>
                <w:color w:val="auto"/>
                <w:kern w:val="0"/>
                <w:szCs w:val="21"/>
              </w:rPr>
              <w:t>.3</w:t>
            </w:r>
          </w:p>
        </w:tc>
        <w:tc>
          <w:tcPr>
            <w:tcW w:w="2790" w:type="dxa"/>
            <w:vAlign w:val="center"/>
          </w:tcPr>
          <w:p w14:paraId="11BCB67A">
            <w:pPr>
              <w:autoSpaceDE w:val="0"/>
              <w:autoSpaceDN w:val="0"/>
              <w:spacing w:line="320" w:lineRule="exact"/>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招标文件解释权</w:t>
            </w:r>
          </w:p>
        </w:tc>
        <w:tc>
          <w:tcPr>
            <w:tcW w:w="6064" w:type="dxa"/>
            <w:vAlign w:val="center"/>
          </w:tcPr>
          <w:p w14:paraId="294A7F32">
            <w:pPr>
              <w:autoSpaceDE w:val="0"/>
              <w:autoSpaceDN w:val="0"/>
              <w:spacing w:line="320" w:lineRule="exact"/>
              <w:rPr>
                <w:rFonts w:asciiTheme="minorEastAsia" w:hAnsiTheme="minorEastAsia" w:eastAsiaTheme="minorEastAsia"/>
                <w:color w:val="auto"/>
                <w:szCs w:val="21"/>
              </w:rPr>
            </w:pPr>
            <w:r>
              <w:rPr>
                <w:rFonts w:hint="eastAsia" w:asciiTheme="minorEastAsia" w:hAnsiTheme="minorEastAsia" w:eastAsiaTheme="minorEastAsia"/>
                <w:color w:val="auto"/>
                <w:szCs w:val="21"/>
              </w:rPr>
              <w:t>本招标文件解释权归招标人</w:t>
            </w:r>
          </w:p>
        </w:tc>
      </w:tr>
      <w:tr w14:paraId="0153D5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77" w:hRule="atLeast"/>
          <w:jc w:val="center"/>
        </w:trPr>
        <w:tc>
          <w:tcPr>
            <w:tcW w:w="1000" w:type="dxa"/>
            <w:vAlign w:val="center"/>
          </w:tcPr>
          <w:p w14:paraId="1F0BC7B9">
            <w:pPr>
              <w:autoSpaceDE w:val="0"/>
              <w:autoSpaceDN w:val="0"/>
              <w:spacing w:line="320" w:lineRule="exact"/>
              <w:jc w:val="center"/>
              <w:rPr>
                <w:rFonts w:asciiTheme="minorEastAsia" w:hAnsiTheme="minorEastAsia" w:eastAsiaTheme="minorEastAsia"/>
                <w:color w:val="auto"/>
                <w:szCs w:val="21"/>
              </w:rPr>
            </w:pPr>
            <w:r>
              <w:rPr>
                <w:rFonts w:asciiTheme="minorEastAsia" w:hAnsiTheme="minorEastAsia" w:eastAsiaTheme="minorEastAsia"/>
                <w:color w:val="auto"/>
                <w:kern w:val="0"/>
                <w:szCs w:val="21"/>
              </w:rPr>
              <w:t>9</w:t>
            </w:r>
            <w:r>
              <w:rPr>
                <w:rFonts w:hint="eastAsia" w:asciiTheme="minorEastAsia" w:hAnsiTheme="minorEastAsia" w:eastAsiaTheme="minorEastAsia"/>
                <w:color w:val="auto"/>
                <w:kern w:val="0"/>
                <w:szCs w:val="21"/>
              </w:rPr>
              <w:t>.4</w:t>
            </w:r>
          </w:p>
        </w:tc>
        <w:tc>
          <w:tcPr>
            <w:tcW w:w="2790" w:type="dxa"/>
            <w:vAlign w:val="center"/>
          </w:tcPr>
          <w:p w14:paraId="7F0BDBE8">
            <w:pPr>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投标人参加开标会的人员</w:t>
            </w:r>
          </w:p>
        </w:tc>
        <w:tc>
          <w:tcPr>
            <w:tcW w:w="6064" w:type="dxa"/>
            <w:vAlign w:val="center"/>
          </w:tcPr>
          <w:p w14:paraId="107E7E3A">
            <w:pPr>
              <w:rPr>
                <w:rFonts w:asciiTheme="minorEastAsia" w:hAnsiTheme="minorEastAsia" w:eastAsiaTheme="minorEastAsia"/>
                <w:color w:val="auto"/>
                <w:szCs w:val="21"/>
              </w:rPr>
            </w:pPr>
            <w:r>
              <w:rPr>
                <w:rFonts w:hint="eastAsia" w:asciiTheme="minorEastAsia" w:hAnsiTheme="minorEastAsia" w:eastAsiaTheme="minorEastAsia"/>
                <w:color w:val="auto"/>
                <w:szCs w:val="21"/>
              </w:rPr>
              <w:t>不要求投标人员到场，但应在规定的时间内上传投标文件。</w:t>
            </w:r>
          </w:p>
        </w:tc>
      </w:tr>
      <w:tr w14:paraId="2AF21A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3" w:hRule="atLeast"/>
          <w:jc w:val="center"/>
        </w:trPr>
        <w:tc>
          <w:tcPr>
            <w:tcW w:w="1000" w:type="dxa"/>
            <w:tcBorders>
              <w:bottom w:val="single" w:color="auto" w:sz="4" w:space="0"/>
            </w:tcBorders>
            <w:vAlign w:val="center"/>
          </w:tcPr>
          <w:p w14:paraId="17867A38">
            <w:pPr>
              <w:autoSpaceDE w:val="0"/>
              <w:autoSpaceDN w:val="0"/>
              <w:spacing w:line="320" w:lineRule="exact"/>
              <w:jc w:val="center"/>
              <w:rPr>
                <w:rFonts w:hint="default" w:asciiTheme="minorEastAsia" w:hAnsiTheme="minorEastAsia" w:eastAsiaTheme="minorEastAsia"/>
                <w:color w:val="auto"/>
                <w:kern w:val="0"/>
                <w:szCs w:val="21"/>
                <w:lang w:val="en-US" w:eastAsia="zh-CN"/>
              </w:rPr>
            </w:pPr>
            <w:r>
              <w:rPr>
                <w:rFonts w:hint="eastAsia" w:asciiTheme="minorEastAsia" w:hAnsiTheme="minorEastAsia" w:eastAsiaTheme="minorEastAsia"/>
                <w:color w:val="auto"/>
                <w:kern w:val="0"/>
                <w:szCs w:val="21"/>
                <w:lang w:val="en-US" w:eastAsia="zh-CN"/>
              </w:rPr>
              <w:t>9.5</w:t>
            </w:r>
          </w:p>
        </w:tc>
        <w:tc>
          <w:tcPr>
            <w:tcW w:w="2790" w:type="dxa"/>
            <w:tcBorders>
              <w:bottom w:val="single" w:color="auto" w:sz="4" w:space="0"/>
            </w:tcBorders>
            <w:vAlign w:val="center"/>
          </w:tcPr>
          <w:p w14:paraId="3EDCCC82">
            <w:pPr>
              <w:spacing w:line="360" w:lineRule="exact"/>
              <w:ind w:firstLine="723" w:firstLineChars="300"/>
              <w:rPr>
                <w:rFonts w:hint="eastAsia" w:asciiTheme="minorEastAsia" w:hAnsiTheme="minorEastAsia" w:eastAsiaTheme="minorEastAsia"/>
                <w:color w:val="auto"/>
                <w:szCs w:val="21"/>
              </w:rPr>
            </w:pPr>
            <w:r>
              <w:rPr>
                <w:rFonts w:hint="eastAsia" w:ascii="宋体" w:hAnsi="宋体" w:cs="宋体"/>
                <w:b/>
                <w:bCs/>
                <w:color w:val="auto"/>
                <w:kern w:val="0"/>
                <w:sz w:val="24"/>
              </w:rPr>
              <w:t>招标代理费</w:t>
            </w:r>
          </w:p>
        </w:tc>
        <w:tc>
          <w:tcPr>
            <w:tcW w:w="6064" w:type="dxa"/>
            <w:tcBorders>
              <w:bottom w:val="single" w:color="auto" w:sz="4" w:space="0"/>
            </w:tcBorders>
            <w:vAlign w:val="center"/>
          </w:tcPr>
          <w:p w14:paraId="7B379B3D">
            <w:pPr>
              <w:spacing w:line="360" w:lineRule="exact"/>
              <w:rPr>
                <w:rFonts w:hint="eastAsia" w:asciiTheme="minorEastAsia" w:hAnsiTheme="minorEastAsia" w:eastAsiaTheme="minorEastAsia"/>
                <w:color w:val="auto"/>
                <w:szCs w:val="21"/>
              </w:rPr>
            </w:pPr>
            <w:r>
              <w:rPr>
                <w:rFonts w:hint="eastAsia" w:ascii="宋体" w:hAnsi="宋体" w:eastAsia="宋体" w:cs="宋体"/>
                <w:b/>
                <w:bCs/>
                <w:color w:val="auto"/>
                <w:kern w:val="0"/>
                <w:sz w:val="24"/>
                <w:lang w:val="en-US" w:eastAsia="zh-CN"/>
              </w:rPr>
              <w:t>参照豫招协【2023】002文规定收取，由中标人在领取中标通知书时向招标代理机构一次性缴纳，本次招标代理服务费金</w:t>
            </w:r>
            <w:r>
              <w:rPr>
                <w:rFonts w:hint="eastAsia" w:ascii="宋体" w:hAnsi="宋体" w:cs="宋体"/>
                <w:b/>
                <w:bCs/>
                <w:color w:val="auto"/>
                <w:kern w:val="0"/>
                <w:sz w:val="24"/>
                <w:lang w:val="en-US" w:eastAsia="zh-CN"/>
              </w:rPr>
              <w:t>额为12240.00元</w:t>
            </w:r>
            <w:r>
              <w:rPr>
                <w:rFonts w:hint="eastAsia" w:ascii="宋体" w:hAnsi="宋体" w:cs="宋体"/>
                <w:b/>
                <w:bCs/>
                <w:color w:val="auto"/>
                <w:kern w:val="0"/>
                <w:sz w:val="24"/>
              </w:rPr>
              <w:t>。</w:t>
            </w:r>
          </w:p>
        </w:tc>
      </w:tr>
      <w:tr w14:paraId="396FBA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2" w:hRule="atLeast"/>
          <w:jc w:val="center"/>
        </w:trPr>
        <w:tc>
          <w:tcPr>
            <w:tcW w:w="1000" w:type="dxa"/>
            <w:tcBorders>
              <w:top w:val="single" w:color="auto" w:sz="4" w:space="0"/>
            </w:tcBorders>
            <w:vAlign w:val="center"/>
          </w:tcPr>
          <w:p w14:paraId="707633EC">
            <w:pPr>
              <w:autoSpaceDE w:val="0"/>
              <w:autoSpaceDN w:val="0"/>
              <w:spacing w:line="320" w:lineRule="exact"/>
              <w:jc w:val="center"/>
              <w:rPr>
                <w:rFonts w:hint="default" w:asciiTheme="minorEastAsia" w:hAnsiTheme="minorEastAsia" w:eastAsiaTheme="minorEastAsia"/>
                <w:color w:val="auto"/>
                <w:kern w:val="0"/>
                <w:szCs w:val="21"/>
                <w:lang w:val="en-US" w:eastAsia="zh-CN"/>
              </w:rPr>
            </w:pPr>
            <w:r>
              <w:rPr>
                <w:rFonts w:hint="eastAsia" w:asciiTheme="minorEastAsia" w:hAnsiTheme="minorEastAsia" w:eastAsiaTheme="minorEastAsia"/>
                <w:color w:val="auto"/>
                <w:kern w:val="0"/>
                <w:szCs w:val="21"/>
                <w:lang w:val="en-US" w:eastAsia="zh-CN"/>
              </w:rPr>
              <w:t>9.6</w:t>
            </w:r>
          </w:p>
        </w:tc>
        <w:tc>
          <w:tcPr>
            <w:tcW w:w="2790" w:type="dxa"/>
            <w:tcBorders>
              <w:top w:val="single" w:color="auto" w:sz="4" w:space="0"/>
            </w:tcBorders>
            <w:vAlign w:val="center"/>
          </w:tcPr>
          <w:p w14:paraId="74AB988E">
            <w:pPr>
              <w:spacing w:line="360" w:lineRule="exact"/>
              <w:ind w:firstLine="723" w:firstLineChars="300"/>
              <w:rPr>
                <w:rFonts w:hint="eastAsia" w:ascii="宋体" w:hAnsi="宋体" w:eastAsia="宋体" w:cs="宋体"/>
                <w:b/>
                <w:bCs/>
                <w:color w:val="auto"/>
                <w:kern w:val="0"/>
                <w:sz w:val="24"/>
                <w:lang w:eastAsia="zh-CN"/>
              </w:rPr>
            </w:pPr>
            <w:r>
              <w:rPr>
                <w:rFonts w:hint="eastAsia" w:ascii="宋体" w:hAnsi="宋体" w:eastAsia="宋体" w:cs="宋体"/>
                <w:b/>
                <w:bCs/>
                <w:color w:val="auto"/>
                <w:kern w:val="0"/>
                <w:sz w:val="24"/>
                <w:lang w:val="en-US" w:eastAsia="zh-CN"/>
              </w:rPr>
              <w:t>所属行业</w:t>
            </w:r>
          </w:p>
        </w:tc>
        <w:tc>
          <w:tcPr>
            <w:tcW w:w="6064" w:type="dxa"/>
            <w:tcBorders>
              <w:top w:val="single" w:color="auto" w:sz="4" w:space="0"/>
            </w:tcBorders>
            <w:vAlign w:val="center"/>
          </w:tcPr>
          <w:p w14:paraId="4B362ED0">
            <w:pPr>
              <w:spacing w:line="360" w:lineRule="exact"/>
              <w:rPr>
                <w:rFonts w:hint="eastAsia" w:ascii="宋体" w:hAnsi="宋体" w:eastAsia="宋体" w:cs="宋体"/>
                <w:b/>
                <w:bCs/>
                <w:color w:val="auto"/>
                <w:kern w:val="0"/>
                <w:sz w:val="24"/>
                <w:lang w:eastAsia="zh-CN"/>
              </w:rPr>
            </w:pPr>
            <w:r>
              <w:rPr>
                <w:rFonts w:hint="eastAsia" w:ascii="宋体" w:hAnsi="宋体" w:eastAsia="宋体" w:cs="宋体"/>
                <w:b/>
                <w:bCs/>
                <w:color w:val="auto"/>
                <w:kern w:val="0"/>
                <w:sz w:val="24"/>
                <w:lang w:val="en-US" w:eastAsia="zh-CN"/>
              </w:rPr>
              <w:t>其他未列明行业</w:t>
            </w:r>
          </w:p>
        </w:tc>
      </w:tr>
      <w:tr w14:paraId="1886B8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00" w:type="dxa"/>
            <w:tcBorders>
              <w:top w:val="single" w:color="auto" w:sz="4" w:space="0"/>
            </w:tcBorders>
            <w:vAlign w:val="center"/>
          </w:tcPr>
          <w:p w14:paraId="7CB4E500">
            <w:pPr>
              <w:autoSpaceDE w:val="0"/>
              <w:autoSpaceDN w:val="0"/>
              <w:spacing w:line="320" w:lineRule="exact"/>
              <w:jc w:val="center"/>
              <w:rPr>
                <w:rFonts w:hint="default" w:asciiTheme="minorEastAsia" w:hAnsiTheme="minorEastAsia" w:eastAsiaTheme="minorEastAsia"/>
                <w:color w:val="auto"/>
                <w:kern w:val="0"/>
                <w:szCs w:val="21"/>
                <w:lang w:val="en-US" w:eastAsia="zh-CN"/>
              </w:rPr>
            </w:pPr>
            <w:r>
              <w:rPr>
                <w:rFonts w:hint="eastAsia" w:asciiTheme="minorEastAsia" w:hAnsiTheme="minorEastAsia" w:eastAsiaTheme="minorEastAsia"/>
                <w:color w:val="auto"/>
                <w:kern w:val="0"/>
                <w:szCs w:val="21"/>
                <w:lang w:val="en-US" w:eastAsia="zh-CN"/>
              </w:rPr>
              <w:t>9.7</w:t>
            </w:r>
          </w:p>
        </w:tc>
        <w:tc>
          <w:tcPr>
            <w:tcW w:w="8854" w:type="dxa"/>
            <w:gridSpan w:val="2"/>
            <w:tcBorders>
              <w:top w:val="single" w:color="auto" w:sz="4" w:space="0"/>
            </w:tcBorders>
            <w:vAlign w:val="center"/>
          </w:tcPr>
          <w:p w14:paraId="68770E98">
            <w:pPr>
              <w:pStyle w:val="159"/>
              <w:spacing w:before="76" w:line="270" w:lineRule="auto"/>
              <w:ind w:left="11" w:hanging="1"/>
              <w:jc w:val="both"/>
              <w:rPr>
                <w:rFonts w:hint="eastAsia" w:ascii="宋体" w:hAnsi="宋体" w:eastAsia="宋体" w:cs="宋体"/>
                <w:color w:val="auto"/>
                <w:spacing w:val="5"/>
                <w:lang w:val="en-US" w:eastAsia="zh-CN"/>
              </w:rPr>
            </w:pPr>
            <w:r>
              <w:rPr>
                <w:rFonts w:hint="eastAsia" w:ascii="宋体" w:hAnsi="宋体" w:eastAsia="宋体" w:cs="宋体"/>
                <w:color w:val="auto"/>
                <w:spacing w:val="5"/>
                <w:lang w:val="en-US" w:eastAsia="zh-CN"/>
              </w:rPr>
              <w:t>甲方在签订合同后3日内向乙方支付合同金额的50%，乙方提交初稿文件后，甲方支付至合同金额的80%，最终成果资料通过有关部门审查合格后，甲方支付合同的剩余金额。</w:t>
            </w:r>
          </w:p>
        </w:tc>
      </w:tr>
      <w:tr w14:paraId="03875E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2" w:hRule="atLeast"/>
          <w:jc w:val="center"/>
        </w:trPr>
        <w:tc>
          <w:tcPr>
            <w:tcW w:w="1000" w:type="dxa"/>
            <w:tcBorders>
              <w:top w:val="single" w:color="auto" w:sz="4" w:space="0"/>
            </w:tcBorders>
            <w:vAlign w:val="center"/>
          </w:tcPr>
          <w:p w14:paraId="55BA0D6D">
            <w:pPr>
              <w:autoSpaceDE w:val="0"/>
              <w:autoSpaceDN w:val="0"/>
              <w:spacing w:line="320" w:lineRule="exact"/>
              <w:jc w:val="center"/>
              <w:rPr>
                <w:rFonts w:hint="default" w:asciiTheme="minorEastAsia" w:hAnsiTheme="minorEastAsia" w:eastAsiaTheme="minorEastAsia"/>
                <w:color w:val="auto"/>
                <w:kern w:val="0"/>
                <w:szCs w:val="21"/>
                <w:lang w:val="en-US" w:eastAsia="zh-CN"/>
              </w:rPr>
            </w:pPr>
            <w:r>
              <w:rPr>
                <w:rFonts w:hint="eastAsia" w:asciiTheme="minorEastAsia" w:hAnsiTheme="minorEastAsia" w:eastAsiaTheme="minorEastAsia"/>
                <w:color w:val="auto"/>
                <w:kern w:val="0"/>
                <w:szCs w:val="21"/>
                <w:lang w:val="en-US" w:eastAsia="zh-CN"/>
              </w:rPr>
              <w:t>9.8</w:t>
            </w:r>
          </w:p>
        </w:tc>
        <w:tc>
          <w:tcPr>
            <w:tcW w:w="8854" w:type="dxa"/>
            <w:gridSpan w:val="2"/>
            <w:tcBorders>
              <w:top w:val="single" w:color="auto" w:sz="4" w:space="0"/>
            </w:tcBorders>
            <w:vAlign w:val="center"/>
          </w:tcPr>
          <w:p w14:paraId="51E40B0B">
            <w:pPr>
              <w:pStyle w:val="159"/>
              <w:spacing w:before="76" w:line="270" w:lineRule="auto"/>
              <w:ind w:left="11" w:hanging="1"/>
              <w:jc w:val="both"/>
              <w:rPr>
                <w:rFonts w:hint="eastAsia" w:ascii="宋体" w:hAnsi="宋体" w:eastAsia="宋体" w:cs="宋体"/>
                <w:color w:val="auto"/>
                <w:spacing w:val="5"/>
                <w:lang w:val="en-US" w:eastAsia="zh-CN"/>
              </w:rPr>
            </w:pPr>
            <w:r>
              <w:rPr>
                <w:rFonts w:hint="eastAsia" w:ascii="宋体" w:hAnsi="宋体" w:eastAsia="宋体" w:cs="宋体"/>
                <w:color w:val="auto"/>
                <w:spacing w:val="5"/>
              </w:rPr>
              <w:t>合同在线签订，</w:t>
            </w:r>
            <w:r>
              <w:rPr>
                <w:rFonts w:hint="eastAsia" w:ascii="宋体" w:hAnsi="宋体" w:eastAsia="宋体" w:cs="宋体"/>
                <w:color w:val="auto"/>
                <w:spacing w:val="5"/>
                <w:lang w:eastAsia="zh-CN"/>
              </w:rPr>
              <w:t>采购人</w:t>
            </w:r>
            <w:r>
              <w:rPr>
                <w:rFonts w:hint="eastAsia" w:ascii="宋体" w:hAnsi="宋体" w:eastAsia="宋体" w:cs="宋体"/>
                <w:color w:val="auto"/>
                <w:spacing w:val="5"/>
              </w:rPr>
              <w:t>（采购人）与中标人（供应商）利用平顶山公共资源交易平台“合同在线签订模块”，将电子合同推送至对方进行审核，经双方确认均无异议通过后，进行在线签章，完成合同签订并公示。</w:t>
            </w:r>
          </w:p>
        </w:tc>
      </w:tr>
      <w:tr w14:paraId="23791B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2" w:hRule="atLeast"/>
          <w:jc w:val="center"/>
        </w:trPr>
        <w:tc>
          <w:tcPr>
            <w:tcW w:w="1000" w:type="dxa"/>
            <w:tcBorders>
              <w:top w:val="single" w:color="auto" w:sz="4" w:space="0"/>
            </w:tcBorders>
            <w:vAlign w:val="center"/>
          </w:tcPr>
          <w:p w14:paraId="05FDD26B">
            <w:pPr>
              <w:autoSpaceDE w:val="0"/>
              <w:autoSpaceDN w:val="0"/>
              <w:spacing w:line="320" w:lineRule="exact"/>
              <w:jc w:val="center"/>
              <w:rPr>
                <w:rFonts w:hint="default" w:asciiTheme="minorEastAsia" w:hAnsiTheme="minorEastAsia" w:eastAsiaTheme="minorEastAsia"/>
                <w:color w:val="auto"/>
                <w:kern w:val="0"/>
                <w:szCs w:val="21"/>
                <w:lang w:val="en-US" w:eastAsia="zh-CN"/>
              </w:rPr>
            </w:pPr>
            <w:r>
              <w:rPr>
                <w:rFonts w:hint="eastAsia" w:asciiTheme="minorEastAsia" w:hAnsiTheme="minorEastAsia" w:eastAsiaTheme="minorEastAsia"/>
                <w:color w:val="auto"/>
                <w:kern w:val="0"/>
                <w:szCs w:val="21"/>
                <w:lang w:val="en-US" w:eastAsia="zh-CN"/>
              </w:rPr>
              <w:t>10.1</w:t>
            </w:r>
          </w:p>
        </w:tc>
        <w:tc>
          <w:tcPr>
            <w:tcW w:w="2790" w:type="dxa"/>
            <w:tcBorders>
              <w:top w:val="single" w:color="auto" w:sz="4" w:space="0"/>
            </w:tcBorders>
            <w:vAlign w:val="center"/>
          </w:tcPr>
          <w:p w14:paraId="753B2BEC">
            <w:pPr>
              <w:spacing w:line="336" w:lineRule="auto"/>
              <w:jc w:val="center"/>
              <w:rPr>
                <w:rFonts w:hint="eastAsia" w:ascii="宋体" w:hAnsi="宋体" w:eastAsia="宋体" w:cs="宋体"/>
                <w:b/>
                <w:bCs/>
                <w:color w:val="auto"/>
                <w:kern w:val="0"/>
                <w:sz w:val="24"/>
                <w:lang w:val="en-US" w:eastAsia="zh-CN"/>
              </w:rPr>
            </w:pPr>
            <w:r>
              <w:rPr>
                <w:rFonts w:hint="eastAsia" w:ascii="宋体" w:hAnsi="宋体" w:cs="宋体"/>
                <w:color w:val="auto"/>
                <w:szCs w:val="21"/>
              </w:rPr>
              <w:t>政采领域优化营商环境相关政策</w:t>
            </w:r>
          </w:p>
        </w:tc>
        <w:tc>
          <w:tcPr>
            <w:tcW w:w="6064" w:type="dxa"/>
            <w:tcBorders>
              <w:top w:val="single" w:color="auto" w:sz="4" w:space="0"/>
            </w:tcBorders>
            <w:vAlign w:val="top"/>
          </w:tcPr>
          <w:p w14:paraId="1967A9CC">
            <w:pPr>
              <w:pStyle w:val="159"/>
              <w:spacing w:before="1" w:line="227" w:lineRule="auto"/>
              <w:rPr>
                <w:color w:val="auto"/>
                <w:sz w:val="20"/>
                <w:szCs w:val="20"/>
              </w:rPr>
            </w:pPr>
            <w:r>
              <w:rPr>
                <w:rFonts w:hint="eastAsia"/>
                <w:b/>
                <w:bCs/>
                <w:color w:val="auto"/>
                <w:spacing w:val="8"/>
                <w:sz w:val="20"/>
                <w:szCs w:val="20"/>
                <w:lang w:val="en-US" w:eastAsia="zh-CN"/>
              </w:rPr>
              <w:t>一</w:t>
            </w:r>
            <w:r>
              <w:rPr>
                <w:b/>
                <w:bCs/>
                <w:color w:val="auto"/>
                <w:spacing w:val="8"/>
                <w:sz w:val="20"/>
                <w:szCs w:val="20"/>
              </w:rPr>
              <w:t>、保障市场主体自由平等参与政府采购活动</w:t>
            </w:r>
          </w:p>
          <w:p w14:paraId="6616A938">
            <w:pPr>
              <w:pStyle w:val="159"/>
              <w:spacing w:before="76" w:line="270" w:lineRule="auto"/>
              <w:ind w:left="11" w:hanging="1"/>
              <w:jc w:val="both"/>
              <w:rPr>
                <w:color w:val="auto"/>
                <w:spacing w:val="5"/>
              </w:rPr>
            </w:pPr>
            <w:r>
              <w:rPr>
                <w:color w:val="auto"/>
                <w:spacing w:val="5"/>
              </w:rPr>
              <w:t>本文件严格落实《中华人民共和国政府采购法》等相关法律法规的要求，依法保障各类市场主体平等参与政府采购活动的权利。在开展采购活动时无下列情形：</w:t>
            </w:r>
          </w:p>
          <w:p w14:paraId="1808DFAE">
            <w:pPr>
              <w:pStyle w:val="159"/>
              <w:spacing w:before="76" w:line="270" w:lineRule="auto"/>
              <w:ind w:left="11" w:hanging="1"/>
              <w:jc w:val="both"/>
              <w:rPr>
                <w:color w:val="auto"/>
                <w:spacing w:val="5"/>
              </w:rPr>
            </w:pPr>
            <w:r>
              <w:rPr>
                <w:rFonts w:hint="eastAsia"/>
                <w:color w:val="auto"/>
                <w:spacing w:val="5"/>
                <w:lang w:eastAsia="zh-CN"/>
              </w:rPr>
              <w:t>（</w:t>
            </w:r>
            <w:r>
              <w:rPr>
                <w:rFonts w:hint="eastAsia"/>
                <w:color w:val="auto"/>
                <w:spacing w:val="5"/>
                <w:lang w:val="en-US" w:eastAsia="zh-CN"/>
              </w:rPr>
              <w:t>1）</w:t>
            </w:r>
            <w:r>
              <w:rPr>
                <w:color w:val="auto"/>
                <w:spacing w:val="5"/>
              </w:rPr>
              <w:t>以供应商的所有制形式、组织形式或者股权结构，对供应商实施差别待遇或者歧视待遇，对民营企业设置不平等条款，对内资企业和外资企业在中国境内生产的产品、提供的服务区别对待；</w:t>
            </w:r>
          </w:p>
          <w:p w14:paraId="7F6224C8">
            <w:pPr>
              <w:pStyle w:val="159"/>
              <w:spacing w:before="76" w:line="270" w:lineRule="auto"/>
              <w:ind w:left="11" w:hanging="1"/>
              <w:jc w:val="both"/>
              <w:rPr>
                <w:color w:val="auto"/>
                <w:spacing w:val="5"/>
              </w:rPr>
            </w:pPr>
            <w:r>
              <w:rPr>
                <w:color w:val="auto"/>
                <w:spacing w:val="5"/>
              </w:rPr>
              <w:t>（2）通过入围方式设置备选库、名录库、资格库作为参与政府采购活动的资格条件，妨碍供应商进入政府采购市场；</w:t>
            </w:r>
          </w:p>
          <w:p w14:paraId="62504B52">
            <w:pPr>
              <w:pStyle w:val="159"/>
              <w:spacing w:before="76" w:line="270" w:lineRule="auto"/>
              <w:ind w:left="11" w:hanging="1"/>
              <w:jc w:val="both"/>
              <w:rPr>
                <w:color w:val="auto"/>
                <w:spacing w:val="5"/>
              </w:rPr>
            </w:pPr>
            <w:r>
              <w:rPr>
                <w:color w:val="auto"/>
                <w:spacing w:val="5"/>
              </w:rPr>
              <w:t>（3）要求供应商在政府采购活动前进行不必要的登记、注册，或者要求设立分支机构，设置或者变相设置进入政府采购市场的障碍；</w:t>
            </w:r>
          </w:p>
          <w:p w14:paraId="58809362">
            <w:pPr>
              <w:pStyle w:val="159"/>
              <w:spacing w:before="76" w:line="270" w:lineRule="auto"/>
              <w:ind w:left="11" w:hanging="1"/>
              <w:jc w:val="both"/>
              <w:rPr>
                <w:color w:val="auto"/>
                <w:spacing w:val="5"/>
              </w:rPr>
            </w:pPr>
            <w:r>
              <w:rPr>
                <w:color w:val="auto"/>
                <w:spacing w:val="5"/>
              </w:rPr>
              <w:t>（4）设置或者变相设置供应商规模、成立年限等门槛，限制供应商参与政府采购活动；</w:t>
            </w:r>
          </w:p>
          <w:p w14:paraId="2D46525C">
            <w:pPr>
              <w:pStyle w:val="159"/>
              <w:spacing w:before="76" w:line="270" w:lineRule="auto"/>
              <w:ind w:left="11" w:hanging="1"/>
              <w:jc w:val="both"/>
              <w:rPr>
                <w:color w:val="auto"/>
                <w:spacing w:val="5"/>
              </w:rPr>
            </w:pPr>
            <w:r>
              <w:rPr>
                <w:color w:val="auto"/>
                <w:spacing w:val="5"/>
              </w:rPr>
              <w:t>（5）要求供应商购买指定软件，作为参加电子化政府采购活动的条件；</w:t>
            </w:r>
          </w:p>
          <w:p w14:paraId="7D49ED93">
            <w:pPr>
              <w:pStyle w:val="159"/>
              <w:spacing w:before="76" w:line="270" w:lineRule="auto"/>
              <w:ind w:left="11" w:hanging="1"/>
              <w:jc w:val="both"/>
              <w:rPr>
                <w:color w:val="auto"/>
                <w:spacing w:val="5"/>
              </w:rPr>
            </w:pPr>
            <w:r>
              <w:rPr>
                <w:color w:val="auto"/>
                <w:spacing w:val="5"/>
              </w:rPr>
              <w:t>（6）不依法及时、有效、完整发布或者提供采购项目信息，妨碍供应商参与政府采购活动；</w:t>
            </w:r>
          </w:p>
          <w:p w14:paraId="75AB3E33">
            <w:pPr>
              <w:pStyle w:val="159"/>
              <w:spacing w:before="76" w:line="270" w:lineRule="auto"/>
              <w:ind w:left="11" w:hanging="1"/>
              <w:jc w:val="both"/>
              <w:rPr>
                <w:color w:val="auto"/>
                <w:spacing w:val="5"/>
              </w:rPr>
            </w:pPr>
            <w:r>
              <w:rPr>
                <w:color w:val="auto"/>
                <w:spacing w:val="5"/>
              </w:rPr>
              <w:t>（7）设置没有法律法规依据的审批、备案、监管、处罚、收费等事项；</w:t>
            </w:r>
          </w:p>
          <w:p w14:paraId="5945D4E0">
            <w:pPr>
              <w:pStyle w:val="159"/>
              <w:spacing w:before="76" w:line="270" w:lineRule="auto"/>
              <w:ind w:left="11" w:hanging="1"/>
              <w:jc w:val="both"/>
              <w:rPr>
                <w:color w:val="auto"/>
                <w:spacing w:val="5"/>
              </w:rPr>
            </w:pPr>
            <w:r>
              <w:rPr>
                <w:color w:val="auto"/>
                <w:spacing w:val="5"/>
              </w:rPr>
              <w:t>（8）违反法律法规相关规定的其他妨碍公平竞争的情形。</w:t>
            </w:r>
          </w:p>
          <w:p w14:paraId="10AC7C46">
            <w:pPr>
              <w:pStyle w:val="159"/>
              <w:spacing w:before="192" w:line="228" w:lineRule="auto"/>
              <w:ind w:left="111"/>
              <w:rPr>
                <w:color w:val="auto"/>
                <w:sz w:val="20"/>
                <w:szCs w:val="20"/>
              </w:rPr>
            </w:pPr>
            <w:r>
              <w:rPr>
                <w:rFonts w:hint="eastAsia"/>
                <w:b/>
                <w:bCs/>
                <w:color w:val="auto"/>
                <w:spacing w:val="7"/>
                <w:sz w:val="20"/>
                <w:szCs w:val="20"/>
                <w:lang w:val="en-US" w:eastAsia="zh-CN"/>
              </w:rPr>
              <w:t>二</w:t>
            </w:r>
            <w:r>
              <w:rPr>
                <w:b/>
                <w:bCs/>
                <w:color w:val="auto"/>
                <w:spacing w:val="7"/>
                <w:sz w:val="20"/>
                <w:szCs w:val="20"/>
              </w:rPr>
              <w:t>、落实预留采购份额</w:t>
            </w:r>
          </w:p>
          <w:p w14:paraId="3D859E89">
            <w:pPr>
              <w:pStyle w:val="159"/>
              <w:spacing w:before="76" w:line="270" w:lineRule="auto"/>
              <w:ind w:left="11" w:hanging="1"/>
              <w:jc w:val="both"/>
              <w:rPr>
                <w:color w:val="auto"/>
                <w:sz w:val="20"/>
                <w:szCs w:val="20"/>
              </w:rPr>
            </w:pPr>
            <w:r>
              <w:rPr>
                <w:color w:val="auto"/>
                <w:spacing w:val="5"/>
              </w:rPr>
              <w:t>招标人应当按照财政部、工信部印发的《政府采购促进中小企业发展管理办法》的通知精神（财库〔2020〕46号）组织评估本部门及 所属单位政府采购项目，统筹制定面向中小企业预留采购份额的具体方案，对适宜由中小企业提供的采购项目和采购包，预留采购份额专门面向中小企业采购，并在政府采购预算中单独列示。采购限额标准以上，200万元以下的货物和服务采购项目、400万元以下的工程采购项目，适宜由中小企业提供的，采购单位应当专门面向中小企业采购。超过200万元的货物和服务采购项目、超过400万元的工程采购项目中适宜由中小企业提供的，预留该部分采购项目预算总额的 30%以上专门面向中小企业采购，其中预留给小微企业的比例不低于60%。确实不适宜由中小企业提供的，应当参照《政府采购促进中小企业发展管理办法》第六条在采购文件中说明理由。按照平顶山市财政局出台的《平顶山市财政局关于进一步加大政府采购支持中小企业力度的通知》（平财购〔2022〕8号）的规定：超过400万元的工程采购项目中适宜由中小企业提供的，招标人在坚持公开公正、公平竞争原则和统一质量标准的前提下，2022年下半年面向中小企业的预留份额由30%以上阶段性提高至40%以上，其中预留给小微企业的比例不低于60%。</w:t>
            </w:r>
          </w:p>
          <w:p w14:paraId="1C74A55D">
            <w:pPr>
              <w:pStyle w:val="159"/>
              <w:spacing w:before="192" w:line="227" w:lineRule="auto"/>
              <w:ind w:left="131"/>
              <w:rPr>
                <w:color w:val="auto"/>
                <w:sz w:val="20"/>
                <w:szCs w:val="20"/>
              </w:rPr>
            </w:pPr>
            <w:r>
              <w:rPr>
                <w:rFonts w:hint="eastAsia"/>
                <w:b/>
                <w:bCs/>
                <w:color w:val="auto"/>
                <w:spacing w:val="6"/>
                <w:sz w:val="20"/>
                <w:szCs w:val="20"/>
                <w:lang w:val="en-US" w:eastAsia="zh-CN"/>
              </w:rPr>
              <w:t>三</w:t>
            </w:r>
            <w:r>
              <w:rPr>
                <w:b/>
                <w:bCs/>
                <w:color w:val="auto"/>
                <w:spacing w:val="6"/>
                <w:sz w:val="20"/>
                <w:szCs w:val="20"/>
              </w:rPr>
              <w:t>、落实价格评审优惠政策</w:t>
            </w:r>
          </w:p>
          <w:p w14:paraId="04D8028A">
            <w:pPr>
              <w:pStyle w:val="159"/>
              <w:spacing w:before="76" w:line="270" w:lineRule="auto"/>
              <w:ind w:left="11" w:hanging="1"/>
              <w:jc w:val="both"/>
              <w:rPr>
                <w:color w:val="auto"/>
                <w:spacing w:val="5"/>
              </w:rPr>
            </w:pPr>
            <w:r>
              <w:rPr>
                <w:color w:val="auto"/>
                <w:spacing w:val="5"/>
              </w:rPr>
              <w:t>对于未预留份额专门面向中小企业采购的采购项目，以及预留份额项目中的非预留部分采购包，招标人、招标代理机构应当对符合《政府采购促进中小企业发展管理办法》（财库〔2020〕46号）规定的小微企业报价给予6%—10%（工程项目为 3%—5%）的扣除，用扣除后的价格参加评审。大中型企业与小微企业组成联合体或者大中型企业向小微企业分包的（联合协议或者分包意向协议约定小微企业的合同份额应占合同总金额的30%以上），给予联合体或大中型企业2%—3%（工程项目为 1% —2%）的价格扣除优惠，用扣除后的价格参加评审。按照平顶山市财政局出台的《平顶山市财政局关于进一步加大政府采购支持中小企业力度的通知》（平财购〔2022〕8号）的规定：招标人在货物和服务采购项目中，对于经主管预算单位统筹后未预留份额专门面向中小企业的采购项目，以及预留份额项目中的非预留部分采购包，给予小微企业 10% —20%的价格扣除优惠。大中型企业与小微企业组成联合体或者大中型企业向小微企业分包的（联合协议或者分包意向协议约定小微企业的合同份额应占合同总金额的30%以上），给予联合体或大中型企业4%—6% 的价格扣除优惠，用扣除后的价格参加评审。鼓励招标人结合采购标的 相关行业平均利润率、市场竞争状况等从高选择价格扣除比例和评审优 惠幅度，支持中小企业发展。上述政策应当在评审办法中注明确定值。</w:t>
            </w:r>
          </w:p>
          <w:p w14:paraId="04D00B71">
            <w:pPr>
              <w:pStyle w:val="159"/>
              <w:spacing w:before="1" w:line="405" w:lineRule="auto"/>
              <w:ind w:right="108"/>
              <w:rPr>
                <w:color w:val="auto"/>
                <w:sz w:val="20"/>
                <w:szCs w:val="20"/>
              </w:rPr>
            </w:pPr>
            <w:r>
              <w:rPr>
                <w:b/>
                <w:bCs/>
                <w:color w:val="auto"/>
                <w:spacing w:val="6"/>
                <w:sz w:val="20"/>
                <w:szCs w:val="20"/>
              </w:rPr>
              <w:t>注：</w:t>
            </w:r>
            <w:r>
              <w:rPr>
                <w:rFonts w:hint="eastAsia" w:ascii="宋体" w:hAnsi="宋体" w:eastAsia="宋体" w:cs="宋体"/>
                <w:b/>
                <w:bCs/>
                <w:color w:val="auto"/>
                <w:kern w:val="2"/>
                <w:sz w:val="21"/>
                <w:szCs w:val="21"/>
                <w:highlight w:val="none"/>
                <w:lang w:val="en-US" w:eastAsia="zh-CN" w:bidi="ar-SA"/>
              </w:rPr>
              <w:t>本项目属于专门面向中小企业采购的项目，不再执行价格评审优惠</w:t>
            </w:r>
            <w:r>
              <w:rPr>
                <w:b/>
                <w:bCs/>
                <w:color w:val="auto"/>
                <w:spacing w:val="2"/>
                <w:sz w:val="20"/>
                <w:szCs w:val="20"/>
              </w:rPr>
              <w:t>。</w:t>
            </w:r>
          </w:p>
          <w:p w14:paraId="10BA1FD2">
            <w:pPr>
              <w:pStyle w:val="159"/>
              <w:spacing w:before="1" w:line="228" w:lineRule="auto"/>
              <w:ind w:left="115"/>
              <w:rPr>
                <w:color w:val="auto"/>
                <w:sz w:val="20"/>
                <w:szCs w:val="20"/>
              </w:rPr>
            </w:pPr>
            <w:r>
              <w:rPr>
                <w:rFonts w:hint="eastAsia"/>
                <w:b/>
                <w:bCs/>
                <w:color w:val="auto"/>
                <w:spacing w:val="7"/>
                <w:sz w:val="20"/>
                <w:szCs w:val="20"/>
                <w:lang w:val="en-US" w:eastAsia="zh-CN"/>
              </w:rPr>
              <w:t>四</w:t>
            </w:r>
            <w:r>
              <w:rPr>
                <w:b/>
                <w:bCs/>
                <w:color w:val="auto"/>
                <w:spacing w:val="7"/>
                <w:sz w:val="20"/>
                <w:szCs w:val="20"/>
              </w:rPr>
              <w:t>、鼓励实行预付款保函</w:t>
            </w:r>
          </w:p>
          <w:p w14:paraId="632E58F7">
            <w:pPr>
              <w:pStyle w:val="159"/>
              <w:spacing w:before="76" w:line="270" w:lineRule="auto"/>
              <w:ind w:left="11" w:hanging="1"/>
              <w:jc w:val="both"/>
              <w:rPr>
                <w:color w:val="auto"/>
                <w:sz w:val="20"/>
                <w:szCs w:val="20"/>
              </w:rPr>
            </w:pPr>
            <w:r>
              <w:rPr>
                <w:color w:val="auto"/>
                <w:spacing w:val="5"/>
              </w:rPr>
              <w:t>采购人可在政府采购合同履约前向中标成交供应商预付一部分合同资金，进一步缓解中标成交供应商运营压力和交易成本。预付款原则上不超过合同金额的30%，采购人向供应商支付预付款的，可要求供应商提交预付款保函。预付款比例、保函提交要求等要在采购文件和合同中约定。</w:t>
            </w:r>
          </w:p>
          <w:p w14:paraId="2746EEF4">
            <w:pPr>
              <w:pStyle w:val="159"/>
              <w:spacing w:before="1" w:line="227" w:lineRule="auto"/>
              <w:ind w:left="113"/>
              <w:rPr>
                <w:color w:val="auto"/>
                <w:sz w:val="20"/>
                <w:szCs w:val="20"/>
              </w:rPr>
            </w:pPr>
            <w:r>
              <w:rPr>
                <w:rFonts w:hint="eastAsia"/>
                <w:b/>
                <w:bCs/>
                <w:color w:val="auto"/>
                <w:spacing w:val="7"/>
                <w:sz w:val="20"/>
                <w:szCs w:val="20"/>
                <w:lang w:val="en-US" w:eastAsia="zh-CN"/>
              </w:rPr>
              <w:t>五</w:t>
            </w:r>
            <w:r>
              <w:rPr>
                <w:b/>
                <w:bCs/>
                <w:color w:val="auto"/>
                <w:spacing w:val="7"/>
                <w:sz w:val="20"/>
                <w:szCs w:val="20"/>
              </w:rPr>
              <w:t>、推广政府采购合同融资</w:t>
            </w:r>
          </w:p>
          <w:p w14:paraId="2011D521">
            <w:pPr>
              <w:pStyle w:val="159"/>
              <w:spacing w:before="178" w:line="405" w:lineRule="auto"/>
              <w:ind w:left="115" w:right="37" w:hanging="5"/>
              <w:rPr>
                <w:color w:val="auto"/>
                <w:spacing w:val="5"/>
              </w:rPr>
            </w:pPr>
            <w:r>
              <w:rPr>
                <w:color w:val="auto"/>
                <w:spacing w:val="7"/>
                <w:sz w:val="20"/>
                <w:szCs w:val="20"/>
              </w:rPr>
              <w:t>要</w:t>
            </w:r>
            <w:r>
              <w:rPr>
                <w:color w:val="auto"/>
                <w:spacing w:val="5"/>
              </w:rPr>
              <w:t>求采购人和代理机构将“政府采购合同融资告知函”写入招标文件，鼓励中标供应商凭借采购合同申请贷款，助力解决中小企业融资难、融资贵的问题。（“政府采购合同融资告知函”详见本采购文件附件）</w:t>
            </w:r>
          </w:p>
          <w:p w14:paraId="4F5017BA">
            <w:pPr>
              <w:pStyle w:val="159"/>
              <w:spacing w:line="227" w:lineRule="auto"/>
              <w:ind w:left="110"/>
              <w:rPr>
                <w:color w:val="auto"/>
                <w:sz w:val="20"/>
                <w:szCs w:val="20"/>
              </w:rPr>
            </w:pPr>
            <w:r>
              <w:rPr>
                <w:rFonts w:hint="eastAsia"/>
                <w:b/>
                <w:bCs/>
                <w:color w:val="auto"/>
                <w:spacing w:val="8"/>
                <w:sz w:val="20"/>
                <w:szCs w:val="20"/>
                <w:lang w:val="en-US" w:eastAsia="zh-CN"/>
              </w:rPr>
              <w:t>六</w:t>
            </w:r>
            <w:r>
              <w:rPr>
                <w:b/>
                <w:bCs/>
                <w:color w:val="auto"/>
                <w:spacing w:val="8"/>
                <w:sz w:val="20"/>
                <w:szCs w:val="20"/>
              </w:rPr>
              <w:t>、维护企业在政府采购活动中的知情权</w:t>
            </w:r>
          </w:p>
          <w:p w14:paraId="01541269">
            <w:pPr>
              <w:pStyle w:val="159"/>
              <w:spacing w:before="178" w:line="405" w:lineRule="auto"/>
              <w:ind w:left="115" w:right="37" w:hanging="5"/>
              <w:rPr>
                <w:color w:val="auto"/>
                <w:spacing w:val="5"/>
              </w:rPr>
            </w:pPr>
            <w:r>
              <w:rPr>
                <w:color w:val="auto"/>
                <w:spacing w:val="5"/>
              </w:rPr>
              <w:t>采用公开招标采购方式的政府采购项目，在公告中标结果的同时，对未通过资格审查的投标人，采购人或者采购代理机构应告知其未通过的原因；采用综合评分法评审的，还应当告知未中标人本人的评审得分与排序。</w:t>
            </w:r>
          </w:p>
          <w:p w14:paraId="43BF2F73">
            <w:pPr>
              <w:pStyle w:val="159"/>
              <w:spacing w:before="1" w:line="227" w:lineRule="auto"/>
              <w:ind w:left="115"/>
              <w:rPr>
                <w:color w:val="auto"/>
                <w:sz w:val="20"/>
                <w:szCs w:val="20"/>
              </w:rPr>
            </w:pPr>
            <w:r>
              <w:rPr>
                <w:rFonts w:hint="eastAsia"/>
                <w:b/>
                <w:bCs/>
                <w:color w:val="auto"/>
                <w:spacing w:val="7"/>
                <w:sz w:val="20"/>
                <w:szCs w:val="20"/>
                <w:lang w:val="en-US" w:eastAsia="zh-CN"/>
              </w:rPr>
              <w:t>七</w:t>
            </w:r>
            <w:r>
              <w:rPr>
                <w:b/>
                <w:bCs/>
                <w:color w:val="auto"/>
                <w:spacing w:val="7"/>
                <w:sz w:val="20"/>
                <w:szCs w:val="20"/>
              </w:rPr>
              <w:t>、提供中小企业声明函格式</w:t>
            </w:r>
          </w:p>
          <w:p w14:paraId="5488A0D3">
            <w:pPr>
              <w:pStyle w:val="159"/>
              <w:spacing w:before="178" w:line="405" w:lineRule="auto"/>
              <w:ind w:left="115" w:right="37" w:hanging="5"/>
              <w:rPr>
                <w:color w:val="auto"/>
                <w:spacing w:val="5"/>
              </w:rPr>
            </w:pPr>
            <w:r>
              <w:rPr>
                <w:color w:val="auto"/>
                <w:spacing w:val="5"/>
              </w:rPr>
              <w:t>在采购文件中，采购代理机构应按照财政部、工信部印发的《政府采购促进中小企业发展管理办法》的通知精神（财库〔2020〕46 号）提供中小企业声明函格式（详见本采购文件附件）。</w:t>
            </w:r>
          </w:p>
          <w:p w14:paraId="1B262BFF">
            <w:pPr>
              <w:pStyle w:val="159"/>
              <w:spacing w:before="76" w:line="270" w:lineRule="auto"/>
              <w:ind w:left="11" w:hanging="1"/>
              <w:jc w:val="both"/>
              <w:rPr>
                <w:color w:val="auto"/>
                <w:spacing w:val="5"/>
              </w:rPr>
            </w:pPr>
            <w:r>
              <w:rPr>
                <w:color w:val="auto"/>
                <w:spacing w:val="5"/>
              </w:rPr>
              <w:t>根据《政府采购促进中小企业发展管理办法》（财库〔2020〕46号）第四条：在政府采购活动中，供应商提供的货物、工程或者服务符合下列情形的，享受本办法规定的中小企业扶持政策：</w:t>
            </w:r>
          </w:p>
          <w:p w14:paraId="5E42A340">
            <w:pPr>
              <w:pStyle w:val="159"/>
              <w:spacing w:before="76" w:line="270" w:lineRule="auto"/>
              <w:ind w:left="11" w:hanging="1"/>
              <w:jc w:val="both"/>
              <w:rPr>
                <w:color w:val="auto"/>
                <w:spacing w:val="5"/>
              </w:rPr>
            </w:pPr>
            <w:r>
              <w:rPr>
                <w:color w:val="auto"/>
                <w:spacing w:val="5"/>
              </w:rPr>
              <w:t>（1）在货物采购项目中，货物由中小企业制造，即货物由中小企业生产且使用该中小企业商号或者注册商标；</w:t>
            </w:r>
          </w:p>
          <w:p w14:paraId="3981FB4E">
            <w:pPr>
              <w:pStyle w:val="159"/>
              <w:spacing w:before="76" w:line="270" w:lineRule="auto"/>
              <w:ind w:left="11" w:hanging="1"/>
              <w:jc w:val="both"/>
              <w:rPr>
                <w:color w:val="auto"/>
                <w:spacing w:val="5"/>
              </w:rPr>
            </w:pPr>
            <w:r>
              <w:rPr>
                <w:color w:val="auto"/>
                <w:spacing w:val="5"/>
              </w:rPr>
              <w:t>（2）在工程采购项目中，工程由中小企业承建，即工程施工单位为中小企业；</w:t>
            </w:r>
          </w:p>
          <w:p w14:paraId="0D415E50">
            <w:pPr>
              <w:pStyle w:val="159"/>
              <w:spacing w:before="76" w:line="270" w:lineRule="auto"/>
              <w:ind w:left="11" w:hanging="1"/>
              <w:jc w:val="both"/>
              <w:rPr>
                <w:color w:val="auto"/>
                <w:spacing w:val="5"/>
              </w:rPr>
            </w:pPr>
            <w:r>
              <w:rPr>
                <w:color w:val="auto"/>
                <w:spacing w:val="5"/>
              </w:rPr>
              <w:t>（3）在服务采购项目中，服务由中小企业承接，即提供服务的人员为中小企业依照《中华人民共和国劳动合同法》订立劳动合同的从业人员。</w:t>
            </w:r>
          </w:p>
          <w:p w14:paraId="5FC97045">
            <w:pPr>
              <w:pStyle w:val="159"/>
              <w:spacing w:before="76" w:line="270" w:lineRule="auto"/>
              <w:ind w:left="11" w:hanging="1"/>
              <w:jc w:val="both"/>
              <w:rPr>
                <w:color w:val="auto"/>
                <w:spacing w:val="5"/>
              </w:rPr>
            </w:pPr>
            <w:r>
              <w:rPr>
                <w:color w:val="auto"/>
                <w:spacing w:val="5"/>
              </w:rPr>
              <w:t>在货物采购项目中，供应商提供的货物既有中小企业制造货物，也有大型企业制造货物的，不享受本办法规定的中小企业扶持政策。</w:t>
            </w:r>
          </w:p>
          <w:p w14:paraId="5DE47CCD">
            <w:pPr>
              <w:pStyle w:val="159"/>
              <w:spacing w:before="76" w:line="270" w:lineRule="auto"/>
              <w:ind w:left="11" w:hanging="1"/>
              <w:jc w:val="both"/>
              <w:rPr>
                <w:color w:val="auto"/>
                <w:spacing w:val="5"/>
              </w:rPr>
            </w:pPr>
            <w:r>
              <w:rPr>
                <w:color w:val="auto"/>
                <w:spacing w:val="5"/>
              </w:rPr>
              <w:t>以联合体形式参加政府采购活动，联合体各方均为中小企业的，联合体视同中小企业。其中，联合体各方均为小微企业的，联合体视同小微企业。</w:t>
            </w:r>
          </w:p>
          <w:p w14:paraId="72DA3646">
            <w:pPr>
              <w:pStyle w:val="159"/>
              <w:spacing w:before="76" w:line="270" w:lineRule="auto"/>
              <w:ind w:left="11" w:hanging="1"/>
              <w:jc w:val="both"/>
              <w:rPr>
                <w:color w:val="auto"/>
                <w:spacing w:val="5"/>
              </w:rPr>
            </w:pPr>
            <w:r>
              <w:rPr>
                <w:color w:val="auto"/>
                <w:spacing w:val="5"/>
              </w:rPr>
              <w:t xml:space="preserve">九、电子营业执照应用事项详见《平顶山市公共资源交易中心关于进一步深化电子营业执照在公共资源交易领域应用的通知》（网址：ht </w:t>
            </w:r>
            <w:r>
              <w:rPr>
                <w:color w:val="auto"/>
                <w:spacing w:val="5"/>
              </w:rPr>
              <w:fldChar w:fldCharType="begin"/>
            </w:r>
            <w:r>
              <w:rPr>
                <w:color w:val="auto"/>
                <w:spacing w:val="5"/>
              </w:rPr>
              <w:instrText xml:space="preserve"> HYPERLINK "tp://ggzy.pds.gov.cn/tzgg/70301.jhtml" </w:instrText>
            </w:r>
            <w:r>
              <w:rPr>
                <w:color w:val="auto"/>
                <w:spacing w:val="5"/>
              </w:rPr>
              <w:fldChar w:fldCharType="separate"/>
            </w:r>
            <w:r>
              <w:rPr>
                <w:color w:val="auto"/>
                <w:spacing w:val="5"/>
              </w:rPr>
              <w:t>tp://ggzy.pds.gov.cn/tzgg/70301.jhtml</w:t>
            </w:r>
            <w:r>
              <w:rPr>
                <w:color w:val="auto"/>
                <w:spacing w:val="5"/>
              </w:rPr>
              <w:fldChar w:fldCharType="end"/>
            </w:r>
            <w:r>
              <w:rPr>
                <w:color w:val="auto"/>
                <w:spacing w:val="5"/>
              </w:rPr>
              <w:t>）</w:t>
            </w:r>
          </w:p>
          <w:p w14:paraId="0FAF83F4">
            <w:pPr>
              <w:pStyle w:val="159"/>
              <w:spacing w:before="198" w:line="227" w:lineRule="auto"/>
              <w:rPr>
                <w:color w:val="auto"/>
                <w:sz w:val="20"/>
                <w:szCs w:val="20"/>
              </w:rPr>
            </w:pPr>
            <w:r>
              <w:rPr>
                <w:rFonts w:hint="eastAsia"/>
                <w:b/>
                <w:bCs/>
                <w:color w:val="auto"/>
                <w:spacing w:val="7"/>
                <w:sz w:val="20"/>
                <w:szCs w:val="20"/>
                <w:lang w:val="en-US" w:eastAsia="zh-CN"/>
              </w:rPr>
              <w:t>八</w:t>
            </w:r>
            <w:r>
              <w:rPr>
                <w:b/>
                <w:bCs/>
                <w:color w:val="auto"/>
                <w:spacing w:val="7"/>
                <w:sz w:val="20"/>
                <w:szCs w:val="20"/>
              </w:rPr>
              <w:t>、四方信用评价</w:t>
            </w:r>
          </w:p>
          <w:p w14:paraId="5583ECE9">
            <w:pPr>
              <w:pStyle w:val="159"/>
              <w:spacing w:before="76" w:line="270" w:lineRule="auto"/>
              <w:ind w:left="11" w:hanging="1"/>
              <w:jc w:val="both"/>
              <w:rPr>
                <w:color w:val="auto"/>
                <w:spacing w:val="5"/>
              </w:rPr>
            </w:pPr>
            <w:r>
              <w:rPr>
                <w:color w:val="auto"/>
                <w:spacing w:val="5"/>
              </w:rPr>
              <w:t>平顶山市政府采购项目已实行四方信用评价功能，各方主体请登录“平顶山市政府采购网”按照评价要求进行客观公正的评价。</w:t>
            </w:r>
          </w:p>
          <w:p w14:paraId="470E33EE">
            <w:pPr>
              <w:pStyle w:val="159"/>
              <w:spacing w:before="76" w:line="270" w:lineRule="auto"/>
              <w:ind w:left="11" w:hanging="1"/>
              <w:jc w:val="both"/>
              <w:rPr>
                <w:color w:val="auto"/>
                <w:spacing w:val="5"/>
              </w:rPr>
            </w:pPr>
            <w:r>
              <w:rPr>
                <w:color w:val="auto"/>
                <w:spacing w:val="5"/>
              </w:rPr>
              <w:t>1.采购人评价指标</w:t>
            </w:r>
          </w:p>
          <w:p w14:paraId="747CC698">
            <w:pPr>
              <w:pStyle w:val="159"/>
              <w:spacing w:before="76" w:line="270" w:lineRule="auto"/>
              <w:ind w:left="11" w:hanging="1"/>
              <w:jc w:val="both"/>
              <w:rPr>
                <w:color w:val="auto"/>
                <w:spacing w:val="5"/>
              </w:rPr>
            </w:pPr>
            <w:r>
              <w:rPr>
                <w:color w:val="auto"/>
                <w:spacing w:val="5"/>
              </w:rPr>
              <w:t>评价主体:中标、成交供应商。</w:t>
            </w:r>
          </w:p>
          <w:p w14:paraId="7BD22921">
            <w:pPr>
              <w:pStyle w:val="159"/>
              <w:spacing w:before="76" w:line="270" w:lineRule="auto"/>
              <w:ind w:left="11" w:hanging="1"/>
              <w:jc w:val="both"/>
              <w:rPr>
                <w:color w:val="auto"/>
                <w:spacing w:val="5"/>
              </w:rPr>
            </w:pPr>
            <w:r>
              <w:rPr>
                <w:color w:val="auto"/>
                <w:spacing w:val="5"/>
              </w:rPr>
              <w:t>评价节点:合同履约完成后。</w:t>
            </w:r>
          </w:p>
          <w:p w14:paraId="547F668F">
            <w:pPr>
              <w:pStyle w:val="159"/>
              <w:spacing w:before="76" w:line="270" w:lineRule="auto"/>
              <w:ind w:left="11" w:hanging="1"/>
              <w:jc w:val="both"/>
              <w:rPr>
                <w:color w:val="auto"/>
                <w:spacing w:val="5"/>
              </w:rPr>
            </w:pPr>
            <w:r>
              <w:rPr>
                <w:color w:val="auto"/>
                <w:spacing w:val="5"/>
              </w:rPr>
              <w:t>2.对中标、成交供应商评价指标</w:t>
            </w:r>
          </w:p>
          <w:p w14:paraId="37493561">
            <w:pPr>
              <w:pStyle w:val="159"/>
              <w:spacing w:before="76" w:line="270" w:lineRule="auto"/>
              <w:ind w:left="11" w:hanging="1"/>
              <w:jc w:val="both"/>
              <w:rPr>
                <w:color w:val="auto"/>
                <w:spacing w:val="5"/>
              </w:rPr>
            </w:pPr>
            <w:r>
              <w:rPr>
                <w:color w:val="auto"/>
                <w:spacing w:val="5"/>
              </w:rPr>
              <w:t>评价主体为:采购人。</w:t>
            </w:r>
          </w:p>
          <w:p w14:paraId="0C03ED2A">
            <w:pPr>
              <w:pStyle w:val="159"/>
              <w:spacing w:before="76" w:line="270" w:lineRule="auto"/>
              <w:ind w:left="11" w:hanging="1"/>
              <w:jc w:val="both"/>
              <w:rPr>
                <w:color w:val="auto"/>
                <w:spacing w:val="5"/>
              </w:rPr>
            </w:pPr>
            <w:r>
              <w:rPr>
                <w:color w:val="auto"/>
                <w:spacing w:val="5"/>
              </w:rPr>
              <w:t>评价节点:合同履约完成后。</w:t>
            </w:r>
          </w:p>
          <w:p w14:paraId="4ED67B12">
            <w:pPr>
              <w:pStyle w:val="159"/>
              <w:spacing w:before="76" w:line="270" w:lineRule="auto"/>
              <w:ind w:left="11" w:hanging="1"/>
              <w:jc w:val="both"/>
              <w:rPr>
                <w:color w:val="auto"/>
                <w:spacing w:val="5"/>
              </w:rPr>
            </w:pPr>
            <w:r>
              <w:rPr>
                <w:color w:val="auto"/>
                <w:spacing w:val="5"/>
              </w:rPr>
              <w:t>3.评审专家评价指标</w:t>
            </w:r>
          </w:p>
          <w:p w14:paraId="713F4F2C">
            <w:pPr>
              <w:pStyle w:val="159"/>
              <w:spacing w:before="76" w:line="270" w:lineRule="auto"/>
              <w:ind w:left="11" w:hanging="1"/>
              <w:jc w:val="both"/>
              <w:rPr>
                <w:color w:val="auto"/>
                <w:spacing w:val="5"/>
              </w:rPr>
            </w:pPr>
            <w:r>
              <w:rPr>
                <w:color w:val="auto"/>
                <w:spacing w:val="5"/>
              </w:rPr>
              <w:t>评价主体为:采购人、代理机构。</w:t>
            </w:r>
          </w:p>
          <w:p w14:paraId="4B06C556">
            <w:pPr>
              <w:pStyle w:val="159"/>
              <w:spacing w:before="76" w:line="270" w:lineRule="auto"/>
              <w:ind w:left="11" w:hanging="1"/>
              <w:jc w:val="both"/>
              <w:rPr>
                <w:color w:val="auto"/>
                <w:spacing w:val="5"/>
              </w:rPr>
            </w:pPr>
            <w:r>
              <w:rPr>
                <w:color w:val="auto"/>
                <w:spacing w:val="5"/>
              </w:rPr>
              <w:t>评价节点:项目评审结束后。</w:t>
            </w:r>
          </w:p>
          <w:p w14:paraId="55330FF7">
            <w:pPr>
              <w:pStyle w:val="159"/>
              <w:spacing w:before="76" w:line="270" w:lineRule="auto"/>
              <w:ind w:left="11" w:hanging="1"/>
              <w:jc w:val="both"/>
              <w:rPr>
                <w:color w:val="auto"/>
                <w:spacing w:val="5"/>
              </w:rPr>
            </w:pPr>
            <w:r>
              <w:rPr>
                <w:color w:val="auto"/>
                <w:spacing w:val="5"/>
              </w:rPr>
              <w:t>4.代理机构评价指标</w:t>
            </w:r>
          </w:p>
          <w:p w14:paraId="6319D008">
            <w:pPr>
              <w:pStyle w:val="159"/>
              <w:spacing w:before="76" w:line="270" w:lineRule="auto"/>
              <w:ind w:left="11" w:hanging="1"/>
              <w:jc w:val="both"/>
              <w:rPr>
                <w:color w:val="auto"/>
                <w:spacing w:val="5"/>
              </w:rPr>
            </w:pPr>
            <w:r>
              <w:rPr>
                <w:color w:val="auto"/>
                <w:spacing w:val="5"/>
              </w:rPr>
              <w:t>评价主体为:采购人、评审专家、供应商。</w:t>
            </w:r>
          </w:p>
          <w:p w14:paraId="68725177">
            <w:pPr>
              <w:pStyle w:val="159"/>
              <w:spacing w:before="76" w:line="270" w:lineRule="auto"/>
              <w:ind w:left="11" w:leftChars="0" w:hanging="1" w:firstLineChars="0"/>
              <w:jc w:val="both"/>
              <w:rPr>
                <w:rFonts w:hint="eastAsia" w:ascii="宋体" w:hAnsi="宋体" w:eastAsia="宋体" w:cs="宋体"/>
                <w:b/>
                <w:bCs/>
                <w:color w:val="auto"/>
                <w:kern w:val="0"/>
                <w:sz w:val="24"/>
                <w:lang w:val="en-US" w:eastAsia="zh-CN"/>
              </w:rPr>
            </w:pPr>
            <w:r>
              <w:rPr>
                <w:color w:val="auto"/>
                <w:spacing w:val="5"/>
              </w:rPr>
              <w:t>评价节点:项目评审结束后。</w:t>
            </w:r>
          </w:p>
        </w:tc>
      </w:tr>
    </w:tbl>
    <w:p w14:paraId="41F68305">
      <w:pPr>
        <w:pStyle w:val="3"/>
        <w:spacing w:before="0" w:after="0" w:line="400" w:lineRule="exact"/>
        <w:rPr>
          <w:rFonts w:ascii="宋体" w:hAnsi="宋体"/>
          <w:sz w:val="24"/>
          <w:szCs w:val="24"/>
        </w:rPr>
      </w:pPr>
      <w:bookmarkStart w:id="27" w:name="_Toc5742"/>
      <w:r>
        <w:rPr>
          <w:rFonts w:hint="eastAsia" w:ascii="宋体" w:hAnsi="宋体"/>
          <w:sz w:val="24"/>
          <w:szCs w:val="24"/>
        </w:rPr>
        <w:t>1. 总则</w:t>
      </w:r>
      <w:bookmarkEnd w:id="22"/>
      <w:bookmarkEnd w:id="23"/>
      <w:bookmarkEnd w:id="24"/>
      <w:bookmarkEnd w:id="25"/>
      <w:bookmarkEnd w:id="26"/>
      <w:bookmarkEnd w:id="27"/>
    </w:p>
    <w:p w14:paraId="004471DA">
      <w:pPr>
        <w:pStyle w:val="4"/>
        <w:spacing w:before="0" w:after="0" w:line="400" w:lineRule="exact"/>
        <w:rPr>
          <w:rFonts w:asciiTheme="minorEastAsia" w:hAnsiTheme="minorEastAsia" w:eastAsiaTheme="minorEastAsia"/>
          <w:sz w:val="21"/>
          <w:szCs w:val="21"/>
        </w:rPr>
      </w:pPr>
      <w:bookmarkStart w:id="28" w:name="_Toc247527554"/>
      <w:bookmarkStart w:id="29" w:name="_Toc152042306"/>
      <w:bookmarkStart w:id="30" w:name="_Toc152045530"/>
      <w:bookmarkStart w:id="31" w:name="_Toc3024"/>
      <w:bookmarkStart w:id="32" w:name="_Toc247513953"/>
      <w:bookmarkStart w:id="33" w:name="_Toc144974498"/>
      <w:r>
        <w:rPr>
          <w:rFonts w:hint="eastAsia" w:asciiTheme="minorEastAsia" w:hAnsiTheme="minorEastAsia" w:eastAsiaTheme="minorEastAsia"/>
          <w:sz w:val="21"/>
          <w:szCs w:val="21"/>
        </w:rPr>
        <w:t>1.1 项目概况</w:t>
      </w:r>
      <w:bookmarkEnd w:id="28"/>
      <w:bookmarkEnd w:id="29"/>
      <w:bookmarkEnd w:id="30"/>
      <w:bookmarkEnd w:id="31"/>
      <w:bookmarkEnd w:id="32"/>
      <w:bookmarkEnd w:id="33"/>
    </w:p>
    <w:p w14:paraId="66B3E685">
      <w:pPr>
        <w:spacing w:line="400" w:lineRule="exact"/>
        <w:ind w:firstLine="411" w:firstLineChars="196"/>
        <w:rPr>
          <w:rFonts w:asciiTheme="minorEastAsia" w:hAnsiTheme="minorEastAsia" w:eastAsiaTheme="minorEastAsia"/>
          <w:szCs w:val="21"/>
        </w:rPr>
      </w:pPr>
      <w:r>
        <w:rPr>
          <w:rFonts w:hint="eastAsia" w:asciiTheme="minorEastAsia" w:hAnsiTheme="minorEastAsia" w:eastAsiaTheme="minorEastAsia"/>
          <w:bCs/>
          <w:szCs w:val="21"/>
        </w:rPr>
        <w:t>1.1.1</w:t>
      </w:r>
      <w:r>
        <w:rPr>
          <w:rFonts w:hint="eastAsia" w:asciiTheme="minorEastAsia" w:hAnsiTheme="minorEastAsia" w:eastAsiaTheme="minorEastAsia"/>
          <w:bCs/>
          <w:szCs w:val="21"/>
          <w:lang w:val="en-US" w:eastAsia="zh-CN"/>
        </w:rPr>
        <w:t xml:space="preserve"> </w:t>
      </w:r>
      <w:r>
        <w:rPr>
          <w:rFonts w:hint="eastAsia" w:asciiTheme="minorEastAsia" w:hAnsiTheme="minorEastAsia" w:eastAsiaTheme="minorEastAsia"/>
          <w:bCs/>
          <w:szCs w:val="21"/>
        </w:rPr>
        <w:t>项目名称：</w:t>
      </w:r>
      <w:r>
        <w:rPr>
          <w:rFonts w:hint="eastAsia" w:asciiTheme="minorEastAsia" w:hAnsiTheme="minorEastAsia" w:eastAsiaTheme="minorEastAsia"/>
          <w:szCs w:val="21"/>
        </w:rPr>
        <w:t>见投标人须知前附表；</w:t>
      </w:r>
    </w:p>
    <w:p w14:paraId="42E8E65D">
      <w:pPr>
        <w:spacing w:line="400" w:lineRule="exact"/>
        <w:ind w:firstLine="411" w:firstLineChars="196"/>
        <w:rPr>
          <w:rFonts w:asciiTheme="minorEastAsia" w:hAnsiTheme="minorEastAsia" w:eastAsiaTheme="minorEastAsia"/>
          <w:szCs w:val="21"/>
        </w:rPr>
      </w:pPr>
      <w:r>
        <w:rPr>
          <w:rFonts w:hint="eastAsia" w:asciiTheme="minorEastAsia" w:hAnsiTheme="minorEastAsia" w:eastAsiaTheme="minorEastAsia"/>
          <w:szCs w:val="21"/>
        </w:rPr>
        <w:t>1.1.2 招标人：见投标人须知前附表。</w:t>
      </w:r>
    </w:p>
    <w:p w14:paraId="10A75618">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1.1.3 招标代理机构：见投标人须知前附表。</w:t>
      </w:r>
    </w:p>
    <w:p w14:paraId="15CBDED5">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1.1.4</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项目建设地点：见投标人须知前附表</w:t>
      </w:r>
    </w:p>
    <w:p w14:paraId="2C07325A">
      <w:pPr>
        <w:pStyle w:val="4"/>
        <w:spacing w:before="0" w:after="0" w:line="400" w:lineRule="exact"/>
        <w:rPr>
          <w:rFonts w:asciiTheme="minorEastAsia" w:hAnsiTheme="minorEastAsia" w:eastAsiaTheme="minorEastAsia"/>
          <w:sz w:val="21"/>
          <w:szCs w:val="21"/>
        </w:rPr>
      </w:pPr>
      <w:bookmarkStart w:id="34" w:name="_Toc247513954"/>
      <w:bookmarkStart w:id="35" w:name="_Toc152045531"/>
      <w:bookmarkStart w:id="36" w:name="_Toc247527555"/>
      <w:bookmarkStart w:id="37" w:name="_Toc7436"/>
      <w:bookmarkStart w:id="38" w:name="_Toc144974499"/>
      <w:bookmarkStart w:id="39" w:name="_Toc152042307"/>
      <w:r>
        <w:rPr>
          <w:rFonts w:hint="eastAsia" w:asciiTheme="minorEastAsia" w:hAnsiTheme="minorEastAsia" w:eastAsiaTheme="minorEastAsia"/>
          <w:sz w:val="21"/>
          <w:szCs w:val="21"/>
        </w:rPr>
        <w:t>1.2 项目的资金来源和落实情况</w:t>
      </w:r>
      <w:bookmarkEnd w:id="34"/>
      <w:bookmarkEnd w:id="35"/>
      <w:bookmarkEnd w:id="36"/>
      <w:bookmarkEnd w:id="37"/>
      <w:bookmarkEnd w:id="38"/>
      <w:bookmarkEnd w:id="39"/>
    </w:p>
    <w:p w14:paraId="70338E5A">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1.2.1 资金来源：见投标人须知前附表。</w:t>
      </w:r>
    </w:p>
    <w:p w14:paraId="4E582C21">
      <w:pPr>
        <w:pStyle w:val="4"/>
        <w:spacing w:before="0" w:after="0" w:line="400" w:lineRule="exact"/>
        <w:rPr>
          <w:rFonts w:asciiTheme="minorEastAsia" w:hAnsiTheme="minorEastAsia" w:eastAsiaTheme="minorEastAsia"/>
          <w:sz w:val="21"/>
          <w:szCs w:val="21"/>
        </w:rPr>
      </w:pPr>
      <w:bookmarkStart w:id="40" w:name="_Toc152045532"/>
      <w:bookmarkStart w:id="41" w:name="_Toc144974500"/>
      <w:bookmarkStart w:id="42" w:name="_Toc247527556"/>
      <w:bookmarkStart w:id="43" w:name="_Toc152042308"/>
      <w:bookmarkStart w:id="44" w:name="_Toc247513955"/>
      <w:bookmarkStart w:id="45" w:name="_Toc17505"/>
      <w:r>
        <w:rPr>
          <w:rFonts w:hint="eastAsia" w:asciiTheme="minorEastAsia" w:hAnsiTheme="minorEastAsia" w:eastAsiaTheme="minorEastAsia"/>
          <w:sz w:val="21"/>
          <w:szCs w:val="21"/>
        </w:rPr>
        <w:t>1.3 招标范围、计划编制周期和</w:t>
      </w:r>
      <w:bookmarkEnd w:id="40"/>
      <w:bookmarkEnd w:id="41"/>
      <w:bookmarkEnd w:id="42"/>
      <w:bookmarkEnd w:id="43"/>
      <w:bookmarkEnd w:id="44"/>
      <w:r>
        <w:rPr>
          <w:rFonts w:hint="eastAsia" w:asciiTheme="minorEastAsia" w:hAnsiTheme="minorEastAsia" w:eastAsiaTheme="minorEastAsia"/>
          <w:sz w:val="21"/>
          <w:szCs w:val="21"/>
        </w:rPr>
        <w:t>质量标准</w:t>
      </w:r>
      <w:bookmarkEnd w:id="45"/>
    </w:p>
    <w:p w14:paraId="16984A9B">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1.3.1 招标范围：见投标人须知前附表。</w:t>
      </w:r>
    </w:p>
    <w:p w14:paraId="0C0F859C">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1.3.2服务期限：见投标人须知前附表。</w:t>
      </w:r>
    </w:p>
    <w:p w14:paraId="43508F4D">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1.3.3 质量要求：见投标人须知前附表。</w:t>
      </w:r>
    </w:p>
    <w:p w14:paraId="40716FF8">
      <w:pPr>
        <w:pStyle w:val="4"/>
        <w:spacing w:before="0" w:after="0" w:line="400" w:lineRule="exact"/>
        <w:rPr>
          <w:rFonts w:asciiTheme="minorEastAsia" w:hAnsiTheme="minorEastAsia" w:eastAsiaTheme="minorEastAsia"/>
          <w:sz w:val="21"/>
          <w:szCs w:val="21"/>
        </w:rPr>
      </w:pPr>
      <w:bookmarkStart w:id="46" w:name="_Toc152042310"/>
      <w:bookmarkStart w:id="47" w:name="_Toc247513957"/>
      <w:bookmarkStart w:id="48" w:name="_Toc28595"/>
      <w:bookmarkStart w:id="49" w:name="_Toc247527558"/>
      <w:bookmarkStart w:id="50" w:name="_Toc144974502"/>
      <w:bookmarkStart w:id="51" w:name="_Toc152045534"/>
      <w:r>
        <w:rPr>
          <w:rFonts w:hint="eastAsia" w:asciiTheme="minorEastAsia" w:hAnsiTheme="minorEastAsia" w:eastAsiaTheme="minorEastAsia"/>
          <w:sz w:val="21"/>
          <w:szCs w:val="21"/>
        </w:rPr>
        <w:t>1.4 投标人资格要求</w:t>
      </w:r>
      <w:bookmarkEnd w:id="46"/>
      <w:bookmarkEnd w:id="47"/>
      <w:bookmarkEnd w:id="48"/>
      <w:bookmarkEnd w:id="49"/>
      <w:bookmarkEnd w:id="50"/>
      <w:bookmarkEnd w:id="51"/>
    </w:p>
    <w:p w14:paraId="36CEDCB2">
      <w:pPr>
        <w:spacing w:line="40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1.4.1 投标人应具备承担本招标项目能力和信誉：见投标人须知前附表。</w:t>
      </w:r>
    </w:p>
    <w:p w14:paraId="1027D7E5">
      <w:pPr>
        <w:spacing w:line="40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 1.4.2 不接受联合体投标。</w:t>
      </w:r>
    </w:p>
    <w:p w14:paraId="541B8D73">
      <w:pPr>
        <w:spacing w:line="40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1.4.3 投标人不得存在下列情形之一：</w:t>
      </w:r>
    </w:p>
    <w:p w14:paraId="0155A485">
      <w:pPr>
        <w:spacing w:line="40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（1）为招标人不具有独立法人资格的附属机构（单位）； </w:t>
      </w:r>
    </w:p>
    <w:p w14:paraId="4BB006BA">
      <w:pPr>
        <w:spacing w:line="40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（2）为招标项目前期工作提供咨询服务的；</w:t>
      </w:r>
    </w:p>
    <w:p w14:paraId="26C4BC35">
      <w:pPr>
        <w:spacing w:line="40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（3）为本招标项目的代建人； </w:t>
      </w:r>
    </w:p>
    <w:p w14:paraId="388F8E05">
      <w:pPr>
        <w:spacing w:line="40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（4）为本招标项目提供招标代理服务的； </w:t>
      </w:r>
    </w:p>
    <w:p w14:paraId="02450BB6">
      <w:pPr>
        <w:spacing w:line="40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（5）被责令停业的； </w:t>
      </w:r>
    </w:p>
    <w:p w14:paraId="4BF76FBE">
      <w:pPr>
        <w:spacing w:line="40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（6）被暂停或取消投标资格的； </w:t>
      </w:r>
    </w:p>
    <w:p w14:paraId="26924394">
      <w:pPr>
        <w:spacing w:line="40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（7）财产被接管或冻结的；</w:t>
      </w:r>
    </w:p>
    <w:p w14:paraId="35E2D7F6">
      <w:pPr>
        <w:spacing w:line="400" w:lineRule="exact"/>
        <w:ind w:firstLine="315" w:firstLineChars="150"/>
        <w:rPr>
          <w:rFonts w:asciiTheme="minorEastAsia" w:hAnsiTheme="minorEastAsia" w:eastAsiaTheme="minorEastAsia"/>
          <w:szCs w:val="21"/>
        </w:rPr>
      </w:pPr>
      <w:r>
        <w:rPr>
          <w:rFonts w:hint="eastAsia" w:asciiTheme="minorEastAsia" w:hAnsiTheme="minorEastAsia" w:eastAsiaTheme="minorEastAsia"/>
          <w:szCs w:val="21"/>
        </w:rPr>
        <w:t>（8）在最近三年内有骗取中标或严重违约或重大工程质量问题的；</w:t>
      </w:r>
    </w:p>
    <w:p w14:paraId="54605952">
      <w:pPr>
        <w:spacing w:line="400" w:lineRule="exact"/>
        <w:ind w:firstLine="315" w:firstLineChars="150"/>
        <w:rPr>
          <w:rFonts w:asciiTheme="minorEastAsia" w:hAnsiTheme="minorEastAsia" w:eastAsiaTheme="minorEastAsia"/>
          <w:szCs w:val="21"/>
        </w:rPr>
      </w:pPr>
      <w:r>
        <w:rPr>
          <w:rFonts w:hint="eastAsia" w:asciiTheme="minorEastAsia" w:hAnsiTheme="minorEastAsia" w:eastAsiaTheme="minorEastAsia"/>
          <w:szCs w:val="21"/>
        </w:rPr>
        <w:t>（9）与本招标项目的代建人或招标代理机构同为一个法定代表人的；</w:t>
      </w:r>
    </w:p>
    <w:p w14:paraId="4B8A1411">
      <w:pPr>
        <w:spacing w:line="400" w:lineRule="exact"/>
        <w:ind w:firstLine="315" w:firstLineChars="150"/>
        <w:rPr>
          <w:rFonts w:asciiTheme="minorEastAsia" w:hAnsiTheme="minorEastAsia" w:eastAsiaTheme="minorEastAsia"/>
          <w:szCs w:val="21"/>
        </w:rPr>
      </w:pPr>
      <w:r>
        <w:rPr>
          <w:rFonts w:hint="eastAsia" w:asciiTheme="minorEastAsia" w:hAnsiTheme="minorEastAsia" w:eastAsiaTheme="minorEastAsia"/>
          <w:szCs w:val="21"/>
        </w:rPr>
        <w:t>（10）与本招标项目的代建人或招标代理机构相互控股或参股的；</w:t>
      </w:r>
    </w:p>
    <w:p w14:paraId="1C3E6350">
      <w:pPr>
        <w:spacing w:line="400" w:lineRule="exact"/>
        <w:ind w:firstLine="315" w:firstLineChars="150"/>
        <w:rPr>
          <w:rFonts w:asciiTheme="minorEastAsia" w:hAnsiTheme="minorEastAsia" w:eastAsiaTheme="minorEastAsia"/>
          <w:szCs w:val="21"/>
        </w:rPr>
      </w:pPr>
      <w:r>
        <w:rPr>
          <w:rFonts w:hint="eastAsia" w:asciiTheme="minorEastAsia" w:hAnsiTheme="minorEastAsia" w:eastAsiaTheme="minorEastAsia"/>
          <w:szCs w:val="21"/>
        </w:rPr>
        <w:t>（11）与本招标项目的代建人或招标代理机构相互任职或工作的。</w:t>
      </w:r>
    </w:p>
    <w:p w14:paraId="05F655DB">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1.4.4 单位负责人为同一人或者存在控股、管理关系的不同单位，不得同时参加本招标项目投标。</w:t>
      </w:r>
    </w:p>
    <w:p w14:paraId="33A79495">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1.4.5 .参与同一个标段（包）的投标人存在下列情形之一的，其投标（响应）文件无效：</w:t>
      </w:r>
    </w:p>
    <w:p w14:paraId="5F62705C">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（1）不同投标人的电子投标（响应）文件上传计算机的网卡MAC地址、CPU序列号和硬盘序列号等硬件信息相同的；</w:t>
      </w:r>
    </w:p>
    <w:p w14:paraId="4FFA1FB8">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(2)不同投标人的投标（响应）文件由同一设备编制、打印加密上传；</w:t>
      </w:r>
    </w:p>
    <w:p w14:paraId="6B537DF3">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(3)不同投标人的投标（响应）文件由同一设备打印、复印；</w:t>
      </w:r>
    </w:p>
    <w:p w14:paraId="0670873B">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(4)不同投标人的投标（响应）文件由同一人送达或分发，或者不同投标人联系人为同一人或不同联系人的联系电话一致的；</w:t>
      </w:r>
    </w:p>
    <w:p w14:paraId="40B939FE">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(5)不同投标人的投标（响应）文件的内容存在两处以上细节错误一致的；</w:t>
      </w:r>
    </w:p>
    <w:p w14:paraId="4B58CD4D">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(6)不同投标人的法定代表人、委托代理人、项目经理、项目负责人等由同一单位缴纳社会保险或者领取报酬的；</w:t>
      </w:r>
    </w:p>
    <w:p w14:paraId="52256044">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(7)不同投标人的投标（响应）文件中法定代表人或者负责人签字出自同一人之手；</w:t>
      </w:r>
    </w:p>
    <w:p w14:paraId="68F00BBD">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(8)其他涉嫌串标的情形。</w:t>
      </w:r>
    </w:p>
    <w:p w14:paraId="5ABB79C6">
      <w:pPr>
        <w:pStyle w:val="4"/>
        <w:spacing w:before="0" w:after="0" w:line="400" w:lineRule="exact"/>
        <w:rPr>
          <w:rFonts w:asciiTheme="minorEastAsia" w:hAnsiTheme="minorEastAsia" w:eastAsiaTheme="minorEastAsia"/>
          <w:sz w:val="21"/>
          <w:szCs w:val="21"/>
        </w:rPr>
      </w:pPr>
      <w:bookmarkStart w:id="52" w:name="_Toc152045535"/>
      <w:bookmarkStart w:id="53" w:name="_Toc12918"/>
      <w:bookmarkStart w:id="54" w:name="_Toc144974503"/>
      <w:bookmarkStart w:id="55" w:name="_Toc152042311"/>
      <w:bookmarkStart w:id="56" w:name="_Toc247513958"/>
      <w:bookmarkStart w:id="57" w:name="_Toc247527559"/>
      <w:r>
        <w:rPr>
          <w:rFonts w:hint="eastAsia" w:asciiTheme="minorEastAsia" w:hAnsiTheme="minorEastAsia" w:eastAsiaTheme="minorEastAsia"/>
          <w:sz w:val="21"/>
          <w:szCs w:val="21"/>
        </w:rPr>
        <w:t>1.5 费用承担</w:t>
      </w:r>
      <w:bookmarkEnd w:id="52"/>
      <w:bookmarkEnd w:id="53"/>
      <w:bookmarkEnd w:id="54"/>
      <w:bookmarkEnd w:id="55"/>
      <w:bookmarkEnd w:id="56"/>
      <w:bookmarkEnd w:id="57"/>
    </w:p>
    <w:p w14:paraId="2151D0CB">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1.5.1 投标人准备和参加投标活动发生的费用自理。</w:t>
      </w:r>
    </w:p>
    <w:p w14:paraId="0B8DD6BF">
      <w:pPr>
        <w:pStyle w:val="4"/>
        <w:spacing w:before="0" w:after="0" w:line="400" w:lineRule="exact"/>
        <w:rPr>
          <w:rFonts w:asciiTheme="minorEastAsia" w:hAnsiTheme="minorEastAsia" w:eastAsiaTheme="minorEastAsia"/>
          <w:sz w:val="21"/>
          <w:szCs w:val="21"/>
        </w:rPr>
      </w:pPr>
      <w:bookmarkStart w:id="58" w:name="_Toc247527560"/>
      <w:bookmarkStart w:id="59" w:name="_Toc152042312"/>
      <w:bookmarkStart w:id="60" w:name="_Toc152045536"/>
      <w:bookmarkStart w:id="61" w:name="_Toc247513959"/>
      <w:bookmarkStart w:id="62" w:name="_Toc144974504"/>
      <w:bookmarkStart w:id="63" w:name="_Toc25076"/>
      <w:r>
        <w:rPr>
          <w:rFonts w:hint="eastAsia" w:asciiTheme="minorEastAsia" w:hAnsiTheme="minorEastAsia" w:eastAsiaTheme="minorEastAsia"/>
          <w:sz w:val="21"/>
          <w:szCs w:val="21"/>
        </w:rPr>
        <w:t>1.6 保密</w:t>
      </w:r>
      <w:bookmarkEnd w:id="58"/>
      <w:bookmarkEnd w:id="59"/>
      <w:bookmarkEnd w:id="60"/>
      <w:bookmarkEnd w:id="61"/>
      <w:bookmarkEnd w:id="62"/>
      <w:bookmarkEnd w:id="63"/>
    </w:p>
    <w:p w14:paraId="75B44774">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参与招标投标活动的各方应对招标文件和投标文件中的商业和技术等秘密保密，否则应承担相应的法律责任。 </w:t>
      </w:r>
    </w:p>
    <w:p w14:paraId="5F441453">
      <w:pPr>
        <w:pStyle w:val="4"/>
        <w:spacing w:before="0" w:after="0" w:line="400" w:lineRule="exact"/>
        <w:rPr>
          <w:rFonts w:asciiTheme="minorEastAsia" w:hAnsiTheme="minorEastAsia" w:eastAsiaTheme="minorEastAsia"/>
          <w:sz w:val="21"/>
          <w:szCs w:val="21"/>
        </w:rPr>
      </w:pPr>
      <w:bookmarkStart w:id="64" w:name="_Toc144974505"/>
      <w:bookmarkStart w:id="65" w:name="_Toc152042313"/>
      <w:bookmarkStart w:id="66" w:name="_Toc23130"/>
      <w:bookmarkStart w:id="67" w:name="_Toc152045537"/>
      <w:bookmarkStart w:id="68" w:name="_Toc247527561"/>
      <w:bookmarkStart w:id="69" w:name="_Toc247513960"/>
      <w:r>
        <w:rPr>
          <w:rFonts w:hint="eastAsia" w:asciiTheme="minorEastAsia" w:hAnsiTheme="minorEastAsia" w:eastAsiaTheme="minorEastAsia"/>
          <w:sz w:val="21"/>
          <w:szCs w:val="21"/>
        </w:rPr>
        <w:t>1.7 语言</w:t>
      </w:r>
      <w:bookmarkEnd w:id="64"/>
      <w:r>
        <w:rPr>
          <w:rFonts w:hint="eastAsia" w:asciiTheme="minorEastAsia" w:hAnsiTheme="minorEastAsia" w:eastAsiaTheme="minorEastAsia"/>
          <w:sz w:val="21"/>
          <w:szCs w:val="21"/>
        </w:rPr>
        <w:t>文字</w:t>
      </w:r>
      <w:bookmarkEnd w:id="65"/>
      <w:bookmarkEnd w:id="66"/>
      <w:bookmarkEnd w:id="67"/>
      <w:bookmarkEnd w:id="68"/>
      <w:bookmarkEnd w:id="69"/>
    </w:p>
    <w:p w14:paraId="164D91AF">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招标投标文件使用的语言文字为中文。专用术语使用外文的，应附有中文注释。</w:t>
      </w:r>
    </w:p>
    <w:p w14:paraId="604949E4">
      <w:pPr>
        <w:pStyle w:val="4"/>
        <w:spacing w:before="0" w:after="0" w:line="400" w:lineRule="exact"/>
        <w:rPr>
          <w:rFonts w:asciiTheme="minorEastAsia" w:hAnsiTheme="minorEastAsia" w:eastAsiaTheme="minorEastAsia"/>
          <w:sz w:val="21"/>
          <w:szCs w:val="21"/>
        </w:rPr>
      </w:pPr>
      <w:bookmarkStart w:id="70" w:name="_Toc152042314"/>
      <w:bookmarkStart w:id="71" w:name="_Toc144974506"/>
      <w:bookmarkStart w:id="72" w:name="_Toc247513961"/>
      <w:bookmarkStart w:id="73" w:name="_Toc20988"/>
      <w:bookmarkStart w:id="74" w:name="_Toc152045538"/>
      <w:bookmarkStart w:id="75" w:name="_Toc247527562"/>
      <w:r>
        <w:rPr>
          <w:rFonts w:hint="eastAsia" w:asciiTheme="minorEastAsia" w:hAnsiTheme="minorEastAsia" w:eastAsiaTheme="minorEastAsia"/>
          <w:sz w:val="21"/>
          <w:szCs w:val="21"/>
        </w:rPr>
        <w:t>1.8 计量单位</w:t>
      </w:r>
      <w:bookmarkEnd w:id="70"/>
      <w:bookmarkEnd w:id="71"/>
      <w:bookmarkEnd w:id="72"/>
      <w:bookmarkEnd w:id="73"/>
      <w:bookmarkEnd w:id="74"/>
      <w:bookmarkEnd w:id="75"/>
    </w:p>
    <w:p w14:paraId="133E17BE">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所有计量均采用中华人民共和国法定计量单位。</w:t>
      </w:r>
    </w:p>
    <w:p w14:paraId="1AAA0938">
      <w:pPr>
        <w:pStyle w:val="4"/>
        <w:spacing w:before="0" w:after="0" w:line="400" w:lineRule="exact"/>
        <w:rPr>
          <w:rFonts w:asciiTheme="minorEastAsia" w:hAnsiTheme="minorEastAsia" w:eastAsiaTheme="minorEastAsia"/>
          <w:sz w:val="21"/>
          <w:szCs w:val="21"/>
        </w:rPr>
      </w:pPr>
      <w:bookmarkStart w:id="76" w:name="_Toc247513962"/>
      <w:bookmarkStart w:id="77" w:name="_Toc152042315"/>
      <w:bookmarkStart w:id="78" w:name="_Toc152045539"/>
      <w:bookmarkStart w:id="79" w:name="_Toc144974507"/>
      <w:bookmarkStart w:id="80" w:name="_Toc10312"/>
      <w:bookmarkStart w:id="81" w:name="_Toc247527563"/>
      <w:r>
        <w:rPr>
          <w:rFonts w:hint="eastAsia" w:asciiTheme="minorEastAsia" w:hAnsiTheme="minorEastAsia" w:eastAsiaTheme="minorEastAsia"/>
          <w:sz w:val="21"/>
          <w:szCs w:val="21"/>
        </w:rPr>
        <w:t>1.9 踏勘现场</w:t>
      </w:r>
      <w:bookmarkEnd w:id="76"/>
      <w:bookmarkEnd w:id="77"/>
      <w:bookmarkEnd w:id="78"/>
      <w:bookmarkEnd w:id="79"/>
      <w:bookmarkEnd w:id="80"/>
      <w:bookmarkEnd w:id="81"/>
    </w:p>
    <w:p w14:paraId="53E83AA4">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1.9.1 投标人不组织踏勘现场。</w:t>
      </w:r>
    </w:p>
    <w:p w14:paraId="0A6700EE">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1.9.2 投标人踏勘现场发生的费用自理。</w:t>
      </w:r>
    </w:p>
    <w:p w14:paraId="0FFF2DD9">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1.9.3 除招标人的原因外，投标人自行负责在踏勘现场中所发生的人员伤亡和财产损失。</w:t>
      </w:r>
    </w:p>
    <w:p w14:paraId="4B63ECCF">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1.9.4 招标人在踏勘现场中介绍的工程场地和相关的周边环境情况，供投标人在编制投标文件时参考，招标人不对投标人据此踏勘的判断和决策负责。</w:t>
      </w:r>
    </w:p>
    <w:p w14:paraId="7EBFF502">
      <w:pPr>
        <w:pStyle w:val="4"/>
        <w:spacing w:before="0" w:after="0" w:line="400" w:lineRule="exact"/>
        <w:rPr>
          <w:rFonts w:asciiTheme="minorEastAsia" w:hAnsiTheme="minorEastAsia" w:eastAsiaTheme="minorEastAsia"/>
          <w:sz w:val="21"/>
          <w:szCs w:val="21"/>
        </w:rPr>
      </w:pPr>
      <w:bookmarkStart w:id="82" w:name="_Toc152045540"/>
      <w:bookmarkStart w:id="83" w:name="_Toc152042316"/>
      <w:bookmarkStart w:id="84" w:name="_Toc247527564"/>
      <w:bookmarkStart w:id="85" w:name="_Toc144974508"/>
      <w:bookmarkStart w:id="86" w:name="_Toc3769"/>
      <w:bookmarkStart w:id="87" w:name="_Toc247513963"/>
      <w:r>
        <w:rPr>
          <w:rFonts w:hint="eastAsia" w:asciiTheme="minorEastAsia" w:hAnsiTheme="minorEastAsia" w:eastAsiaTheme="minorEastAsia"/>
          <w:sz w:val="21"/>
          <w:szCs w:val="21"/>
        </w:rPr>
        <w:t>1.10 投标预备会</w:t>
      </w:r>
      <w:bookmarkEnd w:id="82"/>
      <w:bookmarkEnd w:id="83"/>
      <w:bookmarkEnd w:id="84"/>
      <w:bookmarkEnd w:id="85"/>
      <w:bookmarkEnd w:id="86"/>
      <w:bookmarkEnd w:id="87"/>
    </w:p>
    <w:p w14:paraId="66F9CBFE">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1.10.1 招标人不召开投标预备会的。</w:t>
      </w:r>
    </w:p>
    <w:p w14:paraId="787FA148">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1.10.2 投标人应在投标人须知前附表规定的时间前，在电子交易系统中提，以便招标人在规定时间内澄清。</w:t>
      </w:r>
    </w:p>
    <w:p w14:paraId="613807A0">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1.10.3 招标人在投标人须知前附表规定的时间内，将对投标人所提问题的澄清，在电子交易系统中通知所有购买招标文件的投标人。该澄清内容为招标文件的组成部分。</w:t>
      </w:r>
    </w:p>
    <w:p w14:paraId="4D6BA926">
      <w:pPr>
        <w:pStyle w:val="4"/>
        <w:spacing w:before="0" w:after="0" w:line="400" w:lineRule="exact"/>
        <w:rPr>
          <w:rFonts w:asciiTheme="minorEastAsia" w:hAnsiTheme="minorEastAsia" w:eastAsiaTheme="minorEastAsia"/>
          <w:sz w:val="21"/>
          <w:szCs w:val="21"/>
        </w:rPr>
      </w:pPr>
      <w:bookmarkStart w:id="88" w:name="_Toc247513964"/>
      <w:bookmarkStart w:id="89" w:name="_Toc31895"/>
      <w:bookmarkStart w:id="90" w:name="_Toc152045541"/>
      <w:bookmarkStart w:id="91" w:name="_Toc144974509"/>
      <w:bookmarkStart w:id="92" w:name="_Toc247527565"/>
      <w:bookmarkStart w:id="93" w:name="_Toc152042317"/>
      <w:r>
        <w:rPr>
          <w:rFonts w:hint="eastAsia" w:asciiTheme="minorEastAsia" w:hAnsiTheme="minorEastAsia" w:eastAsiaTheme="minorEastAsia"/>
          <w:sz w:val="21"/>
          <w:szCs w:val="21"/>
        </w:rPr>
        <w:t>1.11 分包</w:t>
      </w:r>
      <w:bookmarkEnd w:id="88"/>
      <w:bookmarkEnd w:id="89"/>
      <w:bookmarkEnd w:id="90"/>
      <w:bookmarkEnd w:id="91"/>
      <w:bookmarkEnd w:id="92"/>
      <w:bookmarkEnd w:id="93"/>
    </w:p>
    <w:p w14:paraId="0C329E07">
      <w:pPr>
        <w:spacing w:line="400" w:lineRule="exact"/>
        <w:rPr>
          <w:rFonts w:asciiTheme="minorEastAsia" w:hAnsiTheme="minorEastAsia" w:eastAsiaTheme="minorEastAsia"/>
          <w:szCs w:val="21"/>
        </w:rPr>
      </w:pPr>
      <w:r>
        <w:rPr>
          <w:rFonts w:hint="eastAsia" w:asciiTheme="minorEastAsia" w:hAnsiTheme="minorEastAsia" w:eastAsiaTheme="minorEastAsia"/>
          <w:szCs w:val="21"/>
        </w:rPr>
        <w:t xml:space="preserve">   见投标人须知前附表。</w:t>
      </w:r>
    </w:p>
    <w:p w14:paraId="39972349">
      <w:pPr>
        <w:pStyle w:val="4"/>
        <w:spacing w:before="0" w:after="0" w:line="400" w:lineRule="exact"/>
        <w:rPr>
          <w:rFonts w:asciiTheme="minorEastAsia" w:hAnsiTheme="minorEastAsia" w:eastAsiaTheme="minorEastAsia"/>
          <w:sz w:val="21"/>
          <w:szCs w:val="21"/>
        </w:rPr>
      </w:pPr>
      <w:bookmarkStart w:id="94" w:name="_Toc30687"/>
      <w:bookmarkStart w:id="95" w:name="_Toc247513965"/>
      <w:bookmarkStart w:id="96" w:name="_Toc247527566"/>
      <w:r>
        <w:rPr>
          <w:rFonts w:hint="eastAsia" w:asciiTheme="minorEastAsia" w:hAnsiTheme="minorEastAsia" w:eastAsiaTheme="minorEastAsia"/>
          <w:sz w:val="21"/>
          <w:szCs w:val="21"/>
        </w:rPr>
        <w:t>1.12 偏离</w:t>
      </w:r>
      <w:bookmarkEnd w:id="94"/>
      <w:bookmarkEnd w:id="95"/>
      <w:bookmarkEnd w:id="96"/>
    </w:p>
    <w:p w14:paraId="4F6F7985">
      <w:pPr>
        <w:spacing w:line="400" w:lineRule="exact"/>
        <w:ind w:firstLine="359" w:firstLineChars="171"/>
        <w:rPr>
          <w:rFonts w:asciiTheme="minorEastAsia" w:hAnsiTheme="minorEastAsia" w:eastAsiaTheme="minorEastAsia"/>
          <w:szCs w:val="21"/>
        </w:rPr>
      </w:pPr>
      <w:r>
        <w:rPr>
          <w:rFonts w:hint="eastAsia" w:asciiTheme="minorEastAsia" w:hAnsiTheme="minorEastAsia" w:eastAsiaTheme="minorEastAsia"/>
          <w:szCs w:val="21"/>
        </w:rPr>
        <w:t>不允许偏离。</w:t>
      </w:r>
      <w:bookmarkStart w:id="97" w:name="_Toc152045542"/>
      <w:bookmarkStart w:id="98" w:name="_Toc144974510"/>
      <w:bookmarkStart w:id="99" w:name="_Toc247527567"/>
      <w:bookmarkStart w:id="100" w:name="_Toc152042318"/>
      <w:bookmarkStart w:id="101" w:name="_Toc247513966"/>
    </w:p>
    <w:p w14:paraId="62D3564F">
      <w:pPr>
        <w:pStyle w:val="3"/>
        <w:spacing w:before="0" w:after="0" w:line="400" w:lineRule="exact"/>
        <w:rPr>
          <w:rFonts w:asciiTheme="minorEastAsia" w:hAnsiTheme="minorEastAsia" w:eastAsiaTheme="minorEastAsia"/>
          <w:sz w:val="21"/>
          <w:szCs w:val="21"/>
        </w:rPr>
      </w:pPr>
      <w:bookmarkStart w:id="102" w:name="_Toc32274"/>
      <w:r>
        <w:rPr>
          <w:rFonts w:hint="eastAsia" w:asciiTheme="minorEastAsia" w:hAnsiTheme="minorEastAsia" w:eastAsiaTheme="minorEastAsia"/>
          <w:sz w:val="21"/>
          <w:szCs w:val="21"/>
        </w:rPr>
        <w:t>2. 招标文件</w:t>
      </w:r>
      <w:bookmarkEnd w:id="97"/>
      <w:bookmarkEnd w:id="98"/>
      <w:bookmarkEnd w:id="99"/>
      <w:bookmarkEnd w:id="100"/>
      <w:bookmarkEnd w:id="101"/>
      <w:bookmarkEnd w:id="102"/>
    </w:p>
    <w:p w14:paraId="7C943BD5">
      <w:pPr>
        <w:pStyle w:val="4"/>
        <w:spacing w:before="0" w:after="0" w:line="400" w:lineRule="exact"/>
        <w:rPr>
          <w:rFonts w:asciiTheme="minorEastAsia" w:hAnsiTheme="minorEastAsia" w:eastAsiaTheme="minorEastAsia"/>
          <w:sz w:val="21"/>
          <w:szCs w:val="21"/>
        </w:rPr>
      </w:pPr>
      <w:bookmarkStart w:id="103" w:name="_Toc28489"/>
      <w:bookmarkStart w:id="104" w:name="_Toc247527568"/>
      <w:bookmarkStart w:id="105" w:name="_Toc152042319"/>
      <w:bookmarkStart w:id="106" w:name="_Toc247513967"/>
      <w:bookmarkStart w:id="107" w:name="_Toc152045543"/>
      <w:bookmarkStart w:id="108" w:name="_Toc144974511"/>
      <w:r>
        <w:rPr>
          <w:rFonts w:hint="eastAsia" w:asciiTheme="minorEastAsia" w:hAnsiTheme="minorEastAsia" w:eastAsiaTheme="minorEastAsia"/>
          <w:sz w:val="21"/>
          <w:szCs w:val="21"/>
        </w:rPr>
        <w:t>2.1 招标文件的组成</w:t>
      </w:r>
      <w:bookmarkEnd w:id="103"/>
      <w:bookmarkEnd w:id="104"/>
      <w:bookmarkEnd w:id="105"/>
      <w:bookmarkEnd w:id="106"/>
      <w:bookmarkEnd w:id="107"/>
      <w:bookmarkEnd w:id="108"/>
    </w:p>
    <w:p w14:paraId="45F2ECEB">
      <w:pPr>
        <w:spacing w:line="400" w:lineRule="exact"/>
        <w:rPr>
          <w:rFonts w:asciiTheme="minorEastAsia" w:hAnsiTheme="minorEastAsia" w:eastAsiaTheme="minorEastAsia"/>
          <w:szCs w:val="21"/>
        </w:rPr>
      </w:pPr>
      <w:r>
        <w:rPr>
          <w:rFonts w:hint="eastAsia" w:asciiTheme="minorEastAsia" w:hAnsiTheme="minorEastAsia" w:eastAsiaTheme="minorEastAsia"/>
          <w:szCs w:val="21"/>
        </w:rPr>
        <w:t>　　本招标文件包括：</w:t>
      </w:r>
    </w:p>
    <w:p w14:paraId="33217146">
      <w:pPr>
        <w:spacing w:line="400" w:lineRule="exact"/>
        <w:ind w:firstLine="359" w:firstLineChars="171"/>
        <w:rPr>
          <w:rFonts w:asciiTheme="minorEastAsia" w:hAnsiTheme="minorEastAsia" w:eastAsiaTheme="minorEastAsia"/>
          <w:szCs w:val="21"/>
        </w:rPr>
      </w:pPr>
      <w:r>
        <w:rPr>
          <w:rFonts w:hint="eastAsia" w:asciiTheme="minorEastAsia" w:hAnsiTheme="minorEastAsia" w:eastAsiaTheme="minorEastAsia"/>
          <w:szCs w:val="21"/>
        </w:rPr>
        <w:t>（1）招标公告；</w:t>
      </w:r>
    </w:p>
    <w:p w14:paraId="6F537305">
      <w:pPr>
        <w:spacing w:line="400" w:lineRule="exact"/>
        <w:ind w:firstLine="359" w:firstLineChars="171"/>
        <w:rPr>
          <w:rFonts w:asciiTheme="minorEastAsia" w:hAnsiTheme="minorEastAsia" w:eastAsiaTheme="minorEastAsia"/>
          <w:szCs w:val="21"/>
        </w:rPr>
      </w:pPr>
      <w:r>
        <w:rPr>
          <w:rFonts w:hint="eastAsia" w:asciiTheme="minorEastAsia" w:hAnsiTheme="minorEastAsia" w:eastAsiaTheme="minorEastAsia"/>
          <w:szCs w:val="21"/>
        </w:rPr>
        <w:t>（2）投标人须知；</w:t>
      </w:r>
    </w:p>
    <w:p w14:paraId="0462B9A8">
      <w:pPr>
        <w:spacing w:line="400" w:lineRule="exact"/>
        <w:ind w:firstLine="359" w:firstLineChars="171"/>
        <w:rPr>
          <w:rFonts w:asciiTheme="minorEastAsia" w:hAnsiTheme="minorEastAsia" w:eastAsiaTheme="minorEastAsia"/>
          <w:szCs w:val="21"/>
        </w:rPr>
      </w:pPr>
      <w:r>
        <w:rPr>
          <w:rFonts w:hint="eastAsia" w:asciiTheme="minorEastAsia" w:hAnsiTheme="minorEastAsia" w:eastAsiaTheme="minorEastAsia"/>
          <w:szCs w:val="21"/>
        </w:rPr>
        <w:t>（3）评标办法；</w:t>
      </w:r>
    </w:p>
    <w:p w14:paraId="39E3EE15">
      <w:pPr>
        <w:spacing w:line="400" w:lineRule="exact"/>
        <w:ind w:firstLine="359" w:firstLineChars="171"/>
        <w:rPr>
          <w:rFonts w:hint="eastAsia" w:asciiTheme="minorEastAsia" w:hAnsiTheme="minorEastAsia" w:eastAsiaTheme="minorEastAsia"/>
          <w:szCs w:val="21"/>
        </w:rPr>
      </w:pPr>
      <w:r>
        <w:rPr>
          <w:rFonts w:hint="eastAsia" w:asciiTheme="minorEastAsia" w:hAnsiTheme="minorEastAsia" w:eastAsiaTheme="minorEastAsia"/>
          <w:szCs w:val="21"/>
        </w:rPr>
        <w:t>（4）合同条款及格式；</w:t>
      </w:r>
    </w:p>
    <w:p w14:paraId="7D180273">
      <w:pPr>
        <w:spacing w:line="400" w:lineRule="exact"/>
        <w:ind w:firstLine="359" w:firstLineChars="171"/>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服务要求</w:t>
      </w:r>
    </w:p>
    <w:p w14:paraId="5A2389FA">
      <w:pPr>
        <w:spacing w:line="400" w:lineRule="exact"/>
        <w:ind w:firstLine="359" w:firstLineChars="171"/>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）投标文件格式。</w:t>
      </w:r>
    </w:p>
    <w:p w14:paraId="2D0E315C">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招标文件所作的澄清、修改，构成招标文件的组成部分。</w:t>
      </w:r>
    </w:p>
    <w:p w14:paraId="7530351D">
      <w:pPr>
        <w:pStyle w:val="4"/>
        <w:spacing w:before="0" w:after="0" w:line="400" w:lineRule="exact"/>
        <w:rPr>
          <w:rFonts w:asciiTheme="minorEastAsia" w:hAnsiTheme="minorEastAsia" w:eastAsiaTheme="minorEastAsia"/>
          <w:sz w:val="21"/>
          <w:szCs w:val="21"/>
        </w:rPr>
      </w:pPr>
      <w:bookmarkStart w:id="109" w:name="_Toc144974512"/>
      <w:bookmarkStart w:id="110" w:name="_Toc152042320"/>
      <w:bookmarkStart w:id="111" w:name="_Toc3167"/>
      <w:bookmarkStart w:id="112" w:name="_Toc247513968"/>
      <w:bookmarkStart w:id="113" w:name="_Toc247527569"/>
      <w:bookmarkStart w:id="114" w:name="_Toc152045544"/>
      <w:r>
        <w:rPr>
          <w:rFonts w:hint="eastAsia" w:asciiTheme="minorEastAsia" w:hAnsiTheme="minorEastAsia" w:eastAsiaTheme="minorEastAsia"/>
          <w:sz w:val="21"/>
          <w:szCs w:val="21"/>
        </w:rPr>
        <w:t>2.2 招标文件的澄清</w:t>
      </w:r>
      <w:bookmarkEnd w:id="109"/>
      <w:bookmarkEnd w:id="110"/>
      <w:bookmarkEnd w:id="111"/>
      <w:bookmarkEnd w:id="112"/>
      <w:bookmarkEnd w:id="113"/>
      <w:bookmarkEnd w:id="114"/>
    </w:p>
    <w:p w14:paraId="04B24906">
      <w:pPr>
        <w:spacing w:line="400" w:lineRule="exact"/>
        <w:ind w:firstLine="420" w:firstLineChars="200"/>
        <w:rPr>
          <w:rFonts w:asciiTheme="minorEastAsia" w:hAnsiTheme="minorEastAsia" w:eastAsiaTheme="minorEastAsia"/>
          <w:szCs w:val="21"/>
        </w:rPr>
      </w:pPr>
      <w:bookmarkStart w:id="115" w:name="_Toc152042321"/>
      <w:bookmarkStart w:id="116" w:name="_Toc247527570"/>
      <w:bookmarkStart w:id="117" w:name="_Toc247513969"/>
      <w:bookmarkStart w:id="118" w:name="_Toc152045545"/>
      <w:bookmarkStart w:id="119" w:name="_Toc144974513"/>
      <w:bookmarkStart w:id="120" w:name="_Toc11865"/>
      <w:r>
        <w:rPr>
          <w:rFonts w:asciiTheme="minorEastAsia" w:hAnsiTheme="minorEastAsia" w:eastAsiaTheme="minorEastAsia"/>
          <w:szCs w:val="21"/>
        </w:rPr>
        <w:t xml:space="preserve">2.2.1  </w:t>
      </w:r>
      <w:r>
        <w:rPr>
          <w:rFonts w:hint="eastAsia" w:asciiTheme="minorEastAsia" w:hAnsiTheme="minorEastAsia" w:eastAsiaTheme="minorEastAsia"/>
          <w:szCs w:val="21"/>
        </w:rPr>
        <w:t>投标人应仔细阅读和检查招标文件的全部内容。如发现缺页或附件不全，应及时提出，以便补齐。如有疑问，应在投标人须知前附表规定的时间前提出，要求招标人对招标文件予以澄清。电子交易系统内提出</w:t>
      </w:r>
    </w:p>
    <w:p w14:paraId="32F5881C">
      <w:pPr>
        <w:spacing w:line="400" w:lineRule="exact"/>
        <w:ind w:firstLine="315" w:firstLineChars="150"/>
        <w:rPr>
          <w:rFonts w:asciiTheme="minorEastAsia" w:hAnsiTheme="minorEastAsia" w:eastAsiaTheme="minorEastAsia"/>
          <w:szCs w:val="21"/>
        </w:rPr>
      </w:pPr>
      <w:r>
        <w:rPr>
          <w:rFonts w:asciiTheme="minorEastAsia" w:hAnsiTheme="minorEastAsia" w:eastAsiaTheme="minorEastAsia"/>
          <w:szCs w:val="21"/>
        </w:rPr>
        <w:t xml:space="preserve">2.2.2  </w:t>
      </w:r>
      <w:r>
        <w:rPr>
          <w:rFonts w:hint="eastAsia" w:asciiTheme="minorEastAsia" w:hAnsiTheme="minorEastAsia" w:eastAsiaTheme="minorEastAsia"/>
          <w:szCs w:val="21"/>
        </w:rPr>
        <w:t>招标文件的澄清将在投标人须知前附表规定的投标截止时间</w:t>
      </w:r>
      <w:r>
        <w:rPr>
          <w:rFonts w:asciiTheme="minorEastAsia" w:hAnsiTheme="minorEastAsia" w:eastAsiaTheme="minorEastAsia"/>
          <w:szCs w:val="21"/>
        </w:rPr>
        <w:t>15</w:t>
      </w:r>
      <w:r>
        <w:rPr>
          <w:rFonts w:hint="eastAsia" w:asciiTheme="minorEastAsia" w:hAnsiTheme="minorEastAsia" w:eastAsiaTheme="minorEastAsia"/>
          <w:szCs w:val="21"/>
        </w:rPr>
        <w:t>天前发出，但不指明澄清问题的来源。如果澄清发出的时间距投标截止时间不足</w:t>
      </w:r>
      <w:r>
        <w:rPr>
          <w:rFonts w:asciiTheme="minorEastAsia" w:hAnsiTheme="minorEastAsia" w:eastAsiaTheme="minorEastAsia"/>
          <w:szCs w:val="21"/>
        </w:rPr>
        <w:t xml:space="preserve"> 15 </w:t>
      </w:r>
      <w:r>
        <w:rPr>
          <w:rFonts w:hint="eastAsia" w:asciiTheme="minorEastAsia" w:hAnsiTheme="minorEastAsia" w:eastAsiaTheme="minorEastAsia"/>
          <w:szCs w:val="21"/>
        </w:rPr>
        <w:t>天，相应延长投标截止时间。电子交易系统内提出</w:t>
      </w:r>
    </w:p>
    <w:p w14:paraId="5E46E4BF">
      <w:pPr>
        <w:pStyle w:val="4"/>
        <w:spacing w:before="0" w:after="0" w:line="400" w:lineRule="exact"/>
        <w:rPr>
          <w:rFonts w:asciiTheme="minorEastAsia" w:hAnsiTheme="minorEastAsia" w:eastAsiaTheme="minorEastAsia"/>
          <w:sz w:val="21"/>
          <w:szCs w:val="21"/>
        </w:rPr>
      </w:pPr>
      <w:r>
        <w:rPr>
          <w:rFonts w:hint="eastAsia" w:asciiTheme="minorEastAsia" w:hAnsiTheme="minorEastAsia" w:eastAsiaTheme="minorEastAsia"/>
          <w:sz w:val="21"/>
          <w:szCs w:val="21"/>
        </w:rPr>
        <w:t>2.3 招标文件的修改</w:t>
      </w:r>
      <w:bookmarkEnd w:id="115"/>
      <w:bookmarkEnd w:id="116"/>
      <w:bookmarkEnd w:id="117"/>
      <w:bookmarkEnd w:id="118"/>
      <w:bookmarkEnd w:id="119"/>
      <w:bookmarkEnd w:id="120"/>
    </w:p>
    <w:p w14:paraId="7BCEAC44">
      <w:pPr>
        <w:spacing w:line="400" w:lineRule="exact"/>
        <w:ind w:firstLine="315" w:firstLineChars="150"/>
        <w:rPr>
          <w:rFonts w:asciiTheme="minorEastAsia" w:hAnsiTheme="minorEastAsia" w:eastAsiaTheme="minorEastAsia"/>
          <w:szCs w:val="21"/>
        </w:rPr>
      </w:pPr>
      <w:bookmarkStart w:id="121" w:name="_Toc152045546"/>
      <w:bookmarkStart w:id="122" w:name="_Toc144974514"/>
      <w:bookmarkStart w:id="123" w:name="_Toc247513970"/>
      <w:bookmarkStart w:id="124" w:name="_Toc152042322"/>
      <w:bookmarkStart w:id="125" w:name="_Toc14952"/>
      <w:bookmarkStart w:id="126" w:name="_Toc247527571"/>
      <w:r>
        <w:rPr>
          <w:rFonts w:asciiTheme="minorEastAsia" w:hAnsiTheme="minorEastAsia" w:eastAsiaTheme="minorEastAsia"/>
          <w:szCs w:val="21"/>
        </w:rPr>
        <w:t>2.3.1</w:t>
      </w:r>
      <w:r>
        <w:rPr>
          <w:rFonts w:hint="eastAsia" w:asciiTheme="minorEastAsia" w:hAnsiTheme="minorEastAsia" w:eastAsiaTheme="minorEastAsia"/>
          <w:szCs w:val="21"/>
        </w:rPr>
        <w:t>在投标截止时间</w:t>
      </w:r>
      <w:r>
        <w:rPr>
          <w:rFonts w:asciiTheme="minorEastAsia" w:hAnsiTheme="minorEastAsia" w:eastAsiaTheme="minorEastAsia"/>
          <w:szCs w:val="21"/>
        </w:rPr>
        <w:t xml:space="preserve"> 15 </w:t>
      </w:r>
      <w:r>
        <w:rPr>
          <w:rFonts w:hint="eastAsia" w:asciiTheme="minorEastAsia" w:hAnsiTheme="minorEastAsia" w:eastAsiaTheme="minorEastAsia"/>
          <w:szCs w:val="21"/>
        </w:rPr>
        <w:t>天前，招标人可修改招标文件。如果修改招标文件的时间距投标截止时间不足</w:t>
      </w:r>
      <w:r>
        <w:rPr>
          <w:rFonts w:asciiTheme="minorEastAsia" w:hAnsiTheme="minorEastAsia" w:eastAsiaTheme="minorEastAsia"/>
          <w:szCs w:val="21"/>
        </w:rPr>
        <w:t xml:space="preserve"> 15 </w:t>
      </w:r>
      <w:r>
        <w:rPr>
          <w:rFonts w:hint="eastAsia" w:asciiTheme="minorEastAsia" w:hAnsiTheme="minorEastAsia" w:eastAsiaTheme="minorEastAsia"/>
          <w:szCs w:val="21"/>
        </w:rPr>
        <w:t>天，相应延长投标截止时间。</w:t>
      </w:r>
    </w:p>
    <w:p w14:paraId="2F55187B">
      <w:pPr>
        <w:spacing w:line="400" w:lineRule="exact"/>
        <w:rPr>
          <w:rFonts w:asciiTheme="minorEastAsia" w:hAnsiTheme="minorEastAsia" w:eastAsiaTheme="minorEastAsia"/>
          <w:szCs w:val="21"/>
        </w:rPr>
      </w:pPr>
      <w:r>
        <w:rPr>
          <w:rFonts w:hint="eastAsia" w:asciiTheme="minorEastAsia" w:hAnsiTheme="minorEastAsia" w:eastAsiaTheme="minorEastAsia"/>
          <w:szCs w:val="21"/>
        </w:rPr>
        <w:t>3. 投标文件</w:t>
      </w:r>
      <w:bookmarkEnd w:id="121"/>
      <w:bookmarkEnd w:id="122"/>
      <w:bookmarkEnd w:id="123"/>
      <w:bookmarkEnd w:id="124"/>
      <w:bookmarkEnd w:id="125"/>
      <w:bookmarkEnd w:id="126"/>
    </w:p>
    <w:p w14:paraId="3F99657F">
      <w:pPr>
        <w:pStyle w:val="4"/>
        <w:spacing w:before="0" w:after="0" w:line="400" w:lineRule="exact"/>
        <w:rPr>
          <w:rFonts w:asciiTheme="minorEastAsia" w:hAnsiTheme="minorEastAsia" w:eastAsiaTheme="minorEastAsia"/>
          <w:sz w:val="21"/>
          <w:szCs w:val="21"/>
        </w:rPr>
      </w:pPr>
      <w:bookmarkStart w:id="127" w:name="_Toc26420"/>
      <w:bookmarkStart w:id="128" w:name="_Toc247527572"/>
      <w:bookmarkStart w:id="129" w:name="_Toc247513971"/>
      <w:bookmarkStart w:id="130" w:name="_Toc152045547"/>
      <w:bookmarkStart w:id="131" w:name="_Toc152042323"/>
      <w:bookmarkStart w:id="132" w:name="_Toc144974515"/>
      <w:r>
        <w:rPr>
          <w:rFonts w:hint="eastAsia" w:asciiTheme="minorEastAsia" w:hAnsiTheme="minorEastAsia" w:eastAsiaTheme="minorEastAsia"/>
          <w:sz w:val="21"/>
          <w:szCs w:val="21"/>
        </w:rPr>
        <w:t>3.1 投标文件的组成</w:t>
      </w:r>
      <w:bookmarkEnd w:id="127"/>
      <w:bookmarkEnd w:id="128"/>
      <w:bookmarkEnd w:id="129"/>
      <w:bookmarkEnd w:id="130"/>
      <w:bookmarkEnd w:id="131"/>
      <w:bookmarkEnd w:id="132"/>
    </w:p>
    <w:p w14:paraId="0B004746">
      <w:pPr>
        <w:spacing w:line="400" w:lineRule="exact"/>
        <w:rPr>
          <w:rFonts w:asciiTheme="minorEastAsia" w:hAnsiTheme="minorEastAsia" w:eastAsiaTheme="minorEastAsia"/>
          <w:szCs w:val="21"/>
        </w:rPr>
      </w:pPr>
      <w:r>
        <w:rPr>
          <w:rFonts w:hint="eastAsia" w:asciiTheme="minorEastAsia" w:hAnsiTheme="minorEastAsia" w:eastAsiaTheme="minorEastAsia"/>
          <w:szCs w:val="21"/>
        </w:rPr>
        <w:t>　　3.1.1 投标文件应包括下列内容：</w:t>
      </w:r>
    </w:p>
    <w:p w14:paraId="4D45BCB1">
      <w:pPr>
        <w:spacing w:line="400" w:lineRule="exact"/>
        <w:ind w:firstLine="359" w:firstLineChars="171"/>
        <w:rPr>
          <w:rFonts w:asciiTheme="minorEastAsia" w:hAnsiTheme="minorEastAsia" w:eastAsiaTheme="minorEastAsia"/>
          <w:szCs w:val="21"/>
        </w:rPr>
      </w:pPr>
      <w:r>
        <w:rPr>
          <w:rFonts w:hint="eastAsia" w:asciiTheme="minorEastAsia" w:hAnsiTheme="minorEastAsia" w:eastAsiaTheme="minorEastAsia"/>
          <w:szCs w:val="21"/>
        </w:rPr>
        <w:t>（1）投标函及投标函附录；</w:t>
      </w:r>
    </w:p>
    <w:p w14:paraId="4DDE5450">
      <w:pPr>
        <w:spacing w:line="400" w:lineRule="exact"/>
        <w:ind w:firstLine="359" w:firstLineChars="171"/>
        <w:rPr>
          <w:rFonts w:asciiTheme="minorEastAsia" w:hAnsiTheme="minorEastAsia" w:eastAsiaTheme="minorEastAsia"/>
          <w:szCs w:val="21"/>
        </w:rPr>
      </w:pPr>
      <w:r>
        <w:rPr>
          <w:rFonts w:hint="eastAsia" w:asciiTheme="minorEastAsia" w:hAnsiTheme="minorEastAsia" w:eastAsiaTheme="minorEastAsia"/>
          <w:szCs w:val="21"/>
        </w:rPr>
        <w:t>（2）法定代表人身份证明</w:t>
      </w:r>
    </w:p>
    <w:p w14:paraId="52DF8380">
      <w:pPr>
        <w:spacing w:line="400" w:lineRule="exact"/>
        <w:ind w:firstLine="359" w:firstLineChars="171"/>
        <w:rPr>
          <w:rFonts w:asciiTheme="minorEastAsia" w:hAnsiTheme="minorEastAsia" w:eastAsiaTheme="minorEastAsia"/>
          <w:szCs w:val="21"/>
        </w:rPr>
      </w:pPr>
      <w:r>
        <w:rPr>
          <w:rFonts w:hint="eastAsia" w:asciiTheme="minorEastAsia" w:hAnsiTheme="minorEastAsia" w:eastAsiaTheme="minorEastAsia"/>
          <w:szCs w:val="21"/>
        </w:rPr>
        <w:t>（3）授权委托书；</w:t>
      </w:r>
    </w:p>
    <w:p w14:paraId="52C6F79D">
      <w:pPr>
        <w:spacing w:line="400" w:lineRule="exact"/>
        <w:ind w:firstLine="359" w:firstLineChars="171"/>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val="en-US" w:eastAsia="zh-CN"/>
        </w:rPr>
        <w:t>技术方案</w:t>
      </w:r>
      <w:r>
        <w:rPr>
          <w:rFonts w:hint="eastAsia" w:asciiTheme="minorEastAsia" w:hAnsiTheme="minorEastAsia" w:eastAsiaTheme="minorEastAsia"/>
          <w:szCs w:val="21"/>
        </w:rPr>
        <w:t>；</w:t>
      </w:r>
    </w:p>
    <w:p w14:paraId="4324CBEC">
      <w:pPr>
        <w:spacing w:line="400" w:lineRule="exact"/>
        <w:ind w:firstLine="359" w:firstLineChars="171"/>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）资格审查资料；</w:t>
      </w:r>
    </w:p>
    <w:p w14:paraId="696475E3">
      <w:pPr>
        <w:spacing w:line="400" w:lineRule="exact"/>
        <w:ind w:firstLine="359" w:firstLineChars="171"/>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）其他资料；</w:t>
      </w:r>
    </w:p>
    <w:p w14:paraId="568874C3">
      <w:pPr>
        <w:spacing w:line="400" w:lineRule="exact"/>
        <w:ind w:firstLine="359" w:firstLineChars="171"/>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）附件</w:t>
      </w:r>
    </w:p>
    <w:p w14:paraId="1A805C4A">
      <w:pPr>
        <w:pStyle w:val="4"/>
        <w:spacing w:before="0" w:after="0" w:line="400" w:lineRule="exact"/>
        <w:rPr>
          <w:rFonts w:asciiTheme="minorEastAsia" w:hAnsiTheme="minorEastAsia" w:eastAsiaTheme="minorEastAsia"/>
          <w:sz w:val="21"/>
          <w:szCs w:val="21"/>
        </w:rPr>
      </w:pPr>
      <w:bookmarkStart w:id="133" w:name="_Toc247527573"/>
      <w:bookmarkStart w:id="134" w:name="_Toc14613"/>
      <w:bookmarkStart w:id="135" w:name="_Toc152045548"/>
      <w:bookmarkStart w:id="136" w:name="_Toc152042324"/>
      <w:bookmarkStart w:id="137" w:name="_Toc144974516"/>
      <w:bookmarkStart w:id="138" w:name="_Toc247513972"/>
      <w:r>
        <w:rPr>
          <w:rFonts w:hint="eastAsia" w:asciiTheme="minorEastAsia" w:hAnsiTheme="minorEastAsia" w:eastAsiaTheme="minorEastAsia"/>
          <w:sz w:val="21"/>
          <w:szCs w:val="21"/>
        </w:rPr>
        <w:t>3.2 投标报价</w:t>
      </w:r>
      <w:bookmarkEnd w:id="133"/>
      <w:bookmarkEnd w:id="134"/>
      <w:bookmarkEnd w:id="135"/>
      <w:bookmarkEnd w:id="136"/>
      <w:bookmarkEnd w:id="137"/>
      <w:bookmarkEnd w:id="138"/>
    </w:p>
    <w:p w14:paraId="170A0533">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3.2.1 投标人应按第五章“投标文件格式”的要求填写投标报价。</w:t>
      </w:r>
    </w:p>
    <w:p w14:paraId="5898248B">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3.2.2 投标人自主报价。</w:t>
      </w:r>
    </w:p>
    <w:p w14:paraId="27495938">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3.2.3作为投标人，应在报价中充分考虑到在正常情况下可能发生的所有费用。</w:t>
      </w:r>
    </w:p>
    <w:p w14:paraId="3146315A">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3.2.4招标人设有招标控制价的，投标人的投标报价不得超过招标控制价。</w:t>
      </w:r>
    </w:p>
    <w:p w14:paraId="38D4A0B5">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3.2.5 投标报价见投标人须知前附表。</w:t>
      </w:r>
    </w:p>
    <w:p w14:paraId="60A71867">
      <w:pPr>
        <w:pStyle w:val="4"/>
        <w:spacing w:before="0" w:after="0" w:line="400" w:lineRule="exact"/>
        <w:rPr>
          <w:rFonts w:asciiTheme="minorEastAsia" w:hAnsiTheme="minorEastAsia" w:eastAsiaTheme="minorEastAsia"/>
          <w:sz w:val="21"/>
          <w:szCs w:val="21"/>
        </w:rPr>
      </w:pPr>
      <w:bookmarkStart w:id="139" w:name="_Toc247527574"/>
      <w:bookmarkStart w:id="140" w:name="_Toc247513973"/>
      <w:bookmarkStart w:id="141" w:name="_Toc152045549"/>
      <w:bookmarkStart w:id="142" w:name="_Toc144974517"/>
      <w:bookmarkStart w:id="143" w:name="_Toc6421"/>
      <w:bookmarkStart w:id="144" w:name="_Toc152042325"/>
      <w:r>
        <w:rPr>
          <w:rFonts w:hint="eastAsia" w:asciiTheme="minorEastAsia" w:hAnsiTheme="minorEastAsia" w:eastAsiaTheme="minorEastAsia"/>
          <w:sz w:val="21"/>
          <w:szCs w:val="21"/>
        </w:rPr>
        <w:t>3.3 投标有效期</w:t>
      </w:r>
      <w:bookmarkEnd w:id="139"/>
      <w:bookmarkEnd w:id="140"/>
      <w:bookmarkEnd w:id="141"/>
      <w:bookmarkEnd w:id="142"/>
      <w:bookmarkEnd w:id="143"/>
      <w:bookmarkEnd w:id="144"/>
    </w:p>
    <w:p w14:paraId="24EE0943">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3.3.1 投标有效期按投标人须知前附表规定。</w:t>
      </w:r>
    </w:p>
    <w:p w14:paraId="253F584B">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3.3.2 在投标有效期内，投标人撤销或修改其投标文件的，应承担招标文件和法律规定的责任。</w:t>
      </w:r>
    </w:p>
    <w:p w14:paraId="693A27C5">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3.3.3 出现特殊情况需要延长投标有效期的，招标人以书面形式通知所有投标人延长投标有效期。投标人同意延长的，不得要求或被允许修改或撤销其投标文件；投标人拒绝延长的，其投标失效。 </w:t>
      </w:r>
    </w:p>
    <w:p w14:paraId="4263F8DB">
      <w:pPr>
        <w:pStyle w:val="4"/>
        <w:spacing w:before="0" w:after="0" w:line="400" w:lineRule="exact"/>
        <w:rPr>
          <w:rFonts w:hint="eastAsia" w:asciiTheme="minorEastAsia" w:hAnsiTheme="minorEastAsia" w:eastAsiaTheme="minorEastAsia"/>
          <w:sz w:val="21"/>
          <w:szCs w:val="21"/>
          <w:lang w:eastAsia="zh-CN"/>
        </w:rPr>
      </w:pPr>
      <w:bookmarkStart w:id="145" w:name="_Toc247527575"/>
      <w:bookmarkStart w:id="146" w:name="_Toc144974518"/>
      <w:bookmarkStart w:id="147" w:name="_Toc152042326"/>
      <w:bookmarkStart w:id="148" w:name="_Toc7391"/>
      <w:bookmarkStart w:id="149" w:name="_Toc247513974"/>
      <w:bookmarkStart w:id="150" w:name="_Toc152045550"/>
      <w:r>
        <w:rPr>
          <w:rFonts w:hint="eastAsia" w:asciiTheme="minorEastAsia" w:hAnsiTheme="minorEastAsia" w:eastAsiaTheme="minorEastAsia"/>
          <w:sz w:val="21"/>
          <w:szCs w:val="21"/>
        </w:rPr>
        <w:t>3.4 投标保证金</w:t>
      </w:r>
      <w:bookmarkEnd w:id="145"/>
      <w:bookmarkEnd w:id="146"/>
      <w:bookmarkEnd w:id="147"/>
      <w:bookmarkEnd w:id="148"/>
      <w:bookmarkEnd w:id="149"/>
      <w:bookmarkEnd w:id="150"/>
      <w:r>
        <w:rPr>
          <w:rFonts w:hint="eastAsia" w:asciiTheme="minorEastAsia" w:hAnsiTheme="minorEastAsia" w:eastAsiaTheme="minorEastAsia"/>
          <w:sz w:val="21"/>
          <w:szCs w:val="21"/>
          <w:lang w:eastAsia="zh-CN"/>
        </w:rPr>
        <w:t>（</w:t>
      </w:r>
      <w:r>
        <w:rPr>
          <w:rFonts w:hint="eastAsia" w:asciiTheme="minorEastAsia" w:hAnsiTheme="minorEastAsia" w:eastAsiaTheme="minorEastAsia"/>
          <w:sz w:val="21"/>
          <w:szCs w:val="21"/>
          <w:lang w:val="en-US" w:eastAsia="zh-CN"/>
        </w:rPr>
        <w:t>本项目不适应</w:t>
      </w:r>
      <w:r>
        <w:rPr>
          <w:rFonts w:hint="eastAsia" w:asciiTheme="minorEastAsia" w:hAnsiTheme="minorEastAsia" w:eastAsiaTheme="minorEastAsia"/>
          <w:sz w:val="21"/>
          <w:szCs w:val="21"/>
          <w:lang w:eastAsia="zh-CN"/>
        </w:rPr>
        <w:t>）</w:t>
      </w:r>
    </w:p>
    <w:p w14:paraId="283324EA">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3.4.1 投标人在递交投标文件的同时，应按投标人须知前附表规定的金额、担保形式和第五章“投标文件格式”规定的投标保证金格式递交投标保证金，并作为其投标文件的组成部分。</w:t>
      </w:r>
    </w:p>
    <w:p w14:paraId="1D9862CD">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3.4.2 投标人不按本章第3.4.1项要求提交投标保证金的，评标委员会将否决其投标。</w:t>
      </w:r>
    </w:p>
    <w:p w14:paraId="48AC024F">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3.4.3 招标人与中标人签订合同后5日内，向未中标的投标人和中标人退还投标保证金。</w:t>
      </w:r>
    </w:p>
    <w:p w14:paraId="363330A9">
      <w:pPr>
        <w:pStyle w:val="4"/>
        <w:spacing w:before="0" w:after="0" w:line="400" w:lineRule="exact"/>
        <w:rPr>
          <w:rFonts w:asciiTheme="minorEastAsia" w:hAnsiTheme="minorEastAsia" w:eastAsiaTheme="minorEastAsia"/>
          <w:sz w:val="21"/>
          <w:szCs w:val="21"/>
        </w:rPr>
      </w:pPr>
      <w:bookmarkStart w:id="151" w:name="_Toc144974520"/>
      <w:bookmarkStart w:id="152" w:name="_Toc152045552"/>
      <w:bookmarkStart w:id="153" w:name="_Toc247513976"/>
      <w:bookmarkStart w:id="154" w:name="_Toc247527577"/>
      <w:bookmarkStart w:id="155" w:name="_Toc152042328"/>
      <w:bookmarkStart w:id="156" w:name="_Toc30734"/>
      <w:r>
        <w:rPr>
          <w:rFonts w:hint="eastAsia" w:asciiTheme="minorEastAsia" w:hAnsiTheme="minorEastAsia" w:eastAsiaTheme="minorEastAsia"/>
          <w:sz w:val="21"/>
          <w:szCs w:val="21"/>
        </w:rPr>
        <w:t>3.5 资格审查资料</w:t>
      </w:r>
      <w:bookmarkEnd w:id="151"/>
      <w:bookmarkEnd w:id="152"/>
      <w:bookmarkEnd w:id="153"/>
      <w:bookmarkEnd w:id="154"/>
      <w:bookmarkEnd w:id="155"/>
      <w:bookmarkEnd w:id="156"/>
    </w:p>
    <w:p w14:paraId="7C15CBEA">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3.5.1 “投标人基本情况表”应附投标人营业执照等材料。</w:t>
      </w:r>
    </w:p>
    <w:p w14:paraId="62FC3093">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3.5.2 具体其他要求见投标人须知前附表。</w:t>
      </w:r>
    </w:p>
    <w:p w14:paraId="58399BBE">
      <w:pPr>
        <w:pStyle w:val="4"/>
        <w:spacing w:before="0" w:after="0" w:line="400" w:lineRule="exact"/>
        <w:rPr>
          <w:rFonts w:asciiTheme="minorEastAsia" w:hAnsiTheme="minorEastAsia" w:eastAsiaTheme="minorEastAsia"/>
          <w:sz w:val="21"/>
          <w:szCs w:val="21"/>
        </w:rPr>
      </w:pPr>
      <w:bookmarkStart w:id="157" w:name="_Toc247527578"/>
      <w:bookmarkStart w:id="158" w:name="_Toc144974521"/>
      <w:bookmarkStart w:id="159" w:name="_Toc247513977"/>
      <w:bookmarkStart w:id="160" w:name="_Toc152045553"/>
      <w:bookmarkStart w:id="161" w:name="_Toc152042329"/>
      <w:bookmarkStart w:id="162" w:name="_Toc32010"/>
      <w:r>
        <w:rPr>
          <w:rFonts w:hint="eastAsia" w:asciiTheme="minorEastAsia" w:hAnsiTheme="minorEastAsia" w:eastAsiaTheme="minorEastAsia"/>
          <w:sz w:val="21"/>
          <w:szCs w:val="21"/>
        </w:rPr>
        <w:t>3.6 备选投标方案</w:t>
      </w:r>
      <w:bookmarkEnd w:id="157"/>
      <w:bookmarkEnd w:id="158"/>
      <w:bookmarkEnd w:id="159"/>
      <w:bookmarkEnd w:id="160"/>
      <w:bookmarkEnd w:id="161"/>
      <w:bookmarkEnd w:id="162"/>
    </w:p>
    <w:p w14:paraId="718B8FD9">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投标人不得递交备选投标方案。</w:t>
      </w:r>
    </w:p>
    <w:p w14:paraId="30D56303">
      <w:pPr>
        <w:pStyle w:val="4"/>
        <w:spacing w:before="0" w:after="0" w:line="400" w:lineRule="exact"/>
        <w:rPr>
          <w:rFonts w:asciiTheme="minorEastAsia" w:hAnsiTheme="minorEastAsia" w:eastAsiaTheme="minorEastAsia"/>
          <w:sz w:val="21"/>
          <w:szCs w:val="21"/>
        </w:rPr>
      </w:pPr>
      <w:bookmarkStart w:id="163" w:name="_Toc247527579"/>
      <w:bookmarkStart w:id="164" w:name="_Toc152042330"/>
      <w:bookmarkStart w:id="165" w:name="_Toc247513978"/>
      <w:bookmarkStart w:id="166" w:name="_Toc144974522"/>
      <w:bookmarkStart w:id="167" w:name="_Toc152045554"/>
      <w:bookmarkStart w:id="168" w:name="_Toc3051"/>
      <w:r>
        <w:rPr>
          <w:rFonts w:hint="eastAsia" w:asciiTheme="minorEastAsia" w:hAnsiTheme="minorEastAsia" w:eastAsiaTheme="minorEastAsia"/>
          <w:sz w:val="21"/>
          <w:szCs w:val="21"/>
        </w:rPr>
        <w:t>3.7 投标文件的编制</w:t>
      </w:r>
      <w:bookmarkEnd w:id="163"/>
      <w:bookmarkEnd w:id="164"/>
      <w:bookmarkEnd w:id="165"/>
      <w:bookmarkEnd w:id="166"/>
      <w:bookmarkEnd w:id="167"/>
      <w:bookmarkEnd w:id="168"/>
    </w:p>
    <w:p w14:paraId="380DD459">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3.7.1 投标文件应按第五章“投标文件格式”进行编写，如有必要，可以增加附页，作为投标文件的组成部分。其中，投标函附录在满足招标文件实质性要求的基础上，可以提出比招标文件要求更有利于招标人的承诺。</w:t>
      </w:r>
    </w:p>
    <w:p w14:paraId="179A1F99">
      <w:pPr>
        <w:spacing w:line="400" w:lineRule="exact"/>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3.7.2 投标文件应当对招标文件实质性内容作出响应。</w:t>
      </w:r>
    </w:p>
    <w:p w14:paraId="2DCA6BC4">
      <w:pPr>
        <w:snapToGrid w:val="0"/>
        <w:spacing w:line="400" w:lineRule="exact"/>
        <w:ind w:firstLine="420" w:firstLineChars="200"/>
        <w:rPr>
          <w:rFonts w:cs="宋体" w:asciiTheme="minorEastAsia" w:hAnsiTheme="minorEastAsia" w:eastAsiaTheme="minorEastAsia"/>
          <w:b/>
          <w:bCs/>
          <w:szCs w:val="21"/>
        </w:rPr>
      </w:pPr>
      <w:r>
        <w:rPr>
          <w:rFonts w:hint="eastAsia" w:asciiTheme="minorEastAsia" w:hAnsiTheme="minorEastAsia" w:eastAsiaTheme="minorEastAsia"/>
          <w:szCs w:val="21"/>
        </w:rPr>
        <w:t>3.7.3</w:t>
      </w:r>
      <w:r>
        <w:rPr>
          <w:rFonts w:hint="eastAsia" w:cs="宋体" w:asciiTheme="minorEastAsia" w:hAnsiTheme="minorEastAsia" w:eastAsiaTheme="minorEastAsia"/>
          <w:szCs w:val="21"/>
        </w:rPr>
        <w:t>签字或盖章的具体要求见投标人须知前附表。</w:t>
      </w:r>
    </w:p>
    <w:p w14:paraId="69F71F60">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3.7.4 投标文件正本,副本份数见投标人须知前附表。</w:t>
      </w:r>
    </w:p>
    <w:p w14:paraId="2EF45504">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3.7.5</w:t>
      </w:r>
      <w:r>
        <w:rPr>
          <w:rFonts w:hint="eastAsia" w:asciiTheme="minorEastAsia" w:hAnsiTheme="minorEastAsia" w:eastAsiaTheme="minorEastAsia"/>
          <w:b/>
          <w:szCs w:val="21"/>
        </w:rPr>
        <w:t xml:space="preserve"> 投标文件份数见投标人须知前附表规定。</w:t>
      </w:r>
    </w:p>
    <w:p w14:paraId="508115F6">
      <w:pPr>
        <w:pStyle w:val="3"/>
        <w:spacing w:before="0" w:after="0" w:line="400" w:lineRule="exact"/>
        <w:rPr>
          <w:rFonts w:asciiTheme="minorEastAsia" w:hAnsiTheme="minorEastAsia" w:eastAsiaTheme="minorEastAsia"/>
          <w:sz w:val="21"/>
          <w:szCs w:val="21"/>
        </w:rPr>
      </w:pPr>
      <w:bookmarkStart w:id="169" w:name="_Toc152042331"/>
      <w:bookmarkStart w:id="170" w:name="_Toc144974523"/>
      <w:bookmarkStart w:id="171" w:name="_Toc152045555"/>
      <w:bookmarkStart w:id="172" w:name="_Toc8573"/>
      <w:bookmarkStart w:id="173" w:name="_Toc247513979"/>
      <w:bookmarkStart w:id="174" w:name="_Toc247527580"/>
      <w:r>
        <w:rPr>
          <w:rFonts w:hint="eastAsia" w:asciiTheme="minorEastAsia" w:hAnsiTheme="minorEastAsia" w:eastAsiaTheme="minorEastAsia"/>
          <w:sz w:val="21"/>
          <w:szCs w:val="21"/>
        </w:rPr>
        <w:t>4. 投标</w:t>
      </w:r>
      <w:bookmarkEnd w:id="169"/>
      <w:bookmarkEnd w:id="170"/>
      <w:bookmarkEnd w:id="171"/>
      <w:bookmarkEnd w:id="172"/>
      <w:bookmarkEnd w:id="173"/>
      <w:bookmarkEnd w:id="174"/>
    </w:p>
    <w:p w14:paraId="14287FFF">
      <w:pPr>
        <w:pStyle w:val="4"/>
        <w:spacing w:before="0" w:after="0" w:line="400" w:lineRule="exact"/>
        <w:rPr>
          <w:rFonts w:asciiTheme="minorEastAsia" w:hAnsiTheme="minorEastAsia" w:eastAsiaTheme="minorEastAsia"/>
          <w:sz w:val="21"/>
          <w:szCs w:val="21"/>
        </w:rPr>
      </w:pPr>
      <w:bookmarkStart w:id="175" w:name="_Toc152042332"/>
      <w:bookmarkStart w:id="176" w:name="_Toc247527581"/>
      <w:bookmarkStart w:id="177" w:name="_Toc144974524"/>
      <w:bookmarkStart w:id="178" w:name="_Toc247513980"/>
      <w:bookmarkStart w:id="179" w:name="_Toc152045556"/>
      <w:bookmarkStart w:id="180" w:name="_Toc1814"/>
      <w:r>
        <w:rPr>
          <w:rFonts w:hint="eastAsia" w:asciiTheme="minorEastAsia" w:hAnsiTheme="minorEastAsia" w:eastAsiaTheme="minorEastAsia"/>
          <w:sz w:val="21"/>
          <w:szCs w:val="21"/>
        </w:rPr>
        <w:t>4.1 投标文件电子版的密封和标记</w:t>
      </w:r>
      <w:bookmarkEnd w:id="175"/>
      <w:bookmarkEnd w:id="176"/>
      <w:bookmarkEnd w:id="177"/>
      <w:bookmarkEnd w:id="178"/>
      <w:bookmarkEnd w:id="179"/>
      <w:bookmarkEnd w:id="180"/>
    </w:p>
    <w:p w14:paraId="3594A3BF">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4.1.2投标文件的封套上应写明的内容见投标人须知前附表。</w:t>
      </w:r>
    </w:p>
    <w:p w14:paraId="70F2D45E">
      <w:pPr>
        <w:pStyle w:val="4"/>
        <w:spacing w:before="0" w:after="0" w:line="400" w:lineRule="exact"/>
        <w:rPr>
          <w:rFonts w:asciiTheme="minorEastAsia" w:hAnsiTheme="minorEastAsia" w:eastAsiaTheme="minorEastAsia"/>
          <w:sz w:val="21"/>
          <w:szCs w:val="21"/>
        </w:rPr>
      </w:pPr>
      <w:bookmarkStart w:id="181" w:name="_Toc144974525"/>
      <w:bookmarkStart w:id="182" w:name="_Toc23701"/>
      <w:bookmarkStart w:id="183" w:name="_Toc152045557"/>
      <w:bookmarkStart w:id="184" w:name="_Toc247513981"/>
      <w:bookmarkStart w:id="185" w:name="_Toc152042333"/>
      <w:bookmarkStart w:id="186" w:name="_Toc247527582"/>
      <w:r>
        <w:rPr>
          <w:rFonts w:hint="eastAsia" w:asciiTheme="minorEastAsia" w:hAnsiTheme="minorEastAsia" w:eastAsiaTheme="minorEastAsia"/>
          <w:sz w:val="21"/>
          <w:szCs w:val="21"/>
        </w:rPr>
        <w:t>4.2 投标文件的递交</w:t>
      </w:r>
      <w:bookmarkEnd w:id="181"/>
      <w:bookmarkEnd w:id="182"/>
      <w:bookmarkEnd w:id="183"/>
      <w:bookmarkEnd w:id="184"/>
      <w:bookmarkEnd w:id="185"/>
      <w:bookmarkEnd w:id="186"/>
    </w:p>
    <w:p w14:paraId="3E57D670">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4.2.1 投标人应在规定的投标截止时间前递交投标文件。</w:t>
      </w:r>
    </w:p>
    <w:p w14:paraId="66F5C9E5">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4.2.2 投标人递交投标文件的地点：见投标人须知前附表。</w:t>
      </w:r>
    </w:p>
    <w:p w14:paraId="5EB72C4A">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4.2.3 除投标人须知前附表另有规定外，投标人所递交的投标文件不予退还。</w:t>
      </w:r>
    </w:p>
    <w:p w14:paraId="0E122A6E">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4.2.4 逾期送达的或者未送达指定地点的投标文件，招标人不予受理。</w:t>
      </w:r>
    </w:p>
    <w:p w14:paraId="35A6064D">
      <w:pPr>
        <w:pStyle w:val="4"/>
        <w:spacing w:before="0" w:after="0" w:line="400" w:lineRule="exact"/>
        <w:rPr>
          <w:rFonts w:asciiTheme="minorEastAsia" w:hAnsiTheme="minorEastAsia" w:eastAsiaTheme="minorEastAsia"/>
          <w:sz w:val="21"/>
          <w:szCs w:val="21"/>
        </w:rPr>
      </w:pPr>
      <w:bookmarkStart w:id="187" w:name="_Toc247513982"/>
      <w:bookmarkStart w:id="188" w:name="_Toc247527583"/>
      <w:bookmarkStart w:id="189" w:name="_Toc152042334"/>
      <w:bookmarkStart w:id="190" w:name="_Toc7592"/>
      <w:bookmarkStart w:id="191" w:name="_Toc152045558"/>
      <w:bookmarkStart w:id="192" w:name="_Toc144974526"/>
      <w:r>
        <w:rPr>
          <w:rFonts w:hint="eastAsia" w:asciiTheme="minorEastAsia" w:hAnsiTheme="minorEastAsia" w:eastAsiaTheme="minorEastAsia"/>
          <w:sz w:val="21"/>
          <w:szCs w:val="21"/>
        </w:rPr>
        <w:t>4.3 投标文件的修改与撤回</w:t>
      </w:r>
      <w:bookmarkEnd w:id="187"/>
      <w:bookmarkEnd w:id="188"/>
      <w:bookmarkEnd w:id="189"/>
      <w:bookmarkEnd w:id="190"/>
      <w:bookmarkEnd w:id="191"/>
      <w:bookmarkEnd w:id="192"/>
    </w:p>
    <w:p w14:paraId="25CB6D4A">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4.3.1 在规定的投标截止时间前，投标人可以修改或撤回已递交的投标文件，但应以书面形式通知招标人。</w:t>
      </w:r>
    </w:p>
    <w:p w14:paraId="2042FC30">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4.3.2 投标人修改或撤回已递交投标文件的书面通知应按照要求签字或盖章。</w:t>
      </w:r>
    </w:p>
    <w:p w14:paraId="64E9D8AC">
      <w:pPr>
        <w:pStyle w:val="3"/>
        <w:spacing w:before="0" w:after="0" w:line="400" w:lineRule="exact"/>
        <w:rPr>
          <w:rFonts w:asciiTheme="minorEastAsia" w:hAnsiTheme="minorEastAsia" w:eastAsiaTheme="minorEastAsia"/>
          <w:sz w:val="21"/>
          <w:szCs w:val="21"/>
        </w:rPr>
      </w:pPr>
      <w:bookmarkStart w:id="193" w:name="_Toc247513983"/>
      <w:bookmarkStart w:id="194" w:name="_Toc144974527"/>
      <w:bookmarkStart w:id="195" w:name="_Toc152042335"/>
      <w:bookmarkStart w:id="196" w:name="_Toc247527584"/>
      <w:bookmarkStart w:id="197" w:name="_Toc22637"/>
      <w:bookmarkStart w:id="198" w:name="_Toc152045559"/>
      <w:r>
        <w:rPr>
          <w:rFonts w:hint="eastAsia" w:asciiTheme="minorEastAsia" w:hAnsiTheme="minorEastAsia" w:eastAsiaTheme="minorEastAsia"/>
          <w:sz w:val="21"/>
          <w:szCs w:val="21"/>
        </w:rPr>
        <w:t>5. 开标</w:t>
      </w:r>
      <w:bookmarkEnd w:id="193"/>
      <w:bookmarkEnd w:id="194"/>
      <w:bookmarkEnd w:id="195"/>
      <w:bookmarkEnd w:id="196"/>
      <w:bookmarkEnd w:id="197"/>
      <w:bookmarkEnd w:id="198"/>
    </w:p>
    <w:p w14:paraId="1E116E82">
      <w:pPr>
        <w:pStyle w:val="4"/>
        <w:spacing w:before="0" w:after="0" w:line="400" w:lineRule="exact"/>
        <w:rPr>
          <w:rFonts w:asciiTheme="minorEastAsia" w:hAnsiTheme="minorEastAsia" w:eastAsiaTheme="minorEastAsia"/>
          <w:sz w:val="21"/>
          <w:szCs w:val="21"/>
        </w:rPr>
      </w:pPr>
      <w:bookmarkStart w:id="199" w:name="_Toc152045560"/>
      <w:bookmarkStart w:id="200" w:name="_Toc247513984"/>
      <w:bookmarkStart w:id="201" w:name="_Toc247527585"/>
      <w:bookmarkStart w:id="202" w:name="_Toc152042336"/>
      <w:bookmarkStart w:id="203" w:name="_Toc9748"/>
      <w:bookmarkStart w:id="204" w:name="_Toc144974528"/>
      <w:r>
        <w:rPr>
          <w:rFonts w:hint="eastAsia" w:asciiTheme="minorEastAsia" w:hAnsiTheme="minorEastAsia" w:eastAsiaTheme="minorEastAsia"/>
          <w:sz w:val="21"/>
          <w:szCs w:val="21"/>
        </w:rPr>
        <w:t>5.1 开标时间和地点</w:t>
      </w:r>
      <w:bookmarkEnd w:id="199"/>
      <w:bookmarkEnd w:id="200"/>
      <w:bookmarkEnd w:id="201"/>
      <w:bookmarkEnd w:id="202"/>
      <w:bookmarkEnd w:id="203"/>
      <w:bookmarkEnd w:id="204"/>
    </w:p>
    <w:p w14:paraId="5EDBBE3D">
      <w:pPr>
        <w:spacing w:line="400" w:lineRule="exact"/>
        <w:ind w:firstLine="422" w:firstLineChars="200"/>
        <w:rPr>
          <w:rFonts w:asciiTheme="minorEastAsia" w:hAnsiTheme="minorEastAsia" w:eastAsiaTheme="minorEastAsia"/>
          <w:color w:val="000000"/>
          <w:szCs w:val="21"/>
        </w:rPr>
      </w:pPr>
      <w:r>
        <w:rPr>
          <w:rFonts w:hint="eastAsia" w:cs="宋体" w:asciiTheme="minorEastAsia" w:hAnsiTheme="minorEastAsia" w:eastAsiaTheme="minorEastAsia"/>
          <w:b/>
          <w:bCs/>
          <w:color w:val="000000"/>
          <w:szCs w:val="21"/>
        </w:rPr>
        <w:t>本项目采取“不见面”开标，不再到开标现场，投标人开标前应仔细阅读《“不见面”开标注意事项及操作流程》。投标人采用网上远程异地解密，在投标时间截止前完成投标文件解密，未按规定进行解密，视为投标人自动弃权，在开标期间投标人应保证电话、电脑、网络等能够正常使用。</w:t>
      </w:r>
    </w:p>
    <w:p w14:paraId="6224C2DC">
      <w:pPr>
        <w:pStyle w:val="4"/>
        <w:spacing w:before="0" w:after="0" w:line="400" w:lineRule="exact"/>
        <w:rPr>
          <w:rFonts w:asciiTheme="minorEastAsia" w:hAnsiTheme="minorEastAsia" w:eastAsiaTheme="minorEastAsia"/>
          <w:color w:val="000000"/>
          <w:sz w:val="21"/>
          <w:szCs w:val="21"/>
        </w:rPr>
      </w:pPr>
      <w:bookmarkStart w:id="205" w:name="_Toc247513985"/>
      <w:bookmarkStart w:id="206" w:name="_Toc247527586"/>
      <w:bookmarkStart w:id="207" w:name="_Toc144974529"/>
      <w:bookmarkStart w:id="208" w:name="_Toc152042337"/>
      <w:bookmarkStart w:id="209" w:name="_Toc7014"/>
      <w:bookmarkStart w:id="210" w:name="_Toc152045561"/>
      <w:r>
        <w:rPr>
          <w:rFonts w:hint="eastAsia" w:asciiTheme="minorEastAsia" w:hAnsiTheme="minorEastAsia" w:eastAsiaTheme="minorEastAsia"/>
          <w:color w:val="000000"/>
          <w:sz w:val="21"/>
          <w:szCs w:val="21"/>
        </w:rPr>
        <w:t>5.2 开标程序</w:t>
      </w:r>
      <w:bookmarkEnd w:id="205"/>
      <w:bookmarkEnd w:id="206"/>
      <w:bookmarkEnd w:id="207"/>
      <w:bookmarkEnd w:id="208"/>
      <w:bookmarkEnd w:id="209"/>
      <w:bookmarkEnd w:id="210"/>
      <w:r>
        <w:rPr>
          <w:rFonts w:hint="eastAsia" w:asciiTheme="minorEastAsia" w:hAnsiTheme="minorEastAsia" w:eastAsiaTheme="minorEastAsia"/>
          <w:color w:val="000000"/>
          <w:sz w:val="21"/>
          <w:szCs w:val="21"/>
        </w:rPr>
        <w:t>（疫情期间不适用）</w:t>
      </w:r>
    </w:p>
    <w:p w14:paraId="136C8886">
      <w:pPr>
        <w:spacing w:line="400" w:lineRule="exact"/>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主持人按下列程序进行开标：</w:t>
      </w:r>
    </w:p>
    <w:p w14:paraId="0219874A">
      <w:pPr>
        <w:spacing w:line="400" w:lineRule="exact"/>
        <w:ind w:firstLine="359" w:firstLineChars="171"/>
        <w:rPr>
          <w:rFonts w:asciiTheme="minorEastAsia" w:hAnsiTheme="minorEastAsia" w:eastAsiaTheme="minorEastAsia"/>
          <w:color w:val="000000"/>
          <w:szCs w:val="21"/>
        </w:rPr>
      </w:pPr>
      <w:r>
        <w:rPr>
          <w:rFonts w:hint="eastAsia" w:asciiTheme="minorEastAsia" w:hAnsiTheme="minorEastAsia" w:eastAsiaTheme="minorEastAsia"/>
          <w:color w:val="000000"/>
          <w:szCs w:val="21"/>
        </w:rPr>
        <w:t>（1）宣布开标纪律；</w:t>
      </w:r>
    </w:p>
    <w:p w14:paraId="417AE38C">
      <w:pPr>
        <w:spacing w:line="400" w:lineRule="exact"/>
        <w:ind w:firstLine="359" w:firstLineChars="171"/>
        <w:rPr>
          <w:rFonts w:asciiTheme="minorEastAsia" w:hAnsiTheme="minorEastAsia" w:eastAsiaTheme="minorEastAsia"/>
          <w:color w:val="000000"/>
          <w:szCs w:val="21"/>
        </w:rPr>
      </w:pPr>
      <w:r>
        <w:rPr>
          <w:rFonts w:hint="eastAsia" w:asciiTheme="minorEastAsia" w:hAnsiTheme="minorEastAsia" w:eastAsiaTheme="minorEastAsia"/>
          <w:color w:val="000000"/>
          <w:szCs w:val="21"/>
        </w:rPr>
        <w:t>（2）公布在投标截止时间前递交投标文件的投标人名称，并点名确认投标人是否派人到场；</w:t>
      </w:r>
    </w:p>
    <w:p w14:paraId="0571D8BD">
      <w:pPr>
        <w:spacing w:line="400" w:lineRule="exact"/>
        <w:ind w:firstLine="359" w:firstLineChars="171"/>
        <w:rPr>
          <w:rFonts w:asciiTheme="minorEastAsia" w:hAnsiTheme="minorEastAsia" w:eastAsiaTheme="minorEastAsia"/>
          <w:color w:val="000000"/>
          <w:szCs w:val="21"/>
        </w:rPr>
      </w:pPr>
      <w:r>
        <w:rPr>
          <w:rFonts w:hint="eastAsia" w:asciiTheme="minorEastAsia" w:hAnsiTheme="minorEastAsia" w:eastAsiaTheme="minorEastAsia"/>
          <w:color w:val="000000"/>
          <w:szCs w:val="21"/>
        </w:rPr>
        <w:t>（3）宣布开标人、唱标人、记录人、监标人等有关人员姓名；</w:t>
      </w:r>
    </w:p>
    <w:p w14:paraId="5F7A5077">
      <w:pPr>
        <w:spacing w:line="400" w:lineRule="exact"/>
        <w:ind w:firstLine="359" w:firstLineChars="171"/>
        <w:rPr>
          <w:rFonts w:asciiTheme="minorEastAsia" w:hAnsiTheme="minorEastAsia" w:eastAsiaTheme="minorEastAsia"/>
          <w:color w:val="000000"/>
          <w:szCs w:val="21"/>
        </w:rPr>
      </w:pPr>
      <w:r>
        <w:rPr>
          <w:rFonts w:hint="eastAsia" w:asciiTheme="minorEastAsia" w:hAnsiTheme="minorEastAsia" w:eastAsiaTheme="minorEastAsia"/>
          <w:color w:val="000000"/>
          <w:szCs w:val="21"/>
        </w:rPr>
        <w:t>（4）按照投标人须知前附表规定检查投标文件的密封情况；</w:t>
      </w:r>
    </w:p>
    <w:p w14:paraId="035C4BB4">
      <w:pPr>
        <w:spacing w:line="400" w:lineRule="exact"/>
        <w:ind w:firstLine="359" w:firstLineChars="171"/>
        <w:rPr>
          <w:rFonts w:asciiTheme="minorEastAsia" w:hAnsiTheme="minorEastAsia" w:eastAsiaTheme="minorEastAsia"/>
          <w:color w:val="000000"/>
          <w:szCs w:val="21"/>
        </w:rPr>
      </w:pPr>
      <w:r>
        <w:rPr>
          <w:rFonts w:hint="eastAsia" w:asciiTheme="minorEastAsia" w:hAnsiTheme="minorEastAsia" w:eastAsiaTheme="minorEastAsia"/>
          <w:color w:val="000000"/>
          <w:szCs w:val="21"/>
        </w:rPr>
        <w:t>（5）按照投标人须知前附表的规定确定并宣布投标文件开标顺序；</w:t>
      </w:r>
    </w:p>
    <w:p w14:paraId="08B24FC9">
      <w:pPr>
        <w:spacing w:line="400" w:lineRule="exact"/>
        <w:ind w:firstLine="359" w:firstLineChars="171"/>
        <w:rPr>
          <w:rFonts w:asciiTheme="minorEastAsia" w:hAnsiTheme="minorEastAsia" w:eastAsiaTheme="minorEastAsia"/>
          <w:color w:val="000000"/>
          <w:szCs w:val="21"/>
        </w:rPr>
      </w:pPr>
      <w:r>
        <w:rPr>
          <w:rFonts w:hint="eastAsia" w:asciiTheme="minorEastAsia" w:hAnsiTheme="minorEastAsia" w:eastAsiaTheme="minorEastAsia"/>
          <w:color w:val="000000"/>
          <w:szCs w:val="21"/>
        </w:rPr>
        <w:t>（6）开标结束。</w:t>
      </w:r>
    </w:p>
    <w:p w14:paraId="5279441B">
      <w:pPr>
        <w:pStyle w:val="4"/>
        <w:spacing w:before="0" w:after="0" w:line="400" w:lineRule="exact"/>
        <w:rPr>
          <w:rFonts w:asciiTheme="minorEastAsia" w:hAnsiTheme="minorEastAsia" w:eastAsiaTheme="minorEastAsia"/>
          <w:color w:val="000000"/>
          <w:sz w:val="21"/>
          <w:szCs w:val="21"/>
        </w:rPr>
      </w:pPr>
      <w:bookmarkStart w:id="211" w:name="_Toc22541"/>
      <w:r>
        <w:rPr>
          <w:rFonts w:hint="eastAsia" w:asciiTheme="minorEastAsia" w:hAnsiTheme="minorEastAsia" w:eastAsiaTheme="minorEastAsia"/>
          <w:color w:val="000000"/>
          <w:sz w:val="21"/>
          <w:szCs w:val="21"/>
        </w:rPr>
        <w:t>5.3 开标异议</w:t>
      </w:r>
      <w:bookmarkEnd w:id="211"/>
    </w:p>
    <w:p w14:paraId="0475D18D">
      <w:pPr>
        <w:spacing w:line="400" w:lineRule="exact"/>
        <w:ind w:firstLine="359" w:firstLineChars="171"/>
        <w:rPr>
          <w:rFonts w:asciiTheme="minorEastAsia" w:hAnsiTheme="minorEastAsia" w:eastAsiaTheme="minorEastAsia"/>
          <w:szCs w:val="21"/>
        </w:rPr>
      </w:pPr>
      <w:r>
        <w:rPr>
          <w:rFonts w:hint="eastAsia" w:asciiTheme="minorEastAsia" w:hAnsiTheme="minorEastAsia" w:eastAsiaTheme="minorEastAsia"/>
          <w:szCs w:val="21"/>
        </w:rPr>
        <w:t>投标人对开标有异议的，应当</w:t>
      </w:r>
      <w:r>
        <w:rPr>
          <w:rStyle w:val="154"/>
          <w:rFonts w:hint="eastAsia" w:cs="宋体" w:asciiTheme="minorEastAsia" w:hAnsiTheme="minorEastAsia" w:eastAsiaTheme="minorEastAsia"/>
          <w:color w:val="000000"/>
          <w:kern w:val="0"/>
          <w:szCs w:val="21"/>
        </w:rPr>
        <w:t>报价内容显示后20分钟内联系招标人（代理机构）进行质疑</w:t>
      </w:r>
      <w:r>
        <w:rPr>
          <w:rFonts w:hint="eastAsia" w:asciiTheme="minorEastAsia" w:hAnsiTheme="minorEastAsia" w:eastAsiaTheme="minorEastAsia"/>
          <w:szCs w:val="21"/>
        </w:rPr>
        <w:t>，</w:t>
      </w:r>
      <w:r>
        <w:rPr>
          <w:rStyle w:val="154"/>
          <w:rFonts w:hint="eastAsia" w:cs="宋体" w:asciiTheme="minorEastAsia" w:hAnsiTheme="minorEastAsia" w:eastAsiaTheme="minorEastAsia"/>
          <w:color w:val="000000"/>
          <w:kern w:val="0"/>
          <w:szCs w:val="21"/>
        </w:rPr>
        <w:t>投标人未在规定时间内提出质疑的，视为认可开标结果。</w:t>
      </w:r>
    </w:p>
    <w:p w14:paraId="7B409756">
      <w:pPr>
        <w:pStyle w:val="3"/>
        <w:spacing w:before="0" w:after="0" w:line="400" w:lineRule="exact"/>
        <w:rPr>
          <w:rFonts w:asciiTheme="minorEastAsia" w:hAnsiTheme="minorEastAsia" w:eastAsiaTheme="minorEastAsia"/>
          <w:sz w:val="21"/>
          <w:szCs w:val="21"/>
        </w:rPr>
      </w:pPr>
      <w:bookmarkStart w:id="212" w:name="_Toc152045562"/>
      <w:bookmarkStart w:id="213" w:name="_Toc247513986"/>
      <w:bookmarkStart w:id="214" w:name="_Toc26103"/>
      <w:bookmarkStart w:id="215" w:name="_Toc144974530"/>
      <w:bookmarkStart w:id="216" w:name="_Toc152042338"/>
      <w:bookmarkStart w:id="217" w:name="_Toc247527587"/>
      <w:r>
        <w:rPr>
          <w:rFonts w:hint="eastAsia" w:asciiTheme="minorEastAsia" w:hAnsiTheme="minorEastAsia" w:eastAsiaTheme="minorEastAsia"/>
          <w:sz w:val="21"/>
          <w:szCs w:val="21"/>
        </w:rPr>
        <w:t>6. 评标</w:t>
      </w:r>
      <w:bookmarkEnd w:id="212"/>
      <w:bookmarkEnd w:id="213"/>
      <w:bookmarkEnd w:id="214"/>
      <w:bookmarkEnd w:id="215"/>
      <w:bookmarkEnd w:id="216"/>
      <w:bookmarkEnd w:id="217"/>
    </w:p>
    <w:p w14:paraId="34991912">
      <w:pPr>
        <w:pStyle w:val="4"/>
        <w:spacing w:before="0" w:after="0" w:line="400" w:lineRule="exact"/>
        <w:rPr>
          <w:rFonts w:asciiTheme="minorEastAsia" w:hAnsiTheme="minorEastAsia" w:eastAsiaTheme="minorEastAsia"/>
          <w:sz w:val="21"/>
          <w:szCs w:val="21"/>
        </w:rPr>
      </w:pPr>
      <w:bookmarkStart w:id="218" w:name="_Toc247513987"/>
      <w:bookmarkStart w:id="219" w:name="_Toc152045563"/>
      <w:bookmarkStart w:id="220" w:name="_Toc25480"/>
      <w:bookmarkStart w:id="221" w:name="_Toc152042339"/>
      <w:bookmarkStart w:id="222" w:name="_Toc247527588"/>
      <w:bookmarkStart w:id="223" w:name="_Toc144974531"/>
      <w:r>
        <w:rPr>
          <w:rFonts w:hint="eastAsia" w:asciiTheme="minorEastAsia" w:hAnsiTheme="minorEastAsia" w:eastAsiaTheme="minorEastAsia"/>
          <w:sz w:val="21"/>
          <w:szCs w:val="21"/>
        </w:rPr>
        <w:t>6.1 评标委员会</w:t>
      </w:r>
      <w:bookmarkEnd w:id="218"/>
      <w:bookmarkEnd w:id="219"/>
      <w:bookmarkEnd w:id="220"/>
      <w:bookmarkEnd w:id="221"/>
      <w:bookmarkEnd w:id="222"/>
      <w:bookmarkEnd w:id="223"/>
    </w:p>
    <w:p w14:paraId="167A9C74">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6.1.1 评标由招标人依法组建的评标委员会负责。评标委员会由技术方面的专家及业主代表组成。评标委员会成员人数以及技术方面专家的确定方式见投标人须知前附表。</w:t>
      </w:r>
    </w:p>
    <w:p w14:paraId="7A9DE5AE">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6.1.2 评标委员会成员有下列情形之一的，应当回避：</w:t>
      </w:r>
    </w:p>
    <w:p w14:paraId="43D74ABF">
      <w:pPr>
        <w:spacing w:line="400" w:lineRule="exact"/>
        <w:ind w:firstLine="718" w:firstLineChars="342"/>
        <w:rPr>
          <w:rFonts w:asciiTheme="minorEastAsia" w:hAnsiTheme="minorEastAsia" w:eastAsiaTheme="minorEastAsia"/>
          <w:szCs w:val="21"/>
        </w:rPr>
      </w:pPr>
      <w:r>
        <w:rPr>
          <w:rFonts w:hint="eastAsia" w:asciiTheme="minorEastAsia" w:hAnsiTheme="minorEastAsia" w:eastAsiaTheme="minorEastAsia"/>
          <w:szCs w:val="21"/>
        </w:rPr>
        <w:t>（1）投标人或投标人主要负责人的近亲属；</w:t>
      </w:r>
    </w:p>
    <w:p w14:paraId="2137D4B6">
      <w:pPr>
        <w:spacing w:line="400" w:lineRule="exact"/>
        <w:ind w:firstLine="718" w:firstLineChars="342"/>
        <w:rPr>
          <w:rFonts w:asciiTheme="minorEastAsia" w:hAnsiTheme="minorEastAsia" w:eastAsiaTheme="minorEastAsia"/>
          <w:szCs w:val="21"/>
        </w:rPr>
      </w:pPr>
      <w:r>
        <w:rPr>
          <w:rFonts w:hint="eastAsia" w:asciiTheme="minorEastAsia" w:hAnsiTheme="minorEastAsia" w:eastAsiaTheme="minorEastAsia"/>
          <w:szCs w:val="21"/>
        </w:rPr>
        <w:t>（2）项目主管部门或者行政监督部门的人员；</w:t>
      </w:r>
    </w:p>
    <w:p w14:paraId="30CE3DEE">
      <w:pPr>
        <w:spacing w:line="400" w:lineRule="exact"/>
        <w:ind w:firstLine="718" w:firstLineChars="342"/>
        <w:rPr>
          <w:rFonts w:asciiTheme="minorEastAsia" w:hAnsiTheme="minorEastAsia" w:eastAsiaTheme="minorEastAsia"/>
          <w:szCs w:val="21"/>
        </w:rPr>
      </w:pPr>
      <w:r>
        <w:rPr>
          <w:rFonts w:hint="eastAsia" w:asciiTheme="minorEastAsia" w:hAnsiTheme="minorEastAsia" w:eastAsiaTheme="minorEastAsia"/>
          <w:szCs w:val="21"/>
        </w:rPr>
        <w:t>（3）与投标人有经济利益关系，可能影响对投标公正评审的；</w:t>
      </w:r>
    </w:p>
    <w:p w14:paraId="49703B83">
      <w:pPr>
        <w:spacing w:line="400" w:lineRule="exact"/>
        <w:ind w:firstLine="718" w:firstLineChars="342"/>
        <w:rPr>
          <w:rFonts w:asciiTheme="minorEastAsia" w:hAnsiTheme="minorEastAsia" w:eastAsiaTheme="minorEastAsia"/>
          <w:szCs w:val="21"/>
        </w:rPr>
      </w:pPr>
      <w:r>
        <w:rPr>
          <w:rFonts w:hint="eastAsia" w:asciiTheme="minorEastAsia" w:hAnsiTheme="minorEastAsia" w:eastAsiaTheme="minorEastAsia"/>
          <w:szCs w:val="21"/>
        </w:rPr>
        <w:t>（4）曾因在招标、评标以及其他与招标投标有关活动中从事违法行为而受过行政处罚或刑事处罚的；</w:t>
      </w:r>
    </w:p>
    <w:p w14:paraId="1A0D7A6E">
      <w:pPr>
        <w:spacing w:line="400" w:lineRule="exact"/>
        <w:ind w:firstLine="718" w:firstLineChars="342"/>
        <w:rPr>
          <w:rFonts w:asciiTheme="minorEastAsia" w:hAnsiTheme="minorEastAsia" w:eastAsiaTheme="minorEastAsia"/>
          <w:szCs w:val="21"/>
        </w:rPr>
      </w:pPr>
      <w:r>
        <w:rPr>
          <w:rFonts w:hint="eastAsia" w:asciiTheme="minorEastAsia" w:hAnsiTheme="minorEastAsia" w:eastAsiaTheme="minorEastAsia"/>
          <w:szCs w:val="21"/>
        </w:rPr>
        <w:t>（5）与投标人有其他利害关系。</w:t>
      </w:r>
    </w:p>
    <w:p w14:paraId="580EB524">
      <w:pPr>
        <w:pStyle w:val="4"/>
        <w:spacing w:before="0" w:after="0" w:line="400" w:lineRule="exact"/>
        <w:rPr>
          <w:rFonts w:asciiTheme="minorEastAsia" w:hAnsiTheme="minorEastAsia" w:eastAsiaTheme="minorEastAsia"/>
          <w:sz w:val="21"/>
          <w:szCs w:val="21"/>
        </w:rPr>
      </w:pPr>
      <w:bookmarkStart w:id="224" w:name="_Toc23575"/>
      <w:bookmarkStart w:id="225" w:name="_Toc152045564"/>
      <w:bookmarkStart w:id="226" w:name="_Toc247513988"/>
      <w:bookmarkStart w:id="227" w:name="_Toc152042340"/>
      <w:bookmarkStart w:id="228" w:name="_Toc144974532"/>
      <w:bookmarkStart w:id="229" w:name="_Toc247527589"/>
      <w:r>
        <w:rPr>
          <w:rFonts w:hint="eastAsia" w:asciiTheme="minorEastAsia" w:hAnsiTheme="minorEastAsia" w:eastAsiaTheme="minorEastAsia"/>
          <w:sz w:val="21"/>
          <w:szCs w:val="21"/>
        </w:rPr>
        <w:t>6.2 评标原则</w:t>
      </w:r>
      <w:bookmarkEnd w:id="224"/>
      <w:bookmarkEnd w:id="225"/>
      <w:bookmarkEnd w:id="226"/>
      <w:bookmarkEnd w:id="227"/>
      <w:bookmarkEnd w:id="228"/>
      <w:bookmarkEnd w:id="229"/>
    </w:p>
    <w:p w14:paraId="421F2658">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评标活动遵循公平、公正、科学和择优的原则。</w:t>
      </w:r>
    </w:p>
    <w:p w14:paraId="333EC75A">
      <w:pPr>
        <w:pStyle w:val="4"/>
        <w:spacing w:before="0" w:after="0" w:line="400" w:lineRule="exact"/>
        <w:rPr>
          <w:rFonts w:asciiTheme="minorEastAsia" w:hAnsiTheme="minorEastAsia" w:eastAsiaTheme="minorEastAsia"/>
          <w:sz w:val="21"/>
          <w:szCs w:val="21"/>
        </w:rPr>
      </w:pPr>
      <w:bookmarkStart w:id="230" w:name="_Toc144974533"/>
      <w:bookmarkStart w:id="231" w:name="_Toc152045565"/>
      <w:bookmarkStart w:id="232" w:name="_Toc10522"/>
      <w:bookmarkStart w:id="233" w:name="_Toc247527590"/>
      <w:bookmarkStart w:id="234" w:name="_Toc152042341"/>
      <w:bookmarkStart w:id="235" w:name="_Toc247513989"/>
      <w:r>
        <w:rPr>
          <w:rFonts w:hint="eastAsia" w:asciiTheme="minorEastAsia" w:hAnsiTheme="minorEastAsia" w:eastAsiaTheme="minorEastAsia"/>
          <w:sz w:val="21"/>
          <w:szCs w:val="21"/>
        </w:rPr>
        <w:t>6.3 评标</w:t>
      </w:r>
      <w:bookmarkEnd w:id="230"/>
      <w:bookmarkEnd w:id="231"/>
      <w:bookmarkEnd w:id="232"/>
      <w:bookmarkEnd w:id="233"/>
      <w:bookmarkEnd w:id="234"/>
      <w:bookmarkEnd w:id="235"/>
    </w:p>
    <w:p w14:paraId="5D8B5953">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评标委员会按照第三章“评标办法”规定的方法、评审因素、标准和程序对投标文件进行评审。第三章“评标办法”没有规定的方法、评审因素和标准，不作为评标依据。</w:t>
      </w:r>
    </w:p>
    <w:p w14:paraId="53BCB8D5">
      <w:pPr>
        <w:pStyle w:val="3"/>
        <w:spacing w:before="0" w:after="0" w:line="400" w:lineRule="exact"/>
        <w:rPr>
          <w:rFonts w:asciiTheme="minorEastAsia" w:hAnsiTheme="minorEastAsia" w:eastAsiaTheme="minorEastAsia"/>
          <w:sz w:val="21"/>
          <w:szCs w:val="21"/>
        </w:rPr>
      </w:pPr>
      <w:bookmarkStart w:id="236" w:name="_Toc152042342"/>
      <w:bookmarkStart w:id="237" w:name="_Toc16048"/>
      <w:bookmarkStart w:id="238" w:name="_Toc144974534"/>
      <w:bookmarkStart w:id="239" w:name="_Toc247527591"/>
      <w:bookmarkStart w:id="240" w:name="_Toc247513990"/>
      <w:bookmarkStart w:id="241" w:name="_Toc152045566"/>
      <w:r>
        <w:rPr>
          <w:rFonts w:hint="eastAsia" w:asciiTheme="minorEastAsia" w:hAnsiTheme="minorEastAsia" w:eastAsiaTheme="minorEastAsia"/>
          <w:sz w:val="21"/>
          <w:szCs w:val="21"/>
        </w:rPr>
        <w:t>7. 合同授予</w:t>
      </w:r>
      <w:bookmarkEnd w:id="236"/>
      <w:bookmarkEnd w:id="237"/>
      <w:bookmarkEnd w:id="238"/>
      <w:bookmarkEnd w:id="239"/>
      <w:bookmarkEnd w:id="240"/>
      <w:bookmarkEnd w:id="241"/>
    </w:p>
    <w:p w14:paraId="38F74D3E">
      <w:pPr>
        <w:pStyle w:val="4"/>
        <w:spacing w:before="0" w:after="0" w:line="400" w:lineRule="exact"/>
        <w:rPr>
          <w:rFonts w:asciiTheme="minorEastAsia" w:hAnsiTheme="minorEastAsia" w:eastAsiaTheme="minorEastAsia"/>
          <w:sz w:val="21"/>
          <w:szCs w:val="21"/>
        </w:rPr>
      </w:pPr>
      <w:bookmarkStart w:id="242" w:name="_Toc144974535"/>
      <w:bookmarkStart w:id="243" w:name="_Toc247513991"/>
      <w:bookmarkStart w:id="244" w:name="_Toc26112"/>
      <w:bookmarkStart w:id="245" w:name="_Toc152042343"/>
      <w:bookmarkStart w:id="246" w:name="_Toc152045567"/>
      <w:bookmarkStart w:id="247" w:name="_Toc247527592"/>
      <w:r>
        <w:rPr>
          <w:rFonts w:hint="eastAsia" w:asciiTheme="minorEastAsia" w:hAnsiTheme="minorEastAsia" w:eastAsiaTheme="minorEastAsia"/>
          <w:sz w:val="21"/>
          <w:szCs w:val="21"/>
        </w:rPr>
        <w:t>7.1 定标方式</w:t>
      </w:r>
      <w:bookmarkEnd w:id="242"/>
      <w:bookmarkEnd w:id="243"/>
      <w:bookmarkEnd w:id="244"/>
      <w:bookmarkEnd w:id="245"/>
      <w:bookmarkEnd w:id="246"/>
      <w:bookmarkEnd w:id="247"/>
    </w:p>
    <w:p w14:paraId="5EC0D155">
      <w:pPr>
        <w:pStyle w:val="4"/>
        <w:spacing w:before="0" w:after="0" w:line="400" w:lineRule="exact"/>
        <w:ind w:firstLine="420" w:firstLineChars="200"/>
        <w:rPr>
          <w:rFonts w:hint="eastAsia" w:cs="Times New Roman" w:asciiTheme="minorEastAsia" w:hAnsiTheme="minorEastAsia" w:eastAsiaTheme="minorEastAsia"/>
          <w:b w:val="0"/>
          <w:bCs w:val="0"/>
          <w:kern w:val="2"/>
          <w:sz w:val="21"/>
          <w:szCs w:val="21"/>
          <w:lang w:val="en-US" w:eastAsia="zh-CN" w:bidi="ar-SA"/>
        </w:rPr>
      </w:pPr>
      <w:bookmarkStart w:id="248" w:name="_Toc24068"/>
      <w:r>
        <w:rPr>
          <w:rFonts w:hint="eastAsia" w:cs="Times New Roman" w:asciiTheme="minorEastAsia" w:hAnsiTheme="minorEastAsia" w:eastAsiaTheme="minorEastAsia"/>
          <w:b w:val="0"/>
          <w:bCs w:val="0"/>
          <w:kern w:val="2"/>
          <w:sz w:val="21"/>
          <w:szCs w:val="21"/>
          <w:lang w:val="en-US" w:eastAsia="zh-CN" w:bidi="ar-SA"/>
        </w:rPr>
        <w:t>本次评标采用综合评估法。评标委员会对满足招标文件实质性要求的投标文件，按照本章第2.2款规定的评分标准进行打分，并按得分由高到低顺序对投标人排序，并推荐1至3名中标候选人。综合评分相等时，以投标报价低的优先。</w:t>
      </w:r>
    </w:p>
    <w:p w14:paraId="21A4FECA">
      <w:pPr>
        <w:pStyle w:val="4"/>
        <w:spacing w:before="0" w:after="0" w:line="400" w:lineRule="exact"/>
        <w:rPr>
          <w:rFonts w:asciiTheme="minorEastAsia" w:hAnsiTheme="minorEastAsia" w:eastAsiaTheme="minorEastAsia"/>
          <w:sz w:val="21"/>
          <w:szCs w:val="21"/>
        </w:rPr>
      </w:pPr>
      <w:r>
        <w:rPr>
          <w:rFonts w:hint="eastAsia" w:asciiTheme="minorEastAsia" w:hAnsiTheme="minorEastAsia" w:eastAsiaTheme="minorEastAsia"/>
          <w:sz w:val="21"/>
          <w:szCs w:val="21"/>
        </w:rPr>
        <w:t>7.2 中标候选人公示</w:t>
      </w:r>
      <w:bookmarkEnd w:id="248"/>
    </w:p>
    <w:p w14:paraId="208492AE">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招标人在投标人须知前附表规定的媒介公示中标候选人。</w:t>
      </w:r>
    </w:p>
    <w:p w14:paraId="6C650EEB">
      <w:pPr>
        <w:pStyle w:val="4"/>
        <w:spacing w:before="0" w:after="0" w:line="400" w:lineRule="exact"/>
        <w:rPr>
          <w:rFonts w:asciiTheme="minorEastAsia" w:hAnsiTheme="minorEastAsia" w:eastAsiaTheme="minorEastAsia"/>
          <w:sz w:val="21"/>
          <w:szCs w:val="21"/>
        </w:rPr>
      </w:pPr>
      <w:bookmarkStart w:id="249" w:name="_Toc247513992"/>
      <w:bookmarkStart w:id="250" w:name="_Toc144974536"/>
      <w:bookmarkStart w:id="251" w:name="_Toc31116"/>
      <w:bookmarkStart w:id="252" w:name="_Toc152045568"/>
      <w:bookmarkStart w:id="253" w:name="_Toc152042344"/>
      <w:bookmarkStart w:id="254" w:name="_Toc247527593"/>
      <w:r>
        <w:rPr>
          <w:rFonts w:hint="eastAsia" w:asciiTheme="minorEastAsia" w:hAnsiTheme="minorEastAsia" w:eastAsiaTheme="minorEastAsia"/>
          <w:sz w:val="21"/>
          <w:szCs w:val="21"/>
        </w:rPr>
        <w:t>7.3 中标通知</w:t>
      </w:r>
      <w:bookmarkEnd w:id="249"/>
      <w:bookmarkEnd w:id="250"/>
      <w:bookmarkEnd w:id="251"/>
      <w:bookmarkEnd w:id="252"/>
      <w:bookmarkEnd w:id="253"/>
      <w:bookmarkEnd w:id="254"/>
    </w:p>
    <w:p w14:paraId="087882B2">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在规定的投标有效期内，招标人以书面形式向中标人发出中标通知书，中标结果不通知未中标的投标人。</w:t>
      </w:r>
    </w:p>
    <w:p w14:paraId="3396864B">
      <w:pPr>
        <w:pStyle w:val="4"/>
        <w:spacing w:before="0" w:after="0" w:line="400" w:lineRule="exact"/>
        <w:rPr>
          <w:rFonts w:asciiTheme="minorEastAsia" w:hAnsiTheme="minorEastAsia" w:eastAsiaTheme="minorEastAsia"/>
          <w:sz w:val="21"/>
          <w:szCs w:val="21"/>
        </w:rPr>
      </w:pPr>
      <w:bookmarkStart w:id="255" w:name="_Toc247513994"/>
      <w:bookmarkStart w:id="256" w:name="_Toc152042346"/>
      <w:bookmarkStart w:id="257" w:name="_Toc152045570"/>
      <w:bookmarkStart w:id="258" w:name="_Toc247527595"/>
      <w:bookmarkStart w:id="259" w:name="_Toc144974538"/>
      <w:bookmarkStart w:id="260" w:name="_Toc29678"/>
      <w:r>
        <w:rPr>
          <w:rFonts w:hint="eastAsia" w:asciiTheme="minorEastAsia" w:hAnsiTheme="minorEastAsia" w:eastAsiaTheme="minorEastAsia"/>
          <w:sz w:val="21"/>
          <w:szCs w:val="21"/>
        </w:rPr>
        <w:t>7.4 签订合同</w:t>
      </w:r>
      <w:bookmarkEnd w:id="255"/>
      <w:bookmarkEnd w:id="256"/>
      <w:bookmarkEnd w:id="257"/>
      <w:bookmarkEnd w:id="258"/>
      <w:bookmarkEnd w:id="259"/>
      <w:bookmarkEnd w:id="260"/>
    </w:p>
    <w:p w14:paraId="016C5E76">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7.4.1 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 </w:t>
      </w:r>
    </w:p>
    <w:p w14:paraId="50E27CA2">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7.4.2 发出中标通知书后，招标人无正当理由拒签合同的，招标人向中标人退还投标保证金；给中标人造成损失的，还应当赔偿损失。 </w:t>
      </w:r>
    </w:p>
    <w:p w14:paraId="32CF9725">
      <w:pPr>
        <w:pStyle w:val="3"/>
        <w:spacing w:before="0" w:after="0" w:line="400" w:lineRule="exact"/>
        <w:rPr>
          <w:rFonts w:asciiTheme="minorEastAsia" w:hAnsiTheme="minorEastAsia" w:eastAsiaTheme="minorEastAsia"/>
          <w:sz w:val="21"/>
          <w:szCs w:val="21"/>
        </w:rPr>
      </w:pPr>
      <w:bookmarkStart w:id="261" w:name="_Toc247513995"/>
      <w:bookmarkStart w:id="262" w:name="_Toc152045571"/>
      <w:bookmarkStart w:id="263" w:name="_Toc247527596"/>
      <w:bookmarkStart w:id="264" w:name="_Toc152042347"/>
      <w:bookmarkStart w:id="265" w:name="_Toc144974539"/>
      <w:bookmarkStart w:id="266" w:name="_Toc22218"/>
      <w:r>
        <w:rPr>
          <w:rFonts w:hint="eastAsia" w:asciiTheme="minorEastAsia" w:hAnsiTheme="minorEastAsia" w:eastAsiaTheme="minorEastAsia"/>
          <w:sz w:val="21"/>
          <w:szCs w:val="21"/>
        </w:rPr>
        <w:t>8.</w:t>
      </w:r>
      <w:bookmarkEnd w:id="261"/>
      <w:bookmarkEnd w:id="262"/>
      <w:bookmarkEnd w:id="263"/>
      <w:bookmarkEnd w:id="264"/>
      <w:bookmarkEnd w:id="265"/>
      <w:bookmarkStart w:id="267" w:name="_Toc152045574"/>
      <w:bookmarkStart w:id="268" w:name="_Toc247527599"/>
      <w:bookmarkStart w:id="269" w:name="_Toc144974542"/>
      <w:bookmarkStart w:id="270" w:name="_Toc247513998"/>
      <w:bookmarkStart w:id="271" w:name="_Toc152042350"/>
      <w:r>
        <w:rPr>
          <w:rFonts w:hint="eastAsia" w:asciiTheme="minorEastAsia" w:hAnsiTheme="minorEastAsia" w:eastAsiaTheme="minorEastAsia"/>
          <w:sz w:val="21"/>
          <w:szCs w:val="21"/>
        </w:rPr>
        <w:t xml:space="preserve"> 纪律和监督</w:t>
      </w:r>
      <w:bookmarkEnd w:id="266"/>
      <w:bookmarkEnd w:id="267"/>
      <w:bookmarkEnd w:id="268"/>
      <w:bookmarkEnd w:id="269"/>
      <w:bookmarkEnd w:id="270"/>
      <w:bookmarkEnd w:id="271"/>
    </w:p>
    <w:p w14:paraId="07CC8701">
      <w:pPr>
        <w:pStyle w:val="4"/>
        <w:spacing w:before="0" w:after="0" w:line="400" w:lineRule="exact"/>
        <w:rPr>
          <w:rFonts w:asciiTheme="minorEastAsia" w:hAnsiTheme="minorEastAsia" w:eastAsiaTheme="minorEastAsia"/>
          <w:sz w:val="21"/>
          <w:szCs w:val="21"/>
        </w:rPr>
      </w:pPr>
      <w:bookmarkStart w:id="272" w:name="_Toc247513999"/>
      <w:bookmarkStart w:id="273" w:name="_Toc247527600"/>
      <w:bookmarkStart w:id="274" w:name="_Toc152045575"/>
      <w:bookmarkStart w:id="275" w:name="_Toc144974543"/>
      <w:bookmarkStart w:id="276" w:name="_Toc19805"/>
      <w:bookmarkStart w:id="277" w:name="_Toc152042351"/>
      <w:r>
        <w:rPr>
          <w:rFonts w:hint="eastAsia" w:asciiTheme="minorEastAsia" w:hAnsiTheme="minorEastAsia" w:eastAsiaTheme="minorEastAsia"/>
          <w:sz w:val="21"/>
          <w:szCs w:val="21"/>
        </w:rPr>
        <w:t>8.1 对招标人的纪律要求</w:t>
      </w:r>
      <w:bookmarkEnd w:id="272"/>
      <w:bookmarkEnd w:id="273"/>
      <w:bookmarkEnd w:id="274"/>
      <w:bookmarkEnd w:id="275"/>
      <w:bookmarkEnd w:id="276"/>
      <w:bookmarkEnd w:id="277"/>
    </w:p>
    <w:p w14:paraId="3DBB9B20">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招标人不得泄漏招标投标活动中应当保密的情况和资料，不得与投标人串通损害国家利益、社会公共利益或者他人合法权益。</w:t>
      </w:r>
    </w:p>
    <w:p w14:paraId="2091F283">
      <w:pPr>
        <w:pStyle w:val="4"/>
        <w:spacing w:before="0" w:after="0" w:line="400" w:lineRule="exact"/>
        <w:rPr>
          <w:rFonts w:asciiTheme="minorEastAsia" w:hAnsiTheme="minorEastAsia" w:eastAsiaTheme="minorEastAsia"/>
          <w:sz w:val="21"/>
          <w:szCs w:val="21"/>
        </w:rPr>
      </w:pPr>
      <w:bookmarkStart w:id="278" w:name="_Toc152042352"/>
      <w:bookmarkStart w:id="279" w:name="_Toc144974544"/>
      <w:bookmarkStart w:id="280" w:name="_Toc3236"/>
      <w:bookmarkStart w:id="281" w:name="_Toc247514000"/>
      <w:bookmarkStart w:id="282" w:name="_Toc247527601"/>
      <w:bookmarkStart w:id="283" w:name="_Toc152045576"/>
      <w:r>
        <w:rPr>
          <w:rFonts w:hint="eastAsia" w:asciiTheme="minorEastAsia" w:hAnsiTheme="minorEastAsia" w:eastAsiaTheme="minorEastAsia"/>
          <w:sz w:val="21"/>
          <w:szCs w:val="21"/>
        </w:rPr>
        <w:t>8.2 对投标人的纪律要求</w:t>
      </w:r>
      <w:bookmarkEnd w:id="278"/>
      <w:bookmarkEnd w:id="279"/>
      <w:bookmarkEnd w:id="280"/>
      <w:bookmarkEnd w:id="281"/>
      <w:bookmarkEnd w:id="282"/>
      <w:bookmarkEnd w:id="283"/>
    </w:p>
    <w:p w14:paraId="1661B23A">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C47173D">
      <w:pPr>
        <w:pStyle w:val="4"/>
        <w:spacing w:before="0" w:after="0" w:line="400" w:lineRule="exact"/>
        <w:rPr>
          <w:rFonts w:asciiTheme="minorEastAsia" w:hAnsiTheme="minorEastAsia" w:eastAsiaTheme="minorEastAsia"/>
          <w:sz w:val="21"/>
          <w:szCs w:val="21"/>
        </w:rPr>
      </w:pPr>
      <w:bookmarkStart w:id="284" w:name="_Toc247527602"/>
      <w:bookmarkStart w:id="285" w:name="_Toc9343"/>
      <w:bookmarkStart w:id="286" w:name="_Toc152045577"/>
      <w:bookmarkStart w:id="287" w:name="_Toc152042353"/>
      <w:bookmarkStart w:id="288" w:name="_Toc144974545"/>
      <w:bookmarkStart w:id="289" w:name="_Toc247514001"/>
      <w:r>
        <w:rPr>
          <w:rFonts w:hint="eastAsia" w:asciiTheme="minorEastAsia" w:hAnsiTheme="minorEastAsia" w:eastAsiaTheme="minorEastAsia"/>
          <w:sz w:val="21"/>
          <w:szCs w:val="21"/>
        </w:rPr>
        <w:t>8.3 对评标委员会成员的纪律要求</w:t>
      </w:r>
      <w:bookmarkEnd w:id="284"/>
      <w:bookmarkEnd w:id="285"/>
      <w:bookmarkEnd w:id="286"/>
      <w:bookmarkEnd w:id="287"/>
      <w:bookmarkEnd w:id="288"/>
      <w:bookmarkEnd w:id="289"/>
    </w:p>
    <w:p w14:paraId="4D3D97A9">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0BE577C8">
      <w:pPr>
        <w:pStyle w:val="4"/>
        <w:spacing w:before="0" w:after="0" w:line="400" w:lineRule="exact"/>
        <w:rPr>
          <w:rFonts w:asciiTheme="minorEastAsia" w:hAnsiTheme="minorEastAsia" w:eastAsiaTheme="minorEastAsia"/>
          <w:sz w:val="21"/>
          <w:szCs w:val="21"/>
        </w:rPr>
      </w:pPr>
      <w:bookmarkStart w:id="290" w:name="_Toc152042354"/>
      <w:bookmarkStart w:id="291" w:name="_Toc152045578"/>
      <w:bookmarkStart w:id="292" w:name="_Toc247527603"/>
      <w:bookmarkStart w:id="293" w:name="_Toc247514002"/>
      <w:bookmarkStart w:id="294" w:name="_Toc24523"/>
      <w:bookmarkStart w:id="295" w:name="_Toc144974546"/>
      <w:r>
        <w:rPr>
          <w:rFonts w:hint="eastAsia" w:asciiTheme="minorEastAsia" w:hAnsiTheme="minorEastAsia" w:eastAsiaTheme="minorEastAsia"/>
          <w:sz w:val="21"/>
          <w:szCs w:val="21"/>
        </w:rPr>
        <w:t>8.4 对与评标活动有关的工作人员的纪律要求</w:t>
      </w:r>
      <w:bookmarkEnd w:id="290"/>
      <w:bookmarkEnd w:id="291"/>
      <w:bookmarkEnd w:id="292"/>
      <w:bookmarkEnd w:id="293"/>
      <w:bookmarkEnd w:id="294"/>
    </w:p>
    <w:p w14:paraId="0B6CD2CA">
      <w:pPr>
        <w:spacing w:line="400" w:lineRule="exact"/>
        <w:ind w:firstLine="420" w:firstLineChars="200"/>
        <w:rPr>
          <w:rFonts w:asciiTheme="minorEastAsia" w:hAnsiTheme="minorEastAsia" w:eastAsiaTheme="minorEastAsia"/>
          <w:szCs w:val="21"/>
        </w:rPr>
      </w:pPr>
      <w:bookmarkStart w:id="296" w:name="_Toc152042355"/>
      <w:r>
        <w:rPr>
          <w:rFonts w:hint="eastAsia" w:asciiTheme="minorEastAsia" w:hAnsiTheme="minorEastAsia" w:eastAsiaTheme="minorEastAsia"/>
          <w:szCs w:val="21"/>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296"/>
    </w:p>
    <w:p w14:paraId="57F32FCE">
      <w:pPr>
        <w:pStyle w:val="4"/>
        <w:spacing w:before="0" w:after="0" w:line="400" w:lineRule="exact"/>
        <w:rPr>
          <w:rFonts w:asciiTheme="minorEastAsia" w:hAnsiTheme="minorEastAsia" w:eastAsiaTheme="minorEastAsia"/>
          <w:sz w:val="21"/>
          <w:szCs w:val="21"/>
        </w:rPr>
      </w:pPr>
      <w:bookmarkStart w:id="297" w:name="_Toc247527604"/>
      <w:bookmarkStart w:id="298" w:name="_Toc152045579"/>
      <w:bookmarkStart w:id="299" w:name="_Toc22905"/>
      <w:bookmarkStart w:id="300" w:name="_Toc152042356"/>
      <w:bookmarkStart w:id="301" w:name="_Toc247514003"/>
      <w:r>
        <w:rPr>
          <w:rFonts w:hint="eastAsia" w:asciiTheme="minorEastAsia" w:hAnsiTheme="minorEastAsia" w:eastAsiaTheme="minorEastAsia"/>
          <w:sz w:val="21"/>
          <w:szCs w:val="21"/>
        </w:rPr>
        <w:t>8.5 投诉</w:t>
      </w:r>
      <w:bookmarkEnd w:id="295"/>
      <w:bookmarkEnd w:id="297"/>
      <w:bookmarkEnd w:id="298"/>
      <w:bookmarkEnd w:id="299"/>
      <w:bookmarkEnd w:id="300"/>
      <w:bookmarkEnd w:id="301"/>
    </w:p>
    <w:p w14:paraId="13C91E6A">
      <w:p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投标人和其他利害关系人认为本次招标活动违反法律、法规和规章规定的，有权向有关行政监督部门投诉。</w:t>
      </w:r>
    </w:p>
    <w:p w14:paraId="1F4C1E78">
      <w:pPr>
        <w:pStyle w:val="3"/>
        <w:spacing w:before="0" w:after="0" w:line="400" w:lineRule="exact"/>
        <w:rPr>
          <w:rFonts w:asciiTheme="minorEastAsia" w:hAnsiTheme="minorEastAsia" w:eastAsiaTheme="minorEastAsia"/>
          <w:sz w:val="21"/>
          <w:szCs w:val="21"/>
        </w:rPr>
      </w:pPr>
      <w:bookmarkStart w:id="302" w:name="_Toc152045580"/>
      <w:bookmarkStart w:id="303" w:name="_Toc247527605"/>
      <w:bookmarkStart w:id="304" w:name="_Toc144974547"/>
      <w:bookmarkStart w:id="305" w:name="_Toc152042357"/>
      <w:bookmarkStart w:id="306" w:name="_Toc3370"/>
      <w:bookmarkStart w:id="307" w:name="_Toc247514004"/>
      <w:r>
        <w:rPr>
          <w:rFonts w:hint="eastAsia" w:asciiTheme="minorEastAsia" w:hAnsiTheme="minorEastAsia" w:eastAsiaTheme="minorEastAsia"/>
          <w:sz w:val="21"/>
          <w:szCs w:val="21"/>
        </w:rPr>
        <w:t>9. 需要补充的其他内容</w:t>
      </w:r>
      <w:bookmarkEnd w:id="302"/>
      <w:bookmarkEnd w:id="303"/>
      <w:bookmarkEnd w:id="304"/>
      <w:bookmarkEnd w:id="305"/>
      <w:bookmarkEnd w:id="306"/>
      <w:bookmarkEnd w:id="307"/>
    </w:p>
    <w:p w14:paraId="3F6C2924">
      <w:pPr>
        <w:spacing w:line="400" w:lineRule="exact"/>
        <w:ind w:firstLine="420" w:firstLineChars="200"/>
        <w:rPr>
          <w:rFonts w:ascii="宋体" w:hAnsi="宋体"/>
          <w:sz w:val="32"/>
          <w:szCs w:val="32"/>
        </w:rPr>
        <w:sectPr>
          <w:pgSz w:w="11907" w:h="16840"/>
          <w:pgMar w:top="1797" w:right="1440" w:bottom="1797" w:left="1440" w:header="851" w:footer="851" w:gutter="0"/>
          <w:pgNumType w:start="3"/>
          <w:cols w:space="720" w:num="1"/>
          <w:docGrid w:linePitch="600" w:charSpace="0"/>
        </w:sectPr>
      </w:pPr>
      <w:r>
        <w:rPr>
          <w:rFonts w:hint="eastAsia" w:asciiTheme="minorEastAsia" w:hAnsiTheme="minorEastAsia" w:eastAsiaTheme="minorEastAsia"/>
          <w:szCs w:val="21"/>
        </w:rPr>
        <w:t>需要补充的其他内容：见投标人须知前附表。</w:t>
      </w:r>
      <w:bookmarkStart w:id="308" w:name="_Toc247527623"/>
      <w:bookmarkStart w:id="309" w:name="_Toc1389"/>
      <w:bookmarkStart w:id="310" w:name="_Toc1607_WPSOffice_Level1"/>
      <w:bookmarkStart w:id="311" w:name="_Toc152042375"/>
      <w:bookmarkStart w:id="312" w:name="_Toc23162_WPSOffice_Level1"/>
      <w:bookmarkStart w:id="313" w:name="_Toc152045598"/>
      <w:bookmarkStart w:id="314" w:name="_Toc247514022"/>
      <w:bookmarkStart w:id="315" w:name="_Toc144974565"/>
    </w:p>
    <w:p w14:paraId="13B7EDC1">
      <w:pPr>
        <w:pStyle w:val="2"/>
        <w:spacing w:before="120" w:after="120"/>
        <w:jc w:val="center"/>
        <w:rPr>
          <w:rFonts w:ascii="宋体" w:hAnsi="宋体"/>
          <w:sz w:val="32"/>
          <w:szCs w:val="32"/>
        </w:rPr>
      </w:pPr>
      <w:r>
        <w:rPr>
          <w:rFonts w:hint="eastAsia" w:ascii="宋体" w:hAnsi="宋体"/>
          <w:sz w:val="32"/>
          <w:szCs w:val="32"/>
        </w:rPr>
        <w:t>第三章 评标办法（综合评估法）</w:t>
      </w:r>
      <w:bookmarkEnd w:id="308"/>
      <w:bookmarkEnd w:id="309"/>
      <w:bookmarkEnd w:id="310"/>
      <w:bookmarkEnd w:id="311"/>
      <w:bookmarkEnd w:id="312"/>
      <w:bookmarkEnd w:id="313"/>
      <w:bookmarkEnd w:id="314"/>
      <w:bookmarkEnd w:id="315"/>
    </w:p>
    <w:p w14:paraId="236EC5F4">
      <w:pPr>
        <w:spacing w:after="240" w:afterLines="100" w:line="360" w:lineRule="auto"/>
        <w:jc w:val="center"/>
        <w:rPr>
          <w:b/>
        </w:rPr>
      </w:pPr>
      <w:r>
        <w:rPr>
          <w:rFonts w:hint="eastAsia"/>
          <w:b/>
        </w:rPr>
        <w:t>评标办法前附表</w:t>
      </w:r>
    </w:p>
    <w:tbl>
      <w:tblPr>
        <w:tblStyle w:val="36"/>
        <w:tblW w:w="9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13"/>
        <w:gridCol w:w="1211"/>
        <w:gridCol w:w="2786"/>
        <w:gridCol w:w="4786"/>
      </w:tblGrid>
      <w:tr w14:paraId="2029A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2207" w:type="dxa"/>
            <w:gridSpan w:val="3"/>
            <w:noWrap w:val="0"/>
            <w:vAlign w:val="center"/>
          </w:tcPr>
          <w:p w14:paraId="28B71D2E">
            <w:pPr>
              <w:jc w:val="center"/>
              <w:rPr>
                <w:rFonts w:ascii="宋体" w:hAnsi="宋体"/>
                <w:b/>
                <w:sz w:val="24"/>
              </w:rPr>
            </w:pPr>
            <w:bookmarkStart w:id="316" w:name="_Toc247527625"/>
            <w:bookmarkStart w:id="317" w:name="_Toc247514024"/>
            <w:bookmarkStart w:id="318" w:name="_Toc152045600"/>
            <w:bookmarkStart w:id="319" w:name="_Toc152042377"/>
            <w:bookmarkStart w:id="320" w:name="_Toc14358"/>
            <w:bookmarkStart w:id="321" w:name="_Toc144974567"/>
            <w:r>
              <w:rPr>
                <w:rFonts w:hint="eastAsia" w:ascii="宋体" w:hAnsi="宋体" w:cs="宋体"/>
                <w:b/>
              </w:rPr>
              <w:t>条款号</w:t>
            </w:r>
          </w:p>
        </w:tc>
        <w:tc>
          <w:tcPr>
            <w:tcW w:w="2786" w:type="dxa"/>
            <w:noWrap w:val="0"/>
            <w:vAlign w:val="center"/>
          </w:tcPr>
          <w:p w14:paraId="6591D9A8">
            <w:pPr>
              <w:jc w:val="center"/>
              <w:rPr>
                <w:rFonts w:ascii="宋体" w:hAnsi="宋体"/>
                <w:b/>
                <w:sz w:val="24"/>
              </w:rPr>
            </w:pPr>
            <w:r>
              <w:rPr>
                <w:rFonts w:hint="eastAsia" w:ascii="宋体" w:hAnsi="宋体" w:cs="宋体"/>
                <w:b/>
              </w:rPr>
              <w:t>评审因素</w:t>
            </w:r>
          </w:p>
        </w:tc>
        <w:tc>
          <w:tcPr>
            <w:tcW w:w="4786" w:type="dxa"/>
            <w:noWrap w:val="0"/>
            <w:vAlign w:val="center"/>
          </w:tcPr>
          <w:p w14:paraId="38CE4E51">
            <w:pPr>
              <w:jc w:val="center"/>
              <w:rPr>
                <w:rFonts w:ascii="宋体" w:hAnsi="宋体"/>
                <w:b/>
                <w:sz w:val="24"/>
              </w:rPr>
            </w:pPr>
            <w:r>
              <w:rPr>
                <w:rFonts w:hint="eastAsia" w:ascii="宋体" w:hAnsi="宋体" w:cs="宋体"/>
                <w:b/>
              </w:rPr>
              <w:t>评审标准</w:t>
            </w:r>
          </w:p>
        </w:tc>
      </w:tr>
      <w:tr w14:paraId="7C6BB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983" w:type="dxa"/>
            <w:vMerge w:val="restart"/>
            <w:noWrap w:val="0"/>
            <w:vAlign w:val="center"/>
          </w:tcPr>
          <w:p w14:paraId="1C725C61">
            <w:pPr>
              <w:jc w:val="center"/>
              <w:rPr>
                <w:rFonts w:ascii="宋体" w:hAnsi="宋体"/>
                <w:sz w:val="24"/>
              </w:rPr>
            </w:pPr>
            <w:r>
              <w:rPr>
                <w:rFonts w:hint="eastAsia" w:ascii="宋体" w:hAnsi="宋体" w:cs="宋体"/>
              </w:rPr>
              <w:t>2.1.1</w:t>
            </w:r>
          </w:p>
        </w:tc>
        <w:tc>
          <w:tcPr>
            <w:tcW w:w="1224" w:type="dxa"/>
            <w:gridSpan w:val="2"/>
            <w:vMerge w:val="restart"/>
            <w:noWrap w:val="0"/>
            <w:vAlign w:val="center"/>
          </w:tcPr>
          <w:p w14:paraId="4F6D84C5">
            <w:pPr>
              <w:snapToGrid w:val="0"/>
              <w:spacing w:line="480" w:lineRule="auto"/>
              <w:jc w:val="center"/>
              <w:rPr>
                <w:rFonts w:hint="eastAsia" w:eastAsia="宋体" w:cs="Times New Roman"/>
              </w:rPr>
            </w:pPr>
            <w:r>
              <w:rPr>
                <w:rFonts w:hint="eastAsia" w:ascii="宋体" w:hAnsi="宋体" w:cs="宋体"/>
              </w:rPr>
              <w:t>形式评审标准</w:t>
            </w:r>
          </w:p>
        </w:tc>
        <w:tc>
          <w:tcPr>
            <w:tcW w:w="2786" w:type="dxa"/>
            <w:noWrap w:val="0"/>
            <w:vAlign w:val="top"/>
          </w:tcPr>
          <w:p w14:paraId="58E0CAFC">
            <w:pPr>
              <w:spacing w:line="360" w:lineRule="auto"/>
              <w:jc w:val="left"/>
              <w:rPr>
                <w:rFonts w:hint="eastAsia" w:eastAsia="宋体" w:cs="Times New Roman"/>
              </w:rPr>
            </w:pPr>
            <w:r>
              <w:rPr>
                <w:rFonts w:hint="eastAsia" w:ascii="宋体" w:hAnsi="宋体" w:cs="宋体"/>
              </w:rPr>
              <w:t>投标人名称</w:t>
            </w:r>
          </w:p>
        </w:tc>
        <w:tc>
          <w:tcPr>
            <w:tcW w:w="4786" w:type="dxa"/>
            <w:noWrap w:val="0"/>
            <w:vAlign w:val="top"/>
          </w:tcPr>
          <w:p w14:paraId="43D85DA8">
            <w:pPr>
              <w:spacing w:line="360" w:lineRule="auto"/>
              <w:rPr>
                <w:rFonts w:hint="eastAsia" w:eastAsia="宋体" w:cs="Times New Roman"/>
              </w:rPr>
            </w:pPr>
            <w:r>
              <w:rPr>
                <w:rFonts w:hint="eastAsia" w:ascii="宋体" w:hAnsi="宋体" w:cs="宋体"/>
              </w:rPr>
              <w:t>与营业执照一致</w:t>
            </w:r>
          </w:p>
        </w:tc>
      </w:tr>
      <w:tr w14:paraId="7736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983" w:type="dxa"/>
            <w:vMerge w:val="continue"/>
            <w:noWrap w:val="0"/>
            <w:vAlign w:val="center"/>
          </w:tcPr>
          <w:p w14:paraId="18D9BC6E">
            <w:pPr>
              <w:widowControl/>
              <w:jc w:val="left"/>
              <w:rPr>
                <w:rFonts w:ascii="宋体" w:hAnsi="宋体"/>
                <w:sz w:val="24"/>
              </w:rPr>
            </w:pPr>
          </w:p>
        </w:tc>
        <w:tc>
          <w:tcPr>
            <w:tcW w:w="1224" w:type="dxa"/>
            <w:gridSpan w:val="2"/>
            <w:vMerge w:val="continue"/>
            <w:noWrap w:val="0"/>
            <w:vAlign w:val="center"/>
          </w:tcPr>
          <w:p w14:paraId="240C72A4">
            <w:pPr>
              <w:widowControl/>
              <w:jc w:val="left"/>
              <w:rPr>
                <w:rFonts w:hint="eastAsia" w:eastAsia="宋体" w:cs="Times New Roman"/>
              </w:rPr>
            </w:pPr>
          </w:p>
        </w:tc>
        <w:tc>
          <w:tcPr>
            <w:tcW w:w="2786" w:type="dxa"/>
            <w:noWrap w:val="0"/>
            <w:vAlign w:val="top"/>
          </w:tcPr>
          <w:p w14:paraId="4273DB37">
            <w:pPr>
              <w:spacing w:line="360" w:lineRule="auto"/>
              <w:jc w:val="left"/>
              <w:rPr>
                <w:rFonts w:hint="eastAsia" w:eastAsia="宋体" w:cs="Times New Roman"/>
              </w:rPr>
            </w:pPr>
            <w:r>
              <w:rPr>
                <w:rFonts w:hint="eastAsia" w:ascii="宋体" w:hAnsi="宋体" w:cs="宋体"/>
              </w:rPr>
              <w:t>投标文件签字盖章</w:t>
            </w:r>
          </w:p>
        </w:tc>
        <w:tc>
          <w:tcPr>
            <w:tcW w:w="4786" w:type="dxa"/>
            <w:noWrap w:val="0"/>
            <w:vAlign w:val="top"/>
          </w:tcPr>
          <w:p w14:paraId="558BAA7E">
            <w:pPr>
              <w:spacing w:line="360" w:lineRule="auto"/>
              <w:jc w:val="left"/>
              <w:rPr>
                <w:rFonts w:hint="eastAsia" w:eastAsia="宋体" w:cs="Times New Roman"/>
              </w:rPr>
            </w:pPr>
            <w:r>
              <w:rPr>
                <w:rFonts w:hint="eastAsia" w:ascii="宋体" w:hAnsi="宋体" w:cs="宋体"/>
              </w:rPr>
              <w:t>符合招标文件签字、盖章的要求</w:t>
            </w:r>
          </w:p>
        </w:tc>
      </w:tr>
      <w:tr w14:paraId="7970F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983" w:type="dxa"/>
            <w:vMerge w:val="continue"/>
            <w:noWrap w:val="0"/>
            <w:vAlign w:val="center"/>
          </w:tcPr>
          <w:p w14:paraId="211764B8">
            <w:pPr>
              <w:widowControl/>
              <w:jc w:val="left"/>
              <w:rPr>
                <w:rFonts w:ascii="宋体" w:hAnsi="宋体"/>
                <w:sz w:val="24"/>
              </w:rPr>
            </w:pPr>
          </w:p>
        </w:tc>
        <w:tc>
          <w:tcPr>
            <w:tcW w:w="1224" w:type="dxa"/>
            <w:gridSpan w:val="2"/>
            <w:vMerge w:val="continue"/>
            <w:noWrap w:val="0"/>
            <w:vAlign w:val="center"/>
          </w:tcPr>
          <w:p w14:paraId="4EE463FB">
            <w:pPr>
              <w:widowControl/>
              <w:jc w:val="left"/>
              <w:rPr>
                <w:rFonts w:hint="eastAsia" w:eastAsia="宋体" w:cs="Times New Roman"/>
              </w:rPr>
            </w:pPr>
          </w:p>
        </w:tc>
        <w:tc>
          <w:tcPr>
            <w:tcW w:w="2786" w:type="dxa"/>
            <w:noWrap w:val="0"/>
            <w:vAlign w:val="center"/>
          </w:tcPr>
          <w:p w14:paraId="5B538E6E">
            <w:pPr>
              <w:spacing w:line="360" w:lineRule="auto"/>
              <w:jc w:val="left"/>
              <w:rPr>
                <w:rFonts w:hint="eastAsia" w:eastAsia="宋体" w:cs="Times New Roman"/>
              </w:rPr>
            </w:pPr>
            <w:r>
              <w:rPr>
                <w:rFonts w:hint="eastAsia" w:ascii="宋体" w:hAnsi="宋体" w:cs="宋体"/>
              </w:rPr>
              <w:t>投标文件格式</w:t>
            </w:r>
          </w:p>
        </w:tc>
        <w:tc>
          <w:tcPr>
            <w:tcW w:w="4786" w:type="dxa"/>
            <w:noWrap w:val="0"/>
            <w:vAlign w:val="center"/>
          </w:tcPr>
          <w:p w14:paraId="087D090E">
            <w:pPr>
              <w:spacing w:line="360" w:lineRule="auto"/>
              <w:jc w:val="left"/>
              <w:rPr>
                <w:rFonts w:hint="eastAsia" w:eastAsia="宋体" w:cs="Times New Roman"/>
              </w:rPr>
            </w:pPr>
            <w:r>
              <w:rPr>
                <w:rFonts w:hint="eastAsia" w:ascii="宋体" w:hAnsi="宋体" w:cs="宋体"/>
              </w:rPr>
              <w:t>符合第六章“投标文件格式”的要求</w:t>
            </w:r>
          </w:p>
        </w:tc>
      </w:tr>
      <w:tr w14:paraId="6BC7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83" w:type="dxa"/>
            <w:vMerge w:val="continue"/>
            <w:noWrap w:val="0"/>
            <w:vAlign w:val="center"/>
          </w:tcPr>
          <w:p w14:paraId="2E3720EB">
            <w:pPr>
              <w:widowControl/>
              <w:jc w:val="left"/>
              <w:rPr>
                <w:rFonts w:ascii="宋体" w:hAnsi="宋体"/>
                <w:sz w:val="24"/>
              </w:rPr>
            </w:pPr>
          </w:p>
        </w:tc>
        <w:tc>
          <w:tcPr>
            <w:tcW w:w="1224" w:type="dxa"/>
            <w:gridSpan w:val="2"/>
            <w:vMerge w:val="continue"/>
            <w:noWrap w:val="0"/>
            <w:vAlign w:val="center"/>
          </w:tcPr>
          <w:p w14:paraId="75A6A523">
            <w:pPr>
              <w:widowControl/>
              <w:jc w:val="left"/>
              <w:rPr>
                <w:rFonts w:hint="eastAsia" w:eastAsia="宋体" w:cs="Times New Roman"/>
              </w:rPr>
            </w:pPr>
          </w:p>
        </w:tc>
        <w:tc>
          <w:tcPr>
            <w:tcW w:w="2786" w:type="dxa"/>
            <w:noWrap w:val="0"/>
            <w:vAlign w:val="top"/>
          </w:tcPr>
          <w:p w14:paraId="7C69F65C">
            <w:pPr>
              <w:spacing w:line="360" w:lineRule="auto"/>
              <w:jc w:val="left"/>
              <w:rPr>
                <w:rFonts w:hint="eastAsia" w:eastAsia="宋体" w:cs="Times New Roman"/>
              </w:rPr>
            </w:pPr>
            <w:r>
              <w:rPr>
                <w:rFonts w:hint="eastAsia" w:ascii="宋体" w:hAnsi="宋体" w:cs="宋体"/>
              </w:rPr>
              <w:t>报价唯一</w:t>
            </w:r>
          </w:p>
        </w:tc>
        <w:tc>
          <w:tcPr>
            <w:tcW w:w="4786" w:type="dxa"/>
            <w:noWrap w:val="0"/>
            <w:vAlign w:val="top"/>
          </w:tcPr>
          <w:p w14:paraId="4BEA0592">
            <w:pPr>
              <w:spacing w:line="360" w:lineRule="auto"/>
              <w:rPr>
                <w:rFonts w:hint="eastAsia" w:eastAsia="宋体" w:cs="Times New Roman"/>
              </w:rPr>
            </w:pPr>
            <w:r>
              <w:rPr>
                <w:rFonts w:hint="eastAsia" w:ascii="宋体" w:hAnsi="宋体" w:cs="宋体"/>
              </w:rPr>
              <w:t>只能有一个有效报价</w:t>
            </w:r>
          </w:p>
        </w:tc>
      </w:tr>
      <w:tr w14:paraId="28494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983" w:type="dxa"/>
            <w:vMerge w:val="restart"/>
            <w:noWrap w:val="0"/>
            <w:vAlign w:val="center"/>
          </w:tcPr>
          <w:p w14:paraId="5DD2CE93">
            <w:pPr>
              <w:jc w:val="both"/>
              <w:rPr>
                <w:rFonts w:ascii="宋体" w:hAnsi="宋体"/>
                <w:sz w:val="24"/>
              </w:rPr>
            </w:pPr>
            <w:r>
              <w:rPr>
                <w:rFonts w:hint="eastAsia" w:ascii="宋体" w:hAnsi="宋体" w:cs="宋体"/>
              </w:rPr>
              <w:t>2.1.2</w:t>
            </w:r>
          </w:p>
        </w:tc>
        <w:tc>
          <w:tcPr>
            <w:tcW w:w="1224" w:type="dxa"/>
            <w:gridSpan w:val="2"/>
            <w:vMerge w:val="restart"/>
            <w:noWrap w:val="0"/>
            <w:vAlign w:val="center"/>
          </w:tcPr>
          <w:p w14:paraId="3A3558B6">
            <w:pPr>
              <w:spacing w:line="360" w:lineRule="auto"/>
              <w:rPr>
                <w:rFonts w:hint="eastAsia" w:eastAsia="宋体" w:cs="Times New Roman"/>
              </w:rPr>
            </w:pPr>
            <w:r>
              <w:rPr>
                <w:rFonts w:hint="eastAsia" w:ascii="宋体" w:hAnsi="宋体" w:cs="宋体"/>
              </w:rPr>
              <w:t>资格评审标准</w:t>
            </w:r>
          </w:p>
        </w:tc>
        <w:tc>
          <w:tcPr>
            <w:tcW w:w="2786" w:type="dxa"/>
            <w:noWrap w:val="0"/>
            <w:vAlign w:val="top"/>
          </w:tcPr>
          <w:p w14:paraId="0368B24A">
            <w:pPr>
              <w:spacing w:line="360" w:lineRule="auto"/>
              <w:jc w:val="left"/>
              <w:rPr>
                <w:rFonts w:hint="eastAsia" w:eastAsia="宋体" w:cs="Times New Roman"/>
              </w:rPr>
            </w:pPr>
            <w:r>
              <w:rPr>
                <w:rFonts w:hint="eastAsia" w:ascii="宋体" w:hAnsi="宋体" w:cs="宋体"/>
              </w:rPr>
              <w:t>营业执照</w:t>
            </w:r>
          </w:p>
        </w:tc>
        <w:tc>
          <w:tcPr>
            <w:tcW w:w="4786" w:type="dxa"/>
            <w:noWrap w:val="0"/>
            <w:vAlign w:val="top"/>
          </w:tcPr>
          <w:p w14:paraId="309DF3A1">
            <w:pPr>
              <w:spacing w:line="360" w:lineRule="auto"/>
              <w:rPr>
                <w:rFonts w:hint="eastAsia" w:eastAsia="宋体" w:cs="Times New Roman"/>
              </w:rPr>
            </w:pPr>
            <w:r>
              <w:rPr>
                <w:rFonts w:hint="eastAsia" w:ascii="宋体" w:hAnsi="宋体" w:cs="宋体"/>
              </w:rPr>
              <w:t>具备有效的营业执照</w:t>
            </w:r>
          </w:p>
        </w:tc>
      </w:tr>
      <w:tr w14:paraId="47DB7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983" w:type="dxa"/>
            <w:vMerge w:val="continue"/>
            <w:noWrap w:val="0"/>
            <w:vAlign w:val="center"/>
          </w:tcPr>
          <w:p w14:paraId="17CD1BC9">
            <w:pPr>
              <w:widowControl/>
              <w:jc w:val="left"/>
              <w:rPr>
                <w:rFonts w:ascii="宋体" w:hAnsi="宋体"/>
                <w:sz w:val="24"/>
              </w:rPr>
            </w:pPr>
          </w:p>
        </w:tc>
        <w:tc>
          <w:tcPr>
            <w:tcW w:w="1224" w:type="dxa"/>
            <w:gridSpan w:val="2"/>
            <w:vMerge w:val="continue"/>
            <w:noWrap w:val="0"/>
            <w:vAlign w:val="center"/>
          </w:tcPr>
          <w:p w14:paraId="5FD8BC2A">
            <w:pPr>
              <w:widowControl/>
              <w:jc w:val="left"/>
              <w:rPr>
                <w:rFonts w:hint="eastAsia" w:eastAsia="宋体" w:cs="Times New Roman"/>
              </w:rPr>
            </w:pPr>
          </w:p>
        </w:tc>
        <w:tc>
          <w:tcPr>
            <w:tcW w:w="2786" w:type="dxa"/>
            <w:noWrap w:val="0"/>
            <w:vAlign w:val="top"/>
          </w:tcPr>
          <w:p w14:paraId="26F7A5FA">
            <w:pPr>
              <w:spacing w:line="360" w:lineRule="auto"/>
              <w:jc w:val="left"/>
              <w:rPr>
                <w:rFonts w:hint="eastAsia" w:eastAsia="宋体" w:cs="Times New Roman"/>
              </w:rPr>
            </w:pPr>
            <w:r>
              <w:rPr>
                <w:rFonts w:hint="eastAsia" w:ascii="宋体" w:hAnsi="宋体" w:cs="宋体"/>
              </w:rPr>
              <w:t>资质等级</w:t>
            </w:r>
          </w:p>
        </w:tc>
        <w:tc>
          <w:tcPr>
            <w:tcW w:w="4786" w:type="dxa"/>
            <w:noWrap w:val="0"/>
            <w:vAlign w:val="top"/>
          </w:tcPr>
          <w:p w14:paraId="289D87D9">
            <w:pPr>
              <w:spacing w:line="360" w:lineRule="auto"/>
              <w:rPr>
                <w:rFonts w:hint="eastAsia" w:eastAsia="宋体" w:cs="Times New Roman"/>
              </w:rPr>
            </w:pPr>
            <w:r>
              <w:rPr>
                <w:rFonts w:hint="eastAsia" w:ascii="宋体" w:hAnsi="宋体" w:cs="宋体"/>
              </w:rPr>
              <w:t>符合第2章投标人须知前附表1.4.1</w:t>
            </w:r>
          </w:p>
        </w:tc>
      </w:tr>
      <w:tr w14:paraId="66A34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983" w:type="dxa"/>
            <w:vMerge w:val="continue"/>
            <w:noWrap w:val="0"/>
            <w:vAlign w:val="center"/>
          </w:tcPr>
          <w:p w14:paraId="59C28797">
            <w:pPr>
              <w:widowControl/>
              <w:jc w:val="left"/>
              <w:rPr>
                <w:rFonts w:ascii="宋体" w:hAnsi="宋体"/>
                <w:sz w:val="24"/>
              </w:rPr>
            </w:pPr>
          </w:p>
        </w:tc>
        <w:tc>
          <w:tcPr>
            <w:tcW w:w="1224" w:type="dxa"/>
            <w:gridSpan w:val="2"/>
            <w:vMerge w:val="continue"/>
            <w:noWrap w:val="0"/>
            <w:vAlign w:val="center"/>
          </w:tcPr>
          <w:p w14:paraId="4F6FE870">
            <w:pPr>
              <w:widowControl/>
              <w:jc w:val="left"/>
              <w:rPr>
                <w:rFonts w:hint="eastAsia" w:eastAsia="宋体" w:cs="Times New Roman"/>
              </w:rPr>
            </w:pPr>
          </w:p>
        </w:tc>
        <w:tc>
          <w:tcPr>
            <w:tcW w:w="2786" w:type="dxa"/>
            <w:noWrap w:val="0"/>
            <w:vAlign w:val="top"/>
          </w:tcPr>
          <w:p w14:paraId="5FA95923">
            <w:pPr>
              <w:spacing w:line="360" w:lineRule="auto"/>
              <w:jc w:val="left"/>
              <w:rPr>
                <w:rFonts w:hint="eastAsia" w:eastAsia="宋体" w:cs="Times New Roman"/>
              </w:rPr>
            </w:pPr>
            <w:r>
              <w:rPr>
                <w:rFonts w:hint="eastAsia" w:ascii="宋体" w:hAnsi="宋体" w:cs="宋体"/>
              </w:rPr>
              <w:t>信用信息</w:t>
            </w:r>
          </w:p>
        </w:tc>
        <w:tc>
          <w:tcPr>
            <w:tcW w:w="4786" w:type="dxa"/>
            <w:noWrap w:val="0"/>
            <w:vAlign w:val="top"/>
          </w:tcPr>
          <w:p w14:paraId="47111336">
            <w:pPr>
              <w:spacing w:line="360" w:lineRule="auto"/>
              <w:rPr>
                <w:rFonts w:hint="eastAsia" w:eastAsia="宋体" w:cs="Times New Roman"/>
              </w:rPr>
            </w:pPr>
            <w:r>
              <w:rPr>
                <w:rFonts w:hint="eastAsia" w:ascii="宋体" w:hAnsi="宋体" w:cs="宋体"/>
              </w:rPr>
              <w:t>符合第2章投标人须知前附表1.4.1</w:t>
            </w:r>
          </w:p>
        </w:tc>
      </w:tr>
      <w:tr w14:paraId="55B90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83" w:type="dxa"/>
            <w:vMerge w:val="continue"/>
            <w:noWrap w:val="0"/>
            <w:vAlign w:val="center"/>
          </w:tcPr>
          <w:p w14:paraId="46418AFF">
            <w:pPr>
              <w:widowControl/>
              <w:jc w:val="left"/>
              <w:rPr>
                <w:rFonts w:ascii="宋体" w:hAnsi="宋体"/>
                <w:sz w:val="24"/>
              </w:rPr>
            </w:pPr>
          </w:p>
        </w:tc>
        <w:tc>
          <w:tcPr>
            <w:tcW w:w="1224" w:type="dxa"/>
            <w:gridSpan w:val="2"/>
            <w:vMerge w:val="continue"/>
            <w:noWrap w:val="0"/>
            <w:vAlign w:val="center"/>
          </w:tcPr>
          <w:p w14:paraId="56B2DFC1">
            <w:pPr>
              <w:widowControl/>
              <w:jc w:val="left"/>
              <w:rPr>
                <w:rFonts w:hint="eastAsia" w:eastAsia="宋体" w:cs="Times New Roman"/>
              </w:rPr>
            </w:pPr>
          </w:p>
        </w:tc>
        <w:tc>
          <w:tcPr>
            <w:tcW w:w="2786" w:type="dxa"/>
            <w:noWrap w:val="0"/>
            <w:vAlign w:val="top"/>
          </w:tcPr>
          <w:p w14:paraId="63DF4EEC">
            <w:pPr>
              <w:spacing w:line="360" w:lineRule="auto"/>
              <w:jc w:val="left"/>
              <w:rPr>
                <w:rFonts w:hint="eastAsia" w:eastAsia="宋体" w:cs="Times New Roman"/>
              </w:rPr>
            </w:pPr>
            <w:r>
              <w:rPr>
                <w:rFonts w:hint="eastAsia" w:ascii="宋体" w:hAnsi="宋体" w:cs="宋体"/>
              </w:rPr>
              <w:t>其他</w:t>
            </w:r>
          </w:p>
        </w:tc>
        <w:tc>
          <w:tcPr>
            <w:tcW w:w="4786" w:type="dxa"/>
            <w:noWrap w:val="0"/>
            <w:vAlign w:val="top"/>
          </w:tcPr>
          <w:p w14:paraId="32C5C685">
            <w:pPr>
              <w:spacing w:line="360" w:lineRule="auto"/>
              <w:rPr>
                <w:rFonts w:hint="eastAsia" w:eastAsia="宋体" w:cs="Times New Roman"/>
              </w:rPr>
            </w:pPr>
            <w:r>
              <w:rPr>
                <w:rFonts w:hint="eastAsia" w:ascii="宋体" w:hAnsi="宋体" w:cs="宋体"/>
              </w:rPr>
              <w:t>符合第2章投标人须知前附表1.4.1</w:t>
            </w:r>
          </w:p>
        </w:tc>
      </w:tr>
      <w:tr w14:paraId="57E73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83" w:type="dxa"/>
            <w:vMerge w:val="restart"/>
            <w:noWrap w:val="0"/>
            <w:vAlign w:val="center"/>
          </w:tcPr>
          <w:p w14:paraId="1F23C407">
            <w:pPr>
              <w:jc w:val="center"/>
              <w:rPr>
                <w:rFonts w:ascii="宋体" w:hAnsi="宋体"/>
                <w:sz w:val="24"/>
              </w:rPr>
            </w:pPr>
            <w:r>
              <w:rPr>
                <w:rFonts w:hint="eastAsia" w:ascii="宋体" w:hAnsi="宋体" w:cs="宋体"/>
              </w:rPr>
              <w:t>2.1.3</w:t>
            </w:r>
          </w:p>
        </w:tc>
        <w:tc>
          <w:tcPr>
            <w:tcW w:w="1224" w:type="dxa"/>
            <w:gridSpan w:val="2"/>
            <w:vMerge w:val="restart"/>
            <w:noWrap w:val="0"/>
            <w:vAlign w:val="center"/>
          </w:tcPr>
          <w:p w14:paraId="2EDDC28A">
            <w:pPr>
              <w:spacing w:line="360" w:lineRule="auto"/>
              <w:rPr>
                <w:rFonts w:hint="eastAsia" w:eastAsia="宋体" w:cs="Times New Roman"/>
              </w:rPr>
            </w:pPr>
            <w:r>
              <w:rPr>
                <w:rFonts w:hint="eastAsia" w:ascii="宋体" w:hAnsi="宋体" w:cs="宋体"/>
              </w:rPr>
              <w:t>响应性评审标准</w:t>
            </w:r>
          </w:p>
        </w:tc>
        <w:tc>
          <w:tcPr>
            <w:tcW w:w="2786" w:type="dxa"/>
            <w:noWrap w:val="0"/>
            <w:vAlign w:val="center"/>
          </w:tcPr>
          <w:p w14:paraId="18972257">
            <w:pPr>
              <w:snapToGrid w:val="0"/>
              <w:spacing w:line="360" w:lineRule="auto"/>
              <w:jc w:val="left"/>
              <w:rPr>
                <w:rFonts w:hint="eastAsia" w:eastAsia="宋体" w:cs="Times New Roman"/>
              </w:rPr>
            </w:pPr>
            <w:r>
              <w:rPr>
                <w:rFonts w:hint="eastAsia" w:ascii="宋体" w:hAnsi="宋体" w:cs="宋体"/>
              </w:rPr>
              <w:t>服务期限</w:t>
            </w:r>
          </w:p>
        </w:tc>
        <w:tc>
          <w:tcPr>
            <w:tcW w:w="4786" w:type="dxa"/>
            <w:noWrap w:val="0"/>
            <w:vAlign w:val="center"/>
          </w:tcPr>
          <w:p w14:paraId="30460C2C">
            <w:pPr>
              <w:snapToGrid w:val="0"/>
              <w:spacing w:line="360" w:lineRule="auto"/>
              <w:rPr>
                <w:rFonts w:hint="eastAsia" w:eastAsia="宋体" w:cs="Times New Roman"/>
              </w:rPr>
            </w:pPr>
            <w:r>
              <w:rPr>
                <w:rFonts w:hint="eastAsia" w:ascii="宋体" w:hAnsi="宋体" w:cs="宋体"/>
              </w:rPr>
              <w:t>符合第2章“投标人须知前附表”</w:t>
            </w:r>
          </w:p>
        </w:tc>
      </w:tr>
      <w:tr w14:paraId="5A02F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983" w:type="dxa"/>
            <w:vMerge w:val="continue"/>
            <w:noWrap w:val="0"/>
            <w:vAlign w:val="center"/>
          </w:tcPr>
          <w:p w14:paraId="188D1DB5">
            <w:pPr>
              <w:widowControl/>
              <w:jc w:val="left"/>
              <w:rPr>
                <w:rFonts w:ascii="宋体" w:hAnsi="宋体"/>
                <w:sz w:val="24"/>
              </w:rPr>
            </w:pPr>
          </w:p>
        </w:tc>
        <w:tc>
          <w:tcPr>
            <w:tcW w:w="1224" w:type="dxa"/>
            <w:gridSpan w:val="2"/>
            <w:vMerge w:val="continue"/>
            <w:noWrap w:val="0"/>
            <w:vAlign w:val="center"/>
          </w:tcPr>
          <w:p w14:paraId="33DDD61C">
            <w:pPr>
              <w:widowControl/>
              <w:jc w:val="left"/>
              <w:rPr>
                <w:rFonts w:hint="eastAsia" w:eastAsia="宋体" w:cs="Times New Roman"/>
              </w:rPr>
            </w:pPr>
          </w:p>
        </w:tc>
        <w:tc>
          <w:tcPr>
            <w:tcW w:w="2786" w:type="dxa"/>
            <w:noWrap w:val="0"/>
            <w:vAlign w:val="center"/>
          </w:tcPr>
          <w:p w14:paraId="54A96C45">
            <w:pPr>
              <w:snapToGrid w:val="0"/>
              <w:spacing w:line="360" w:lineRule="auto"/>
              <w:jc w:val="left"/>
              <w:rPr>
                <w:rFonts w:hint="eastAsia" w:eastAsia="宋体" w:cs="Times New Roman"/>
              </w:rPr>
            </w:pPr>
            <w:r>
              <w:rPr>
                <w:rFonts w:hint="eastAsia" w:ascii="宋体" w:hAnsi="宋体" w:cs="宋体"/>
              </w:rPr>
              <w:t>质量</w:t>
            </w:r>
          </w:p>
        </w:tc>
        <w:tc>
          <w:tcPr>
            <w:tcW w:w="4786" w:type="dxa"/>
            <w:noWrap w:val="0"/>
            <w:vAlign w:val="center"/>
          </w:tcPr>
          <w:p w14:paraId="2D34B959">
            <w:pPr>
              <w:snapToGrid w:val="0"/>
              <w:spacing w:line="360" w:lineRule="auto"/>
              <w:rPr>
                <w:rFonts w:hint="eastAsia" w:eastAsia="宋体" w:cs="Times New Roman"/>
              </w:rPr>
            </w:pPr>
            <w:r>
              <w:rPr>
                <w:rFonts w:hint="eastAsia" w:ascii="宋体" w:hAnsi="宋体" w:cs="宋体"/>
              </w:rPr>
              <w:t>符合第2章“投标人须知前附表”</w:t>
            </w:r>
          </w:p>
        </w:tc>
      </w:tr>
      <w:tr w14:paraId="52C13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983" w:type="dxa"/>
            <w:vMerge w:val="continue"/>
            <w:noWrap w:val="0"/>
            <w:vAlign w:val="center"/>
          </w:tcPr>
          <w:p w14:paraId="3A8D1FA2">
            <w:pPr>
              <w:widowControl/>
              <w:jc w:val="left"/>
              <w:rPr>
                <w:rFonts w:ascii="宋体" w:hAnsi="宋体"/>
                <w:sz w:val="24"/>
              </w:rPr>
            </w:pPr>
          </w:p>
        </w:tc>
        <w:tc>
          <w:tcPr>
            <w:tcW w:w="1224" w:type="dxa"/>
            <w:gridSpan w:val="2"/>
            <w:vMerge w:val="continue"/>
            <w:noWrap w:val="0"/>
            <w:vAlign w:val="center"/>
          </w:tcPr>
          <w:p w14:paraId="79DDBF8A">
            <w:pPr>
              <w:widowControl/>
              <w:jc w:val="left"/>
            </w:pPr>
          </w:p>
        </w:tc>
        <w:tc>
          <w:tcPr>
            <w:tcW w:w="2786" w:type="dxa"/>
            <w:noWrap w:val="0"/>
            <w:vAlign w:val="center"/>
          </w:tcPr>
          <w:p w14:paraId="67C40E3D">
            <w:pPr>
              <w:snapToGrid w:val="0"/>
              <w:spacing w:line="360" w:lineRule="auto"/>
              <w:jc w:val="left"/>
            </w:pPr>
            <w:r>
              <w:rPr>
                <w:rFonts w:hint="eastAsia" w:ascii="宋体" w:hAnsi="宋体" w:cs="宋体"/>
              </w:rPr>
              <w:t>投标有效期</w:t>
            </w:r>
          </w:p>
        </w:tc>
        <w:tc>
          <w:tcPr>
            <w:tcW w:w="4786" w:type="dxa"/>
            <w:noWrap w:val="0"/>
            <w:vAlign w:val="center"/>
          </w:tcPr>
          <w:p w14:paraId="53855E42">
            <w:pPr>
              <w:snapToGrid w:val="0"/>
              <w:spacing w:line="360" w:lineRule="auto"/>
            </w:pPr>
            <w:r>
              <w:rPr>
                <w:rFonts w:hint="eastAsia" w:ascii="宋体" w:hAnsi="宋体" w:cs="宋体"/>
              </w:rPr>
              <w:t>符合第2章“投标人须知前附表”</w:t>
            </w:r>
          </w:p>
        </w:tc>
      </w:tr>
      <w:tr w14:paraId="4B09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207" w:type="dxa"/>
            <w:gridSpan w:val="3"/>
            <w:noWrap w:val="0"/>
            <w:vAlign w:val="center"/>
          </w:tcPr>
          <w:p w14:paraId="7B5692AF">
            <w:pPr>
              <w:spacing w:line="360" w:lineRule="auto"/>
              <w:jc w:val="center"/>
              <w:rPr>
                <w:rFonts w:ascii="宋体" w:hAnsi="宋体"/>
                <w:b/>
                <w:sz w:val="24"/>
              </w:rPr>
            </w:pPr>
            <w:r>
              <w:rPr>
                <w:rFonts w:hint="eastAsia" w:ascii="宋体" w:hAnsi="宋体" w:cs="宋体"/>
                <w:b/>
              </w:rPr>
              <w:t>2.2.4条款号</w:t>
            </w:r>
          </w:p>
        </w:tc>
        <w:tc>
          <w:tcPr>
            <w:tcW w:w="2786" w:type="dxa"/>
            <w:noWrap w:val="0"/>
            <w:vAlign w:val="center"/>
          </w:tcPr>
          <w:p w14:paraId="4C919C2F">
            <w:pPr>
              <w:spacing w:line="360" w:lineRule="auto"/>
              <w:ind w:firstLine="422" w:firstLineChars="200"/>
              <w:jc w:val="center"/>
              <w:rPr>
                <w:rFonts w:ascii="宋体" w:hAnsi="宋体"/>
                <w:b/>
                <w:sz w:val="24"/>
              </w:rPr>
            </w:pPr>
            <w:r>
              <w:rPr>
                <w:rFonts w:hint="eastAsia" w:ascii="宋体" w:hAnsi="宋体" w:cs="宋体"/>
                <w:b/>
              </w:rPr>
              <w:t>评分因素</w:t>
            </w:r>
          </w:p>
        </w:tc>
        <w:tc>
          <w:tcPr>
            <w:tcW w:w="4786" w:type="dxa"/>
            <w:noWrap w:val="0"/>
            <w:vAlign w:val="center"/>
          </w:tcPr>
          <w:p w14:paraId="7C10D45A">
            <w:pPr>
              <w:spacing w:line="360" w:lineRule="auto"/>
              <w:jc w:val="center"/>
              <w:rPr>
                <w:rFonts w:ascii="宋体" w:hAnsi="宋体"/>
                <w:b/>
                <w:sz w:val="24"/>
              </w:rPr>
            </w:pPr>
            <w:r>
              <w:rPr>
                <w:rFonts w:hint="eastAsia" w:ascii="宋体" w:hAnsi="宋体" w:cs="宋体"/>
                <w:b/>
              </w:rPr>
              <w:t>评分标准</w:t>
            </w:r>
          </w:p>
        </w:tc>
      </w:tr>
      <w:tr w14:paraId="7B96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2207" w:type="dxa"/>
            <w:gridSpan w:val="3"/>
            <w:noWrap w:val="0"/>
            <w:vAlign w:val="center"/>
          </w:tcPr>
          <w:p w14:paraId="7B866468">
            <w:pPr>
              <w:spacing w:line="360" w:lineRule="auto"/>
              <w:jc w:val="center"/>
              <w:rPr>
                <w:rFonts w:ascii="宋体" w:hAnsi="宋体"/>
                <w:sz w:val="24"/>
              </w:rPr>
            </w:pPr>
            <w:r>
              <w:rPr>
                <w:rFonts w:hint="eastAsia" w:ascii="宋体" w:hAnsi="宋体" w:cs="宋体"/>
              </w:rPr>
              <w:t>2.2.1</w:t>
            </w:r>
          </w:p>
        </w:tc>
        <w:tc>
          <w:tcPr>
            <w:tcW w:w="2786" w:type="dxa"/>
            <w:noWrap w:val="0"/>
            <w:vAlign w:val="center"/>
          </w:tcPr>
          <w:p w14:paraId="5934B369">
            <w:pPr>
              <w:spacing w:line="360" w:lineRule="auto"/>
              <w:jc w:val="center"/>
              <w:rPr>
                <w:rFonts w:hint="eastAsia" w:ascii="宋体" w:hAnsi="宋体" w:cs="宋体"/>
              </w:rPr>
            </w:pPr>
            <w:r>
              <w:rPr>
                <w:rFonts w:hint="eastAsia" w:ascii="宋体" w:hAnsi="宋体" w:cs="宋体"/>
              </w:rPr>
              <w:t>分值构成</w:t>
            </w:r>
          </w:p>
          <w:p w14:paraId="3611500C">
            <w:pPr>
              <w:spacing w:line="360" w:lineRule="auto"/>
              <w:jc w:val="center"/>
              <w:rPr>
                <w:rFonts w:hint="eastAsia" w:eastAsia="宋体" w:cs="Times New Roman"/>
              </w:rPr>
            </w:pPr>
            <w:r>
              <w:rPr>
                <w:rFonts w:hint="eastAsia" w:ascii="宋体" w:hAnsi="宋体" w:cs="宋体"/>
              </w:rPr>
              <w:t>(总分100分)</w:t>
            </w:r>
          </w:p>
        </w:tc>
        <w:tc>
          <w:tcPr>
            <w:tcW w:w="4786" w:type="dxa"/>
            <w:noWrap w:val="0"/>
            <w:vAlign w:val="center"/>
          </w:tcPr>
          <w:p w14:paraId="5CEF1936">
            <w:pPr>
              <w:spacing w:line="360" w:lineRule="auto"/>
              <w:rPr>
                <w:rFonts w:hint="eastAsia" w:ascii="宋体" w:hAnsi="宋体" w:cs="宋体"/>
              </w:rPr>
            </w:pPr>
            <w:r>
              <w:rPr>
                <w:rFonts w:hint="eastAsia" w:ascii="宋体" w:hAnsi="宋体" w:cs="宋体"/>
              </w:rPr>
              <w:t>投标报价（20分）</w:t>
            </w:r>
          </w:p>
          <w:p w14:paraId="0A1C7A22">
            <w:pPr>
              <w:spacing w:line="360" w:lineRule="auto"/>
              <w:rPr>
                <w:rFonts w:hint="eastAsia" w:ascii="宋体" w:hAnsi="宋体" w:cs="宋体"/>
              </w:rPr>
            </w:pPr>
            <w:r>
              <w:rPr>
                <w:rFonts w:hint="eastAsia" w:ascii="宋体" w:hAnsi="宋体" w:cs="宋体"/>
              </w:rPr>
              <w:t>工程勘察组织方案（65分）</w:t>
            </w:r>
          </w:p>
          <w:p w14:paraId="257CA1C8">
            <w:pPr>
              <w:spacing w:line="360" w:lineRule="auto"/>
              <w:rPr>
                <w:rFonts w:hint="eastAsia" w:eastAsia="宋体" w:cs="Times New Roman"/>
              </w:rPr>
            </w:pPr>
            <w:r>
              <w:rPr>
                <w:rFonts w:hint="eastAsia" w:ascii="宋体" w:hAnsi="宋体" w:cs="宋体"/>
              </w:rPr>
              <w:t>服务承诺（15分）</w:t>
            </w:r>
          </w:p>
        </w:tc>
      </w:tr>
      <w:tr w14:paraId="79E7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07" w:type="dxa"/>
            <w:gridSpan w:val="3"/>
            <w:noWrap w:val="0"/>
            <w:vAlign w:val="center"/>
          </w:tcPr>
          <w:p w14:paraId="0AA6549E">
            <w:pPr>
              <w:spacing w:line="360" w:lineRule="auto"/>
              <w:jc w:val="center"/>
              <w:rPr>
                <w:rFonts w:ascii="宋体" w:hAnsi="宋体"/>
                <w:sz w:val="24"/>
              </w:rPr>
            </w:pPr>
            <w:r>
              <w:rPr>
                <w:rFonts w:hint="eastAsia" w:ascii="宋体" w:hAnsi="宋体" w:cs="宋体"/>
                <w:b/>
                <w:bCs/>
              </w:rPr>
              <w:t>条款号</w:t>
            </w:r>
          </w:p>
        </w:tc>
        <w:tc>
          <w:tcPr>
            <w:tcW w:w="2786" w:type="dxa"/>
            <w:noWrap w:val="0"/>
            <w:vAlign w:val="center"/>
          </w:tcPr>
          <w:p w14:paraId="2C22A526">
            <w:pPr>
              <w:spacing w:line="360" w:lineRule="auto"/>
              <w:jc w:val="center"/>
              <w:rPr>
                <w:sz w:val="24"/>
              </w:rPr>
            </w:pPr>
            <w:r>
              <w:rPr>
                <w:rFonts w:hint="eastAsia" w:ascii="宋体" w:hAnsi="宋体" w:cs="宋体"/>
              </w:rPr>
              <w:t>评分因素</w:t>
            </w:r>
          </w:p>
        </w:tc>
        <w:tc>
          <w:tcPr>
            <w:tcW w:w="4786" w:type="dxa"/>
            <w:noWrap w:val="0"/>
            <w:vAlign w:val="center"/>
          </w:tcPr>
          <w:p w14:paraId="4D2776F9">
            <w:pPr>
              <w:spacing w:line="360" w:lineRule="auto"/>
              <w:jc w:val="center"/>
            </w:pPr>
            <w:r>
              <w:rPr>
                <w:rFonts w:hint="eastAsia" w:ascii="宋体" w:hAnsi="宋体" w:cs="宋体"/>
                <w:b/>
                <w:bCs/>
              </w:rPr>
              <w:t>评分标准</w:t>
            </w:r>
          </w:p>
        </w:tc>
      </w:tr>
      <w:tr w14:paraId="16843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996" w:type="dxa"/>
            <w:gridSpan w:val="2"/>
            <w:vMerge w:val="restart"/>
            <w:noWrap w:val="0"/>
            <w:vAlign w:val="top"/>
          </w:tcPr>
          <w:p w14:paraId="26E06C26">
            <w:pPr>
              <w:spacing w:line="360" w:lineRule="auto"/>
              <w:jc w:val="center"/>
              <w:rPr>
                <w:rFonts w:hint="eastAsia" w:ascii="宋体" w:hAnsi="宋体" w:cs="宋体"/>
              </w:rPr>
            </w:pPr>
          </w:p>
          <w:p w14:paraId="5F16343D">
            <w:pPr>
              <w:spacing w:line="360" w:lineRule="auto"/>
              <w:jc w:val="center"/>
              <w:rPr>
                <w:rFonts w:hint="eastAsia" w:ascii="宋体" w:hAnsi="宋体" w:cs="宋体"/>
              </w:rPr>
            </w:pPr>
          </w:p>
          <w:p w14:paraId="383BB85C">
            <w:pPr>
              <w:spacing w:line="360" w:lineRule="auto"/>
              <w:jc w:val="center"/>
              <w:rPr>
                <w:rFonts w:hint="eastAsia" w:ascii="宋体" w:hAnsi="宋体" w:cs="宋体"/>
              </w:rPr>
            </w:pPr>
          </w:p>
          <w:p w14:paraId="460E88D3">
            <w:pPr>
              <w:spacing w:line="360" w:lineRule="auto"/>
              <w:jc w:val="center"/>
              <w:rPr>
                <w:rFonts w:hint="eastAsia" w:ascii="宋体" w:hAnsi="宋体" w:cs="宋体"/>
              </w:rPr>
            </w:pPr>
          </w:p>
          <w:p w14:paraId="4F6D9132">
            <w:pPr>
              <w:spacing w:line="360" w:lineRule="auto"/>
              <w:jc w:val="center"/>
              <w:rPr>
                <w:rFonts w:hint="eastAsia" w:ascii="宋体" w:hAnsi="宋体" w:cs="宋体"/>
              </w:rPr>
            </w:pPr>
          </w:p>
          <w:p w14:paraId="15F4FBFA">
            <w:pPr>
              <w:spacing w:line="360" w:lineRule="auto"/>
              <w:jc w:val="center"/>
              <w:rPr>
                <w:rFonts w:hint="eastAsia" w:ascii="宋体" w:hAnsi="宋体" w:cs="宋体"/>
              </w:rPr>
            </w:pPr>
          </w:p>
          <w:p w14:paraId="599E437B">
            <w:pPr>
              <w:spacing w:line="360" w:lineRule="auto"/>
              <w:jc w:val="center"/>
              <w:rPr>
                <w:rFonts w:hint="eastAsia" w:ascii="宋体" w:hAnsi="宋体" w:cs="宋体"/>
              </w:rPr>
            </w:pPr>
          </w:p>
          <w:p w14:paraId="143313EC">
            <w:pPr>
              <w:spacing w:line="360" w:lineRule="auto"/>
              <w:jc w:val="center"/>
              <w:rPr>
                <w:rFonts w:hint="eastAsia" w:ascii="宋体" w:hAnsi="宋体" w:cs="宋体"/>
              </w:rPr>
            </w:pPr>
          </w:p>
          <w:p w14:paraId="2CC1C092">
            <w:pPr>
              <w:spacing w:line="360" w:lineRule="auto"/>
              <w:rPr>
                <w:rFonts w:hint="eastAsia" w:ascii="宋体" w:hAnsi="宋体" w:cs="宋体"/>
              </w:rPr>
            </w:pPr>
          </w:p>
          <w:p w14:paraId="367C8D2F">
            <w:pPr>
              <w:spacing w:line="360" w:lineRule="auto"/>
              <w:rPr>
                <w:rFonts w:hint="eastAsia" w:ascii="宋体" w:hAnsi="宋体" w:cs="宋体"/>
              </w:rPr>
            </w:pPr>
          </w:p>
          <w:p w14:paraId="2FA5D8F5">
            <w:pPr>
              <w:spacing w:line="360" w:lineRule="auto"/>
              <w:rPr>
                <w:rFonts w:hint="eastAsia" w:ascii="宋体" w:hAnsi="宋体" w:cs="宋体"/>
              </w:rPr>
            </w:pPr>
          </w:p>
          <w:p w14:paraId="7097403E">
            <w:pPr>
              <w:spacing w:line="360" w:lineRule="auto"/>
              <w:rPr>
                <w:rFonts w:hint="eastAsia" w:ascii="宋体" w:hAnsi="宋体" w:cs="宋体"/>
              </w:rPr>
            </w:pPr>
          </w:p>
          <w:p w14:paraId="124F8F28">
            <w:pPr>
              <w:spacing w:line="360" w:lineRule="auto"/>
              <w:rPr>
                <w:rFonts w:hint="eastAsia" w:ascii="宋体" w:hAnsi="宋体" w:cs="宋体"/>
              </w:rPr>
            </w:pPr>
          </w:p>
          <w:p w14:paraId="252D5674">
            <w:pPr>
              <w:spacing w:line="360" w:lineRule="auto"/>
              <w:rPr>
                <w:rFonts w:hint="eastAsia" w:ascii="宋体" w:hAnsi="宋体" w:cs="宋体"/>
              </w:rPr>
            </w:pPr>
          </w:p>
          <w:p w14:paraId="654926C0">
            <w:pPr>
              <w:spacing w:line="360" w:lineRule="auto"/>
              <w:rPr>
                <w:rFonts w:hint="eastAsia" w:ascii="宋体" w:hAnsi="宋体" w:cs="宋体"/>
              </w:rPr>
            </w:pPr>
          </w:p>
          <w:p w14:paraId="7100486E">
            <w:pPr>
              <w:spacing w:line="360" w:lineRule="auto"/>
              <w:rPr>
                <w:rFonts w:hint="eastAsia" w:ascii="宋体" w:hAnsi="宋体" w:cs="宋体"/>
              </w:rPr>
            </w:pPr>
            <w:r>
              <w:rPr>
                <w:rFonts w:hint="eastAsia" w:ascii="宋体" w:hAnsi="宋体" w:cs="宋体"/>
              </w:rPr>
              <w:t>2.2.4</w:t>
            </w:r>
          </w:p>
          <w:p w14:paraId="397ECB7D">
            <w:pPr>
              <w:spacing w:line="360" w:lineRule="auto"/>
              <w:rPr>
                <w:rFonts w:hint="eastAsia" w:ascii="宋体" w:hAnsi="宋体" w:cs="宋体"/>
              </w:rPr>
            </w:pPr>
            <w:r>
              <w:rPr>
                <w:rFonts w:hint="eastAsia" w:ascii="宋体" w:hAnsi="宋体" w:cs="宋体"/>
              </w:rPr>
              <w:t>(1)技术部分</w:t>
            </w:r>
          </w:p>
          <w:p w14:paraId="3A773249">
            <w:pPr>
              <w:spacing w:line="360" w:lineRule="auto"/>
              <w:rPr>
                <w:rFonts w:ascii="宋体" w:hAnsi="宋体"/>
                <w:b/>
                <w:sz w:val="24"/>
              </w:rPr>
            </w:pPr>
          </w:p>
        </w:tc>
        <w:tc>
          <w:tcPr>
            <w:tcW w:w="1211" w:type="dxa"/>
            <w:vMerge w:val="restart"/>
            <w:noWrap w:val="0"/>
            <w:vAlign w:val="center"/>
          </w:tcPr>
          <w:p w14:paraId="7815B1A4">
            <w:pPr>
              <w:spacing w:line="360" w:lineRule="auto"/>
              <w:jc w:val="center"/>
            </w:pPr>
            <w:r>
              <w:rPr>
                <w:rFonts w:hint="eastAsia" w:ascii="宋体" w:hAnsi="宋体" w:cs="宋体"/>
              </w:rPr>
              <w:t>工程勘察组织方案(65分)</w:t>
            </w:r>
          </w:p>
        </w:tc>
        <w:tc>
          <w:tcPr>
            <w:tcW w:w="2786" w:type="dxa"/>
            <w:noWrap w:val="0"/>
            <w:vAlign w:val="top"/>
          </w:tcPr>
          <w:p w14:paraId="3A80B7FC">
            <w:pPr>
              <w:pStyle w:val="54"/>
              <w:spacing w:line="360" w:lineRule="auto"/>
              <w:rPr>
                <w:rFonts w:hint="eastAsia" w:hAnsi="宋体"/>
                <w:color w:val="auto"/>
                <w:kern w:val="2"/>
                <w:sz w:val="21"/>
                <w:szCs w:val="21"/>
              </w:rPr>
            </w:pPr>
          </w:p>
          <w:p w14:paraId="6A902828">
            <w:pPr>
              <w:pStyle w:val="54"/>
              <w:spacing w:line="360" w:lineRule="auto"/>
              <w:rPr>
                <w:rFonts w:hint="eastAsia" w:hAnsi="宋体"/>
                <w:color w:val="auto"/>
                <w:kern w:val="2"/>
                <w:sz w:val="21"/>
                <w:szCs w:val="21"/>
              </w:rPr>
            </w:pPr>
          </w:p>
          <w:p w14:paraId="6BAC986A">
            <w:pPr>
              <w:pStyle w:val="54"/>
              <w:spacing w:line="360" w:lineRule="auto"/>
              <w:rPr>
                <w:rFonts w:ascii="宋体" w:hAnsi="宋体"/>
                <w:b/>
                <w:sz w:val="24"/>
              </w:rPr>
            </w:pPr>
            <w:r>
              <w:rPr>
                <w:rFonts w:hint="eastAsia" w:hAnsi="宋体"/>
                <w:color w:val="auto"/>
                <w:kern w:val="2"/>
                <w:sz w:val="21"/>
                <w:szCs w:val="21"/>
              </w:rPr>
              <w:t>对采购项目的理解(0-8分)</w:t>
            </w:r>
          </w:p>
        </w:tc>
        <w:tc>
          <w:tcPr>
            <w:tcW w:w="4786" w:type="dxa"/>
            <w:noWrap w:val="0"/>
            <w:vAlign w:val="top"/>
          </w:tcPr>
          <w:p w14:paraId="1728B288">
            <w:pPr>
              <w:keepNext w:val="0"/>
              <w:keepLines w:val="0"/>
              <w:widowControl/>
              <w:suppressLineNumbers w:val="0"/>
              <w:jc w:val="left"/>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对项目建设条件、工程特点、场地环境、限制性因素、勘察重难点理解准确、全面、透彻，能精准识别场地风险、周边构筑物、地下管线、地质隐患、管控红线等关键约束，结合项目特点提出独到、可行、针对性强的勘察思路与优化建议得8分</w:t>
            </w:r>
          </w:p>
          <w:p w14:paraId="48FDCC73">
            <w:pPr>
              <w:keepNext w:val="0"/>
              <w:keepLines w:val="0"/>
              <w:widowControl/>
              <w:suppressLineNumbers w:val="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对项目建设条件和勘察需求理解较准确、较全面，主要工程特点、场地条件、勘察重点无偏差，仅次要细节梳理不够深入，无创新优化思路得6分，</w:t>
            </w:r>
          </w:p>
          <w:p w14:paraId="4F6F4767">
            <w:pPr>
              <w:pStyle w:val="54"/>
              <w:spacing w:line="360" w:lineRule="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掌握项目建设及勘察要求，内容无原则性错误，部分条件梳理不完整、分析较浅，仅能满足常规勘察工作基本需要得4分，</w:t>
            </w:r>
          </w:p>
          <w:p w14:paraId="0CBC0734">
            <w:pPr>
              <w:pStyle w:val="54"/>
              <w:spacing w:line="360" w:lineRule="auto"/>
              <w:rPr>
                <w:rFonts w:hint="eastAsia" w:hAnsi="宋体" w:eastAsia="宋体"/>
                <w:color w:val="auto"/>
                <w:kern w:val="2"/>
                <w:sz w:val="21"/>
                <w:szCs w:val="21"/>
                <w:lang w:eastAsia="zh-CN"/>
              </w:rPr>
            </w:pPr>
            <w:r>
              <w:rPr>
                <w:rFonts w:hint="eastAsia" w:hAnsi="宋体"/>
                <w:color w:val="auto"/>
                <w:kern w:val="2"/>
                <w:sz w:val="21"/>
                <w:szCs w:val="21"/>
              </w:rPr>
              <w:t>仅简单罗列项目概况，对场地条件、勘察重难点认知粗浅，内容套用模板，仅满足形式上的基本要求得</w:t>
            </w:r>
            <w:r>
              <w:rPr>
                <w:rFonts w:hint="eastAsia" w:hAnsi="宋体"/>
                <w:color w:val="auto"/>
                <w:kern w:val="2"/>
                <w:sz w:val="21"/>
                <w:szCs w:val="21"/>
                <w:lang w:val="en-US" w:eastAsia="zh-CN"/>
              </w:rPr>
              <w:t>1</w:t>
            </w:r>
            <w:r>
              <w:rPr>
                <w:rFonts w:hint="eastAsia" w:hAnsi="宋体"/>
                <w:color w:val="auto"/>
                <w:kern w:val="2"/>
                <w:sz w:val="21"/>
                <w:szCs w:val="21"/>
              </w:rPr>
              <w:t>分</w:t>
            </w:r>
            <w:r>
              <w:rPr>
                <w:rFonts w:hint="eastAsia" w:hAnsi="宋体"/>
                <w:color w:val="auto"/>
                <w:kern w:val="2"/>
                <w:sz w:val="21"/>
                <w:szCs w:val="21"/>
                <w:lang w:eastAsia="zh-CN"/>
              </w:rPr>
              <w:t>，</w:t>
            </w:r>
          </w:p>
          <w:p w14:paraId="0F4E64DF">
            <w:pPr>
              <w:pStyle w:val="54"/>
              <w:spacing w:line="360" w:lineRule="auto"/>
              <w:rPr>
                <w:rFonts w:ascii="宋体" w:hAnsi="宋体"/>
                <w:b/>
                <w:sz w:val="24"/>
              </w:rPr>
            </w:pPr>
            <w:r>
              <w:rPr>
                <w:rFonts w:hint="eastAsia" w:hAnsi="宋体"/>
                <w:color w:val="auto"/>
                <w:kern w:val="2"/>
                <w:sz w:val="21"/>
                <w:szCs w:val="21"/>
              </w:rPr>
              <w:t>缺项不得分。</w:t>
            </w:r>
          </w:p>
        </w:tc>
      </w:tr>
      <w:tr w14:paraId="7036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6" w:type="dxa"/>
            <w:gridSpan w:val="2"/>
            <w:vMerge w:val="continue"/>
            <w:noWrap w:val="0"/>
            <w:vAlign w:val="top"/>
          </w:tcPr>
          <w:p w14:paraId="35845CF6">
            <w:pPr>
              <w:spacing w:line="360" w:lineRule="auto"/>
              <w:rPr>
                <w:rFonts w:hint="eastAsia" w:ascii="宋体" w:hAnsi="宋体" w:eastAsia="宋体" w:cs="宋体"/>
                <w:color w:val="auto"/>
                <w:kern w:val="2"/>
                <w:sz w:val="21"/>
                <w:szCs w:val="21"/>
                <w:lang w:val="en-US" w:eastAsia="zh-CN" w:bidi="ar-SA"/>
              </w:rPr>
            </w:pPr>
          </w:p>
        </w:tc>
        <w:tc>
          <w:tcPr>
            <w:tcW w:w="1211" w:type="dxa"/>
            <w:vMerge w:val="continue"/>
            <w:noWrap w:val="0"/>
            <w:vAlign w:val="center"/>
          </w:tcPr>
          <w:p w14:paraId="2200BF90">
            <w:pPr>
              <w:spacing w:line="360" w:lineRule="auto"/>
              <w:jc w:val="center"/>
              <w:rPr>
                <w:rFonts w:hint="eastAsia" w:ascii="宋体" w:hAnsi="宋体" w:eastAsia="宋体" w:cs="宋体"/>
                <w:color w:val="auto"/>
                <w:kern w:val="2"/>
                <w:sz w:val="21"/>
                <w:szCs w:val="21"/>
                <w:lang w:val="en-US" w:eastAsia="zh-CN" w:bidi="ar-SA"/>
              </w:rPr>
            </w:pPr>
          </w:p>
        </w:tc>
        <w:tc>
          <w:tcPr>
            <w:tcW w:w="2786" w:type="dxa"/>
            <w:noWrap w:val="0"/>
            <w:vAlign w:val="center"/>
          </w:tcPr>
          <w:p w14:paraId="074B59C2">
            <w:pPr>
              <w:pStyle w:val="54"/>
              <w:spacing w:line="360" w:lineRule="auto"/>
              <w:jc w:val="center"/>
              <w:rPr>
                <w:rFonts w:hint="eastAsia" w:ascii="宋体" w:hAnsi="宋体" w:cs="宋体"/>
                <w:bCs/>
                <w:sz w:val="24"/>
              </w:rPr>
            </w:pPr>
            <w:r>
              <w:rPr>
                <w:rFonts w:hint="eastAsia" w:hAnsi="宋体"/>
                <w:color w:val="auto"/>
                <w:kern w:val="2"/>
                <w:sz w:val="21"/>
                <w:szCs w:val="21"/>
              </w:rPr>
              <w:t>总体思路(0-10分)</w:t>
            </w:r>
          </w:p>
        </w:tc>
        <w:tc>
          <w:tcPr>
            <w:tcW w:w="4786" w:type="dxa"/>
            <w:noWrap w:val="0"/>
            <w:vAlign w:val="top"/>
          </w:tcPr>
          <w:p w14:paraId="0F741EE7">
            <w:pPr>
              <w:pStyle w:val="54"/>
              <w:spacing w:line="360" w:lineRule="auto"/>
              <w:rPr>
                <w:rFonts w:hint="eastAsia" w:hAnsi="宋体"/>
                <w:color w:val="auto"/>
                <w:kern w:val="2"/>
                <w:sz w:val="21"/>
                <w:szCs w:val="21"/>
              </w:rPr>
            </w:pPr>
            <w:r>
              <w:rPr>
                <w:rFonts w:hint="eastAsia" w:hAnsi="宋体"/>
                <w:color w:val="auto"/>
                <w:kern w:val="2"/>
                <w:sz w:val="21"/>
                <w:szCs w:val="21"/>
              </w:rPr>
              <w:t>勘察总体思路与技术方案准确、全面、透彻，完全契合本工程建设规模、场地条件、勘察重难点及设计施工需求得</w:t>
            </w:r>
            <w:r>
              <w:rPr>
                <w:rFonts w:hint="eastAsia" w:hAnsi="宋体"/>
                <w:color w:val="auto"/>
                <w:kern w:val="2"/>
                <w:sz w:val="21"/>
                <w:szCs w:val="21"/>
                <w:lang w:val="en-US" w:eastAsia="zh-CN"/>
              </w:rPr>
              <w:t>10</w:t>
            </w:r>
            <w:r>
              <w:rPr>
                <w:rFonts w:hint="eastAsia" w:hAnsi="宋体"/>
                <w:color w:val="auto"/>
                <w:kern w:val="2"/>
                <w:sz w:val="21"/>
                <w:szCs w:val="21"/>
              </w:rPr>
              <w:t>分，</w:t>
            </w:r>
          </w:p>
          <w:p w14:paraId="74A80FDC">
            <w:pPr>
              <w:pStyle w:val="54"/>
              <w:spacing w:line="360" w:lineRule="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rPr>
              <w:t>勘</w:t>
            </w:r>
            <w:r>
              <w:rPr>
                <w:rFonts w:hint="eastAsia" w:ascii="宋体" w:hAnsi="宋体" w:eastAsia="宋体" w:cs="宋体"/>
                <w:color w:val="auto"/>
                <w:kern w:val="2"/>
                <w:sz w:val="21"/>
                <w:szCs w:val="21"/>
              </w:rPr>
              <w:t>察总体思路、技术路线较为准确、透彻，整体方案框架完整、逻辑清晰，核心工序、技术方法、工作流程符合规范及项目勘察要求，无原则性偏差和技术缺陷得</w:t>
            </w:r>
            <w:r>
              <w:rPr>
                <w:rFonts w:hint="eastAsia" w:ascii="宋体" w:hAnsi="宋体" w:eastAsia="宋体" w:cs="宋体"/>
                <w:color w:val="auto"/>
                <w:kern w:val="2"/>
                <w:sz w:val="21"/>
                <w:szCs w:val="21"/>
                <w:lang w:val="en-US" w:eastAsia="zh-CN"/>
              </w:rPr>
              <w:t>7</w:t>
            </w:r>
            <w:r>
              <w:rPr>
                <w:rFonts w:hint="eastAsia" w:ascii="宋体" w:hAnsi="宋体" w:eastAsia="宋体" w:cs="宋体"/>
                <w:color w:val="auto"/>
                <w:kern w:val="2"/>
                <w:sz w:val="21"/>
                <w:szCs w:val="21"/>
              </w:rPr>
              <w:t>分，</w:t>
            </w:r>
          </w:p>
          <w:p w14:paraId="6D224214">
            <w:pPr>
              <w:pStyle w:val="54"/>
              <w:spacing w:line="360" w:lineRule="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勘察总体方案与技术思路基本全面，核心工作内容、技术流程完整，无关键性缺项和错误，基本贴合项目勘察工作要求，能够支撑常规勘察作业开展。但方案通用性强、项目针对性不足，分析较为浅显，无细化优化思路得</w:t>
            </w:r>
            <w:r>
              <w:rPr>
                <w:rFonts w:hint="eastAsia" w:ascii="宋体" w:hAnsi="宋体" w:eastAsia="宋体" w:cs="宋体"/>
                <w:color w:val="auto"/>
                <w:kern w:val="2"/>
                <w:sz w:val="21"/>
                <w:szCs w:val="21"/>
                <w:lang w:val="en-US" w:eastAsia="zh-CN"/>
              </w:rPr>
              <w:t>4</w:t>
            </w:r>
            <w:r>
              <w:rPr>
                <w:rFonts w:hint="eastAsia" w:ascii="宋体" w:hAnsi="宋体" w:eastAsia="宋体" w:cs="宋体"/>
                <w:color w:val="auto"/>
                <w:kern w:val="2"/>
                <w:sz w:val="21"/>
                <w:szCs w:val="21"/>
              </w:rPr>
              <w:t>分，</w:t>
            </w:r>
          </w:p>
          <w:p w14:paraId="3B9BD63A">
            <w:pPr>
              <w:pStyle w:val="54"/>
              <w:spacing w:line="360" w:lineRule="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仅简单罗列通用勘察方案及技术流程，整体思路粗浅、内容模板化，未结合本项目工程特点、场地条件进行适配优化，仅形式上满足项目最低基本要求，实操指导性极差得</w:t>
            </w:r>
            <w:r>
              <w:rPr>
                <w:rFonts w:hint="eastAsia" w:ascii="宋体" w:hAnsi="宋体" w:eastAsia="宋体" w:cs="宋体"/>
                <w:color w:val="auto"/>
                <w:kern w:val="2"/>
                <w:sz w:val="21"/>
                <w:szCs w:val="21"/>
                <w:lang w:val="en-US" w:eastAsia="zh-CN"/>
              </w:rPr>
              <w:t>1</w:t>
            </w:r>
            <w:r>
              <w:rPr>
                <w:rFonts w:hint="eastAsia" w:ascii="宋体" w:hAnsi="宋体" w:eastAsia="宋体" w:cs="宋体"/>
                <w:color w:val="auto"/>
                <w:kern w:val="2"/>
                <w:sz w:val="21"/>
                <w:szCs w:val="21"/>
              </w:rPr>
              <w:t>分</w:t>
            </w:r>
          </w:p>
          <w:p w14:paraId="3FAB5ECC">
            <w:pPr>
              <w:pStyle w:val="54"/>
              <w:spacing w:line="360" w:lineRule="auto"/>
              <w:rPr>
                <w:rFonts w:hint="eastAsia" w:eastAsia="宋体"/>
                <w:lang w:val="zh-CN"/>
              </w:rPr>
            </w:pPr>
            <w:r>
              <w:rPr>
                <w:rFonts w:hint="eastAsia" w:ascii="宋体" w:hAnsi="宋体" w:eastAsia="宋体" w:cs="宋体"/>
                <w:color w:val="auto"/>
                <w:kern w:val="2"/>
                <w:sz w:val="21"/>
                <w:szCs w:val="21"/>
              </w:rPr>
              <w:t>缺项不得分。</w:t>
            </w:r>
          </w:p>
        </w:tc>
      </w:tr>
      <w:tr w14:paraId="498C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996" w:type="dxa"/>
            <w:gridSpan w:val="2"/>
            <w:vMerge w:val="continue"/>
            <w:noWrap w:val="0"/>
            <w:vAlign w:val="top"/>
          </w:tcPr>
          <w:p w14:paraId="40D57808">
            <w:pPr>
              <w:spacing w:line="360" w:lineRule="auto"/>
              <w:rPr>
                <w:rFonts w:ascii="宋体" w:hAnsi="宋体"/>
                <w:sz w:val="24"/>
              </w:rPr>
            </w:pPr>
          </w:p>
        </w:tc>
        <w:tc>
          <w:tcPr>
            <w:tcW w:w="1211" w:type="dxa"/>
            <w:vMerge w:val="continue"/>
            <w:noWrap w:val="0"/>
            <w:vAlign w:val="center"/>
          </w:tcPr>
          <w:p w14:paraId="106528F7">
            <w:pPr>
              <w:spacing w:line="360" w:lineRule="auto"/>
              <w:jc w:val="center"/>
              <w:rPr>
                <w:rFonts w:ascii="宋体" w:hAnsi="宋体"/>
                <w:sz w:val="24"/>
              </w:rPr>
            </w:pPr>
          </w:p>
        </w:tc>
        <w:tc>
          <w:tcPr>
            <w:tcW w:w="2786" w:type="dxa"/>
            <w:noWrap w:val="0"/>
            <w:vAlign w:val="center"/>
          </w:tcPr>
          <w:p w14:paraId="1F122170">
            <w:pPr>
              <w:pStyle w:val="54"/>
              <w:spacing w:line="360" w:lineRule="auto"/>
              <w:jc w:val="center"/>
              <w:rPr>
                <w:rFonts w:hint="eastAsia" w:ascii="宋体" w:hAnsi="宋体" w:cs="宋体"/>
                <w:bCs/>
                <w:sz w:val="24"/>
              </w:rPr>
            </w:pPr>
            <w:r>
              <w:rPr>
                <w:rFonts w:hint="eastAsia" w:hAnsi="宋体"/>
                <w:color w:val="auto"/>
                <w:kern w:val="2"/>
                <w:sz w:val="21"/>
                <w:szCs w:val="21"/>
              </w:rPr>
              <w:t>采购项目勘察的特点、关键技术问题的认识及其对策措施(0-8 分)</w:t>
            </w:r>
          </w:p>
        </w:tc>
        <w:tc>
          <w:tcPr>
            <w:tcW w:w="4786" w:type="dxa"/>
            <w:noWrap w:val="0"/>
            <w:vAlign w:val="top"/>
          </w:tcPr>
          <w:p w14:paraId="6BD3407D">
            <w:pPr>
              <w:keepNext w:val="0"/>
              <w:keepLines w:val="0"/>
              <w:widowControl/>
              <w:suppressLineNumbers w:val="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对本采购勘察项目的专属特点、行业属性、勘察重难点、核心关键技术问题理解准确、全面、透彻，精准识别项目勘察技术难点、风险点、特殊技术要求得8分</w:t>
            </w:r>
          </w:p>
          <w:p w14:paraId="2085DE4A">
            <w:pPr>
              <w:keepNext w:val="0"/>
              <w:keepLines w:val="0"/>
              <w:widowControl/>
              <w:suppressLineNumbers w:val="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对采购项目勘察特点及关键技术问题认知较准确、较透彻，能够准确梳理项目主要特点、核心技术问题，无认知偏差；配套的对策措施完整、合规，满足项目勘察实施要求，仅深度不足、无创新性优化思路得6分，</w:t>
            </w:r>
          </w:p>
          <w:p w14:paraId="55E4E339">
            <w:pPr>
              <w:keepNext w:val="0"/>
              <w:keepLines w:val="0"/>
              <w:widowControl/>
              <w:suppressLineNumbers w:val="0"/>
              <w:jc w:val="left"/>
              <w:rPr>
                <w:rFonts w:hint="default" w:hAnsi="宋体" w:eastAsia="宋体"/>
                <w:color w:val="auto"/>
                <w:kern w:val="2"/>
                <w:sz w:val="21"/>
                <w:szCs w:val="21"/>
                <w:lang w:val="en-US" w:eastAsia="zh-CN"/>
              </w:rPr>
            </w:pPr>
            <w:r>
              <w:rPr>
                <w:rFonts w:hint="eastAsia" w:ascii="宋体" w:hAnsi="宋体" w:eastAsia="宋体" w:cs="宋体"/>
                <w:color w:val="auto"/>
                <w:kern w:val="2"/>
                <w:sz w:val="21"/>
                <w:szCs w:val="21"/>
                <w:lang w:val="en-US" w:eastAsia="zh-CN" w:bidi="ar-SA"/>
              </w:rPr>
              <w:t>对项目勘察特点和关键技术问题认知基本全面，可梳理基础项目特点及常规技术问题，无原则性认知错误</w:t>
            </w:r>
            <w:r>
              <w:rPr>
                <w:rFonts w:hint="eastAsia" w:hAnsi="宋体"/>
                <w:color w:val="auto"/>
                <w:kern w:val="2"/>
                <w:sz w:val="21"/>
                <w:szCs w:val="21"/>
                <w:lang w:val="en-US" w:eastAsia="zh-CN"/>
              </w:rPr>
              <w:t>得3分，</w:t>
            </w:r>
          </w:p>
          <w:p w14:paraId="07DF1D86">
            <w:pPr>
              <w:pStyle w:val="54"/>
              <w:spacing w:line="360" w:lineRule="auto"/>
              <w:rPr>
                <w:rFonts w:hint="eastAsia" w:hAnsi="宋体" w:eastAsia="宋体"/>
                <w:color w:val="auto"/>
                <w:kern w:val="2"/>
                <w:sz w:val="21"/>
                <w:szCs w:val="21"/>
                <w:lang w:eastAsia="zh-CN"/>
              </w:rPr>
            </w:pPr>
            <w:r>
              <w:rPr>
                <w:rFonts w:hint="eastAsia" w:hAnsi="宋体"/>
                <w:color w:val="auto"/>
                <w:kern w:val="2"/>
                <w:sz w:val="21"/>
                <w:szCs w:val="21"/>
              </w:rPr>
              <w:t>仅简单罗列通用勘察特点及常规技术问题，内容模板化、脱离本采购项目实际，对项目专属关键技术问题认知粗浅，对策措施空洞，仅形式上满足最低填报要求，无实际指导作用得</w:t>
            </w:r>
            <w:r>
              <w:rPr>
                <w:rFonts w:hint="eastAsia" w:hAnsi="宋体"/>
                <w:color w:val="auto"/>
                <w:kern w:val="2"/>
                <w:sz w:val="21"/>
                <w:szCs w:val="21"/>
                <w:lang w:val="en-US" w:eastAsia="zh-CN"/>
              </w:rPr>
              <w:t>1</w:t>
            </w:r>
            <w:r>
              <w:rPr>
                <w:rFonts w:hint="eastAsia" w:hAnsi="宋体"/>
                <w:color w:val="auto"/>
                <w:kern w:val="2"/>
                <w:sz w:val="21"/>
                <w:szCs w:val="21"/>
              </w:rPr>
              <w:t>分</w:t>
            </w:r>
            <w:r>
              <w:rPr>
                <w:rFonts w:hint="eastAsia" w:hAnsi="宋体"/>
                <w:color w:val="auto"/>
                <w:kern w:val="2"/>
                <w:sz w:val="21"/>
                <w:szCs w:val="21"/>
                <w:lang w:eastAsia="zh-CN"/>
              </w:rPr>
              <w:t>，</w:t>
            </w:r>
          </w:p>
          <w:p w14:paraId="6019FA64">
            <w:pPr>
              <w:pStyle w:val="54"/>
              <w:spacing w:line="360" w:lineRule="auto"/>
              <w:rPr>
                <w:rFonts w:hint="eastAsia" w:ascii="宋体" w:hAnsi="宋体" w:cs="宋体"/>
                <w:bCs/>
                <w:sz w:val="24"/>
                <w:lang w:val="zh-CN"/>
              </w:rPr>
            </w:pPr>
            <w:r>
              <w:rPr>
                <w:rFonts w:hint="eastAsia" w:hAnsi="宋体"/>
                <w:color w:val="auto"/>
                <w:kern w:val="2"/>
                <w:sz w:val="21"/>
                <w:szCs w:val="21"/>
              </w:rPr>
              <w:t>缺项不得分。</w:t>
            </w:r>
          </w:p>
        </w:tc>
      </w:tr>
      <w:tr w14:paraId="2598A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996" w:type="dxa"/>
            <w:gridSpan w:val="2"/>
            <w:vMerge w:val="continue"/>
            <w:noWrap w:val="0"/>
            <w:vAlign w:val="top"/>
          </w:tcPr>
          <w:p w14:paraId="744F3FD8">
            <w:pPr>
              <w:spacing w:line="360" w:lineRule="auto"/>
              <w:rPr>
                <w:rFonts w:ascii="宋体" w:hAnsi="宋体"/>
                <w:sz w:val="24"/>
              </w:rPr>
            </w:pPr>
          </w:p>
        </w:tc>
        <w:tc>
          <w:tcPr>
            <w:tcW w:w="1211" w:type="dxa"/>
            <w:vMerge w:val="continue"/>
            <w:noWrap w:val="0"/>
            <w:vAlign w:val="center"/>
          </w:tcPr>
          <w:p w14:paraId="279F961F">
            <w:pPr>
              <w:spacing w:line="360" w:lineRule="auto"/>
              <w:jc w:val="center"/>
              <w:rPr>
                <w:rFonts w:ascii="宋体" w:hAnsi="宋体"/>
                <w:sz w:val="24"/>
              </w:rPr>
            </w:pPr>
          </w:p>
        </w:tc>
        <w:tc>
          <w:tcPr>
            <w:tcW w:w="2786" w:type="dxa"/>
            <w:noWrap w:val="0"/>
            <w:vAlign w:val="center"/>
          </w:tcPr>
          <w:p w14:paraId="34D4468E">
            <w:pPr>
              <w:pStyle w:val="54"/>
              <w:spacing w:line="360" w:lineRule="auto"/>
              <w:jc w:val="center"/>
              <w:rPr>
                <w:rFonts w:hint="eastAsia" w:ascii="宋体" w:hAnsi="宋体" w:eastAsia="宋体" w:cs="宋体"/>
                <w:color w:val="auto"/>
                <w:kern w:val="2"/>
                <w:sz w:val="21"/>
                <w:szCs w:val="21"/>
                <w:lang w:val="en-US" w:eastAsia="zh-CN" w:bidi="ar-SA"/>
              </w:rPr>
            </w:pPr>
            <w:r>
              <w:rPr>
                <w:rFonts w:hint="eastAsia" w:hAnsi="宋体"/>
                <w:color w:val="auto"/>
                <w:kern w:val="2"/>
                <w:sz w:val="21"/>
                <w:szCs w:val="21"/>
              </w:rPr>
              <w:t>勘察工作量及计划安排方案 (0-8分)</w:t>
            </w:r>
          </w:p>
        </w:tc>
        <w:tc>
          <w:tcPr>
            <w:tcW w:w="4786" w:type="dxa"/>
            <w:noWrap w:val="0"/>
            <w:vAlign w:val="top"/>
          </w:tcPr>
          <w:p w14:paraId="6D9E1E1B">
            <w:pPr>
              <w:pStyle w:val="54"/>
              <w:spacing w:line="360" w:lineRule="auto"/>
              <w:rPr>
                <w:rFonts w:hint="eastAsia" w:ascii="宋体" w:hAnsi="宋体" w:eastAsia="宋体" w:cs="宋体"/>
                <w:color w:val="auto"/>
                <w:kern w:val="2"/>
                <w:sz w:val="21"/>
                <w:szCs w:val="21"/>
                <w:lang w:val="en-US" w:eastAsia="zh-CN"/>
              </w:rPr>
            </w:pPr>
            <w:r>
              <w:rPr>
                <w:rFonts w:hint="eastAsia" w:hAnsi="宋体"/>
                <w:color w:val="auto"/>
                <w:kern w:val="2"/>
                <w:sz w:val="21"/>
                <w:szCs w:val="21"/>
              </w:rPr>
              <w:t>勘察工作量布设、分项作业内容、作业范围、勘探试验数量准确、全面、透彻，完全贴合本项目场地条件、工程规模、设计需求及规范要求，重难点区</w:t>
            </w:r>
            <w:r>
              <w:rPr>
                <w:rFonts w:hint="eastAsia" w:ascii="宋体" w:hAnsi="宋体" w:eastAsia="宋体" w:cs="宋体"/>
                <w:color w:val="auto"/>
                <w:kern w:val="2"/>
                <w:sz w:val="21"/>
                <w:szCs w:val="21"/>
                <w:lang w:val="en-US" w:eastAsia="zh-CN"/>
              </w:rPr>
              <w:t>域工作量优化合理得8分，</w:t>
            </w:r>
          </w:p>
          <w:p w14:paraId="366D6D02">
            <w:pPr>
              <w:pStyle w:val="54"/>
              <w:spacing w:line="360" w:lineRule="auto"/>
              <w:rPr>
                <w:rFonts w:hint="eastAsia"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勘察工作量布置、整体计划安排较准确、较透彻，主要勘探、测试、外业、内业工作量齐全无缺漏，工期节点、工序安排合理，符合项目勘察实施需求。仅细节排布不够精细、无优化统筹思路，整体方案稳妥常规得6分</w:t>
            </w:r>
          </w:p>
          <w:p w14:paraId="660E2A72">
            <w:pPr>
              <w:pStyle w:val="54"/>
              <w:spacing w:line="360" w:lineRule="auto"/>
              <w:rPr>
                <w:rFonts w:hint="default" w:hAnsi="宋体" w:eastAsia="宋体"/>
                <w:color w:val="auto"/>
                <w:kern w:val="2"/>
                <w:sz w:val="21"/>
                <w:szCs w:val="21"/>
                <w:lang w:val="en-US" w:eastAsia="zh-CN"/>
              </w:rPr>
            </w:pPr>
            <w:r>
              <w:rPr>
                <w:rFonts w:hint="eastAsia" w:hAnsi="宋体"/>
                <w:color w:val="auto"/>
                <w:kern w:val="2"/>
                <w:sz w:val="21"/>
                <w:szCs w:val="21"/>
                <w:lang w:val="en-US" w:eastAsia="zh-CN"/>
              </w:rPr>
              <w:t>勘察工作量及计划安排基本全面，核心工作内容、主要工期节点完整，无原则性错误和关键缺项，基本满足项目勘察实施基本要求。但内容通用性强、针对性不足，计划排布较为笼统、未结合项目特点细化得3分，</w:t>
            </w:r>
          </w:p>
          <w:p w14:paraId="730FB4C2">
            <w:pPr>
              <w:pStyle w:val="54"/>
              <w:spacing w:line="360" w:lineRule="auto"/>
              <w:rPr>
                <w:rFonts w:hint="eastAsia" w:hAnsi="宋体" w:eastAsia="宋体"/>
                <w:color w:val="auto"/>
                <w:kern w:val="2"/>
                <w:sz w:val="21"/>
                <w:szCs w:val="21"/>
                <w:lang w:eastAsia="zh-CN"/>
              </w:rPr>
            </w:pPr>
            <w:r>
              <w:rPr>
                <w:rFonts w:hint="eastAsia" w:hAnsi="宋体"/>
                <w:color w:val="auto"/>
                <w:kern w:val="2"/>
                <w:sz w:val="21"/>
                <w:szCs w:val="21"/>
              </w:rPr>
              <w:t>仅简单罗列通用勘察工作量及常规工期计划，内容模板化、脱离本项目实际，工作量排布粗糙、计划安排模糊，仅形式上满足项目最低填报要求，无实际现场指导作用得</w:t>
            </w:r>
            <w:r>
              <w:rPr>
                <w:rFonts w:hint="eastAsia" w:hAnsi="宋体"/>
                <w:color w:val="auto"/>
                <w:kern w:val="2"/>
                <w:sz w:val="21"/>
                <w:szCs w:val="21"/>
                <w:lang w:val="en-US" w:eastAsia="zh-CN"/>
              </w:rPr>
              <w:t>1</w:t>
            </w:r>
            <w:r>
              <w:rPr>
                <w:rFonts w:hint="eastAsia" w:hAnsi="宋体"/>
                <w:color w:val="auto"/>
                <w:kern w:val="2"/>
                <w:sz w:val="21"/>
                <w:szCs w:val="21"/>
              </w:rPr>
              <w:t>分</w:t>
            </w:r>
            <w:r>
              <w:rPr>
                <w:rFonts w:hint="eastAsia" w:hAnsi="宋体"/>
                <w:color w:val="auto"/>
                <w:kern w:val="2"/>
                <w:sz w:val="21"/>
                <w:szCs w:val="21"/>
                <w:lang w:eastAsia="zh-CN"/>
              </w:rPr>
              <w:t>，</w:t>
            </w:r>
          </w:p>
          <w:p w14:paraId="6DE98A2C">
            <w:pPr>
              <w:pStyle w:val="54"/>
              <w:spacing w:line="360" w:lineRule="auto"/>
              <w:rPr>
                <w:rFonts w:hint="eastAsia" w:ascii="宋体" w:hAnsi="宋体" w:eastAsia="宋体" w:cs="宋体"/>
                <w:color w:val="auto"/>
                <w:kern w:val="2"/>
                <w:sz w:val="21"/>
                <w:szCs w:val="21"/>
                <w:lang w:val="en-US" w:eastAsia="zh-CN" w:bidi="ar-SA"/>
              </w:rPr>
            </w:pPr>
            <w:r>
              <w:rPr>
                <w:rFonts w:hint="eastAsia" w:hAnsi="宋体"/>
                <w:color w:val="auto"/>
                <w:kern w:val="2"/>
                <w:sz w:val="21"/>
                <w:szCs w:val="21"/>
              </w:rPr>
              <w:t>缺项不得分。</w:t>
            </w:r>
          </w:p>
        </w:tc>
      </w:tr>
      <w:tr w14:paraId="2F525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jc w:val="center"/>
        </w:trPr>
        <w:tc>
          <w:tcPr>
            <w:tcW w:w="996" w:type="dxa"/>
            <w:gridSpan w:val="2"/>
            <w:vMerge w:val="continue"/>
            <w:noWrap w:val="0"/>
            <w:vAlign w:val="top"/>
          </w:tcPr>
          <w:p w14:paraId="2BDA3879">
            <w:pPr>
              <w:spacing w:line="360" w:lineRule="auto"/>
              <w:rPr>
                <w:rFonts w:ascii="宋体" w:hAnsi="宋体"/>
                <w:sz w:val="24"/>
              </w:rPr>
            </w:pPr>
          </w:p>
        </w:tc>
        <w:tc>
          <w:tcPr>
            <w:tcW w:w="1211" w:type="dxa"/>
            <w:vMerge w:val="continue"/>
            <w:noWrap w:val="0"/>
            <w:vAlign w:val="center"/>
          </w:tcPr>
          <w:p w14:paraId="712C3357">
            <w:pPr>
              <w:spacing w:line="360" w:lineRule="auto"/>
              <w:jc w:val="center"/>
              <w:rPr>
                <w:rFonts w:ascii="宋体" w:hAnsi="宋体"/>
                <w:sz w:val="24"/>
              </w:rPr>
            </w:pPr>
          </w:p>
        </w:tc>
        <w:tc>
          <w:tcPr>
            <w:tcW w:w="2786" w:type="dxa"/>
            <w:noWrap w:val="0"/>
            <w:vAlign w:val="center"/>
          </w:tcPr>
          <w:p w14:paraId="3C06AE81">
            <w:pPr>
              <w:pStyle w:val="54"/>
              <w:spacing w:line="360" w:lineRule="auto"/>
              <w:jc w:val="center"/>
              <w:rPr>
                <w:rFonts w:hint="eastAsia" w:ascii="宋体" w:hAnsi="宋体" w:eastAsia="宋体" w:cs="宋体"/>
                <w:color w:val="auto"/>
                <w:kern w:val="2"/>
                <w:sz w:val="21"/>
                <w:szCs w:val="21"/>
                <w:lang w:val="en-US" w:eastAsia="zh-CN" w:bidi="ar-SA"/>
              </w:rPr>
            </w:pPr>
            <w:r>
              <w:rPr>
                <w:rFonts w:hint="eastAsia" w:hAnsi="宋体"/>
                <w:color w:val="auto"/>
                <w:kern w:val="2"/>
                <w:sz w:val="21"/>
                <w:szCs w:val="21"/>
              </w:rPr>
              <w:t>勘察的质量保证措施(0-8 分)</w:t>
            </w:r>
          </w:p>
        </w:tc>
        <w:tc>
          <w:tcPr>
            <w:tcW w:w="4786" w:type="dxa"/>
            <w:noWrap w:val="0"/>
            <w:vAlign w:val="top"/>
          </w:tcPr>
          <w:p w14:paraId="773CB5F7">
            <w:pPr>
              <w:pStyle w:val="54"/>
              <w:spacing w:line="360" w:lineRule="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措施非常全面、科学、可行、切合实际</w:t>
            </w:r>
            <w:r>
              <w:rPr>
                <w:rFonts w:hint="eastAsia" w:ascii="宋体" w:hAnsi="宋体" w:eastAsia="宋体" w:cs="宋体"/>
                <w:color w:val="auto"/>
                <w:kern w:val="2"/>
                <w:sz w:val="21"/>
                <w:szCs w:val="21"/>
                <w:lang w:eastAsia="zh-CN"/>
              </w:rPr>
              <w:t>，</w:t>
            </w:r>
            <w:r>
              <w:rPr>
                <w:rFonts w:hint="eastAsia" w:ascii="宋体" w:hAnsi="宋体" w:eastAsia="宋体" w:cs="宋体"/>
                <w:color w:val="auto"/>
                <w:kern w:val="2"/>
                <w:sz w:val="21"/>
                <w:szCs w:val="21"/>
              </w:rPr>
              <w:t>贴合本项目场地特点、勘察难点及规范要求，针对性极强，能够有效规避勘察质量通病、把控成果精度，具备独到的质量管控思路和优化措施得</w:t>
            </w:r>
            <w:r>
              <w:rPr>
                <w:rFonts w:hint="eastAsia" w:ascii="宋体" w:hAnsi="宋体" w:eastAsia="宋体" w:cs="宋体"/>
                <w:color w:val="auto"/>
                <w:kern w:val="2"/>
                <w:sz w:val="21"/>
                <w:szCs w:val="21"/>
                <w:lang w:val="en-US" w:eastAsia="zh-CN"/>
              </w:rPr>
              <w:t>8</w:t>
            </w:r>
            <w:r>
              <w:rPr>
                <w:rFonts w:hint="eastAsia" w:ascii="宋体" w:hAnsi="宋体" w:eastAsia="宋体" w:cs="宋体"/>
                <w:color w:val="auto"/>
                <w:kern w:val="2"/>
                <w:sz w:val="21"/>
                <w:szCs w:val="21"/>
              </w:rPr>
              <w:t>分</w:t>
            </w:r>
          </w:p>
          <w:p w14:paraId="786782F2">
            <w:pPr>
              <w:pStyle w:val="54"/>
              <w:spacing w:line="360" w:lineRule="auto"/>
              <w:rPr>
                <w:rFonts w:hint="eastAsia" w:hAnsi="宋体"/>
                <w:color w:val="auto"/>
                <w:kern w:val="2"/>
                <w:sz w:val="21"/>
                <w:szCs w:val="21"/>
              </w:rPr>
            </w:pPr>
            <w:r>
              <w:rPr>
                <w:rFonts w:hint="eastAsia" w:hAnsi="宋体"/>
                <w:color w:val="auto"/>
                <w:kern w:val="2"/>
                <w:sz w:val="21"/>
                <w:szCs w:val="21"/>
              </w:rPr>
              <w:t>察质量保证措施较准确、较全面，核心质量管控环节齐全，符合现行勘察规范及质量标准，可有效保障勘察成果质量得</w:t>
            </w:r>
            <w:r>
              <w:rPr>
                <w:rFonts w:hint="eastAsia" w:hAnsi="宋体"/>
                <w:color w:val="auto"/>
                <w:kern w:val="2"/>
                <w:sz w:val="21"/>
                <w:szCs w:val="21"/>
                <w:lang w:val="en-US" w:eastAsia="zh-CN"/>
              </w:rPr>
              <w:t>6</w:t>
            </w:r>
            <w:r>
              <w:rPr>
                <w:rFonts w:hint="eastAsia" w:hAnsi="宋体"/>
                <w:color w:val="auto"/>
                <w:kern w:val="2"/>
                <w:sz w:val="21"/>
                <w:szCs w:val="21"/>
              </w:rPr>
              <w:t>分</w:t>
            </w:r>
          </w:p>
          <w:p w14:paraId="1F22B7C2">
            <w:pPr>
              <w:pStyle w:val="54"/>
              <w:spacing w:line="360" w:lineRule="auto"/>
              <w:rPr>
                <w:rFonts w:hint="eastAsia" w:hAnsi="宋体"/>
                <w:color w:val="auto"/>
                <w:kern w:val="2"/>
                <w:sz w:val="21"/>
                <w:szCs w:val="21"/>
              </w:rPr>
            </w:pPr>
            <w:r>
              <w:rPr>
                <w:rFonts w:hint="eastAsia" w:hAnsi="宋体"/>
                <w:color w:val="auto"/>
                <w:kern w:val="2"/>
                <w:sz w:val="21"/>
                <w:szCs w:val="21"/>
              </w:rPr>
              <w:t>质量保证措施基本全面，包含常规勘察质量管控内容，无原则性缺失，基本满足项目勘察质量管控基本要求得</w:t>
            </w:r>
            <w:r>
              <w:rPr>
                <w:rFonts w:hint="eastAsia" w:hAnsi="宋体"/>
                <w:color w:val="auto"/>
                <w:kern w:val="2"/>
                <w:sz w:val="21"/>
                <w:szCs w:val="21"/>
                <w:lang w:val="en-US" w:eastAsia="zh-CN"/>
              </w:rPr>
              <w:t>3</w:t>
            </w:r>
            <w:r>
              <w:rPr>
                <w:rFonts w:hint="eastAsia" w:hAnsi="宋体"/>
                <w:color w:val="auto"/>
                <w:kern w:val="2"/>
                <w:sz w:val="21"/>
                <w:szCs w:val="21"/>
              </w:rPr>
              <w:t>分，</w:t>
            </w:r>
          </w:p>
          <w:p w14:paraId="02B69715">
            <w:pPr>
              <w:pStyle w:val="54"/>
              <w:spacing w:line="360" w:lineRule="auto"/>
              <w:rPr>
                <w:rFonts w:hint="eastAsia" w:hAnsi="宋体"/>
                <w:color w:val="auto"/>
                <w:kern w:val="2"/>
                <w:sz w:val="21"/>
                <w:szCs w:val="21"/>
              </w:rPr>
            </w:pPr>
            <w:r>
              <w:rPr>
                <w:rFonts w:hint="eastAsia" w:hAnsi="宋体"/>
                <w:color w:val="auto"/>
                <w:kern w:val="2"/>
                <w:sz w:val="21"/>
                <w:szCs w:val="21"/>
              </w:rPr>
              <w:t>仅简单罗列通用质量管理制度和常规质控条款，内容模板化、脱离本项目勘察实际，管控措施空洞笼统，仅形式上满足最低填报要求，对现场质量管控无实际指导作用得</w:t>
            </w:r>
            <w:r>
              <w:rPr>
                <w:rFonts w:hint="eastAsia" w:hAnsi="宋体"/>
                <w:color w:val="auto"/>
                <w:kern w:val="2"/>
                <w:sz w:val="21"/>
                <w:szCs w:val="21"/>
                <w:lang w:val="en-US" w:eastAsia="zh-CN"/>
              </w:rPr>
              <w:t>1</w:t>
            </w:r>
            <w:r>
              <w:rPr>
                <w:rFonts w:hint="eastAsia" w:hAnsi="宋体"/>
                <w:color w:val="auto"/>
                <w:kern w:val="2"/>
                <w:sz w:val="21"/>
                <w:szCs w:val="21"/>
              </w:rPr>
              <w:t>分</w:t>
            </w:r>
          </w:p>
          <w:p w14:paraId="33C3EEF3">
            <w:pPr>
              <w:pStyle w:val="54"/>
              <w:spacing w:line="360" w:lineRule="auto"/>
              <w:rPr>
                <w:rFonts w:hint="eastAsia" w:eastAsia="宋体"/>
                <w:lang w:val="zh-CN"/>
              </w:rPr>
            </w:pPr>
            <w:r>
              <w:rPr>
                <w:rFonts w:hint="eastAsia" w:hAnsi="宋体"/>
                <w:color w:val="auto"/>
                <w:kern w:val="2"/>
                <w:sz w:val="21"/>
                <w:szCs w:val="21"/>
              </w:rPr>
              <w:t>缺项不得分。</w:t>
            </w:r>
          </w:p>
        </w:tc>
      </w:tr>
      <w:tr w14:paraId="6762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996" w:type="dxa"/>
            <w:gridSpan w:val="2"/>
            <w:vMerge w:val="continue"/>
            <w:noWrap w:val="0"/>
            <w:vAlign w:val="top"/>
          </w:tcPr>
          <w:p w14:paraId="1A66EB3F">
            <w:pPr>
              <w:spacing w:line="360" w:lineRule="auto"/>
              <w:rPr>
                <w:rFonts w:ascii="宋体" w:hAnsi="宋体"/>
                <w:sz w:val="24"/>
              </w:rPr>
            </w:pPr>
          </w:p>
        </w:tc>
        <w:tc>
          <w:tcPr>
            <w:tcW w:w="1211" w:type="dxa"/>
            <w:vMerge w:val="continue"/>
            <w:noWrap w:val="0"/>
            <w:vAlign w:val="center"/>
          </w:tcPr>
          <w:p w14:paraId="2EAD2165">
            <w:pPr>
              <w:spacing w:line="360" w:lineRule="auto"/>
              <w:jc w:val="center"/>
              <w:rPr>
                <w:rFonts w:ascii="宋体" w:hAnsi="宋体"/>
                <w:sz w:val="24"/>
              </w:rPr>
            </w:pPr>
          </w:p>
        </w:tc>
        <w:tc>
          <w:tcPr>
            <w:tcW w:w="2786" w:type="dxa"/>
            <w:noWrap w:val="0"/>
            <w:vAlign w:val="center"/>
          </w:tcPr>
          <w:p w14:paraId="107BBC0B">
            <w:pPr>
              <w:pStyle w:val="54"/>
              <w:spacing w:line="360" w:lineRule="auto"/>
              <w:jc w:val="center"/>
              <w:rPr>
                <w:rFonts w:hint="eastAsia" w:ascii="宋体" w:hAnsi="宋体" w:eastAsia="宋体" w:cs="宋体"/>
                <w:color w:val="auto"/>
                <w:kern w:val="2"/>
                <w:sz w:val="21"/>
                <w:szCs w:val="21"/>
                <w:lang w:val="en-US" w:eastAsia="zh-CN" w:bidi="ar-SA"/>
              </w:rPr>
            </w:pPr>
            <w:r>
              <w:rPr>
                <w:rFonts w:hint="eastAsia" w:hAnsi="宋体"/>
                <w:color w:val="auto"/>
                <w:kern w:val="2"/>
                <w:sz w:val="21"/>
                <w:szCs w:val="21"/>
              </w:rPr>
              <w:t>勘察的进度及安全保证措施(0-8分)</w:t>
            </w:r>
          </w:p>
        </w:tc>
        <w:tc>
          <w:tcPr>
            <w:tcW w:w="4786" w:type="dxa"/>
            <w:noWrap w:val="0"/>
            <w:vAlign w:val="top"/>
          </w:tcPr>
          <w:p w14:paraId="28FCA947">
            <w:pPr>
              <w:pStyle w:val="54"/>
              <w:spacing w:line="360" w:lineRule="auto"/>
              <w:rPr>
                <w:rFonts w:hint="eastAsia" w:hAnsi="宋体"/>
                <w:color w:val="auto"/>
                <w:kern w:val="2"/>
                <w:sz w:val="21"/>
                <w:szCs w:val="21"/>
              </w:rPr>
            </w:pPr>
            <w:r>
              <w:rPr>
                <w:rFonts w:hint="eastAsia" w:hAnsi="宋体"/>
                <w:color w:val="auto"/>
                <w:kern w:val="2"/>
                <w:sz w:val="21"/>
                <w:szCs w:val="21"/>
              </w:rPr>
              <w:t>对本项目勘察进度管控、安全风险要点理解准确、全面、透彻。进度计划科学统筹、工序划分合理、节点清晰明确得</w:t>
            </w:r>
            <w:r>
              <w:rPr>
                <w:rFonts w:hint="eastAsia" w:hAnsi="宋体"/>
                <w:color w:val="auto"/>
                <w:kern w:val="2"/>
                <w:sz w:val="21"/>
                <w:szCs w:val="21"/>
                <w:lang w:val="en-US" w:eastAsia="zh-CN"/>
              </w:rPr>
              <w:t>8</w:t>
            </w:r>
            <w:r>
              <w:rPr>
                <w:rFonts w:hint="eastAsia" w:hAnsi="宋体"/>
                <w:color w:val="auto"/>
                <w:kern w:val="2"/>
                <w:sz w:val="21"/>
                <w:szCs w:val="21"/>
              </w:rPr>
              <w:t>分，</w:t>
            </w:r>
          </w:p>
          <w:p w14:paraId="2005E2AA">
            <w:pPr>
              <w:pStyle w:val="54"/>
              <w:spacing w:line="360" w:lineRule="auto"/>
              <w:rPr>
                <w:rFonts w:hint="eastAsia" w:hAnsi="宋体"/>
                <w:color w:val="auto"/>
                <w:kern w:val="2"/>
                <w:sz w:val="21"/>
                <w:szCs w:val="21"/>
              </w:rPr>
            </w:pPr>
            <w:r>
              <w:rPr>
                <w:rFonts w:hint="eastAsia" w:hAnsi="宋体"/>
                <w:color w:val="auto"/>
                <w:kern w:val="2"/>
                <w:sz w:val="21"/>
                <w:szCs w:val="21"/>
              </w:rPr>
              <w:t>进度安排、安全文明施工及环保措施较准确、较全面，主要进度节点、保障措施、安全管控内容齐全合规，无重大安全漏洞和进度缺陷，可保障项目按期、安全完成勘察工作得</w:t>
            </w:r>
            <w:r>
              <w:rPr>
                <w:rFonts w:hint="eastAsia" w:hAnsi="宋体"/>
                <w:color w:val="auto"/>
                <w:kern w:val="2"/>
                <w:sz w:val="21"/>
                <w:szCs w:val="21"/>
                <w:lang w:val="en-US" w:eastAsia="zh-CN"/>
              </w:rPr>
              <w:t>6</w:t>
            </w:r>
            <w:r>
              <w:rPr>
                <w:rFonts w:hint="eastAsia" w:hAnsi="宋体"/>
                <w:color w:val="auto"/>
                <w:kern w:val="2"/>
                <w:sz w:val="21"/>
                <w:szCs w:val="21"/>
              </w:rPr>
              <w:t>分</w:t>
            </w:r>
          </w:p>
          <w:p w14:paraId="23E93553">
            <w:pPr>
              <w:pStyle w:val="54"/>
              <w:spacing w:line="360" w:lineRule="auto"/>
              <w:rPr>
                <w:rFonts w:hint="eastAsia" w:hAnsi="宋体"/>
                <w:color w:val="auto"/>
                <w:kern w:val="2"/>
                <w:sz w:val="21"/>
                <w:szCs w:val="21"/>
              </w:rPr>
            </w:pPr>
            <w:r>
              <w:rPr>
                <w:rFonts w:hint="eastAsia" w:hAnsi="宋体"/>
                <w:color w:val="auto"/>
                <w:kern w:val="2"/>
                <w:sz w:val="21"/>
                <w:szCs w:val="21"/>
              </w:rPr>
              <w:t>进度及安全保证措施基本全面，涵盖常规进度保障、安全生产、文明施工基础内容，无原则性错误和关键缺项，基本满足项目勘察进度与安全管理基本要求得</w:t>
            </w:r>
            <w:r>
              <w:rPr>
                <w:rFonts w:hint="eastAsia" w:hAnsi="宋体"/>
                <w:color w:val="auto"/>
                <w:kern w:val="2"/>
                <w:sz w:val="21"/>
                <w:szCs w:val="21"/>
                <w:lang w:val="en-US" w:eastAsia="zh-CN"/>
              </w:rPr>
              <w:t>3</w:t>
            </w:r>
            <w:r>
              <w:rPr>
                <w:rFonts w:hint="eastAsia" w:hAnsi="宋体"/>
                <w:color w:val="auto"/>
                <w:kern w:val="2"/>
                <w:sz w:val="21"/>
                <w:szCs w:val="21"/>
              </w:rPr>
              <w:t>分，</w:t>
            </w:r>
          </w:p>
          <w:p w14:paraId="557F5334">
            <w:pPr>
              <w:pStyle w:val="54"/>
              <w:spacing w:line="360" w:lineRule="auto"/>
              <w:rPr>
                <w:rFonts w:hint="eastAsia" w:hAnsi="宋体"/>
                <w:color w:val="auto"/>
                <w:kern w:val="2"/>
                <w:sz w:val="21"/>
                <w:szCs w:val="21"/>
              </w:rPr>
            </w:pPr>
            <w:r>
              <w:rPr>
                <w:rFonts w:hint="eastAsia" w:hAnsi="宋体"/>
                <w:color w:val="auto"/>
                <w:kern w:val="2"/>
                <w:sz w:val="21"/>
                <w:szCs w:val="21"/>
              </w:rPr>
              <w:t>仅简单罗列通用进度制度、常规安全条文，内容空洞模板化，完全脱离本项目现场实际工况，进度管控模糊、安全措施流于形式，仅形式上满足最低填报要求，无现场实操指导意义得</w:t>
            </w:r>
            <w:r>
              <w:rPr>
                <w:rFonts w:hint="eastAsia" w:hAnsi="宋体"/>
                <w:color w:val="auto"/>
                <w:kern w:val="2"/>
                <w:sz w:val="21"/>
                <w:szCs w:val="21"/>
                <w:lang w:val="en-US" w:eastAsia="zh-CN"/>
              </w:rPr>
              <w:t>1</w:t>
            </w:r>
            <w:r>
              <w:rPr>
                <w:rFonts w:hint="eastAsia" w:hAnsi="宋体"/>
                <w:color w:val="auto"/>
                <w:kern w:val="2"/>
                <w:sz w:val="21"/>
                <w:szCs w:val="21"/>
              </w:rPr>
              <w:t>分</w:t>
            </w:r>
          </w:p>
          <w:p w14:paraId="13CAAD83">
            <w:pPr>
              <w:pStyle w:val="54"/>
              <w:spacing w:line="360" w:lineRule="auto"/>
              <w:rPr>
                <w:rFonts w:hint="eastAsia" w:eastAsia="宋体"/>
                <w:lang w:val="zh-CN"/>
              </w:rPr>
            </w:pPr>
            <w:r>
              <w:rPr>
                <w:rFonts w:hint="eastAsia" w:hAnsi="宋体"/>
                <w:color w:val="auto"/>
                <w:kern w:val="2"/>
                <w:sz w:val="21"/>
                <w:szCs w:val="21"/>
              </w:rPr>
              <w:t>缺项不得分。</w:t>
            </w:r>
          </w:p>
        </w:tc>
      </w:tr>
      <w:tr w14:paraId="3F47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996" w:type="dxa"/>
            <w:gridSpan w:val="2"/>
            <w:vMerge w:val="continue"/>
            <w:noWrap w:val="0"/>
            <w:vAlign w:val="top"/>
          </w:tcPr>
          <w:p w14:paraId="60DAC20F">
            <w:pPr>
              <w:spacing w:line="360" w:lineRule="auto"/>
              <w:rPr>
                <w:rFonts w:ascii="宋体" w:hAnsi="宋体"/>
                <w:sz w:val="24"/>
              </w:rPr>
            </w:pPr>
          </w:p>
        </w:tc>
        <w:tc>
          <w:tcPr>
            <w:tcW w:w="1211" w:type="dxa"/>
            <w:vMerge w:val="continue"/>
            <w:noWrap w:val="0"/>
            <w:vAlign w:val="center"/>
          </w:tcPr>
          <w:p w14:paraId="059B9D95">
            <w:pPr>
              <w:spacing w:line="360" w:lineRule="auto"/>
              <w:jc w:val="center"/>
              <w:rPr>
                <w:rFonts w:ascii="宋体" w:hAnsi="宋体"/>
                <w:sz w:val="24"/>
              </w:rPr>
            </w:pPr>
          </w:p>
        </w:tc>
        <w:tc>
          <w:tcPr>
            <w:tcW w:w="2786" w:type="dxa"/>
            <w:noWrap w:val="0"/>
            <w:vAlign w:val="center"/>
          </w:tcPr>
          <w:p w14:paraId="1EF85510">
            <w:pPr>
              <w:pStyle w:val="54"/>
              <w:spacing w:line="360" w:lineRule="auto"/>
              <w:jc w:val="center"/>
              <w:rPr>
                <w:rFonts w:hint="eastAsia" w:ascii="宋体" w:hAnsi="宋体" w:eastAsia="宋体" w:cs="宋体"/>
                <w:color w:val="auto"/>
                <w:kern w:val="2"/>
                <w:sz w:val="21"/>
                <w:szCs w:val="21"/>
                <w:lang w:val="zh-CN" w:eastAsia="zh-CN" w:bidi="ar-SA"/>
              </w:rPr>
            </w:pPr>
            <w:r>
              <w:rPr>
                <w:rFonts w:hint="eastAsia" w:hAnsi="宋体"/>
                <w:color w:val="auto"/>
                <w:kern w:val="2"/>
                <w:sz w:val="21"/>
                <w:szCs w:val="21"/>
              </w:rPr>
              <w:t>后续服务的安排及保证措施(0-8分)</w:t>
            </w:r>
          </w:p>
        </w:tc>
        <w:tc>
          <w:tcPr>
            <w:tcW w:w="4786" w:type="dxa"/>
            <w:noWrap w:val="0"/>
            <w:vAlign w:val="top"/>
          </w:tcPr>
          <w:p w14:paraId="1F79DA52">
            <w:pPr>
              <w:keepNext w:val="0"/>
              <w:keepLines w:val="0"/>
              <w:widowControl/>
              <w:suppressLineNumbers w:val="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对本项目后续服务需求、全周期服务重点理解准确、全面、透彻，服务安排体系完整、层级清晰，明确各阶段服务内容、人员安排、响应时效及保障机制得8分</w:t>
            </w:r>
          </w:p>
          <w:p w14:paraId="2D6C8713">
            <w:pPr>
              <w:pStyle w:val="54"/>
              <w:spacing w:line="360" w:lineRule="auto"/>
              <w:rPr>
                <w:rFonts w:hint="eastAsia" w:hAnsi="宋体"/>
                <w:color w:val="auto"/>
                <w:kern w:val="2"/>
                <w:sz w:val="21"/>
                <w:szCs w:val="21"/>
              </w:rPr>
            </w:pPr>
            <w:r>
              <w:rPr>
                <w:rFonts w:hint="eastAsia" w:hAnsi="宋体"/>
                <w:color w:val="auto"/>
                <w:kern w:val="2"/>
                <w:sz w:val="21"/>
                <w:szCs w:val="21"/>
              </w:rPr>
              <w:t>后续服务安排及保证措施较准确、较全面，涵盖成果交付、技术交底、施工配合、技术答疑、成果完善等核心服务内容，服务流程规范、保障机制齐全，满足项目全过程服务要求，仅服务细节未细化、无项目专属优化措施得</w:t>
            </w:r>
            <w:r>
              <w:rPr>
                <w:rFonts w:hint="eastAsia" w:hAnsi="宋体"/>
                <w:color w:val="auto"/>
                <w:kern w:val="2"/>
                <w:sz w:val="21"/>
                <w:szCs w:val="21"/>
                <w:lang w:val="en-US" w:eastAsia="zh-CN"/>
              </w:rPr>
              <w:t>6</w:t>
            </w:r>
            <w:r>
              <w:rPr>
                <w:rFonts w:hint="eastAsia" w:hAnsi="宋体"/>
                <w:color w:val="auto"/>
                <w:kern w:val="2"/>
                <w:sz w:val="21"/>
                <w:szCs w:val="21"/>
              </w:rPr>
              <w:t>分</w:t>
            </w:r>
          </w:p>
          <w:p w14:paraId="3646D987">
            <w:pPr>
              <w:pStyle w:val="54"/>
              <w:spacing w:line="360" w:lineRule="auto"/>
              <w:rPr>
                <w:rFonts w:hint="eastAsia" w:hAnsi="宋体"/>
                <w:color w:val="auto"/>
                <w:kern w:val="2"/>
                <w:sz w:val="21"/>
                <w:szCs w:val="21"/>
              </w:rPr>
            </w:pPr>
            <w:r>
              <w:rPr>
                <w:rFonts w:hint="eastAsia" w:hAnsi="宋体"/>
                <w:color w:val="auto"/>
                <w:kern w:val="2"/>
                <w:sz w:val="21"/>
                <w:szCs w:val="21"/>
              </w:rPr>
              <w:t>后续服务安排基本全面，具备常规勘察后续服务及基础保障内容，无原则性缺项，基本满足项目后续服务最低工作要求</w:t>
            </w:r>
            <w:r>
              <w:rPr>
                <w:rFonts w:hint="eastAsia" w:hAnsi="宋体"/>
                <w:color w:val="auto"/>
                <w:kern w:val="2"/>
                <w:sz w:val="21"/>
                <w:szCs w:val="21"/>
                <w:lang w:val="en-US" w:eastAsia="zh-CN"/>
              </w:rPr>
              <w:t>得3</w:t>
            </w:r>
            <w:r>
              <w:rPr>
                <w:rFonts w:hint="eastAsia" w:hAnsi="宋体"/>
                <w:color w:val="auto"/>
                <w:kern w:val="2"/>
                <w:sz w:val="21"/>
                <w:szCs w:val="21"/>
              </w:rPr>
              <w:t>分，</w:t>
            </w:r>
          </w:p>
          <w:p w14:paraId="636B7FD6">
            <w:pPr>
              <w:pStyle w:val="54"/>
              <w:spacing w:line="360" w:lineRule="auto"/>
              <w:rPr>
                <w:rFonts w:hint="eastAsia" w:hAnsi="宋体"/>
                <w:color w:val="auto"/>
                <w:kern w:val="2"/>
                <w:sz w:val="21"/>
                <w:szCs w:val="21"/>
              </w:rPr>
            </w:pPr>
            <w:r>
              <w:rPr>
                <w:rFonts w:hint="eastAsia" w:hAnsi="宋体"/>
                <w:color w:val="auto"/>
                <w:kern w:val="2"/>
                <w:sz w:val="21"/>
                <w:szCs w:val="21"/>
              </w:rPr>
              <w:t>仅简单罗列通用后续服务条文，内容空洞模板化，脱离本项目实际建设需求，服务安排模糊、保障措施流于形式，仅形式上满足最低</w:t>
            </w:r>
            <w:r>
              <w:rPr>
                <w:rFonts w:hint="eastAsia" w:hAnsi="宋体"/>
                <w:color w:val="auto"/>
                <w:kern w:val="2"/>
                <w:sz w:val="21"/>
                <w:szCs w:val="21"/>
                <w:lang w:val="en-US" w:eastAsia="zh-CN"/>
              </w:rPr>
              <w:t>要求</w:t>
            </w:r>
            <w:r>
              <w:rPr>
                <w:rFonts w:hint="eastAsia" w:hAnsi="宋体"/>
                <w:color w:val="auto"/>
                <w:kern w:val="2"/>
                <w:sz w:val="21"/>
                <w:szCs w:val="21"/>
              </w:rPr>
              <w:t>得</w:t>
            </w:r>
            <w:r>
              <w:rPr>
                <w:rFonts w:hint="eastAsia" w:hAnsi="宋体"/>
                <w:color w:val="auto"/>
                <w:kern w:val="2"/>
                <w:sz w:val="21"/>
                <w:szCs w:val="21"/>
                <w:lang w:val="en-US" w:eastAsia="zh-CN"/>
              </w:rPr>
              <w:t>1</w:t>
            </w:r>
            <w:r>
              <w:rPr>
                <w:rFonts w:hint="eastAsia" w:hAnsi="宋体"/>
                <w:color w:val="auto"/>
                <w:kern w:val="2"/>
                <w:sz w:val="21"/>
                <w:szCs w:val="21"/>
              </w:rPr>
              <w:t>分</w:t>
            </w:r>
          </w:p>
          <w:p w14:paraId="3544D0C5">
            <w:pPr>
              <w:pStyle w:val="54"/>
              <w:spacing w:line="360" w:lineRule="auto"/>
              <w:rPr>
                <w:rFonts w:hint="eastAsia" w:eastAsia="宋体"/>
                <w:lang w:val="zh-CN"/>
              </w:rPr>
            </w:pPr>
            <w:r>
              <w:rPr>
                <w:rFonts w:hint="eastAsia" w:hAnsi="宋体"/>
                <w:color w:val="auto"/>
                <w:kern w:val="2"/>
                <w:sz w:val="21"/>
                <w:szCs w:val="21"/>
              </w:rPr>
              <w:t>缺项不得分。</w:t>
            </w:r>
          </w:p>
        </w:tc>
      </w:tr>
      <w:tr w14:paraId="5E924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6" w:type="dxa"/>
            <w:gridSpan w:val="2"/>
            <w:vMerge w:val="continue"/>
            <w:noWrap w:val="0"/>
            <w:vAlign w:val="top"/>
          </w:tcPr>
          <w:p w14:paraId="380B2037">
            <w:pPr>
              <w:spacing w:line="360" w:lineRule="auto"/>
              <w:rPr>
                <w:rFonts w:ascii="宋体" w:hAnsi="宋体"/>
                <w:sz w:val="24"/>
              </w:rPr>
            </w:pPr>
          </w:p>
        </w:tc>
        <w:tc>
          <w:tcPr>
            <w:tcW w:w="1211" w:type="dxa"/>
            <w:vMerge w:val="continue"/>
            <w:noWrap w:val="0"/>
            <w:vAlign w:val="center"/>
          </w:tcPr>
          <w:p w14:paraId="3D94B352">
            <w:pPr>
              <w:spacing w:line="360" w:lineRule="auto"/>
              <w:jc w:val="center"/>
              <w:rPr>
                <w:rFonts w:ascii="宋体" w:hAnsi="宋体"/>
                <w:sz w:val="24"/>
              </w:rPr>
            </w:pPr>
          </w:p>
        </w:tc>
        <w:tc>
          <w:tcPr>
            <w:tcW w:w="2786" w:type="dxa"/>
            <w:noWrap w:val="0"/>
            <w:vAlign w:val="center"/>
          </w:tcPr>
          <w:p w14:paraId="0A91C2D1">
            <w:pPr>
              <w:pStyle w:val="54"/>
              <w:spacing w:line="360" w:lineRule="auto"/>
              <w:jc w:val="center"/>
              <w:rPr>
                <w:rFonts w:hint="eastAsia" w:ascii="宋体" w:hAnsi="宋体" w:eastAsia="宋体" w:cs="宋体"/>
                <w:color w:val="auto"/>
                <w:kern w:val="2"/>
                <w:sz w:val="21"/>
                <w:szCs w:val="21"/>
                <w:lang w:val="en-US" w:eastAsia="zh-CN" w:bidi="ar-SA"/>
              </w:rPr>
            </w:pPr>
            <w:r>
              <w:rPr>
                <w:rFonts w:hint="eastAsia" w:hAnsi="宋体"/>
                <w:color w:val="auto"/>
                <w:kern w:val="2"/>
                <w:sz w:val="21"/>
                <w:szCs w:val="21"/>
              </w:rPr>
              <w:t>合理化建议(0-7分)</w:t>
            </w:r>
          </w:p>
        </w:tc>
        <w:tc>
          <w:tcPr>
            <w:tcW w:w="4786" w:type="dxa"/>
            <w:noWrap w:val="0"/>
            <w:vAlign w:val="top"/>
          </w:tcPr>
          <w:p w14:paraId="47E7B02E">
            <w:pPr>
              <w:pStyle w:val="54"/>
              <w:spacing w:line="360" w:lineRule="auto"/>
              <w:rPr>
                <w:rFonts w:hint="eastAsia" w:hAnsi="宋体"/>
                <w:color w:val="auto"/>
                <w:kern w:val="2"/>
                <w:sz w:val="21"/>
                <w:szCs w:val="21"/>
              </w:rPr>
            </w:pPr>
            <w:r>
              <w:rPr>
                <w:rFonts w:hint="eastAsia" w:hAnsi="宋体"/>
                <w:color w:val="auto"/>
                <w:kern w:val="2"/>
                <w:sz w:val="21"/>
                <w:szCs w:val="21"/>
              </w:rPr>
              <w:t>结合本项目勘察特点、场地条件、建设难点，提出的合理化建议准确、全面、透彻，贴合项目实际需求，针对性极强得</w:t>
            </w:r>
            <w:r>
              <w:rPr>
                <w:rFonts w:hint="eastAsia" w:hAnsi="宋体"/>
                <w:color w:val="auto"/>
                <w:kern w:val="2"/>
                <w:sz w:val="21"/>
                <w:szCs w:val="21"/>
                <w:lang w:val="en-US" w:eastAsia="zh-CN"/>
              </w:rPr>
              <w:t>7</w:t>
            </w:r>
            <w:r>
              <w:rPr>
                <w:rFonts w:hint="eastAsia" w:hAnsi="宋体"/>
                <w:color w:val="auto"/>
                <w:kern w:val="2"/>
                <w:sz w:val="21"/>
                <w:szCs w:val="21"/>
              </w:rPr>
              <w:t>分，</w:t>
            </w:r>
          </w:p>
          <w:p w14:paraId="1C38E188">
            <w:pPr>
              <w:pStyle w:val="54"/>
              <w:spacing w:line="360" w:lineRule="auto"/>
              <w:rPr>
                <w:rFonts w:hint="eastAsia" w:hAnsi="宋体"/>
                <w:color w:val="auto"/>
                <w:kern w:val="2"/>
                <w:sz w:val="21"/>
                <w:szCs w:val="21"/>
              </w:rPr>
            </w:pPr>
            <w:r>
              <w:rPr>
                <w:rFonts w:hint="eastAsia" w:hAnsi="宋体"/>
                <w:color w:val="auto"/>
                <w:kern w:val="2"/>
                <w:sz w:val="21"/>
                <w:szCs w:val="21"/>
              </w:rPr>
              <w:t>提出的合理化建议较准确、较全面，贴合本项目工程特点，建议内容合规、可行，无空泛套话，能够对项目勘察及建设工作起到积极辅助作用，仅深度和创新性不足、无突破性优化思路得</w:t>
            </w:r>
            <w:r>
              <w:rPr>
                <w:rFonts w:hint="eastAsia" w:hAnsi="宋体"/>
                <w:color w:val="auto"/>
                <w:kern w:val="2"/>
                <w:sz w:val="21"/>
                <w:szCs w:val="21"/>
                <w:lang w:val="en-US" w:eastAsia="zh-CN"/>
              </w:rPr>
              <w:t>5</w:t>
            </w:r>
            <w:r>
              <w:rPr>
                <w:rFonts w:hint="eastAsia" w:hAnsi="宋体"/>
                <w:color w:val="auto"/>
                <w:kern w:val="2"/>
                <w:sz w:val="21"/>
                <w:szCs w:val="21"/>
              </w:rPr>
              <w:t>分</w:t>
            </w:r>
          </w:p>
          <w:p w14:paraId="0FE0DA04">
            <w:pPr>
              <w:pStyle w:val="54"/>
              <w:spacing w:line="360" w:lineRule="auto"/>
              <w:rPr>
                <w:rFonts w:hint="eastAsia" w:hAnsi="宋体"/>
                <w:color w:val="auto"/>
                <w:kern w:val="2"/>
                <w:sz w:val="21"/>
                <w:szCs w:val="21"/>
              </w:rPr>
            </w:pPr>
            <w:r>
              <w:rPr>
                <w:rFonts w:hint="eastAsia" w:hAnsi="宋体"/>
                <w:color w:val="auto"/>
                <w:kern w:val="2"/>
                <w:sz w:val="21"/>
                <w:szCs w:val="21"/>
              </w:rPr>
              <w:t>能够提出基础合理化建议，内容基本全面，无原则性错误，基本满足项目评审基本要求。但建议通用性强、针对性较弱得3分，</w:t>
            </w:r>
          </w:p>
          <w:p w14:paraId="214C148A">
            <w:pPr>
              <w:pStyle w:val="54"/>
              <w:spacing w:line="360" w:lineRule="auto"/>
              <w:rPr>
                <w:rFonts w:hint="default" w:hAnsi="宋体"/>
                <w:color w:val="auto"/>
                <w:kern w:val="2"/>
                <w:sz w:val="21"/>
                <w:szCs w:val="21"/>
                <w:lang w:val="en-US" w:eastAsia="zh-CN"/>
              </w:rPr>
            </w:pPr>
            <w:r>
              <w:rPr>
                <w:rFonts w:hint="eastAsia" w:hAnsi="宋体"/>
                <w:color w:val="auto"/>
                <w:kern w:val="2"/>
                <w:sz w:val="21"/>
                <w:szCs w:val="21"/>
                <w:lang w:val="en-US" w:eastAsia="zh-CN"/>
              </w:rPr>
              <w:t>建议仅满足项目基本要求得1分</w:t>
            </w:r>
          </w:p>
          <w:p w14:paraId="5E6E0B4A">
            <w:pPr>
              <w:pStyle w:val="54"/>
              <w:spacing w:line="360" w:lineRule="auto"/>
              <w:rPr>
                <w:rFonts w:hint="eastAsia" w:eastAsia="宋体"/>
                <w:lang w:val="zh-CN"/>
              </w:rPr>
            </w:pPr>
            <w:r>
              <w:rPr>
                <w:rFonts w:hint="eastAsia" w:hAnsi="宋体"/>
                <w:color w:val="auto"/>
                <w:kern w:val="2"/>
                <w:sz w:val="21"/>
                <w:szCs w:val="21"/>
              </w:rPr>
              <w:t>缺项不得分。</w:t>
            </w:r>
          </w:p>
        </w:tc>
      </w:tr>
      <w:tr w14:paraId="44F8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996" w:type="dxa"/>
            <w:gridSpan w:val="2"/>
            <w:noWrap w:val="0"/>
            <w:vAlign w:val="center"/>
          </w:tcPr>
          <w:p w14:paraId="5BD014BD">
            <w:pPr>
              <w:spacing w:line="360" w:lineRule="auto"/>
              <w:jc w:val="center"/>
              <w:rPr>
                <w:rFonts w:hint="eastAsia" w:ascii="宋体" w:hAnsi="宋体" w:cs="宋体"/>
              </w:rPr>
            </w:pPr>
            <w:r>
              <w:rPr>
                <w:rFonts w:hint="eastAsia" w:ascii="宋体" w:hAnsi="宋体" w:cs="宋体"/>
              </w:rPr>
              <w:t>2.2.4</w:t>
            </w:r>
          </w:p>
          <w:p w14:paraId="06D54F76">
            <w:pPr>
              <w:spacing w:line="360" w:lineRule="auto"/>
              <w:jc w:val="center"/>
              <w:rPr>
                <w:rFonts w:ascii="宋体" w:hAnsi="宋体"/>
                <w:sz w:val="24"/>
              </w:rPr>
            </w:pPr>
            <w:r>
              <w:rPr>
                <w:rFonts w:hint="eastAsia" w:ascii="宋体" w:hAnsi="宋体" w:cs="宋体"/>
              </w:rPr>
              <w:t>(2)商务部分</w:t>
            </w:r>
          </w:p>
        </w:tc>
        <w:tc>
          <w:tcPr>
            <w:tcW w:w="1211" w:type="dxa"/>
            <w:noWrap w:val="0"/>
            <w:vAlign w:val="center"/>
          </w:tcPr>
          <w:p w14:paraId="6F899545">
            <w:pPr>
              <w:spacing w:line="360" w:lineRule="auto"/>
              <w:rPr>
                <w:rFonts w:hint="eastAsia" w:ascii="宋体" w:hAnsi="宋体" w:cs="宋体"/>
              </w:rPr>
            </w:pPr>
            <w:r>
              <w:rPr>
                <w:rFonts w:hint="eastAsia" w:ascii="宋体" w:hAnsi="宋体" w:cs="宋体"/>
              </w:rPr>
              <w:t>投标报价评分标准</w:t>
            </w:r>
          </w:p>
          <w:p w14:paraId="48381E54">
            <w:pPr>
              <w:spacing w:line="360" w:lineRule="auto"/>
              <w:rPr>
                <w:rFonts w:ascii="宋体" w:hAnsi="宋体"/>
                <w:sz w:val="24"/>
              </w:rPr>
            </w:pPr>
            <w:r>
              <w:rPr>
                <w:rFonts w:hint="eastAsia" w:ascii="宋体" w:hAnsi="宋体" w:cs="宋体"/>
              </w:rPr>
              <w:t>（20分）</w:t>
            </w:r>
          </w:p>
        </w:tc>
        <w:tc>
          <w:tcPr>
            <w:tcW w:w="2786" w:type="dxa"/>
            <w:noWrap w:val="0"/>
            <w:vAlign w:val="center"/>
          </w:tcPr>
          <w:p w14:paraId="1A9E43E0">
            <w:pPr>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cs="宋体"/>
              </w:rPr>
              <w:t>投标报价（20分）</w:t>
            </w:r>
          </w:p>
        </w:tc>
        <w:tc>
          <w:tcPr>
            <w:tcW w:w="4786" w:type="dxa"/>
            <w:noWrap w:val="0"/>
            <w:vAlign w:val="center"/>
          </w:tcPr>
          <w:p w14:paraId="152F0621">
            <w:pPr>
              <w:autoSpaceDE w:val="0"/>
              <w:autoSpaceDN w:val="0"/>
              <w:adjustRightInd w:val="0"/>
              <w:spacing w:before="50" w:line="360" w:lineRule="exact"/>
              <w:ind w:right="96"/>
              <w:rPr>
                <w:rFonts w:hint="eastAsia" w:ascii="宋体" w:hAnsi="宋体" w:eastAsia="宋体" w:cs="宋体"/>
                <w:spacing w:val="1"/>
                <w:szCs w:val="21"/>
              </w:rPr>
            </w:pPr>
            <w:r>
              <w:rPr>
                <w:rFonts w:hint="eastAsia" w:ascii="宋体" w:hAnsi="宋体" w:eastAsia="宋体" w:cs="宋体"/>
                <w:spacing w:val="1"/>
                <w:szCs w:val="21"/>
              </w:rPr>
              <w:t>超过采购预算价（最高限价）的投标报价采购人不予接受，按无效标处理。</w:t>
            </w:r>
          </w:p>
          <w:p w14:paraId="107AE55B">
            <w:pPr>
              <w:pStyle w:val="152"/>
              <w:rPr>
                <w:rFonts w:hint="eastAsia" w:ascii="宋体" w:hAnsi="宋体" w:eastAsia="宋体" w:cs="宋体"/>
                <w:spacing w:val="1"/>
                <w:sz w:val="21"/>
                <w:szCs w:val="21"/>
              </w:rPr>
            </w:pPr>
            <w:r>
              <w:rPr>
                <w:rFonts w:hint="eastAsia" w:ascii="宋体" w:hAnsi="宋体" w:eastAsia="宋体" w:cs="宋体"/>
                <w:spacing w:val="-6"/>
                <w:szCs w:val="21"/>
              </w:rPr>
              <w:t>说明：</w:t>
            </w:r>
            <w:r>
              <w:rPr>
                <w:rFonts w:hint="eastAsia" w:ascii="宋体" w:hAnsi="宋体" w:eastAsia="宋体" w:cs="宋体"/>
                <w:spacing w:val="1"/>
                <w:sz w:val="21"/>
                <w:szCs w:val="21"/>
              </w:rPr>
              <w:t>评标委员会认为供应商的报价明显低于其他通过符合性审</w:t>
            </w:r>
            <w:r>
              <w:rPr>
                <w:rFonts w:hint="eastAsia" w:ascii="宋体" w:hAnsi="宋体" w:eastAsia="宋体" w:cs="宋体"/>
                <w:spacing w:val="1"/>
                <w:sz w:val="21"/>
                <w:szCs w:val="21"/>
                <w:lang w:eastAsia="zh-CN"/>
              </w:rPr>
              <w:t>查的</w:t>
            </w:r>
            <w:r>
              <w:rPr>
                <w:rFonts w:hint="eastAsia" w:ascii="宋体" w:hAnsi="宋体" w:eastAsia="宋体" w:cs="宋体"/>
                <w:spacing w:val="1"/>
                <w:sz w:val="21"/>
                <w:szCs w:val="21"/>
              </w:rPr>
              <w:t>供应商的报价，有可能影响产品质量或者不能诚信履约的，应当要求其在评标现场合理的时间内提供书面说明，必要时提交相关证明材料，供应商不能证明其报价合理性的，评标委员会应当将其作为无效标处理。</w:t>
            </w:r>
          </w:p>
          <w:p w14:paraId="4F143E7C">
            <w:pPr>
              <w:spacing w:line="360" w:lineRule="auto"/>
              <w:rPr>
                <w:rFonts w:hint="eastAsia" w:ascii="宋体" w:hAnsi="宋体" w:eastAsia="宋体" w:cs="宋体"/>
                <w:spacing w:val="-6"/>
                <w:szCs w:val="21"/>
              </w:rPr>
            </w:pPr>
            <w:r>
              <w:rPr>
                <w:rFonts w:hint="eastAsia" w:ascii="宋体" w:hAnsi="宋体" w:eastAsia="宋体" w:cs="宋体"/>
                <w:b/>
                <w:szCs w:val="21"/>
              </w:rPr>
              <w:t>价格分采用低价优先法计算，</w:t>
            </w:r>
            <w:r>
              <w:rPr>
                <w:rFonts w:hint="eastAsia" w:ascii="宋体" w:hAnsi="宋体" w:eastAsia="宋体" w:cs="宋体"/>
                <w:szCs w:val="21"/>
              </w:rPr>
              <w:t>即满足招标文件要求且投标报价最低的投标报价为评标基准价，其价格分为满分。其他供应商的价格分统一按照下列公式计算：</w:t>
            </w:r>
          </w:p>
          <w:p w14:paraId="00BFA84B">
            <w:pPr>
              <w:rPr>
                <w:rFonts w:hint="eastAsia" w:ascii="宋体" w:hAnsi="宋体" w:eastAsia="宋体" w:cs="宋体"/>
                <w:b/>
                <w:bCs/>
                <w:color w:val="auto"/>
                <w:kern w:val="2"/>
                <w:sz w:val="21"/>
                <w:szCs w:val="21"/>
                <w:lang w:val="en-US" w:eastAsia="zh-CN" w:bidi="ar-SA"/>
              </w:rPr>
            </w:pPr>
            <w:r>
              <w:rPr>
                <w:rFonts w:hint="eastAsia" w:ascii="宋体" w:hAnsi="宋体" w:eastAsia="宋体" w:cs="宋体"/>
                <w:b/>
                <w:szCs w:val="21"/>
              </w:rPr>
              <w:t>投标报价得分=(评标基准价／投标报价)×</w:t>
            </w:r>
            <w:r>
              <w:rPr>
                <w:rFonts w:hint="eastAsia" w:hAnsi="宋体" w:cs="宋体"/>
                <w:b/>
                <w:szCs w:val="21"/>
                <w:lang w:val="en-US" w:eastAsia="zh-CN"/>
              </w:rPr>
              <w:t>20</w:t>
            </w:r>
          </w:p>
          <w:p w14:paraId="412D98C0">
            <w:pPr>
              <w:pStyle w:val="54"/>
              <w:spacing w:line="360" w:lineRule="auto"/>
              <w:rPr>
                <w:rFonts w:hint="eastAsia" w:eastAsia="宋体"/>
                <w:lang w:val="zh-CN"/>
              </w:rPr>
            </w:pPr>
            <w:r>
              <w:rPr>
                <w:rFonts w:hint="eastAsia" w:ascii="宋体" w:hAnsi="宋体" w:eastAsia="宋体" w:cs="宋体"/>
                <w:b/>
                <w:bCs/>
                <w:color w:val="auto"/>
                <w:kern w:val="2"/>
                <w:sz w:val="21"/>
                <w:szCs w:val="21"/>
                <w:lang w:val="en-US" w:eastAsia="zh-CN" w:bidi="ar-SA"/>
              </w:rPr>
              <w:t>本项目属于专门面向中小企业采购的项目，不再执行价格评审优惠。</w:t>
            </w:r>
          </w:p>
        </w:tc>
      </w:tr>
      <w:tr w14:paraId="6136C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jc w:val="center"/>
        </w:trPr>
        <w:tc>
          <w:tcPr>
            <w:tcW w:w="996" w:type="dxa"/>
            <w:gridSpan w:val="2"/>
            <w:vMerge w:val="restart"/>
            <w:noWrap w:val="0"/>
            <w:vAlign w:val="center"/>
          </w:tcPr>
          <w:p w14:paraId="1F9ADC0F">
            <w:pPr>
              <w:spacing w:line="360" w:lineRule="auto"/>
              <w:jc w:val="center"/>
              <w:rPr>
                <w:rFonts w:ascii="宋体" w:hAnsi="宋体"/>
                <w:sz w:val="24"/>
              </w:rPr>
            </w:pPr>
            <w:r>
              <w:rPr>
                <w:rFonts w:hint="eastAsia" w:ascii="宋体" w:hAnsi="宋体" w:cs="宋体"/>
              </w:rPr>
              <w:t>2.2.</w:t>
            </w:r>
            <w:r>
              <w:rPr>
                <w:rFonts w:hint="eastAsia" w:ascii="宋体" w:hAnsi="宋体" w:cs="宋体"/>
                <w:lang w:val="en-US" w:eastAsia="zh-CN"/>
              </w:rPr>
              <w:t>4</w:t>
            </w:r>
            <w:r>
              <w:rPr>
                <w:rFonts w:hint="eastAsia" w:ascii="宋体" w:hAnsi="宋体" w:cs="宋体"/>
              </w:rPr>
              <w:t>（3）综合部分</w:t>
            </w:r>
          </w:p>
        </w:tc>
        <w:tc>
          <w:tcPr>
            <w:tcW w:w="1211" w:type="dxa"/>
            <w:vMerge w:val="restart"/>
            <w:noWrap w:val="0"/>
            <w:vAlign w:val="center"/>
          </w:tcPr>
          <w:p w14:paraId="536C5A77">
            <w:pPr>
              <w:spacing w:line="360" w:lineRule="auto"/>
              <w:jc w:val="center"/>
              <w:rPr>
                <w:rFonts w:ascii="宋体" w:hAnsi="宋体"/>
                <w:sz w:val="24"/>
              </w:rPr>
            </w:pPr>
            <w:r>
              <w:rPr>
                <w:rFonts w:hint="eastAsia" w:ascii="宋体" w:hAnsi="宋体" w:cs="宋体"/>
              </w:rPr>
              <w:t>综合部分（15分）</w:t>
            </w:r>
          </w:p>
        </w:tc>
        <w:tc>
          <w:tcPr>
            <w:tcW w:w="2786" w:type="dxa"/>
            <w:noWrap w:val="0"/>
            <w:vAlign w:val="center"/>
          </w:tcPr>
          <w:p w14:paraId="55FA0AF3">
            <w:pPr>
              <w:spacing w:before="65" w:line="303" w:lineRule="auto"/>
              <w:ind w:left="122" w:leftChars="0" w:right="38" w:rightChars="0"/>
              <w:jc w:val="center"/>
              <w:rPr>
                <w:rFonts w:hint="eastAsia" w:ascii="宋体" w:hAnsi="宋体" w:eastAsia="宋体" w:cs="宋体"/>
                <w:color w:val="auto"/>
                <w:kern w:val="2"/>
                <w:sz w:val="21"/>
                <w:szCs w:val="21"/>
                <w:lang w:val="zh-CN" w:eastAsia="zh-CN" w:bidi="ar-SA"/>
              </w:rPr>
            </w:pPr>
            <w:r>
              <w:rPr>
                <w:rFonts w:hint="eastAsia" w:ascii="宋体" w:hAnsi="宋体" w:cs="宋体"/>
              </w:rPr>
              <w:t>服务计划及服务承诺 (0-</w:t>
            </w:r>
            <w:r>
              <w:rPr>
                <w:rFonts w:hint="eastAsia" w:ascii="宋体" w:hAnsi="宋体" w:cs="宋体"/>
                <w:lang w:val="en-US" w:eastAsia="zh-CN"/>
              </w:rPr>
              <w:t>6</w:t>
            </w:r>
            <w:r>
              <w:rPr>
                <w:rFonts w:hint="eastAsia" w:ascii="宋体" w:hAnsi="宋体" w:cs="宋体"/>
              </w:rPr>
              <w:t>分)</w:t>
            </w:r>
          </w:p>
        </w:tc>
        <w:tc>
          <w:tcPr>
            <w:tcW w:w="4786" w:type="dxa"/>
            <w:noWrap w:val="0"/>
            <w:vAlign w:val="top"/>
          </w:tcPr>
          <w:p w14:paraId="13BE7428">
            <w:pPr>
              <w:keepNext w:val="0"/>
              <w:keepLines w:val="0"/>
              <w:widowControl/>
              <w:numPr>
                <w:ilvl w:val="0"/>
                <w:numId w:val="0"/>
              </w:numPr>
              <w:suppressLineNumbers w:val="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1.全程主动与项目设计单位精准对接、深度协调配合，勘察阶段提前同步场区地质重难点、不良地质分布、地下管线及老旧地基隐患等核心资料，精准匹配老旧街区建筑修缮、道路管网改造设计需求得3分，</w:t>
            </w:r>
          </w:p>
          <w:p w14:paraId="4FF2FDF3">
            <w:pPr>
              <w:keepNext w:val="0"/>
              <w:keepLines w:val="0"/>
              <w:widowControl/>
              <w:numPr>
                <w:ilvl w:val="0"/>
                <w:numId w:val="0"/>
              </w:numPr>
              <w:suppressLineNumbers w:val="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能够积极配合设计单位开展工作，可完成常规技术对接、资料同步工作。施工阶段可按要求开展技术交底，针对常规设计变更、一般性现场地质问题，具备完善的处置方案和配合措施，整体服务体系科学齐全，可保障项目正常施工推进，仅在特殊复杂工况专项处置细节上略有欠缺得2分，</w:t>
            </w:r>
          </w:p>
          <w:p w14:paraId="68C1E475">
            <w:pPr>
              <w:keepNext w:val="0"/>
              <w:keepLines w:val="0"/>
              <w:widowControl/>
              <w:numPr>
                <w:ilvl w:val="0"/>
                <w:numId w:val="0"/>
              </w:numPr>
              <w:suppressLineNumbers w:val="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仅作出基础配合承诺，技术协调、施工交底、设计变更对接及现场问题处置措施较为笼统，无针对性、具体化实施方案，服务流程、响应机制、处置措施不够全面详尽，仅能满足项目最基础的技术配合需求得1分；</w:t>
            </w:r>
          </w:p>
          <w:p w14:paraId="0CEC8C06">
            <w:pPr>
              <w:pStyle w:val="54"/>
              <w:spacing w:line="360" w:lineRule="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rPr>
              <w:t>2.</w:t>
            </w:r>
            <w:r>
              <w:rPr>
                <w:rFonts w:hint="eastAsia" w:ascii="宋体" w:hAnsi="宋体" w:eastAsia="宋体" w:cs="宋体"/>
                <w:color w:val="auto"/>
                <w:kern w:val="2"/>
                <w:sz w:val="21"/>
                <w:szCs w:val="21"/>
                <w:lang w:val="en-US" w:eastAsia="zh-CN" w:bidi="ar-SA"/>
              </w:rPr>
              <w:t>郑重承诺完全服从招标人全过程工作计划、工期安排、现场管理及各项工作部署，主动对接招标人开展各项勘察及配合工作，积极响应招标人各类工作指令、整改要求、调度安排，主动汇报工作进度、反馈项目问题，全力配合项目统筹推进，服务主动性、及时性、合规性极强得3分</w:t>
            </w:r>
          </w:p>
          <w:p w14:paraId="115B3214">
            <w:pPr>
              <w:pStyle w:val="54"/>
              <w:spacing w:line="360" w:lineRule="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能够自觉服从招标人各项工作计划与管理要求，积极配合招标人开展勘察、对接、答疑、整改等相关工作，响应及时、执行到位，可较好满足项目整体建设推进需求，无消极配合、拖延滞后情况得2分。</w:t>
            </w:r>
          </w:p>
          <w:p w14:paraId="2C285CEA">
            <w:pPr>
              <w:pStyle w:val="54"/>
              <w:spacing w:line="360" w:lineRule="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仅承诺服从招标人基本工作安排，配合方式被动、响应流程简单，无主动服务、及时对接、动态配合相关保障措施，仅能满足项目基础性、一般性工作配合要求得1分</w:t>
            </w:r>
          </w:p>
          <w:p w14:paraId="30A1EB59">
            <w:pPr>
              <w:pStyle w:val="54"/>
              <w:spacing w:line="360" w:lineRule="auto"/>
              <w:rPr>
                <w:rFonts w:hint="eastAsia" w:ascii="宋体" w:hAnsi="宋体" w:eastAsia="宋体" w:cs="宋体"/>
                <w:color w:val="auto"/>
                <w:kern w:val="2"/>
                <w:sz w:val="21"/>
                <w:szCs w:val="21"/>
                <w:lang w:val="zh-CN" w:eastAsia="zh-CN" w:bidi="ar-SA"/>
              </w:rPr>
            </w:pPr>
            <w:r>
              <w:rPr>
                <w:rFonts w:hint="eastAsia" w:ascii="宋体" w:hAnsi="宋体" w:eastAsia="宋体" w:cs="宋体"/>
                <w:color w:val="auto"/>
                <w:kern w:val="2"/>
                <w:sz w:val="21"/>
                <w:szCs w:val="21"/>
                <w:lang w:val="en-US" w:eastAsia="zh-CN" w:bidi="ar-SA"/>
              </w:rPr>
              <w:t>缺项不得分。</w:t>
            </w:r>
          </w:p>
        </w:tc>
      </w:tr>
      <w:tr w14:paraId="17652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6" w:type="dxa"/>
            <w:gridSpan w:val="2"/>
            <w:vMerge w:val="continue"/>
            <w:noWrap w:val="0"/>
            <w:vAlign w:val="center"/>
          </w:tcPr>
          <w:p w14:paraId="1BBA225C">
            <w:pPr>
              <w:spacing w:line="360" w:lineRule="auto"/>
              <w:jc w:val="center"/>
              <w:rPr>
                <w:rFonts w:hint="eastAsia" w:ascii="宋体" w:hAnsi="宋体" w:cs="宋体"/>
              </w:rPr>
            </w:pPr>
          </w:p>
        </w:tc>
        <w:tc>
          <w:tcPr>
            <w:tcW w:w="1211" w:type="dxa"/>
            <w:vMerge w:val="continue"/>
            <w:noWrap w:val="0"/>
            <w:vAlign w:val="center"/>
          </w:tcPr>
          <w:p w14:paraId="3ACFB20C">
            <w:pPr>
              <w:spacing w:line="360" w:lineRule="auto"/>
              <w:jc w:val="center"/>
              <w:rPr>
                <w:rFonts w:hint="eastAsia" w:ascii="宋体" w:hAnsi="宋体" w:cs="宋体"/>
              </w:rPr>
            </w:pPr>
          </w:p>
        </w:tc>
        <w:tc>
          <w:tcPr>
            <w:tcW w:w="2786" w:type="dxa"/>
            <w:noWrap w:val="0"/>
            <w:vAlign w:val="center"/>
          </w:tcPr>
          <w:p w14:paraId="6C1C4CF9">
            <w:pPr>
              <w:spacing w:before="204" w:line="297" w:lineRule="auto"/>
              <w:ind w:left="109" w:leftChars="0" w:right="27" w:rightChars="0" w:firstLine="16" w:firstLineChars="0"/>
              <w:rPr>
                <w:rFonts w:hint="eastAsia" w:ascii="宋体" w:hAnsi="宋体" w:cs="宋体"/>
              </w:rPr>
            </w:pPr>
            <w:r>
              <w:rPr>
                <w:rFonts w:hint="eastAsia" w:ascii="宋体" w:hAnsi="宋体" w:cs="宋体"/>
                <w:lang w:val="en-US" w:eastAsia="zh-CN"/>
              </w:rPr>
              <w:t>履职尽责承诺</w:t>
            </w:r>
            <w:r>
              <w:rPr>
                <w:rFonts w:hint="eastAsia" w:ascii="宋体" w:hAnsi="宋体" w:cs="宋体"/>
              </w:rPr>
              <w:t>（</w:t>
            </w:r>
            <w:r>
              <w:rPr>
                <w:rFonts w:hint="eastAsia" w:ascii="宋体" w:hAnsi="宋体" w:cs="宋体"/>
                <w:lang w:val="en-US" w:eastAsia="zh-CN"/>
              </w:rPr>
              <w:t>4</w:t>
            </w:r>
            <w:r>
              <w:rPr>
                <w:rFonts w:hint="eastAsia" w:ascii="宋体" w:hAnsi="宋体" w:cs="宋体"/>
              </w:rPr>
              <w:t>分）</w:t>
            </w:r>
          </w:p>
        </w:tc>
        <w:tc>
          <w:tcPr>
            <w:tcW w:w="4786" w:type="dxa"/>
            <w:noWrap w:val="0"/>
            <w:vAlign w:val="center"/>
          </w:tcPr>
          <w:p w14:paraId="31CED1F6">
            <w:pPr>
              <w:pStyle w:val="54"/>
              <w:spacing w:line="360" w:lineRule="auto"/>
              <w:rPr>
                <w:rFonts w:hint="eastAsia"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1.投标履职尽责承诺内容完整、条理清晰、针对性极强，完全贴合鲁山县西关大街老旧街区改造项目工程实际，勘察履职体系全面完善，严格落实勘察质量终身责任制，全面满足国家、河南省现行勘察规范及本项目特殊建设要求。</w:t>
            </w:r>
          </w:p>
          <w:p w14:paraId="4550A647">
            <w:pPr>
              <w:pStyle w:val="54"/>
              <w:spacing w:line="360" w:lineRule="auto"/>
              <w:rPr>
                <w:rFonts w:hint="eastAsia"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承诺严格针对老旧街区既有建筑改造、老旧道路翻新、雨污管网更新、场地填土杂乱、地下管线密集、施工场地狭小、局部地质不均匀等本项目独有重难点制定专项勘察履职保障措施；主动承诺配合设计对接、技术交底、设计变更答疑、施工验槽、现场地质问题处置、服从招标人全过程工作安排，履职措施科学详尽、落地性强，可全面保障项目勘察质量与建设推进需求。得4分</w:t>
            </w:r>
          </w:p>
          <w:p w14:paraId="3D5830F0">
            <w:pPr>
              <w:pStyle w:val="54"/>
              <w:numPr>
                <w:ilvl w:val="0"/>
                <w:numId w:val="1"/>
              </w:numPr>
              <w:spacing w:line="360" w:lineRule="auto"/>
              <w:rPr>
                <w:rFonts w:hint="eastAsia"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承诺内容较为完整、针对性较好，基本贴合本项目勘察需求，履职责任清晰、保障措施可行，满足主要规范及项目要求，存在少量细节瑕疵</w:t>
            </w:r>
          </w:p>
          <w:p w14:paraId="23059EF8">
            <w:pPr>
              <w:pStyle w:val="54"/>
              <w:numPr>
                <w:ilvl w:val="0"/>
                <w:numId w:val="0"/>
              </w:numPr>
              <w:spacing w:line="360" w:lineRule="auto"/>
              <w:rPr>
                <w:rFonts w:hint="eastAsia"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承诺可正常开展本项目场地勘察、岩土参数评价、勘察成果编制与交付工作，可落实基本的质量管控与审核制度，能够配合招标人日常工作安排、配合设计与施工常规技术服务；但未对老旧街区复杂场地、既有建筑改造、密集管线区域等项目专属重难点作出细化履职措施，专项保障内容不够具体、针对性一般，整体完善度略有欠缺得3分</w:t>
            </w:r>
          </w:p>
          <w:p w14:paraId="489AD34F">
            <w:pPr>
              <w:pStyle w:val="54"/>
              <w:spacing w:line="360" w:lineRule="auto"/>
              <w:rPr>
                <w:rFonts w:hint="default"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3.</w:t>
            </w:r>
            <w:r>
              <w:rPr>
                <w:rFonts w:hint="default" w:ascii="宋体" w:hAnsi="宋体" w:eastAsia="宋体" w:cs="宋体"/>
                <w:color w:val="auto"/>
                <w:kern w:val="2"/>
                <w:sz w:val="21"/>
                <w:szCs w:val="21"/>
                <w:lang w:val="en-US" w:eastAsia="zh-CN"/>
              </w:rPr>
              <w:t>无针对本老旧街区改造项目的专项履职措施，质量管控、人员履职、技术服务、配合保障等相关措施单薄、不完善，仅体现通用勘察履职要求，无法体现本项目老旧城区改造勘察的特殊性，履职保障力度不足。</w:t>
            </w:r>
            <w:r>
              <w:rPr>
                <w:rFonts w:hint="eastAsia" w:ascii="宋体" w:hAnsi="宋体" w:eastAsia="宋体" w:cs="宋体"/>
                <w:color w:val="auto"/>
                <w:kern w:val="2"/>
                <w:sz w:val="21"/>
                <w:szCs w:val="21"/>
                <w:lang w:val="en-US" w:eastAsia="zh-CN"/>
              </w:rPr>
              <w:t>得1分</w:t>
            </w:r>
          </w:p>
          <w:p w14:paraId="2AD69EB7">
            <w:pPr>
              <w:pStyle w:val="13"/>
              <w:rPr>
                <w:rFonts w:hint="eastAsia"/>
                <w:lang w:eastAsia="zh-CN"/>
              </w:rPr>
            </w:pPr>
            <w:r>
              <w:rPr>
                <w:rFonts w:hint="eastAsia" w:ascii="宋体" w:hAnsi="宋体" w:eastAsia="宋体" w:cs="宋体"/>
                <w:color w:val="auto"/>
                <w:kern w:val="2"/>
                <w:sz w:val="21"/>
                <w:szCs w:val="21"/>
              </w:rPr>
              <w:t>缺项不得分。</w:t>
            </w:r>
          </w:p>
        </w:tc>
      </w:tr>
      <w:tr w14:paraId="47DFE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96" w:type="dxa"/>
            <w:gridSpan w:val="2"/>
            <w:vMerge w:val="continue"/>
            <w:noWrap w:val="0"/>
            <w:vAlign w:val="center"/>
          </w:tcPr>
          <w:p w14:paraId="4612ED1C">
            <w:pPr>
              <w:spacing w:line="360" w:lineRule="auto"/>
              <w:jc w:val="center"/>
              <w:rPr>
                <w:rFonts w:hint="eastAsia" w:ascii="宋体" w:hAnsi="宋体" w:cs="宋体"/>
              </w:rPr>
            </w:pPr>
          </w:p>
        </w:tc>
        <w:tc>
          <w:tcPr>
            <w:tcW w:w="1211" w:type="dxa"/>
            <w:vMerge w:val="continue"/>
            <w:noWrap w:val="0"/>
            <w:vAlign w:val="center"/>
          </w:tcPr>
          <w:p w14:paraId="658B77F0">
            <w:pPr>
              <w:spacing w:line="360" w:lineRule="auto"/>
              <w:jc w:val="center"/>
              <w:rPr>
                <w:rFonts w:hint="eastAsia" w:ascii="宋体" w:hAnsi="宋体" w:cs="宋体"/>
              </w:rPr>
            </w:pPr>
          </w:p>
        </w:tc>
        <w:tc>
          <w:tcPr>
            <w:tcW w:w="2786" w:type="dxa"/>
            <w:noWrap w:val="0"/>
            <w:vAlign w:val="center"/>
          </w:tcPr>
          <w:p w14:paraId="5BC5DD1F">
            <w:pPr>
              <w:jc w:val="both"/>
              <w:rPr>
                <w:rFonts w:hint="eastAsia" w:ascii="宋体" w:hAnsi="宋体" w:cs="宋体"/>
              </w:rPr>
            </w:pPr>
            <w:r>
              <w:rPr>
                <w:rFonts w:hint="eastAsia" w:ascii="宋体" w:hAnsi="宋体" w:cs="宋体"/>
                <w:bCs/>
                <w:szCs w:val="21"/>
              </w:rPr>
              <w:t>企业业绩（</w:t>
            </w:r>
            <w:r>
              <w:rPr>
                <w:rFonts w:hint="eastAsia" w:ascii="宋体" w:hAnsi="宋体" w:cs="宋体"/>
                <w:bCs/>
                <w:szCs w:val="21"/>
                <w:lang w:val="en-US" w:eastAsia="zh-CN"/>
              </w:rPr>
              <w:t>3</w:t>
            </w:r>
            <w:r>
              <w:rPr>
                <w:rFonts w:hint="eastAsia" w:ascii="宋体" w:hAnsi="宋体" w:cs="宋体"/>
                <w:bCs/>
                <w:szCs w:val="21"/>
              </w:rPr>
              <w:t>分）</w:t>
            </w:r>
          </w:p>
        </w:tc>
        <w:tc>
          <w:tcPr>
            <w:tcW w:w="4786" w:type="dxa"/>
            <w:noWrap w:val="0"/>
            <w:vAlign w:val="center"/>
          </w:tcPr>
          <w:p w14:paraId="60578438">
            <w:pPr>
              <w:spacing w:before="204" w:line="297" w:lineRule="auto"/>
              <w:ind w:left="109" w:leftChars="0" w:right="27" w:rightChars="0" w:firstLine="16" w:firstLineChars="0"/>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rPr>
              <w:t>投</w:t>
            </w:r>
            <w:r>
              <w:rPr>
                <w:rFonts w:hint="eastAsia" w:ascii="宋体" w:hAnsi="宋体" w:eastAsia="宋体" w:cs="宋体"/>
                <w:bCs/>
                <w:color w:val="auto"/>
                <w:szCs w:val="21"/>
                <w:highlight w:val="none"/>
                <w:lang w:val="en-US" w:eastAsia="zh-CN"/>
              </w:rPr>
              <w:t>标人具有类似项目业绩得</w:t>
            </w:r>
            <w:r>
              <w:rPr>
                <w:rFonts w:hint="eastAsia" w:ascii="宋体" w:hAnsi="宋体" w:cs="宋体"/>
                <w:bCs/>
                <w:color w:val="auto"/>
                <w:szCs w:val="21"/>
                <w:highlight w:val="none"/>
                <w:lang w:val="en-US" w:eastAsia="zh-CN"/>
              </w:rPr>
              <w:t>3</w:t>
            </w:r>
            <w:r>
              <w:rPr>
                <w:rFonts w:hint="eastAsia" w:ascii="宋体" w:hAnsi="宋体" w:eastAsia="宋体" w:cs="宋体"/>
                <w:bCs/>
                <w:color w:val="auto"/>
                <w:szCs w:val="21"/>
                <w:highlight w:val="none"/>
                <w:lang w:val="en-US" w:eastAsia="zh-CN"/>
              </w:rPr>
              <w:t>分，没</w:t>
            </w:r>
            <w:r>
              <w:rPr>
                <w:rFonts w:hint="eastAsia" w:ascii="宋体" w:hAnsi="宋体" w:cs="宋体"/>
                <w:bCs/>
                <w:color w:val="auto"/>
                <w:szCs w:val="21"/>
                <w:highlight w:val="none"/>
              </w:rPr>
              <w:t>有不得分。</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自2022年1月1日以来，</w:t>
            </w:r>
            <w:r>
              <w:rPr>
                <w:rFonts w:hint="eastAsia" w:ascii="宋体" w:hAnsi="宋体" w:cs="宋体"/>
                <w:bCs/>
                <w:color w:val="auto"/>
                <w:szCs w:val="21"/>
                <w:highlight w:val="none"/>
              </w:rPr>
              <w:t>投标人具有类似项目</w:t>
            </w:r>
            <w:r>
              <w:rPr>
                <w:rFonts w:hint="eastAsia" w:ascii="宋体" w:hAnsi="宋体" w:cs="宋体"/>
                <w:bCs/>
                <w:color w:val="auto"/>
                <w:szCs w:val="21"/>
                <w:highlight w:val="none"/>
                <w:lang w:val="en-US" w:eastAsia="zh-CN"/>
              </w:rPr>
              <w:t>业绩，投标人需提供中标结果公示网页截图及查询链接、中标通知书、合同协议书，所有资料必须齐全、缺项或提供不全不得分</w:t>
            </w:r>
            <w:r>
              <w:rPr>
                <w:rFonts w:hint="eastAsia" w:ascii="宋体" w:hAnsi="宋体" w:cs="宋体"/>
                <w:bCs/>
                <w:color w:val="auto"/>
                <w:szCs w:val="21"/>
                <w:highlight w:val="none"/>
                <w:lang w:eastAsia="zh-CN"/>
              </w:rPr>
              <w:t>）</w:t>
            </w:r>
          </w:p>
        </w:tc>
      </w:tr>
      <w:tr w14:paraId="5355B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996" w:type="dxa"/>
            <w:gridSpan w:val="2"/>
            <w:vMerge w:val="continue"/>
            <w:noWrap w:val="0"/>
            <w:vAlign w:val="center"/>
          </w:tcPr>
          <w:p w14:paraId="22C2B494">
            <w:pPr>
              <w:spacing w:line="360" w:lineRule="auto"/>
              <w:jc w:val="center"/>
              <w:rPr>
                <w:rFonts w:ascii="宋体" w:hAnsi="宋体"/>
                <w:sz w:val="24"/>
              </w:rPr>
            </w:pPr>
          </w:p>
        </w:tc>
        <w:tc>
          <w:tcPr>
            <w:tcW w:w="1211" w:type="dxa"/>
            <w:vMerge w:val="continue"/>
            <w:noWrap w:val="0"/>
            <w:vAlign w:val="center"/>
          </w:tcPr>
          <w:p w14:paraId="5E44ECCC">
            <w:pPr>
              <w:spacing w:line="360" w:lineRule="auto"/>
              <w:jc w:val="center"/>
              <w:rPr>
                <w:rFonts w:ascii="宋体" w:hAnsi="宋体"/>
                <w:sz w:val="24"/>
              </w:rPr>
            </w:pPr>
          </w:p>
        </w:tc>
        <w:tc>
          <w:tcPr>
            <w:tcW w:w="2786" w:type="dxa"/>
            <w:noWrap w:val="0"/>
            <w:vAlign w:val="center"/>
          </w:tcPr>
          <w:p w14:paraId="23113303">
            <w:pPr>
              <w:keepNext w:val="0"/>
              <w:keepLines w:val="0"/>
              <w:widowControl/>
              <w:suppressLineNumbers w:val="0"/>
              <w:jc w:val="left"/>
              <w:rPr>
                <w:rFonts w:hint="eastAsia" w:ascii="宋体" w:hAnsi="宋体" w:eastAsia="宋体" w:cs="宋体"/>
                <w:color w:val="auto"/>
                <w:kern w:val="2"/>
                <w:sz w:val="21"/>
                <w:szCs w:val="21"/>
                <w:lang w:val="zh-CN" w:eastAsia="zh-CN" w:bidi="ar-SA"/>
              </w:rPr>
            </w:pPr>
            <w:r>
              <w:rPr>
                <w:rFonts w:ascii="瀹嬩綋" w:hAnsi="瀹嬩綋" w:eastAsia="瀹嬩綋" w:cs="瀹嬩綋"/>
                <w:color w:val="000000"/>
                <w:kern w:val="0"/>
                <w:sz w:val="21"/>
                <w:szCs w:val="21"/>
                <w:lang w:val="en-US" w:eastAsia="zh-CN" w:bidi="ar"/>
              </w:rPr>
              <w:t>人员配</w:t>
            </w:r>
            <w:r>
              <w:rPr>
                <w:rFonts w:hint="eastAsia" w:ascii="宋体" w:hAnsi="宋体" w:eastAsia="宋体" w:cs="宋体"/>
                <w:bCs/>
                <w:szCs w:val="21"/>
                <w:lang w:val="en-US" w:eastAsia="zh-CN"/>
              </w:rPr>
              <w:t>备（</w:t>
            </w:r>
            <w:r>
              <w:rPr>
                <w:rFonts w:hint="eastAsia" w:ascii="宋体" w:hAnsi="宋体" w:cs="宋体"/>
                <w:bCs/>
                <w:szCs w:val="21"/>
                <w:lang w:val="en-US" w:eastAsia="zh-CN"/>
              </w:rPr>
              <w:t>2</w:t>
            </w:r>
            <w:r>
              <w:rPr>
                <w:rFonts w:hint="eastAsia" w:ascii="宋体" w:hAnsi="宋体" w:eastAsia="宋体" w:cs="宋体"/>
                <w:bCs/>
                <w:szCs w:val="21"/>
                <w:lang w:val="en-US" w:eastAsia="zh-CN"/>
              </w:rPr>
              <w:t>分）</w:t>
            </w:r>
          </w:p>
        </w:tc>
        <w:tc>
          <w:tcPr>
            <w:tcW w:w="4786" w:type="dxa"/>
            <w:noWrap w:val="0"/>
            <w:vAlign w:val="center"/>
          </w:tcPr>
          <w:p w14:paraId="13C176A6">
            <w:pPr>
              <w:spacing w:before="204" w:line="297" w:lineRule="auto"/>
              <w:ind w:left="109" w:leftChars="0" w:right="27" w:rightChars="0" w:firstLine="16" w:firstLineChars="0"/>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本项目拟派团队成员每具有相关专业注册工程师的加1分</w:t>
            </w:r>
            <w:r>
              <w:rPr>
                <w:rFonts w:hint="default" w:ascii="宋体" w:hAnsi="宋体" w:eastAsia="宋体" w:cs="宋体"/>
                <w:bCs/>
                <w:color w:val="auto"/>
                <w:szCs w:val="21"/>
                <w:highlight w:val="none"/>
                <w:lang w:val="en-US" w:eastAsia="zh-CN"/>
              </w:rPr>
              <w:t>，最多得</w:t>
            </w:r>
            <w:r>
              <w:rPr>
                <w:rFonts w:hint="eastAsia" w:ascii="宋体" w:hAnsi="宋体" w:cs="宋体"/>
                <w:bCs/>
                <w:color w:val="auto"/>
                <w:szCs w:val="21"/>
                <w:highlight w:val="none"/>
                <w:lang w:val="en-US" w:eastAsia="zh-CN"/>
              </w:rPr>
              <w:t>2</w:t>
            </w:r>
            <w:r>
              <w:rPr>
                <w:rFonts w:hint="default" w:ascii="宋体" w:hAnsi="宋体" w:eastAsia="宋体" w:cs="宋体"/>
                <w:bCs/>
                <w:color w:val="auto"/>
                <w:szCs w:val="21"/>
                <w:highlight w:val="none"/>
                <w:lang w:val="en-US" w:eastAsia="zh-CN"/>
              </w:rPr>
              <w:t>分。</w:t>
            </w:r>
          </w:p>
          <w:p w14:paraId="30AED910">
            <w:pPr>
              <w:keepNext w:val="0"/>
              <w:keepLines w:val="0"/>
              <w:widowControl/>
              <w:suppressLineNumbers w:val="0"/>
              <w:jc w:val="left"/>
              <w:rPr>
                <w:rFonts w:hint="eastAsia" w:eastAsia="宋体"/>
                <w:lang w:val="zh-CN"/>
              </w:rPr>
            </w:pPr>
            <w:r>
              <w:rPr>
                <w:rFonts w:hint="default" w:ascii="宋体" w:hAnsi="宋体" w:eastAsia="宋体" w:cs="宋体"/>
                <w:bCs/>
                <w:color w:val="auto"/>
                <w:szCs w:val="21"/>
                <w:highlight w:val="none"/>
                <w:lang w:val="en-US" w:eastAsia="zh-CN"/>
              </w:rPr>
              <w:t>注：投标文件内须附证书原件图片或扫描件，投标单位为其缴纳的养老保险证明，</w:t>
            </w:r>
            <w:r>
              <w:rPr>
                <w:rFonts w:ascii="瀹嬩綋" w:hAnsi="瀹嬩綋" w:eastAsia="瀹嬩綋" w:cs="瀹嬩綋"/>
                <w:color w:val="000000"/>
                <w:kern w:val="0"/>
                <w:sz w:val="21"/>
                <w:szCs w:val="21"/>
                <w:lang w:val="en-US" w:eastAsia="zh-CN" w:bidi="ar"/>
              </w:rPr>
              <w:t>否则不得分。</w:t>
            </w:r>
          </w:p>
        </w:tc>
      </w:tr>
    </w:tbl>
    <w:p w14:paraId="1CC22592">
      <w:pPr>
        <w:pStyle w:val="3"/>
        <w:spacing w:before="0" w:after="0" w:line="400" w:lineRule="exact"/>
        <w:rPr>
          <w:rFonts w:ascii="宋体" w:hAnsi="宋体"/>
          <w:sz w:val="21"/>
          <w:szCs w:val="21"/>
        </w:rPr>
      </w:pPr>
      <w:r>
        <w:rPr>
          <w:rFonts w:hint="eastAsia" w:ascii="宋体" w:hAnsi="宋体"/>
          <w:sz w:val="21"/>
          <w:szCs w:val="21"/>
        </w:rPr>
        <w:t>1. 评标方法</w:t>
      </w:r>
      <w:bookmarkEnd w:id="316"/>
      <w:bookmarkEnd w:id="317"/>
      <w:bookmarkEnd w:id="318"/>
      <w:bookmarkEnd w:id="319"/>
      <w:bookmarkEnd w:id="320"/>
      <w:bookmarkEnd w:id="321"/>
    </w:p>
    <w:p w14:paraId="48B510E1">
      <w:pPr>
        <w:spacing w:line="400" w:lineRule="exact"/>
        <w:ind w:firstLine="420" w:firstLineChars="200"/>
        <w:rPr>
          <w:rFonts w:ascii="宋体" w:hAnsi="宋体"/>
          <w:szCs w:val="21"/>
        </w:rPr>
      </w:pPr>
      <w:r>
        <w:rPr>
          <w:rFonts w:hint="eastAsia" w:ascii="宋体" w:hAnsi="宋体"/>
          <w:szCs w:val="21"/>
        </w:rPr>
        <w:t>本次评标采用综合评估法。评标委员会对满足招标文件实质性要求的投标文件，按照本章第2.2款规定的评分标准进行打分，并按得分由高到低顺序对投标人排序，并推荐1至3名中标候选人。综合评分相等时，以投标报价低的优先。</w:t>
      </w:r>
    </w:p>
    <w:p w14:paraId="0EDC4A3E">
      <w:pPr>
        <w:pStyle w:val="3"/>
        <w:spacing w:before="0" w:after="0" w:line="400" w:lineRule="exact"/>
        <w:rPr>
          <w:rFonts w:ascii="宋体" w:hAnsi="宋体"/>
          <w:sz w:val="21"/>
          <w:szCs w:val="21"/>
        </w:rPr>
      </w:pPr>
      <w:bookmarkStart w:id="322" w:name="_Toc16195"/>
      <w:r>
        <w:rPr>
          <w:rFonts w:hint="eastAsia" w:ascii="宋体" w:hAnsi="宋体"/>
          <w:sz w:val="21"/>
          <w:szCs w:val="21"/>
        </w:rPr>
        <w:t>2．评审标准</w:t>
      </w:r>
      <w:bookmarkEnd w:id="322"/>
    </w:p>
    <w:p w14:paraId="3678133A">
      <w:pPr>
        <w:pStyle w:val="4"/>
        <w:spacing w:before="0" w:after="0" w:line="400" w:lineRule="exact"/>
        <w:rPr>
          <w:rFonts w:ascii="宋体"/>
          <w:sz w:val="21"/>
          <w:szCs w:val="21"/>
        </w:rPr>
      </w:pPr>
      <w:bookmarkStart w:id="323" w:name="_Toc144974569"/>
      <w:bookmarkStart w:id="324" w:name="_Toc152045602"/>
      <w:bookmarkStart w:id="325" w:name="_Toc152042379"/>
      <w:bookmarkStart w:id="326" w:name="_Toc247527627"/>
      <w:bookmarkStart w:id="327" w:name="_Toc26334"/>
      <w:bookmarkStart w:id="328" w:name="_Toc247514026"/>
      <w:r>
        <w:rPr>
          <w:rFonts w:hint="eastAsia" w:ascii="宋体"/>
          <w:sz w:val="21"/>
          <w:szCs w:val="21"/>
        </w:rPr>
        <w:t>2.1 初步评审标准</w:t>
      </w:r>
      <w:bookmarkEnd w:id="323"/>
      <w:bookmarkEnd w:id="324"/>
      <w:bookmarkEnd w:id="325"/>
      <w:bookmarkEnd w:id="326"/>
      <w:bookmarkEnd w:id="327"/>
      <w:bookmarkEnd w:id="328"/>
    </w:p>
    <w:p w14:paraId="50671DA7">
      <w:pPr>
        <w:spacing w:line="400" w:lineRule="exact"/>
        <w:ind w:firstLine="420" w:firstLineChars="200"/>
        <w:rPr>
          <w:rFonts w:ascii="宋体" w:hAnsi="宋体"/>
          <w:szCs w:val="21"/>
        </w:rPr>
      </w:pPr>
      <w:r>
        <w:rPr>
          <w:rFonts w:hint="eastAsia" w:ascii="宋体" w:hAnsi="宋体"/>
          <w:szCs w:val="21"/>
        </w:rPr>
        <w:t>2.1.1 形式评审标准：见评标办法前附表。</w:t>
      </w:r>
    </w:p>
    <w:p w14:paraId="3B72373D">
      <w:pPr>
        <w:spacing w:line="400" w:lineRule="exact"/>
        <w:ind w:firstLine="420" w:firstLineChars="200"/>
        <w:rPr>
          <w:rFonts w:ascii="宋体" w:hAnsi="宋体"/>
          <w:szCs w:val="21"/>
        </w:rPr>
      </w:pPr>
      <w:r>
        <w:rPr>
          <w:rFonts w:hint="eastAsia" w:ascii="宋体" w:hAnsi="宋体"/>
          <w:szCs w:val="21"/>
        </w:rPr>
        <w:t>2.1.2 资格评审标准：见评标办法前附表。</w:t>
      </w:r>
    </w:p>
    <w:p w14:paraId="483E51EE">
      <w:pPr>
        <w:spacing w:line="400" w:lineRule="exact"/>
        <w:ind w:firstLine="420" w:firstLineChars="200"/>
        <w:rPr>
          <w:rFonts w:ascii="宋体" w:hAnsi="宋体"/>
          <w:szCs w:val="21"/>
        </w:rPr>
      </w:pPr>
      <w:r>
        <w:rPr>
          <w:rFonts w:hint="eastAsia" w:ascii="宋体" w:hAnsi="宋体"/>
          <w:szCs w:val="21"/>
        </w:rPr>
        <w:t>2.1.3 响应性评审标准：见评标办法前附表。</w:t>
      </w:r>
    </w:p>
    <w:p w14:paraId="79099BD7">
      <w:pPr>
        <w:pStyle w:val="4"/>
        <w:spacing w:before="0" w:after="0" w:line="400" w:lineRule="exact"/>
        <w:rPr>
          <w:rFonts w:ascii="宋体"/>
          <w:sz w:val="21"/>
          <w:szCs w:val="21"/>
        </w:rPr>
      </w:pPr>
      <w:bookmarkStart w:id="329" w:name="_Toc29214"/>
      <w:bookmarkStart w:id="330" w:name="_Toc144974570"/>
      <w:bookmarkStart w:id="331" w:name="_Toc247514027"/>
      <w:bookmarkStart w:id="332" w:name="_Toc152045603"/>
      <w:bookmarkStart w:id="333" w:name="_Toc247527628"/>
      <w:bookmarkStart w:id="334" w:name="_Toc152042380"/>
      <w:r>
        <w:rPr>
          <w:rFonts w:hint="eastAsia" w:ascii="宋体"/>
          <w:sz w:val="21"/>
          <w:szCs w:val="21"/>
        </w:rPr>
        <w:t>2.2 分值构成与评分标准</w:t>
      </w:r>
      <w:bookmarkEnd w:id="329"/>
      <w:bookmarkEnd w:id="330"/>
      <w:bookmarkEnd w:id="331"/>
      <w:bookmarkEnd w:id="332"/>
      <w:bookmarkEnd w:id="333"/>
      <w:bookmarkEnd w:id="334"/>
    </w:p>
    <w:p w14:paraId="26ED3BF9">
      <w:pPr>
        <w:spacing w:line="400" w:lineRule="exact"/>
        <w:ind w:firstLine="420" w:firstLineChars="200"/>
        <w:rPr>
          <w:rFonts w:ascii="宋体" w:hAnsi="宋体"/>
          <w:szCs w:val="21"/>
        </w:rPr>
      </w:pPr>
      <w:r>
        <w:rPr>
          <w:rFonts w:hint="eastAsia" w:ascii="宋体" w:hAnsi="宋体"/>
          <w:szCs w:val="21"/>
        </w:rPr>
        <w:t>2.2.1 分值构成</w:t>
      </w:r>
    </w:p>
    <w:p w14:paraId="6E17399D">
      <w:pPr>
        <w:spacing w:line="400" w:lineRule="exact"/>
        <w:ind w:firstLine="420" w:firstLineChars="200"/>
        <w:rPr>
          <w:rFonts w:ascii="宋体" w:hAnsi="宋体"/>
          <w:szCs w:val="21"/>
        </w:rPr>
      </w:pPr>
      <w:r>
        <w:rPr>
          <w:rFonts w:hint="eastAsia" w:ascii="宋体" w:hAnsi="宋体"/>
          <w:szCs w:val="21"/>
        </w:rPr>
        <w:t>（1）技术部分：见评标办法前附表；</w:t>
      </w:r>
    </w:p>
    <w:p w14:paraId="08BB755C">
      <w:pPr>
        <w:spacing w:line="400" w:lineRule="exact"/>
        <w:ind w:firstLine="420" w:firstLineChars="200"/>
        <w:rPr>
          <w:rFonts w:ascii="宋体" w:hAnsi="宋体"/>
          <w:szCs w:val="21"/>
        </w:rPr>
      </w:pPr>
      <w:r>
        <w:rPr>
          <w:rFonts w:hint="eastAsia" w:ascii="宋体" w:hAnsi="宋体"/>
          <w:szCs w:val="21"/>
        </w:rPr>
        <w:t>（2）商务部分：见评标办法前附表。</w:t>
      </w:r>
    </w:p>
    <w:p w14:paraId="5AFFB19B">
      <w:pPr>
        <w:spacing w:line="400" w:lineRule="exact"/>
        <w:ind w:firstLine="420" w:firstLineChars="200"/>
        <w:rPr>
          <w:rFonts w:ascii="宋体" w:hAnsi="宋体"/>
          <w:szCs w:val="21"/>
        </w:rPr>
      </w:pPr>
      <w:r>
        <w:rPr>
          <w:rFonts w:hint="eastAsia" w:ascii="宋体" w:hAnsi="宋体"/>
          <w:szCs w:val="21"/>
        </w:rPr>
        <w:t>（3）综合部分：见评标办法前附表。</w:t>
      </w:r>
    </w:p>
    <w:p w14:paraId="56C7874F">
      <w:pPr>
        <w:spacing w:line="400" w:lineRule="exact"/>
        <w:ind w:firstLine="420" w:firstLineChars="200"/>
        <w:rPr>
          <w:rFonts w:ascii="宋体" w:hAnsi="宋体"/>
          <w:szCs w:val="21"/>
        </w:rPr>
      </w:pPr>
      <w:r>
        <w:rPr>
          <w:rFonts w:hint="eastAsia" w:ascii="宋体" w:hAnsi="宋体"/>
          <w:szCs w:val="21"/>
        </w:rPr>
        <w:t>2.2.4评分标准</w:t>
      </w:r>
    </w:p>
    <w:p w14:paraId="280C3C1A">
      <w:pPr>
        <w:spacing w:line="400" w:lineRule="exact"/>
        <w:ind w:firstLine="420" w:firstLineChars="200"/>
        <w:rPr>
          <w:rFonts w:ascii="宋体" w:hAnsi="宋体"/>
          <w:szCs w:val="21"/>
        </w:rPr>
      </w:pPr>
      <w:r>
        <w:rPr>
          <w:rFonts w:hint="eastAsia" w:ascii="宋体" w:hAnsi="宋体"/>
          <w:szCs w:val="21"/>
        </w:rPr>
        <w:t>（1）技术标评分标准：见评标办法前附表；</w:t>
      </w:r>
    </w:p>
    <w:p w14:paraId="4452B19C">
      <w:pPr>
        <w:spacing w:line="400" w:lineRule="exact"/>
        <w:ind w:firstLine="420" w:firstLineChars="200"/>
        <w:rPr>
          <w:rFonts w:ascii="宋体" w:hAnsi="宋体"/>
          <w:szCs w:val="21"/>
        </w:rPr>
      </w:pPr>
      <w:r>
        <w:rPr>
          <w:rFonts w:hint="eastAsia" w:ascii="宋体" w:hAnsi="宋体"/>
          <w:szCs w:val="21"/>
        </w:rPr>
        <w:t>（2）商务标评分标准：见评标办法前附表。</w:t>
      </w:r>
    </w:p>
    <w:p w14:paraId="043D9EB9">
      <w:pPr>
        <w:spacing w:line="400" w:lineRule="exact"/>
        <w:ind w:firstLine="420" w:firstLineChars="200"/>
        <w:rPr>
          <w:rFonts w:ascii="宋体" w:hAnsi="宋体"/>
          <w:szCs w:val="21"/>
        </w:rPr>
      </w:pPr>
      <w:r>
        <w:rPr>
          <w:rFonts w:hint="eastAsia" w:ascii="宋体" w:hAnsi="宋体"/>
          <w:szCs w:val="21"/>
        </w:rPr>
        <w:t>（3）综合标评分标准：见评标办法前附表。</w:t>
      </w:r>
    </w:p>
    <w:p w14:paraId="6D1AB3F6">
      <w:pPr>
        <w:pStyle w:val="3"/>
        <w:spacing w:before="0" w:after="0" w:line="400" w:lineRule="exact"/>
        <w:rPr>
          <w:rFonts w:ascii="宋体" w:hAnsi="宋体"/>
          <w:sz w:val="21"/>
          <w:szCs w:val="21"/>
        </w:rPr>
      </w:pPr>
      <w:bookmarkStart w:id="335" w:name="_Toc247527629"/>
      <w:bookmarkStart w:id="336" w:name="_Toc152042381"/>
      <w:bookmarkStart w:id="337" w:name="_Toc144974571"/>
      <w:bookmarkStart w:id="338" w:name="_Toc152045604"/>
      <w:bookmarkStart w:id="339" w:name="_Toc24026"/>
      <w:bookmarkStart w:id="340" w:name="_Toc247514028"/>
      <w:r>
        <w:rPr>
          <w:rFonts w:hint="eastAsia" w:ascii="宋体" w:hAnsi="宋体"/>
          <w:sz w:val="21"/>
          <w:szCs w:val="21"/>
        </w:rPr>
        <w:t>3. 评标程序</w:t>
      </w:r>
      <w:bookmarkEnd w:id="335"/>
      <w:bookmarkEnd w:id="336"/>
      <w:bookmarkEnd w:id="337"/>
      <w:bookmarkEnd w:id="338"/>
      <w:bookmarkEnd w:id="339"/>
      <w:bookmarkEnd w:id="340"/>
    </w:p>
    <w:p w14:paraId="0C96EF72">
      <w:pPr>
        <w:pStyle w:val="4"/>
        <w:spacing w:before="0" w:after="0" w:line="400" w:lineRule="exact"/>
        <w:rPr>
          <w:rFonts w:ascii="宋体"/>
          <w:sz w:val="21"/>
          <w:szCs w:val="21"/>
        </w:rPr>
      </w:pPr>
      <w:bookmarkStart w:id="341" w:name="_Toc30494"/>
      <w:bookmarkStart w:id="342" w:name="_Toc247514029"/>
      <w:bookmarkStart w:id="343" w:name="_Toc247527630"/>
      <w:bookmarkStart w:id="344" w:name="_Toc152042382"/>
      <w:bookmarkStart w:id="345" w:name="_Toc152045605"/>
      <w:bookmarkStart w:id="346" w:name="_Toc144974572"/>
      <w:r>
        <w:rPr>
          <w:rFonts w:hint="eastAsia" w:ascii="宋体"/>
          <w:sz w:val="21"/>
          <w:szCs w:val="21"/>
        </w:rPr>
        <w:t>3.1 初步评审</w:t>
      </w:r>
      <w:bookmarkEnd w:id="341"/>
      <w:bookmarkEnd w:id="342"/>
      <w:bookmarkEnd w:id="343"/>
      <w:bookmarkEnd w:id="344"/>
      <w:bookmarkEnd w:id="345"/>
      <w:bookmarkEnd w:id="346"/>
    </w:p>
    <w:p w14:paraId="195189FC">
      <w:pPr>
        <w:spacing w:line="400" w:lineRule="exact"/>
        <w:ind w:firstLine="420" w:firstLineChars="200"/>
        <w:rPr>
          <w:rFonts w:ascii="宋体" w:hAnsi="宋体"/>
          <w:szCs w:val="21"/>
        </w:rPr>
      </w:pPr>
      <w:r>
        <w:rPr>
          <w:rFonts w:hint="eastAsia" w:ascii="宋体" w:hAnsi="宋体"/>
          <w:szCs w:val="21"/>
        </w:rPr>
        <w:t>3.1.1 评标委员会依据招标文件规定的标准对投标文件进行初步评审。</w:t>
      </w:r>
    </w:p>
    <w:p w14:paraId="2A388450">
      <w:pPr>
        <w:spacing w:line="400" w:lineRule="exact"/>
        <w:ind w:firstLine="420" w:firstLineChars="200"/>
        <w:rPr>
          <w:rFonts w:ascii="宋体" w:hAnsi="宋体"/>
          <w:szCs w:val="21"/>
        </w:rPr>
      </w:pPr>
      <w:r>
        <w:rPr>
          <w:rFonts w:hint="eastAsia" w:ascii="宋体" w:hAnsi="宋体"/>
          <w:szCs w:val="21"/>
        </w:rPr>
        <w:t>3.1.2 投标人有以下情形之一的，评标委员会应当否决其投标：</w:t>
      </w:r>
    </w:p>
    <w:p w14:paraId="362E07DB">
      <w:pPr>
        <w:spacing w:line="400" w:lineRule="exact"/>
        <w:ind w:firstLine="420" w:firstLineChars="200"/>
        <w:rPr>
          <w:rFonts w:ascii="宋体" w:hAnsi="宋体"/>
          <w:szCs w:val="21"/>
        </w:rPr>
      </w:pPr>
      <w:r>
        <w:rPr>
          <w:rFonts w:hint="eastAsia" w:ascii="宋体" w:hAnsi="宋体"/>
          <w:szCs w:val="21"/>
        </w:rPr>
        <w:t>（1）未按规定的格式填写，内容不全，关键字迹模糊或无法辨认的；</w:t>
      </w:r>
    </w:p>
    <w:p w14:paraId="4B277E42">
      <w:pPr>
        <w:spacing w:line="400" w:lineRule="exact"/>
        <w:ind w:firstLine="420" w:firstLineChars="200"/>
        <w:rPr>
          <w:rFonts w:ascii="宋体" w:hAnsi="宋体"/>
          <w:szCs w:val="21"/>
        </w:rPr>
      </w:pPr>
      <w:r>
        <w:rPr>
          <w:rFonts w:hint="eastAsia" w:ascii="宋体" w:hAnsi="宋体"/>
          <w:szCs w:val="21"/>
        </w:rPr>
        <w:t>（2）未按招标文件要求提交投标保证金的；</w:t>
      </w:r>
    </w:p>
    <w:p w14:paraId="2BAB4792">
      <w:pPr>
        <w:spacing w:line="400" w:lineRule="exact"/>
        <w:ind w:firstLine="420" w:firstLineChars="200"/>
        <w:rPr>
          <w:rFonts w:ascii="宋体" w:hAnsi="宋体"/>
          <w:szCs w:val="21"/>
        </w:rPr>
      </w:pPr>
      <w:r>
        <w:rPr>
          <w:rFonts w:hint="eastAsia" w:ascii="宋体" w:hAnsi="宋体"/>
          <w:szCs w:val="21"/>
        </w:rPr>
        <w:t>（3）投标人资格条件不符合国家有关规定和招标文件要求的；</w:t>
      </w:r>
    </w:p>
    <w:p w14:paraId="12DEB224">
      <w:pPr>
        <w:spacing w:line="400" w:lineRule="exact"/>
        <w:ind w:firstLine="420" w:firstLineChars="200"/>
        <w:rPr>
          <w:rFonts w:ascii="宋体" w:hAnsi="宋体"/>
          <w:szCs w:val="21"/>
        </w:rPr>
      </w:pPr>
      <w:r>
        <w:rPr>
          <w:rFonts w:hint="eastAsia" w:ascii="宋体" w:hAnsi="宋体"/>
          <w:szCs w:val="21"/>
        </w:rPr>
        <w:t>（4）违反国家强制性标准的；</w:t>
      </w:r>
    </w:p>
    <w:p w14:paraId="4A6D79ED">
      <w:pPr>
        <w:spacing w:line="400" w:lineRule="exact"/>
        <w:ind w:firstLine="420" w:firstLineChars="200"/>
        <w:rPr>
          <w:rFonts w:ascii="宋体" w:hAnsi="宋体"/>
          <w:szCs w:val="21"/>
        </w:rPr>
      </w:pPr>
      <w:r>
        <w:rPr>
          <w:rFonts w:hint="eastAsia" w:ascii="宋体" w:hAnsi="宋体"/>
          <w:szCs w:val="21"/>
        </w:rPr>
        <w:t>（5）是否按照要求对投标报价进行确认、对投标文件进行澄清、说明或者补充的；</w:t>
      </w:r>
    </w:p>
    <w:p w14:paraId="65AF1C60">
      <w:pPr>
        <w:spacing w:line="400" w:lineRule="exact"/>
        <w:ind w:firstLine="420" w:firstLineChars="200"/>
        <w:rPr>
          <w:rFonts w:ascii="宋体" w:hAnsi="宋体"/>
          <w:szCs w:val="21"/>
        </w:rPr>
      </w:pPr>
      <w:r>
        <w:rPr>
          <w:rFonts w:hint="eastAsia" w:ascii="宋体" w:hAnsi="宋体"/>
          <w:szCs w:val="21"/>
        </w:rPr>
        <w:t>（6）投标文件附有招标人不能接受的条件的或不符合招标文件规定的其它情况的；</w:t>
      </w:r>
    </w:p>
    <w:p w14:paraId="3C14B3EB">
      <w:pPr>
        <w:spacing w:line="400" w:lineRule="exact"/>
        <w:ind w:firstLine="420" w:firstLineChars="200"/>
        <w:rPr>
          <w:rFonts w:ascii="宋体" w:hAnsi="宋体"/>
          <w:szCs w:val="21"/>
        </w:rPr>
      </w:pPr>
      <w:r>
        <w:rPr>
          <w:rFonts w:hint="eastAsia" w:ascii="宋体" w:hAnsi="宋体"/>
          <w:szCs w:val="21"/>
        </w:rPr>
        <w:t>（7）以他人名义投标、串通投标、弄虚作假的；</w:t>
      </w:r>
    </w:p>
    <w:p w14:paraId="73C392DE">
      <w:pPr>
        <w:spacing w:line="400" w:lineRule="exact"/>
        <w:ind w:firstLine="420" w:firstLineChars="200"/>
        <w:rPr>
          <w:rFonts w:ascii="宋体" w:hAnsi="宋体"/>
          <w:szCs w:val="21"/>
        </w:rPr>
      </w:pPr>
      <w:r>
        <w:rPr>
          <w:rFonts w:hint="eastAsia" w:ascii="宋体" w:hAnsi="宋体"/>
          <w:szCs w:val="21"/>
        </w:rPr>
        <w:t>（8）未响应招标文件要求的。</w:t>
      </w:r>
    </w:p>
    <w:p w14:paraId="1C6A3354">
      <w:pPr>
        <w:spacing w:line="400" w:lineRule="exact"/>
        <w:ind w:firstLine="420" w:firstLineChars="200"/>
        <w:rPr>
          <w:rFonts w:ascii="宋体" w:hAnsi="宋体"/>
          <w:szCs w:val="21"/>
        </w:rPr>
      </w:pPr>
      <w:r>
        <w:rPr>
          <w:rFonts w:hint="eastAsia" w:ascii="宋体" w:hAnsi="宋体"/>
          <w:szCs w:val="21"/>
        </w:rPr>
        <w:t>3.1.3 投标报价有算术错误的，评标委员会按以下原则对投标报价进行修正，修正的价格经投标人书面确认后具有约束力。投标人不接受修正价格的，评标委员会应当否决其投标。</w:t>
      </w:r>
    </w:p>
    <w:p w14:paraId="037BD937">
      <w:pPr>
        <w:spacing w:line="400" w:lineRule="exact"/>
        <w:ind w:firstLine="420" w:firstLineChars="200"/>
        <w:rPr>
          <w:rFonts w:ascii="宋体" w:hAnsi="宋体"/>
          <w:szCs w:val="21"/>
        </w:rPr>
      </w:pPr>
      <w:bookmarkStart w:id="347" w:name="_Toc152042383"/>
      <w:r>
        <w:rPr>
          <w:rFonts w:hint="eastAsia" w:ascii="宋体" w:hAnsi="宋体"/>
          <w:szCs w:val="21"/>
        </w:rPr>
        <w:t>（1）投标文件中的大写金额与小写金额不一致的，以大写金额为准；</w:t>
      </w:r>
      <w:bookmarkEnd w:id="347"/>
    </w:p>
    <w:p w14:paraId="409709DB">
      <w:pPr>
        <w:spacing w:line="400" w:lineRule="exact"/>
        <w:ind w:firstLine="420" w:firstLineChars="200"/>
        <w:rPr>
          <w:rFonts w:ascii="宋体" w:hAnsi="宋体"/>
          <w:szCs w:val="21"/>
        </w:rPr>
      </w:pPr>
      <w:r>
        <w:rPr>
          <w:rFonts w:hint="eastAsia" w:ascii="宋体" w:hAnsi="宋体"/>
          <w:szCs w:val="21"/>
        </w:rPr>
        <w:t>（2）总价金额与依据单价计算出的结果不一致的，以单价金额为准修正总价，但单价金额小数点有明显错误的除外。</w:t>
      </w:r>
    </w:p>
    <w:p w14:paraId="76EE1A75">
      <w:pPr>
        <w:pStyle w:val="4"/>
        <w:spacing w:before="0" w:after="0" w:line="400" w:lineRule="exact"/>
        <w:rPr>
          <w:rFonts w:ascii="宋体"/>
          <w:sz w:val="21"/>
          <w:szCs w:val="21"/>
        </w:rPr>
      </w:pPr>
      <w:bookmarkStart w:id="348" w:name="_Toc18195"/>
      <w:bookmarkStart w:id="349" w:name="_Toc152045606"/>
      <w:bookmarkStart w:id="350" w:name="_Toc152042384"/>
      <w:bookmarkStart w:id="351" w:name="_Toc144974573"/>
      <w:bookmarkStart w:id="352" w:name="_Toc247514030"/>
      <w:bookmarkStart w:id="353" w:name="_Toc247527631"/>
      <w:r>
        <w:rPr>
          <w:rFonts w:hint="eastAsia" w:ascii="宋体"/>
          <w:sz w:val="21"/>
          <w:szCs w:val="21"/>
        </w:rPr>
        <w:t>3.2 详细评审</w:t>
      </w:r>
      <w:bookmarkEnd w:id="348"/>
      <w:bookmarkEnd w:id="349"/>
      <w:bookmarkEnd w:id="350"/>
      <w:bookmarkEnd w:id="351"/>
      <w:bookmarkEnd w:id="352"/>
      <w:bookmarkEnd w:id="353"/>
    </w:p>
    <w:p w14:paraId="50122CC3">
      <w:pPr>
        <w:spacing w:line="400" w:lineRule="exact"/>
        <w:ind w:firstLine="420" w:firstLineChars="200"/>
        <w:rPr>
          <w:rFonts w:ascii="宋体" w:hAnsi="宋体"/>
          <w:szCs w:val="21"/>
        </w:rPr>
      </w:pPr>
      <w:r>
        <w:rPr>
          <w:rFonts w:hint="eastAsia" w:ascii="宋体" w:hAnsi="宋体"/>
          <w:szCs w:val="21"/>
        </w:rPr>
        <w:t>3.2.1 评标委员会按本章第2.2款规定的量化因素和分值进行打分，并计算出综合评估得分。评标办法前附表对承包人建议书中的文件评审有特殊规定的，从其规定。</w:t>
      </w:r>
    </w:p>
    <w:p w14:paraId="0776625D">
      <w:pPr>
        <w:spacing w:line="400" w:lineRule="exact"/>
        <w:ind w:firstLine="420" w:firstLineChars="200"/>
        <w:rPr>
          <w:rFonts w:ascii="宋体" w:hAnsi="宋体"/>
          <w:szCs w:val="21"/>
        </w:rPr>
      </w:pPr>
      <w:r>
        <w:rPr>
          <w:rFonts w:hint="eastAsia" w:ascii="宋体" w:hAnsi="宋体"/>
          <w:szCs w:val="21"/>
        </w:rPr>
        <w:t>（1）按本章规定的评审因素和分值对技术部分计算出得分A；</w:t>
      </w:r>
    </w:p>
    <w:p w14:paraId="67DBC457">
      <w:pPr>
        <w:spacing w:line="400" w:lineRule="exact"/>
        <w:ind w:firstLine="420" w:firstLineChars="200"/>
        <w:rPr>
          <w:rFonts w:ascii="宋体" w:hAnsi="宋体"/>
          <w:szCs w:val="21"/>
        </w:rPr>
      </w:pPr>
      <w:r>
        <w:rPr>
          <w:rFonts w:hint="eastAsia" w:ascii="宋体" w:hAnsi="宋体"/>
          <w:szCs w:val="21"/>
        </w:rPr>
        <w:t>（2）按本章规定的评审因素和分值对商务部分计算出得分B。</w:t>
      </w:r>
    </w:p>
    <w:p w14:paraId="183A0861">
      <w:pPr>
        <w:spacing w:line="400" w:lineRule="exact"/>
        <w:ind w:firstLine="420" w:firstLineChars="200"/>
        <w:rPr>
          <w:rFonts w:ascii="宋体" w:hAnsi="宋体"/>
          <w:szCs w:val="21"/>
        </w:rPr>
      </w:pPr>
      <w:r>
        <w:rPr>
          <w:rFonts w:hint="eastAsia" w:ascii="宋体" w:hAnsi="宋体"/>
          <w:szCs w:val="21"/>
        </w:rPr>
        <w:t>（3）按本章规定的评审因素和分值对综合部分计算出得分C。</w:t>
      </w:r>
    </w:p>
    <w:p w14:paraId="77F8264F">
      <w:pPr>
        <w:spacing w:line="400" w:lineRule="exact"/>
        <w:ind w:firstLine="420" w:firstLineChars="200"/>
        <w:rPr>
          <w:rFonts w:ascii="宋体" w:hAnsi="宋体"/>
          <w:szCs w:val="21"/>
        </w:rPr>
      </w:pPr>
      <w:r>
        <w:rPr>
          <w:rFonts w:hint="eastAsia" w:ascii="宋体" w:hAnsi="宋体"/>
          <w:szCs w:val="21"/>
        </w:rPr>
        <w:t>3.2.2 评分分值计算保留小数点后两位，小数点后第三位“四舍五入”。</w:t>
      </w:r>
    </w:p>
    <w:p w14:paraId="05909BFE">
      <w:pPr>
        <w:spacing w:line="400" w:lineRule="exact"/>
        <w:ind w:firstLine="420" w:firstLineChars="200"/>
        <w:rPr>
          <w:rFonts w:ascii="宋体" w:hAnsi="宋体"/>
          <w:szCs w:val="21"/>
        </w:rPr>
      </w:pPr>
      <w:r>
        <w:rPr>
          <w:rFonts w:hint="eastAsia" w:ascii="宋体" w:hAnsi="宋体"/>
          <w:szCs w:val="21"/>
        </w:rPr>
        <w:t>3.2.3 投标人得分=A+B+C。</w:t>
      </w:r>
    </w:p>
    <w:p w14:paraId="70AF8C5A">
      <w:pPr>
        <w:spacing w:line="400" w:lineRule="exact"/>
        <w:ind w:firstLine="420" w:firstLineChars="200"/>
        <w:rPr>
          <w:rFonts w:ascii="宋体" w:hAnsi="宋体"/>
          <w:szCs w:val="21"/>
        </w:rPr>
      </w:pPr>
      <w:r>
        <w:rPr>
          <w:rFonts w:hint="eastAsia" w:ascii="宋体" w:hAnsi="宋体"/>
          <w:szCs w:val="21"/>
        </w:rPr>
        <w:t>3.2.4 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评标委员会应当认定该投标人以低于成本报价竞标，应当否决其投标。</w:t>
      </w:r>
    </w:p>
    <w:p w14:paraId="70DB398B">
      <w:pPr>
        <w:pStyle w:val="4"/>
        <w:spacing w:before="0" w:after="0" w:line="400" w:lineRule="exact"/>
        <w:rPr>
          <w:rFonts w:ascii="宋体"/>
          <w:sz w:val="21"/>
          <w:szCs w:val="21"/>
        </w:rPr>
      </w:pPr>
      <w:bookmarkStart w:id="354" w:name="_Toc144974575"/>
      <w:bookmarkStart w:id="355" w:name="_Toc152042385"/>
      <w:bookmarkStart w:id="356" w:name="_Toc247527632"/>
      <w:bookmarkStart w:id="357" w:name="_Toc12388"/>
      <w:bookmarkStart w:id="358" w:name="_Toc247514031"/>
      <w:bookmarkStart w:id="359" w:name="_Toc152045607"/>
      <w:r>
        <w:rPr>
          <w:rFonts w:hint="eastAsia" w:ascii="宋体"/>
          <w:sz w:val="21"/>
          <w:szCs w:val="21"/>
        </w:rPr>
        <w:t>3.3 投标文件的澄清</w:t>
      </w:r>
      <w:bookmarkEnd w:id="354"/>
      <w:r>
        <w:rPr>
          <w:rFonts w:hint="eastAsia" w:ascii="宋体"/>
          <w:sz w:val="21"/>
          <w:szCs w:val="21"/>
        </w:rPr>
        <w:t>和补正</w:t>
      </w:r>
      <w:bookmarkEnd w:id="355"/>
      <w:bookmarkEnd w:id="356"/>
      <w:bookmarkEnd w:id="357"/>
      <w:bookmarkEnd w:id="358"/>
      <w:bookmarkEnd w:id="359"/>
    </w:p>
    <w:p w14:paraId="4715F676">
      <w:pPr>
        <w:spacing w:line="400" w:lineRule="exact"/>
        <w:ind w:firstLine="420" w:firstLineChars="200"/>
        <w:rPr>
          <w:rFonts w:ascii="宋体" w:hAnsi="宋体"/>
          <w:szCs w:val="21"/>
        </w:rPr>
      </w:pPr>
      <w:r>
        <w:rPr>
          <w:rFonts w:hint="eastAsia" w:ascii="宋体" w:hAnsi="宋体"/>
          <w:szCs w:val="21"/>
        </w:rPr>
        <w:t>3.3.1 在评标过程中，评标委员会可以要求投标人对所提交投标文件中不明确的内容进行澄清或说明，或者对细微偏差进行补正。评标委员会不接受投标人主动提出的澄清、说明或补正。</w:t>
      </w:r>
    </w:p>
    <w:p w14:paraId="6C1155F0">
      <w:pPr>
        <w:spacing w:line="400" w:lineRule="exact"/>
        <w:ind w:firstLine="420" w:firstLineChars="200"/>
        <w:rPr>
          <w:rFonts w:ascii="宋体" w:hAnsi="宋体"/>
          <w:szCs w:val="21"/>
        </w:rPr>
      </w:pPr>
      <w:r>
        <w:rPr>
          <w:rFonts w:hint="eastAsia" w:ascii="宋体" w:hAnsi="宋体"/>
          <w:szCs w:val="21"/>
        </w:rPr>
        <w:t>3.3.2 澄清、说明和补正不得改变投标文件的实质性内容。投标人的澄清、说明和补正属于投标文件的组成部分。</w:t>
      </w:r>
    </w:p>
    <w:p w14:paraId="2253DA9A">
      <w:pPr>
        <w:spacing w:line="400" w:lineRule="exact"/>
        <w:ind w:firstLine="420" w:firstLineChars="200"/>
        <w:rPr>
          <w:rFonts w:ascii="宋体" w:hAnsi="宋体"/>
          <w:szCs w:val="21"/>
        </w:rPr>
      </w:pPr>
      <w:r>
        <w:rPr>
          <w:rFonts w:hint="eastAsia" w:ascii="宋体" w:hAnsi="宋体"/>
          <w:szCs w:val="21"/>
        </w:rPr>
        <w:t>3.3.3 评标委员会对投标人提交的澄清、说明或补正有疑问的，可以要求投标人进一步澄清、说明或补正，直至满足评标委员会的要求。</w:t>
      </w:r>
    </w:p>
    <w:p w14:paraId="65368C12">
      <w:pPr>
        <w:pStyle w:val="4"/>
        <w:spacing w:before="0" w:after="0" w:line="400" w:lineRule="exact"/>
        <w:rPr>
          <w:rFonts w:ascii="宋体"/>
          <w:sz w:val="21"/>
          <w:szCs w:val="21"/>
        </w:rPr>
      </w:pPr>
      <w:bookmarkStart w:id="360" w:name="_Toc144974576"/>
      <w:bookmarkStart w:id="361" w:name="_Toc247527633"/>
      <w:bookmarkStart w:id="362" w:name="_Toc152045608"/>
      <w:bookmarkStart w:id="363" w:name="_Toc152042386"/>
      <w:bookmarkStart w:id="364" w:name="_Toc9109"/>
      <w:bookmarkStart w:id="365" w:name="_Toc247514032"/>
      <w:r>
        <w:rPr>
          <w:rFonts w:hint="eastAsia" w:ascii="宋体"/>
          <w:sz w:val="21"/>
          <w:szCs w:val="21"/>
        </w:rPr>
        <w:t>3.4 评标结果</w:t>
      </w:r>
      <w:bookmarkEnd w:id="360"/>
      <w:bookmarkEnd w:id="361"/>
      <w:bookmarkEnd w:id="362"/>
      <w:bookmarkEnd w:id="363"/>
      <w:bookmarkEnd w:id="364"/>
      <w:bookmarkEnd w:id="365"/>
    </w:p>
    <w:p w14:paraId="2468B68F">
      <w:pPr>
        <w:spacing w:line="400" w:lineRule="exact"/>
        <w:ind w:firstLine="420" w:firstLineChars="200"/>
        <w:rPr>
          <w:rFonts w:ascii="宋体" w:hAnsi="宋体"/>
          <w:szCs w:val="21"/>
        </w:rPr>
      </w:pPr>
      <w:r>
        <w:rPr>
          <w:rFonts w:hint="eastAsia" w:ascii="宋体" w:hAnsi="宋体"/>
          <w:szCs w:val="21"/>
        </w:rPr>
        <w:t>3.4.1 评标委员会对满足招标文件实质性要求的投标文件，按照本章第2.2款规定的评分标准进行打分，并按得分由高到低顺序对投标人排序，推荐1-3名中标候选人。</w:t>
      </w:r>
    </w:p>
    <w:p w14:paraId="6CAA408C">
      <w:pPr>
        <w:spacing w:line="400" w:lineRule="exact"/>
        <w:ind w:firstLine="420" w:firstLineChars="200"/>
        <w:rPr>
          <w:rFonts w:ascii="宋体" w:hAnsi="宋体"/>
          <w:szCs w:val="21"/>
        </w:rPr>
      </w:pPr>
      <w:r>
        <w:rPr>
          <w:rFonts w:hint="eastAsia" w:ascii="宋体" w:hAnsi="宋体"/>
          <w:szCs w:val="21"/>
        </w:rPr>
        <w:t>3.4.2 评标委员会完成评标后，应当向招标人提交书面评标报告。</w:t>
      </w:r>
    </w:p>
    <w:p w14:paraId="200B5C5B">
      <w:pPr>
        <w:rPr>
          <w:rFonts w:hint="eastAsia" w:ascii="宋体" w:hAnsi="宋体"/>
          <w:sz w:val="32"/>
          <w:szCs w:val="32"/>
        </w:rPr>
      </w:pPr>
      <w:bookmarkStart w:id="366" w:name="_Toc152042387"/>
      <w:bookmarkStart w:id="367" w:name="_Toc19591"/>
      <w:bookmarkStart w:id="368" w:name="_Toc22883_WPSOffice_Level1"/>
      <w:bookmarkStart w:id="369" w:name="_Toc144974577"/>
      <w:bookmarkStart w:id="370" w:name="_Toc247514033"/>
      <w:bookmarkStart w:id="371" w:name="_Toc152045609"/>
      <w:bookmarkStart w:id="372" w:name="_Toc247527634"/>
      <w:bookmarkStart w:id="373" w:name="_Toc6229_WPSOffice_Level1"/>
      <w:r>
        <w:rPr>
          <w:rFonts w:hint="eastAsia" w:ascii="宋体" w:hAnsi="宋体"/>
          <w:sz w:val="32"/>
          <w:szCs w:val="32"/>
        </w:rPr>
        <w:br w:type="page"/>
      </w:r>
    </w:p>
    <w:p w14:paraId="2E799E47">
      <w:pPr>
        <w:pStyle w:val="2"/>
        <w:spacing w:before="120" w:after="120" w:line="360" w:lineRule="auto"/>
        <w:jc w:val="center"/>
        <w:rPr>
          <w:rFonts w:hint="eastAsia" w:ascii="宋体" w:hAnsi="宋体"/>
          <w:sz w:val="32"/>
          <w:szCs w:val="32"/>
        </w:rPr>
        <w:sectPr>
          <w:footerReference r:id="rId8" w:type="default"/>
          <w:pgSz w:w="11906" w:h="16838"/>
          <w:pgMar w:top="1418" w:right="1134" w:bottom="1418" w:left="1134" w:header="851" w:footer="992" w:gutter="0"/>
          <w:cols w:space="720" w:num="1"/>
          <w:docGrid w:type="lines" w:linePitch="312" w:charSpace="0"/>
        </w:sectPr>
      </w:pPr>
    </w:p>
    <w:p w14:paraId="5CBC6A3A">
      <w:pPr>
        <w:pStyle w:val="2"/>
        <w:spacing w:before="120" w:after="120" w:line="360" w:lineRule="auto"/>
        <w:jc w:val="center"/>
        <w:rPr>
          <w:rFonts w:ascii="宋体" w:hAnsi="宋体"/>
          <w:sz w:val="32"/>
          <w:szCs w:val="32"/>
        </w:rPr>
      </w:pPr>
      <w:r>
        <w:rPr>
          <w:rFonts w:hint="eastAsia" w:ascii="宋体" w:hAnsi="宋体"/>
          <w:sz w:val="32"/>
          <w:szCs w:val="32"/>
        </w:rPr>
        <w:t>第四章 合同条款及格式</w:t>
      </w:r>
      <w:bookmarkEnd w:id="366"/>
      <w:bookmarkEnd w:id="367"/>
      <w:bookmarkEnd w:id="368"/>
      <w:bookmarkEnd w:id="369"/>
      <w:bookmarkEnd w:id="370"/>
      <w:bookmarkEnd w:id="371"/>
      <w:bookmarkEnd w:id="372"/>
      <w:bookmarkEnd w:id="373"/>
      <w:bookmarkStart w:id="374" w:name="_Toc247514034"/>
      <w:bookmarkStart w:id="375" w:name="_Toc184635097"/>
      <w:bookmarkStart w:id="376" w:name="_Toc152042388"/>
      <w:bookmarkStart w:id="377" w:name="_Toc247527635"/>
      <w:bookmarkStart w:id="378" w:name="_Toc152045610"/>
      <w:bookmarkStart w:id="379" w:name="_Toc144974578"/>
    </w:p>
    <w:bookmarkEnd w:id="374"/>
    <w:bookmarkEnd w:id="375"/>
    <w:bookmarkEnd w:id="376"/>
    <w:bookmarkEnd w:id="377"/>
    <w:bookmarkEnd w:id="378"/>
    <w:bookmarkEnd w:id="379"/>
    <w:p w14:paraId="6F8CEBC9">
      <w:pPr>
        <w:pStyle w:val="15"/>
        <w:jc w:val="center"/>
        <w:rPr>
          <w:rFonts w:ascii="宋体" w:hAnsi="宋体" w:cs="宋体"/>
        </w:rPr>
      </w:pPr>
      <w:bookmarkStart w:id="380" w:name="_Toc43885672"/>
      <w:bookmarkStart w:id="381" w:name="_Toc152042575"/>
      <w:bookmarkStart w:id="382" w:name="_Toc247527826"/>
      <w:bookmarkStart w:id="383" w:name="_Toc1683"/>
      <w:bookmarkStart w:id="384" w:name="_Toc152045786"/>
      <w:bookmarkStart w:id="385" w:name="_Toc23550_WPSOffice_Level1"/>
      <w:bookmarkStart w:id="386" w:name="_Toc144974855"/>
      <w:bookmarkStart w:id="387" w:name="_Toc247514245"/>
      <w:bookmarkStart w:id="388" w:name="_Toc9064_WPSOffice_Level1"/>
      <w:r>
        <w:rPr>
          <w:rFonts w:hint="eastAsia" w:ascii="宋体" w:hAnsi="宋体" w:cs="Times New Roman"/>
          <w:b/>
          <w:bCs/>
          <w:kern w:val="44"/>
          <w:sz w:val="32"/>
          <w:szCs w:val="32"/>
        </w:rPr>
        <w:t>（仅供参考）</w:t>
      </w:r>
    </w:p>
    <w:p w14:paraId="55147C14">
      <w:pPr>
        <w:pStyle w:val="2"/>
        <w:spacing w:before="20" w:after="20" w:line="360" w:lineRule="auto"/>
        <w:jc w:val="center"/>
        <w:rPr>
          <w:rFonts w:hint="eastAsia" w:ascii="宋体" w:hAnsi="宋体" w:cs="宋体"/>
          <w:b w:val="0"/>
          <w:bCs w:val="0"/>
          <w:sz w:val="21"/>
          <w:szCs w:val="21"/>
        </w:rPr>
      </w:pPr>
    </w:p>
    <w:p w14:paraId="0BE87F5C">
      <w:pPr>
        <w:spacing w:before="83" w:line="188" w:lineRule="auto"/>
        <w:rPr>
          <w:rFonts w:hint="eastAsia" w:ascii="宋体" w:hAnsi="宋体" w:cs="宋体"/>
          <w:sz w:val="29"/>
          <w:szCs w:val="29"/>
        </w:rPr>
      </w:pPr>
      <w:r>
        <w:rPr>
          <w:rFonts w:hint="eastAsia" w:ascii="宋体" w:hAnsi="宋体" w:cs="宋体"/>
          <w:spacing w:val="-4"/>
          <w:sz w:val="29"/>
          <w:szCs w:val="29"/>
        </w:rPr>
        <w:t>GF-2000-0203</w:t>
      </w:r>
    </w:p>
    <w:p w14:paraId="3A4DDB17">
      <w:pPr>
        <w:spacing w:line="261" w:lineRule="auto"/>
        <w:rPr>
          <w:rFonts w:hint="eastAsia" w:ascii="宋体" w:hAnsi="宋体" w:cs="宋体"/>
        </w:rPr>
      </w:pPr>
    </w:p>
    <w:p w14:paraId="54A620ED">
      <w:pPr>
        <w:spacing w:line="262" w:lineRule="auto"/>
        <w:rPr>
          <w:rFonts w:hint="eastAsia" w:ascii="宋体" w:hAnsi="宋体" w:cs="宋体"/>
        </w:rPr>
      </w:pPr>
    </w:p>
    <w:p w14:paraId="730A5A81">
      <w:pPr>
        <w:spacing w:line="262" w:lineRule="auto"/>
        <w:rPr>
          <w:rFonts w:hint="eastAsia" w:ascii="宋体" w:hAnsi="宋体" w:cs="宋体"/>
        </w:rPr>
      </w:pPr>
    </w:p>
    <w:p w14:paraId="3A41FB2F">
      <w:pPr>
        <w:spacing w:line="262" w:lineRule="auto"/>
        <w:rPr>
          <w:rFonts w:hint="eastAsia" w:ascii="宋体" w:hAnsi="宋体" w:cs="宋体"/>
        </w:rPr>
      </w:pPr>
    </w:p>
    <w:p w14:paraId="2173FDF2">
      <w:pPr>
        <w:spacing w:line="262" w:lineRule="auto"/>
        <w:rPr>
          <w:rFonts w:hint="eastAsia" w:ascii="宋体" w:hAnsi="宋体" w:cs="宋体"/>
        </w:rPr>
      </w:pPr>
    </w:p>
    <w:p w14:paraId="29C5AA84">
      <w:pPr>
        <w:pStyle w:val="15"/>
        <w:spacing w:before="234" w:line="219" w:lineRule="auto"/>
        <w:ind w:left="63" w:right="63"/>
        <w:jc w:val="center"/>
        <w:rPr>
          <w:rFonts w:hint="eastAsia" w:ascii="宋体" w:hAnsi="宋体" w:cs="宋体"/>
          <w:sz w:val="72"/>
          <w:szCs w:val="72"/>
        </w:rPr>
      </w:pPr>
      <w:r>
        <w:rPr>
          <w:rFonts w:hint="eastAsia" w:ascii="宋体" w:hAnsi="宋体" w:cs="宋体"/>
          <w:b/>
          <w:bCs/>
          <w:spacing w:val="-7"/>
          <w:sz w:val="72"/>
          <w:szCs w:val="72"/>
        </w:rPr>
        <w:t>建设工程勘察合同</w:t>
      </w:r>
    </w:p>
    <w:p w14:paraId="3DB511AC">
      <w:pPr>
        <w:pStyle w:val="15"/>
        <w:spacing w:before="118" w:line="219" w:lineRule="auto"/>
        <w:ind w:left="63" w:right="63"/>
        <w:jc w:val="center"/>
        <w:rPr>
          <w:rFonts w:hint="eastAsia" w:ascii="宋体" w:hAnsi="宋体" w:cs="宋体"/>
        </w:rPr>
      </w:pPr>
      <w:r>
        <w:rPr>
          <w:rFonts w:hint="eastAsia" w:ascii="宋体" w:hAnsi="宋体" w:cs="宋体"/>
        </w:rPr>
        <w:t>[岩土工程勘察、水文地质勘察(含凿井)工程测量、工程物探]</w:t>
      </w:r>
    </w:p>
    <w:p w14:paraId="4820AB3D">
      <w:pPr>
        <w:spacing w:line="480" w:lineRule="auto"/>
        <w:ind w:firstLine="480" w:firstLineChars="200"/>
        <w:rPr>
          <w:rFonts w:hint="eastAsia" w:ascii="宋体" w:hAnsi="宋体" w:cs="宋体"/>
          <w:sz w:val="24"/>
        </w:rPr>
      </w:pPr>
    </w:p>
    <w:p w14:paraId="531BD3FF">
      <w:pPr>
        <w:pStyle w:val="34"/>
        <w:ind w:firstLine="240"/>
        <w:rPr>
          <w:rFonts w:hint="eastAsia" w:ascii="宋体" w:hAnsi="宋体" w:cs="宋体"/>
          <w:sz w:val="24"/>
        </w:rPr>
      </w:pPr>
    </w:p>
    <w:p w14:paraId="2415C0BD">
      <w:pPr>
        <w:pStyle w:val="35"/>
        <w:rPr>
          <w:rFonts w:hint="eastAsia" w:ascii="宋体" w:hAnsi="宋体" w:cs="宋体"/>
        </w:rPr>
      </w:pPr>
    </w:p>
    <w:p w14:paraId="7824E0DF">
      <w:pPr>
        <w:rPr>
          <w:rFonts w:hint="eastAsia" w:ascii="宋体" w:hAnsi="宋体" w:cs="宋体"/>
        </w:rPr>
      </w:pPr>
    </w:p>
    <w:p w14:paraId="3ED8B043">
      <w:pPr>
        <w:spacing w:line="560" w:lineRule="exact"/>
        <w:ind w:firstLine="640" w:firstLineChars="200"/>
        <w:rPr>
          <w:rFonts w:hint="eastAsia" w:ascii="宋体" w:hAnsi="宋体" w:cs="宋体"/>
          <w:b/>
          <w:bCs/>
          <w:spacing w:val="20"/>
          <w:sz w:val="28"/>
          <w:szCs w:val="28"/>
          <w:u w:val="single"/>
        </w:rPr>
      </w:pPr>
      <w:r>
        <w:rPr>
          <w:rFonts w:hint="eastAsia" w:ascii="宋体" w:hAnsi="宋体" w:cs="宋体"/>
          <w:spacing w:val="20"/>
          <w:sz w:val="28"/>
          <w:szCs w:val="22"/>
        </w:rPr>
        <w:t>工 程 名 称：</w:t>
      </w:r>
      <w:r>
        <w:rPr>
          <w:rFonts w:hint="eastAsia" w:ascii="宋体" w:hAnsi="宋体" w:cs="宋体"/>
          <w:b/>
          <w:bCs/>
          <w:spacing w:val="20"/>
          <w:sz w:val="28"/>
          <w:szCs w:val="28"/>
          <w:u w:val="single"/>
        </w:rPr>
        <w:t xml:space="preserve">                                   </w:t>
      </w:r>
    </w:p>
    <w:p w14:paraId="133BBC53">
      <w:pPr>
        <w:spacing w:line="560" w:lineRule="exact"/>
        <w:ind w:firstLine="640" w:firstLineChars="200"/>
        <w:rPr>
          <w:rFonts w:hint="eastAsia" w:ascii="宋体" w:hAnsi="宋体" w:cs="宋体"/>
          <w:sz w:val="28"/>
          <w:szCs w:val="22"/>
          <w:u w:val="single"/>
        </w:rPr>
      </w:pPr>
      <w:r>
        <w:rPr>
          <w:rFonts w:hint="eastAsia" w:ascii="宋体" w:hAnsi="宋体" w:cs="宋体"/>
          <w:spacing w:val="20"/>
          <w:sz w:val="28"/>
          <w:szCs w:val="22"/>
        </w:rPr>
        <w:t>勘察证书等级</w:t>
      </w:r>
      <w:r>
        <w:rPr>
          <w:rFonts w:hint="eastAsia" w:ascii="宋体" w:hAnsi="宋体" w:cs="宋体"/>
          <w:sz w:val="28"/>
          <w:szCs w:val="22"/>
        </w:rPr>
        <w:t>：</w:t>
      </w:r>
      <w:r>
        <w:rPr>
          <w:rFonts w:hint="eastAsia" w:ascii="宋体" w:hAnsi="宋体" w:cs="宋体"/>
          <w:b/>
          <w:bCs/>
          <w:spacing w:val="20"/>
          <w:sz w:val="28"/>
          <w:szCs w:val="22"/>
          <w:u w:val="single"/>
        </w:rPr>
        <w:t xml:space="preserve">                                 </w:t>
      </w:r>
      <w:r>
        <w:rPr>
          <w:rFonts w:hint="eastAsia" w:ascii="宋体" w:hAnsi="宋体" w:cs="宋体"/>
          <w:spacing w:val="20"/>
          <w:sz w:val="28"/>
          <w:szCs w:val="22"/>
          <w:u w:val="single"/>
        </w:rPr>
        <w:t xml:space="preserve"> </w:t>
      </w:r>
    </w:p>
    <w:p w14:paraId="58888CAE">
      <w:pPr>
        <w:spacing w:line="560" w:lineRule="exact"/>
        <w:ind w:firstLine="640" w:firstLineChars="200"/>
        <w:rPr>
          <w:rFonts w:hint="eastAsia" w:ascii="宋体" w:hAnsi="宋体" w:cs="宋体"/>
          <w:sz w:val="28"/>
          <w:szCs w:val="22"/>
          <w:u w:val="single"/>
        </w:rPr>
      </w:pPr>
      <w:r>
        <w:rPr>
          <w:rFonts w:hint="eastAsia" w:ascii="宋体" w:hAnsi="宋体" w:cs="宋体"/>
          <w:spacing w:val="20"/>
          <w:sz w:val="28"/>
          <w:szCs w:val="22"/>
        </w:rPr>
        <w:t>发   包  人</w:t>
      </w:r>
      <w:r>
        <w:rPr>
          <w:rFonts w:hint="eastAsia" w:ascii="宋体" w:hAnsi="宋体" w:cs="宋体"/>
          <w:sz w:val="28"/>
          <w:szCs w:val="22"/>
        </w:rPr>
        <w:t>：</w:t>
      </w:r>
      <w:r>
        <w:rPr>
          <w:rFonts w:hint="eastAsia" w:ascii="宋体" w:hAnsi="宋体" w:cs="宋体"/>
          <w:b/>
          <w:bCs/>
          <w:spacing w:val="20"/>
          <w:sz w:val="28"/>
          <w:szCs w:val="22"/>
          <w:u w:val="single"/>
        </w:rPr>
        <w:t xml:space="preserve">                                  </w:t>
      </w:r>
      <w:r>
        <w:rPr>
          <w:rFonts w:hint="eastAsia" w:ascii="宋体" w:hAnsi="宋体" w:cs="宋体"/>
          <w:spacing w:val="20"/>
          <w:sz w:val="28"/>
          <w:szCs w:val="22"/>
          <w:u w:val="single"/>
        </w:rPr>
        <w:t xml:space="preserve"> </w:t>
      </w:r>
    </w:p>
    <w:p w14:paraId="5C4A1685">
      <w:pPr>
        <w:spacing w:line="560" w:lineRule="exact"/>
        <w:ind w:firstLine="640" w:firstLineChars="200"/>
        <w:rPr>
          <w:rFonts w:hint="eastAsia" w:ascii="宋体" w:hAnsi="宋体" w:cs="宋体"/>
          <w:sz w:val="28"/>
          <w:szCs w:val="22"/>
          <w:u w:val="single"/>
        </w:rPr>
      </w:pPr>
      <w:r>
        <w:rPr>
          <w:rFonts w:hint="eastAsia" w:ascii="宋体" w:hAnsi="宋体" w:cs="宋体"/>
          <w:spacing w:val="20"/>
          <w:sz w:val="28"/>
          <w:szCs w:val="22"/>
        </w:rPr>
        <w:t>勘   察  人</w:t>
      </w:r>
      <w:r>
        <w:rPr>
          <w:rFonts w:hint="eastAsia" w:ascii="宋体" w:hAnsi="宋体" w:cs="宋体"/>
          <w:sz w:val="28"/>
          <w:szCs w:val="22"/>
        </w:rPr>
        <w:t>：</w:t>
      </w:r>
      <w:r>
        <w:rPr>
          <w:rFonts w:hint="eastAsia" w:ascii="宋体" w:hAnsi="宋体" w:cs="宋体"/>
          <w:b/>
          <w:bCs/>
          <w:spacing w:val="20"/>
          <w:sz w:val="28"/>
          <w:szCs w:val="22"/>
          <w:u w:val="single"/>
        </w:rPr>
        <w:t xml:space="preserve">                                   </w:t>
      </w:r>
    </w:p>
    <w:p w14:paraId="4F4868A0">
      <w:pPr>
        <w:spacing w:line="560" w:lineRule="exact"/>
        <w:ind w:firstLine="640" w:firstLineChars="200"/>
        <w:rPr>
          <w:rFonts w:hint="eastAsia" w:ascii="宋体" w:hAnsi="宋体" w:cs="宋体"/>
          <w:sz w:val="28"/>
          <w:szCs w:val="28"/>
        </w:rPr>
      </w:pPr>
      <w:r>
        <w:rPr>
          <w:rFonts w:hint="eastAsia" w:ascii="宋体" w:hAnsi="宋体" w:cs="宋体"/>
          <w:spacing w:val="20"/>
          <w:sz w:val="28"/>
          <w:szCs w:val="22"/>
        </w:rPr>
        <w:t>签 订 日 期</w:t>
      </w:r>
      <w:r>
        <w:rPr>
          <w:rFonts w:hint="eastAsia" w:ascii="宋体" w:hAnsi="宋体" w:cs="宋体"/>
          <w:sz w:val="28"/>
          <w:szCs w:val="22"/>
        </w:rPr>
        <w:t>：</w:t>
      </w:r>
      <w:r>
        <w:rPr>
          <w:rFonts w:hint="eastAsia" w:ascii="宋体" w:hAnsi="宋体" w:cs="宋体"/>
          <w:spacing w:val="20"/>
          <w:sz w:val="28"/>
          <w:szCs w:val="22"/>
          <w:u w:val="single"/>
        </w:rPr>
        <w:t xml:space="preserve">                                   </w:t>
      </w:r>
    </w:p>
    <w:p w14:paraId="5CC55195">
      <w:pPr>
        <w:spacing w:line="560" w:lineRule="exact"/>
        <w:ind w:firstLine="562" w:firstLineChars="200"/>
        <w:rPr>
          <w:rFonts w:hint="eastAsia" w:ascii="宋体" w:hAnsi="宋体" w:cs="宋体"/>
          <w:b/>
          <w:bCs/>
          <w:sz w:val="28"/>
          <w:szCs w:val="28"/>
        </w:rPr>
      </w:pPr>
    </w:p>
    <w:p w14:paraId="6BCD4DDC">
      <w:pPr>
        <w:spacing w:line="560" w:lineRule="exact"/>
        <w:ind w:firstLine="562" w:firstLineChars="200"/>
        <w:rPr>
          <w:rFonts w:hint="eastAsia" w:ascii="宋体" w:hAnsi="宋体" w:cs="宋体"/>
          <w:b/>
          <w:bCs/>
          <w:sz w:val="28"/>
          <w:szCs w:val="28"/>
        </w:rPr>
      </w:pPr>
    </w:p>
    <w:p w14:paraId="27FF6E79">
      <w:pPr>
        <w:spacing w:line="560" w:lineRule="exact"/>
        <w:ind w:firstLine="562" w:firstLineChars="200"/>
        <w:rPr>
          <w:rFonts w:hint="eastAsia" w:ascii="宋体" w:hAnsi="宋体" w:cs="宋体"/>
          <w:b/>
          <w:bCs/>
          <w:sz w:val="28"/>
          <w:szCs w:val="28"/>
        </w:rPr>
      </w:pPr>
    </w:p>
    <w:p w14:paraId="0648ED92">
      <w:pPr>
        <w:spacing w:line="560" w:lineRule="exact"/>
        <w:ind w:firstLine="562" w:firstLineChars="200"/>
        <w:rPr>
          <w:rFonts w:hint="eastAsia" w:ascii="宋体" w:hAnsi="宋体" w:cs="宋体"/>
          <w:b/>
          <w:bCs/>
          <w:sz w:val="28"/>
          <w:szCs w:val="28"/>
        </w:rPr>
      </w:pPr>
    </w:p>
    <w:p w14:paraId="0813E553">
      <w:pPr>
        <w:pStyle w:val="15"/>
        <w:spacing w:before="95" w:line="219" w:lineRule="auto"/>
        <w:ind w:left="63" w:right="63"/>
        <w:jc w:val="center"/>
        <w:rPr>
          <w:rFonts w:hint="eastAsia" w:ascii="宋体" w:hAnsi="宋体" w:cs="宋体"/>
          <w:spacing w:val="20"/>
          <w:kern w:val="2"/>
          <w:sz w:val="28"/>
          <w:szCs w:val="22"/>
        </w:rPr>
      </w:pPr>
      <w:r>
        <w:rPr>
          <w:rFonts w:hint="eastAsia" w:ascii="宋体" w:hAnsi="宋体" w:cs="宋体"/>
          <w:spacing w:val="20"/>
          <w:kern w:val="2"/>
          <w:sz w:val="28"/>
          <w:szCs w:val="22"/>
        </w:rPr>
        <w:t>中华人民共和国建设部</w:t>
      </w:r>
    </w:p>
    <w:p w14:paraId="779A3948">
      <w:pPr>
        <w:pStyle w:val="15"/>
        <w:spacing w:before="157" w:line="220" w:lineRule="auto"/>
        <w:ind w:left="63" w:right="63"/>
        <w:jc w:val="center"/>
        <w:rPr>
          <w:rFonts w:hint="eastAsia" w:ascii="宋体" w:hAnsi="宋体" w:cs="宋体"/>
          <w:spacing w:val="20"/>
          <w:kern w:val="2"/>
          <w:sz w:val="28"/>
          <w:szCs w:val="22"/>
        </w:rPr>
      </w:pPr>
      <w:r>
        <w:rPr>
          <w:rFonts w:hint="eastAsia" w:ascii="宋体" w:hAnsi="宋体" w:cs="宋体"/>
          <w:spacing w:val="20"/>
          <w:kern w:val="2"/>
          <w:sz w:val="28"/>
          <w:szCs w:val="22"/>
        </w:rPr>
        <w:t>监制</w:t>
      </w:r>
    </w:p>
    <w:p w14:paraId="017B2174">
      <w:pPr>
        <w:spacing w:before="99" w:line="221" w:lineRule="auto"/>
        <w:jc w:val="center"/>
        <w:rPr>
          <w:rFonts w:hint="eastAsia" w:ascii="宋体" w:hAnsi="宋体" w:cs="宋体"/>
          <w:spacing w:val="20"/>
          <w:sz w:val="28"/>
          <w:szCs w:val="22"/>
        </w:rPr>
        <w:sectPr>
          <w:headerReference r:id="rId9" w:type="default"/>
          <w:footerReference r:id="rId10" w:type="default"/>
          <w:pgSz w:w="11906" w:h="16838"/>
          <w:pgMar w:top="1304" w:right="1247" w:bottom="1304" w:left="1247" w:header="851" w:footer="647" w:gutter="0"/>
          <w:cols w:space="720" w:num="1"/>
          <w:titlePg/>
          <w:docGrid w:linePitch="312" w:charSpace="0"/>
        </w:sectPr>
      </w:pPr>
      <w:r>
        <w:rPr>
          <w:rFonts w:hint="eastAsia" w:ascii="宋体" w:hAnsi="宋体" w:cs="宋体"/>
          <w:spacing w:val="20"/>
          <w:sz w:val="28"/>
          <w:szCs w:val="22"/>
        </w:rPr>
        <w:t>国家工商行政管理</w:t>
      </w:r>
    </w:p>
    <w:p w14:paraId="217F53B9">
      <w:pPr>
        <w:jc w:val="center"/>
        <w:rPr>
          <w:rFonts w:hint="eastAsia" w:ascii="宋体" w:hAnsi="宋体" w:cs="宋体"/>
          <w:b/>
          <w:bCs/>
          <w:sz w:val="44"/>
          <w:szCs w:val="44"/>
        </w:rPr>
      </w:pPr>
      <w:r>
        <w:rPr>
          <w:rFonts w:hint="eastAsia" w:ascii="宋体" w:hAnsi="宋体" w:cs="宋体"/>
          <w:b/>
          <w:bCs/>
          <w:sz w:val="44"/>
          <w:szCs w:val="44"/>
        </w:rPr>
        <w:t>合同协议书</w:t>
      </w:r>
    </w:p>
    <w:p w14:paraId="69309229">
      <w:pPr>
        <w:rPr>
          <w:rFonts w:hint="eastAsia" w:ascii="宋体" w:hAnsi="宋体" w:cs="宋体"/>
          <w:sz w:val="28"/>
          <w:szCs w:val="28"/>
        </w:rPr>
      </w:pPr>
      <w:r>
        <w:rPr>
          <w:rFonts w:hint="eastAsia" w:ascii="宋体" w:hAnsi="宋体" w:cs="宋体"/>
          <w:sz w:val="28"/>
          <w:szCs w:val="28"/>
        </w:rPr>
        <w:t>发包人：</w:t>
      </w:r>
      <w:r>
        <w:rPr>
          <w:rFonts w:hint="eastAsia" w:ascii="宋体" w:hAnsi="宋体" w:cs="宋体"/>
          <w:sz w:val="28"/>
          <w:szCs w:val="28"/>
          <w:u w:val="single"/>
        </w:rPr>
        <w:t xml:space="preserve">                               </w:t>
      </w:r>
      <w:r>
        <w:rPr>
          <w:rFonts w:hint="eastAsia" w:ascii="宋体" w:hAnsi="宋体" w:cs="宋体"/>
          <w:sz w:val="28"/>
          <w:szCs w:val="28"/>
        </w:rPr>
        <w:t xml:space="preserve"> </w:t>
      </w:r>
    </w:p>
    <w:p w14:paraId="26CFFF90">
      <w:pPr>
        <w:rPr>
          <w:rFonts w:hint="eastAsia" w:ascii="宋体" w:hAnsi="宋体" w:cs="宋体"/>
          <w:sz w:val="28"/>
          <w:szCs w:val="28"/>
        </w:rPr>
      </w:pPr>
      <w:r>
        <w:rPr>
          <w:rFonts w:hint="eastAsia" w:ascii="宋体" w:hAnsi="宋体" w:cs="宋体"/>
          <w:sz w:val="28"/>
          <w:szCs w:val="28"/>
        </w:rPr>
        <w:t>勘察人：</w:t>
      </w:r>
      <w:r>
        <w:rPr>
          <w:rFonts w:hint="eastAsia" w:ascii="宋体" w:hAnsi="宋体" w:cs="宋体"/>
          <w:sz w:val="28"/>
          <w:szCs w:val="28"/>
          <w:u w:val="single"/>
        </w:rPr>
        <w:t xml:space="preserve">                               </w:t>
      </w:r>
      <w:r>
        <w:rPr>
          <w:rFonts w:hint="eastAsia" w:ascii="宋体" w:hAnsi="宋体" w:cs="宋体"/>
          <w:sz w:val="28"/>
          <w:szCs w:val="28"/>
        </w:rPr>
        <w:t xml:space="preserve"> </w:t>
      </w:r>
    </w:p>
    <w:p w14:paraId="3FF77E24">
      <w:pPr>
        <w:rPr>
          <w:rFonts w:hint="eastAsia" w:ascii="宋体" w:hAnsi="宋体" w:cs="宋体"/>
          <w:sz w:val="28"/>
          <w:szCs w:val="28"/>
        </w:rPr>
      </w:pPr>
      <w:r>
        <w:rPr>
          <w:rFonts w:hint="eastAsia" w:ascii="宋体" w:hAnsi="宋体" w:cs="宋体"/>
          <w:sz w:val="28"/>
          <w:szCs w:val="28"/>
        </w:rPr>
        <w:t>发包人委托勘察人承担</w:t>
      </w:r>
      <w:r>
        <w:rPr>
          <w:rFonts w:hint="eastAsia" w:ascii="宋体" w:hAnsi="宋体" w:cs="宋体"/>
          <w:sz w:val="28"/>
          <w:szCs w:val="28"/>
          <w:u w:val="single"/>
        </w:rPr>
        <w:t xml:space="preserve">                            </w:t>
      </w:r>
      <w:r>
        <w:rPr>
          <w:rFonts w:hint="eastAsia" w:ascii="宋体" w:hAnsi="宋体" w:cs="宋体"/>
          <w:sz w:val="28"/>
          <w:szCs w:val="28"/>
        </w:rPr>
        <w:t>任务。</w:t>
      </w:r>
    </w:p>
    <w:p w14:paraId="52727359">
      <w:pPr>
        <w:ind w:firstLine="280" w:firstLineChars="100"/>
        <w:rPr>
          <w:rFonts w:hint="eastAsia" w:ascii="宋体" w:hAnsi="宋体" w:cs="宋体"/>
          <w:sz w:val="28"/>
          <w:szCs w:val="28"/>
        </w:rPr>
      </w:pPr>
      <w:r>
        <w:rPr>
          <w:rFonts w:hint="eastAsia" w:ascii="宋体" w:hAnsi="宋体" w:cs="宋体"/>
          <w:sz w:val="28"/>
          <w:szCs w:val="28"/>
        </w:rPr>
        <w:t>根据《中华人民共和国民法典》及国家有关法规规定，结合本工程的具体情况，为明确责任，协作配合，确保工程勘察 质量，经发包人、勘察人协商一致，签订本合同，共同遵守。</w:t>
      </w:r>
    </w:p>
    <w:p w14:paraId="2892B513">
      <w:pPr>
        <w:rPr>
          <w:rFonts w:hint="eastAsia" w:ascii="宋体" w:hAnsi="宋体" w:cs="宋体"/>
          <w:sz w:val="28"/>
          <w:szCs w:val="28"/>
        </w:rPr>
      </w:pPr>
      <w:r>
        <w:rPr>
          <w:rFonts w:hint="eastAsia" w:ascii="宋体" w:hAnsi="宋体" w:cs="宋体"/>
          <w:sz w:val="28"/>
          <w:szCs w:val="28"/>
        </w:rPr>
        <w:t>第一条：工程概况</w:t>
      </w:r>
    </w:p>
    <w:p w14:paraId="56419402">
      <w:pPr>
        <w:rPr>
          <w:rFonts w:hint="eastAsia" w:ascii="宋体" w:hAnsi="宋体" w:cs="宋体"/>
          <w:sz w:val="28"/>
          <w:szCs w:val="28"/>
        </w:rPr>
      </w:pPr>
      <w:r>
        <w:rPr>
          <w:rFonts w:hint="eastAsia" w:ascii="宋体" w:hAnsi="宋体" w:cs="宋体"/>
          <w:sz w:val="28"/>
          <w:szCs w:val="28"/>
        </w:rPr>
        <w:t>1.1工程名称：</w:t>
      </w:r>
      <w:r>
        <w:rPr>
          <w:rFonts w:hint="eastAsia" w:ascii="宋体" w:hAnsi="宋体" w:cs="宋体"/>
          <w:sz w:val="28"/>
          <w:szCs w:val="28"/>
          <w:u w:val="single"/>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 xml:space="preserve">  </w:t>
      </w:r>
    </w:p>
    <w:p w14:paraId="15F1ED5D">
      <w:pPr>
        <w:rPr>
          <w:rFonts w:hint="eastAsia" w:ascii="宋体" w:hAnsi="宋体" w:cs="宋体"/>
          <w:sz w:val="28"/>
          <w:szCs w:val="28"/>
          <w:u w:val="single"/>
        </w:rPr>
      </w:pPr>
      <w:r>
        <w:rPr>
          <w:rFonts w:hint="eastAsia" w:ascii="宋体" w:hAnsi="宋体" w:cs="宋体"/>
          <w:sz w:val="28"/>
          <w:szCs w:val="28"/>
        </w:rPr>
        <w:t>1.2工程建设地点：</w:t>
      </w:r>
      <w:r>
        <w:rPr>
          <w:rFonts w:hint="eastAsia" w:ascii="宋体" w:hAnsi="宋体" w:cs="宋体"/>
          <w:sz w:val="28"/>
          <w:szCs w:val="28"/>
          <w:u w:val="single"/>
        </w:rPr>
        <w:t xml:space="preserve">                              </w:t>
      </w:r>
    </w:p>
    <w:p w14:paraId="15660ADD">
      <w:pPr>
        <w:rPr>
          <w:rFonts w:hint="eastAsia" w:ascii="宋体" w:hAnsi="宋体" w:cs="宋体"/>
          <w:sz w:val="28"/>
          <w:szCs w:val="28"/>
        </w:rPr>
      </w:pPr>
      <w:r>
        <w:rPr>
          <w:rFonts w:hint="eastAsia" w:ascii="宋体" w:hAnsi="宋体" w:cs="宋体"/>
          <w:sz w:val="28"/>
          <w:szCs w:val="28"/>
        </w:rPr>
        <w:t>1.3工程规模、特征：</w:t>
      </w:r>
      <w:r>
        <w:rPr>
          <w:rFonts w:hint="eastAsia" w:ascii="宋体" w:hAnsi="宋体" w:cs="宋体"/>
          <w:sz w:val="28"/>
          <w:szCs w:val="28"/>
          <w:u w:val="single"/>
        </w:rPr>
        <w:t xml:space="preserve">                            </w:t>
      </w:r>
    </w:p>
    <w:p w14:paraId="3D4A56D1">
      <w:pPr>
        <w:rPr>
          <w:rFonts w:hint="eastAsia" w:ascii="宋体" w:hAnsi="宋体" w:cs="宋体"/>
          <w:sz w:val="28"/>
          <w:szCs w:val="28"/>
        </w:rPr>
      </w:pPr>
      <w:r>
        <w:rPr>
          <w:rFonts w:hint="eastAsia" w:ascii="宋体" w:hAnsi="宋体" w:cs="宋体"/>
          <w:sz w:val="28"/>
          <w:szCs w:val="28"/>
        </w:rPr>
        <w:t>1.4工程勘察任务委托文号、日期：</w:t>
      </w:r>
      <w:r>
        <w:rPr>
          <w:rFonts w:hint="eastAsia" w:ascii="宋体" w:hAnsi="宋体" w:cs="宋体"/>
          <w:sz w:val="28"/>
          <w:szCs w:val="28"/>
          <w:u w:val="single"/>
        </w:rPr>
        <w:t xml:space="preserve">                </w:t>
      </w:r>
    </w:p>
    <w:p w14:paraId="2434BB91">
      <w:pPr>
        <w:rPr>
          <w:rFonts w:hint="eastAsia" w:ascii="宋体" w:hAnsi="宋体" w:cs="宋体"/>
          <w:sz w:val="28"/>
          <w:szCs w:val="28"/>
          <w:u w:val="single"/>
        </w:rPr>
      </w:pPr>
      <w:r>
        <w:rPr>
          <w:rFonts w:hint="eastAsia" w:ascii="宋体" w:hAnsi="宋体" w:cs="宋体"/>
          <w:sz w:val="28"/>
          <w:szCs w:val="28"/>
        </w:rPr>
        <w:t>1.5工程勘察任务(内容)与技术要求：</w:t>
      </w:r>
      <w:r>
        <w:rPr>
          <w:rFonts w:hint="eastAsia" w:ascii="宋体" w:hAnsi="宋体" w:cs="宋体"/>
          <w:sz w:val="28"/>
          <w:szCs w:val="28"/>
          <w:u w:val="single"/>
          <w:lang w:val="en-US" w:eastAsia="zh-CN"/>
        </w:rPr>
        <w:t xml:space="preserve">              </w:t>
      </w:r>
    </w:p>
    <w:p w14:paraId="38B11609">
      <w:pPr>
        <w:rPr>
          <w:rFonts w:hint="eastAsia" w:ascii="宋体" w:hAnsi="宋体" w:cs="宋体"/>
          <w:sz w:val="28"/>
          <w:szCs w:val="28"/>
        </w:rPr>
      </w:pPr>
      <w:r>
        <w:rPr>
          <w:rFonts w:hint="eastAsia" w:ascii="宋体" w:hAnsi="宋体" w:cs="宋体"/>
          <w:sz w:val="28"/>
          <w:szCs w:val="28"/>
        </w:rPr>
        <w:t>1.6承接方式：</w:t>
      </w:r>
      <w:r>
        <w:rPr>
          <w:rFonts w:hint="eastAsia" w:ascii="宋体" w:hAnsi="宋体" w:cs="宋体"/>
          <w:sz w:val="28"/>
          <w:szCs w:val="28"/>
          <w:u w:val="single"/>
          <w:lang w:val="en-US" w:eastAsia="zh-CN"/>
        </w:rPr>
        <w:t xml:space="preserve">            </w:t>
      </w:r>
    </w:p>
    <w:p w14:paraId="701583C8">
      <w:pPr>
        <w:rPr>
          <w:rFonts w:hint="eastAsia" w:ascii="宋体" w:hAnsi="宋体" w:cs="宋体"/>
          <w:sz w:val="28"/>
          <w:szCs w:val="28"/>
        </w:rPr>
      </w:pPr>
      <w:r>
        <w:rPr>
          <w:rFonts w:hint="eastAsia" w:ascii="宋体" w:hAnsi="宋体" w:cs="宋体"/>
          <w:sz w:val="28"/>
          <w:szCs w:val="28"/>
        </w:rPr>
        <w:t>1.7预计勘察工作量：</w:t>
      </w:r>
      <w:r>
        <w:rPr>
          <w:rFonts w:hint="eastAsia" w:ascii="宋体" w:hAnsi="宋体" w:cs="宋体"/>
          <w:sz w:val="28"/>
          <w:szCs w:val="28"/>
          <w:u w:val="single"/>
          <w:lang w:val="en-US" w:eastAsia="zh-CN"/>
        </w:rPr>
        <w:t xml:space="preserve">                      </w:t>
      </w:r>
    </w:p>
    <w:p w14:paraId="489A0867">
      <w:pPr>
        <w:rPr>
          <w:rFonts w:hint="eastAsia" w:ascii="宋体" w:hAnsi="宋体" w:cs="宋体"/>
          <w:sz w:val="28"/>
          <w:szCs w:val="28"/>
        </w:rPr>
      </w:pPr>
      <w:r>
        <w:rPr>
          <w:rFonts w:hint="eastAsia" w:ascii="宋体" w:hAnsi="宋体" w:cs="宋体"/>
          <w:sz w:val="28"/>
          <w:szCs w:val="28"/>
        </w:rPr>
        <w:t>第二条：发包人应及时向勘察人提供下列文件资料，并对其准确性、可靠性负责。</w:t>
      </w:r>
    </w:p>
    <w:p w14:paraId="5A922AB2">
      <w:pPr>
        <w:rPr>
          <w:rFonts w:hint="eastAsia" w:ascii="宋体" w:hAnsi="宋体" w:cs="宋体"/>
          <w:sz w:val="28"/>
          <w:szCs w:val="28"/>
        </w:rPr>
      </w:pPr>
      <w:r>
        <w:rPr>
          <w:rFonts w:hint="eastAsia" w:ascii="宋体" w:hAnsi="宋体" w:cs="宋体"/>
          <w:sz w:val="28"/>
          <w:szCs w:val="28"/>
        </w:rPr>
        <w:t>2.1提供本工程批准文件(复印件),以及用地(附红线范 围)、施工、勘察许可等批件(复印件)。</w:t>
      </w:r>
    </w:p>
    <w:p w14:paraId="5FBD0F93">
      <w:pPr>
        <w:rPr>
          <w:rFonts w:hint="eastAsia" w:ascii="宋体" w:hAnsi="宋体" w:cs="宋体"/>
          <w:sz w:val="28"/>
          <w:szCs w:val="28"/>
        </w:rPr>
      </w:pPr>
      <w:r>
        <w:rPr>
          <w:rFonts w:hint="eastAsia" w:ascii="宋体" w:hAnsi="宋体" w:cs="宋体"/>
          <w:sz w:val="28"/>
          <w:szCs w:val="28"/>
        </w:rPr>
        <w:t>2.2提供工程勘察任务委托书、技术要求和工作范围的地形 图、建筑总平面布置图。</w:t>
      </w:r>
    </w:p>
    <w:p w14:paraId="7A63CB61">
      <w:pPr>
        <w:rPr>
          <w:rFonts w:hint="eastAsia" w:ascii="宋体" w:hAnsi="宋体" w:cs="宋体"/>
          <w:sz w:val="28"/>
          <w:szCs w:val="28"/>
        </w:rPr>
      </w:pPr>
      <w:r>
        <w:rPr>
          <w:rFonts w:hint="eastAsia" w:ascii="宋体" w:hAnsi="宋体" w:cs="宋体"/>
          <w:sz w:val="28"/>
          <w:szCs w:val="28"/>
        </w:rPr>
        <w:t>2.3提供勘察工作范围已有的技术资料及工程所需的坐标与标高资料。</w:t>
      </w:r>
    </w:p>
    <w:p w14:paraId="79ECC828">
      <w:pPr>
        <w:rPr>
          <w:rFonts w:hint="eastAsia" w:ascii="宋体" w:hAnsi="宋体" w:cs="宋体"/>
          <w:sz w:val="28"/>
          <w:szCs w:val="28"/>
        </w:rPr>
      </w:pPr>
      <w:r>
        <w:rPr>
          <w:rFonts w:hint="eastAsia" w:ascii="宋体" w:hAnsi="宋体" w:cs="宋体"/>
          <w:sz w:val="28"/>
          <w:szCs w:val="28"/>
        </w:rPr>
        <w:t>2.4提供勘察工作范围地下已有埋藏物的资料(如电力、电讯电缆、各种管道、人防设施、洞室等)及具体位置分布图。</w:t>
      </w:r>
    </w:p>
    <w:p w14:paraId="7C5A63BD">
      <w:pPr>
        <w:rPr>
          <w:rFonts w:hint="eastAsia" w:ascii="宋体" w:hAnsi="宋体" w:cs="宋体"/>
          <w:sz w:val="28"/>
          <w:szCs w:val="28"/>
        </w:rPr>
      </w:pPr>
      <w:r>
        <w:rPr>
          <w:rFonts w:hint="eastAsia" w:ascii="宋体" w:hAnsi="宋体" w:cs="宋体"/>
          <w:sz w:val="28"/>
          <w:szCs w:val="28"/>
        </w:rPr>
        <w:t>2.5发包人不能提供上述资料，由勘察人收集，发包人需向勘察人支付相应合理的收集成本费用</w:t>
      </w:r>
    </w:p>
    <w:p w14:paraId="4BE7748C">
      <w:pPr>
        <w:rPr>
          <w:rFonts w:hint="eastAsia" w:ascii="宋体" w:hAnsi="宋体" w:cs="宋体"/>
          <w:sz w:val="28"/>
          <w:szCs w:val="28"/>
        </w:rPr>
      </w:pPr>
      <w:r>
        <w:rPr>
          <w:rFonts w:hint="eastAsia" w:ascii="宋体" w:hAnsi="宋体" w:cs="宋体"/>
          <w:sz w:val="28"/>
          <w:szCs w:val="28"/>
        </w:rPr>
        <w:t>第三条：勘察人向发包人提交勘察成果资料并对其质量负责。</w:t>
      </w:r>
    </w:p>
    <w:p w14:paraId="4251BDFD">
      <w:pPr>
        <w:rPr>
          <w:rFonts w:hint="eastAsia" w:ascii="宋体" w:hAnsi="宋体" w:cs="宋体"/>
          <w:sz w:val="28"/>
          <w:szCs w:val="28"/>
        </w:rPr>
      </w:pPr>
      <w:r>
        <w:rPr>
          <w:rFonts w:hint="eastAsia" w:ascii="宋体" w:hAnsi="宋体" w:cs="宋体"/>
          <w:sz w:val="28"/>
          <w:szCs w:val="28"/>
        </w:rPr>
        <w:t>质量标准：勘察成果满足施工图设计及审查部门要求。</w:t>
      </w:r>
    </w:p>
    <w:p w14:paraId="651789D8">
      <w:pPr>
        <w:rPr>
          <w:rFonts w:hint="eastAsia" w:ascii="宋体" w:hAnsi="宋体" w:cs="宋体"/>
          <w:sz w:val="28"/>
          <w:szCs w:val="28"/>
        </w:rPr>
      </w:pPr>
      <w:r>
        <w:rPr>
          <w:rFonts w:hint="eastAsia" w:ascii="宋体" w:hAnsi="宋体" w:cs="宋体"/>
          <w:sz w:val="28"/>
          <w:szCs w:val="28"/>
        </w:rPr>
        <w:t>勘察成果资料应按照本项目勘察任务书要求提供。勘察人负责向发包人提交勘察成果资料</w:t>
      </w:r>
      <w:r>
        <w:rPr>
          <w:rFonts w:hint="eastAsia" w:ascii="宋体" w:hAnsi="宋体" w:cs="宋体"/>
          <w:sz w:val="28"/>
          <w:szCs w:val="28"/>
          <w:u w:val="single"/>
        </w:rPr>
        <w:t xml:space="preserve">  4   </w:t>
      </w:r>
      <w:r>
        <w:rPr>
          <w:rFonts w:hint="eastAsia" w:ascii="宋体" w:hAnsi="宋体" w:cs="宋体"/>
          <w:sz w:val="28"/>
          <w:szCs w:val="28"/>
        </w:rPr>
        <w:t>份及全套电子版文件</w:t>
      </w:r>
      <w:r>
        <w:rPr>
          <w:rFonts w:hint="eastAsia" w:ascii="宋体" w:hAnsi="宋体" w:cs="宋体"/>
          <w:sz w:val="28"/>
          <w:szCs w:val="28"/>
          <w:u w:val="single"/>
        </w:rPr>
        <w:t xml:space="preserve">  1   </w:t>
      </w:r>
      <w:r>
        <w:rPr>
          <w:rFonts w:hint="eastAsia" w:ascii="宋体" w:hAnsi="宋体" w:cs="宋体"/>
          <w:sz w:val="28"/>
          <w:szCs w:val="28"/>
        </w:rPr>
        <w:t>套，勘察人须按发包人要求提供加印服务并完成相应签章。</w:t>
      </w:r>
    </w:p>
    <w:p w14:paraId="38034649">
      <w:pPr>
        <w:rPr>
          <w:rFonts w:hint="eastAsia" w:ascii="宋体" w:hAnsi="宋体" w:cs="宋体"/>
          <w:sz w:val="28"/>
          <w:szCs w:val="28"/>
        </w:rPr>
      </w:pPr>
      <w:r>
        <w:rPr>
          <w:rFonts w:hint="eastAsia" w:ascii="宋体" w:hAnsi="宋体" w:cs="宋体"/>
          <w:sz w:val="28"/>
          <w:szCs w:val="28"/>
        </w:rPr>
        <w:t>第四条：开工及提交勘察成果资料的的间和收费标准及付费方式</w:t>
      </w:r>
    </w:p>
    <w:p w14:paraId="3CC1EDFD">
      <w:pPr>
        <w:rPr>
          <w:rFonts w:hint="eastAsia" w:ascii="宋体" w:hAnsi="宋体" w:cs="宋体"/>
          <w:sz w:val="28"/>
          <w:szCs w:val="28"/>
        </w:rPr>
      </w:pPr>
      <w:r>
        <w:rPr>
          <w:rFonts w:hint="eastAsia" w:ascii="宋体" w:hAnsi="宋体" w:cs="宋体"/>
          <w:sz w:val="28"/>
          <w:szCs w:val="28"/>
        </w:rPr>
        <w:t>4.1开工及提交勘察成果资料的时间</w:t>
      </w:r>
    </w:p>
    <w:p w14:paraId="45D204E0">
      <w:pPr>
        <w:rPr>
          <w:rFonts w:hint="eastAsia" w:ascii="宋体" w:hAnsi="宋体" w:cs="宋体"/>
          <w:sz w:val="28"/>
          <w:szCs w:val="28"/>
        </w:rPr>
      </w:pPr>
      <w:r>
        <w:rPr>
          <w:rFonts w:hint="eastAsia" w:ascii="宋体" w:hAnsi="宋体" w:cs="宋体"/>
          <w:sz w:val="28"/>
          <w:szCs w:val="28"/>
        </w:rPr>
        <w:t>4.1.1本工程的勘察工作定于</w:t>
      </w:r>
      <w:r>
        <w:rPr>
          <w:rFonts w:hint="eastAsia" w:ascii="宋体" w:hAnsi="宋体" w:cs="宋体"/>
          <w:sz w:val="28"/>
          <w:szCs w:val="28"/>
          <w:u w:val="single"/>
        </w:rPr>
        <w:t xml:space="preserve">                   </w:t>
      </w:r>
      <w:r>
        <w:rPr>
          <w:rFonts w:hint="eastAsia" w:ascii="宋体" w:hAnsi="宋体" w:cs="宋体"/>
          <w:sz w:val="28"/>
          <w:szCs w:val="28"/>
        </w:rPr>
        <w:t>天提交勘察成果资料，由于发包人或勘察人的原因未能按期开工或提交成果资料时，按本合同第六条规定办理。</w:t>
      </w:r>
    </w:p>
    <w:p w14:paraId="50D4CBC9">
      <w:pPr>
        <w:rPr>
          <w:rFonts w:hint="eastAsia" w:ascii="宋体" w:hAnsi="宋体" w:cs="宋体"/>
          <w:sz w:val="28"/>
          <w:szCs w:val="28"/>
        </w:rPr>
      </w:pPr>
      <w:r>
        <w:rPr>
          <w:rFonts w:hint="eastAsia" w:ascii="宋体" w:hAnsi="宋体" w:cs="宋体"/>
          <w:sz w:val="28"/>
          <w:szCs w:val="28"/>
        </w:rPr>
        <w:t>4.1.2勘察工作有效期限以发包人下达的开工通知</w:t>
      </w:r>
    </w:p>
    <w:p w14:paraId="3C883139">
      <w:pPr>
        <w:rPr>
          <w:rFonts w:hint="eastAsia" w:ascii="宋体" w:hAnsi="宋体" w:cs="宋体"/>
          <w:sz w:val="28"/>
          <w:szCs w:val="28"/>
        </w:rPr>
      </w:pPr>
      <w:r>
        <w:rPr>
          <w:rFonts w:hint="eastAsia" w:ascii="宋体" w:hAnsi="宋体" w:cs="宋体"/>
          <w:sz w:val="28"/>
          <w:szCs w:val="28"/>
        </w:rPr>
        <w:t>书或合同规定的时间为准，如遇特殊情 况(设计变更、工作量变化、不可抗力影响以及非勘察人原因造成的停、窝工等)时，工期顺延。</w:t>
      </w:r>
    </w:p>
    <w:p w14:paraId="7A92490C">
      <w:pPr>
        <w:rPr>
          <w:rFonts w:hint="eastAsia" w:ascii="宋体" w:hAnsi="宋体" w:cs="宋体"/>
          <w:sz w:val="28"/>
          <w:szCs w:val="28"/>
        </w:rPr>
      </w:pPr>
      <w:r>
        <w:rPr>
          <w:rFonts w:hint="eastAsia" w:ascii="宋体" w:hAnsi="宋体" w:cs="宋体"/>
          <w:sz w:val="28"/>
          <w:szCs w:val="28"/>
        </w:rPr>
        <w:t>4.2收费标准、服务期限及付费方式</w:t>
      </w:r>
    </w:p>
    <w:p w14:paraId="3302392C">
      <w:pPr>
        <w:rPr>
          <w:rFonts w:hint="eastAsia" w:ascii="宋体" w:hAnsi="宋体" w:cs="宋体"/>
          <w:sz w:val="28"/>
          <w:szCs w:val="28"/>
        </w:rPr>
      </w:pPr>
      <w:r>
        <w:rPr>
          <w:rFonts w:hint="eastAsia" w:ascii="宋体" w:hAnsi="宋体" w:cs="宋体"/>
          <w:sz w:val="28"/>
          <w:szCs w:val="28"/>
        </w:rPr>
        <w:t>4.2.1本工程勘察费合同固定总价(含税价)：人民币(大写):</w:t>
      </w:r>
      <w:r>
        <w:rPr>
          <w:rFonts w:hint="eastAsia" w:ascii="宋体" w:hAnsi="宋体" w:cs="宋体"/>
          <w:sz w:val="28"/>
          <w:szCs w:val="28"/>
          <w:u w:val="single"/>
        </w:rPr>
        <w:t xml:space="preserve">           </w:t>
      </w:r>
      <w:r>
        <w:rPr>
          <w:rFonts w:hint="eastAsia" w:ascii="宋体" w:hAnsi="宋体" w:cs="宋体"/>
          <w:sz w:val="28"/>
          <w:szCs w:val="28"/>
        </w:rPr>
        <w:t>,小写： ¥</w:t>
      </w:r>
      <w:r>
        <w:rPr>
          <w:rFonts w:hint="eastAsia" w:ascii="宋体" w:hAnsi="宋体" w:cs="宋体"/>
          <w:sz w:val="28"/>
          <w:szCs w:val="28"/>
          <w:u w:val="single"/>
        </w:rPr>
        <w:t xml:space="preserve">            </w:t>
      </w:r>
      <w:r>
        <w:rPr>
          <w:rFonts w:hint="eastAsia" w:ascii="宋体" w:hAnsi="宋体" w:cs="宋体"/>
          <w:sz w:val="28"/>
          <w:szCs w:val="28"/>
        </w:rPr>
        <w:t>元。,增值税税率为</w:t>
      </w:r>
      <w:r>
        <w:rPr>
          <w:rFonts w:hint="eastAsia" w:ascii="宋体" w:hAnsi="宋体" w:cs="宋体"/>
          <w:sz w:val="28"/>
          <w:szCs w:val="28"/>
          <w:u w:val="single"/>
        </w:rPr>
        <w:t xml:space="preserve">           </w:t>
      </w:r>
      <w:r>
        <w:rPr>
          <w:rFonts w:hint="eastAsia" w:ascii="宋体" w:hAnsi="宋体" w:cs="宋体"/>
          <w:sz w:val="28"/>
          <w:szCs w:val="28"/>
        </w:rPr>
        <w:t>%。</w:t>
      </w:r>
    </w:p>
    <w:p w14:paraId="26363A8C">
      <w:pPr>
        <w:rPr>
          <w:rFonts w:hint="eastAsia" w:ascii="宋体" w:hAnsi="宋体" w:cs="宋体"/>
          <w:sz w:val="28"/>
          <w:szCs w:val="28"/>
          <w:u w:val="single"/>
        </w:rPr>
      </w:pPr>
      <w:r>
        <w:rPr>
          <w:rFonts w:hint="eastAsia" w:ascii="宋体" w:hAnsi="宋体" w:cs="宋体"/>
          <w:sz w:val="28"/>
          <w:szCs w:val="28"/>
        </w:rPr>
        <w:t>4.2.2服务期限：</w:t>
      </w:r>
      <w:r>
        <w:rPr>
          <w:rFonts w:hint="eastAsia" w:ascii="宋体" w:hAnsi="宋体" w:cs="宋体"/>
          <w:sz w:val="28"/>
          <w:szCs w:val="28"/>
          <w:u w:val="single"/>
        </w:rPr>
        <w:t xml:space="preserve">                                </w:t>
      </w:r>
    </w:p>
    <w:p w14:paraId="0183CA0E">
      <w:pPr>
        <w:rPr>
          <w:rFonts w:hint="eastAsia" w:ascii="宋体" w:hAnsi="宋体" w:cs="宋体"/>
          <w:sz w:val="28"/>
          <w:szCs w:val="28"/>
        </w:rPr>
      </w:pPr>
      <w:r>
        <w:rPr>
          <w:rFonts w:hint="eastAsia" w:ascii="宋体" w:hAnsi="宋体" w:cs="宋体"/>
          <w:sz w:val="28"/>
          <w:szCs w:val="28"/>
        </w:rPr>
        <w:t>4.2.3付款方式</w:t>
      </w:r>
    </w:p>
    <w:p w14:paraId="52CC2411">
      <w:pPr>
        <w:rPr>
          <w:rFonts w:hint="eastAsia" w:ascii="宋体" w:hAnsi="宋体" w:cs="宋体"/>
          <w:sz w:val="28"/>
          <w:szCs w:val="28"/>
        </w:rPr>
      </w:pPr>
      <w:r>
        <w:rPr>
          <w:rFonts w:hint="eastAsia" w:ascii="宋体" w:hAnsi="宋体" w:cs="宋体"/>
          <w:sz w:val="28"/>
          <w:szCs w:val="28"/>
        </w:rPr>
        <w:t>付费方式：甲方在签订合同后3日内向乙方支付合同金额的50%，乙方提交初稿文件后，甲方支付至合同金额的80%，最终成果资料通过有关部门审查合格后，甲方支付合同的剩余金额。</w:t>
      </w:r>
    </w:p>
    <w:p w14:paraId="7844BFA8">
      <w:pPr>
        <w:rPr>
          <w:rFonts w:hint="eastAsia" w:ascii="宋体" w:hAnsi="宋体" w:cs="宋体"/>
          <w:sz w:val="28"/>
          <w:szCs w:val="28"/>
        </w:rPr>
      </w:pPr>
      <w:r>
        <w:rPr>
          <w:rFonts w:hint="eastAsia" w:ascii="宋体" w:hAnsi="宋体" w:cs="宋体"/>
          <w:sz w:val="28"/>
          <w:szCs w:val="28"/>
        </w:rPr>
        <w:t>4.2.4如遇国家税率调整，调整日之前的已付款按照原税率执行，调整日之后的付款按照新税率执行，不含税金额不予调整，不再另行签订补充协议。</w:t>
      </w:r>
    </w:p>
    <w:p w14:paraId="35595600">
      <w:pPr>
        <w:rPr>
          <w:rFonts w:hint="eastAsia" w:ascii="宋体" w:hAnsi="宋体" w:cs="宋体"/>
          <w:sz w:val="28"/>
          <w:szCs w:val="28"/>
        </w:rPr>
      </w:pPr>
      <w:r>
        <w:rPr>
          <w:rFonts w:hint="eastAsia" w:ascii="宋体" w:hAnsi="宋体" w:cs="宋体"/>
          <w:sz w:val="28"/>
          <w:szCs w:val="28"/>
        </w:rPr>
        <w:t>第五条：发包人、勘察人责任</w:t>
      </w:r>
    </w:p>
    <w:p w14:paraId="0E98103A">
      <w:pPr>
        <w:rPr>
          <w:rFonts w:hint="eastAsia" w:ascii="宋体" w:hAnsi="宋体" w:cs="宋体"/>
          <w:sz w:val="28"/>
          <w:szCs w:val="28"/>
        </w:rPr>
      </w:pPr>
      <w:r>
        <w:rPr>
          <w:rFonts w:hint="eastAsia" w:ascii="宋体" w:hAnsi="宋体" w:cs="宋体"/>
          <w:sz w:val="28"/>
          <w:szCs w:val="28"/>
        </w:rPr>
        <w:t>5.1发包人责任</w:t>
      </w:r>
    </w:p>
    <w:p w14:paraId="306F41D4">
      <w:pPr>
        <w:rPr>
          <w:rFonts w:hint="eastAsia" w:ascii="宋体" w:hAnsi="宋体" w:cs="宋体"/>
          <w:sz w:val="28"/>
          <w:szCs w:val="28"/>
        </w:rPr>
      </w:pPr>
      <w:r>
        <w:rPr>
          <w:rFonts w:hint="eastAsia" w:ascii="宋体" w:hAnsi="宋体" w:cs="宋体"/>
          <w:sz w:val="28"/>
          <w:szCs w:val="28"/>
        </w:rPr>
        <w:t>5.1.1发包人委托任务时，必须以书面形式向勘察人明确勘 察任务及技术要求，并按第二条规定提供文件资料，如发包人不能提供的，由勘察人自行收集。</w:t>
      </w:r>
    </w:p>
    <w:p w14:paraId="57E70634">
      <w:pPr>
        <w:rPr>
          <w:rFonts w:hint="eastAsia" w:ascii="宋体" w:hAnsi="宋体" w:cs="宋体"/>
          <w:sz w:val="28"/>
          <w:szCs w:val="28"/>
        </w:rPr>
      </w:pPr>
      <w:r>
        <w:rPr>
          <w:rFonts w:hint="eastAsia" w:ascii="宋体" w:hAnsi="宋体" w:cs="宋体"/>
          <w:sz w:val="28"/>
          <w:szCs w:val="28"/>
        </w:rPr>
        <w:t>5.1.2由于发包人原因造成勘察人停、窝工，经发包人书面 同意后工期顺延。</w:t>
      </w:r>
    </w:p>
    <w:p w14:paraId="4D37C47D">
      <w:pPr>
        <w:rPr>
          <w:rFonts w:hint="eastAsia" w:ascii="宋体" w:hAnsi="宋体" w:cs="宋体"/>
          <w:sz w:val="28"/>
          <w:szCs w:val="28"/>
        </w:rPr>
      </w:pPr>
      <w:r>
        <w:rPr>
          <w:rFonts w:hint="eastAsia" w:ascii="宋体" w:hAnsi="宋体" w:cs="宋体"/>
          <w:sz w:val="28"/>
          <w:szCs w:val="28"/>
        </w:rPr>
        <w:t>5.1.3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14:paraId="1DC48074">
      <w:pPr>
        <w:rPr>
          <w:rFonts w:hint="eastAsia" w:ascii="宋体" w:hAnsi="宋体" w:cs="宋体"/>
          <w:sz w:val="28"/>
          <w:szCs w:val="28"/>
        </w:rPr>
      </w:pPr>
      <w:r>
        <w:rPr>
          <w:rFonts w:hint="eastAsia" w:ascii="宋体" w:hAnsi="宋体" w:cs="宋体"/>
          <w:sz w:val="28"/>
          <w:szCs w:val="28"/>
        </w:rPr>
        <w:t>5.1.4本合同有关条款规定和补充协议中发包人应负的其他责任。</w:t>
      </w:r>
    </w:p>
    <w:p w14:paraId="643ECAB9">
      <w:pPr>
        <w:rPr>
          <w:rFonts w:hint="eastAsia" w:ascii="宋体" w:hAnsi="宋体" w:cs="宋体"/>
          <w:sz w:val="28"/>
          <w:szCs w:val="28"/>
        </w:rPr>
      </w:pPr>
      <w:r>
        <w:rPr>
          <w:rFonts w:hint="eastAsia" w:ascii="宋体" w:hAnsi="宋体" w:cs="宋体"/>
          <w:sz w:val="28"/>
          <w:szCs w:val="28"/>
        </w:rPr>
        <w:t>5.2勘察人责任</w:t>
      </w:r>
    </w:p>
    <w:p w14:paraId="64AE7E44">
      <w:pPr>
        <w:rPr>
          <w:rFonts w:hint="eastAsia" w:ascii="宋体" w:hAnsi="宋体" w:cs="宋体"/>
          <w:sz w:val="28"/>
          <w:szCs w:val="28"/>
        </w:rPr>
      </w:pPr>
      <w:r>
        <w:rPr>
          <w:rFonts w:hint="eastAsia" w:ascii="宋体" w:hAnsi="宋体" w:cs="宋体"/>
          <w:sz w:val="28"/>
          <w:szCs w:val="28"/>
        </w:rPr>
        <w:t>5.2.1勘察人应按国家技术规范、标准、规程和发包人的任务委托书及技术要求进行工程勘察，按本合同规定的时间提交质量合格的勘察成果资料，并对其负责。</w:t>
      </w:r>
    </w:p>
    <w:p w14:paraId="4BA72461">
      <w:pPr>
        <w:rPr>
          <w:rFonts w:hint="eastAsia" w:ascii="宋体" w:hAnsi="宋体" w:cs="宋体"/>
          <w:sz w:val="28"/>
          <w:szCs w:val="28"/>
        </w:rPr>
      </w:pPr>
      <w:r>
        <w:rPr>
          <w:rFonts w:hint="eastAsia" w:ascii="宋体" w:hAnsi="宋体" w:cs="宋体"/>
          <w:sz w:val="28"/>
          <w:szCs w:val="28"/>
        </w:rPr>
        <w:t>5.2.2由于勘察人提供的勘察成果资料质量不合格，勘察人应负责无偿给予补充完善使其达到质量合格；若勘察人无力 补充完善，需另委托其他单位时，勘察人应承担全部勘察费用；或因勘察质量造成重大经济损失或工程事故时，勘察人除应负 法律责任和免收直接受损失部分的勘察费外，并根据损失程度向发包人支付赔偿金，赔偿金由发包人、勘察人商定，但不超过本工程勘察费用。</w:t>
      </w:r>
    </w:p>
    <w:p w14:paraId="20F036F8">
      <w:pPr>
        <w:rPr>
          <w:rFonts w:hint="eastAsia" w:ascii="宋体" w:hAnsi="宋体" w:cs="宋体"/>
          <w:sz w:val="28"/>
          <w:szCs w:val="28"/>
        </w:rPr>
      </w:pPr>
      <w:r>
        <w:rPr>
          <w:rFonts w:hint="eastAsia" w:ascii="宋体" w:hAnsi="宋体" w:cs="宋体"/>
          <w:sz w:val="28"/>
          <w:szCs w:val="28"/>
        </w:rPr>
        <w:t>5.2.3在工程勘察前，提出勘察纲要或勘察组织设计，派人与发包人的人员一起验收发包人提供的材料。</w:t>
      </w:r>
    </w:p>
    <w:p w14:paraId="30ADC378">
      <w:pPr>
        <w:rPr>
          <w:rFonts w:hint="eastAsia" w:ascii="宋体" w:hAnsi="宋体" w:cs="宋体"/>
          <w:sz w:val="28"/>
          <w:szCs w:val="28"/>
        </w:rPr>
      </w:pPr>
      <w:r>
        <w:rPr>
          <w:rFonts w:hint="eastAsia" w:ascii="宋体" w:hAnsi="宋体" w:cs="宋体"/>
          <w:sz w:val="28"/>
          <w:szCs w:val="28"/>
        </w:rPr>
        <w:t>5.2.4勘察过程中，根据工程的岩土工程条件(或工作现场地形地貌、地质和水文地质条件)及技术规范要求，向发包人提出增减工作量或修改勘察工作的意见，并办理正式变更手续。</w:t>
      </w:r>
    </w:p>
    <w:p w14:paraId="3138BDBB">
      <w:pPr>
        <w:rPr>
          <w:rFonts w:hint="eastAsia" w:ascii="宋体" w:hAnsi="宋体" w:cs="宋体"/>
          <w:sz w:val="28"/>
          <w:szCs w:val="28"/>
        </w:rPr>
      </w:pPr>
      <w:r>
        <w:rPr>
          <w:rFonts w:hint="eastAsia" w:ascii="宋体" w:hAnsi="宋体" w:cs="宋体"/>
          <w:sz w:val="28"/>
          <w:szCs w:val="28"/>
        </w:rPr>
        <w:t>5.2.5在现场工作的勘察人员，应遵守发包人的安全保卫及其他有关的规章制度，承担其有关资料保密义务。</w:t>
      </w:r>
    </w:p>
    <w:p w14:paraId="73DF7451">
      <w:pPr>
        <w:rPr>
          <w:rFonts w:hint="eastAsia" w:ascii="宋体" w:hAnsi="宋体" w:cs="宋体"/>
          <w:sz w:val="28"/>
          <w:szCs w:val="28"/>
        </w:rPr>
      </w:pPr>
      <w:r>
        <w:rPr>
          <w:rFonts w:hint="eastAsia" w:ascii="宋体" w:hAnsi="宋体" w:cs="宋体"/>
          <w:sz w:val="28"/>
          <w:szCs w:val="28"/>
        </w:rPr>
        <w:t>5.2.6本合同有关条款规定和补充协议中勘察人应负的其它责任。</w:t>
      </w:r>
    </w:p>
    <w:p w14:paraId="0130AEBE">
      <w:pPr>
        <w:rPr>
          <w:rFonts w:hint="eastAsia" w:ascii="宋体" w:hAnsi="宋体" w:cs="宋体"/>
          <w:sz w:val="28"/>
          <w:szCs w:val="28"/>
        </w:rPr>
      </w:pPr>
      <w:r>
        <w:rPr>
          <w:rFonts w:hint="eastAsia" w:ascii="宋体" w:hAnsi="宋体" w:cs="宋体"/>
          <w:sz w:val="28"/>
          <w:szCs w:val="28"/>
        </w:rPr>
        <w:t>第六条：违约责任</w:t>
      </w:r>
    </w:p>
    <w:p w14:paraId="7D227ACC">
      <w:pPr>
        <w:rPr>
          <w:rFonts w:hint="eastAsia" w:ascii="宋体" w:hAnsi="宋体" w:cs="宋体"/>
          <w:sz w:val="28"/>
          <w:szCs w:val="28"/>
        </w:rPr>
      </w:pPr>
      <w:r>
        <w:rPr>
          <w:rFonts w:hint="eastAsia" w:ascii="宋体" w:hAnsi="宋体" w:cs="宋体"/>
          <w:sz w:val="28"/>
          <w:szCs w:val="28"/>
        </w:rPr>
        <w:t>6.1由于勘察人原因造成勘察成果资料质量不合格，不能满足技术要求时，其返工勘察费用由勘察人承担并赔偿由此给发包人造成的所有损失。</w:t>
      </w:r>
    </w:p>
    <w:p w14:paraId="502E39B0">
      <w:pPr>
        <w:rPr>
          <w:rFonts w:hint="eastAsia" w:ascii="宋体" w:hAnsi="宋体" w:cs="宋体"/>
          <w:sz w:val="28"/>
          <w:szCs w:val="28"/>
        </w:rPr>
      </w:pPr>
      <w:r>
        <w:rPr>
          <w:rFonts w:hint="eastAsia" w:ascii="宋体" w:hAnsi="宋体" w:cs="宋体"/>
          <w:sz w:val="28"/>
          <w:szCs w:val="28"/>
        </w:rPr>
        <w:t>6.2合同履行期间，由于工程停建而终止合同或发包人要求解除合同时，勘察人来进行勘察工作的，退还发包人已付款项；已进行勘察工作的，按实际发生量结算。</w:t>
      </w:r>
    </w:p>
    <w:p w14:paraId="27BF460B">
      <w:pPr>
        <w:rPr>
          <w:rFonts w:hint="eastAsia" w:ascii="宋体" w:hAnsi="宋体" w:cs="宋体"/>
          <w:sz w:val="28"/>
          <w:szCs w:val="28"/>
        </w:rPr>
      </w:pPr>
      <w:r>
        <w:rPr>
          <w:rFonts w:hint="eastAsia" w:ascii="宋体" w:hAnsi="宋体" w:cs="宋体"/>
          <w:sz w:val="28"/>
          <w:szCs w:val="28"/>
        </w:rPr>
        <w:t>6.3由于勘察人原因未按合同规定时间(日期)提交勘察 成果资料，每超过一日，应减收勘察费总额的</w:t>
      </w:r>
      <w:r>
        <w:rPr>
          <w:rFonts w:hint="eastAsia" w:ascii="宋体" w:hAnsi="宋体" w:cs="宋体"/>
          <w:sz w:val="28"/>
          <w:szCs w:val="28"/>
          <w:u w:val="single"/>
        </w:rPr>
        <w:t>0.3%</w:t>
      </w:r>
      <w:r>
        <w:rPr>
          <w:rFonts w:hint="eastAsia" w:ascii="宋体" w:hAnsi="宋体" w:cs="宋体"/>
          <w:sz w:val="28"/>
          <w:szCs w:val="28"/>
        </w:rPr>
        <w:t>; 超过</w:t>
      </w:r>
      <w:r>
        <w:rPr>
          <w:rFonts w:hint="eastAsia" w:ascii="宋体" w:hAnsi="宋体" w:cs="宋体"/>
          <w:sz w:val="28"/>
          <w:szCs w:val="28"/>
          <w:u w:val="single"/>
        </w:rPr>
        <w:t xml:space="preserve"> 10 </w:t>
      </w:r>
      <w:r>
        <w:rPr>
          <w:rFonts w:hint="eastAsia" w:ascii="宋体" w:hAnsi="宋体" w:cs="宋体"/>
          <w:sz w:val="28"/>
          <w:szCs w:val="28"/>
        </w:rPr>
        <w:t>日的，发包人有权解除合同，勘察人无权要求发包人支付勘察费。</w:t>
      </w:r>
    </w:p>
    <w:p w14:paraId="70047242">
      <w:pPr>
        <w:rPr>
          <w:rFonts w:hint="eastAsia" w:ascii="宋体" w:hAnsi="宋体" w:cs="宋体"/>
          <w:sz w:val="28"/>
          <w:szCs w:val="28"/>
        </w:rPr>
      </w:pPr>
      <w:r>
        <w:rPr>
          <w:rFonts w:hint="eastAsia" w:ascii="宋体" w:hAnsi="宋体" w:cs="宋体"/>
          <w:sz w:val="28"/>
          <w:szCs w:val="28"/>
        </w:rPr>
        <w:t>6.4一方违约给对方造成损失的，守约方为维护自己权利而产生的公证费、诉讼费、评估/鉴定费、律师费、保全担保费等均由违约方承担。</w:t>
      </w:r>
    </w:p>
    <w:p w14:paraId="1C640B46">
      <w:pPr>
        <w:rPr>
          <w:rFonts w:hint="eastAsia" w:ascii="宋体" w:hAnsi="宋体" w:cs="宋体"/>
          <w:sz w:val="28"/>
          <w:szCs w:val="28"/>
        </w:rPr>
      </w:pPr>
      <w:r>
        <w:rPr>
          <w:rFonts w:hint="eastAsia" w:ascii="宋体" w:hAnsi="宋体" w:cs="宋体"/>
          <w:sz w:val="28"/>
          <w:szCs w:val="28"/>
        </w:rPr>
        <w:t>第七条：本合同未尽事宜，经发包人与勘察人协商一致，</w:t>
      </w:r>
    </w:p>
    <w:p w14:paraId="56FF0AD3">
      <w:pPr>
        <w:rPr>
          <w:rFonts w:hint="eastAsia" w:ascii="宋体" w:hAnsi="宋体" w:cs="宋体"/>
          <w:sz w:val="28"/>
          <w:szCs w:val="28"/>
        </w:rPr>
      </w:pPr>
      <w:r>
        <w:rPr>
          <w:rFonts w:hint="eastAsia" w:ascii="宋体" w:hAnsi="宋体" w:cs="宋体"/>
          <w:sz w:val="28"/>
          <w:szCs w:val="28"/>
        </w:rPr>
        <w:t>签订补充协议，补充协议与本合同具有同等效力。</w:t>
      </w:r>
    </w:p>
    <w:p w14:paraId="089AAAF7">
      <w:pPr>
        <w:rPr>
          <w:rFonts w:hint="eastAsia" w:ascii="宋体" w:hAnsi="宋体" w:cs="宋体"/>
          <w:sz w:val="28"/>
          <w:szCs w:val="28"/>
        </w:rPr>
      </w:pPr>
      <w:r>
        <w:rPr>
          <w:rFonts w:hint="eastAsia" w:ascii="宋体" w:hAnsi="宋体" w:cs="宋体"/>
          <w:sz w:val="28"/>
          <w:szCs w:val="28"/>
        </w:rPr>
        <w:t>第八条：其他约定事项：</w:t>
      </w:r>
    </w:p>
    <w:p w14:paraId="52BA9C19">
      <w:pPr>
        <w:rPr>
          <w:rFonts w:hint="eastAsia" w:ascii="宋体" w:hAnsi="宋体" w:cs="宋体"/>
          <w:sz w:val="28"/>
          <w:szCs w:val="28"/>
        </w:rPr>
      </w:pPr>
      <w:r>
        <w:rPr>
          <w:rFonts w:hint="eastAsia" w:ascii="宋体" w:hAnsi="宋体" w:cs="宋体"/>
          <w:sz w:val="28"/>
          <w:szCs w:val="28"/>
        </w:rPr>
        <w:t>8.1完成工程勘察成果报告后，需经发包人审核研究认可 后方可送审。</w:t>
      </w:r>
    </w:p>
    <w:p w14:paraId="247D2ADF">
      <w:pPr>
        <w:rPr>
          <w:rFonts w:hint="eastAsia" w:ascii="宋体" w:hAnsi="宋体" w:cs="宋体"/>
          <w:sz w:val="28"/>
          <w:szCs w:val="28"/>
        </w:rPr>
      </w:pPr>
      <w:r>
        <w:rPr>
          <w:rFonts w:hint="eastAsia" w:ascii="宋体" w:hAnsi="宋体" w:cs="宋体"/>
          <w:sz w:val="28"/>
          <w:szCs w:val="28"/>
        </w:rPr>
        <w:t>8.2在勘察人提供勘察成果报告后如在设计过程中设计人 提出勘察资料不足时，在设计方案复函的附图即总平面图范围 内(本项目招标过程中提供)需进行的补勘工作，由勘察人免费进行补勘，如超出设计方案复函的附图即总平面图范围的补勘，由双方协商应增加的勘察费用，结算时一次性支付</w:t>
      </w:r>
    </w:p>
    <w:p w14:paraId="2D33E804">
      <w:pPr>
        <w:rPr>
          <w:rFonts w:hint="eastAsia" w:ascii="宋体" w:hAnsi="宋体" w:cs="宋体"/>
          <w:sz w:val="28"/>
          <w:szCs w:val="28"/>
        </w:rPr>
      </w:pPr>
      <w:r>
        <w:rPr>
          <w:rFonts w:hint="eastAsia" w:ascii="宋体" w:hAnsi="宋体" w:cs="宋体"/>
          <w:sz w:val="28"/>
          <w:szCs w:val="28"/>
        </w:rPr>
        <w:t>8.3勘察人应配合发包人进行施工过程中的降水、地基处 理等中间阶段验收及竣工验收工作。</w:t>
      </w:r>
    </w:p>
    <w:p w14:paraId="4F90FBEA">
      <w:pPr>
        <w:rPr>
          <w:rFonts w:hint="eastAsia" w:ascii="宋体" w:hAnsi="宋体" w:cs="宋体"/>
          <w:sz w:val="28"/>
          <w:szCs w:val="28"/>
        </w:rPr>
      </w:pPr>
      <w:r>
        <w:rPr>
          <w:rFonts w:hint="eastAsia" w:ascii="宋体" w:hAnsi="宋体" w:cs="宋体"/>
          <w:sz w:val="28"/>
          <w:szCs w:val="28"/>
        </w:rPr>
        <w:t>8.4在办理需要勘察人参加的各种验收和检查活动时，勘 察人必须按发包人事先通知的时间准时参加。</w:t>
      </w:r>
    </w:p>
    <w:p w14:paraId="7F97C422">
      <w:pPr>
        <w:rPr>
          <w:rFonts w:hint="eastAsia" w:ascii="宋体" w:hAnsi="宋体" w:cs="宋体"/>
          <w:sz w:val="28"/>
          <w:szCs w:val="28"/>
        </w:rPr>
      </w:pPr>
      <w:r>
        <w:rPr>
          <w:rFonts w:hint="eastAsia" w:ascii="宋体" w:hAnsi="宋体" w:cs="宋体"/>
          <w:sz w:val="28"/>
          <w:szCs w:val="28"/>
        </w:rPr>
        <w:t>8.5勘察人在工程勘察完成后，应参加施工验槽、桩基工 程的验收以及整个工程的中间、竣工验收，并提交勘察工作汇报，积极配合发包人办理竣工备案手续。</w:t>
      </w:r>
    </w:p>
    <w:p w14:paraId="227E9654">
      <w:pPr>
        <w:rPr>
          <w:rFonts w:hint="eastAsia" w:ascii="宋体" w:hAnsi="宋体" w:cs="宋体"/>
          <w:sz w:val="28"/>
          <w:szCs w:val="28"/>
        </w:rPr>
      </w:pPr>
      <w:r>
        <w:rPr>
          <w:rFonts w:hint="eastAsia" w:ascii="宋体" w:hAnsi="宋体" w:cs="宋体"/>
          <w:sz w:val="28"/>
          <w:szCs w:val="28"/>
        </w:rPr>
        <w:t>第九条：本合同在履行过程中发生争议、由双方当事人及 时协商解决，协商不成的，按下列第(二)种方式解决</w:t>
      </w:r>
    </w:p>
    <w:p w14:paraId="7E7AF3F0">
      <w:pPr>
        <w:ind w:firstLine="560" w:firstLineChars="200"/>
        <w:rPr>
          <w:rFonts w:hint="eastAsia" w:ascii="宋体" w:hAnsi="宋体" w:cs="宋体"/>
          <w:sz w:val="28"/>
          <w:szCs w:val="28"/>
        </w:rPr>
      </w:pPr>
      <w:r>
        <w:rPr>
          <w:rFonts w:hint="eastAsia" w:ascii="宋体" w:hAnsi="宋体" w:cs="宋体"/>
          <w:sz w:val="28"/>
          <w:szCs w:val="28"/>
        </w:rPr>
        <w:t>(一)提交</w:t>
      </w:r>
      <w:r>
        <w:rPr>
          <w:rFonts w:hint="eastAsia" w:ascii="宋体" w:hAnsi="宋体" w:cs="宋体"/>
          <w:sz w:val="28"/>
          <w:szCs w:val="28"/>
          <w:u w:val="single"/>
        </w:rPr>
        <w:t xml:space="preserve">  /  </w:t>
      </w:r>
      <w:r>
        <w:rPr>
          <w:rFonts w:hint="eastAsia" w:ascii="宋体" w:hAnsi="宋体" w:cs="宋体"/>
          <w:sz w:val="28"/>
          <w:szCs w:val="28"/>
        </w:rPr>
        <w:t>仲裁委员会仲裁</w:t>
      </w:r>
    </w:p>
    <w:p w14:paraId="745493E4">
      <w:pPr>
        <w:ind w:firstLine="560" w:firstLineChars="200"/>
        <w:rPr>
          <w:rFonts w:hint="eastAsia" w:ascii="宋体" w:hAnsi="宋体" w:cs="宋体"/>
          <w:sz w:val="28"/>
          <w:szCs w:val="28"/>
        </w:rPr>
      </w:pPr>
      <w:r>
        <w:rPr>
          <w:rFonts w:hint="eastAsia" w:ascii="宋体" w:hAnsi="宋体" w:cs="宋体"/>
          <w:sz w:val="28"/>
          <w:szCs w:val="28"/>
        </w:rPr>
        <w:t>(二)依法向工程所在地人民法院起诉。</w:t>
      </w:r>
    </w:p>
    <w:p w14:paraId="763AE153">
      <w:pPr>
        <w:rPr>
          <w:rFonts w:hint="eastAsia" w:ascii="宋体" w:hAnsi="宋体" w:cs="宋体"/>
          <w:sz w:val="28"/>
          <w:szCs w:val="28"/>
        </w:rPr>
      </w:pPr>
      <w:r>
        <w:rPr>
          <w:rFonts w:hint="eastAsia" w:ascii="宋体" w:hAnsi="宋体" w:cs="宋体"/>
          <w:sz w:val="28"/>
          <w:szCs w:val="28"/>
        </w:rPr>
        <w:t>本合同自双方盖章且双方法定代表人或委托代理人签字或 盖章后生效；发包人、勘察人认为必要时，到项目所在地工商 行政管理部门申请鉴证。发包人、勘察人履行完合同规定的义 务后，本合同终止。</w:t>
      </w:r>
    </w:p>
    <w:p w14:paraId="5E3AD216">
      <w:pPr>
        <w:numPr>
          <w:ilvl w:val="0"/>
          <w:numId w:val="2"/>
        </w:numPr>
        <w:rPr>
          <w:rFonts w:hint="eastAsia" w:ascii="宋体" w:hAnsi="宋体" w:cs="宋体"/>
          <w:sz w:val="28"/>
          <w:szCs w:val="28"/>
        </w:rPr>
      </w:pPr>
      <w:r>
        <w:rPr>
          <w:rFonts w:hint="eastAsia" w:ascii="宋体" w:hAnsi="宋体" w:cs="宋体"/>
          <w:sz w:val="28"/>
          <w:szCs w:val="28"/>
        </w:rPr>
        <w:t>：本合同一式</w:t>
      </w:r>
      <w:r>
        <w:rPr>
          <w:rFonts w:hint="eastAsia" w:ascii="宋体" w:hAnsi="宋体" w:cs="宋体"/>
          <w:sz w:val="28"/>
          <w:szCs w:val="28"/>
          <w:u w:val="single"/>
        </w:rPr>
        <w:t xml:space="preserve">  </w:t>
      </w:r>
      <w:r>
        <w:rPr>
          <w:rFonts w:hint="eastAsia" w:ascii="宋体" w:hAnsi="宋体" w:cs="宋体"/>
          <w:sz w:val="28"/>
          <w:szCs w:val="28"/>
          <w:u w:val="single"/>
          <w:lang w:val="en-US" w:eastAsia="zh-CN"/>
        </w:rPr>
        <w:t>肆</w:t>
      </w:r>
      <w:r>
        <w:rPr>
          <w:rFonts w:hint="eastAsia" w:ascii="宋体" w:hAnsi="宋体" w:cs="宋体"/>
          <w:sz w:val="28"/>
          <w:szCs w:val="28"/>
          <w:u w:val="single"/>
        </w:rPr>
        <w:t xml:space="preserve">  </w:t>
      </w:r>
      <w:r>
        <w:rPr>
          <w:rFonts w:hint="eastAsia" w:ascii="宋体" w:hAnsi="宋体" w:cs="宋体"/>
          <w:sz w:val="28"/>
          <w:szCs w:val="28"/>
        </w:rPr>
        <w:t>份，发包人</w:t>
      </w:r>
      <w:r>
        <w:rPr>
          <w:rFonts w:hint="eastAsia" w:ascii="宋体" w:hAnsi="宋体" w:cs="宋体"/>
          <w:sz w:val="28"/>
          <w:szCs w:val="28"/>
          <w:u w:val="single"/>
        </w:rPr>
        <w:t xml:space="preserve">  </w:t>
      </w:r>
      <w:r>
        <w:rPr>
          <w:rFonts w:hint="eastAsia" w:ascii="宋体" w:hAnsi="宋体" w:cs="宋体"/>
          <w:sz w:val="28"/>
          <w:szCs w:val="28"/>
          <w:u w:val="single"/>
          <w:lang w:val="en-US" w:eastAsia="zh-CN"/>
        </w:rPr>
        <w:t>贰</w:t>
      </w:r>
      <w:r>
        <w:rPr>
          <w:rFonts w:hint="eastAsia" w:ascii="宋体" w:hAnsi="宋体" w:cs="宋体"/>
          <w:sz w:val="28"/>
          <w:szCs w:val="28"/>
          <w:u w:val="single"/>
        </w:rPr>
        <w:t xml:space="preserve">  </w:t>
      </w:r>
      <w:r>
        <w:rPr>
          <w:rFonts w:hint="eastAsia" w:ascii="宋体" w:hAnsi="宋体" w:cs="宋体"/>
          <w:sz w:val="28"/>
          <w:szCs w:val="28"/>
        </w:rPr>
        <w:t>份，勘察人</w:t>
      </w:r>
      <w:r>
        <w:rPr>
          <w:rFonts w:hint="eastAsia" w:ascii="宋体" w:hAnsi="宋体" w:cs="宋体"/>
          <w:sz w:val="28"/>
          <w:szCs w:val="28"/>
          <w:u w:val="single"/>
        </w:rPr>
        <w:t xml:space="preserve">  </w:t>
      </w:r>
      <w:r>
        <w:rPr>
          <w:rFonts w:hint="eastAsia" w:ascii="宋体" w:hAnsi="宋体" w:cs="宋体"/>
          <w:sz w:val="28"/>
          <w:szCs w:val="28"/>
          <w:u w:val="single"/>
          <w:lang w:val="en-US" w:eastAsia="zh-CN"/>
        </w:rPr>
        <w:t>贰</w:t>
      </w:r>
      <w:r>
        <w:rPr>
          <w:rFonts w:hint="eastAsia" w:ascii="宋体" w:hAnsi="宋体" w:cs="宋体"/>
          <w:sz w:val="28"/>
          <w:szCs w:val="28"/>
          <w:u w:val="single"/>
        </w:rPr>
        <w:t xml:space="preserve">  </w:t>
      </w:r>
      <w:r>
        <w:rPr>
          <w:rFonts w:hint="eastAsia" w:ascii="宋体" w:hAnsi="宋体" w:cs="宋体"/>
          <w:sz w:val="28"/>
          <w:szCs w:val="28"/>
        </w:rPr>
        <w:t>份。</w:t>
      </w:r>
    </w:p>
    <w:p w14:paraId="11EFF3AD">
      <w:pPr>
        <w:spacing w:before="101" w:line="221" w:lineRule="auto"/>
        <w:rPr>
          <w:rFonts w:hint="eastAsia" w:ascii="宋体" w:hAnsi="宋体" w:cs="宋体"/>
          <w:sz w:val="28"/>
          <w:szCs w:val="28"/>
        </w:rPr>
      </w:pPr>
      <w:r>
        <w:rPr>
          <w:rFonts w:hint="eastAsia" w:ascii="宋体" w:hAnsi="宋体" w:cs="宋体"/>
          <w:spacing w:val="-2"/>
          <w:sz w:val="28"/>
          <w:szCs w:val="28"/>
        </w:rPr>
        <w:t>发包人名称：(盖章)                发包人名称：(盖章)</w:t>
      </w:r>
    </w:p>
    <w:p w14:paraId="452BD341">
      <w:pPr>
        <w:spacing w:line="310" w:lineRule="auto"/>
        <w:rPr>
          <w:rFonts w:hint="eastAsia" w:ascii="宋体" w:hAnsi="宋体" w:cs="宋体"/>
          <w:sz w:val="28"/>
          <w:szCs w:val="28"/>
        </w:rPr>
      </w:pPr>
    </w:p>
    <w:p w14:paraId="437EAD6C">
      <w:pPr>
        <w:spacing w:before="101" w:line="223" w:lineRule="auto"/>
        <w:rPr>
          <w:rFonts w:hint="eastAsia" w:ascii="宋体" w:hAnsi="宋体" w:cs="宋体"/>
          <w:sz w:val="28"/>
          <w:szCs w:val="28"/>
        </w:rPr>
      </w:pPr>
      <w:r>
        <w:rPr>
          <w:rFonts w:hint="eastAsia" w:ascii="宋体" w:hAnsi="宋体" w:cs="宋体"/>
          <w:spacing w:val="-3"/>
          <w:sz w:val="28"/>
          <w:szCs w:val="28"/>
        </w:rPr>
        <w:t>法定代表人：(签字)                法定代表人：(签字)</w:t>
      </w:r>
    </w:p>
    <w:p w14:paraId="74ADD7D3">
      <w:pPr>
        <w:spacing w:before="293"/>
        <w:rPr>
          <w:rFonts w:hint="eastAsia" w:ascii="宋体" w:hAnsi="宋体" w:cs="宋体"/>
          <w:sz w:val="28"/>
          <w:szCs w:val="28"/>
        </w:rPr>
      </w:pPr>
      <w:r>
        <w:rPr>
          <w:rFonts w:hint="eastAsia" w:ascii="宋体" w:hAnsi="宋体" w:cs="宋体"/>
          <w:spacing w:val="-1"/>
          <w:sz w:val="28"/>
          <w:szCs w:val="28"/>
        </w:rPr>
        <w:t xml:space="preserve">委托代理人：(签字)               </w:t>
      </w:r>
      <w:r>
        <w:rPr>
          <w:rFonts w:hint="eastAsia" w:ascii="宋体" w:hAnsi="宋体" w:cs="宋体"/>
          <w:spacing w:val="-107"/>
          <w:sz w:val="28"/>
          <w:szCs w:val="28"/>
        </w:rPr>
        <w:t xml:space="preserve">          </w:t>
      </w:r>
      <w:r>
        <w:rPr>
          <w:rFonts w:hint="eastAsia" w:ascii="宋体" w:hAnsi="宋体" w:cs="宋体"/>
          <w:spacing w:val="-1"/>
          <w:sz w:val="28"/>
          <w:szCs w:val="28"/>
        </w:rPr>
        <w:t>委托代理人：(签字)</w:t>
      </w:r>
      <w:r>
        <w:rPr>
          <w:rFonts w:hint="eastAsia" w:ascii="宋体" w:hAnsi="宋体" w:cs="宋体"/>
          <w:spacing w:val="-107"/>
          <w:sz w:val="28"/>
          <w:szCs w:val="28"/>
        </w:rPr>
        <w:t xml:space="preserve"> </w:t>
      </w:r>
    </w:p>
    <w:p w14:paraId="106E628C">
      <w:pPr>
        <w:spacing w:line="246" w:lineRule="auto"/>
        <w:rPr>
          <w:rFonts w:hint="eastAsia" w:ascii="宋体" w:hAnsi="宋体" w:cs="宋体"/>
          <w:sz w:val="28"/>
          <w:szCs w:val="28"/>
        </w:rPr>
      </w:pPr>
    </w:p>
    <w:p w14:paraId="2427BF81">
      <w:pPr>
        <w:spacing w:before="101" w:line="221" w:lineRule="auto"/>
        <w:rPr>
          <w:rFonts w:hint="eastAsia" w:ascii="宋体" w:hAnsi="宋体" w:cs="宋体"/>
          <w:spacing w:val="-2"/>
          <w:sz w:val="28"/>
          <w:szCs w:val="28"/>
        </w:rPr>
      </w:pPr>
      <w:r>
        <w:rPr>
          <w:rFonts w:hint="eastAsia" w:ascii="宋体" w:hAnsi="宋体" w:cs="宋体"/>
          <w:spacing w:val="-2"/>
          <w:sz w:val="28"/>
          <w:szCs w:val="28"/>
        </w:rPr>
        <w:t>住       所：                     住       所：</w:t>
      </w:r>
    </w:p>
    <w:p w14:paraId="313FCE5B">
      <w:pPr>
        <w:spacing w:before="101" w:line="221" w:lineRule="auto"/>
        <w:rPr>
          <w:rFonts w:hint="eastAsia" w:ascii="宋体" w:hAnsi="宋体" w:cs="宋体"/>
          <w:spacing w:val="-2"/>
          <w:sz w:val="28"/>
          <w:szCs w:val="28"/>
        </w:rPr>
      </w:pPr>
      <w:r>
        <w:rPr>
          <w:rFonts w:hint="eastAsia" w:ascii="宋体" w:hAnsi="宋体" w:cs="宋体"/>
          <w:spacing w:val="-2"/>
          <w:sz w:val="28"/>
          <w:szCs w:val="28"/>
        </w:rPr>
        <w:t>邮 政 编 码：                     邮 政 编 码：</w:t>
      </w:r>
    </w:p>
    <w:p w14:paraId="62E063D6">
      <w:pPr>
        <w:spacing w:before="101" w:line="221" w:lineRule="auto"/>
        <w:rPr>
          <w:rFonts w:hint="eastAsia" w:ascii="宋体" w:hAnsi="宋体" w:cs="宋体"/>
          <w:spacing w:val="-2"/>
          <w:sz w:val="28"/>
          <w:szCs w:val="28"/>
        </w:rPr>
      </w:pPr>
      <w:r>
        <w:rPr>
          <w:rFonts w:hint="eastAsia" w:ascii="宋体" w:hAnsi="宋体" w:cs="宋体"/>
          <w:spacing w:val="-2"/>
          <w:sz w:val="28"/>
          <w:szCs w:val="28"/>
        </w:rPr>
        <w:t>电       话：                     电       话：</w:t>
      </w:r>
    </w:p>
    <w:p w14:paraId="0BBABD07">
      <w:pPr>
        <w:spacing w:before="101" w:line="221" w:lineRule="auto"/>
        <w:rPr>
          <w:rFonts w:hint="eastAsia" w:ascii="宋体" w:hAnsi="宋体" w:cs="宋体"/>
          <w:spacing w:val="-2"/>
          <w:sz w:val="28"/>
          <w:szCs w:val="28"/>
        </w:rPr>
      </w:pPr>
      <w:r>
        <w:rPr>
          <w:rFonts w:hint="eastAsia" w:ascii="宋体" w:hAnsi="宋体" w:cs="宋体"/>
          <w:spacing w:val="-2"/>
          <w:sz w:val="28"/>
          <w:szCs w:val="28"/>
        </w:rPr>
        <w:t>传       真：                     传       真：</w:t>
      </w:r>
    </w:p>
    <w:p w14:paraId="0584DBD0">
      <w:pPr>
        <w:spacing w:before="101" w:line="221" w:lineRule="auto"/>
        <w:rPr>
          <w:rFonts w:hint="eastAsia" w:ascii="宋体" w:hAnsi="宋体" w:cs="宋体"/>
          <w:spacing w:val="-2"/>
          <w:sz w:val="28"/>
          <w:szCs w:val="28"/>
        </w:rPr>
      </w:pPr>
      <w:r>
        <w:rPr>
          <w:rFonts w:hint="eastAsia" w:ascii="宋体" w:hAnsi="宋体" w:cs="宋体"/>
          <w:spacing w:val="-2"/>
          <w:sz w:val="28"/>
          <w:szCs w:val="28"/>
        </w:rPr>
        <w:t>开 户 银 行：                     开 户 银 行：</w:t>
      </w:r>
    </w:p>
    <w:p w14:paraId="00CC3C0E">
      <w:pPr>
        <w:spacing w:before="101" w:line="221" w:lineRule="auto"/>
        <w:rPr>
          <w:rFonts w:hint="eastAsia" w:ascii="宋体" w:hAnsi="宋体" w:cs="宋体"/>
          <w:spacing w:val="-2"/>
          <w:sz w:val="31"/>
          <w:szCs w:val="31"/>
        </w:rPr>
      </w:pPr>
      <w:r>
        <w:rPr>
          <w:rFonts w:hint="eastAsia" w:ascii="宋体" w:hAnsi="宋体" w:cs="宋体"/>
          <w:spacing w:val="-2"/>
          <w:sz w:val="28"/>
          <w:szCs w:val="28"/>
        </w:rPr>
        <w:t>银 行 帐 号：                     银 行 帐 号：</w:t>
      </w:r>
    </w:p>
    <w:p w14:paraId="305CCB19">
      <w:pPr>
        <w:spacing w:line="520" w:lineRule="exact"/>
        <w:rPr>
          <w:rFonts w:hint="default" w:ascii="宋体" w:hAnsi="宋体" w:eastAsia="宋体" w:cs="宋体"/>
          <w:color w:val="000000"/>
          <w:sz w:val="24"/>
          <w:lang w:val="en-US" w:eastAsia="zh-CN"/>
        </w:rPr>
      </w:pPr>
    </w:p>
    <w:p w14:paraId="2544F5D5">
      <w:pPr>
        <w:spacing w:line="520" w:lineRule="exact"/>
        <w:rPr>
          <w:rFonts w:hint="eastAsia" w:ascii="宋体" w:hAnsi="宋体" w:cs="宋体"/>
          <w:color w:val="000000"/>
          <w:sz w:val="24"/>
        </w:rPr>
      </w:pPr>
    </w:p>
    <w:p w14:paraId="70320DC2">
      <w:pPr>
        <w:pStyle w:val="2"/>
        <w:jc w:val="center"/>
        <w:rPr>
          <w:rFonts w:ascii="宋体" w:hAnsi="宋体"/>
          <w:sz w:val="21"/>
          <w:szCs w:val="21"/>
        </w:rPr>
        <w:sectPr>
          <w:pgSz w:w="11906" w:h="16838"/>
          <w:pgMar w:top="1418" w:right="1417" w:bottom="1418" w:left="1417" w:header="851" w:footer="992" w:gutter="0"/>
          <w:cols w:space="720" w:num="1"/>
          <w:docGrid w:type="lines" w:linePitch="312" w:charSpace="0"/>
        </w:sectPr>
      </w:pPr>
      <w:r>
        <w:rPr>
          <w:rFonts w:ascii="宋体" w:hAnsi="宋体"/>
          <w:sz w:val="21"/>
          <w:szCs w:val="21"/>
        </w:rPr>
        <w:br w:type="page"/>
      </w:r>
      <w:bookmarkEnd w:id="380"/>
    </w:p>
    <w:p w14:paraId="4C47EE22">
      <w:pPr>
        <w:spacing w:line="400" w:lineRule="exact"/>
        <w:jc w:val="left"/>
        <w:rPr>
          <w:rFonts w:hint="eastAsia" w:ascii="宋体" w:hAnsi="宋体" w:cs="宋体"/>
          <w:b/>
          <w:sz w:val="32"/>
          <w:szCs w:val="32"/>
        </w:rPr>
      </w:pPr>
      <w:r>
        <w:rPr>
          <w:rFonts w:hint="eastAsia" w:ascii="宋体" w:hAnsi="宋体" w:cs="宋体"/>
          <w:b/>
          <w:bCs/>
          <w:sz w:val="24"/>
        </w:rPr>
        <w:t>附件1</w:t>
      </w:r>
    </w:p>
    <w:p w14:paraId="261F8FBA">
      <w:pPr>
        <w:spacing w:line="400" w:lineRule="exact"/>
        <w:jc w:val="center"/>
        <w:outlineLvl w:val="1"/>
        <w:rPr>
          <w:rFonts w:hint="eastAsia" w:ascii="宋体" w:hAnsi="宋体" w:cs="宋体"/>
          <w:b/>
          <w:sz w:val="32"/>
          <w:szCs w:val="32"/>
        </w:rPr>
      </w:pPr>
      <w:bookmarkStart w:id="389" w:name="_Toc114755445"/>
      <w:r>
        <w:rPr>
          <w:rFonts w:hint="eastAsia" w:ascii="宋体" w:hAnsi="宋体" w:cs="宋体"/>
          <w:b/>
          <w:bCs/>
          <w:sz w:val="24"/>
          <w:szCs w:val="24"/>
        </w:rPr>
        <w:t>工程勘察廉政责任书</w:t>
      </w:r>
      <w:bookmarkEnd w:id="389"/>
    </w:p>
    <w:p w14:paraId="2C0F8E08">
      <w:pPr>
        <w:spacing w:before="156" w:beforeLines="50" w:after="156" w:afterLines="50" w:line="360" w:lineRule="auto"/>
        <w:ind w:right="28"/>
        <w:contextualSpacing/>
        <w:rPr>
          <w:rFonts w:hint="default" w:ascii="宋体" w:hAnsi="宋体" w:cs="宋体"/>
          <w:sz w:val="28"/>
          <w:szCs w:val="28"/>
          <w:lang w:val="en-US"/>
        </w:rPr>
      </w:pPr>
      <w:r>
        <w:rPr>
          <w:rFonts w:hint="eastAsia" w:ascii="宋体" w:hAnsi="宋体" w:cs="宋体"/>
          <w:sz w:val="14"/>
          <w:szCs w:val="14"/>
        </w:rPr>
        <w:br w:type="textWrapping"/>
      </w:r>
      <w:r>
        <w:rPr>
          <w:rFonts w:hint="eastAsia" w:ascii="宋体" w:hAnsi="宋体" w:cs="宋体"/>
          <w:sz w:val="28"/>
          <w:szCs w:val="28"/>
        </w:rPr>
        <w:t>工程项目名称：</w:t>
      </w:r>
      <w:r>
        <w:rPr>
          <w:rFonts w:hint="eastAsia" w:ascii="宋体" w:hAnsi="宋体" w:cs="宋体"/>
          <w:spacing w:val="20"/>
          <w:sz w:val="28"/>
          <w:szCs w:val="28"/>
          <w:u w:val="single"/>
        </w:rPr>
        <w:t xml:space="preserve">                  </w:t>
      </w:r>
      <w:r>
        <w:rPr>
          <w:rFonts w:hint="eastAsia" w:ascii="宋体" w:hAnsi="宋体" w:cs="宋体"/>
          <w:spacing w:val="20"/>
          <w:sz w:val="28"/>
          <w:szCs w:val="28"/>
          <w:u w:val="single"/>
          <w:lang w:val="en-US" w:eastAsia="zh-CN"/>
        </w:rPr>
        <w:t xml:space="preserve"> </w:t>
      </w:r>
      <w:r>
        <w:rPr>
          <w:rFonts w:hint="eastAsia" w:ascii="宋体" w:hAnsi="宋体" w:cs="宋体"/>
          <w:spacing w:val="20"/>
          <w:sz w:val="28"/>
          <w:szCs w:val="28"/>
          <w:u w:val="single"/>
        </w:rPr>
        <w:t xml:space="preserve"> </w:t>
      </w:r>
      <w:r>
        <w:rPr>
          <w:rFonts w:hint="eastAsia" w:ascii="宋体" w:hAnsi="宋体" w:cs="宋体"/>
          <w:spacing w:val="20"/>
          <w:sz w:val="28"/>
          <w:szCs w:val="28"/>
          <w:u w:val="single"/>
          <w:lang w:val="en-US" w:eastAsia="zh-CN"/>
        </w:rPr>
        <w:t xml:space="preserve">  </w:t>
      </w:r>
    </w:p>
    <w:p w14:paraId="33AEFE3F">
      <w:pPr>
        <w:spacing w:line="520" w:lineRule="exact"/>
        <w:rPr>
          <w:rFonts w:hint="default" w:ascii="宋体" w:hAnsi="宋体" w:eastAsia="宋体" w:cs="宋体"/>
          <w:color w:val="000000"/>
          <w:sz w:val="28"/>
          <w:szCs w:val="28"/>
          <w:lang w:val="en-US" w:eastAsia="zh-CN"/>
        </w:rPr>
      </w:pPr>
      <w:r>
        <w:rPr>
          <w:rFonts w:hint="eastAsia" w:ascii="宋体" w:hAnsi="宋体" w:cs="宋体"/>
          <w:sz w:val="28"/>
          <w:szCs w:val="28"/>
        </w:rPr>
        <w:t>工程项目地址：</w:t>
      </w:r>
      <w:r>
        <w:rPr>
          <w:rFonts w:hint="eastAsia" w:ascii="宋体" w:hAnsi="宋体" w:cs="宋体"/>
          <w:sz w:val="28"/>
          <w:szCs w:val="28"/>
          <w:u w:val="single"/>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cs="宋体"/>
          <w:sz w:val="28"/>
          <w:szCs w:val="28"/>
        </w:rPr>
        <w:br w:type="textWrapping"/>
      </w:r>
      <w:r>
        <w:rPr>
          <w:rFonts w:hint="eastAsia" w:ascii="宋体" w:hAnsi="宋体" w:cs="宋体"/>
          <w:sz w:val="28"/>
          <w:szCs w:val="28"/>
        </w:rPr>
        <w:t>发包人（甲方）：</w:t>
      </w:r>
      <w:r>
        <w:rPr>
          <w:rFonts w:hint="eastAsia" w:ascii="宋体" w:hAnsi="宋体" w:cs="宋体"/>
          <w:spacing w:val="20"/>
          <w:sz w:val="28"/>
          <w:szCs w:val="28"/>
          <w:u w:val="single"/>
        </w:rPr>
        <w:t xml:space="preserve">                 </w:t>
      </w:r>
      <w:r>
        <w:rPr>
          <w:rFonts w:hint="eastAsia" w:ascii="宋体" w:hAnsi="宋体" w:cs="宋体"/>
          <w:spacing w:val="20"/>
          <w:sz w:val="28"/>
          <w:szCs w:val="28"/>
          <w:u w:val="single"/>
          <w:lang w:val="en-US" w:eastAsia="zh-CN"/>
        </w:rPr>
        <w:t xml:space="preserve"> </w:t>
      </w:r>
      <w:r>
        <w:rPr>
          <w:rFonts w:hint="eastAsia" w:ascii="宋体" w:hAnsi="宋体" w:cs="宋体"/>
          <w:spacing w:val="20"/>
          <w:sz w:val="28"/>
          <w:szCs w:val="28"/>
          <w:u w:val="single"/>
        </w:rPr>
        <w:t xml:space="preserve">  </w:t>
      </w:r>
      <w:r>
        <w:rPr>
          <w:rFonts w:hint="eastAsia" w:ascii="宋体" w:hAnsi="宋体" w:cs="宋体"/>
          <w:sz w:val="28"/>
          <w:szCs w:val="28"/>
        </w:rPr>
        <w:br w:type="textWrapping"/>
      </w:r>
      <w:r>
        <w:rPr>
          <w:rFonts w:hint="eastAsia" w:ascii="宋体" w:hAnsi="宋体" w:cs="宋体"/>
          <w:sz w:val="28"/>
          <w:szCs w:val="28"/>
        </w:rPr>
        <w:t>勘察人（乙方）：</w:t>
      </w:r>
      <w:r>
        <w:rPr>
          <w:rFonts w:hint="eastAsia" w:ascii="宋体" w:hAnsi="宋体" w:cs="宋体"/>
          <w:spacing w:val="20"/>
          <w:sz w:val="28"/>
          <w:szCs w:val="28"/>
          <w:u w:val="single"/>
        </w:rPr>
        <w:t xml:space="preserve">                 </w:t>
      </w:r>
      <w:r>
        <w:rPr>
          <w:rFonts w:hint="eastAsia" w:ascii="宋体" w:hAnsi="宋体" w:cs="宋体"/>
          <w:spacing w:val="20"/>
          <w:sz w:val="28"/>
          <w:szCs w:val="28"/>
          <w:u w:val="single"/>
          <w:lang w:val="en-US" w:eastAsia="zh-CN"/>
        </w:rPr>
        <w:t xml:space="preserve"> </w:t>
      </w:r>
      <w:r>
        <w:rPr>
          <w:rFonts w:hint="eastAsia" w:ascii="宋体" w:hAnsi="宋体" w:cs="宋体"/>
          <w:spacing w:val="20"/>
          <w:sz w:val="28"/>
          <w:szCs w:val="28"/>
          <w:u w:val="single"/>
        </w:rPr>
        <w:t xml:space="preserve">  </w:t>
      </w:r>
      <w:r>
        <w:rPr>
          <w:rFonts w:hint="eastAsia" w:ascii="宋体" w:hAnsi="宋体" w:cs="宋体"/>
          <w:sz w:val="28"/>
          <w:szCs w:val="28"/>
        </w:rPr>
        <w:br w:type="textWrapping"/>
      </w:r>
      <w:r>
        <w:rPr>
          <w:rFonts w:hint="eastAsia" w:ascii="宋体" w:hAnsi="宋体" w:cs="宋体"/>
          <w:sz w:val="28"/>
          <w:szCs w:val="28"/>
        </w:rPr>
        <w:t xml:space="preserve">　　为加强工程建设中的廉政建设，规范工程建设勘察设计委托与被委托双方的各项活动，防止发生各种谋取不正当利益的违法违纪行为，保护国家、集体和当事人的合法权益，根据国家有关工程建设的法律法规和廉政建设责任制规定，特订立本廉政责任书。 </w:t>
      </w:r>
      <w:r>
        <w:rPr>
          <w:rFonts w:hint="eastAsia" w:ascii="宋体" w:hAnsi="宋体" w:cs="宋体"/>
          <w:sz w:val="28"/>
          <w:szCs w:val="28"/>
        </w:rPr>
        <w:br w:type="textWrapping"/>
      </w:r>
      <w:r>
        <w:rPr>
          <w:rFonts w:hint="eastAsia" w:ascii="宋体" w:hAnsi="宋体" w:cs="宋体"/>
          <w:sz w:val="28"/>
          <w:szCs w:val="28"/>
        </w:rPr>
        <w:t xml:space="preserve">　　第一条甲乙双方的责任 </w:t>
      </w:r>
      <w:r>
        <w:rPr>
          <w:rFonts w:hint="eastAsia" w:ascii="宋体" w:hAnsi="宋体" w:cs="宋体"/>
          <w:sz w:val="28"/>
          <w:szCs w:val="28"/>
        </w:rPr>
        <w:br w:type="textWrapping"/>
      </w:r>
      <w:r>
        <w:rPr>
          <w:rFonts w:hint="eastAsia" w:ascii="宋体" w:hAnsi="宋体" w:cs="宋体"/>
          <w:sz w:val="28"/>
          <w:szCs w:val="28"/>
        </w:rPr>
        <w:t xml:space="preserve">　　（一）应严格遵守国家关于市场准入、项目招标投标、工程建设、勘察设计和市场活动的有关法律、法规，相关政策，以及廉政建设的各项规定。 </w:t>
      </w:r>
      <w:r>
        <w:rPr>
          <w:rFonts w:hint="eastAsia" w:ascii="宋体" w:hAnsi="宋体" w:cs="宋体"/>
          <w:sz w:val="28"/>
          <w:szCs w:val="28"/>
        </w:rPr>
        <w:br w:type="textWrapping"/>
      </w:r>
      <w:r>
        <w:rPr>
          <w:rFonts w:hint="eastAsia" w:ascii="宋体" w:hAnsi="宋体" w:cs="宋体"/>
          <w:sz w:val="28"/>
          <w:szCs w:val="28"/>
        </w:rPr>
        <w:t xml:space="preserve">　　（二）严格执行建设工程勘察设计合同文件，自觉按合同办事。 </w:t>
      </w:r>
      <w:r>
        <w:rPr>
          <w:rFonts w:hint="eastAsia" w:ascii="宋体" w:hAnsi="宋体" w:cs="宋体"/>
          <w:sz w:val="28"/>
          <w:szCs w:val="28"/>
        </w:rPr>
        <w:br w:type="textWrapping"/>
      </w:r>
      <w:r>
        <w:rPr>
          <w:rFonts w:hint="eastAsia" w:ascii="宋体" w:hAnsi="宋体" w:cs="宋体"/>
          <w:sz w:val="28"/>
          <w:szCs w:val="28"/>
        </w:rPr>
        <w:t xml:space="preserve">　　（三）业务活动必须坚持公开、公平、公正、诚信、透明的原则（除法律法规另有规定者外），不得为获取不正当的利益，损害国家、集体和对方利益，不得违反工程建设管理、勘察设计的规章制度。 </w:t>
      </w:r>
      <w:r>
        <w:rPr>
          <w:rFonts w:hint="eastAsia" w:ascii="宋体" w:hAnsi="宋体" w:cs="宋体"/>
          <w:sz w:val="28"/>
          <w:szCs w:val="28"/>
        </w:rPr>
        <w:br w:type="textWrapping"/>
      </w:r>
      <w:r>
        <w:rPr>
          <w:rFonts w:hint="eastAsia" w:ascii="宋体" w:hAnsi="宋体" w:cs="宋体"/>
          <w:sz w:val="28"/>
          <w:szCs w:val="28"/>
        </w:rPr>
        <w:t xml:space="preserve">　　（四）发现对方在业务活动中有违规、违纪、违法行为的，应及时提醒对方，情节严重的，应向其上级主管部门或纪检监察、司法等有关机关举报。 </w:t>
      </w:r>
      <w:r>
        <w:rPr>
          <w:rFonts w:hint="eastAsia" w:ascii="宋体" w:hAnsi="宋体" w:cs="宋体"/>
          <w:sz w:val="28"/>
          <w:szCs w:val="28"/>
        </w:rPr>
        <w:br w:type="textWrapping"/>
      </w:r>
      <w:r>
        <w:rPr>
          <w:rFonts w:hint="eastAsia" w:ascii="宋体" w:hAnsi="宋体" w:cs="宋体"/>
          <w:sz w:val="28"/>
          <w:szCs w:val="28"/>
        </w:rPr>
        <w:t xml:space="preserve">　　第二条甲方的责任 </w:t>
      </w:r>
      <w:r>
        <w:rPr>
          <w:rFonts w:hint="eastAsia" w:ascii="宋体" w:hAnsi="宋体" w:cs="宋体"/>
          <w:sz w:val="28"/>
          <w:szCs w:val="28"/>
        </w:rPr>
        <w:br w:type="textWrapping"/>
      </w:r>
      <w:r>
        <w:rPr>
          <w:rFonts w:hint="eastAsia" w:ascii="宋体" w:hAnsi="宋体" w:cs="宋体"/>
          <w:sz w:val="28"/>
          <w:szCs w:val="28"/>
        </w:rPr>
        <w:t xml:space="preserve">　　甲方的领导和从事该建设工程项目的工作人员，在工程建设的事前、事中、事后应遵守以下规定： </w:t>
      </w:r>
      <w:r>
        <w:rPr>
          <w:rFonts w:hint="eastAsia" w:ascii="宋体" w:hAnsi="宋体" w:cs="宋体"/>
          <w:sz w:val="28"/>
          <w:szCs w:val="28"/>
        </w:rPr>
        <w:br w:type="textWrapping"/>
      </w:r>
      <w:r>
        <w:rPr>
          <w:rFonts w:hint="eastAsia" w:ascii="宋体" w:hAnsi="宋体" w:cs="宋体"/>
          <w:sz w:val="28"/>
          <w:szCs w:val="28"/>
        </w:rPr>
        <w:t xml:space="preserve">　　（一）不准向乙方和相关单位索要或接受回扣、礼金、有价证券、贵重物品和好处费、感谢费等。 </w:t>
      </w:r>
      <w:r>
        <w:rPr>
          <w:rFonts w:hint="eastAsia" w:ascii="宋体" w:hAnsi="宋体" w:cs="宋体"/>
          <w:sz w:val="28"/>
          <w:szCs w:val="28"/>
        </w:rPr>
        <w:br w:type="textWrapping"/>
      </w:r>
      <w:r>
        <w:rPr>
          <w:rFonts w:hint="eastAsia" w:ascii="宋体" w:hAnsi="宋体" w:cs="宋体"/>
          <w:sz w:val="28"/>
          <w:szCs w:val="28"/>
        </w:rPr>
        <w:t xml:space="preserve">　　（二）不准在乙方和相关单位报销任何应由甲方或个人支付的费用。 </w:t>
      </w:r>
      <w:r>
        <w:rPr>
          <w:rFonts w:hint="eastAsia" w:ascii="宋体" w:hAnsi="宋体" w:cs="宋体"/>
          <w:sz w:val="28"/>
          <w:szCs w:val="28"/>
        </w:rPr>
        <w:br w:type="textWrapping"/>
      </w:r>
      <w:r>
        <w:rPr>
          <w:rFonts w:hint="eastAsia" w:ascii="宋体" w:hAnsi="宋体" w:cs="宋体"/>
          <w:sz w:val="28"/>
          <w:szCs w:val="28"/>
        </w:rPr>
        <w:t xml:space="preserve">　　（三）不准要求、暗示或接受乙方和相关单位为个人装修住房、婚丧嫁娶、配偶子女的工作安排以及出国（境）、旅游等提供方便。 </w:t>
      </w:r>
      <w:r>
        <w:rPr>
          <w:rFonts w:hint="eastAsia" w:ascii="宋体" w:hAnsi="宋体" w:cs="宋体"/>
          <w:sz w:val="28"/>
          <w:szCs w:val="28"/>
        </w:rPr>
        <w:br w:type="textWrapping"/>
      </w:r>
      <w:r>
        <w:rPr>
          <w:rFonts w:hint="eastAsia" w:ascii="宋体" w:hAnsi="宋体" w:cs="宋体"/>
          <w:sz w:val="28"/>
          <w:szCs w:val="28"/>
        </w:rPr>
        <w:t xml:space="preserve">　　（四）不准参加有可能影响公正执行公务的乙方和相关单位的宴请、健身、娱乐等活动。 </w:t>
      </w:r>
      <w:r>
        <w:rPr>
          <w:rFonts w:hint="eastAsia" w:ascii="宋体" w:hAnsi="宋体" w:cs="宋体"/>
          <w:sz w:val="28"/>
          <w:szCs w:val="28"/>
        </w:rPr>
        <w:br w:type="textWrapping"/>
      </w:r>
      <w:r>
        <w:rPr>
          <w:rFonts w:hint="eastAsia" w:ascii="宋体" w:hAnsi="宋体" w:cs="宋体"/>
          <w:sz w:val="28"/>
          <w:szCs w:val="28"/>
        </w:rPr>
        <w:t xml:space="preserve">　　（五）不准向乙方和相关单位介绍或为配偶、子女、亲属参与同甲方项目工程勘察设计合同有关的勘察设计业务等活动。不得以任何理由要求乙方和相关单位在设计中使用某种产品、材料和设备。 </w:t>
      </w:r>
      <w:r>
        <w:rPr>
          <w:rFonts w:hint="eastAsia" w:ascii="宋体" w:hAnsi="宋体" w:cs="宋体"/>
          <w:sz w:val="28"/>
          <w:szCs w:val="28"/>
        </w:rPr>
        <w:br w:type="textWrapping"/>
      </w:r>
      <w:r>
        <w:rPr>
          <w:rFonts w:hint="eastAsia" w:ascii="宋体" w:hAnsi="宋体" w:cs="宋体"/>
          <w:sz w:val="28"/>
          <w:szCs w:val="28"/>
        </w:rPr>
        <w:t xml:space="preserve">　　第三条乙方的责任 </w:t>
      </w:r>
      <w:r>
        <w:rPr>
          <w:rFonts w:hint="eastAsia" w:ascii="宋体" w:hAnsi="宋体" w:cs="宋体"/>
          <w:sz w:val="28"/>
          <w:szCs w:val="28"/>
        </w:rPr>
        <w:br w:type="textWrapping"/>
      </w:r>
      <w:r>
        <w:rPr>
          <w:rFonts w:hint="eastAsia" w:ascii="宋体" w:hAnsi="宋体" w:cs="宋体"/>
          <w:sz w:val="28"/>
          <w:szCs w:val="28"/>
        </w:rPr>
        <w:t xml:space="preserve">　　应与甲方保持正常的业务交往，按照有关法律法规和程序开展业务工作，严格执行工程建设的有关方针、政策，尤其是有关勘察设计的强制性标准和规范，并遵守以下规定： </w:t>
      </w:r>
      <w:r>
        <w:rPr>
          <w:rFonts w:hint="eastAsia" w:ascii="宋体" w:hAnsi="宋体" w:cs="宋体"/>
          <w:sz w:val="28"/>
          <w:szCs w:val="28"/>
        </w:rPr>
        <w:br w:type="textWrapping"/>
      </w:r>
      <w:r>
        <w:rPr>
          <w:rFonts w:hint="eastAsia" w:ascii="宋体" w:hAnsi="宋体" w:cs="宋体"/>
          <w:sz w:val="28"/>
          <w:szCs w:val="28"/>
        </w:rPr>
        <w:t xml:space="preserve">　　（一）不准以任何理由向甲方及其工作人员索要、接受或赠送礼金、有价证券、贵重物品及回扣、好处费、感谢费等。 </w:t>
      </w:r>
      <w:r>
        <w:rPr>
          <w:rFonts w:hint="eastAsia" w:ascii="宋体" w:hAnsi="宋体" w:cs="宋体"/>
          <w:sz w:val="28"/>
          <w:szCs w:val="28"/>
        </w:rPr>
        <w:br w:type="textWrapping"/>
      </w:r>
      <w:r>
        <w:rPr>
          <w:rFonts w:hint="eastAsia" w:ascii="宋体" w:hAnsi="宋体" w:cs="宋体"/>
          <w:sz w:val="28"/>
          <w:szCs w:val="28"/>
        </w:rPr>
        <w:t xml:space="preserve">　　（二）不准以任何理由为甲方和相关单位报销应由对方或个人支付的费用。 </w:t>
      </w:r>
      <w:r>
        <w:rPr>
          <w:rFonts w:hint="eastAsia" w:ascii="宋体" w:hAnsi="宋体" w:cs="宋体"/>
          <w:sz w:val="28"/>
          <w:szCs w:val="28"/>
        </w:rPr>
        <w:br w:type="textWrapping"/>
      </w:r>
      <w:r>
        <w:rPr>
          <w:rFonts w:hint="eastAsia" w:ascii="宋体" w:hAnsi="宋体" w:cs="宋体"/>
          <w:sz w:val="28"/>
          <w:szCs w:val="28"/>
        </w:rPr>
        <w:t xml:space="preserve">　　（三）不准接受或暗示为甲方、相关单位或个人装修住房、婚丧嫁娶、配偶子女的工作安排以及出国（境）、旅游等提供方便。 </w:t>
      </w:r>
      <w:r>
        <w:rPr>
          <w:rFonts w:hint="eastAsia" w:ascii="宋体" w:hAnsi="宋体" w:cs="宋体"/>
          <w:sz w:val="28"/>
          <w:szCs w:val="28"/>
        </w:rPr>
        <w:br w:type="textWrapping"/>
      </w:r>
      <w:r>
        <w:rPr>
          <w:rFonts w:hint="eastAsia" w:ascii="宋体" w:hAnsi="宋体" w:cs="宋体"/>
          <w:sz w:val="28"/>
          <w:szCs w:val="28"/>
        </w:rPr>
        <w:t xml:space="preserve">　　（四）不准以任何理由为甲方、相关单位或个人组织有可能影响公正执行公务的宴请、健身、娱乐等活动。 </w:t>
      </w:r>
      <w:r>
        <w:rPr>
          <w:rFonts w:hint="eastAsia" w:ascii="宋体" w:hAnsi="宋体" w:cs="宋体"/>
          <w:sz w:val="28"/>
          <w:szCs w:val="28"/>
        </w:rPr>
        <w:br w:type="textWrapping"/>
      </w:r>
      <w:r>
        <w:rPr>
          <w:rFonts w:hint="eastAsia" w:ascii="宋体" w:hAnsi="宋体" w:cs="宋体"/>
          <w:sz w:val="28"/>
          <w:szCs w:val="28"/>
        </w:rPr>
        <w:t xml:space="preserve">　　第四条违约责任 </w:t>
      </w:r>
      <w:r>
        <w:rPr>
          <w:rFonts w:hint="eastAsia" w:ascii="宋体" w:hAnsi="宋体" w:cs="宋体"/>
          <w:sz w:val="28"/>
          <w:szCs w:val="28"/>
        </w:rPr>
        <w:br w:type="textWrapping"/>
      </w:r>
      <w:r>
        <w:rPr>
          <w:rFonts w:hint="eastAsia" w:ascii="宋体" w:hAnsi="宋体" w:cs="宋体"/>
          <w:sz w:val="28"/>
          <w:szCs w:val="28"/>
        </w:rPr>
        <w:t xml:space="preserve">　　（一）甲方工作人员有违反本责任书第一、二条责任行为的，按照管理权限，依据有关法律法规和规定给予党纪、政纪处分或组织处理；涉嫌犯罪的，移交司法机关追究刑事责任；给乙方单位造成经济损失的，应予以赔偿。 </w:t>
      </w:r>
      <w:r>
        <w:rPr>
          <w:rFonts w:hint="eastAsia" w:ascii="宋体" w:hAnsi="宋体" w:cs="宋体"/>
          <w:sz w:val="28"/>
          <w:szCs w:val="28"/>
        </w:rPr>
        <w:br w:type="textWrapping"/>
      </w:r>
      <w:r>
        <w:rPr>
          <w:rFonts w:hint="eastAsia" w:ascii="宋体" w:hAnsi="宋体" w:cs="宋体"/>
          <w:sz w:val="28"/>
          <w:szCs w:val="28"/>
        </w:rPr>
        <w:t xml:space="preserve">　　（二）乙方工作人员有违反本责任书第一、三条责任行为的，按照管理权限，依据有关法律法规和规定给予党纪、政纪处分或组织处理；涉嫌犯罪的，移交司法机关追究刑事责任；给甲方单位造成经济损失的，应予以赔偿。 </w:t>
      </w:r>
      <w:r>
        <w:rPr>
          <w:rFonts w:hint="eastAsia" w:ascii="宋体" w:hAnsi="宋体" w:cs="宋体"/>
          <w:sz w:val="28"/>
          <w:szCs w:val="28"/>
        </w:rPr>
        <w:br w:type="textWrapping"/>
      </w:r>
      <w:r>
        <w:rPr>
          <w:rFonts w:hint="eastAsia" w:ascii="宋体" w:hAnsi="宋体" w:cs="宋体"/>
          <w:sz w:val="28"/>
          <w:szCs w:val="28"/>
        </w:rPr>
        <w:t xml:space="preserve">　　第五条本责任书作为工程勘察设计合同的附件，与工程勘察设计合同具有同等法律效力。经双方签署后立即生效。 </w:t>
      </w:r>
      <w:r>
        <w:rPr>
          <w:rFonts w:hint="eastAsia" w:ascii="宋体" w:hAnsi="宋体" w:cs="宋体"/>
          <w:sz w:val="28"/>
          <w:szCs w:val="28"/>
        </w:rPr>
        <w:br w:type="textWrapping"/>
      </w:r>
      <w:r>
        <w:rPr>
          <w:rFonts w:hint="eastAsia" w:ascii="宋体" w:hAnsi="宋体" w:cs="宋体"/>
          <w:sz w:val="28"/>
          <w:szCs w:val="28"/>
        </w:rPr>
        <w:t xml:space="preserve">　　第六条本责任书的有效期为双方签署之日起至该工程项目竣工验收合格时止。 </w:t>
      </w:r>
      <w:r>
        <w:rPr>
          <w:rFonts w:hint="eastAsia" w:ascii="宋体" w:hAnsi="宋体" w:cs="宋体"/>
          <w:sz w:val="28"/>
          <w:szCs w:val="28"/>
        </w:rPr>
        <w:br w:type="textWrapping"/>
      </w:r>
      <w:r>
        <w:rPr>
          <w:rFonts w:hint="eastAsia" w:ascii="宋体" w:hAnsi="宋体" w:cs="宋体"/>
          <w:sz w:val="28"/>
          <w:szCs w:val="28"/>
        </w:rPr>
        <w:t xml:space="preserve">　　 </w:t>
      </w:r>
      <w:r>
        <w:rPr>
          <w:rFonts w:hint="eastAsia" w:ascii="宋体" w:hAnsi="宋体" w:cs="宋体"/>
          <w:sz w:val="28"/>
          <w:szCs w:val="28"/>
        </w:rPr>
        <w:br w:type="textWrapping"/>
      </w:r>
      <w:r>
        <w:rPr>
          <w:rFonts w:hint="eastAsia" w:ascii="宋体" w:hAnsi="宋体" w:cs="宋体"/>
          <w:sz w:val="28"/>
          <w:szCs w:val="28"/>
        </w:rPr>
        <w:t>　　甲方单位：（盖章）</w:t>
      </w:r>
      <w:r>
        <w:rPr>
          <w:rFonts w:hint="eastAsia" w:ascii="宋体" w:hAnsi="宋体" w:cs="宋体"/>
          <w:sz w:val="28"/>
          <w:szCs w:val="28"/>
          <w:lang w:val="en-US" w:eastAsia="zh-CN"/>
        </w:rPr>
        <w:t xml:space="preserve">                   </w:t>
      </w:r>
      <w:r>
        <w:rPr>
          <w:rFonts w:hint="eastAsia" w:ascii="宋体" w:hAnsi="宋体" w:cs="宋体"/>
          <w:sz w:val="28"/>
          <w:szCs w:val="28"/>
        </w:rPr>
        <w:t xml:space="preserve">乙方单位：（盖章）     </w:t>
      </w:r>
      <w:r>
        <w:rPr>
          <w:rFonts w:hint="eastAsia" w:ascii="宋体" w:hAnsi="宋体" w:cs="宋体"/>
          <w:sz w:val="28"/>
          <w:szCs w:val="28"/>
        </w:rPr>
        <w:br w:type="textWrapping"/>
      </w:r>
      <w:r>
        <w:rPr>
          <w:rFonts w:hint="eastAsia" w:ascii="宋体" w:hAnsi="宋体" w:cs="宋体"/>
          <w:sz w:val="28"/>
          <w:szCs w:val="28"/>
        </w:rPr>
        <w:br w:type="textWrapping"/>
      </w:r>
      <w:r>
        <w:rPr>
          <w:rFonts w:hint="eastAsia" w:ascii="宋体" w:hAnsi="宋体" w:cs="宋体"/>
          <w:sz w:val="28"/>
          <w:szCs w:val="28"/>
          <w:lang w:val="en-US" w:eastAsia="zh-CN"/>
        </w:rPr>
        <w:t xml:space="preserve">    </w:t>
      </w:r>
      <w:r>
        <w:rPr>
          <w:rFonts w:hint="eastAsia" w:ascii="宋体" w:hAnsi="宋体" w:cs="宋体"/>
          <w:sz w:val="28"/>
          <w:szCs w:val="28"/>
        </w:rPr>
        <w:t>法定代表人或委托代理人：</w:t>
      </w:r>
      <w:r>
        <w:rPr>
          <w:rFonts w:hint="eastAsia" w:ascii="宋体" w:hAnsi="宋体" w:cs="宋体"/>
          <w:sz w:val="28"/>
          <w:szCs w:val="28"/>
          <w:lang w:val="en-US" w:eastAsia="zh-CN"/>
        </w:rPr>
        <w:t xml:space="preserve">            </w:t>
      </w:r>
      <w:r>
        <w:rPr>
          <w:rFonts w:hint="eastAsia" w:ascii="宋体" w:hAnsi="宋体" w:cs="宋体"/>
          <w:sz w:val="28"/>
          <w:szCs w:val="28"/>
        </w:rPr>
        <w:t xml:space="preserve">法定代表人或委托代理人： </w:t>
      </w:r>
      <w:r>
        <w:rPr>
          <w:rFonts w:hint="eastAsia" w:ascii="宋体" w:hAnsi="宋体" w:cs="宋体"/>
          <w:sz w:val="28"/>
          <w:szCs w:val="28"/>
        </w:rPr>
        <w:br w:type="textWrapping"/>
      </w:r>
      <w:r>
        <w:rPr>
          <w:rFonts w:hint="eastAsia" w:ascii="宋体" w:hAnsi="宋体" w:cs="宋体"/>
          <w:sz w:val="28"/>
          <w:szCs w:val="28"/>
          <w:lang w:val="en-US" w:eastAsia="zh-CN"/>
        </w:rPr>
        <w:t xml:space="preserve">    </w:t>
      </w:r>
      <w:r>
        <w:rPr>
          <w:rFonts w:hint="eastAsia" w:ascii="宋体" w:hAnsi="宋体" w:cs="宋体"/>
          <w:sz w:val="28"/>
          <w:szCs w:val="28"/>
        </w:rPr>
        <w:t>地址：</w:t>
      </w:r>
      <w:r>
        <w:rPr>
          <w:rFonts w:hint="eastAsia" w:ascii="宋体" w:hAnsi="宋体" w:cs="宋体"/>
          <w:sz w:val="28"/>
          <w:szCs w:val="28"/>
          <w:lang w:val="en-US" w:eastAsia="zh-CN"/>
        </w:rPr>
        <w:t xml:space="preserve">                              </w:t>
      </w:r>
      <w:r>
        <w:rPr>
          <w:rFonts w:hint="eastAsia" w:ascii="宋体" w:hAnsi="宋体" w:cs="宋体"/>
          <w:sz w:val="28"/>
          <w:szCs w:val="28"/>
        </w:rPr>
        <w:t>地址：</w:t>
      </w:r>
      <w:r>
        <w:rPr>
          <w:rFonts w:hint="eastAsia" w:ascii="宋体" w:hAnsi="宋体" w:cs="宋体"/>
          <w:sz w:val="28"/>
          <w:szCs w:val="28"/>
          <w:lang w:val="en-US" w:eastAsia="zh-CN"/>
        </w:rPr>
        <w:t xml:space="preserve"> </w:t>
      </w:r>
      <w:r>
        <w:rPr>
          <w:rFonts w:hint="eastAsia" w:ascii="宋体" w:hAnsi="宋体" w:cs="宋体"/>
          <w:sz w:val="28"/>
          <w:szCs w:val="28"/>
        </w:rPr>
        <w:br w:type="textWrapping"/>
      </w:r>
      <w:r>
        <w:rPr>
          <w:rFonts w:hint="eastAsia" w:ascii="宋体" w:hAnsi="宋体" w:cs="宋体"/>
          <w:sz w:val="28"/>
          <w:szCs w:val="28"/>
          <w:lang w:val="en-US" w:eastAsia="zh-CN"/>
        </w:rPr>
        <w:t xml:space="preserve">    </w:t>
      </w:r>
      <w:r>
        <w:rPr>
          <w:rFonts w:hint="eastAsia" w:ascii="宋体" w:hAnsi="宋体" w:cs="宋体"/>
          <w:sz w:val="28"/>
          <w:szCs w:val="28"/>
        </w:rPr>
        <w:t>电话：</w:t>
      </w:r>
      <w:r>
        <w:rPr>
          <w:rFonts w:hint="eastAsia" w:ascii="宋体" w:hAnsi="宋体" w:cs="宋体"/>
          <w:sz w:val="28"/>
          <w:szCs w:val="28"/>
          <w:lang w:val="en-US" w:eastAsia="zh-CN"/>
        </w:rPr>
        <w:t xml:space="preserve">                              </w:t>
      </w:r>
      <w:r>
        <w:rPr>
          <w:rFonts w:hint="eastAsia" w:ascii="宋体" w:hAnsi="宋体" w:cs="宋体"/>
          <w:sz w:val="28"/>
          <w:szCs w:val="28"/>
        </w:rPr>
        <w:t xml:space="preserve">电话：                      </w:t>
      </w:r>
      <w:r>
        <w:rPr>
          <w:rFonts w:hint="eastAsia" w:ascii="宋体" w:hAnsi="宋体" w:cs="宋体"/>
          <w:sz w:val="28"/>
          <w:szCs w:val="28"/>
        </w:rPr>
        <w:br w:type="textWrapping"/>
      </w:r>
      <w:r>
        <w:rPr>
          <w:rFonts w:hint="eastAsia" w:ascii="宋体" w:hAnsi="宋体" w:cs="宋体"/>
          <w:sz w:val="28"/>
          <w:szCs w:val="28"/>
          <w:lang w:val="en-US" w:eastAsia="zh-CN"/>
        </w:rPr>
        <w:t xml:space="preserve"> </w:t>
      </w:r>
      <w:r>
        <w:rPr>
          <w:rFonts w:hint="eastAsia" w:ascii="宋体" w:hAnsi="宋体" w:cs="宋体"/>
          <w:sz w:val="28"/>
          <w:szCs w:val="28"/>
        </w:rPr>
        <w:t xml:space="preserve">   年  </w:t>
      </w:r>
      <w:r>
        <w:rPr>
          <w:rFonts w:hint="eastAsia" w:ascii="宋体" w:hAnsi="宋体" w:cs="宋体"/>
          <w:sz w:val="28"/>
          <w:szCs w:val="28"/>
          <w:lang w:val="en-US" w:eastAsia="zh-CN"/>
        </w:rPr>
        <w:t xml:space="preserve"> </w:t>
      </w:r>
      <w:r>
        <w:rPr>
          <w:rFonts w:hint="eastAsia" w:ascii="宋体" w:hAnsi="宋体" w:cs="宋体"/>
          <w:sz w:val="28"/>
          <w:szCs w:val="28"/>
        </w:rPr>
        <w:t>月</w:t>
      </w:r>
      <w:r>
        <w:rPr>
          <w:rFonts w:hint="eastAsia" w:ascii="宋体" w:hAnsi="宋体" w:cs="宋体"/>
          <w:sz w:val="28"/>
          <w:szCs w:val="28"/>
          <w:lang w:val="en-US" w:eastAsia="zh-CN"/>
        </w:rPr>
        <w:t xml:space="preserve"> </w:t>
      </w:r>
      <w:r>
        <w:rPr>
          <w:rFonts w:hint="eastAsia" w:ascii="宋体" w:hAnsi="宋体" w:cs="宋体"/>
          <w:sz w:val="28"/>
          <w:szCs w:val="28"/>
        </w:rPr>
        <w:t xml:space="preserve">  日</w:t>
      </w:r>
      <w:r>
        <w:rPr>
          <w:rFonts w:hint="eastAsia" w:ascii="宋体" w:hAnsi="宋体" w:cs="宋体"/>
          <w:sz w:val="28"/>
          <w:szCs w:val="28"/>
          <w:lang w:val="en-US" w:eastAsia="zh-CN"/>
        </w:rPr>
        <w:t xml:space="preserve">                        </w:t>
      </w:r>
      <w:r>
        <w:rPr>
          <w:rFonts w:hint="eastAsia" w:ascii="宋体" w:hAnsi="宋体" w:cs="宋体"/>
          <w:sz w:val="28"/>
          <w:szCs w:val="28"/>
        </w:rPr>
        <w:t>年</w:t>
      </w:r>
      <w:r>
        <w:rPr>
          <w:rFonts w:hint="eastAsia" w:ascii="宋体" w:hAnsi="宋体" w:cs="宋体"/>
          <w:sz w:val="28"/>
          <w:szCs w:val="28"/>
          <w:lang w:val="en-US" w:eastAsia="zh-CN"/>
        </w:rPr>
        <w:t xml:space="preserve"> </w:t>
      </w:r>
      <w:r>
        <w:rPr>
          <w:rFonts w:hint="eastAsia" w:ascii="宋体" w:hAnsi="宋体" w:cs="宋体"/>
          <w:sz w:val="28"/>
          <w:szCs w:val="28"/>
        </w:rPr>
        <w:t xml:space="preserve">  月</w:t>
      </w:r>
      <w:r>
        <w:rPr>
          <w:rFonts w:hint="eastAsia" w:ascii="宋体" w:hAnsi="宋体" w:cs="宋体"/>
          <w:sz w:val="28"/>
          <w:szCs w:val="28"/>
          <w:lang w:val="en-US" w:eastAsia="zh-CN"/>
        </w:rPr>
        <w:t xml:space="preserve"> </w:t>
      </w:r>
      <w:r>
        <w:rPr>
          <w:rFonts w:hint="eastAsia" w:ascii="宋体" w:hAnsi="宋体" w:cs="宋体"/>
          <w:sz w:val="28"/>
          <w:szCs w:val="28"/>
        </w:rPr>
        <w:t xml:space="preserve">  日</w:t>
      </w:r>
    </w:p>
    <w:p w14:paraId="6010D187">
      <w:pPr>
        <w:rPr>
          <w:rFonts w:hint="eastAsia" w:ascii="宋体" w:hAnsi="宋体"/>
          <w:sz w:val="32"/>
          <w:szCs w:val="32"/>
          <w:lang w:val="en-US" w:eastAsia="zh-CN"/>
        </w:rPr>
      </w:pPr>
      <w:r>
        <w:rPr>
          <w:rFonts w:hint="eastAsia" w:ascii="宋体" w:hAnsi="宋体"/>
          <w:sz w:val="32"/>
          <w:szCs w:val="32"/>
          <w:lang w:val="en-US" w:eastAsia="zh-CN"/>
        </w:rPr>
        <w:br w:type="page"/>
      </w:r>
    </w:p>
    <w:p w14:paraId="5C3AB29C">
      <w:pPr>
        <w:pStyle w:val="2"/>
        <w:numPr>
          <w:ilvl w:val="0"/>
          <w:numId w:val="0"/>
        </w:numPr>
        <w:spacing w:before="120" w:after="120" w:line="360" w:lineRule="auto"/>
        <w:jc w:val="center"/>
        <w:rPr>
          <w:rFonts w:hint="eastAsia" w:ascii="宋体" w:hAnsi="宋体"/>
          <w:sz w:val="32"/>
          <w:szCs w:val="32"/>
          <w:lang w:val="en-US" w:eastAsia="zh-CN"/>
        </w:rPr>
      </w:pPr>
      <w:r>
        <w:rPr>
          <w:rFonts w:hint="eastAsia" w:ascii="宋体" w:hAnsi="宋体"/>
          <w:sz w:val="32"/>
          <w:szCs w:val="32"/>
          <w:lang w:val="en-US" w:eastAsia="zh-CN"/>
        </w:rPr>
        <w:t>第五章、服务要求</w:t>
      </w:r>
    </w:p>
    <w:p w14:paraId="333DEE1A">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一、</w:t>
      </w:r>
      <w:r>
        <w:rPr>
          <w:rFonts w:ascii="仿宋" w:hAnsi="仿宋" w:eastAsia="仿宋" w:cs="仿宋"/>
          <w:b/>
          <w:bCs/>
          <w:color w:val="000000"/>
          <w:kern w:val="0"/>
          <w:sz w:val="28"/>
          <w:szCs w:val="28"/>
          <w:lang w:val="en-US" w:eastAsia="zh-CN" w:bidi="ar"/>
        </w:rPr>
        <w:t xml:space="preserve">项目建设目标与任务 </w:t>
      </w:r>
    </w:p>
    <w:p w14:paraId="74E77DDF">
      <w:pPr>
        <w:keepNext w:val="0"/>
        <w:keepLines w:val="0"/>
        <w:widowControl/>
        <w:suppressLineNumbers w:val="0"/>
        <w:ind w:firstLine="560" w:firstLineChars="200"/>
        <w:jc w:val="left"/>
      </w:pPr>
      <w:r>
        <w:rPr>
          <w:rFonts w:hint="eastAsia" w:ascii="仿宋" w:hAnsi="仿宋" w:eastAsia="仿宋" w:cs="仿宋"/>
          <w:color w:val="000000"/>
          <w:kern w:val="0"/>
          <w:sz w:val="28"/>
          <w:szCs w:val="28"/>
          <w:lang w:val="en-US" w:eastAsia="zh-CN" w:bidi="ar"/>
        </w:rPr>
        <w:t xml:space="preserve">本项目为鲁山县西关大街老旧街区改造项目，通过系统性改造，提升西关大街及西穆路街区的城市功能，改善人居环境，推进土地、资源节约集约利用，全面提升区域价值和城市品位，促进经济社会可持续发展。 </w:t>
      </w:r>
    </w:p>
    <w:p w14:paraId="0425A32F">
      <w:pPr>
        <w:keepNext w:val="0"/>
        <w:keepLines w:val="0"/>
        <w:widowControl/>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本项目可以促进民生改善，解决老旧街区基础设施老化、公共设施不足等问题，优化居民生活品质。促进环境提升，消除违建隐患，完善排污、消防、电力等系统，改善卫生与安全环境。促进经济激活，通过商业空间重塑和配套服务升级，吸引人流，促进消费与就业。推动文化延续，保留街区历史风貌，融入现代元素，实现传统与创新的融合。</w:t>
      </w:r>
    </w:p>
    <w:p w14:paraId="0137C186">
      <w:pPr>
        <w:keepNext w:val="0"/>
        <w:keepLines w:val="0"/>
        <w:widowControl/>
        <w:suppressLineNumbers w:val="0"/>
        <w:jc w:val="left"/>
        <w:rPr>
          <w:rFonts w:hint="default"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二、</w:t>
      </w:r>
      <w:r>
        <w:rPr>
          <w:rFonts w:ascii="仿宋" w:hAnsi="仿宋" w:eastAsia="仿宋" w:cs="仿宋"/>
          <w:b/>
          <w:bCs/>
          <w:color w:val="000000"/>
          <w:kern w:val="0"/>
          <w:sz w:val="28"/>
          <w:szCs w:val="28"/>
          <w:lang w:val="en-US" w:eastAsia="zh-CN" w:bidi="ar"/>
        </w:rPr>
        <w:t>服务范围</w:t>
      </w:r>
    </w:p>
    <w:p w14:paraId="5A4ADB80">
      <w:pPr>
        <w:widowControl w:val="0"/>
        <w:numPr>
          <w:ilvl w:val="0"/>
          <w:numId w:val="0"/>
        </w:numPr>
        <w:ind w:firstLine="560" w:firstLineChars="200"/>
        <w:jc w:val="both"/>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包括但不限于地质勘察，岩土工程勘察报告书编制，配合工程设计和施工验收等相关工作</w:t>
      </w:r>
    </w:p>
    <w:p w14:paraId="79DAC7FC">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相关标准及规范</w:t>
      </w:r>
    </w:p>
    <w:p w14:paraId="6F771F46">
      <w:pPr>
        <w:widowControl w:val="0"/>
        <w:numPr>
          <w:ilvl w:val="0"/>
          <w:numId w:val="0"/>
        </w:numPr>
        <w:ind w:firstLine="560" w:firstLineChars="200"/>
        <w:jc w:val="both"/>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必须严格遵循国家现行强制性规范及河南省地方标准，包含但不限于：</w:t>
      </w:r>
    </w:p>
    <w:p w14:paraId="2F826BDA">
      <w:pPr>
        <w:widowControl w:val="0"/>
        <w:numPr>
          <w:ilvl w:val="0"/>
          <w:numId w:val="0"/>
        </w:numPr>
        <w:ind w:firstLine="560" w:firstLineChars="200"/>
        <w:jc w:val="both"/>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GB 55017-2021《工程勘察通用规范》</w:t>
      </w:r>
    </w:p>
    <w:p w14:paraId="4454CAF7">
      <w:pPr>
        <w:widowControl w:val="0"/>
        <w:numPr>
          <w:ilvl w:val="0"/>
          <w:numId w:val="0"/>
        </w:numPr>
        <w:ind w:firstLine="560" w:firstLineChars="200"/>
        <w:jc w:val="both"/>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GB 50021-2001（2009年版）《岩土工程勘察规范》</w:t>
      </w:r>
    </w:p>
    <w:p w14:paraId="749D2F0E">
      <w:pPr>
        <w:widowControl w:val="0"/>
        <w:numPr>
          <w:ilvl w:val="0"/>
          <w:numId w:val="0"/>
        </w:numPr>
        <w:ind w:firstLine="560" w:firstLineChars="200"/>
        <w:jc w:val="both"/>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GB 50011-2010（2024年版）《建筑抗震设计规范》</w:t>
      </w:r>
    </w:p>
    <w:p w14:paraId="18D3F450">
      <w:pPr>
        <w:widowControl w:val="0"/>
        <w:numPr>
          <w:ilvl w:val="0"/>
          <w:numId w:val="0"/>
        </w:numPr>
        <w:ind w:firstLine="560" w:firstLineChars="200"/>
        <w:jc w:val="both"/>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GB 18306-2015《中国地震动参数区划图》</w:t>
      </w:r>
    </w:p>
    <w:p w14:paraId="087B9700">
      <w:pPr>
        <w:widowControl w:val="0"/>
        <w:numPr>
          <w:ilvl w:val="0"/>
          <w:numId w:val="0"/>
        </w:numPr>
        <w:ind w:firstLine="560" w:firstLineChars="200"/>
        <w:jc w:val="both"/>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GB 55003-2021《建筑与市政地基基础通用规范》</w:t>
      </w:r>
    </w:p>
    <w:p w14:paraId="32F01C0F">
      <w:pPr>
        <w:widowControl w:val="0"/>
        <w:numPr>
          <w:ilvl w:val="0"/>
          <w:numId w:val="0"/>
        </w:numPr>
        <w:ind w:firstLine="560" w:firstLineChars="200"/>
        <w:jc w:val="both"/>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CJJ 56-2012《市政工程勘察规范》</w:t>
      </w:r>
    </w:p>
    <w:p w14:paraId="5147FE22">
      <w:pPr>
        <w:widowControl w:val="0"/>
        <w:numPr>
          <w:ilvl w:val="0"/>
          <w:numId w:val="0"/>
        </w:numPr>
        <w:ind w:firstLine="560" w:firstLineChars="200"/>
        <w:jc w:val="both"/>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DBJ41/138-2014《河南省建筑地基基础勘察设计规范》</w:t>
      </w:r>
    </w:p>
    <w:p w14:paraId="7428515F">
      <w:pPr>
        <w:widowControl w:val="0"/>
        <w:numPr>
          <w:ilvl w:val="0"/>
          <w:numId w:val="0"/>
        </w:numPr>
        <w:ind w:firstLine="562" w:firstLineChars="200"/>
        <w:jc w:val="both"/>
        <w:rPr>
          <w:rFonts w:hint="eastAsia" w:ascii="仿宋" w:hAnsi="仿宋" w:eastAsia="仿宋" w:cs="仿宋"/>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四、服务期限：</w:t>
      </w:r>
      <w:r>
        <w:rPr>
          <w:rFonts w:hint="eastAsia" w:ascii="仿宋" w:hAnsi="仿宋" w:eastAsia="仿宋" w:cs="仿宋"/>
          <w:color w:val="000000"/>
          <w:kern w:val="0"/>
          <w:sz w:val="28"/>
          <w:szCs w:val="28"/>
          <w:lang w:val="en-US" w:eastAsia="zh-CN" w:bidi="ar"/>
        </w:rPr>
        <w:t>30日历天</w:t>
      </w:r>
    </w:p>
    <w:p w14:paraId="4093AA3C">
      <w:pPr>
        <w:widowControl w:val="0"/>
        <w:numPr>
          <w:ilvl w:val="0"/>
          <w:numId w:val="0"/>
        </w:numPr>
        <w:ind w:firstLine="562" w:firstLineChars="200"/>
        <w:jc w:val="both"/>
        <w:rPr>
          <w:rFonts w:hint="eastAsia" w:ascii="仿宋" w:hAnsi="仿宋" w:eastAsia="仿宋" w:cs="仿宋"/>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五、质量要求</w:t>
      </w:r>
      <w:r>
        <w:rPr>
          <w:rFonts w:hint="eastAsia" w:ascii="仿宋" w:hAnsi="仿宋" w:eastAsia="仿宋" w:cs="仿宋"/>
          <w:color w:val="000000"/>
          <w:kern w:val="0"/>
          <w:sz w:val="28"/>
          <w:szCs w:val="28"/>
          <w:lang w:val="en-US" w:eastAsia="zh-CN" w:bidi="ar"/>
        </w:rPr>
        <w:t>：合格标准，符合国家及行业相关标准、规范要求及采购人要求</w:t>
      </w:r>
    </w:p>
    <w:p w14:paraId="69ABA41D">
      <w:pPr>
        <w:widowControl w:val="0"/>
        <w:numPr>
          <w:ilvl w:val="0"/>
          <w:numId w:val="0"/>
        </w:numPr>
        <w:ind w:firstLine="560" w:firstLineChars="200"/>
        <w:jc w:val="both"/>
        <w:rPr>
          <w:rFonts w:hint="eastAsia" w:ascii="仿宋" w:hAnsi="仿宋" w:eastAsia="仿宋" w:cs="仿宋"/>
          <w:color w:val="000000"/>
          <w:kern w:val="0"/>
          <w:sz w:val="28"/>
          <w:szCs w:val="28"/>
          <w:lang w:val="en-US" w:eastAsia="zh-CN" w:bidi="ar"/>
        </w:rPr>
      </w:pPr>
    </w:p>
    <w:p w14:paraId="2B7EAFAA">
      <w:pPr>
        <w:widowControl w:val="0"/>
        <w:numPr>
          <w:ilvl w:val="0"/>
          <w:numId w:val="0"/>
        </w:numPr>
        <w:ind w:firstLine="560" w:firstLineChars="200"/>
        <w:jc w:val="both"/>
        <w:rPr>
          <w:rFonts w:hint="default" w:ascii="仿宋" w:hAnsi="仿宋" w:eastAsia="仿宋" w:cs="仿宋"/>
          <w:color w:val="000000"/>
          <w:kern w:val="0"/>
          <w:sz w:val="28"/>
          <w:szCs w:val="28"/>
          <w:lang w:val="en-US" w:eastAsia="zh-CN" w:bidi="ar"/>
        </w:rPr>
        <w:sectPr>
          <w:pgSz w:w="11906" w:h="16838"/>
          <w:pgMar w:top="1418" w:right="1134" w:bottom="1418" w:left="1134" w:header="851" w:footer="992" w:gutter="0"/>
          <w:cols w:space="720" w:num="1"/>
          <w:docGrid w:type="lines" w:linePitch="312" w:charSpace="0"/>
        </w:sectPr>
      </w:pPr>
    </w:p>
    <w:p w14:paraId="40672D3C">
      <w:pPr>
        <w:pStyle w:val="2"/>
        <w:jc w:val="center"/>
        <w:rPr>
          <w:rFonts w:ascii="宋体" w:hAnsi="宋体"/>
          <w:sz w:val="32"/>
          <w:szCs w:val="32"/>
        </w:rPr>
      </w:pPr>
      <w:r>
        <w:rPr>
          <w:rFonts w:hint="eastAsia" w:ascii="宋体" w:hAnsi="宋体"/>
          <w:sz w:val="32"/>
          <w:szCs w:val="32"/>
        </w:rPr>
        <w:t>第</w:t>
      </w:r>
      <w:r>
        <w:rPr>
          <w:rFonts w:hint="eastAsia" w:ascii="宋体" w:hAnsi="宋体"/>
          <w:sz w:val="32"/>
          <w:szCs w:val="32"/>
          <w:lang w:val="en-US" w:eastAsia="zh-CN"/>
        </w:rPr>
        <w:t>六</w:t>
      </w:r>
      <w:r>
        <w:rPr>
          <w:rFonts w:hint="eastAsia" w:ascii="宋体" w:hAnsi="宋体"/>
          <w:sz w:val="32"/>
          <w:szCs w:val="32"/>
        </w:rPr>
        <w:t>章  投标文件格式</w:t>
      </w:r>
      <w:bookmarkEnd w:id="381"/>
      <w:bookmarkEnd w:id="382"/>
      <w:bookmarkEnd w:id="383"/>
      <w:bookmarkEnd w:id="384"/>
      <w:bookmarkEnd w:id="385"/>
      <w:bookmarkEnd w:id="386"/>
      <w:bookmarkEnd w:id="387"/>
      <w:bookmarkEnd w:id="388"/>
    </w:p>
    <w:p w14:paraId="3EF20C24">
      <w:pPr>
        <w:snapToGrid w:val="0"/>
        <w:spacing w:line="360" w:lineRule="auto"/>
        <w:jc w:val="right"/>
        <w:rPr>
          <w:rFonts w:ascii="宋体" w:hAnsi="宋体" w:cs="宋体"/>
          <w:b/>
          <w:sz w:val="28"/>
          <w:szCs w:val="28"/>
        </w:rPr>
      </w:pPr>
    </w:p>
    <w:p w14:paraId="64BA57AD">
      <w:pPr>
        <w:snapToGrid w:val="0"/>
        <w:spacing w:line="360" w:lineRule="auto"/>
        <w:jc w:val="center"/>
        <w:rPr>
          <w:rFonts w:hint="eastAsia" w:ascii="宋体" w:hAnsi="宋体" w:eastAsia="宋体" w:cs="宋体"/>
          <w:sz w:val="28"/>
          <w:szCs w:val="28"/>
          <w:u w:val="single"/>
          <w:lang w:eastAsia="zh-CN"/>
        </w:rPr>
      </w:pPr>
      <w:bookmarkStart w:id="390" w:name="_Toc29210_WPSOffice_Level1"/>
      <w:bookmarkStart w:id="391" w:name="_Toc27946_WPSOffice_Level1"/>
      <w:r>
        <w:rPr>
          <w:rFonts w:hint="eastAsia" w:ascii="宋体" w:hAnsi="宋体" w:cs="宋体"/>
          <w:sz w:val="28"/>
          <w:szCs w:val="28"/>
          <w:u w:val="single"/>
        </w:rPr>
        <w:t>(项目名称</w:t>
      </w:r>
      <w:bookmarkEnd w:id="390"/>
      <w:bookmarkEnd w:id="391"/>
      <w:r>
        <w:rPr>
          <w:rFonts w:hint="eastAsia" w:ascii="宋体" w:hAnsi="宋体" w:cs="宋体"/>
          <w:sz w:val="28"/>
          <w:szCs w:val="28"/>
          <w:u w:val="single"/>
          <w:lang w:eastAsia="zh-CN"/>
        </w:rPr>
        <w:t>）</w:t>
      </w:r>
    </w:p>
    <w:p w14:paraId="09F1788F">
      <w:pPr>
        <w:snapToGrid w:val="0"/>
        <w:spacing w:line="360" w:lineRule="auto"/>
        <w:rPr>
          <w:rFonts w:ascii="宋体" w:hAnsi="宋体" w:cs="宋体"/>
          <w:sz w:val="20"/>
          <w:szCs w:val="20"/>
        </w:rPr>
      </w:pPr>
    </w:p>
    <w:p w14:paraId="699E225F">
      <w:pPr>
        <w:snapToGrid w:val="0"/>
        <w:spacing w:line="360" w:lineRule="auto"/>
        <w:rPr>
          <w:rFonts w:ascii="宋体" w:hAnsi="宋体" w:cs="宋体"/>
          <w:sz w:val="20"/>
          <w:szCs w:val="20"/>
        </w:rPr>
      </w:pPr>
    </w:p>
    <w:p w14:paraId="72327256">
      <w:pPr>
        <w:snapToGrid w:val="0"/>
        <w:spacing w:line="360" w:lineRule="auto"/>
        <w:jc w:val="center"/>
        <w:rPr>
          <w:rFonts w:ascii="宋体" w:hAnsi="宋体" w:cs="宋体"/>
          <w:sz w:val="44"/>
          <w:szCs w:val="44"/>
        </w:rPr>
      </w:pPr>
      <w:r>
        <w:rPr>
          <w:rFonts w:hint="eastAsia" w:ascii="宋体" w:hAnsi="宋体" w:cs="宋体"/>
          <w:sz w:val="44"/>
          <w:szCs w:val="44"/>
        </w:rPr>
        <w:t>投  标  文  件</w:t>
      </w:r>
    </w:p>
    <w:p w14:paraId="747810EC">
      <w:pPr>
        <w:snapToGrid w:val="0"/>
        <w:spacing w:line="360" w:lineRule="auto"/>
        <w:rPr>
          <w:rFonts w:ascii="宋体" w:hAnsi="宋体" w:cs="宋体"/>
          <w:sz w:val="28"/>
          <w:szCs w:val="28"/>
        </w:rPr>
      </w:pPr>
    </w:p>
    <w:p w14:paraId="35B744E4">
      <w:pPr>
        <w:snapToGrid w:val="0"/>
        <w:spacing w:line="360" w:lineRule="auto"/>
        <w:rPr>
          <w:rFonts w:ascii="宋体" w:hAnsi="宋体" w:cs="宋体"/>
          <w:sz w:val="28"/>
          <w:szCs w:val="28"/>
        </w:rPr>
      </w:pPr>
    </w:p>
    <w:p w14:paraId="086AC8CD">
      <w:pPr>
        <w:snapToGrid w:val="0"/>
        <w:spacing w:line="360" w:lineRule="auto"/>
        <w:rPr>
          <w:rFonts w:ascii="宋体" w:hAnsi="宋体" w:cs="宋体"/>
          <w:sz w:val="28"/>
          <w:szCs w:val="28"/>
        </w:rPr>
      </w:pPr>
    </w:p>
    <w:p w14:paraId="5A7B69FB">
      <w:pPr>
        <w:snapToGrid w:val="0"/>
        <w:spacing w:line="360" w:lineRule="auto"/>
        <w:rPr>
          <w:rFonts w:ascii="宋体" w:hAnsi="宋体" w:cs="宋体"/>
          <w:sz w:val="28"/>
          <w:szCs w:val="28"/>
        </w:rPr>
      </w:pPr>
    </w:p>
    <w:p w14:paraId="741E2266">
      <w:pPr>
        <w:snapToGrid w:val="0"/>
        <w:spacing w:line="360" w:lineRule="auto"/>
        <w:rPr>
          <w:rFonts w:ascii="宋体" w:hAnsi="宋体" w:cs="宋体"/>
          <w:sz w:val="28"/>
          <w:szCs w:val="28"/>
        </w:rPr>
      </w:pPr>
    </w:p>
    <w:p w14:paraId="43F85E6B">
      <w:pPr>
        <w:snapToGrid w:val="0"/>
        <w:spacing w:line="360" w:lineRule="auto"/>
        <w:rPr>
          <w:rFonts w:ascii="宋体" w:hAnsi="宋体" w:cs="宋体"/>
          <w:sz w:val="28"/>
          <w:szCs w:val="28"/>
        </w:rPr>
      </w:pPr>
    </w:p>
    <w:p w14:paraId="310905A2">
      <w:pPr>
        <w:snapToGrid w:val="0"/>
        <w:spacing w:line="360" w:lineRule="auto"/>
        <w:rPr>
          <w:rFonts w:ascii="宋体" w:hAnsi="宋体" w:cs="宋体"/>
          <w:sz w:val="28"/>
          <w:szCs w:val="28"/>
        </w:rPr>
      </w:pPr>
    </w:p>
    <w:p w14:paraId="315C42AC">
      <w:pPr>
        <w:snapToGrid w:val="0"/>
        <w:spacing w:line="360" w:lineRule="auto"/>
        <w:rPr>
          <w:rFonts w:ascii="宋体" w:hAnsi="宋体" w:cs="宋体"/>
          <w:sz w:val="28"/>
          <w:szCs w:val="28"/>
        </w:rPr>
      </w:pPr>
    </w:p>
    <w:p w14:paraId="4A353CF9">
      <w:pPr>
        <w:snapToGrid w:val="0"/>
        <w:spacing w:line="360" w:lineRule="auto"/>
        <w:rPr>
          <w:rFonts w:ascii="宋体" w:hAnsi="宋体" w:cs="宋体"/>
          <w:sz w:val="28"/>
          <w:szCs w:val="28"/>
        </w:rPr>
      </w:pPr>
    </w:p>
    <w:p w14:paraId="21163B9D">
      <w:pPr>
        <w:snapToGrid w:val="0"/>
        <w:spacing w:line="360" w:lineRule="auto"/>
        <w:rPr>
          <w:rFonts w:ascii="宋体" w:hAnsi="宋体" w:cs="宋体"/>
          <w:sz w:val="28"/>
          <w:szCs w:val="28"/>
        </w:rPr>
      </w:pPr>
    </w:p>
    <w:p w14:paraId="4FCD3AE6">
      <w:pPr>
        <w:snapToGrid w:val="0"/>
        <w:spacing w:line="360" w:lineRule="auto"/>
        <w:ind w:firstLine="3220" w:firstLineChars="1150"/>
        <w:rPr>
          <w:rFonts w:ascii="宋体" w:hAnsi="宋体" w:cs="宋体"/>
          <w:sz w:val="28"/>
          <w:szCs w:val="28"/>
          <w:u w:val="single"/>
        </w:rPr>
      </w:pPr>
      <w:r>
        <w:rPr>
          <w:rFonts w:hint="eastAsia" w:ascii="宋体" w:hAnsi="宋体" w:cs="宋体"/>
          <w:sz w:val="28"/>
          <w:szCs w:val="28"/>
        </w:rPr>
        <w:t>投标人： (电子签章)</w:t>
      </w:r>
    </w:p>
    <w:p w14:paraId="495633B7">
      <w:pPr>
        <w:snapToGrid w:val="0"/>
        <w:spacing w:line="360" w:lineRule="auto"/>
        <w:jc w:val="center"/>
        <w:rPr>
          <w:rFonts w:ascii="宋体" w:hAnsi="宋体" w:cs="宋体"/>
          <w:sz w:val="28"/>
          <w:szCs w:val="28"/>
        </w:rPr>
      </w:pPr>
      <w:bookmarkStart w:id="392" w:name="_Toc3319_WPSOffice_Level1"/>
      <w:bookmarkStart w:id="393" w:name="_Toc5673_WPSOffice_Level1"/>
      <w:r>
        <w:rPr>
          <w:rFonts w:hint="eastAsia" w:ascii="宋体" w:hAnsi="宋体" w:cs="宋体"/>
          <w:sz w:val="28"/>
          <w:szCs w:val="28"/>
        </w:rPr>
        <w:t>法定代表人：(电子签章)</w:t>
      </w:r>
      <w:bookmarkEnd w:id="392"/>
      <w:bookmarkEnd w:id="393"/>
    </w:p>
    <w:p w14:paraId="15037E07">
      <w:pPr>
        <w:snapToGrid w:val="0"/>
        <w:spacing w:line="360" w:lineRule="auto"/>
        <w:jc w:val="center"/>
        <w:rPr>
          <w:rFonts w:ascii="宋体" w:hAnsi="宋体" w:cs="宋体"/>
          <w:sz w:val="28"/>
          <w:szCs w:val="28"/>
        </w:rPr>
      </w:pPr>
      <w:bookmarkStart w:id="394" w:name="_Toc24684_WPSOffice_Level1"/>
      <w:bookmarkStart w:id="395" w:name="_Toc6979_WPSOffice_Level1"/>
      <w:r>
        <w:rPr>
          <w:rFonts w:hint="eastAsia" w:ascii="宋体" w:hAnsi="宋体" w:cs="宋体"/>
          <w:sz w:val="28"/>
          <w:szCs w:val="28"/>
        </w:rPr>
        <w:t>年  月  日</w:t>
      </w:r>
      <w:bookmarkEnd w:id="394"/>
      <w:bookmarkEnd w:id="395"/>
    </w:p>
    <w:p w14:paraId="6F48BBCE">
      <w:pPr>
        <w:snapToGrid w:val="0"/>
        <w:spacing w:line="360" w:lineRule="auto"/>
        <w:rPr>
          <w:rFonts w:ascii="宋体" w:hAnsi="宋体" w:cs="宋体"/>
          <w:sz w:val="20"/>
          <w:szCs w:val="20"/>
        </w:rPr>
      </w:pPr>
    </w:p>
    <w:p w14:paraId="5D320306">
      <w:pPr>
        <w:snapToGrid w:val="0"/>
        <w:spacing w:line="360" w:lineRule="auto"/>
        <w:jc w:val="center"/>
        <w:rPr>
          <w:rFonts w:ascii="宋体" w:hAnsi="宋体" w:cs="宋体"/>
          <w:sz w:val="30"/>
          <w:szCs w:val="30"/>
        </w:rPr>
      </w:pPr>
      <w:r>
        <w:rPr>
          <w:rFonts w:hint="eastAsia" w:ascii="宋体" w:hAnsi="宋体" w:cs="宋体"/>
        </w:rPr>
        <w:br w:type="page"/>
      </w:r>
      <w:bookmarkStart w:id="396" w:name="_Toc349"/>
      <w:bookmarkStart w:id="397" w:name="_Toc23838"/>
      <w:bookmarkStart w:id="398" w:name="_Toc300835209"/>
      <w:r>
        <w:rPr>
          <w:rFonts w:hint="eastAsia" w:ascii="宋体" w:hAnsi="宋体" w:cs="宋体"/>
          <w:sz w:val="30"/>
          <w:szCs w:val="30"/>
        </w:rPr>
        <w:t>目    录</w:t>
      </w:r>
      <w:bookmarkEnd w:id="396"/>
      <w:bookmarkEnd w:id="397"/>
      <w:bookmarkEnd w:id="398"/>
    </w:p>
    <w:p w14:paraId="61A32BCF">
      <w:pPr>
        <w:rPr>
          <w:rFonts w:ascii="宋体" w:hAnsi="宋体"/>
        </w:rPr>
      </w:pPr>
    </w:p>
    <w:p w14:paraId="3718E456">
      <w:pPr>
        <w:snapToGrid w:val="0"/>
        <w:spacing w:line="360" w:lineRule="auto"/>
        <w:jc w:val="left"/>
        <w:rPr>
          <w:rFonts w:ascii="宋体" w:hAnsi="宋体" w:cs="宋体"/>
        </w:rPr>
      </w:pPr>
    </w:p>
    <w:p w14:paraId="2291DA61">
      <w:pPr>
        <w:snapToGrid w:val="0"/>
        <w:spacing w:line="360" w:lineRule="auto"/>
        <w:rPr>
          <w:rFonts w:ascii="宋体" w:hAnsi="宋体" w:cs="宋体"/>
        </w:rPr>
      </w:pPr>
    </w:p>
    <w:p w14:paraId="63913C34">
      <w:pPr>
        <w:snapToGrid w:val="0"/>
        <w:spacing w:line="360" w:lineRule="auto"/>
        <w:rPr>
          <w:rFonts w:ascii="宋体" w:hAnsi="宋体" w:cs="宋体"/>
        </w:rPr>
      </w:pPr>
    </w:p>
    <w:p w14:paraId="548ACE4F">
      <w:pPr>
        <w:snapToGrid w:val="0"/>
        <w:spacing w:line="360" w:lineRule="auto"/>
        <w:rPr>
          <w:rFonts w:ascii="宋体" w:hAnsi="宋体" w:cs="宋体"/>
        </w:rPr>
      </w:pPr>
    </w:p>
    <w:p w14:paraId="78DB292D">
      <w:pPr>
        <w:snapToGrid w:val="0"/>
        <w:spacing w:line="360" w:lineRule="auto"/>
        <w:rPr>
          <w:rFonts w:ascii="宋体" w:hAnsi="宋体" w:cs="宋体"/>
        </w:rPr>
      </w:pPr>
    </w:p>
    <w:p w14:paraId="55FDC418">
      <w:pPr>
        <w:snapToGrid w:val="0"/>
        <w:spacing w:line="360" w:lineRule="auto"/>
        <w:rPr>
          <w:rFonts w:ascii="宋体" w:hAnsi="宋体" w:cs="宋体"/>
        </w:rPr>
      </w:pPr>
    </w:p>
    <w:p w14:paraId="2D766DAF">
      <w:pPr>
        <w:snapToGrid w:val="0"/>
        <w:spacing w:line="360" w:lineRule="auto"/>
        <w:rPr>
          <w:rFonts w:ascii="宋体" w:hAnsi="宋体" w:cs="宋体"/>
        </w:rPr>
      </w:pPr>
    </w:p>
    <w:p w14:paraId="63E572AE">
      <w:pPr>
        <w:snapToGrid w:val="0"/>
        <w:spacing w:line="360" w:lineRule="auto"/>
        <w:rPr>
          <w:rFonts w:ascii="宋体" w:hAnsi="宋体" w:cs="宋体"/>
        </w:rPr>
      </w:pPr>
    </w:p>
    <w:p w14:paraId="48E500BB">
      <w:pPr>
        <w:snapToGrid w:val="0"/>
        <w:spacing w:line="360" w:lineRule="auto"/>
        <w:rPr>
          <w:rFonts w:ascii="宋体" w:hAnsi="宋体" w:cs="宋体"/>
        </w:rPr>
      </w:pPr>
    </w:p>
    <w:p w14:paraId="42214003">
      <w:pPr>
        <w:snapToGrid w:val="0"/>
        <w:spacing w:line="360" w:lineRule="auto"/>
        <w:rPr>
          <w:rFonts w:ascii="宋体" w:hAnsi="宋体" w:cs="宋体"/>
        </w:rPr>
      </w:pPr>
    </w:p>
    <w:p w14:paraId="721665F1">
      <w:pPr>
        <w:snapToGrid w:val="0"/>
        <w:spacing w:line="360" w:lineRule="auto"/>
        <w:rPr>
          <w:rFonts w:ascii="宋体" w:hAnsi="宋体" w:cs="宋体"/>
        </w:rPr>
      </w:pPr>
    </w:p>
    <w:p w14:paraId="0A3C3C39">
      <w:pPr>
        <w:snapToGrid w:val="0"/>
        <w:spacing w:line="360" w:lineRule="auto"/>
        <w:rPr>
          <w:rFonts w:ascii="宋体" w:hAnsi="宋体" w:cs="宋体"/>
        </w:rPr>
      </w:pPr>
    </w:p>
    <w:p w14:paraId="7A8A03AA">
      <w:pPr>
        <w:snapToGrid w:val="0"/>
        <w:spacing w:line="360" w:lineRule="auto"/>
        <w:rPr>
          <w:rFonts w:ascii="宋体" w:hAnsi="宋体" w:cs="宋体"/>
        </w:rPr>
      </w:pPr>
    </w:p>
    <w:p w14:paraId="4412C4E1">
      <w:pPr>
        <w:snapToGrid w:val="0"/>
        <w:spacing w:line="360" w:lineRule="auto"/>
        <w:rPr>
          <w:rFonts w:ascii="宋体" w:hAnsi="宋体" w:cs="宋体"/>
        </w:rPr>
      </w:pPr>
    </w:p>
    <w:p w14:paraId="67091D22">
      <w:pPr>
        <w:snapToGrid w:val="0"/>
        <w:spacing w:line="360" w:lineRule="auto"/>
        <w:rPr>
          <w:rFonts w:ascii="宋体" w:hAnsi="宋体" w:cs="宋体"/>
        </w:rPr>
      </w:pPr>
      <w:bookmarkStart w:id="399" w:name="_Toc300835210"/>
    </w:p>
    <w:p w14:paraId="0B146850">
      <w:pPr>
        <w:snapToGrid w:val="0"/>
        <w:spacing w:line="360" w:lineRule="auto"/>
        <w:rPr>
          <w:rFonts w:ascii="宋体" w:hAnsi="宋体" w:cs="宋体"/>
        </w:rPr>
      </w:pPr>
    </w:p>
    <w:bookmarkEnd w:id="399"/>
    <w:p w14:paraId="178AAFC2">
      <w:pPr>
        <w:rPr>
          <w:rStyle w:val="46"/>
          <w:rFonts w:ascii="宋体" w:cs="宋体"/>
          <w:b w:val="0"/>
          <w:bCs w:val="0"/>
        </w:rPr>
      </w:pPr>
      <w:bookmarkStart w:id="400" w:name="_Toc152042577"/>
      <w:bookmarkStart w:id="401" w:name="_Toc19952_WPSOffice_Level1"/>
      <w:bookmarkStart w:id="402" w:name="_Toc20494"/>
      <w:bookmarkStart w:id="403" w:name="_Toc144974857"/>
      <w:bookmarkStart w:id="404" w:name="_Toc475109670"/>
      <w:bookmarkStart w:id="405" w:name="_Toc247527828"/>
      <w:bookmarkStart w:id="406" w:name="_Toc32559_WPSOffice_Level1"/>
      <w:bookmarkStart w:id="407" w:name="_Toc247514247"/>
      <w:bookmarkStart w:id="408" w:name="_Toc152045788"/>
      <w:bookmarkStart w:id="409" w:name="_Toc300835212"/>
      <w:r>
        <w:rPr>
          <w:rStyle w:val="46"/>
          <w:rFonts w:ascii="宋体" w:cs="宋体"/>
          <w:b w:val="0"/>
          <w:bCs w:val="0"/>
        </w:rPr>
        <w:br w:type="page"/>
      </w:r>
    </w:p>
    <w:p w14:paraId="7E70DB65">
      <w:pPr>
        <w:pStyle w:val="4"/>
        <w:snapToGrid w:val="0"/>
        <w:spacing w:before="0" w:after="0" w:line="360" w:lineRule="auto"/>
        <w:ind w:firstLine="157"/>
        <w:jc w:val="center"/>
        <w:rPr>
          <w:rStyle w:val="46"/>
          <w:rFonts w:ascii="宋体" w:cs="宋体"/>
          <w:b w:val="0"/>
          <w:bCs w:val="0"/>
        </w:rPr>
      </w:pPr>
      <w:r>
        <w:rPr>
          <w:rStyle w:val="46"/>
          <w:rFonts w:ascii="宋体" w:cs="宋体"/>
          <w:b w:val="0"/>
          <w:bCs w:val="0"/>
        </w:rPr>
        <w:t>一、投标函及投标函附录</w:t>
      </w:r>
      <w:bookmarkEnd w:id="400"/>
      <w:bookmarkEnd w:id="401"/>
      <w:bookmarkEnd w:id="402"/>
      <w:bookmarkEnd w:id="403"/>
      <w:bookmarkEnd w:id="404"/>
      <w:bookmarkEnd w:id="405"/>
      <w:bookmarkEnd w:id="406"/>
      <w:bookmarkEnd w:id="407"/>
      <w:bookmarkEnd w:id="408"/>
    </w:p>
    <w:p w14:paraId="2FB32A68">
      <w:pPr>
        <w:pStyle w:val="5"/>
        <w:spacing w:line="416" w:lineRule="auto"/>
        <w:ind w:firstLine="103"/>
        <w:jc w:val="center"/>
        <w:rPr>
          <w:rFonts w:ascii="宋体" w:hAnsi="宋体"/>
          <w:sz w:val="21"/>
          <w:szCs w:val="21"/>
        </w:rPr>
      </w:pPr>
      <w:bookmarkStart w:id="410" w:name="_Toc475109671"/>
      <w:bookmarkStart w:id="411" w:name="_Toc152042578"/>
      <w:bookmarkStart w:id="412" w:name="_Toc152045789"/>
      <w:bookmarkStart w:id="413" w:name="_Toc16255"/>
      <w:bookmarkStart w:id="414" w:name="_Toc247514248"/>
      <w:bookmarkStart w:id="415" w:name="_Toc247527829"/>
      <w:bookmarkStart w:id="416" w:name="_Toc144974858"/>
      <w:r>
        <w:rPr>
          <w:rFonts w:ascii="宋体" w:hAnsi="宋体"/>
          <w:sz w:val="21"/>
          <w:szCs w:val="21"/>
        </w:rPr>
        <w:t>（一）投标函</w:t>
      </w:r>
      <w:bookmarkEnd w:id="410"/>
      <w:bookmarkEnd w:id="411"/>
      <w:bookmarkEnd w:id="412"/>
      <w:bookmarkEnd w:id="413"/>
      <w:bookmarkEnd w:id="414"/>
      <w:bookmarkEnd w:id="415"/>
      <w:bookmarkEnd w:id="416"/>
    </w:p>
    <w:p w14:paraId="0C13C863">
      <w:pPr>
        <w:widowControl/>
        <w:spacing w:before="75" w:after="75" w:line="435" w:lineRule="atLeast"/>
        <w:ind w:firstLine="720"/>
        <w:jc w:val="left"/>
        <w:rPr>
          <w:rFonts w:ascii="宋体" w:hAnsi="宋体" w:cs="Arial"/>
          <w:kern w:val="0"/>
          <w:sz w:val="24"/>
        </w:rPr>
      </w:pPr>
      <w:r>
        <w:rPr>
          <w:rFonts w:hint="eastAsia" w:ascii="宋体" w:hAnsi="宋体" w:cs="Arial"/>
          <w:kern w:val="0"/>
          <w:sz w:val="24"/>
        </w:rPr>
        <w:t>致：</w:t>
      </w:r>
      <w:r>
        <w:rPr>
          <w:rFonts w:hint="eastAsia" w:ascii="宋体" w:hAnsi="宋体" w:cs="Arial"/>
          <w:kern w:val="0"/>
          <w:sz w:val="24"/>
          <w:u w:val="single"/>
        </w:rPr>
        <w:t xml:space="preserve">  </w:t>
      </w:r>
      <w:r>
        <w:rPr>
          <w:rFonts w:hint="eastAsia" w:ascii="宋体" w:hAnsi="宋体" w:cs="Arial"/>
          <w:kern w:val="0"/>
          <w:sz w:val="24"/>
          <w:u w:val="single"/>
          <w:lang w:val="en-US" w:eastAsia="zh-CN"/>
        </w:rPr>
        <w:t xml:space="preserve">    </w:t>
      </w:r>
      <w:r>
        <w:rPr>
          <w:rFonts w:hint="eastAsia" w:ascii="宋体" w:hAnsi="宋体" w:cs="Arial"/>
          <w:kern w:val="0"/>
          <w:sz w:val="24"/>
          <w:u w:val="single"/>
        </w:rPr>
        <w:t xml:space="preserve">   </w:t>
      </w:r>
      <w:r>
        <w:rPr>
          <w:rFonts w:hint="eastAsia" w:ascii="宋体" w:hAnsi="宋体" w:cs="Arial"/>
          <w:kern w:val="0"/>
          <w:sz w:val="24"/>
        </w:rPr>
        <w:t>(招标人名称)</w:t>
      </w:r>
    </w:p>
    <w:p w14:paraId="7EBF089F">
      <w:pPr>
        <w:widowControl/>
        <w:spacing w:before="75" w:after="75" w:line="435" w:lineRule="atLeast"/>
        <w:ind w:firstLine="720"/>
        <w:jc w:val="left"/>
        <w:rPr>
          <w:rFonts w:ascii="宋体" w:hAnsi="宋体" w:cs="Arial"/>
          <w:kern w:val="0"/>
          <w:sz w:val="24"/>
        </w:rPr>
      </w:pPr>
      <w:r>
        <w:rPr>
          <w:rFonts w:ascii="宋体" w:hAnsi="宋体" w:cs="Arial"/>
          <w:kern w:val="0"/>
          <w:sz w:val="24"/>
        </w:rPr>
        <w:t>1</w:t>
      </w:r>
      <w:r>
        <w:rPr>
          <w:rFonts w:hint="eastAsia" w:ascii="宋体" w:hAnsi="宋体" w:cs="Arial"/>
          <w:kern w:val="0"/>
          <w:sz w:val="24"/>
        </w:rPr>
        <w:t>．我方已仔细研究了（</w:t>
      </w:r>
      <w:r>
        <w:rPr>
          <w:rFonts w:hint="eastAsia" w:ascii="宋体" w:hAnsi="宋体" w:cs="Arial"/>
          <w:kern w:val="0"/>
          <w:sz w:val="24"/>
          <w:u w:val="single"/>
        </w:rPr>
        <w:t xml:space="preserve">  </w:t>
      </w:r>
      <w:r>
        <w:rPr>
          <w:rFonts w:hint="eastAsia" w:ascii="宋体" w:hAnsi="宋体" w:cs="Arial"/>
          <w:kern w:val="0"/>
          <w:sz w:val="24"/>
          <w:u w:val="single"/>
          <w:lang w:val="en-US" w:eastAsia="zh-CN"/>
        </w:rPr>
        <w:t xml:space="preserve">     </w:t>
      </w:r>
      <w:r>
        <w:rPr>
          <w:rFonts w:hint="eastAsia" w:ascii="宋体" w:hAnsi="宋体" w:cs="Arial"/>
          <w:kern w:val="0"/>
          <w:sz w:val="24"/>
          <w:u w:val="single"/>
        </w:rPr>
        <w:t>项目名称</w:t>
      </w:r>
      <w:r>
        <w:rPr>
          <w:rFonts w:hint="eastAsia" w:ascii="宋体" w:hAnsi="宋体" w:cs="Arial"/>
          <w:kern w:val="0"/>
          <w:sz w:val="24"/>
        </w:rPr>
        <w:t>）招标文件的全部内容，愿意以（大写：</w:t>
      </w:r>
      <w:r>
        <w:rPr>
          <w:rFonts w:hint="eastAsia" w:ascii="宋体" w:hAnsi="宋体" w:cs="Arial"/>
          <w:kern w:val="0"/>
          <w:sz w:val="24"/>
          <w:u w:val="single"/>
        </w:rPr>
        <w:t xml:space="preserve">      </w:t>
      </w:r>
      <w:r>
        <w:rPr>
          <w:rFonts w:hint="eastAsia" w:ascii="宋体" w:hAnsi="宋体" w:cs="Arial"/>
          <w:kern w:val="0"/>
          <w:sz w:val="24"/>
        </w:rPr>
        <w:t>）（小写</w:t>
      </w:r>
      <w:r>
        <w:rPr>
          <w:rFonts w:ascii="宋体" w:hAnsi="宋体" w:cs="Arial"/>
          <w:kern w:val="0"/>
          <w:sz w:val="24"/>
        </w:rPr>
        <w:t>：</w:t>
      </w:r>
      <w:r>
        <w:rPr>
          <w:rFonts w:hint="eastAsia" w:ascii="宋体" w:hAnsi="宋体" w:cs="Arial"/>
          <w:kern w:val="0"/>
          <w:sz w:val="24"/>
          <w:u w:val="single"/>
        </w:rPr>
        <w:t xml:space="preserve">      </w:t>
      </w:r>
      <w:r>
        <w:rPr>
          <w:rFonts w:hint="eastAsia" w:ascii="宋体" w:hAnsi="宋体" w:cs="Arial"/>
          <w:kern w:val="0"/>
          <w:sz w:val="24"/>
        </w:rPr>
        <w:t>）的投标报价，服务期限</w:t>
      </w:r>
      <w:r>
        <w:rPr>
          <w:rFonts w:hint="eastAsia" w:ascii="宋体" w:hAnsi="宋体" w:cs="Arial"/>
          <w:kern w:val="0"/>
          <w:sz w:val="24"/>
          <w:u w:val="single"/>
        </w:rPr>
        <w:t xml:space="preserve">   </w:t>
      </w:r>
      <w:r>
        <w:rPr>
          <w:rFonts w:hint="eastAsia" w:ascii="宋体" w:hAnsi="宋体" w:cs="Arial"/>
          <w:kern w:val="0"/>
          <w:sz w:val="24"/>
          <w:u w:val="single"/>
          <w:lang w:val="en-US" w:eastAsia="zh-CN"/>
        </w:rPr>
        <w:t xml:space="preserve">     </w:t>
      </w:r>
      <w:r>
        <w:rPr>
          <w:rFonts w:hint="eastAsia" w:ascii="宋体" w:hAnsi="宋体" w:cs="Arial"/>
          <w:kern w:val="0"/>
          <w:sz w:val="24"/>
          <w:u w:val="single"/>
        </w:rPr>
        <w:t xml:space="preserve"> </w:t>
      </w:r>
      <w:r>
        <w:rPr>
          <w:rFonts w:hint="eastAsia" w:ascii="宋体" w:hAnsi="宋体" w:cs="Arial"/>
          <w:kern w:val="0"/>
          <w:sz w:val="24"/>
        </w:rPr>
        <w:t>，按合同约定完成全部合同内容，质量达到：</w:t>
      </w:r>
      <w:r>
        <w:rPr>
          <w:rFonts w:hint="eastAsia" w:ascii="宋体" w:hAnsi="宋体" w:cs="Arial"/>
          <w:kern w:val="0"/>
          <w:sz w:val="24"/>
          <w:u w:val="single"/>
        </w:rPr>
        <w:t xml:space="preserve">         </w:t>
      </w:r>
      <w:r>
        <w:rPr>
          <w:rFonts w:hint="eastAsia" w:ascii="宋体" w:hAnsi="宋体" w:cs="Arial"/>
          <w:kern w:val="0"/>
          <w:sz w:val="24"/>
        </w:rPr>
        <w:t xml:space="preserve"> 。</w:t>
      </w:r>
    </w:p>
    <w:p w14:paraId="26F4F3AD">
      <w:pPr>
        <w:widowControl/>
        <w:spacing w:before="75" w:after="75" w:line="435" w:lineRule="atLeast"/>
        <w:ind w:firstLine="720"/>
        <w:jc w:val="left"/>
        <w:rPr>
          <w:rFonts w:ascii="宋体" w:hAnsi="宋体" w:cs="Arial"/>
          <w:kern w:val="0"/>
          <w:sz w:val="24"/>
        </w:rPr>
      </w:pPr>
      <w:r>
        <w:rPr>
          <w:rFonts w:ascii="宋体" w:hAnsi="宋体" w:cs="Arial"/>
          <w:kern w:val="0"/>
          <w:sz w:val="24"/>
        </w:rPr>
        <w:t>2</w:t>
      </w:r>
      <w:r>
        <w:rPr>
          <w:rFonts w:hint="eastAsia" w:ascii="宋体" w:hAnsi="宋体" w:cs="Arial"/>
          <w:kern w:val="0"/>
          <w:sz w:val="24"/>
        </w:rPr>
        <w:t>．我方承诺在投标有效期内不修改、撤销投标文件。</w:t>
      </w:r>
    </w:p>
    <w:p w14:paraId="3B49C0DC">
      <w:pPr>
        <w:widowControl/>
        <w:spacing w:before="75" w:after="75" w:line="435" w:lineRule="atLeast"/>
        <w:ind w:firstLine="720"/>
        <w:jc w:val="left"/>
        <w:rPr>
          <w:rFonts w:ascii="宋体" w:hAnsi="宋体" w:cs="Arial"/>
          <w:kern w:val="0"/>
          <w:sz w:val="24"/>
        </w:rPr>
      </w:pPr>
      <w:r>
        <w:rPr>
          <w:rFonts w:hint="eastAsia" w:ascii="宋体" w:hAnsi="宋体" w:cs="Arial"/>
          <w:kern w:val="0"/>
          <w:sz w:val="24"/>
        </w:rPr>
        <w:t>3．如我方中标：</w:t>
      </w:r>
    </w:p>
    <w:p w14:paraId="2D353BAA">
      <w:pPr>
        <w:widowControl/>
        <w:spacing w:before="75" w:after="75" w:line="435" w:lineRule="atLeast"/>
        <w:ind w:firstLine="720"/>
        <w:jc w:val="left"/>
        <w:rPr>
          <w:rFonts w:ascii="宋体" w:hAnsi="宋体" w:cs="Arial"/>
          <w:kern w:val="0"/>
          <w:sz w:val="24"/>
        </w:rPr>
      </w:pPr>
      <w:r>
        <w:rPr>
          <w:rFonts w:hint="eastAsia" w:ascii="宋体" w:hAnsi="宋体" w:cs="Arial"/>
          <w:kern w:val="0"/>
          <w:sz w:val="24"/>
        </w:rPr>
        <w:t>（</w:t>
      </w:r>
      <w:r>
        <w:rPr>
          <w:rFonts w:ascii="宋体" w:hAnsi="宋体" w:cs="Arial"/>
          <w:kern w:val="0"/>
          <w:sz w:val="24"/>
        </w:rPr>
        <w:t>1</w:t>
      </w:r>
      <w:r>
        <w:rPr>
          <w:rFonts w:hint="eastAsia" w:ascii="宋体" w:hAnsi="宋体" w:cs="Arial"/>
          <w:kern w:val="0"/>
          <w:sz w:val="24"/>
        </w:rPr>
        <w:t>）我方承诺在收到中标通知书后，在中标通知书规定的期限内与你方签订合同。</w:t>
      </w:r>
    </w:p>
    <w:p w14:paraId="7216465C">
      <w:pPr>
        <w:widowControl/>
        <w:spacing w:before="75" w:after="75" w:line="435" w:lineRule="atLeast"/>
        <w:ind w:firstLine="720"/>
        <w:jc w:val="left"/>
        <w:rPr>
          <w:rFonts w:ascii="宋体" w:hAnsi="宋体" w:cs="Arial"/>
          <w:kern w:val="0"/>
          <w:sz w:val="24"/>
        </w:rPr>
      </w:pPr>
      <w:r>
        <w:rPr>
          <w:rFonts w:hint="eastAsia" w:ascii="宋体" w:hAnsi="宋体" w:cs="Arial"/>
          <w:kern w:val="0"/>
          <w:sz w:val="24"/>
        </w:rPr>
        <w:t>（</w:t>
      </w:r>
      <w:r>
        <w:rPr>
          <w:rFonts w:ascii="宋体" w:hAnsi="宋体" w:cs="Arial"/>
          <w:kern w:val="0"/>
          <w:sz w:val="24"/>
        </w:rPr>
        <w:t>2</w:t>
      </w:r>
      <w:r>
        <w:rPr>
          <w:rFonts w:hint="eastAsia" w:ascii="宋体" w:hAnsi="宋体" w:cs="Arial"/>
          <w:kern w:val="0"/>
          <w:sz w:val="24"/>
        </w:rPr>
        <w:t>）随同本投标函递交的投标函附录属于合同文件的组成部分。</w:t>
      </w:r>
    </w:p>
    <w:p w14:paraId="7DE71D6C">
      <w:pPr>
        <w:widowControl/>
        <w:spacing w:before="75" w:after="75" w:line="435" w:lineRule="atLeast"/>
        <w:ind w:firstLine="720"/>
        <w:jc w:val="left"/>
        <w:rPr>
          <w:rFonts w:ascii="宋体" w:hAnsi="宋体" w:cs="Arial"/>
          <w:kern w:val="0"/>
          <w:sz w:val="24"/>
        </w:rPr>
      </w:pPr>
      <w:r>
        <w:rPr>
          <w:rFonts w:hint="eastAsia" w:ascii="宋体" w:hAnsi="宋体" w:cs="Arial"/>
          <w:kern w:val="0"/>
          <w:sz w:val="24"/>
        </w:rPr>
        <w:t>（</w:t>
      </w:r>
      <w:r>
        <w:rPr>
          <w:rFonts w:ascii="宋体" w:hAnsi="宋体" w:cs="Arial"/>
          <w:kern w:val="0"/>
          <w:sz w:val="24"/>
        </w:rPr>
        <w:t>3</w:t>
      </w:r>
      <w:r>
        <w:rPr>
          <w:rFonts w:hint="eastAsia" w:ascii="宋体" w:hAnsi="宋体" w:cs="Arial"/>
          <w:kern w:val="0"/>
          <w:sz w:val="24"/>
        </w:rPr>
        <w:t>）我方承诺在合同约定的期限内完成全部合同内容。</w:t>
      </w:r>
    </w:p>
    <w:p w14:paraId="543DC36C">
      <w:pPr>
        <w:widowControl/>
        <w:spacing w:before="75" w:after="75" w:line="435" w:lineRule="atLeast"/>
        <w:ind w:firstLine="720"/>
        <w:jc w:val="left"/>
        <w:rPr>
          <w:rFonts w:ascii="宋体" w:hAnsi="宋体" w:cs="Arial"/>
          <w:kern w:val="0"/>
          <w:sz w:val="24"/>
        </w:rPr>
      </w:pPr>
      <w:r>
        <w:rPr>
          <w:rFonts w:hint="eastAsia" w:ascii="宋体" w:hAnsi="宋体" w:cs="Arial"/>
          <w:kern w:val="0"/>
          <w:sz w:val="24"/>
        </w:rPr>
        <w:t>4．我方在此声明，所递交的投标文件及有关资料内容完整、真实和准确，且不存在第二章“投标人须知”第</w:t>
      </w:r>
      <w:r>
        <w:rPr>
          <w:rFonts w:ascii="宋体" w:hAnsi="宋体" w:cs="Arial"/>
          <w:kern w:val="0"/>
          <w:sz w:val="24"/>
        </w:rPr>
        <w:t>1.4.3</w:t>
      </w:r>
      <w:r>
        <w:rPr>
          <w:rFonts w:hint="eastAsia" w:ascii="宋体" w:hAnsi="宋体" w:cs="Arial"/>
          <w:kern w:val="0"/>
          <w:sz w:val="24"/>
        </w:rPr>
        <w:t>项规定的任何一种情形。</w:t>
      </w:r>
    </w:p>
    <w:p w14:paraId="4489B61D">
      <w:pPr>
        <w:widowControl/>
        <w:spacing w:before="75" w:after="75" w:line="435" w:lineRule="atLeast"/>
        <w:ind w:firstLine="720"/>
        <w:jc w:val="left"/>
        <w:rPr>
          <w:rFonts w:ascii="宋体" w:hAnsi="宋体" w:cs="Arial"/>
          <w:kern w:val="0"/>
          <w:sz w:val="24"/>
        </w:rPr>
      </w:pPr>
      <w:r>
        <w:rPr>
          <w:rFonts w:hint="eastAsia" w:ascii="宋体" w:hAnsi="宋体" w:cs="Arial"/>
          <w:kern w:val="0"/>
          <w:sz w:val="24"/>
        </w:rPr>
        <w:t>5．</w:t>
      </w:r>
      <w:r>
        <w:rPr>
          <w:rFonts w:hint="eastAsia" w:ascii="宋体" w:hAnsi="宋体" w:cs="Arial"/>
          <w:kern w:val="0"/>
          <w:sz w:val="24"/>
          <w:u w:val="single"/>
        </w:rPr>
        <w:t xml:space="preserve">（其他补充说明）         </w:t>
      </w:r>
    </w:p>
    <w:p w14:paraId="4D800C8E">
      <w:pPr>
        <w:widowControl/>
        <w:spacing w:before="75" w:after="75" w:line="435" w:lineRule="atLeast"/>
        <w:ind w:firstLine="720"/>
        <w:jc w:val="left"/>
        <w:rPr>
          <w:rFonts w:ascii="宋体" w:hAnsi="宋体" w:cs="Arial"/>
          <w:kern w:val="0"/>
          <w:sz w:val="24"/>
        </w:rPr>
      </w:pPr>
    </w:p>
    <w:p w14:paraId="2FEA592A">
      <w:pPr>
        <w:widowControl/>
        <w:spacing w:before="75" w:after="75" w:line="435" w:lineRule="atLeast"/>
        <w:ind w:firstLine="720"/>
        <w:jc w:val="left"/>
        <w:rPr>
          <w:rFonts w:ascii="宋体" w:hAnsi="宋体" w:cs="Arial"/>
          <w:kern w:val="0"/>
          <w:sz w:val="24"/>
          <w:highlight w:val="yellow"/>
        </w:rPr>
      </w:pPr>
      <w:r>
        <w:rPr>
          <w:rFonts w:hint="eastAsia" w:ascii="宋体" w:hAnsi="宋体" w:cs="Arial"/>
          <w:kern w:val="0"/>
          <w:sz w:val="24"/>
        </w:rPr>
        <w:t>投标人：</w:t>
      </w:r>
      <w:r>
        <w:rPr>
          <w:rFonts w:hint="eastAsia" w:ascii="宋体" w:hAnsi="宋体" w:cs="Arial"/>
          <w:kern w:val="0"/>
          <w:sz w:val="24"/>
          <w:u w:val="single"/>
        </w:rPr>
        <w:t xml:space="preserve">                     </w:t>
      </w:r>
      <w:r>
        <w:rPr>
          <w:rFonts w:hint="eastAsia" w:ascii="宋体" w:hAnsi="宋体" w:cs="Arial"/>
          <w:kern w:val="0"/>
          <w:sz w:val="24"/>
        </w:rPr>
        <w:t>（电子签章）</w:t>
      </w:r>
    </w:p>
    <w:p w14:paraId="2824E109">
      <w:pPr>
        <w:widowControl/>
        <w:spacing w:before="75" w:after="75" w:line="435" w:lineRule="atLeast"/>
        <w:ind w:firstLine="720"/>
        <w:jc w:val="left"/>
        <w:rPr>
          <w:rFonts w:ascii="宋体" w:hAnsi="宋体" w:cs="Arial"/>
          <w:kern w:val="0"/>
          <w:sz w:val="24"/>
        </w:rPr>
      </w:pPr>
      <w:r>
        <w:rPr>
          <w:rFonts w:hint="eastAsia" w:ascii="宋体" w:hAnsi="宋体" w:cs="Arial"/>
          <w:kern w:val="0"/>
          <w:sz w:val="24"/>
        </w:rPr>
        <w:t>法定代表人：</w:t>
      </w:r>
      <w:r>
        <w:rPr>
          <w:rFonts w:hint="eastAsia" w:ascii="宋体" w:hAnsi="宋体" w:cs="Arial"/>
          <w:kern w:val="0"/>
          <w:sz w:val="24"/>
          <w:u w:val="single"/>
        </w:rPr>
        <w:t xml:space="preserve">         </w:t>
      </w:r>
      <w:r>
        <w:rPr>
          <w:rFonts w:hint="eastAsia" w:ascii="宋体" w:hAnsi="宋体" w:cs="Arial"/>
          <w:kern w:val="0"/>
          <w:sz w:val="24"/>
        </w:rPr>
        <w:t>（电子签章）</w:t>
      </w:r>
    </w:p>
    <w:p w14:paraId="51A9EFC7">
      <w:pPr>
        <w:widowControl/>
        <w:spacing w:before="75" w:after="75" w:line="435" w:lineRule="atLeast"/>
        <w:ind w:firstLine="720"/>
        <w:jc w:val="left"/>
        <w:rPr>
          <w:rFonts w:ascii="宋体" w:hAnsi="宋体" w:cs="Arial"/>
          <w:kern w:val="0"/>
          <w:sz w:val="24"/>
        </w:rPr>
      </w:pPr>
      <w:r>
        <w:rPr>
          <w:rFonts w:hint="eastAsia" w:ascii="宋体" w:hAnsi="宋体" w:cs="Arial"/>
          <w:kern w:val="0"/>
          <w:sz w:val="24"/>
        </w:rPr>
        <w:t>日期：</w:t>
      </w:r>
      <w:r>
        <w:rPr>
          <w:rFonts w:hint="eastAsia" w:ascii="宋体" w:hAnsi="宋体" w:cs="Arial"/>
          <w:kern w:val="0"/>
          <w:sz w:val="24"/>
          <w:u w:val="single"/>
        </w:rPr>
        <w:t xml:space="preserve">         </w:t>
      </w:r>
    </w:p>
    <w:p w14:paraId="090F69C9">
      <w:pPr>
        <w:widowControl/>
        <w:spacing w:before="75" w:after="75" w:line="435" w:lineRule="atLeast"/>
        <w:ind w:firstLine="720"/>
        <w:jc w:val="center"/>
        <w:rPr>
          <w:rStyle w:val="46"/>
          <w:rFonts w:ascii="宋体" w:hAnsi="宋体"/>
          <w:b w:val="0"/>
          <w:sz w:val="24"/>
          <w:szCs w:val="24"/>
        </w:rPr>
      </w:pPr>
      <w:r>
        <w:rPr>
          <w:rFonts w:hint="eastAsia" w:ascii="宋体" w:hAnsi="宋体" w:cs="Arial"/>
          <w:kern w:val="0"/>
          <w:sz w:val="24"/>
        </w:rPr>
        <w:br w:type="page"/>
      </w:r>
      <w:bookmarkEnd w:id="409"/>
      <w:bookmarkStart w:id="417" w:name="_Toc21646"/>
      <w:bookmarkStart w:id="418" w:name="_Toc475109672"/>
      <w:r>
        <w:rPr>
          <w:rFonts w:ascii="宋体" w:hAnsi="宋体"/>
          <w:sz w:val="24"/>
        </w:rPr>
        <w:t>（二）投标函附录</w:t>
      </w:r>
      <w:bookmarkEnd w:id="417"/>
      <w:bookmarkEnd w:id="418"/>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7"/>
        <w:gridCol w:w="851"/>
        <w:gridCol w:w="1134"/>
        <w:gridCol w:w="879"/>
        <w:gridCol w:w="1247"/>
        <w:gridCol w:w="851"/>
        <w:gridCol w:w="1283"/>
      </w:tblGrid>
      <w:tr w14:paraId="50E07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277" w:type="dxa"/>
            <w:vAlign w:val="center"/>
          </w:tcPr>
          <w:p w14:paraId="3D4B97C2">
            <w:pPr>
              <w:snapToGrid w:val="0"/>
              <w:spacing w:line="360" w:lineRule="auto"/>
              <w:jc w:val="center"/>
              <w:rPr>
                <w:rFonts w:hint="default" w:ascii="宋体" w:hAnsi="宋体" w:eastAsia="宋体" w:cs="宋体"/>
                <w:sz w:val="24"/>
                <w:lang w:val="en-US" w:eastAsia="zh-CN"/>
              </w:rPr>
            </w:pPr>
            <w:r>
              <w:rPr>
                <w:rFonts w:hint="eastAsia" w:ascii="宋体" w:hAnsi="宋体" w:cs="宋体"/>
                <w:sz w:val="24"/>
              </w:rPr>
              <w:t>项目名称</w:t>
            </w:r>
          </w:p>
        </w:tc>
        <w:tc>
          <w:tcPr>
            <w:tcW w:w="6245" w:type="dxa"/>
            <w:gridSpan w:val="6"/>
            <w:vAlign w:val="center"/>
          </w:tcPr>
          <w:p w14:paraId="6C05D365">
            <w:pPr>
              <w:snapToGrid w:val="0"/>
              <w:spacing w:line="360" w:lineRule="auto"/>
              <w:jc w:val="center"/>
              <w:rPr>
                <w:rFonts w:ascii="宋体" w:hAnsi="宋体" w:cs="宋体"/>
                <w:sz w:val="24"/>
              </w:rPr>
            </w:pPr>
          </w:p>
        </w:tc>
      </w:tr>
      <w:tr w14:paraId="63EF3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277" w:type="dxa"/>
            <w:vAlign w:val="center"/>
          </w:tcPr>
          <w:p w14:paraId="1A15BFBC">
            <w:pPr>
              <w:snapToGrid w:val="0"/>
              <w:spacing w:line="360" w:lineRule="auto"/>
              <w:jc w:val="center"/>
              <w:rPr>
                <w:rFonts w:ascii="宋体" w:hAnsi="宋体" w:cs="宋体"/>
                <w:sz w:val="24"/>
              </w:rPr>
            </w:pPr>
            <w:r>
              <w:rPr>
                <w:rFonts w:hint="eastAsia" w:ascii="宋体" w:hAnsi="宋体" w:cs="宋体"/>
                <w:sz w:val="24"/>
              </w:rPr>
              <w:t>投标人名称</w:t>
            </w:r>
          </w:p>
        </w:tc>
        <w:tc>
          <w:tcPr>
            <w:tcW w:w="6245" w:type="dxa"/>
            <w:gridSpan w:val="6"/>
            <w:vAlign w:val="center"/>
          </w:tcPr>
          <w:p w14:paraId="44BBC4D7">
            <w:pPr>
              <w:snapToGrid w:val="0"/>
              <w:spacing w:line="360" w:lineRule="auto"/>
              <w:jc w:val="center"/>
              <w:rPr>
                <w:rFonts w:ascii="宋体" w:hAnsi="宋体" w:cs="宋体"/>
                <w:sz w:val="24"/>
              </w:rPr>
            </w:pPr>
          </w:p>
        </w:tc>
      </w:tr>
      <w:tr w14:paraId="75F7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277" w:type="dxa"/>
            <w:vAlign w:val="center"/>
          </w:tcPr>
          <w:p w14:paraId="4EF07AF1">
            <w:pPr>
              <w:snapToGrid w:val="0"/>
              <w:spacing w:line="360" w:lineRule="auto"/>
              <w:jc w:val="center"/>
              <w:rPr>
                <w:rFonts w:ascii="宋体" w:hAnsi="宋体" w:cs="宋体"/>
                <w:sz w:val="24"/>
              </w:rPr>
            </w:pPr>
            <w:r>
              <w:rPr>
                <w:rFonts w:hint="eastAsia" w:ascii="宋体" w:hAnsi="宋体" w:cs="宋体"/>
                <w:sz w:val="24"/>
              </w:rPr>
              <w:t>投标报价</w:t>
            </w:r>
          </w:p>
        </w:tc>
        <w:tc>
          <w:tcPr>
            <w:tcW w:w="6245" w:type="dxa"/>
            <w:gridSpan w:val="6"/>
            <w:vAlign w:val="center"/>
          </w:tcPr>
          <w:p w14:paraId="1E2FD150">
            <w:pPr>
              <w:snapToGrid w:val="0"/>
              <w:spacing w:line="360" w:lineRule="auto"/>
              <w:rPr>
                <w:rFonts w:ascii="宋体" w:hAnsi="宋体" w:cs="宋体"/>
                <w:sz w:val="24"/>
              </w:rPr>
            </w:pPr>
            <w:r>
              <w:rPr>
                <w:rFonts w:hint="eastAsia" w:ascii="宋体" w:hAnsi="宋体" w:cs="宋体"/>
                <w:sz w:val="24"/>
              </w:rPr>
              <w:t>大写：</w:t>
            </w:r>
          </w:p>
          <w:p w14:paraId="2B7D9FCA">
            <w:pPr>
              <w:pStyle w:val="28"/>
              <w:ind w:left="1124" w:leftChars="21" w:hangingChars="450"/>
            </w:pPr>
            <w:r>
              <w:rPr>
                <w:rFonts w:hint="eastAsia"/>
              </w:rPr>
              <w:t>小写：</w:t>
            </w:r>
          </w:p>
        </w:tc>
      </w:tr>
      <w:tr w14:paraId="3C0BD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277" w:type="dxa"/>
            <w:vAlign w:val="center"/>
          </w:tcPr>
          <w:p w14:paraId="08C74B3B">
            <w:pPr>
              <w:snapToGrid w:val="0"/>
              <w:spacing w:line="360" w:lineRule="auto"/>
              <w:jc w:val="center"/>
              <w:rPr>
                <w:rFonts w:ascii="宋体" w:hAnsi="宋体" w:cs="宋体"/>
                <w:sz w:val="24"/>
              </w:rPr>
            </w:pPr>
            <w:r>
              <w:rPr>
                <w:rFonts w:hint="eastAsia" w:ascii="宋体" w:hAnsi="宋体" w:cs="宋体"/>
                <w:sz w:val="24"/>
              </w:rPr>
              <w:t>服务期限</w:t>
            </w:r>
          </w:p>
        </w:tc>
        <w:tc>
          <w:tcPr>
            <w:tcW w:w="6245" w:type="dxa"/>
            <w:gridSpan w:val="6"/>
            <w:vAlign w:val="center"/>
          </w:tcPr>
          <w:p w14:paraId="01C54275">
            <w:pPr>
              <w:snapToGrid w:val="0"/>
              <w:spacing w:line="360" w:lineRule="auto"/>
              <w:jc w:val="center"/>
              <w:rPr>
                <w:rFonts w:ascii="宋体" w:hAnsi="宋体" w:cs="宋体"/>
                <w:sz w:val="24"/>
              </w:rPr>
            </w:pPr>
          </w:p>
        </w:tc>
      </w:tr>
      <w:tr w14:paraId="12E0D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277" w:type="dxa"/>
            <w:vAlign w:val="center"/>
          </w:tcPr>
          <w:p w14:paraId="24EC7E1E">
            <w:pPr>
              <w:snapToGrid w:val="0"/>
              <w:spacing w:line="360" w:lineRule="auto"/>
              <w:jc w:val="center"/>
              <w:rPr>
                <w:rFonts w:ascii="宋体" w:hAnsi="宋体" w:cs="宋体"/>
                <w:sz w:val="24"/>
              </w:rPr>
            </w:pPr>
            <w:r>
              <w:rPr>
                <w:rFonts w:hint="eastAsia" w:ascii="宋体" w:hAnsi="宋体" w:cs="宋体"/>
                <w:sz w:val="24"/>
              </w:rPr>
              <w:t>投标有效期</w:t>
            </w:r>
          </w:p>
        </w:tc>
        <w:tc>
          <w:tcPr>
            <w:tcW w:w="6245" w:type="dxa"/>
            <w:gridSpan w:val="6"/>
            <w:vAlign w:val="center"/>
          </w:tcPr>
          <w:p w14:paraId="50752581">
            <w:pPr>
              <w:snapToGrid w:val="0"/>
              <w:spacing w:line="360" w:lineRule="auto"/>
              <w:jc w:val="center"/>
              <w:rPr>
                <w:rFonts w:ascii="宋体" w:hAnsi="宋体" w:cs="宋体"/>
                <w:sz w:val="24"/>
              </w:rPr>
            </w:pPr>
            <w:r>
              <w:rPr>
                <w:rFonts w:hint="eastAsia" w:ascii="宋体" w:hAnsi="宋体" w:cs="宋体"/>
                <w:sz w:val="24"/>
              </w:rPr>
              <w:t>（从投标截止之日算起）</w:t>
            </w:r>
          </w:p>
        </w:tc>
      </w:tr>
      <w:tr w14:paraId="07CD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277" w:type="dxa"/>
            <w:vAlign w:val="center"/>
          </w:tcPr>
          <w:p w14:paraId="0B1CEEC0">
            <w:pPr>
              <w:snapToGrid w:val="0"/>
              <w:spacing w:line="360" w:lineRule="auto"/>
              <w:jc w:val="center"/>
              <w:rPr>
                <w:rFonts w:ascii="宋体" w:hAnsi="宋体" w:cs="宋体"/>
                <w:sz w:val="24"/>
              </w:rPr>
            </w:pPr>
            <w:r>
              <w:rPr>
                <w:rFonts w:hint="eastAsia" w:ascii="宋体" w:hAnsi="宋体" w:cs="宋体"/>
                <w:sz w:val="24"/>
              </w:rPr>
              <w:t>质量要求</w:t>
            </w:r>
          </w:p>
        </w:tc>
        <w:tc>
          <w:tcPr>
            <w:tcW w:w="6245" w:type="dxa"/>
            <w:gridSpan w:val="6"/>
            <w:vAlign w:val="center"/>
          </w:tcPr>
          <w:p w14:paraId="018DC4EA">
            <w:pPr>
              <w:snapToGrid w:val="0"/>
              <w:spacing w:line="360" w:lineRule="auto"/>
              <w:jc w:val="center"/>
              <w:rPr>
                <w:rFonts w:ascii="宋体" w:hAnsi="宋体" w:cs="宋体"/>
                <w:sz w:val="24"/>
              </w:rPr>
            </w:pPr>
          </w:p>
        </w:tc>
      </w:tr>
      <w:tr w14:paraId="592DB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277" w:type="dxa"/>
            <w:vAlign w:val="center"/>
          </w:tcPr>
          <w:p w14:paraId="064DE9AE">
            <w:pPr>
              <w:snapToGrid w:val="0"/>
              <w:spacing w:line="360" w:lineRule="auto"/>
              <w:jc w:val="center"/>
              <w:rPr>
                <w:rFonts w:ascii="宋体" w:hAnsi="宋体" w:cs="宋体"/>
                <w:sz w:val="24"/>
              </w:rPr>
            </w:pPr>
            <w:r>
              <w:rPr>
                <w:rFonts w:hint="eastAsia" w:ascii="宋体" w:hAnsi="宋体" w:cs="宋体"/>
                <w:sz w:val="24"/>
              </w:rPr>
              <w:t>项目负责人</w:t>
            </w:r>
          </w:p>
        </w:tc>
        <w:tc>
          <w:tcPr>
            <w:tcW w:w="851" w:type="dxa"/>
            <w:vAlign w:val="center"/>
          </w:tcPr>
          <w:p w14:paraId="1693C610">
            <w:pPr>
              <w:snapToGrid w:val="0"/>
              <w:spacing w:line="360" w:lineRule="auto"/>
              <w:jc w:val="center"/>
              <w:rPr>
                <w:rFonts w:ascii="宋体" w:hAnsi="宋体" w:cs="宋体"/>
                <w:sz w:val="24"/>
              </w:rPr>
            </w:pPr>
            <w:r>
              <w:rPr>
                <w:rFonts w:hint="eastAsia" w:ascii="宋体" w:hAnsi="宋体" w:cs="宋体"/>
                <w:sz w:val="24"/>
              </w:rPr>
              <w:t>姓名</w:t>
            </w:r>
          </w:p>
        </w:tc>
        <w:tc>
          <w:tcPr>
            <w:tcW w:w="1134" w:type="dxa"/>
            <w:vAlign w:val="center"/>
          </w:tcPr>
          <w:p w14:paraId="3DF41587">
            <w:pPr>
              <w:snapToGrid w:val="0"/>
              <w:spacing w:line="360" w:lineRule="auto"/>
              <w:jc w:val="center"/>
              <w:rPr>
                <w:rFonts w:ascii="宋体" w:hAnsi="宋体" w:cs="宋体"/>
                <w:sz w:val="24"/>
              </w:rPr>
            </w:pPr>
          </w:p>
        </w:tc>
        <w:tc>
          <w:tcPr>
            <w:tcW w:w="879" w:type="dxa"/>
            <w:vAlign w:val="center"/>
          </w:tcPr>
          <w:p w14:paraId="28CB375E">
            <w:pPr>
              <w:snapToGrid w:val="0"/>
              <w:spacing w:line="360" w:lineRule="auto"/>
              <w:jc w:val="center"/>
              <w:rPr>
                <w:rFonts w:ascii="宋体" w:hAnsi="宋体" w:cs="宋体"/>
                <w:sz w:val="24"/>
              </w:rPr>
            </w:pPr>
            <w:r>
              <w:rPr>
                <w:rFonts w:hint="eastAsia" w:ascii="宋体" w:hAnsi="宋体" w:cs="宋体"/>
                <w:sz w:val="24"/>
              </w:rPr>
              <w:t>专业</w:t>
            </w:r>
          </w:p>
        </w:tc>
        <w:tc>
          <w:tcPr>
            <w:tcW w:w="1247" w:type="dxa"/>
            <w:vAlign w:val="center"/>
          </w:tcPr>
          <w:p w14:paraId="619EC8A8">
            <w:pPr>
              <w:snapToGrid w:val="0"/>
              <w:spacing w:line="360" w:lineRule="auto"/>
              <w:jc w:val="center"/>
              <w:rPr>
                <w:rFonts w:ascii="宋体" w:hAnsi="宋体" w:cs="宋体"/>
                <w:sz w:val="24"/>
              </w:rPr>
            </w:pPr>
          </w:p>
        </w:tc>
        <w:tc>
          <w:tcPr>
            <w:tcW w:w="851" w:type="dxa"/>
            <w:vAlign w:val="center"/>
          </w:tcPr>
          <w:p w14:paraId="23E7D644">
            <w:pPr>
              <w:snapToGrid w:val="0"/>
              <w:spacing w:line="360" w:lineRule="auto"/>
              <w:jc w:val="center"/>
              <w:rPr>
                <w:rFonts w:ascii="宋体" w:hAnsi="宋体" w:cs="宋体"/>
                <w:sz w:val="24"/>
              </w:rPr>
            </w:pPr>
            <w:r>
              <w:rPr>
                <w:rFonts w:hint="eastAsia" w:ascii="宋体" w:hAnsi="宋体" w:cs="宋体"/>
                <w:sz w:val="24"/>
              </w:rPr>
              <w:t>职称</w:t>
            </w:r>
          </w:p>
        </w:tc>
        <w:tc>
          <w:tcPr>
            <w:tcW w:w="1283" w:type="dxa"/>
            <w:vAlign w:val="center"/>
          </w:tcPr>
          <w:p w14:paraId="314E6CFF">
            <w:pPr>
              <w:snapToGrid w:val="0"/>
              <w:spacing w:line="360" w:lineRule="auto"/>
              <w:jc w:val="center"/>
              <w:rPr>
                <w:rFonts w:ascii="宋体" w:hAnsi="宋体" w:cs="宋体"/>
                <w:sz w:val="24"/>
              </w:rPr>
            </w:pPr>
          </w:p>
        </w:tc>
      </w:tr>
      <w:tr w14:paraId="78A41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jc w:val="center"/>
        </w:trPr>
        <w:tc>
          <w:tcPr>
            <w:tcW w:w="2277" w:type="dxa"/>
            <w:vAlign w:val="center"/>
          </w:tcPr>
          <w:p w14:paraId="3C02BCBA">
            <w:pPr>
              <w:snapToGrid w:val="0"/>
              <w:spacing w:line="360" w:lineRule="auto"/>
              <w:jc w:val="center"/>
              <w:rPr>
                <w:rFonts w:ascii="宋体" w:hAnsi="宋体" w:cs="宋体"/>
                <w:sz w:val="24"/>
              </w:rPr>
            </w:pPr>
            <w:r>
              <w:rPr>
                <w:rFonts w:hint="eastAsia" w:ascii="宋体" w:hAnsi="宋体" w:cs="宋体"/>
                <w:sz w:val="24"/>
              </w:rPr>
              <w:t>备注</w:t>
            </w:r>
          </w:p>
        </w:tc>
        <w:tc>
          <w:tcPr>
            <w:tcW w:w="6245" w:type="dxa"/>
            <w:gridSpan w:val="6"/>
            <w:vAlign w:val="center"/>
          </w:tcPr>
          <w:p w14:paraId="59E7F05E">
            <w:pPr>
              <w:snapToGrid w:val="0"/>
              <w:spacing w:line="360" w:lineRule="auto"/>
              <w:jc w:val="left"/>
              <w:rPr>
                <w:rFonts w:ascii="宋体" w:hAnsi="宋体" w:cs="宋体"/>
                <w:sz w:val="24"/>
              </w:rPr>
            </w:pPr>
          </w:p>
        </w:tc>
      </w:tr>
    </w:tbl>
    <w:p w14:paraId="283EA9C1">
      <w:pPr>
        <w:snapToGrid w:val="0"/>
        <w:spacing w:line="360" w:lineRule="auto"/>
        <w:jc w:val="left"/>
        <w:rPr>
          <w:rFonts w:ascii="宋体" w:hAnsi="宋体" w:cs="宋体"/>
          <w:sz w:val="24"/>
        </w:rPr>
      </w:pPr>
    </w:p>
    <w:p w14:paraId="28A9E771">
      <w:pPr>
        <w:snapToGrid w:val="0"/>
        <w:spacing w:line="360" w:lineRule="auto"/>
        <w:ind w:right="525"/>
        <w:jc w:val="center"/>
        <w:rPr>
          <w:rFonts w:ascii="宋体" w:hAnsi="宋体" w:cs="宋体"/>
          <w:sz w:val="24"/>
        </w:rPr>
      </w:pPr>
      <w:r>
        <w:rPr>
          <w:rFonts w:hint="eastAsia" w:ascii="宋体" w:hAnsi="宋体" w:cs="宋体"/>
          <w:sz w:val="24"/>
        </w:rPr>
        <w:t xml:space="preserve">           投标人：(电子签章)</w:t>
      </w:r>
    </w:p>
    <w:p w14:paraId="7691D07A">
      <w:pPr>
        <w:snapToGrid w:val="0"/>
        <w:spacing w:line="360" w:lineRule="auto"/>
        <w:ind w:firstLine="4512" w:firstLineChars="1880"/>
        <w:rPr>
          <w:rFonts w:ascii="宋体" w:hAnsi="宋体" w:cs="宋体"/>
          <w:sz w:val="24"/>
        </w:rPr>
      </w:pPr>
      <w:r>
        <w:rPr>
          <w:rFonts w:hint="eastAsia" w:ascii="宋体" w:hAnsi="宋体" w:cs="宋体"/>
          <w:sz w:val="24"/>
        </w:rPr>
        <w:t>法定代表人：(电子签章)</w:t>
      </w:r>
    </w:p>
    <w:p w14:paraId="594EFE26">
      <w:pPr>
        <w:snapToGrid w:val="0"/>
        <w:spacing w:line="360" w:lineRule="auto"/>
        <w:ind w:firstLine="5400" w:firstLineChars="2250"/>
        <w:rPr>
          <w:rFonts w:ascii="宋体" w:hAnsi="宋体" w:cs="宋体"/>
          <w:sz w:val="24"/>
        </w:rPr>
      </w:pPr>
      <w:r>
        <w:rPr>
          <w:rFonts w:hint="eastAsia" w:ascii="宋体" w:hAnsi="宋体" w:cs="宋体"/>
          <w:sz w:val="24"/>
        </w:rPr>
        <w:t>年  月  日</w:t>
      </w:r>
    </w:p>
    <w:p w14:paraId="614CDCC5">
      <w:pPr>
        <w:snapToGrid w:val="0"/>
        <w:spacing w:line="360" w:lineRule="auto"/>
        <w:ind w:firstLine="4725" w:firstLineChars="2250"/>
        <w:rPr>
          <w:rFonts w:ascii="宋体" w:hAnsi="宋体" w:cs="宋体"/>
          <w:szCs w:val="21"/>
        </w:rPr>
      </w:pPr>
    </w:p>
    <w:p w14:paraId="16C964EF">
      <w:pPr>
        <w:snapToGrid w:val="0"/>
        <w:spacing w:line="360" w:lineRule="auto"/>
        <w:ind w:firstLine="4725" w:firstLineChars="2250"/>
        <w:rPr>
          <w:rFonts w:ascii="宋体" w:hAnsi="宋体" w:cs="宋体"/>
          <w:szCs w:val="21"/>
        </w:rPr>
      </w:pPr>
    </w:p>
    <w:p w14:paraId="66D81CB2">
      <w:pPr>
        <w:pStyle w:val="4"/>
        <w:snapToGrid w:val="0"/>
        <w:spacing w:before="0" w:after="0" w:line="360" w:lineRule="auto"/>
        <w:ind w:firstLine="157"/>
        <w:jc w:val="center"/>
        <w:rPr>
          <w:rFonts w:ascii="宋体" w:hAnsi="Cambria" w:cs="宋体"/>
          <w:b w:val="0"/>
          <w:bCs w:val="0"/>
          <w:sz w:val="28"/>
          <w:szCs w:val="28"/>
        </w:rPr>
      </w:pPr>
      <w:bookmarkStart w:id="419" w:name="_Toc5100"/>
      <w:bookmarkStart w:id="420" w:name="_Toc23160_WPSOffice_Level1"/>
      <w:bookmarkStart w:id="421" w:name="_Toc18796"/>
      <w:bookmarkStart w:id="422" w:name="_Toc20132_WPSOffice_Level1"/>
      <w:bookmarkStart w:id="423" w:name="_Toc300835213"/>
      <w:r>
        <w:rPr>
          <w:rStyle w:val="46"/>
          <w:rFonts w:ascii="宋体" w:cs="宋体"/>
          <w:b w:val="0"/>
          <w:bCs w:val="0"/>
        </w:rPr>
        <w:br w:type="page"/>
      </w:r>
      <w:r>
        <w:rPr>
          <w:rStyle w:val="46"/>
          <w:rFonts w:hint="eastAsia" w:ascii="宋体" w:cs="宋体"/>
          <w:b w:val="0"/>
          <w:bCs w:val="0"/>
        </w:rPr>
        <w:t>二、法定代表人身份证明</w:t>
      </w:r>
      <w:bookmarkEnd w:id="419"/>
      <w:bookmarkEnd w:id="420"/>
      <w:bookmarkEnd w:id="421"/>
      <w:bookmarkEnd w:id="422"/>
      <w:bookmarkEnd w:id="423"/>
    </w:p>
    <w:p w14:paraId="7AC65ADD">
      <w:pPr>
        <w:snapToGrid w:val="0"/>
        <w:spacing w:line="360" w:lineRule="auto"/>
        <w:rPr>
          <w:rFonts w:ascii="宋体" w:hAnsi="宋体" w:cs="宋体"/>
          <w:szCs w:val="21"/>
        </w:rPr>
      </w:pPr>
    </w:p>
    <w:p w14:paraId="0A102CF7">
      <w:pPr>
        <w:snapToGrid w:val="0"/>
        <w:spacing w:line="420" w:lineRule="auto"/>
        <w:rPr>
          <w:rFonts w:ascii="宋体" w:hAnsi="宋体" w:cs="宋体"/>
          <w:sz w:val="24"/>
        </w:rPr>
      </w:pPr>
      <w:r>
        <w:rPr>
          <w:rFonts w:hint="eastAsia" w:ascii="宋体" w:hAnsi="宋体" w:cs="宋体"/>
          <w:sz w:val="24"/>
        </w:rPr>
        <w:t>投标人名称：</w:t>
      </w:r>
    </w:p>
    <w:p w14:paraId="5894434E">
      <w:pPr>
        <w:snapToGrid w:val="0"/>
        <w:spacing w:line="420" w:lineRule="auto"/>
        <w:rPr>
          <w:rFonts w:ascii="宋体" w:hAnsi="宋体" w:cs="宋体"/>
          <w:sz w:val="24"/>
        </w:rPr>
      </w:pPr>
      <w:r>
        <w:rPr>
          <w:rFonts w:hint="eastAsia" w:ascii="宋体" w:hAnsi="宋体" w:cs="宋体"/>
          <w:sz w:val="24"/>
        </w:rPr>
        <w:t>单位性质：</w:t>
      </w:r>
    </w:p>
    <w:p w14:paraId="733A7A41">
      <w:pPr>
        <w:snapToGrid w:val="0"/>
        <w:spacing w:line="420" w:lineRule="auto"/>
        <w:rPr>
          <w:rFonts w:ascii="宋体" w:hAnsi="宋体" w:cs="宋体"/>
          <w:sz w:val="24"/>
        </w:rPr>
      </w:pPr>
      <w:r>
        <w:rPr>
          <w:rFonts w:hint="eastAsia" w:ascii="宋体" w:hAnsi="宋体" w:cs="宋体"/>
          <w:sz w:val="24"/>
        </w:rPr>
        <w:t>地址：</w:t>
      </w:r>
    </w:p>
    <w:p w14:paraId="6D5151FB">
      <w:pPr>
        <w:snapToGrid w:val="0"/>
        <w:spacing w:line="420" w:lineRule="auto"/>
        <w:rPr>
          <w:rFonts w:ascii="宋体" w:hAnsi="宋体" w:cs="宋体"/>
          <w:sz w:val="24"/>
        </w:rPr>
      </w:pPr>
      <w:r>
        <w:rPr>
          <w:rFonts w:hint="eastAsia" w:ascii="宋体" w:hAnsi="宋体" w:cs="宋体"/>
          <w:sz w:val="24"/>
        </w:rPr>
        <w:t>成立时间：年月日</w:t>
      </w:r>
    </w:p>
    <w:p w14:paraId="75DA560A">
      <w:pPr>
        <w:snapToGrid w:val="0"/>
        <w:spacing w:line="420" w:lineRule="auto"/>
        <w:rPr>
          <w:rFonts w:ascii="宋体" w:hAnsi="宋体" w:cs="宋体"/>
          <w:sz w:val="24"/>
        </w:rPr>
      </w:pPr>
      <w:r>
        <w:rPr>
          <w:rFonts w:hint="eastAsia" w:ascii="宋体" w:hAnsi="宋体" w:cs="宋体"/>
          <w:sz w:val="24"/>
        </w:rPr>
        <w:t>经营期限：</w:t>
      </w:r>
    </w:p>
    <w:p w14:paraId="766CACBB">
      <w:pPr>
        <w:snapToGrid w:val="0"/>
        <w:spacing w:line="420" w:lineRule="auto"/>
        <w:rPr>
          <w:rFonts w:ascii="宋体" w:hAnsi="宋体" w:cs="宋体"/>
          <w:sz w:val="24"/>
        </w:rPr>
      </w:pPr>
      <w:r>
        <w:rPr>
          <w:rFonts w:hint="eastAsia" w:ascii="宋体" w:hAnsi="宋体" w:cs="宋体"/>
          <w:sz w:val="24"/>
        </w:rPr>
        <w:t>姓名： 性别： 年龄：职务：</w:t>
      </w:r>
    </w:p>
    <w:p w14:paraId="18B3015B">
      <w:pPr>
        <w:snapToGrid w:val="0"/>
        <w:spacing w:line="420" w:lineRule="auto"/>
        <w:rPr>
          <w:rFonts w:ascii="宋体" w:hAnsi="宋体" w:cs="宋体"/>
          <w:sz w:val="24"/>
        </w:rPr>
      </w:pPr>
      <w:r>
        <w:rPr>
          <w:rFonts w:hint="eastAsia" w:ascii="宋体" w:hAnsi="宋体" w:cs="宋体"/>
          <w:sz w:val="24"/>
        </w:rPr>
        <w:t>系 (投标人名称)的法定代表人。</w:t>
      </w:r>
    </w:p>
    <w:p w14:paraId="1242D8CC">
      <w:pPr>
        <w:snapToGrid w:val="0"/>
        <w:spacing w:line="420" w:lineRule="auto"/>
        <w:ind w:firstLine="480" w:firstLineChars="200"/>
        <w:rPr>
          <w:rFonts w:ascii="宋体" w:hAnsi="宋体" w:cs="宋体"/>
          <w:sz w:val="24"/>
        </w:rPr>
      </w:pPr>
    </w:p>
    <w:p w14:paraId="169F851B">
      <w:pPr>
        <w:snapToGrid w:val="0"/>
        <w:spacing w:line="420" w:lineRule="auto"/>
        <w:ind w:firstLine="480" w:firstLineChars="200"/>
        <w:rPr>
          <w:rFonts w:ascii="宋体" w:hAnsi="宋体" w:cs="宋体"/>
          <w:sz w:val="24"/>
        </w:rPr>
      </w:pPr>
      <w:r>
        <w:rPr>
          <w:rFonts w:hint="eastAsia" w:ascii="宋体" w:hAnsi="宋体" w:cs="宋体"/>
          <w:sz w:val="24"/>
        </w:rPr>
        <w:t>特此证明。</w:t>
      </w:r>
    </w:p>
    <w:p w14:paraId="1C977BE6">
      <w:pPr>
        <w:spacing w:line="420" w:lineRule="auto"/>
        <w:rPr>
          <w:rFonts w:ascii="宋体" w:hAnsi="宋体"/>
          <w:sz w:val="24"/>
        </w:rPr>
      </w:pPr>
      <w:r>
        <w:rPr>
          <w:rFonts w:hint="eastAsia" w:ascii="宋体" w:hAnsi="宋体"/>
          <w:sz w:val="24"/>
        </w:rPr>
        <w:t>附：法定代表人身份证扫描</w:t>
      </w:r>
      <w:r>
        <w:rPr>
          <w:rFonts w:ascii="宋体" w:hAnsi="宋体"/>
          <w:sz w:val="24"/>
        </w:rPr>
        <w:t>件</w:t>
      </w:r>
      <w:r>
        <w:rPr>
          <w:rFonts w:hint="eastAsia" w:ascii="宋体" w:hAnsi="宋体"/>
          <w:sz w:val="24"/>
        </w:rPr>
        <w:t>。</w:t>
      </w:r>
    </w:p>
    <w:p w14:paraId="5D0D6335">
      <w:pPr>
        <w:snapToGrid w:val="0"/>
        <w:spacing w:line="420" w:lineRule="auto"/>
        <w:rPr>
          <w:rFonts w:ascii="宋体" w:hAnsi="宋体" w:cs="宋体"/>
          <w:sz w:val="24"/>
        </w:rPr>
      </w:pPr>
    </w:p>
    <w:p w14:paraId="6757D3BC">
      <w:pPr>
        <w:snapToGrid w:val="0"/>
        <w:spacing w:line="360" w:lineRule="auto"/>
        <w:rPr>
          <w:rFonts w:ascii="宋体" w:hAnsi="宋体" w:cs="宋体"/>
          <w:sz w:val="24"/>
        </w:rPr>
      </w:pPr>
      <w:r>
        <w:rPr>
          <w:rFonts w:hint="eastAsia" w:ascii="宋体" w:hAnsi="宋体" w:cs="宋体"/>
          <w:sz w:val="24"/>
        </w:rPr>
        <w:t xml:space="preserve">                                                   </w:t>
      </w:r>
    </w:p>
    <w:p w14:paraId="1FAD884E">
      <w:pPr>
        <w:snapToGrid w:val="0"/>
        <w:spacing w:line="360" w:lineRule="auto"/>
        <w:rPr>
          <w:rFonts w:ascii="宋体" w:hAnsi="宋体" w:cs="宋体"/>
          <w:sz w:val="24"/>
        </w:rPr>
      </w:pPr>
    </w:p>
    <w:p w14:paraId="37834972">
      <w:pPr>
        <w:snapToGrid w:val="0"/>
        <w:spacing w:line="360" w:lineRule="auto"/>
        <w:rPr>
          <w:rFonts w:ascii="宋体" w:hAnsi="宋体" w:cs="宋体"/>
          <w:sz w:val="24"/>
        </w:rPr>
      </w:pPr>
      <w:r>
        <w:rPr>
          <w:rFonts w:hint="eastAsia" w:ascii="宋体" w:hAnsi="宋体" w:cs="宋体"/>
          <w:sz w:val="24"/>
        </w:rPr>
        <w:t xml:space="preserve"> 投标人：(电子签章)</w:t>
      </w:r>
    </w:p>
    <w:p w14:paraId="6CF7AE66">
      <w:pPr>
        <w:snapToGrid w:val="0"/>
        <w:spacing w:line="360" w:lineRule="auto"/>
        <w:ind w:firstLine="480" w:firstLineChars="200"/>
        <w:rPr>
          <w:rFonts w:ascii="宋体" w:hAnsi="宋体" w:cs="宋体"/>
          <w:sz w:val="24"/>
        </w:rPr>
      </w:pPr>
      <w:r>
        <w:rPr>
          <w:rFonts w:hint="eastAsia" w:ascii="宋体" w:hAnsi="宋体" w:cs="宋体"/>
          <w:sz w:val="24"/>
        </w:rPr>
        <w:t xml:space="preserve">年  月  日           </w:t>
      </w:r>
    </w:p>
    <w:p w14:paraId="0187005C">
      <w:pPr>
        <w:pStyle w:val="4"/>
        <w:snapToGrid w:val="0"/>
        <w:spacing w:before="0" w:after="0" w:line="360" w:lineRule="auto"/>
        <w:ind w:firstLine="98"/>
        <w:jc w:val="center"/>
        <w:rPr>
          <w:rStyle w:val="46"/>
          <w:rFonts w:ascii="宋体" w:cs="宋体"/>
          <w:b w:val="0"/>
          <w:bCs w:val="0"/>
        </w:rPr>
      </w:pPr>
      <w:r>
        <w:rPr>
          <w:rFonts w:hint="eastAsia" w:ascii="宋体" w:cs="宋体"/>
          <w:sz w:val="20"/>
          <w:szCs w:val="20"/>
        </w:rPr>
        <w:br w:type="page"/>
      </w:r>
      <w:bookmarkStart w:id="424" w:name="_Toc12427"/>
      <w:bookmarkStart w:id="425" w:name="_Toc300835214"/>
      <w:bookmarkStart w:id="426" w:name="_Toc29730"/>
      <w:bookmarkStart w:id="427" w:name="_Toc7476_WPSOffice_Level1"/>
      <w:bookmarkStart w:id="428" w:name="_Toc30058_WPSOffice_Level1"/>
      <w:r>
        <w:rPr>
          <w:rStyle w:val="46"/>
          <w:rFonts w:hint="eastAsia" w:ascii="宋体" w:cs="宋体"/>
          <w:b w:val="0"/>
          <w:bCs w:val="0"/>
        </w:rPr>
        <w:t>三、授权委托书</w:t>
      </w:r>
      <w:bookmarkEnd w:id="424"/>
      <w:bookmarkEnd w:id="425"/>
      <w:bookmarkEnd w:id="426"/>
      <w:bookmarkEnd w:id="427"/>
      <w:bookmarkEnd w:id="428"/>
    </w:p>
    <w:p w14:paraId="2F75F5A7">
      <w:pPr>
        <w:snapToGrid w:val="0"/>
        <w:spacing w:line="360" w:lineRule="auto"/>
        <w:rPr>
          <w:rFonts w:ascii="宋体" w:hAnsi="宋体" w:cs="宋体"/>
          <w:szCs w:val="21"/>
        </w:rPr>
      </w:pPr>
    </w:p>
    <w:p w14:paraId="255D74CD">
      <w:pPr>
        <w:topLinePunct/>
        <w:snapToGrid w:val="0"/>
        <w:spacing w:line="360" w:lineRule="auto"/>
        <w:ind w:firstLine="480" w:firstLineChars="200"/>
        <w:rPr>
          <w:rFonts w:ascii="宋体" w:hAnsi="宋体" w:cs="宋体"/>
          <w:sz w:val="24"/>
        </w:rPr>
      </w:pPr>
      <w:r>
        <w:rPr>
          <w:rFonts w:hint="eastAsia" w:ascii="宋体" w:hAnsi="宋体" w:cs="宋体"/>
          <w:sz w:val="24"/>
        </w:rPr>
        <w:t>本人(姓名)系</w:t>
      </w:r>
      <w:r>
        <w:rPr>
          <w:rFonts w:hint="eastAsia" w:ascii="宋体" w:hAnsi="宋体" w:cs="宋体"/>
          <w:sz w:val="24"/>
          <w:u w:val="single"/>
          <w:lang w:val="en-US" w:eastAsia="zh-CN"/>
        </w:rPr>
        <w:t xml:space="preserve">        </w:t>
      </w:r>
      <w:r>
        <w:rPr>
          <w:rFonts w:hint="eastAsia" w:ascii="宋体" w:hAnsi="宋体" w:cs="宋体"/>
          <w:sz w:val="24"/>
        </w:rPr>
        <w:t>(投标人名称)的法定代表人，现委托</w:t>
      </w:r>
      <w:r>
        <w:rPr>
          <w:rFonts w:hint="eastAsia" w:ascii="宋体" w:hAnsi="宋体" w:cs="宋体"/>
          <w:sz w:val="24"/>
          <w:u w:val="single"/>
          <w:lang w:val="en-US" w:eastAsia="zh-CN"/>
        </w:rPr>
        <w:t xml:space="preserve">      </w:t>
      </w:r>
      <w:r>
        <w:rPr>
          <w:rFonts w:hint="eastAsia" w:ascii="宋体" w:hAnsi="宋体" w:cs="宋体"/>
          <w:sz w:val="24"/>
        </w:rPr>
        <w:t>(姓名)为我方代理人。代理人根据授权，以我方名义签署、澄清、说明、补正、递交、撤回、修改</w:t>
      </w:r>
      <w:r>
        <w:rPr>
          <w:rFonts w:hint="eastAsia" w:ascii="宋体" w:hAnsi="宋体" w:cs="宋体"/>
          <w:sz w:val="24"/>
          <w:u w:val="single"/>
          <w:lang w:val="en-US" w:eastAsia="zh-CN"/>
        </w:rPr>
        <w:t xml:space="preserve">          </w:t>
      </w:r>
      <w:r>
        <w:rPr>
          <w:rFonts w:hint="eastAsia" w:ascii="宋体" w:hAnsi="宋体" w:cs="宋体"/>
          <w:sz w:val="24"/>
        </w:rPr>
        <w:t>(项目名称)投标文件、签订合同和处理有关事宜，其法律后果由我方承担。</w:t>
      </w:r>
    </w:p>
    <w:p w14:paraId="69C5725F">
      <w:pPr>
        <w:snapToGrid w:val="0"/>
        <w:spacing w:line="360" w:lineRule="auto"/>
        <w:rPr>
          <w:rFonts w:ascii="宋体" w:hAnsi="宋体" w:cs="宋体"/>
          <w:sz w:val="24"/>
        </w:rPr>
      </w:pPr>
      <w:r>
        <w:rPr>
          <w:rFonts w:hint="eastAsia" w:ascii="宋体" w:hAnsi="宋体" w:cs="宋体"/>
          <w:sz w:val="24"/>
        </w:rPr>
        <w:t xml:space="preserve">    委托期限：</w:t>
      </w:r>
      <w:r>
        <w:rPr>
          <w:rFonts w:hint="eastAsia" w:ascii="宋体" w:hAnsi="宋体"/>
          <w:sz w:val="24"/>
          <w:u w:val="single"/>
        </w:rPr>
        <w:t>90</w:t>
      </w:r>
      <w:r>
        <w:rPr>
          <w:rFonts w:hint="eastAsia" w:ascii="宋体" w:hAnsi="宋体"/>
          <w:sz w:val="24"/>
        </w:rPr>
        <w:t>日历天（从投标截止之日算起）</w:t>
      </w:r>
      <w:r>
        <w:rPr>
          <w:rFonts w:hint="eastAsia" w:ascii="宋体" w:hAnsi="宋体" w:cs="宋体"/>
          <w:sz w:val="24"/>
        </w:rPr>
        <w:t>。</w:t>
      </w:r>
    </w:p>
    <w:p w14:paraId="797DB1FB">
      <w:pPr>
        <w:snapToGrid w:val="0"/>
        <w:spacing w:line="360" w:lineRule="auto"/>
        <w:ind w:firstLine="480" w:firstLineChars="200"/>
        <w:rPr>
          <w:rFonts w:ascii="宋体" w:hAnsi="宋体" w:cs="宋体"/>
          <w:sz w:val="24"/>
        </w:rPr>
      </w:pPr>
      <w:r>
        <w:rPr>
          <w:rFonts w:hint="eastAsia" w:ascii="宋体" w:hAnsi="宋体" w:cs="宋体"/>
          <w:sz w:val="24"/>
        </w:rPr>
        <w:t>代理人无转委托权。</w:t>
      </w:r>
    </w:p>
    <w:p w14:paraId="4C1EF046">
      <w:pPr>
        <w:snapToGrid w:val="0"/>
        <w:spacing w:line="360" w:lineRule="auto"/>
        <w:rPr>
          <w:rFonts w:ascii="宋体" w:hAnsi="宋体" w:cs="宋体"/>
          <w:sz w:val="24"/>
        </w:rPr>
      </w:pPr>
      <w:r>
        <w:rPr>
          <w:rFonts w:hint="eastAsia" w:ascii="宋体" w:hAnsi="宋体" w:cs="宋体"/>
          <w:sz w:val="24"/>
        </w:rPr>
        <w:t>附：</w:t>
      </w:r>
      <w:r>
        <w:rPr>
          <w:rFonts w:hint="eastAsia" w:ascii="宋体" w:hAnsi="宋体"/>
          <w:sz w:val="24"/>
        </w:rPr>
        <w:t>法定代表人身份证扫描件、委托代理人身份证扫描件</w:t>
      </w:r>
    </w:p>
    <w:p w14:paraId="58CE76F0">
      <w:pPr>
        <w:snapToGrid w:val="0"/>
        <w:spacing w:line="360" w:lineRule="auto"/>
        <w:rPr>
          <w:rFonts w:ascii="宋体" w:hAnsi="宋体" w:cs="宋体"/>
          <w:sz w:val="24"/>
        </w:rPr>
      </w:pPr>
    </w:p>
    <w:p w14:paraId="61D0C325">
      <w:pPr>
        <w:snapToGrid w:val="0"/>
        <w:spacing w:line="360" w:lineRule="auto"/>
        <w:rPr>
          <w:rFonts w:ascii="宋体" w:hAnsi="宋体" w:cs="宋体"/>
          <w:sz w:val="24"/>
        </w:rPr>
      </w:pPr>
    </w:p>
    <w:p w14:paraId="4A67EA9C">
      <w:pPr>
        <w:snapToGrid w:val="0"/>
        <w:spacing w:line="360" w:lineRule="auto"/>
        <w:rPr>
          <w:rFonts w:ascii="宋体" w:hAnsi="宋体" w:cs="宋体"/>
          <w:sz w:val="24"/>
        </w:rPr>
      </w:pPr>
    </w:p>
    <w:p w14:paraId="069C8B8F">
      <w:pPr>
        <w:snapToGrid w:val="0"/>
        <w:spacing w:line="360" w:lineRule="auto"/>
        <w:rPr>
          <w:rFonts w:ascii="宋体" w:hAnsi="宋体" w:cs="宋体"/>
          <w:sz w:val="24"/>
        </w:rPr>
      </w:pPr>
      <w:r>
        <w:rPr>
          <w:rFonts w:hint="eastAsia" w:ascii="宋体" w:hAnsi="宋体" w:cs="宋体"/>
          <w:sz w:val="24"/>
        </w:rPr>
        <w:t>投标人：(电子签章)</w:t>
      </w:r>
    </w:p>
    <w:p w14:paraId="6061DF9D">
      <w:pPr>
        <w:snapToGrid w:val="0"/>
        <w:spacing w:line="360" w:lineRule="auto"/>
        <w:rPr>
          <w:rFonts w:ascii="宋体" w:hAnsi="宋体" w:cs="宋体"/>
          <w:sz w:val="24"/>
        </w:rPr>
      </w:pPr>
    </w:p>
    <w:p w14:paraId="226C262D">
      <w:pPr>
        <w:snapToGrid w:val="0"/>
        <w:spacing w:line="360" w:lineRule="auto"/>
        <w:rPr>
          <w:rFonts w:ascii="宋体" w:hAnsi="宋体" w:cs="宋体"/>
          <w:sz w:val="24"/>
        </w:rPr>
      </w:pPr>
      <w:r>
        <w:rPr>
          <w:rFonts w:hint="eastAsia" w:ascii="宋体" w:hAnsi="宋体" w:cs="宋体"/>
          <w:sz w:val="24"/>
        </w:rPr>
        <w:t>法定代表人：(电子签章)</w:t>
      </w:r>
    </w:p>
    <w:p w14:paraId="1778548A">
      <w:pPr>
        <w:snapToGrid w:val="0"/>
        <w:spacing w:line="360" w:lineRule="auto"/>
        <w:rPr>
          <w:rFonts w:ascii="宋体" w:hAnsi="宋体" w:cs="宋体"/>
          <w:sz w:val="24"/>
        </w:rPr>
      </w:pPr>
    </w:p>
    <w:p w14:paraId="3BA18FBD">
      <w:pPr>
        <w:snapToGrid w:val="0"/>
        <w:spacing w:line="360" w:lineRule="auto"/>
        <w:rPr>
          <w:rFonts w:ascii="宋体" w:hAnsi="宋体" w:cs="宋体"/>
          <w:sz w:val="24"/>
        </w:rPr>
      </w:pPr>
    </w:p>
    <w:p w14:paraId="4494FB04">
      <w:pPr>
        <w:snapToGrid w:val="0"/>
        <w:spacing w:line="360" w:lineRule="auto"/>
        <w:rPr>
          <w:rFonts w:ascii="宋体" w:hAnsi="宋体" w:cs="宋体"/>
          <w:sz w:val="24"/>
        </w:rPr>
      </w:pPr>
    </w:p>
    <w:p w14:paraId="698862C3">
      <w:pPr>
        <w:snapToGrid w:val="0"/>
        <w:spacing w:line="360" w:lineRule="auto"/>
        <w:rPr>
          <w:rFonts w:ascii="宋体" w:hAnsi="宋体" w:cs="宋体"/>
          <w:sz w:val="24"/>
        </w:rPr>
      </w:pPr>
    </w:p>
    <w:p w14:paraId="527DF5C6">
      <w:pPr>
        <w:snapToGrid w:val="0"/>
        <w:spacing w:line="360" w:lineRule="auto"/>
        <w:ind w:firstLine="1800" w:firstLineChars="750"/>
        <w:rPr>
          <w:rFonts w:ascii="宋体" w:hAnsi="宋体" w:cs="宋体"/>
          <w:sz w:val="24"/>
        </w:rPr>
      </w:pPr>
      <w:r>
        <w:rPr>
          <w:rFonts w:hint="eastAsia" w:ascii="宋体" w:hAnsi="宋体" w:cs="宋体"/>
          <w:sz w:val="24"/>
        </w:rPr>
        <w:t>年   月   日</w:t>
      </w:r>
    </w:p>
    <w:p w14:paraId="6466923A">
      <w:pPr>
        <w:pStyle w:val="4"/>
        <w:snapToGrid w:val="0"/>
        <w:spacing w:before="0" w:after="0" w:line="360" w:lineRule="auto"/>
        <w:ind w:firstLine="157"/>
        <w:jc w:val="center"/>
        <w:rPr>
          <w:rStyle w:val="46"/>
          <w:rFonts w:ascii="宋体" w:cs="宋体"/>
          <w:b w:val="0"/>
          <w:bCs w:val="0"/>
        </w:rPr>
      </w:pPr>
      <w:r>
        <w:rPr>
          <w:rFonts w:hint="eastAsia" w:ascii="宋体" w:hAnsi="宋体" w:cs="宋体"/>
          <w:sz w:val="20"/>
          <w:szCs w:val="20"/>
        </w:rPr>
        <w:br w:type="page"/>
      </w:r>
      <w:bookmarkStart w:id="429" w:name="_Toc475109677"/>
      <w:bookmarkStart w:id="430" w:name="_Toc3682_WPSOffice_Level1"/>
      <w:bookmarkStart w:id="431" w:name="_Toc15126_WPSOffice_Level1"/>
      <w:bookmarkStart w:id="432" w:name="_Toc7709"/>
      <w:bookmarkStart w:id="433" w:name="_Toc300835223"/>
      <w:r>
        <w:rPr>
          <w:rStyle w:val="46"/>
          <w:rFonts w:hint="eastAsia" w:ascii="宋体" w:cs="宋体"/>
          <w:b w:val="0"/>
          <w:bCs w:val="0"/>
          <w:lang w:val="en-US" w:eastAsia="zh-CN"/>
        </w:rPr>
        <w:t>四</w:t>
      </w:r>
      <w:r>
        <w:rPr>
          <w:rStyle w:val="46"/>
          <w:rFonts w:hint="eastAsia" w:ascii="宋体" w:cs="宋体"/>
          <w:b w:val="0"/>
          <w:bCs w:val="0"/>
        </w:rPr>
        <w:t>、</w:t>
      </w:r>
      <w:bookmarkEnd w:id="429"/>
      <w:r>
        <w:rPr>
          <w:rStyle w:val="46"/>
          <w:rFonts w:hint="eastAsia" w:ascii="宋体" w:cs="宋体"/>
          <w:b w:val="0"/>
          <w:bCs w:val="0"/>
        </w:rPr>
        <w:t>技术方案</w:t>
      </w:r>
      <w:bookmarkEnd w:id="430"/>
      <w:bookmarkEnd w:id="431"/>
      <w:bookmarkEnd w:id="432"/>
      <w:r>
        <w:rPr>
          <w:rStyle w:val="46"/>
          <w:rFonts w:hint="eastAsia" w:ascii="宋体" w:cs="宋体"/>
          <w:b w:val="0"/>
          <w:bCs w:val="0"/>
        </w:rPr>
        <w:t>（格式自拟）</w:t>
      </w:r>
    </w:p>
    <w:p w14:paraId="3AF99A07">
      <w:pPr>
        <w:rPr>
          <w:rFonts w:ascii="宋体" w:hAnsi="宋体"/>
          <w:szCs w:val="21"/>
        </w:rPr>
      </w:pPr>
    </w:p>
    <w:p w14:paraId="68603246">
      <w:pPr>
        <w:rPr>
          <w:rFonts w:ascii="宋体" w:hAnsi="宋体"/>
          <w:szCs w:val="21"/>
        </w:rPr>
      </w:pPr>
    </w:p>
    <w:p w14:paraId="18D72E76">
      <w:pPr>
        <w:rPr>
          <w:rFonts w:ascii="宋体" w:hAnsi="宋体"/>
          <w:szCs w:val="21"/>
        </w:rPr>
      </w:pPr>
    </w:p>
    <w:p w14:paraId="69684955">
      <w:pPr>
        <w:rPr>
          <w:rFonts w:ascii="宋体" w:hAnsi="宋体"/>
          <w:szCs w:val="21"/>
        </w:rPr>
      </w:pPr>
    </w:p>
    <w:p w14:paraId="1A54FC98">
      <w:pPr>
        <w:rPr>
          <w:rFonts w:ascii="宋体" w:hAnsi="宋体"/>
          <w:szCs w:val="21"/>
        </w:rPr>
      </w:pPr>
    </w:p>
    <w:p w14:paraId="742A0514">
      <w:pPr>
        <w:rPr>
          <w:rFonts w:ascii="宋体" w:hAnsi="宋体"/>
          <w:szCs w:val="21"/>
        </w:rPr>
      </w:pPr>
    </w:p>
    <w:p w14:paraId="7D4AD8E6">
      <w:pPr>
        <w:rPr>
          <w:rFonts w:ascii="宋体" w:hAnsi="宋体"/>
          <w:szCs w:val="21"/>
        </w:rPr>
      </w:pPr>
    </w:p>
    <w:p w14:paraId="7AFF0E53">
      <w:pPr>
        <w:rPr>
          <w:rFonts w:ascii="宋体" w:hAnsi="宋体"/>
          <w:szCs w:val="21"/>
        </w:rPr>
      </w:pPr>
    </w:p>
    <w:p w14:paraId="66E16D88">
      <w:pPr>
        <w:rPr>
          <w:rFonts w:ascii="宋体" w:hAnsi="宋体"/>
          <w:szCs w:val="21"/>
        </w:rPr>
      </w:pPr>
    </w:p>
    <w:p w14:paraId="20A4D794">
      <w:pPr>
        <w:rPr>
          <w:rFonts w:ascii="宋体" w:hAnsi="宋体"/>
          <w:szCs w:val="21"/>
        </w:rPr>
      </w:pPr>
    </w:p>
    <w:p w14:paraId="57C9D9FA">
      <w:pPr>
        <w:rPr>
          <w:rFonts w:ascii="宋体" w:hAnsi="宋体"/>
          <w:szCs w:val="21"/>
        </w:rPr>
      </w:pPr>
    </w:p>
    <w:p w14:paraId="61D91935">
      <w:pPr>
        <w:rPr>
          <w:rFonts w:ascii="宋体" w:hAnsi="宋体"/>
          <w:szCs w:val="21"/>
        </w:rPr>
      </w:pPr>
    </w:p>
    <w:p w14:paraId="7B874B3D">
      <w:pPr>
        <w:rPr>
          <w:rFonts w:ascii="宋体" w:hAnsi="宋体"/>
          <w:szCs w:val="21"/>
        </w:rPr>
      </w:pPr>
    </w:p>
    <w:p w14:paraId="2BBEC5C2">
      <w:pPr>
        <w:rPr>
          <w:rFonts w:ascii="宋体" w:hAnsi="宋体"/>
          <w:szCs w:val="21"/>
        </w:rPr>
      </w:pPr>
    </w:p>
    <w:p w14:paraId="4EE69F3E">
      <w:pPr>
        <w:rPr>
          <w:rFonts w:ascii="宋体" w:hAnsi="宋体"/>
          <w:szCs w:val="21"/>
        </w:rPr>
      </w:pPr>
    </w:p>
    <w:p w14:paraId="2B45B331">
      <w:pPr>
        <w:rPr>
          <w:rFonts w:ascii="宋体" w:hAnsi="宋体"/>
          <w:szCs w:val="21"/>
        </w:rPr>
      </w:pPr>
    </w:p>
    <w:p w14:paraId="0CFB62D8">
      <w:pPr>
        <w:rPr>
          <w:rFonts w:ascii="宋体" w:hAnsi="宋体"/>
          <w:szCs w:val="21"/>
        </w:rPr>
      </w:pPr>
    </w:p>
    <w:p w14:paraId="778FF2AF">
      <w:pPr>
        <w:rPr>
          <w:rFonts w:ascii="宋体" w:hAnsi="宋体"/>
          <w:szCs w:val="21"/>
        </w:rPr>
      </w:pPr>
    </w:p>
    <w:p w14:paraId="270A2C99">
      <w:pPr>
        <w:rPr>
          <w:rFonts w:ascii="宋体" w:hAnsi="宋体"/>
          <w:szCs w:val="21"/>
        </w:rPr>
      </w:pPr>
    </w:p>
    <w:p w14:paraId="49EBB514">
      <w:pPr>
        <w:rPr>
          <w:rFonts w:ascii="宋体" w:hAnsi="宋体"/>
          <w:szCs w:val="21"/>
        </w:rPr>
      </w:pPr>
    </w:p>
    <w:p w14:paraId="50E3D643">
      <w:pPr>
        <w:rPr>
          <w:rFonts w:ascii="宋体" w:hAnsi="宋体"/>
          <w:szCs w:val="21"/>
        </w:rPr>
      </w:pPr>
    </w:p>
    <w:p w14:paraId="0955E56E">
      <w:pPr>
        <w:rPr>
          <w:rFonts w:ascii="宋体" w:hAnsi="宋体"/>
          <w:szCs w:val="21"/>
        </w:rPr>
      </w:pPr>
    </w:p>
    <w:p w14:paraId="184A7691">
      <w:pPr>
        <w:rPr>
          <w:rFonts w:ascii="宋体" w:hAnsi="宋体"/>
          <w:szCs w:val="21"/>
        </w:rPr>
      </w:pPr>
    </w:p>
    <w:p w14:paraId="3B37288A">
      <w:pPr>
        <w:rPr>
          <w:rFonts w:ascii="宋体" w:hAnsi="宋体"/>
          <w:szCs w:val="21"/>
        </w:rPr>
      </w:pPr>
    </w:p>
    <w:p w14:paraId="65AE377D">
      <w:pPr>
        <w:rPr>
          <w:rFonts w:ascii="宋体" w:hAnsi="宋体"/>
          <w:szCs w:val="21"/>
        </w:rPr>
      </w:pPr>
    </w:p>
    <w:p w14:paraId="2936C74D">
      <w:pPr>
        <w:rPr>
          <w:rFonts w:ascii="宋体" w:hAnsi="宋体"/>
          <w:szCs w:val="21"/>
        </w:rPr>
      </w:pPr>
    </w:p>
    <w:p w14:paraId="738EFAC1">
      <w:pPr>
        <w:rPr>
          <w:rFonts w:ascii="宋体" w:hAnsi="宋体"/>
          <w:szCs w:val="21"/>
        </w:rPr>
      </w:pPr>
    </w:p>
    <w:p w14:paraId="4264B8D6">
      <w:pPr>
        <w:rPr>
          <w:rFonts w:ascii="宋体" w:hAnsi="宋体"/>
          <w:szCs w:val="21"/>
        </w:rPr>
      </w:pPr>
    </w:p>
    <w:p w14:paraId="50B6C0BD">
      <w:pPr>
        <w:rPr>
          <w:rFonts w:ascii="宋体" w:hAnsi="宋体"/>
          <w:szCs w:val="21"/>
        </w:rPr>
      </w:pPr>
    </w:p>
    <w:p w14:paraId="2799B86F">
      <w:pPr>
        <w:rPr>
          <w:rFonts w:ascii="宋体" w:hAnsi="宋体"/>
          <w:szCs w:val="21"/>
        </w:rPr>
      </w:pPr>
    </w:p>
    <w:p w14:paraId="6D1C0CD1">
      <w:pPr>
        <w:rPr>
          <w:rFonts w:ascii="宋体" w:hAnsi="宋体"/>
          <w:szCs w:val="21"/>
        </w:rPr>
      </w:pPr>
    </w:p>
    <w:p w14:paraId="2686E763">
      <w:pPr>
        <w:rPr>
          <w:rFonts w:ascii="宋体" w:hAnsi="宋体"/>
          <w:szCs w:val="21"/>
        </w:rPr>
      </w:pPr>
    </w:p>
    <w:p w14:paraId="670196D5">
      <w:pPr>
        <w:rPr>
          <w:rFonts w:ascii="宋体" w:hAnsi="宋体"/>
          <w:szCs w:val="21"/>
        </w:rPr>
      </w:pPr>
    </w:p>
    <w:p w14:paraId="20DA041B">
      <w:pPr>
        <w:rPr>
          <w:rFonts w:ascii="宋体" w:hAnsi="宋体"/>
          <w:szCs w:val="21"/>
        </w:rPr>
      </w:pPr>
    </w:p>
    <w:p w14:paraId="76A524B1">
      <w:pPr>
        <w:rPr>
          <w:rFonts w:ascii="宋体" w:hAnsi="宋体"/>
          <w:szCs w:val="21"/>
        </w:rPr>
      </w:pPr>
    </w:p>
    <w:p w14:paraId="4356E8AD">
      <w:pPr>
        <w:rPr>
          <w:rFonts w:ascii="宋体" w:hAnsi="宋体"/>
          <w:szCs w:val="21"/>
        </w:rPr>
      </w:pPr>
    </w:p>
    <w:p w14:paraId="62A1A664">
      <w:pPr>
        <w:rPr>
          <w:rFonts w:ascii="宋体" w:hAnsi="宋体"/>
          <w:szCs w:val="21"/>
        </w:rPr>
      </w:pPr>
    </w:p>
    <w:p w14:paraId="4E911BA8">
      <w:pPr>
        <w:rPr>
          <w:rFonts w:ascii="宋体" w:hAnsi="宋体"/>
          <w:szCs w:val="21"/>
        </w:rPr>
      </w:pPr>
    </w:p>
    <w:p w14:paraId="79C40E7D">
      <w:pPr>
        <w:rPr>
          <w:rFonts w:ascii="宋体" w:hAnsi="宋体"/>
          <w:szCs w:val="21"/>
        </w:rPr>
      </w:pPr>
    </w:p>
    <w:p w14:paraId="50A62B17">
      <w:pPr>
        <w:pStyle w:val="4"/>
        <w:snapToGrid w:val="0"/>
        <w:spacing w:before="0" w:after="0" w:line="360" w:lineRule="auto"/>
        <w:ind w:firstLine="157"/>
        <w:jc w:val="center"/>
        <w:rPr>
          <w:rStyle w:val="46"/>
          <w:rFonts w:ascii="宋体" w:cs="宋体"/>
          <w:b w:val="0"/>
          <w:bCs w:val="0"/>
        </w:rPr>
      </w:pPr>
      <w:bookmarkStart w:id="434" w:name="_Toc21140_WPSOffice_Level1"/>
      <w:bookmarkStart w:id="435" w:name="_Toc475109678"/>
      <w:bookmarkStart w:id="436" w:name="_Toc12962_WPSOffice_Level1"/>
      <w:bookmarkStart w:id="437" w:name="_Toc24505"/>
      <w:r>
        <w:rPr>
          <w:rStyle w:val="46"/>
          <w:rFonts w:hint="eastAsia" w:ascii="宋体" w:cs="宋体"/>
          <w:b w:val="0"/>
          <w:bCs w:val="0"/>
          <w:lang w:val="en-US" w:eastAsia="zh-CN"/>
        </w:rPr>
        <w:t>五</w:t>
      </w:r>
      <w:r>
        <w:rPr>
          <w:rStyle w:val="46"/>
          <w:rFonts w:hint="eastAsia" w:ascii="宋体" w:cs="宋体"/>
          <w:b w:val="0"/>
          <w:bCs w:val="0"/>
        </w:rPr>
        <w:t>、资格审查资料</w:t>
      </w:r>
      <w:bookmarkEnd w:id="434"/>
      <w:bookmarkEnd w:id="435"/>
      <w:bookmarkEnd w:id="436"/>
      <w:bookmarkEnd w:id="437"/>
    </w:p>
    <w:p w14:paraId="71EA3768">
      <w:pPr>
        <w:pStyle w:val="4"/>
        <w:ind w:firstLine="103"/>
        <w:rPr>
          <w:rFonts w:ascii="宋体"/>
          <w:sz w:val="21"/>
          <w:szCs w:val="21"/>
        </w:rPr>
      </w:pPr>
      <w:bookmarkStart w:id="438" w:name="_Toc21820"/>
      <w:bookmarkStart w:id="439" w:name="_Toc475109679"/>
      <w:r>
        <w:rPr>
          <w:rFonts w:hint="eastAsia" w:ascii="宋体"/>
          <w:sz w:val="21"/>
          <w:szCs w:val="21"/>
        </w:rPr>
        <w:t>（一）投标人基本情况表</w:t>
      </w:r>
      <w:bookmarkEnd w:id="438"/>
      <w:bookmarkEnd w:id="439"/>
    </w:p>
    <w:tbl>
      <w:tblPr>
        <w:tblStyle w:val="3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988"/>
        <w:gridCol w:w="2340"/>
        <w:gridCol w:w="1440"/>
        <w:gridCol w:w="1754"/>
      </w:tblGrid>
      <w:tr w14:paraId="19A9F7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988" w:type="dxa"/>
            <w:vAlign w:val="center"/>
          </w:tcPr>
          <w:p w14:paraId="08870443">
            <w:pPr>
              <w:jc w:val="center"/>
              <w:rPr>
                <w:rFonts w:ascii="宋体" w:hAnsi="宋体" w:cs="仿宋_GB2312"/>
                <w:spacing w:val="14"/>
                <w:kern w:val="0"/>
                <w:sz w:val="24"/>
              </w:rPr>
            </w:pPr>
            <w:r>
              <w:rPr>
                <w:rFonts w:hint="eastAsia" w:ascii="宋体" w:hAnsi="宋体" w:cs="仿宋_GB2312"/>
                <w:spacing w:val="14"/>
                <w:kern w:val="0"/>
                <w:sz w:val="24"/>
              </w:rPr>
              <w:t>投标人全称</w:t>
            </w:r>
          </w:p>
        </w:tc>
        <w:tc>
          <w:tcPr>
            <w:tcW w:w="5534" w:type="dxa"/>
            <w:gridSpan w:val="3"/>
            <w:vAlign w:val="center"/>
          </w:tcPr>
          <w:p w14:paraId="07D3DC78">
            <w:pPr>
              <w:jc w:val="center"/>
              <w:rPr>
                <w:rFonts w:ascii="宋体" w:hAnsi="宋体" w:cs="仿宋_GB2312"/>
                <w:spacing w:val="14"/>
                <w:kern w:val="0"/>
                <w:sz w:val="24"/>
              </w:rPr>
            </w:pPr>
          </w:p>
        </w:tc>
      </w:tr>
      <w:tr w14:paraId="1982F6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988" w:type="dxa"/>
            <w:vAlign w:val="center"/>
          </w:tcPr>
          <w:p w14:paraId="6FE1BC11">
            <w:pPr>
              <w:jc w:val="center"/>
              <w:rPr>
                <w:rFonts w:ascii="宋体" w:hAnsi="宋体" w:cs="仿宋_GB2312"/>
                <w:spacing w:val="14"/>
                <w:kern w:val="0"/>
                <w:sz w:val="24"/>
              </w:rPr>
            </w:pPr>
            <w:r>
              <w:rPr>
                <w:rFonts w:hint="eastAsia" w:ascii="宋体" w:hAnsi="宋体" w:cs="仿宋_GB2312"/>
                <w:spacing w:val="14"/>
                <w:kern w:val="0"/>
                <w:sz w:val="24"/>
              </w:rPr>
              <w:t>主要业务范围</w:t>
            </w:r>
          </w:p>
        </w:tc>
        <w:tc>
          <w:tcPr>
            <w:tcW w:w="5534" w:type="dxa"/>
            <w:gridSpan w:val="3"/>
            <w:vAlign w:val="center"/>
          </w:tcPr>
          <w:p w14:paraId="0C8B57B8">
            <w:pPr>
              <w:jc w:val="center"/>
              <w:rPr>
                <w:rFonts w:ascii="宋体" w:hAnsi="宋体" w:cs="仿宋_GB2312"/>
                <w:spacing w:val="14"/>
                <w:kern w:val="0"/>
                <w:sz w:val="24"/>
              </w:rPr>
            </w:pPr>
          </w:p>
        </w:tc>
      </w:tr>
      <w:tr w14:paraId="1165AD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988" w:type="dxa"/>
            <w:vAlign w:val="center"/>
          </w:tcPr>
          <w:p w14:paraId="60915396">
            <w:pPr>
              <w:jc w:val="center"/>
              <w:rPr>
                <w:rFonts w:ascii="宋体" w:hAnsi="宋体" w:cs="仿宋_GB2312"/>
                <w:spacing w:val="14"/>
                <w:kern w:val="0"/>
                <w:sz w:val="24"/>
              </w:rPr>
            </w:pPr>
            <w:r>
              <w:rPr>
                <w:rFonts w:hint="eastAsia" w:ascii="宋体" w:hAnsi="宋体" w:cs="仿宋_GB2312"/>
                <w:spacing w:val="14"/>
                <w:kern w:val="0"/>
                <w:sz w:val="24"/>
              </w:rPr>
              <w:t>法定代表人名称</w:t>
            </w:r>
          </w:p>
        </w:tc>
        <w:tc>
          <w:tcPr>
            <w:tcW w:w="2340" w:type="dxa"/>
            <w:vAlign w:val="center"/>
          </w:tcPr>
          <w:p w14:paraId="611D7B5F">
            <w:pPr>
              <w:jc w:val="center"/>
              <w:rPr>
                <w:rFonts w:ascii="宋体" w:hAnsi="宋体" w:cs="仿宋_GB2312"/>
                <w:spacing w:val="14"/>
                <w:kern w:val="0"/>
                <w:sz w:val="24"/>
              </w:rPr>
            </w:pPr>
          </w:p>
        </w:tc>
        <w:tc>
          <w:tcPr>
            <w:tcW w:w="1440" w:type="dxa"/>
            <w:vAlign w:val="center"/>
          </w:tcPr>
          <w:p w14:paraId="33941F8F">
            <w:pPr>
              <w:jc w:val="center"/>
              <w:rPr>
                <w:rFonts w:ascii="宋体" w:hAnsi="宋体" w:cs="仿宋_GB2312"/>
                <w:spacing w:val="14"/>
                <w:kern w:val="0"/>
                <w:sz w:val="24"/>
              </w:rPr>
            </w:pPr>
            <w:r>
              <w:rPr>
                <w:rFonts w:hint="eastAsia" w:ascii="宋体" w:hAnsi="宋体" w:cs="仿宋_GB2312"/>
                <w:spacing w:val="14"/>
                <w:kern w:val="0"/>
                <w:sz w:val="24"/>
              </w:rPr>
              <w:t>职   务</w:t>
            </w:r>
          </w:p>
        </w:tc>
        <w:tc>
          <w:tcPr>
            <w:tcW w:w="1754" w:type="dxa"/>
            <w:vAlign w:val="center"/>
          </w:tcPr>
          <w:p w14:paraId="043B62C9">
            <w:pPr>
              <w:jc w:val="center"/>
              <w:rPr>
                <w:rFonts w:ascii="宋体" w:hAnsi="宋体" w:cs="仿宋_GB2312"/>
                <w:spacing w:val="14"/>
                <w:kern w:val="0"/>
                <w:sz w:val="24"/>
              </w:rPr>
            </w:pPr>
          </w:p>
        </w:tc>
      </w:tr>
      <w:tr w14:paraId="1432D2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988" w:type="dxa"/>
            <w:vAlign w:val="center"/>
          </w:tcPr>
          <w:p w14:paraId="67E05DA0">
            <w:pPr>
              <w:jc w:val="center"/>
              <w:rPr>
                <w:rFonts w:ascii="宋体" w:hAnsi="宋体" w:cs="仿宋_GB2312"/>
                <w:spacing w:val="14"/>
                <w:kern w:val="0"/>
                <w:sz w:val="24"/>
              </w:rPr>
            </w:pPr>
            <w:r>
              <w:rPr>
                <w:rFonts w:hint="eastAsia" w:ascii="宋体" w:hAnsi="宋体" w:cs="仿宋_GB2312"/>
                <w:spacing w:val="14"/>
                <w:kern w:val="0"/>
                <w:sz w:val="24"/>
              </w:rPr>
              <w:t>投标人地址</w:t>
            </w:r>
          </w:p>
        </w:tc>
        <w:tc>
          <w:tcPr>
            <w:tcW w:w="2340" w:type="dxa"/>
            <w:vAlign w:val="center"/>
          </w:tcPr>
          <w:p w14:paraId="00EB17EB">
            <w:pPr>
              <w:jc w:val="center"/>
              <w:rPr>
                <w:rFonts w:ascii="宋体" w:hAnsi="宋体" w:cs="仿宋_GB2312"/>
                <w:spacing w:val="14"/>
                <w:kern w:val="0"/>
                <w:sz w:val="24"/>
              </w:rPr>
            </w:pPr>
          </w:p>
        </w:tc>
        <w:tc>
          <w:tcPr>
            <w:tcW w:w="1440" w:type="dxa"/>
            <w:vAlign w:val="center"/>
          </w:tcPr>
          <w:p w14:paraId="22B61D78">
            <w:pPr>
              <w:jc w:val="center"/>
              <w:rPr>
                <w:rFonts w:ascii="宋体" w:hAnsi="宋体" w:cs="仿宋_GB2312"/>
                <w:spacing w:val="14"/>
                <w:kern w:val="0"/>
                <w:sz w:val="24"/>
              </w:rPr>
            </w:pPr>
            <w:r>
              <w:rPr>
                <w:rFonts w:hint="eastAsia" w:ascii="宋体" w:hAnsi="宋体" w:cs="仿宋_GB2312"/>
                <w:spacing w:val="14"/>
                <w:kern w:val="0"/>
                <w:sz w:val="24"/>
              </w:rPr>
              <w:t>邮政编码</w:t>
            </w:r>
          </w:p>
        </w:tc>
        <w:tc>
          <w:tcPr>
            <w:tcW w:w="1754" w:type="dxa"/>
            <w:vAlign w:val="center"/>
          </w:tcPr>
          <w:p w14:paraId="04ADEB12">
            <w:pPr>
              <w:jc w:val="center"/>
              <w:rPr>
                <w:rFonts w:ascii="宋体" w:hAnsi="宋体" w:cs="仿宋_GB2312"/>
                <w:spacing w:val="14"/>
                <w:kern w:val="0"/>
                <w:sz w:val="24"/>
              </w:rPr>
            </w:pPr>
          </w:p>
        </w:tc>
      </w:tr>
      <w:tr w14:paraId="3BEADC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988" w:type="dxa"/>
            <w:vAlign w:val="center"/>
          </w:tcPr>
          <w:p w14:paraId="78754787">
            <w:pPr>
              <w:jc w:val="center"/>
              <w:rPr>
                <w:rFonts w:ascii="宋体" w:hAnsi="宋体" w:cs="仿宋_GB2312"/>
                <w:spacing w:val="14"/>
                <w:kern w:val="0"/>
                <w:sz w:val="24"/>
              </w:rPr>
            </w:pPr>
            <w:r>
              <w:rPr>
                <w:rFonts w:hint="eastAsia" w:ascii="宋体" w:hAnsi="宋体" w:cs="仿宋_GB2312"/>
                <w:spacing w:val="14"/>
                <w:kern w:val="0"/>
                <w:sz w:val="24"/>
              </w:rPr>
              <w:t>电      话</w:t>
            </w:r>
          </w:p>
        </w:tc>
        <w:tc>
          <w:tcPr>
            <w:tcW w:w="2340" w:type="dxa"/>
            <w:vAlign w:val="center"/>
          </w:tcPr>
          <w:p w14:paraId="6189AF0A">
            <w:pPr>
              <w:jc w:val="center"/>
              <w:rPr>
                <w:rFonts w:ascii="宋体" w:hAnsi="宋体" w:cs="仿宋_GB2312"/>
                <w:spacing w:val="14"/>
                <w:kern w:val="0"/>
                <w:sz w:val="24"/>
              </w:rPr>
            </w:pPr>
          </w:p>
        </w:tc>
        <w:tc>
          <w:tcPr>
            <w:tcW w:w="1440" w:type="dxa"/>
            <w:vAlign w:val="center"/>
          </w:tcPr>
          <w:p w14:paraId="0AB9420F">
            <w:pPr>
              <w:jc w:val="center"/>
              <w:rPr>
                <w:rFonts w:ascii="宋体" w:hAnsi="宋体" w:cs="仿宋_GB2312"/>
                <w:spacing w:val="14"/>
                <w:kern w:val="0"/>
                <w:sz w:val="24"/>
              </w:rPr>
            </w:pPr>
            <w:r>
              <w:rPr>
                <w:rFonts w:hint="eastAsia" w:ascii="宋体" w:hAnsi="宋体" w:cs="仿宋_GB2312"/>
                <w:spacing w:val="14"/>
                <w:kern w:val="0"/>
                <w:sz w:val="24"/>
              </w:rPr>
              <w:t>传   真</w:t>
            </w:r>
          </w:p>
        </w:tc>
        <w:tc>
          <w:tcPr>
            <w:tcW w:w="1754" w:type="dxa"/>
            <w:vAlign w:val="center"/>
          </w:tcPr>
          <w:p w14:paraId="4804084C">
            <w:pPr>
              <w:jc w:val="center"/>
              <w:rPr>
                <w:rFonts w:ascii="宋体" w:hAnsi="宋体" w:cs="仿宋_GB2312"/>
                <w:spacing w:val="14"/>
                <w:kern w:val="0"/>
                <w:sz w:val="24"/>
              </w:rPr>
            </w:pPr>
          </w:p>
        </w:tc>
      </w:tr>
      <w:tr w14:paraId="7A3A6C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988" w:type="dxa"/>
            <w:vAlign w:val="center"/>
          </w:tcPr>
          <w:p w14:paraId="3C76B5E2">
            <w:pPr>
              <w:jc w:val="center"/>
              <w:rPr>
                <w:rFonts w:ascii="宋体" w:hAnsi="宋体" w:cs="仿宋_GB2312"/>
                <w:spacing w:val="14"/>
                <w:kern w:val="0"/>
                <w:sz w:val="24"/>
              </w:rPr>
            </w:pPr>
            <w:r>
              <w:rPr>
                <w:rFonts w:hint="eastAsia" w:ascii="宋体" w:hAnsi="宋体" w:cs="仿宋_GB2312"/>
                <w:spacing w:val="14"/>
                <w:kern w:val="0"/>
                <w:sz w:val="24"/>
              </w:rPr>
              <w:t>成立日期</w:t>
            </w:r>
          </w:p>
        </w:tc>
        <w:tc>
          <w:tcPr>
            <w:tcW w:w="2340" w:type="dxa"/>
            <w:vAlign w:val="center"/>
          </w:tcPr>
          <w:p w14:paraId="640BE52F">
            <w:pPr>
              <w:jc w:val="center"/>
              <w:rPr>
                <w:rFonts w:ascii="宋体" w:hAnsi="宋体" w:cs="仿宋_GB2312"/>
                <w:spacing w:val="14"/>
                <w:kern w:val="0"/>
                <w:sz w:val="24"/>
              </w:rPr>
            </w:pPr>
          </w:p>
        </w:tc>
        <w:tc>
          <w:tcPr>
            <w:tcW w:w="1440" w:type="dxa"/>
            <w:vAlign w:val="center"/>
          </w:tcPr>
          <w:p w14:paraId="67D5F127">
            <w:pPr>
              <w:jc w:val="center"/>
              <w:rPr>
                <w:rFonts w:ascii="宋体" w:hAnsi="宋体" w:cs="仿宋_GB2312"/>
                <w:spacing w:val="14"/>
                <w:kern w:val="0"/>
                <w:sz w:val="24"/>
              </w:rPr>
            </w:pPr>
            <w:r>
              <w:rPr>
                <w:rFonts w:hint="eastAsia" w:ascii="宋体" w:hAnsi="宋体" w:cs="仿宋_GB2312"/>
                <w:spacing w:val="14"/>
                <w:kern w:val="0"/>
                <w:sz w:val="24"/>
              </w:rPr>
              <w:t>现有职</w:t>
            </w:r>
          </w:p>
          <w:p w14:paraId="499E3A04">
            <w:pPr>
              <w:jc w:val="center"/>
              <w:rPr>
                <w:rFonts w:ascii="宋体" w:hAnsi="宋体" w:cs="仿宋_GB2312"/>
                <w:spacing w:val="14"/>
                <w:kern w:val="0"/>
                <w:sz w:val="24"/>
              </w:rPr>
            </w:pPr>
            <w:r>
              <w:rPr>
                <w:rFonts w:hint="eastAsia" w:ascii="宋体" w:hAnsi="宋体" w:cs="仿宋_GB2312"/>
                <w:spacing w:val="14"/>
                <w:kern w:val="0"/>
                <w:sz w:val="24"/>
              </w:rPr>
              <w:t>工人数</w:t>
            </w:r>
          </w:p>
        </w:tc>
        <w:tc>
          <w:tcPr>
            <w:tcW w:w="1754" w:type="dxa"/>
            <w:vAlign w:val="center"/>
          </w:tcPr>
          <w:p w14:paraId="7525D85A">
            <w:pPr>
              <w:jc w:val="center"/>
              <w:rPr>
                <w:rFonts w:ascii="宋体" w:hAnsi="宋体" w:cs="仿宋_GB2312"/>
                <w:spacing w:val="14"/>
                <w:kern w:val="0"/>
                <w:sz w:val="24"/>
              </w:rPr>
            </w:pPr>
          </w:p>
        </w:tc>
      </w:tr>
      <w:tr w14:paraId="1FDCA6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64" w:hRule="atLeast"/>
          <w:jc w:val="center"/>
        </w:trPr>
        <w:tc>
          <w:tcPr>
            <w:tcW w:w="8522" w:type="dxa"/>
            <w:gridSpan w:val="4"/>
          </w:tcPr>
          <w:p w14:paraId="419E1F49">
            <w:pPr>
              <w:spacing w:before="156" w:beforeLines="50" w:line="360" w:lineRule="auto"/>
              <w:ind w:firstLine="480" w:firstLineChars="200"/>
              <w:rPr>
                <w:rFonts w:ascii="宋体" w:hAnsi="宋体" w:cs="仿宋_GB2312"/>
                <w:kern w:val="0"/>
                <w:sz w:val="24"/>
              </w:rPr>
            </w:pPr>
            <w:r>
              <w:rPr>
                <w:rFonts w:hint="eastAsia" w:ascii="宋体" w:hAnsi="宋体" w:cs="仿宋_GB2312"/>
                <w:kern w:val="0"/>
                <w:sz w:val="24"/>
              </w:rPr>
              <w:t>单位组织机构简介：</w:t>
            </w:r>
          </w:p>
          <w:p w14:paraId="3EAC9C12">
            <w:pPr>
              <w:spacing w:line="360" w:lineRule="auto"/>
              <w:ind w:firstLine="480" w:firstLineChars="200"/>
              <w:jc w:val="center"/>
              <w:rPr>
                <w:rFonts w:ascii="宋体" w:hAnsi="宋体" w:cs="仿宋_GB2312"/>
                <w:kern w:val="0"/>
                <w:sz w:val="24"/>
              </w:rPr>
            </w:pPr>
          </w:p>
        </w:tc>
      </w:tr>
    </w:tbl>
    <w:p w14:paraId="0762106E">
      <w:pPr>
        <w:autoSpaceDE w:val="0"/>
        <w:autoSpaceDN w:val="0"/>
        <w:adjustRightInd w:val="0"/>
        <w:snapToGrid w:val="0"/>
        <w:spacing w:line="360" w:lineRule="auto"/>
        <w:rPr>
          <w:rFonts w:ascii="宋体" w:hAnsi="宋体"/>
          <w:b/>
          <w:szCs w:val="21"/>
        </w:rPr>
      </w:pPr>
    </w:p>
    <w:p w14:paraId="326A0790">
      <w:pPr>
        <w:autoSpaceDE w:val="0"/>
        <w:autoSpaceDN w:val="0"/>
        <w:adjustRightInd w:val="0"/>
        <w:snapToGrid w:val="0"/>
        <w:spacing w:line="360" w:lineRule="auto"/>
        <w:ind w:firstLine="630" w:firstLineChars="300"/>
        <w:rPr>
          <w:rFonts w:ascii="宋体" w:hAnsi="宋体" w:cs="宋体"/>
          <w:szCs w:val="21"/>
        </w:rPr>
      </w:pPr>
      <w:r>
        <w:rPr>
          <w:rFonts w:hint="eastAsia" w:ascii="宋体" w:hAnsi="宋体" w:cs="宋体"/>
          <w:kern w:val="0"/>
          <w:szCs w:val="21"/>
        </w:rPr>
        <w:t>投标人：</w:t>
      </w:r>
      <w:r>
        <w:rPr>
          <w:rFonts w:hint="eastAsia" w:ascii="宋体" w:hAnsi="宋体" w:cs="宋体"/>
          <w:spacing w:val="14"/>
          <w:kern w:val="0"/>
          <w:szCs w:val="21"/>
          <w:u w:val="single"/>
        </w:rPr>
        <w:t>（单位全称） （电子签章）</w:t>
      </w:r>
    </w:p>
    <w:p w14:paraId="18CED292">
      <w:pPr>
        <w:autoSpaceDE w:val="0"/>
        <w:autoSpaceDN w:val="0"/>
        <w:adjustRightInd w:val="0"/>
        <w:snapToGrid w:val="0"/>
        <w:spacing w:after="100" w:afterAutospacing="1" w:line="360" w:lineRule="auto"/>
        <w:rPr>
          <w:rFonts w:ascii="宋体" w:hAnsi="宋体" w:cs="宋体"/>
          <w:szCs w:val="21"/>
        </w:rPr>
      </w:pPr>
      <w:r>
        <w:rPr>
          <w:rFonts w:hint="eastAsia" w:ascii="宋体" w:hAnsi="宋体" w:cs="宋体"/>
          <w:szCs w:val="21"/>
        </w:rPr>
        <w:t xml:space="preserve">      日期：年月日</w:t>
      </w:r>
    </w:p>
    <w:p w14:paraId="5BAFD2A7">
      <w:pPr>
        <w:rPr>
          <w:rFonts w:ascii="宋体" w:hAnsi="宋体"/>
          <w:b/>
          <w:szCs w:val="21"/>
        </w:rPr>
      </w:pPr>
      <w:r>
        <w:rPr>
          <w:rFonts w:hint="eastAsia" w:ascii="宋体" w:hAnsi="宋体"/>
          <w:b/>
          <w:szCs w:val="21"/>
        </w:rPr>
        <w:t>注：投</w:t>
      </w:r>
      <w:r>
        <w:rPr>
          <w:rFonts w:hint="eastAsia" w:ascii="宋体" w:hAnsi="宋体" w:cs="宋体"/>
          <w:b/>
          <w:szCs w:val="21"/>
        </w:rPr>
        <w:t>标</w:t>
      </w:r>
      <w:r>
        <w:rPr>
          <w:rFonts w:hint="eastAsia" w:ascii="宋体" w:hAnsi="宋体"/>
          <w:b/>
          <w:szCs w:val="21"/>
        </w:rPr>
        <w:t>人需随此表附上</w:t>
      </w:r>
      <w:r>
        <w:rPr>
          <w:rFonts w:hint="eastAsia" w:ascii="宋体" w:hAnsi="宋体" w:cs="宋体"/>
          <w:b/>
          <w:szCs w:val="21"/>
        </w:rPr>
        <w:t>营业执</w:t>
      </w:r>
      <w:r>
        <w:rPr>
          <w:rFonts w:hint="eastAsia" w:ascii="宋体" w:hAnsi="宋体"/>
          <w:b/>
          <w:szCs w:val="21"/>
        </w:rPr>
        <w:t>照等文件的</w:t>
      </w:r>
      <w:r>
        <w:rPr>
          <w:rFonts w:hint="eastAsia" w:ascii="宋体" w:hAnsi="宋体" w:cs="宋体"/>
          <w:b/>
          <w:szCs w:val="21"/>
        </w:rPr>
        <w:t>复</w:t>
      </w:r>
      <w:r>
        <w:rPr>
          <w:rFonts w:hint="eastAsia" w:ascii="宋体" w:hAnsi="宋体"/>
          <w:b/>
          <w:szCs w:val="21"/>
        </w:rPr>
        <w:t xml:space="preserve">印件。    </w:t>
      </w:r>
    </w:p>
    <w:p w14:paraId="03970B8B">
      <w:pPr>
        <w:pStyle w:val="4"/>
        <w:ind w:firstLine="103"/>
        <w:rPr>
          <w:rFonts w:ascii="宋体" w:cs="黑体"/>
          <w:b w:val="0"/>
          <w:sz w:val="21"/>
          <w:szCs w:val="21"/>
        </w:rPr>
      </w:pPr>
      <w:bookmarkStart w:id="440" w:name="_Toc144974877"/>
      <w:bookmarkStart w:id="441" w:name="_Toc247527849"/>
      <w:bookmarkStart w:id="442" w:name="_Toc152042598"/>
      <w:bookmarkStart w:id="443" w:name="_Toc152045809"/>
      <w:bookmarkStart w:id="444" w:name="_Toc247514301"/>
      <w:r>
        <w:rPr>
          <w:rFonts w:ascii="宋体"/>
          <w:sz w:val="21"/>
          <w:szCs w:val="21"/>
        </w:rPr>
        <w:br w:type="page"/>
      </w:r>
      <w:bookmarkStart w:id="445" w:name="_Toc475109680"/>
      <w:bookmarkStart w:id="446" w:name="_Toc24992"/>
      <w:r>
        <w:rPr>
          <w:rFonts w:ascii="宋体"/>
          <w:sz w:val="21"/>
          <w:szCs w:val="21"/>
        </w:rPr>
        <w:t>（二）</w:t>
      </w:r>
      <w:bookmarkEnd w:id="440"/>
      <w:bookmarkEnd w:id="441"/>
      <w:bookmarkEnd w:id="442"/>
      <w:bookmarkEnd w:id="443"/>
      <w:bookmarkEnd w:id="444"/>
      <w:bookmarkEnd w:id="445"/>
      <w:r>
        <w:rPr>
          <w:rFonts w:hint="eastAsia" w:ascii="宋体"/>
          <w:sz w:val="21"/>
          <w:szCs w:val="21"/>
        </w:rPr>
        <w:t>近年完成的类似项目情况表</w:t>
      </w:r>
      <w:bookmarkEnd w:id="446"/>
    </w:p>
    <w:tbl>
      <w:tblPr>
        <w:tblStyle w:val="36"/>
        <w:tblW w:w="0" w:type="auto"/>
        <w:tblInd w:w="28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288"/>
        <w:gridCol w:w="6901"/>
      </w:tblGrid>
      <w:tr w14:paraId="08C65C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2288" w:type="dxa"/>
            <w:vAlign w:val="center"/>
          </w:tcPr>
          <w:p w14:paraId="2C0D6244">
            <w:pPr>
              <w:spacing w:line="360" w:lineRule="auto"/>
              <w:ind w:firstLine="420" w:firstLineChars="200"/>
              <w:rPr>
                <w:rFonts w:ascii="宋体" w:hAnsi="宋体"/>
                <w:szCs w:val="21"/>
              </w:rPr>
            </w:pPr>
            <w:r>
              <w:rPr>
                <w:rFonts w:hint="eastAsia" w:ascii="宋体" w:hAnsi="宋体"/>
                <w:szCs w:val="21"/>
              </w:rPr>
              <w:t>项目名称</w:t>
            </w:r>
          </w:p>
        </w:tc>
        <w:tc>
          <w:tcPr>
            <w:tcW w:w="6901" w:type="dxa"/>
            <w:vAlign w:val="center"/>
          </w:tcPr>
          <w:p w14:paraId="36EC5E98">
            <w:pPr>
              <w:spacing w:line="360" w:lineRule="auto"/>
              <w:ind w:firstLine="420" w:firstLineChars="200"/>
              <w:rPr>
                <w:rFonts w:ascii="宋体" w:hAnsi="宋体"/>
                <w:szCs w:val="21"/>
              </w:rPr>
            </w:pPr>
          </w:p>
        </w:tc>
      </w:tr>
      <w:tr w14:paraId="6E7314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2288" w:type="dxa"/>
            <w:vAlign w:val="center"/>
          </w:tcPr>
          <w:p w14:paraId="3A763D11">
            <w:pPr>
              <w:spacing w:line="360" w:lineRule="auto"/>
              <w:ind w:firstLine="420" w:firstLineChars="200"/>
              <w:rPr>
                <w:rFonts w:ascii="宋体" w:hAnsi="宋体"/>
                <w:szCs w:val="21"/>
              </w:rPr>
            </w:pPr>
            <w:r>
              <w:rPr>
                <w:rFonts w:hint="eastAsia" w:ascii="宋体" w:hAnsi="宋体"/>
                <w:szCs w:val="21"/>
              </w:rPr>
              <w:t>项目所在地</w:t>
            </w:r>
          </w:p>
        </w:tc>
        <w:tc>
          <w:tcPr>
            <w:tcW w:w="6901" w:type="dxa"/>
            <w:vAlign w:val="center"/>
          </w:tcPr>
          <w:p w14:paraId="52A0DB2A">
            <w:pPr>
              <w:spacing w:line="360" w:lineRule="auto"/>
              <w:ind w:firstLine="420" w:firstLineChars="200"/>
              <w:rPr>
                <w:rFonts w:ascii="宋体" w:hAnsi="宋体"/>
                <w:szCs w:val="21"/>
              </w:rPr>
            </w:pPr>
          </w:p>
        </w:tc>
      </w:tr>
      <w:tr w14:paraId="37C69F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2288" w:type="dxa"/>
            <w:vAlign w:val="center"/>
          </w:tcPr>
          <w:p w14:paraId="678CA94B">
            <w:pPr>
              <w:spacing w:line="360" w:lineRule="auto"/>
              <w:ind w:firstLine="420" w:firstLineChars="200"/>
              <w:rPr>
                <w:rFonts w:ascii="宋体" w:hAnsi="宋体"/>
                <w:szCs w:val="21"/>
              </w:rPr>
            </w:pPr>
            <w:r>
              <w:rPr>
                <w:rFonts w:hint="eastAsia" w:ascii="宋体" w:hAnsi="宋体"/>
                <w:szCs w:val="21"/>
              </w:rPr>
              <w:t>发包人名称</w:t>
            </w:r>
          </w:p>
        </w:tc>
        <w:tc>
          <w:tcPr>
            <w:tcW w:w="6901" w:type="dxa"/>
            <w:vAlign w:val="center"/>
          </w:tcPr>
          <w:p w14:paraId="62E547EA">
            <w:pPr>
              <w:spacing w:line="360" w:lineRule="auto"/>
              <w:ind w:firstLine="420" w:firstLineChars="200"/>
              <w:rPr>
                <w:rFonts w:ascii="宋体" w:hAnsi="宋体"/>
                <w:szCs w:val="21"/>
              </w:rPr>
            </w:pPr>
          </w:p>
        </w:tc>
      </w:tr>
      <w:tr w14:paraId="08E318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2288" w:type="dxa"/>
            <w:vAlign w:val="center"/>
          </w:tcPr>
          <w:p w14:paraId="456FC95C">
            <w:pPr>
              <w:spacing w:line="360" w:lineRule="auto"/>
              <w:ind w:firstLine="420" w:firstLineChars="200"/>
              <w:rPr>
                <w:rFonts w:ascii="宋体" w:hAnsi="宋体"/>
                <w:szCs w:val="21"/>
              </w:rPr>
            </w:pPr>
            <w:r>
              <w:rPr>
                <w:rFonts w:hint="eastAsia" w:ascii="宋体" w:hAnsi="宋体"/>
                <w:szCs w:val="21"/>
              </w:rPr>
              <w:t>发包人地址</w:t>
            </w:r>
          </w:p>
        </w:tc>
        <w:tc>
          <w:tcPr>
            <w:tcW w:w="6901" w:type="dxa"/>
            <w:vAlign w:val="center"/>
          </w:tcPr>
          <w:p w14:paraId="5BA59052">
            <w:pPr>
              <w:spacing w:line="360" w:lineRule="auto"/>
              <w:ind w:firstLine="420" w:firstLineChars="200"/>
              <w:rPr>
                <w:rFonts w:ascii="宋体" w:hAnsi="宋体"/>
                <w:szCs w:val="21"/>
              </w:rPr>
            </w:pPr>
          </w:p>
        </w:tc>
      </w:tr>
      <w:tr w14:paraId="1C7C3D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2288" w:type="dxa"/>
            <w:vAlign w:val="center"/>
          </w:tcPr>
          <w:p w14:paraId="66B111E6">
            <w:pPr>
              <w:spacing w:line="360" w:lineRule="auto"/>
              <w:ind w:firstLine="420" w:firstLineChars="200"/>
              <w:rPr>
                <w:rFonts w:ascii="宋体" w:hAnsi="宋体"/>
                <w:szCs w:val="21"/>
              </w:rPr>
            </w:pPr>
            <w:r>
              <w:rPr>
                <w:rFonts w:hint="eastAsia" w:ascii="宋体" w:hAnsi="宋体"/>
                <w:szCs w:val="21"/>
              </w:rPr>
              <w:t>发包人电话</w:t>
            </w:r>
          </w:p>
        </w:tc>
        <w:tc>
          <w:tcPr>
            <w:tcW w:w="6901" w:type="dxa"/>
            <w:vAlign w:val="center"/>
          </w:tcPr>
          <w:p w14:paraId="24545BD2">
            <w:pPr>
              <w:spacing w:line="360" w:lineRule="auto"/>
              <w:ind w:firstLine="420" w:firstLineChars="200"/>
              <w:rPr>
                <w:rFonts w:ascii="宋体" w:hAnsi="宋体"/>
                <w:szCs w:val="21"/>
              </w:rPr>
            </w:pPr>
          </w:p>
        </w:tc>
      </w:tr>
      <w:tr w14:paraId="465BA9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2288" w:type="dxa"/>
            <w:vAlign w:val="center"/>
          </w:tcPr>
          <w:p w14:paraId="49FC0565">
            <w:pPr>
              <w:spacing w:line="360" w:lineRule="auto"/>
              <w:ind w:firstLine="420" w:firstLineChars="200"/>
              <w:rPr>
                <w:rFonts w:ascii="宋体" w:hAnsi="宋体"/>
                <w:szCs w:val="21"/>
              </w:rPr>
            </w:pPr>
            <w:r>
              <w:rPr>
                <w:rFonts w:hint="eastAsia" w:ascii="宋体" w:hAnsi="宋体"/>
                <w:szCs w:val="21"/>
              </w:rPr>
              <w:t>合同价格</w:t>
            </w:r>
          </w:p>
        </w:tc>
        <w:tc>
          <w:tcPr>
            <w:tcW w:w="6901" w:type="dxa"/>
            <w:vAlign w:val="center"/>
          </w:tcPr>
          <w:p w14:paraId="0FBAE17A">
            <w:pPr>
              <w:spacing w:line="360" w:lineRule="auto"/>
              <w:ind w:firstLine="420" w:firstLineChars="200"/>
              <w:rPr>
                <w:rFonts w:ascii="宋体" w:hAnsi="宋体"/>
                <w:szCs w:val="21"/>
              </w:rPr>
            </w:pPr>
          </w:p>
        </w:tc>
      </w:tr>
      <w:tr w14:paraId="3C39CB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2288" w:type="dxa"/>
            <w:vAlign w:val="center"/>
          </w:tcPr>
          <w:p w14:paraId="45DB89EF">
            <w:pPr>
              <w:spacing w:line="360" w:lineRule="auto"/>
              <w:ind w:firstLine="420" w:firstLineChars="200"/>
              <w:rPr>
                <w:rFonts w:ascii="宋体" w:hAnsi="宋体"/>
                <w:szCs w:val="21"/>
              </w:rPr>
            </w:pPr>
            <w:r>
              <w:rPr>
                <w:rFonts w:hint="eastAsia" w:ascii="宋体" w:hAnsi="宋体"/>
                <w:szCs w:val="21"/>
              </w:rPr>
              <w:t>承担的工作</w:t>
            </w:r>
          </w:p>
        </w:tc>
        <w:tc>
          <w:tcPr>
            <w:tcW w:w="6901" w:type="dxa"/>
            <w:vAlign w:val="center"/>
          </w:tcPr>
          <w:p w14:paraId="6F865090">
            <w:pPr>
              <w:spacing w:line="360" w:lineRule="auto"/>
              <w:ind w:firstLine="420" w:firstLineChars="200"/>
              <w:rPr>
                <w:rFonts w:ascii="宋体" w:hAnsi="宋体"/>
                <w:szCs w:val="21"/>
              </w:rPr>
            </w:pPr>
          </w:p>
        </w:tc>
      </w:tr>
      <w:tr w14:paraId="40DF52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2288" w:type="dxa"/>
            <w:vAlign w:val="center"/>
          </w:tcPr>
          <w:p w14:paraId="789B6CAD">
            <w:pPr>
              <w:spacing w:line="360" w:lineRule="auto"/>
              <w:ind w:firstLine="420" w:firstLineChars="200"/>
              <w:rPr>
                <w:rFonts w:ascii="宋体" w:hAnsi="宋体"/>
                <w:szCs w:val="21"/>
              </w:rPr>
            </w:pPr>
            <w:r>
              <w:rPr>
                <w:rFonts w:hint="eastAsia" w:ascii="宋体" w:hAnsi="宋体"/>
                <w:szCs w:val="21"/>
              </w:rPr>
              <w:t>质    量</w:t>
            </w:r>
          </w:p>
        </w:tc>
        <w:tc>
          <w:tcPr>
            <w:tcW w:w="6901" w:type="dxa"/>
            <w:vAlign w:val="center"/>
          </w:tcPr>
          <w:p w14:paraId="6B49898A">
            <w:pPr>
              <w:spacing w:line="360" w:lineRule="auto"/>
              <w:ind w:firstLine="420" w:firstLineChars="200"/>
              <w:rPr>
                <w:rFonts w:ascii="宋体" w:hAnsi="宋体"/>
                <w:szCs w:val="21"/>
              </w:rPr>
            </w:pPr>
          </w:p>
        </w:tc>
      </w:tr>
      <w:tr w14:paraId="3326EC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2288" w:type="dxa"/>
            <w:vAlign w:val="center"/>
          </w:tcPr>
          <w:p w14:paraId="223A5476">
            <w:pPr>
              <w:spacing w:line="360" w:lineRule="auto"/>
              <w:ind w:firstLine="420" w:firstLineChars="200"/>
              <w:rPr>
                <w:rFonts w:ascii="宋体" w:hAnsi="宋体"/>
                <w:szCs w:val="21"/>
              </w:rPr>
            </w:pPr>
            <w:r>
              <w:rPr>
                <w:rFonts w:hint="eastAsia" w:ascii="宋体" w:hAnsi="宋体"/>
                <w:szCs w:val="21"/>
              </w:rPr>
              <w:t>项目负责人</w:t>
            </w:r>
          </w:p>
        </w:tc>
        <w:tc>
          <w:tcPr>
            <w:tcW w:w="6901" w:type="dxa"/>
            <w:vAlign w:val="center"/>
          </w:tcPr>
          <w:p w14:paraId="2F641E5D">
            <w:pPr>
              <w:spacing w:line="360" w:lineRule="auto"/>
              <w:ind w:firstLine="420" w:firstLineChars="200"/>
              <w:rPr>
                <w:rFonts w:ascii="宋体" w:hAnsi="宋体"/>
                <w:szCs w:val="21"/>
              </w:rPr>
            </w:pPr>
          </w:p>
        </w:tc>
      </w:tr>
      <w:tr w14:paraId="15CBC8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4" w:hRule="atLeast"/>
        </w:trPr>
        <w:tc>
          <w:tcPr>
            <w:tcW w:w="2288" w:type="dxa"/>
            <w:vAlign w:val="center"/>
          </w:tcPr>
          <w:p w14:paraId="59EE872F">
            <w:pPr>
              <w:spacing w:line="360" w:lineRule="auto"/>
              <w:ind w:firstLine="420" w:firstLineChars="200"/>
              <w:rPr>
                <w:rFonts w:ascii="宋体" w:hAnsi="宋体"/>
                <w:szCs w:val="21"/>
              </w:rPr>
            </w:pPr>
            <w:r>
              <w:rPr>
                <w:rFonts w:hint="eastAsia" w:ascii="宋体" w:hAnsi="宋体"/>
                <w:szCs w:val="21"/>
              </w:rPr>
              <w:t>项目描述</w:t>
            </w:r>
          </w:p>
        </w:tc>
        <w:tc>
          <w:tcPr>
            <w:tcW w:w="6901" w:type="dxa"/>
            <w:vAlign w:val="center"/>
          </w:tcPr>
          <w:p w14:paraId="5B1C8C00">
            <w:pPr>
              <w:spacing w:line="360" w:lineRule="auto"/>
              <w:ind w:firstLine="420" w:firstLineChars="200"/>
              <w:rPr>
                <w:rFonts w:ascii="宋体" w:hAnsi="宋体"/>
                <w:szCs w:val="21"/>
              </w:rPr>
            </w:pPr>
          </w:p>
        </w:tc>
      </w:tr>
      <w:tr w14:paraId="7C25AE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66" w:hRule="atLeast"/>
        </w:trPr>
        <w:tc>
          <w:tcPr>
            <w:tcW w:w="2288" w:type="dxa"/>
            <w:vAlign w:val="center"/>
          </w:tcPr>
          <w:p w14:paraId="6E3A00ED">
            <w:pPr>
              <w:spacing w:line="360" w:lineRule="auto"/>
              <w:ind w:firstLine="420" w:firstLineChars="200"/>
              <w:rPr>
                <w:rFonts w:ascii="宋体" w:hAnsi="宋体"/>
                <w:szCs w:val="21"/>
              </w:rPr>
            </w:pPr>
            <w:r>
              <w:rPr>
                <w:rFonts w:hint="eastAsia" w:ascii="宋体" w:hAnsi="宋体"/>
                <w:szCs w:val="21"/>
              </w:rPr>
              <w:t>备注</w:t>
            </w:r>
          </w:p>
        </w:tc>
        <w:tc>
          <w:tcPr>
            <w:tcW w:w="6901" w:type="dxa"/>
            <w:vAlign w:val="center"/>
          </w:tcPr>
          <w:p w14:paraId="608BFC78">
            <w:pPr>
              <w:spacing w:line="360" w:lineRule="auto"/>
              <w:ind w:firstLine="420" w:firstLineChars="200"/>
              <w:rPr>
                <w:rFonts w:ascii="宋体" w:hAnsi="宋体"/>
                <w:szCs w:val="21"/>
              </w:rPr>
            </w:pPr>
          </w:p>
        </w:tc>
      </w:tr>
    </w:tbl>
    <w:p w14:paraId="4840F25B">
      <w:pPr>
        <w:autoSpaceDE w:val="0"/>
        <w:autoSpaceDN w:val="0"/>
        <w:adjustRightInd w:val="0"/>
        <w:spacing w:line="440" w:lineRule="exact"/>
        <w:rPr>
          <w:rFonts w:ascii="宋体" w:hAnsi="宋体" w:cs="黑体"/>
          <w:kern w:val="0"/>
          <w:szCs w:val="21"/>
        </w:rPr>
        <w:sectPr>
          <w:pgSz w:w="11906" w:h="16838"/>
          <w:pgMar w:top="1418" w:right="1134" w:bottom="1418" w:left="1134" w:header="851" w:footer="992" w:gutter="0"/>
          <w:cols w:space="720" w:num="1"/>
          <w:docGrid w:type="lines" w:linePitch="312" w:charSpace="0"/>
        </w:sectPr>
      </w:pPr>
      <w:r>
        <w:rPr>
          <w:rFonts w:hint="eastAsia" w:ascii="宋体" w:hAnsi="宋体" w:cs="黑体"/>
          <w:kern w:val="0"/>
          <w:szCs w:val="21"/>
        </w:rPr>
        <w:t>填表说明：业绩要求应与招标文件要求一致，每个项目填一张表。</w:t>
      </w:r>
    </w:p>
    <w:p w14:paraId="3BA6A28F">
      <w:pPr>
        <w:pStyle w:val="4"/>
        <w:ind w:firstLine="103"/>
        <w:rPr>
          <w:rFonts w:ascii="宋体"/>
          <w:sz w:val="21"/>
          <w:szCs w:val="21"/>
        </w:rPr>
      </w:pPr>
      <w:bookmarkStart w:id="447" w:name="_Toc152042599"/>
      <w:bookmarkStart w:id="448" w:name="_Toc247527850"/>
      <w:bookmarkStart w:id="449" w:name="_Toc152045810"/>
      <w:bookmarkStart w:id="450" w:name="_Toc247514302"/>
      <w:bookmarkStart w:id="451" w:name="_Toc144974878"/>
      <w:bookmarkStart w:id="452" w:name="_Toc25051"/>
      <w:r>
        <w:rPr>
          <w:rFonts w:ascii="宋体"/>
          <w:sz w:val="21"/>
          <w:szCs w:val="21"/>
        </w:rPr>
        <w:t>（三）</w:t>
      </w:r>
      <w:bookmarkEnd w:id="447"/>
      <w:bookmarkEnd w:id="448"/>
      <w:bookmarkEnd w:id="449"/>
      <w:bookmarkEnd w:id="450"/>
      <w:bookmarkEnd w:id="451"/>
      <w:r>
        <w:rPr>
          <w:rFonts w:hint="eastAsia" w:ascii="宋体"/>
          <w:sz w:val="21"/>
          <w:szCs w:val="21"/>
        </w:rPr>
        <w:t>项目负责人基本情况表</w:t>
      </w:r>
      <w:bookmarkEnd w:id="452"/>
    </w:p>
    <w:tbl>
      <w:tblPr>
        <w:tblStyle w:val="3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1454"/>
        <w:gridCol w:w="643"/>
        <w:gridCol w:w="1047"/>
        <w:gridCol w:w="729"/>
        <w:gridCol w:w="941"/>
        <w:gridCol w:w="1469"/>
        <w:gridCol w:w="211"/>
        <w:gridCol w:w="2496"/>
      </w:tblGrid>
      <w:tr w14:paraId="128254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00" w:hRule="exact"/>
          <w:jc w:val="center"/>
        </w:trPr>
        <w:tc>
          <w:tcPr>
            <w:tcW w:w="1454" w:type="dxa"/>
            <w:vAlign w:val="center"/>
          </w:tcPr>
          <w:p w14:paraId="74589CF0">
            <w:pPr>
              <w:jc w:val="center"/>
              <w:rPr>
                <w:rFonts w:ascii="宋体" w:hAnsi="宋体"/>
                <w:sz w:val="24"/>
              </w:rPr>
            </w:pPr>
            <w:r>
              <w:rPr>
                <w:rFonts w:hint="eastAsia" w:ascii="宋体" w:hAnsi="宋体"/>
                <w:sz w:val="24"/>
              </w:rPr>
              <w:t>姓  名</w:t>
            </w:r>
          </w:p>
        </w:tc>
        <w:tc>
          <w:tcPr>
            <w:tcW w:w="1690" w:type="dxa"/>
            <w:gridSpan w:val="2"/>
            <w:vAlign w:val="center"/>
          </w:tcPr>
          <w:p w14:paraId="1F3C8FC2">
            <w:pPr>
              <w:jc w:val="center"/>
              <w:rPr>
                <w:rFonts w:ascii="宋体" w:hAnsi="宋体"/>
                <w:sz w:val="24"/>
              </w:rPr>
            </w:pPr>
          </w:p>
        </w:tc>
        <w:tc>
          <w:tcPr>
            <w:tcW w:w="729" w:type="dxa"/>
            <w:vAlign w:val="center"/>
          </w:tcPr>
          <w:p w14:paraId="5C067992">
            <w:pPr>
              <w:jc w:val="center"/>
              <w:rPr>
                <w:rFonts w:ascii="宋体" w:hAnsi="宋体"/>
                <w:sz w:val="24"/>
              </w:rPr>
            </w:pPr>
            <w:r>
              <w:rPr>
                <w:rFonts w:hint="eastAsia" w:ascii="宋体" w:hAnsi="宋体"/>
                <w:sz w:val="24"/>
              </w:rPr>
              <w:t>性</w:t>
            </w:r>
            <w:r>
              <w:rPr>
                <w:rFonts w:hint="eastAsia" w:ascii="宋体" w:hAnsi="宋体" w:cs="宋体"/>
                <w:sz w:val="24"/>
              </w:rPr>
              <w:t>别</w:t>
            </w:r>
          </w:p>
        </w:tc>
        <w:tc>
          <w:tcPr>
            <w:tcW w:w="941" w:type="dxa"/>
            <w:vAlign w:val="center"/>
          </w:tcPr>
          <w:p w14:paraId="10587F3F">
            <w:pPr>
              <w:jc w:val="center"/>
              <w:rPr>
                <w:rFonts w:ascii="宋体" w:hAnsi="宋体"/>
                <w:sz w:val="24"/>
              </w:rPr>
            </w:pPr>
          </w:p>
        </w:tc>
        <w:tc>
          <w:tcPr>
            <w:tcW w:w="1680" w:type="dxa"/>
            <w:gridSpan w:val="2"/>
            <w:vAlign w:val="center"/>
          </w:tcPr>
          <w:p w14:paraId="4D8A38CF">
            <w:pPr>
              <w:jc w:val="center"/>
              <w:rPr>
                <w:rFonts w:ascii="宋体" w:hAnsi="宋体"/>
                <w:sz w:val="24"/>
              </w:rPr>
            </w:pPr>
            <w:r>
              <w:rPr>
                <w:rFonts w:hint="eastAsia" w:ascii="宋体" w:hAnsi="宋体"/>
                <w:sz w:val="24"/>
              </w:rPr>
              <w:t>出生</w:t>
            </w:r>
          </w:p>
          <w:p w14:paraId="6C69C1D8">
            <w:pPr>
              <w:jc w:val="center"/>
              <w:rPr>
                <w:rFonts w:ascii="宋体" w:hAnsi="宋体"/>
                <w:sz w:val="24"/>
              </w:rPr>
            </w:pPr>
            <w:r>
              <w:rPr>
                <w:rFonts w:hint="eastAsia" w:ascii="宋体" w:hAnsi="宋体"/>
                <w:sz w:val="24"/>
              </w:rPr>
              <w:t>日期</w:t>
            </w:r>
          </w:p>
        </w:tc>
        <w:tc>
          <w:tcPr>
            <w:tcW w:w="2496" w:type="dxa"/>
            <w:vAlign w:val="center"/>
          </w:tcPr>
          <w:p w14:paraId="1C8E2834">
            <w:pPr>
              <w:jc w:val="center"/>
              <w:rPr>
                <w:rFonts w:ascii="宋体" w:hAnsi="宋体"/>
                <w:sz w:val="24"/>
              </w:rPr>
            </w:pPr>
            <w:r>
              <w:rPr>
                <w:rFonts w:hint="eastAsia" w:ascii="宋体" w:hAnsi="宋体"/>
                <w:sz w:val="24"/>
              </w:rPr>
              <w:t>年  月  日</w:t>
            </w:r>
          </w:p>
        </w:tc>
      </w:tr>
      <w:tr w14:paraId="612532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40" w:hRule="exact"/>
          <w:jc w:val="center"/>
        </w:trPr>
        <w:tc>
          <w:tcPr>
            <w:tcW w:w="1454" w:type="dxa"/>
            <w:vAlign w:val="center"/>
          </w:tcPr>
          <w:p w14:paraId="067B289A">
            <w:pPr>
              <w:jc w:val="center"/>
              <w:rPr>
                <w:rFonts w:ascii="宋体" w:hAnsi="宋体"/>
                <w:sz w:val="24"/>
              </w:rPr>
            </w:pPr>
            <w:r>
              <w:rPr>
                <w:rFonts w:hint="eastAsia" w:ascii="宋体" w:hAnsi="宋体" w:cs="宋体"/>
                <w:sz w:val="24"/>
              </w:rPr>
              <w:t>毕业</w:t>
            </w:r>
            <w:r>
              <w:rPr>
                <w:rFonts w:hint="eastAsia" w:ascii="宋体" w:hAnsi="宋体"/>
                <w:sz w:val="24"/>
              </w:rPr>
              <w:t xml:space="preserve">院校及    </w:t>
            </w:r>
            <w:r>
              <w:rPr>
                <w:rFonts w:hint="eastAsia" w:ascii="宋体" w:hAnsi="宋体" w:cs="宋体"/>
                <w:sz w:val="24"/>
              </w:rPr>
              <w:t>专业</w:t>
            </w:r>
          </w:p>
          <w:p w14:paraId="7C2BB148">
            <w:pPr>
              <w:jc w:val="center"/>
              <w:rPr>
                <w:rFonts w:ascii="宋体" w:hAnsi="宋体"/>
                <w:sz w:val="24"/>
              </w:rPr>
            </w:pPr>
          </w:p>
        </w:tc>
        <w:tc>
          <w:tcPr>
            <w:tcW w:w="3360" w:type="dxa"/>
            <w:gridSpan w:val="4"/>
            <w:vAlign w:val="center"/>
          </w:tcPr>
          <w:p w14:paraId="3B2CFE2E">
            <w:pPr>
              <w:jc w:val="center"/>
              <w:rPr>
                <w:rFonts w:ascii="宋体" w:hAnsi="宋体"/>
                <w:sz w:val="24"/>
              </w:rPr>
            </w:pPr>
          </w:p>
        </w:tc>
        <w:tc>
          <w:tcPr>
            <w:tcW w:w="1680" w:type="dxa"/>
            <w:gridSpan w:val="2"/>
            <w:vAlign w:val="center"/>
          </w:tcPr>
          <w:p w14:paraId="17E7ADC4">
            <w:pPr>
              <w:jc w:val="center"/>
              <w:rPr>
                <w:rFonts w:ascii="宋体" w:hAnsi="宋体"/>
                <w:sz w:val="24"/>
              </w:rPr>
            </w:pPr>
            <w:r>
              <w:rPr>
                <w:rFonts w:hint="eastAsia" w:ascii="宋体" w:hAnsi="宋体" w:cs="宋体"/>
                <w:sz w:val="24"/>
              </w:rPr>
              <w:t>毕业</w:t>
            </w:r>
          </w:p>
          <w:p w14:paraId="3688E7C4">
            <w:pPr>
              <w:jc w:val="center"/>
              <w:rPr>
                <w:rFonts w:ascii="宋体" w:hAnsi="宋体"/>
                <w:sz w:val="24"/>
              </w:rPr>
            </w:pPr>
            <w:r>
              <w:rPr>
                <w:rFonts w:hint="eastAsia" w:ascii="宋体" w:hAnsi="宋体" w:cs="宋体"/>
                <w:sz w:val="24"/>
              </w:rPr>
              <w:t>时间</w:t>
            </w:r>
          </w:p>
        </w:tc>
        <w:tc>
          <w:tcPr>
            <w:tcW w:w="2496" w:type="dxa"/>
            <w:vAlign w:val="center"/>
          </w:tcPr>
          <w:p w14:paraId="2926F17E">
            <w:pPr>
              <w:jc w:val="center"/>
              <w:rPr>
                <w:rFonts w:ascii="宋体" w:hAnsi="宋体"/>
                <w:sz w:val="24"/>
              </w:rPr>
            </w:pPr>
            <w:r>
              <w:rPr>
                <w:rFonts w:hint="eastAsia" w:ascii="宋体" w:hAnsi="宋体"/>
                <w:sz w:val="24"/>
              </w:rPr>
              <w:t>年  月  日</w:t>
            </w:r>
          </w:p>
        </w:tc>
      </w:tr>
      <w:tr w14:paraId="05F519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40" w:hRule="exact"/>
          <w:jc w:val="center"/>
        </w:trPr>
        <w:tc>
          <w:tcPr>
            <w:tcW w:w="1454" w:type="dxa"/>
            <w:vAlign w:val="center"/>
          </w:tcPr>
          <w:p w14:paraId="15557765">
            <w:pPr>
              <w:jc w:val="center"/>
              <w:rPr>
                <w:rFonts w:ascii="宋体" w:hAnsi="宋体"/>
                <w:sz w:val="24"/>
              </w:rPr>
            </w:pPr>
            <w:r>
              <w:rPr>
                <w:rFonts w:hint="eastAsia" w:ascii="宋体" w:hAnsi="宋体"/>
                <w:sz w:val="24"/>
              </w:rPr>
              <w:t>从事本</w:t>
            </w:r>
            <w:r>
              <w:rPr>
                <w:rFonts w:hint="eastAsia" w:ascii="宋体" w:hAnsi="宋体" w:cs="宋体"/>
                <w:sz w:val="24"/>
              </w:rPr>
              <w:t>专业时间</w:t>
            </w:r>
          </w:p>
          <w:p w14:paraId="7337E7BA">
            <w:pPr>
              <w:jc w:val="center"/>
              <w:rPr>
                <w:rFonts w:ascii="宋体" w:hAnsi="宋体"/>
                <w:sz w:val="24"/>
              </w:rPr>
            </w:pPr>
          </w:p>
        </w:tc>
        <w:tc>
          <w:tcPr>
            <w:tcW w:w="3360" w:type="dxa"/>
            <w:gridSpan w:val="4"/>
            <w:vAlign w:val="center"/>
          </w:tcPr>
          <w:p w14:paraId="2B88B8CA">
            <w:pPr>
              <w:jc w:val="center"/>
              <w:rPr>
                <w:rFonts w:ascii="宋体" w:hAnsi="宋体"/>
                <w:sz w:val="24"/>
              </w:rPr>
            </w:pPr>
          </w:p>
        </w:tc>
        <w:tc>
          <w:tcPr>
            <w:tcW w:w="1680" w:type="dxa"/>
            <w:gridSpan w:val="2"/>
            <w:vAlign w:val="center"/>
          </w:tcPr>
          <w:p w14:paraId="18515F3B">
            <w:pPr>
              <w:jc w:val="center"/>
              <w:rPr>
                <w:rFonts w:ascii="宋体" w:hAnsi="宋体"/>
                <w:sz w:val="24"/>
              </w:rPr>
            </w:pPr>
            <w:r>
              <w:rPr>
                <w:rFonts w:hint="eastAsia" w:ascii="宋体" w:hAnsi="宋体" w:cs="宋体"/>
                <w:sz w:val="24"/>
              </w:rPr>
              <w:t>为</w:t>
            </w:r>
            <w:r>
              <w:rPr>
                <w:rFonts w:hint="eastAsia" w:ascii="宋体" w:hAnsi="宋体"/>
                <w:sz w:val="24"/>
              </w:rPr>
              <w:t>申</w:t>
            </w:r>
            <w:r>
              <w:rPr>
                <w:rFonts w:hint="eastAsia" w:ascii="宋体" w:hAnsi="宋体" w:cs="宋体"/>
                <w:sz w:val="24"/>
              </w:rPr>
              <w:t>请</w:t>
            </w:r>
            <w:r>
              <w:rPr>
                <w:rFonts w:hint="eastAsia" w:ascii="宋体" w:hAnsi="宋体"/>
                <w:sz w:val="24"/>
              </w:rPr>
              <w:t>人服</w:t>
            </w:r>
            <w:r>
              <w:rPr>
                <w:rFonts w:hint="eastAsia" w:ascii="宋体" w:hAnsi="宋体" w:cs="宋体"/>
                <w:sz w:val="24"/>
              </w:rPr>
              <w:t>务时间</w:t>
            </w:r>
          </w:p>
          <w:p w14:paraId="31ADEEC9">
            <w:pPr>
              <w:jc w:val="center"/>
              <w:rPr>
                <w:rFonts w:ascii="宋体" w:hAnsi="宋体"/>
                <w:sz w:val="24"/>
              </w:rPr>
            </w:pPr>
          </w:p>
        </w:tc>
        <w:tc>
          <w:tcPr>
            <w:tcW w:w="2496" w:type="dxa"/>
            <w:vAlign w:val="center"/>
          </w:tcPr>
          <w:p w14:paraId="62A1C1D0">
            <w:pPr>
              <w:jc w:val="center"/>
              <w:rPr>
                <w:rFonts w:ascii="宋体" w:hAnsi="宋体"/>
                <w:sz w:val="24"/>
              </w:rPr>
            </w:pPr>
          </w:p>
        </w:tc>
      </w:tr>
      <w:tr w14:paraId="7595CB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49" w:hRule="exact"/>
          <w:jc w:val="center"/>
        </w:trPr>
        <w:tc>
          <w:tcPr>
            <w:tcW w:w="1454" w:type="dxa"/>
            <w:vAlign w:val="center"/>
          </w:tcPr>
          <w:p w14:paraId="01052135">
            <w:pPr>
              <w:jc w:val="center"/>
              <w:rPr>
                <w:rFonts w:ascii="宋体" w:hAnsi="宋体"/>
                <w:sz w:val="24"/>
              </w:rPr>
            </w:pPr>
            <w:r>
              <w:rPr>
                <w:rFonts w:hint="eastAsia" w:ascii="宋体" w:hAnsi="宋体" w:cs="宋体"/>
                <w:sz w:val="24"/>
              </w:rPr>
              <w:t>职称</w:t>
            </w:r>
          </w:p>
        </w:tc>
        <w:tc>
          <w:tcPr>
            <w:tcW w:w="3360" w:type="dxa"/>
            <w:gridSpan w:val="4"/>
            <w:vAlign w:val="center"/>
          </w:tcPr>
          <w:p w14:paraId="5ACDC32E">
            <w:pPr>
              <w:jc w:val="center"/>
              <w:rPr>
                <w:rFonts w:ascii="宋体" w:hAnsi="宋体"/>
                <w:sz w:val="24"/>
              </w:rPr>
            </w:pPr>
          </w:p>
        </w:tc>
        <w:tc>
          <w:tcPr>
            <w:tcW w:w="1680" w:type="dxa"/>
            <w:gridSpan w:val="2"/>
            <w:vAlign w:val="center"/>
          </w:tcPr>
          <w:p w14:paraId="38BF904F">
            <w:pPr>
              <w:jc w:val="center"/>
              <w:rPr>
                <w:rFonts w:ascii="宋体" w:hAnsi="宋体"/>
                <w:sz w:val="24"/>
              </w:rPr>
            </w:pPr>
            <w:r>
              <w:rPr>
                <w:rFonts w:hint="eastAsia" w:ascii="宋体" w:hAnsi="宋体" w:cs="宋体"/>
                <w:sz w:val="24"/>
              </w:rPr>
              <w:t>职称证书号</w:t>
            </w:r>
          </w:p>
        </w:tc>
        <w:tc>
          <w:tcPr>
            <w:tcW w:w="2496" w:type="dxa"/>
            <w:vAlign w:val="center"/>
          </w:tcPr>
          <w:p w14:paraId="15FB6585">
            <w:pPr>
              <w:jc w:val="center"/>
              <w:rPr>
                <w:rFonts w:ascii="宋体" w:hAnsi="宋体"/>
                <w:sz w:val="24"/>
              </w:rPr>
            </w:pPr>
          </w:p>
        </w:tc>
      </w:tr>
      <w:tr w14:paraId="602027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40" w:hRule="exact"/>
          <w:jc w:val="center"/>
        </w:trPr>
        <w:tc>
          <w:tcPr>
            <w:tcW w:w="1454" w:type="dxa"/>
            <w:vAlign w:val="center"/>
          </w:tcPr>
          <w:p w14:paraId="79933F23">
            <w:pPr>
              <w:jc w:val="center"/>
              <w:rPr>
                <w:rFonts w:ascii="宋体" w:hAnsi="宋体"/>
                <w:sz w:val="24"/>
              </w:rPr>
            </w:pPr>
            <w:r>
              <w:rPr>
                <w:rFonts w:hint="eastAsia" w:ascii="宋体" w:hAnsi="宋体"/>
                <w:sz w:val="24"/>
              </w:rPr>
              <w:t>在本</w:t>
            </w:r>
            <w:r>
              <w:rPr>
                <w:rFonts w:hint="eastAsia" w:ascii="宋体" w:hAnsi="宋体" w:cs="宋体"/>
                <w:sz w:val="24"/>
              </w:rPr>
              <w:t>项</w:t>
            </w:r>
            <w:r>
              <w:rPr>
                <w:rFonts w:hint="eastAsia" w:ascii="宋体" w:hAnsi="宋体"/>
                <w:sz w:val="24"/>
              </w:rPr>
              <w:t>目中  担任任</w:t>
            </w:r>
            <w:r>
              <w:rPr>
                <w:rFonts w:hint="eastAsia" w:ascii="宋体" w:hAnsi="宋体" w:cs="宋体"/>
                <w:sz w:val="24"/>
              </w:rPr>
              <w:t>务</w:t>
            </w:r>
          </w:p>
          <w:p w14:paraId="76212795">
            <w:pPr>
              <w:jc w:val="center"/>
              <w:rPr>
                <w:rFonts w:ascii="宋体" w:hAnsi="宋体"/>
                <w:sz w:val="24"/>
              </w:rPr>
            </w:pPr>
          </w:p>
        </w:tc>
        <w:tc>
          <w:tcPr>
            <w:tcW w:w="7536" w:type="dxa"/>
            <w:gridSpan w:val="7"/>
            <w:vAlign w:val="center"/>
          </w:tcPr>
          <w:p w14:paraId="2E1C4C78">
            <w:pPr>
              <w:jc w:val="center"/>
              <w:rPr>
                <w:rFonts w:ascii="宋体" w:hAnsi="宋体"/>
                <w:sz w:val="24"/>
              </w:rPr>
            </w:pPr>
          </w:p>
        </w:tc>
      </w:tr>
      <w:tr w14:paraId="568AC8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00" w:hRule="exact"/>
          <w:jc w:val="center"/>
        </w:trPr>
        <w:tc>
          <w:tcPr>
            <w:tcW w:w="1454" w:type="dxa"/>
            <w:vMerge w:val="restart"/>
            <w:vAlign w:val="center"/>
          </w:tcPr>
          <w:p w14:paraId="0ED94B75">
            <w:pPr>
              <w:jc w:val="center"/>
              <w:rPr>
                <w:rFonts w:ascii="宋体" w:hAnsi="宋体"/>
                <w:sz w:val="24"/>
              </w:rPr>
            </w:pPr>
            <w:r>
              <w:rPr>
                <w:rFonts w:hint="eastAsia" w:ascii="宋体" w:hAnsi="宋体"/>
                <w:sz w:val="24"/>
              </w:rPr>
              <w:t>本</w:t>
            </w:r>
          </w:p>
          <w:p w14:paraId="6994D5F1">
            <w:pPr>
              <w:jc w:val="center"/>
              <w:rPr>
                <w:rFonts w:ascii="宋体" w:hAnsi="宋体"/>
                <w:sz w:val="24"/>
              </w:rPr>
            </w:pPr>
            <w:r>
              <w:rPr>
                <w:rFonts w:hint="eastAsia" w:ascii="宋体" w:hAnsi="宋体"/>
                <w:sz w:val="24"/>
              </w:rPr>
              <w:t>人</w:t>
            </w:r>
          </w:p>
          <w:p w14:paraId="5A90C5E6">
            <w:pPr>
              <w:jc w:val="center"/>
              <w:rPr>
                <w:rFonts w:ascii="宋体" w:hAnsi="宋体"/>
                <w:sz w:val="24"/>
              </w:rPr>
            </w:pPr>
            <w:r>
              <w:rPr>
                <w:rFonts w:hint="eastAsia" w:ascii="宋体" w:hAnsi="宋体"/>
                <w:sz w:val="24"/>
              </w:rPr>
              <w:t>主</w:t>
            </w:r>
          </w:p>
          <w:p w14:paraId="7ED17DF0">
            <w:pPr>
              <w:jc w:val="center"/>
              <w:rPr>
                <w:rFonts w:ascii="宋体" w:hAnsi="宋体"/>
                <w:sz w:val="24"/>
              </w:rPr>
            </w:pPr>
            <w:r>
              <w:rPr>
                <w:rFonts w:hint="eastAsia" w:ascii="宋体" w:hAnsi="宋体"/>
                <w:sz w:val="24"/>
              </w:rPr>
              <w:t>要</w:t>
            </w:r>
          </w:p>
          <w:p w14:paraId="251A3E95">
            <w:pPr>
              <w:jc w:val="center"/>
              <w:rPr>
                <w:rFonts w:ascii="宋体" w:hAnsi="宋体"/>
                <w:sz w:val="24"/>
              </w:rPr>
            </w:pPr>
            <w:r>
              <w:rPr>
                <w:rFonts w:hint="eastAsia" w:ascii="宋体" w:hAnsi="宋体" w:cs="宋体"/>
                <w:sz w:val="24"/>
              </w:rPr>
              <w:t>设</w:t>
            </w:r>
          </w:p>
          <w:p w14:paraId="1DD9DA83">
            <w:pPr>
              <w:jc w:val="center"/>
              <w:rPr>
                <w:rFonts w:ascii="宋体" w:hAnsi="宋体"/>
                <w:sz w:val="24"/>
              </w:rPr>
            </w:pPr>
            <w:r>
              <w:rPr>
                <w:rFonts w:hint="eastAsia" w:ascii="宋体" w:hAnsi="宋体" w:cs="宋体"/>
                <w:sz w:val="24"/>
              </w:rPr>
              <w:t>计</w:t>
            </w:r>
          </w:p>
          <w:p w14:paraId="623C76A0">
            <w:pPr>
              <w:jc w:val="center"/>
              <w:rPr>
                <w:rFonts w:ascii="宋体" w:hAnsi="宋体"/>
                <w:sz w:val="24"/>
              </w:rPr>
            </w:pPr>
            <w:r>
              <w:rPr>
                <w:rFonts w:hint="eastAsia" w:ascii="宋体" w:hAnsi="宋体"/>
                <w:sz w:val="24"/>
              </w:rPr>
              <w:t>成</w:t>
            </w:r>
          </w:p>
          <w:p w14:paraId="70915F51">
            <w:pPr>
              <w:jc w:val="center"/>
              <w:rPr>
                <w:rFonts w:ascii="宋体" w:hAnsi="宋体"/>
                <w:sz w:val="24"/>
              </w:rPr>
            </w:pPr>
            <w:r>
              <w:rPr>
                <w:rFonts w:hint="eastAsia" w:ascii="宋体" w:hAnsi="宋体"/>
                <w:sz w:val="24"/>
              </w:rPr>
              <w:t>果</w:t>
            </w:r>
          </w:p>
          <w:p w14:paraId="1989B8F4">
            <w:pPr>
              <w:jc w:val="center"/>
              <w:rPr>
                <w:rFonts w:ascii="宋体" w:hAnsi="宋体"/>
                <w:sz w:val="24"/>
              </w:rPr>
            </w:pPr>
          </w:p>
        </w:tc>
        <w:tc>
          <w:tcPr>
            <w:tcW w:w="643" w:type="dxa"/>
            <w:vAlign w:val="center"/>
          </w:tcPr>
          <w:p w14:paraId="42B53F56">
            <w:pPr>
              <w:jc w:val="center"/>
              <w:rPr>
                <w:rFonts w:ascii="宋体" w:hAnsi="宋体"/>
                <w:sz w:val="24"/>
              </w:rPr>
            </w:pPr>
            <w:r>
              <w:rPr>
                <w:rFonts w:hint="eastAsia" w:ascii="宋体" w:hAnsi="宋体"/>
                <w:sz w:val="24"/>
              </w:rPr>
              <w:t>1</w:t>
            </w:r>
          </w:p>
          <w:p w14:paraId="22A2FF69">
            <w:pPr>
              <w:jc w:val="center"/>
              <w:rPr>
                <w:rFonts w:ascii="宋体" w:hAnsi="宋体"/>
                <w:sz w:val="24"/>
              </w:rPr>
            </w:pPr>
          </w:p>
        </w:tc>
        <w:tc>
          <w:tcPr>
            <w:tcW w:w="2717" w:type="dxa"/>
            <w:gridSpan w:val="3"/>
            <w:vAlign w:val="center"/>
          </w:tcPr>
          <w:p w14:paraId="146E0D50">
            <w:pPr>
              <w:jc w:val="center"/>
              <w:rPr>
                <w:rFonts w:ascii="宋体" w:hAnsi="宋体"/>
                <w:sz w:val="24"/>
              </w:rPr>
            </w:pPr>
            <w:r>
              <w:rPr>
                <w:rFonts w:hint="eastAsia" w:ascii="宋体" w:hAnsi="宋体"/>
                <w:sz w:val="24"/>
              </w:rPr>
              <w:t>工程</w:t>
            </w:r>
            <w:r>
              <w:rPr>
                <w:rFonts w:hint="eastAsia" w:ascii="宋体" w:hAnsi="宋体" w:cs="宋体"/>
                <w:sz w:val="24"/>
              </w:rPr>
              <w:t>项</w:t>
            </w:r>
            <w:r>
              <w:rPr>
                <w:rFonts w:hint="eastAsia" w:ascii="宋体" w:hAnsi="宋体"/>
                <w:sz w:val="24"/>
              </w:rPr>
              <w:t>目名称及</w:t>
            </w:r>
            <w:r>
              <w:rPr>
                <w:rFonts w:hint="eastAsia" w:ascii="宋体" w:hAnsi="宋体" w:cs="宋体"/>
                <w:sz w:val="24"/>
              </w:rPr>
              <w:t>规</w:t>
            </w:r>
            <w:r>
              <w:rPr>
                <w:rFonts w:hint="eastAsia" w:ascii="宋体" w:hAnsi="宋体"/>
                <w:sz w:val="24"/>
              </w:rPr>
              <w:t>模</w:t>
            </w:r>
          </w:p>
          <w:p w14:paraId="6FBC568A">
            <w:pPr>
              <w:jc w:val="center"/>
              <w:rPr>
                <w:rFonts w:ascii="宋体" w:hAnsi="宋体"/>
                <w:sz w:val="24"/>
              </w:rPr>
            </w:pPr>
          </w:p>
        </w:tc>
        <w:tc>
          <w:tcPr>
            <w:tcW w:w="1469" w:type="dxa"/>
            <w:vAlign w:val="center"/>
          </w:tcPr>
          <w:p w14:paraId="7005792B">
            <w:pPr>
              <w:jc w:val="center"/>
              <w:rPr>
                <w:rFonts w:ascii="宋体" w:hAnsi="宋体"/>
                <w:sz w:val="24"/>
              </w:rPr>
            </w:pPr>
            <w:r>
              <w:rPr>
                <w:rFonts w:hint="eastAsia" w:ascii="宋体" w:hAnsi="宋体"/>
                <w:sz w:val="24"/>
              </w:rPr>
              <w:t>时间</w:t>
            </w:r>
          </w:p>
        </w:tc>
        <w:tc>
          <w:tcPr>
            <w:tcW w:w="2707" w:type="dxa"/>
            <w:gridSpan w:val="2"/>
            <w:vAlign w:val="center"/>
          </w:tcPr>
          <w:p w14:paraId="737C4B6A">
            <w:pPr>
              <w:jc w:val="center"/>
              <w:rPr>
                <w:rFonts w:ascii="宋体" w:hAnsi="宋体"/>
                <w:sz w:val="24"/>
              </w:rPr>
            </w:pPr>
            <w:r>
              <w:rPr>
                <w:rFonts w:hint="eastAsia" w:ascii="宋体" w:hAnsi="宋体"/>
                <w:sz w:val="24"/>
              </w:rPr>
              <w:t>在</w:t>
            </w:r>
            <w:r>
              <w:rPr>
                <w:rFonts w:hint="eastAsia" w:ascii="宋体" w:hAnsi="宋体" w:cs="宋体"/>
                <w:sz w:val="24"/>
              </w:rPr>
              <w:t>该项</w:t>
            </w:r>
            <w:r>
              <w:rPr>
                <w:rFonts w:hint="eastAsia" w:ascii="宋体" w:hAnsi="宋体"/>
                <w:sz w:val="24"/>
              </w:rPr>
              <w:t>目中任何</w:t>
            </w:r>
            <w:r>
              <w:rPr>
                <w:rFonts w:hint="eastAsia" w:ascii="宋体" w:hAnsi="宋体" w:cs="宋体"/>
                <w:sz w:val="24"/>
              </w:rPr>
              <w:t>职</w:t>
            </w:r>
          </w:p>
          <w:p w14:paraId="0C866902">
            <w:pPr>
              <w:jc w:val="center"/>
              <w:rPr>
                <w:rFonts w:ascii="宋体" w:hAnsi="宋体"/>
                <w:sz w:val="24"/>
              </w:rPr>
            </w:pPr>
          </w:p>
        </w:tc>
      </w:tr>
      <w:tr w14:paraId="21765C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exact"/>
          <w:jc w:val="center"/>
        </w:trPr>
        <w:tc>
          <w:tcPr>
            <w:tcW w:w="1454" w:type="dxa"/>
            <w:vMerge w:val="continue"/>
            <w:vAlign w:val="center"/>
          </w:tcPr>
          <w:p w14:paraId="6E513437">
            <w:pPr>
              <w:jc w:val="center"/>
              <w:rPr>
                <w:rFonts w:ascii="宋体" w:hAnsi="宋体"/>
                <w:sz w:val="24"/>
              </w:rPr>
            </w:pPr>
          </w:p>
        </w:tc>
        <w:tc>
          <w:tcPr>
            <w:tcW w:w="643" w:type="dxa"/>
            <w:vAlign w:val="center"/>
          </w:tcPr>
          <w:p w14:paraId="5829B65F">
            <w:pPr>
              <w:jc w:val="center"/>
              <w:rPr>
                <w:rFonts w:ascii="宋体" w:hAnsi="宋体"/>
                <w:sz w:val="24"/>
              </w:rPr>
            </w:pPr>
            <w:r>
              <w:rPr>
                <w:rFonts w:hint="eastAsia" w:ascii="宋体" w:hAnsi="宋体"/>
                <w:sz w:val="24"/>
              </w:rPr>
              <w:t>2</w:t>
            </w:r>
          </w:p>
          <w:p w14:paraId="7C5D0A22">
            <w:pPr>
              <w:jc w:val="center"/>
              <w:rPr>
                <w:rFonts w:ascii="宋体" w:hAnsi="宋体"/>
                <w:sz w:val="24"/>
              </w:rPr>
            </w:pPr>
          </w:p>
        </w:tc>
        <w:tc>
          <w:tcPr>
            <w:tcW w:w="2717" w:type="dxa"/>
            <w:gridSpan w:val="3"/>
            <w:vAlign w:val="center"/>
          </w:tcPr>
          <w:p w14:paraId="15947DD4">
            <w:pPr>
              <w:jc w:val="center"/>
              <w:rPr>
                <w:rFonts w:ascii="宋体" w:hAnsi="宋体"/>
                <w:sz w:val="24"/>
              </w:rPr>
            </w:pPr>
          </w:p>
        </w:tc>
        <w:tc>
          <w:tcPr>
            <w:tcW w:w="1469" w:type="dxa"/>
            <w:vAlign w:val="center"/>
          </w:tcPr>
          <w:p w14:paraId="704050E6">
            <w:pPr>
              <w:jc w:val="center"/>
              <w:rPr>
                <w:rFonts w:ascii="宋体" w:hAnsi="宋体"/>
                <w:sz w:val="24"/>
              </w:rPr>
            </w:pPr>
          </w:p>
        </w:tc>
        <w:tc>
          <w:tcPr>
            <w:tcW w:w="2707" w:type="dxa"/>
            <w:gridSpan w:val="2"/>
            <w:vAlign w:val="center"/>
          </w:tcPr>
          <w:p w14:paraId="1EB99119">
            <w:pPr>
              <w:jc w:val="center"/>
              <w:rPr>
                <w:rFonts w:ascii="宋体" w:hAnsi="宋体"/>
                <w:sz w:val="24"/>
              </w:rPr>
            </w:pPr>
          </w:p>
        </w:tc>
      </w:tr>
      <w:tr w14:paraId="4C522C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20" w:hRule="exact"/>
          <w:jc w:val="center"/>
        </w:trPr>
        <w:tc>
          <w:tcPr>
            <w:tcW w:w="1454" w:type="dxa"/>
            <w:vMerge w:val="continue"/>
            <w:vAlign w:val="center"/>
          </w:tcPr>
          <w:p w14:paraId="45EE5FB1">
            <w:pPr>
              <w:jc w:val="center"/>
              <w:rPr>
                <w:rFonts w:ascii="宋体" w:hAnsi="宋体"/>
                <w:sz w:val="24"/>
              </w:rPr>
            </w:pPr>
          </w:p>
        </w:tc>
        <w:tc>
          <w:tcPr>
            <w:tcW w:w="643" w:type="dxa"/>
            <w:vAlign w:val="center"/>
          </w:tcPr>
          <w:p w14:paraId="10AACA2E">
            <w:pPr>
              <w:jc w:val="center"/>
              <w:rPr>
                <w:rFonts w:ascii="宋体" w:hAnsi="宋体"/>
                <w:sz w:val="24"/>
              </w:rPr>
            </w:pPr>
            <w:r>
              <w:rPr>
                <w:rFonts w:hint="eastAsia" w:ascii="宋体" w:hAnsi="宋体"/>
                <w:sz w:val="24"/>
              </w:rPr>
              <w:t>3</w:t>
            </w:r>
          </w:p>
          <w:p w14:paraId="6E06FC9D">
            <w:pPr>
              <w:jc w:val="center"/>
              <w:rPr>
                <w:rFonts w:ascii="宋体" w:hAnsi="宋体"/>
                <w:sz w:val="24"/>
              </w:rPr>
            </w:pPr>
          </w:p>
        </w:tc>
        <w:tc>
          <w:tcPr>
            <w:tcW w:w="2717" w:type="dxa"/>
            <w:gridSpan w:val="3"/>
            <w:vAlign w:val="center"/>
          </w:tcPr>
          <w:p w14:paraId="7E0B3968">
            <w:pPr>
              <w:jc w:val="center"/>
              <w:rPr>
                <w:rFonts w:ascii="宋体" w:hAnsi="宋体"/>
                <w:sz w:val="24"/>
              </w:rPr>
            </w:pPr>
          </w:p>
        </w:tc>
        <w:tc>
          <w:tcPr>
            <w:tcW w:w="1469" w:type="dxa"/>
            <w:vAlign w:val="center"/>
          </w:tcPr>
          <w:p w14:paraId="0B521D38">
            <w:pPr>
              <w:jc w:val="center"/>
              <w:rPr>
                <w:rFonts w:ascii="宋体" w:hAnsi="宋体"/>
                <w:sz w:val="24"/>
              </w:rPr>
            </w:pPr>
          </w:p>
        </w:tc>
        <w:tc>
          <w:tcPr>
            <w:tcW w:w="2707" w:type="dxa"/>
            <w:gridSpan w:val="2"/>
            <w:vAlign w:val="center"/>
          </w:tcPr>
          <w:p w14:paraId="6E383166">
            <w:pPr>
              <w:jc w:val="center"/>
              <w:rPr>
                <w:rFonts w:ascii="宋体" w:hAnsi="宋体"/>
                <w:sz w:val="24"/>
              </w:rPr>
            </w:pPr>
          </w:p>
        </w:tc>
      </w:tr>
      <w:tr w14:paraId="3EC02A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20" w:hRule="exact"/>
          <w:jc w:val="center"/>
        </w:trPr>
        <w:tc>
          <w:tcPr>
            <w:tcW w:w="1454" w:type="dxa"/>
            <w:vMerge w:val="continue"/>
            <w:vAlign w:val="center"/>
          </w:tcPr>
          <w:p w14:paraId="20028C4F">
            <w:pPr>
              <w:jc w:val="center"/>
              <w:rPr>
                <w:rFonts w:ascii="宋体" w:hAnsi="宋体"/>
                <w:sz w:val="24"/>
              </w:rPr>
            </w:pPr>
          </w:p>
        </w:tc>
        <w:tc>
          <w:tcPr>
            <w:tcW w:w="643" w:type="dxa"/>
            <w:vAlign w:val="center"/>
          </w:tcPr>
          <w:p w14:paraId="241C29D3">
            <w:pPr>
              <w:jc w:val="center"/>
              <w:rPr>
                <w:rFonts w:ascii="宋体" w:hAnsi="宋体"/>
                <w:sz w:val="24"/>
              </w:rPr>
            </w:pPr>
            <w:r>
              <w:rPr>
                <w:rFonts w:hint="eastAsia" w:ascii="宋体" w:hAnsi="宋体"/>
                <w:sz w:val="24"/>
              </w:rPr>
              <w:t>4</w:t>
            </w:r>
          </w:p>
          <w:p w14:paraId="2268D9BA">
            <w:pPr>
              <w:jc w:val="center"/>
              <w:rPr>
                <w:rFonts w:ascii="宋体" w:hAnsi="宋体"/>
                <w:sz w:val="24"/>
              </w:rPr>
            </w:pPr>
          </w:p>
        </w:tc>
        <w:tc>
          <w:tcPr>
            <w:tcW w:w="2717" w:type="dxa"/>
            <w:gridSpan w:val="3"/>
            <w:vAlign w:val="center"/>
          </w:tcPr>
          <w:p w14:paraId="41503032">
            <w:pPr>
              <w:jc w:val="center"/>
              <w:rPr>
                <w:rFonts w:ascii="宋体" w:hAnsi="宋体"/>
                <w:sz w:val="24"/>
              </w:rPr>
            </w:pPr>
          </w:p>
        </w:tc>
        <w:tc>
          <w:tcPr>
            <w:tcW w:w="1469" w:type="dxa"/>
            <w:vAlign w:val="center"/>
          </w:tcPr>
          <w:p w14:paraId="021C929B">
            <w:pPr>
              <w:jc w:val="center"/>
              <w:rPr>
                <w:rFonts w:ascii="宋体" w:hAnsi="宋体"/>
                <w:sz w:val="24"/>
              </w:rPr>
            </w:pPr>
          </w:p>
        </w:tc>
        <w:tc>
          <w:tcPr>
            <w:tcW w:w="2707" w:type="dxa"/>
            <w:gridSpan w:val="2"/>
            <w:vAlign w:val="center"/>
          </w:tcPr>
          <w:p w14:paraId="05D270B8">
            <w:pPr>
              <w:jc w:val="center"/>
              <w:rPr>
                <w:rFonts w:ascii="宋体" w:hAnsi="宋体"/>
                <w:sz w:val="24"/>
              </w:rPr>
            </w:pPr>
          </w:p>
        </w:tc>
      </w:tr>
      <w:tr w14:paraId="4EF9AE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exact"/>
          <w:jc w:val="center"/>
        </w:trPr>
        <w:tc>
          <w:tcPr>
            <w:tcW w:w="1454" w:type="dxa"/>
            <w:vMerge w:val="continue"/>
            <w:vAlign w:val="center"/>
          </w:tcPr>
          <w:p w14:paraId="1F993308">
            <w:pPr>
              <w:jc w:val="center"/>
              <w:rPr>
                <w:rFonts w:ascii="宋体" w:hAnsi="宋体"/>
                <w:sz w:val="24"/>
              </w:rPr>
            </w:pPr>
          </w:p>
        </w:tc>
        <w:tc>
          <w:tcPr>
            <w:tcW w:w="643" w:type="dxa"/>
            <w:vAlign w:val="center"/>
          </w:tcPr>
          <w:p w14:paraId="5043DF25">
            <w:pPr>
              <w:jc w:val="center"/>
              <w:rPr>
                <w:rFonts w:ascii="宋体" w:hAnsi="宋体"/>
                <w:sz w:val="24"/>
              </w:rPr>
            </w:pPr>
            <w:r>
              <w:rPr>
                <w:rFonts w:hint="eastAsia" w:ascii="宋体" w:hAnsi="宋体"/>
                <w:sz w:val="24"/>
              </w:rPr>
              <w:t>5</w:t>
            </w:r>
          </w:p>
          <w:p w14:paraId="56E8809C">
            <w:pPr>
              <w:jc w:val="center"/>
              <w:rPr>
                <w:rFonts w:ascii="宋体" w:hAnsi="宋体"/>
                <w:sz w:val="24"/>
              </w:rPr>
            </w:pPr>
          </w:p>
        </w:tc>
        <w:tc>
          <w:tcPr>
            <w:tcW w:w="2717" w:type="dxa"/>
            <w:gridSpan w:val="3"/>
            <w:vAlign w:val="center"/>
          </w:tcPr>
          <w:p w14:paraId="617B62BD">
            <w:pPr>
              <w:jc w:val="center"/>
              <w:rPr>
                <w:rFonts w:ascii="宋体" w:hAnsi="宋体"/>
                <w:sz w:val="24"/>
              </w:rPr>
            </w:pPr>
          </w:p>
        </w:tc>
        <w:tc>
          <w:tcPr>
            <w:tcW w:w="1469" w:type="dxa"/>
            <w:vAlign w:val="center"/>
          </w:tcPr>
          <w:p w14:paraId="4CC79E3F">
            <w:pPr>
              <w:jc w:val="center"/>
              <w:rPr>
                <w:rFonts w:ascii="宋体" w:hAnsi="宋体"/>
                <w:sz w:val="24"/>
              </w:rPr>
            </w:pPr>
          </w:p>
        </w:tc>
        <w:tc>
          <w:tcPr>
            <w:tcW w:w="2707" w:type="dxa"/>
            <w:gridSpan w:val="2"/>
            <w:vAlign w:val="center"/>
          </w:tcPr>
          <w:p w14:paraId="6F344535">
            <w:pPr>
              <w:jc w:val="center"/>
              <w:rPr>
                <w:rFonts w:ascii="宋体" w:hAnsi="宋体"/>
                <w:sz w:val="24"/>
              </w:rPr>
            </w:pPr>
          </w:p>
        </w:tc>
      </w:tr>
      <w:tr w14:paraId="487BFE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20" w:hRule="exact"/>
          <w:jc w:val="center"/>
        </w:trPr>
        <w:tc>
          <w:tcPr>
            <w:tcW w:w="1454" w:type="dxa"/>
            <w:vMerge w:val="continue"/>
            <w:vAlign w:val="center"/>
          </w:tcPr>
          <w:p w14:paraId="5735B7DD">
            <w:pPr>
              <w:jc w:val="center"/>
              <w:rPr>
                <w:rFonts w:ascii="宋体" w:hAnsi="宋体"/>
                <w:sz w:val="24"/>
              </w:rPr>
            </w:pPr>
          </w:p>
        </w:tc>
        <w:tc>
          <w:tcPr>
            <w:tcW w:w="643" w:type="dxa"/>
            <w:vAlign w:val="center"/>
          </w:tcPr>
          <w:p w14:paraId="7855F661">
            <w:pPr>
              <w:jc w:val="center"/>
              <w:rPr>
                <w:rFonts w:ascii="宋体" w:hAnsi="宋体"/>
                <w:sz w:val="24"/>
              </w:rPr>
            </w:pPr>
            <w:r>
              <w:rPr>
                <w:rFonts w:hint="eastAsia" w:ascii="宋体" w:hAnsi="宋体"/>
                <w:sz w:val="24"/>
              </w:rPr>
              <w:t>6</w:t>
            </w:r>
          </w:p>
          <w:p w14:paraId="4A01C27C">
            <w:pPr>
              <w:jc w:val="center"/>
              <w:rPr>
                <w:rFonts w:ascii="宋体" w:hAnsi="宋体"/>
                <w:sz w:val="24"/>
              </w:rPr>
            </w:pPr>
          </w:p>
        </w:tc>
        <w:tc>
          <w:tcPr>
            <w:tcW w:w="2717" w:type="dxa"/>
            <w:gridSpan w:val="3"/>
            <w:vAlign w:val="center"/>
          </w:tcPr>
          <w:p w14:paraId="0FD6FD5C">
            <w:pPr>
              <w:jc w:val="center"/>
              <w:rPr>
                <w:rFonts w:ascii="宋体" w:hAnsi="宋体"/>
                <w:sz w:val="24"/>
              </w:rPr>
            </w:pPr>
          </w:p>
        </w:tc>
        <w:tc>
          <w:tcPr>
            <w:tcW w:w="1469" w:type="dxa"/>
            <w:vAlign w:val="center"/>
          </w:tcPr>
          <w:p w14:paraId="4EA46F1A">
            <w:pPr>
              <w:jc w:val="center"/>
              <w:rPr>
                <w:rFonts w:ascii="宋体" w:hAnsi="宋体"/>
                <w:sz w:val="24"/>
              </w:rPr>
            </w:pPr>
          </w:p>
        </w:tc>
        <w:tc>
          <w:tcPr>
            <w:tcW w:w="2707" w:type="dxa"/>
            <w:gridSpan w:val="2"/>
            <w:vAlign w:val="center"/>
          </w:tcPr>
          <w:p w14:paraId="0823AB3F">
            <w:pPr>
              <w:jc w:val="center"/>
              <w:rPr>
                <w:rFonts w:ascii="宋体" w:hAnsi="宋体"/>
                <w:sz w:val="24"/>
              </w:rPr>
            </w:pPr>
          </w:p>
        </w:tc>
      </w:tr>
      <w:tr w14:paraId="632B0C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320" w:hRule="exact"/>
          <w:jc w:val="center"/>
        </w:trPr>
        <w:tc>
          <w:tcPr>
            <w:tcW w:w="1454" w:type="dxa"/>
            <w:vMerge w:val="continue"/>
            <w:vAlign w:val="center"/>
          </w:tcPr>
          <w:p w14:paraId="6E42EB76">
            <w:pPr>
              <w:jc w:val="center"/>
              <w:rPr>
                <w:rFonts w:ascii="宋体" w:hAnsi="宋体"/>
                <w:sz w:val="24"/>
              </w:rPr>
            </w:pPr>
          </w:p>
        </w:tc>
        <w:tc>
          <w:tcPr>
            <w:tcW w:w="643" w:type="dxa"/>
            <w:vAlign w:val="center"/>
          </w:tcPr>
          <w:p w14:paraId="1A8210DD">
            <w:pPr>
              <w:jc w:val="center"/>
              <w:rPr>
                <w:rFonts w:ascii="宋体" w:hAnsi="宋体"/>
                <w:sz w:val="24"/>
              </w:rPr>
            </w:pPr>
            <w:r>
              <w:rPr>
                <w:rFonts w:hint="eastAsia" w:ascii="宋体" w:hAnsi="宋体"/>
                <w:sz w:val="24"/>
              </w:rPr>
              <w:t>7</w:t>
            </w:r>
          </w:p>
          <w:p w14:paraId="58D12A85">
            <w:pPr>
              <w:jc w:val="center"/>
              <w:rPr>
                <w:rFonts w:ascii="宋体" w:hAnsi="宋体"/>
                <w:sz w:val="24"/>
              </w:rPr>
            </w:pPr>
          </w:p>
        </w:tc>
        <w:tc>
          <w:tcPr>
            <w:tcW w:w="2717" w:type="dxa"/>
            <w:gridSpan w:val="3"/>
            <w:vAlign w:val="center"/>
          </w:tcPr>
          <w:p w14:paraId="026CD02F">
            <w:pPr>
              <w:jc w:val="center"/>
              <w:rPr>
                <w:rFonts w:ascii="宋体" w:hAnsi="宋体"/>
                <w:sz w:val="24"/>
              </w:rPr>
            </w:pPr>
          </w:p>
        </w:tc>
        <w:tc>
          <w:tcPr>
            <w:tcW w:w="1469" w:type="dxa"/>
            <w:vAlign w:val="center"/>
          </w:tcPr>
          <w:p w14:paraId="680D83B2">
            <w:pPr>
              <w:jc w:val="center"/>
              <w:rPr>
                <w:rFonts w:ascii="宋体" w:hAnsi="宋体"/>
                <w:sz w:val="24"/>
              </w:rPr>
            </w:pPr>
          </w:p>
        </w:tc>
        <w:tc>
          <w:tcPr>
            <w:tcW w:w="2707" w:type="dxa"/>
            <w:gridSpan w:val="2"/>
            <w:vAlign w:val="center"/>
          </w:tcPr>
          <w:p w14:paraId="254A4F34">
            <w:pPr>
              <w:jc w:val="center"/>
              <w:rPr>
                <w:rFonts w:ascii="宋体" w:hAnsi="宋体"/>
                <w:sz w:val="24"/>
              </w:rPr>
            </w:pPr>
          </w:p>
        </w:tc>
      </w:tr>
      <w:tr w14:paraId="2F3F73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320" w:hRule="exact"/>
          <w:jc w:val="center"/>
        </w:trPr>
        <w:tc>
          <w:tcPr>
            <w:tcW w:w="1454" w:type="dxa"/>
            <w:vMerge w:val="continue"/>
            <w:vAlign w:val="center"/>
          </w:tcPr>
          <w:p w14:paraId="3AF3ED5C">
            <w:pPr>
              <w:jc w:val="center"/>
              <w:rPr>
                <w:rFonts w:ascii="宋体" w:hAnsi="宋体"/>
                <w:sz w:val="24"/>
              </w:rPr>
            </w:pPr>
          </w:p>
        </w:tc>
        <w:tc>
          <w:tcPr>
            <w:tcW w:w="643" w:type="dxa"/>
            <w:vAlign w:val="center"/>
          </w:tcPr>
          <w:p w14:paraId="30667BAB">
            <w:pPr>
              <w:jc w:val="center"/>
              <w:rPr>
                <w:rFonts w:ascii="宋体" w:hAnsi="宋体"/>
                <w:sz w:val="24"/>
              </w:rPr>
            </w:pPr>
            <w:r>
              <w:rPr>
                <w:rFonts w:hint="eastAsia" w:ascii="宋体" w:hAnsi="宋体"/>
                <w:sz w:val="24"/>
              </w:rPr>
              <w:t>8</w:t>
            </w:r>
          </w:p>
          <w:p w14:paraId="0B4276C6">
            <w:pPr>
              <w:jc w:val="center"/>
              <w:rPr>
                <w:rFonts w:ascii="宋体" w:hAnsi="宋体"/>
                <w:sz w:val="24"/>
              </w:rPr>
            </w:pPr>
          </w:p>
        </w:tc>
        <w:tc>
          <w:tcPr>
            <w:tcW w:w="2717" w:type="dxa"/>
            <w:gridSpan w:val="3"/>
            <w:vAlign w:val="center"/>
          </w:tcPr>
          <w:p w14:paraId="63B25CC1">
            <w:pPr>
              <w:jc w:val="center"/>
              <w:rPr>
                <w:rFonts w:ascii="宋体" w:hAnsi="宋体"/>
                <w:sz w:val="24"/>
              </w:rPr>
            </w:pPr>
          </w:p>
        </w:tc>
        <w:tc>
          <w:tcPr>
            <w:tcW w:w="1469" w:type="dxa"/>
            <w:vAlign w:val="center"/>
          </w:tcPr>
          <w:p w14:paraId="319CA393">
            <w:pPr>
              <w:jc w:val="center"/>
              <w:rPr>
                <w:rFonts w:ascii="宋体" w:hAnsi="宋体"/>
                <w:sz w:val="24"/>
              </w:rPr>
            </w:pPr>
          </w:p>
        </w:tc>
        <w:tc>
          <w:tcPr>
            <w:tcW w:w="2707" w:type="dxa"/>
            <w:gridSpan w:val="2"/>
            <w:vAlign w:val="center"/>
          </w:tcPr>
          <w:p w14:paraId="4EEA5E84">
            <w:pPr>
              <w:jc w:val="center"/>
              <w:rPr>
                <w:rFonts w:ascii="宋体" w:hAnsi="宋体"/>
                <w:sz w:val="24"/>
              </w:rPr>
            </w:pPr>
          </w:p>
        </w:tc>
      </w:tr>
      <w:tr w14:paraId="610DF0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540" w:hRule="exact"/>
          <w:jc w:val="center"/>
        </w:trPr>
        <w:tc>
          <w:tcPr>
            <w:tcW w:w="1454" w:type="dxa"/>
            <w:vAlign w:val="center"/>
          </w:tcPr>
          <w:p w14:paraId="28AE10D3">
            <w:pPr>
              <w:jc w:val="center"/>
              <w:rPr>
                <w:rFonts w:ascii="宋体" w:hAnsi="宋体"/>
                <w:sz w:val="24"/>
              </w:rPr>
            </w:pPr>
            <w:r>
              <w:rPr>
                <w:rFonts w:hint="eastAsia" w:ascii="宋体" w:hAnsi="宋体"/>
                <w:sz w:val="24"/>
              </w:rPr>
              <w:t>本</w:t>
            </w:r>
          </w:p>
          <w:p w14:paraId="72D5F4EF">
            <w:pPr>
              <w:jc w:val="center"/>
              <w:rPr>
                <w:rFonts w:ascii="宋体" w:hAnsi="宋体"/>
                <w:sz w:val="24"/>
              </w:rPr>
            </w:pPr>
            <w:r>
              <w:rPr>
                <w:rFonts w:hint="eastAsia" w:ascii="宋体" w:hAnsi="宋体"/>
                <w:sz w:val="24"/>
              </w:rPr>
              <w:t>人</w:t>
            </w:r>
          </w:p>
          <w:p w14:paraId="7E2B9BB2">
            <w:pPr>
              <w:jc w:val="center"/>
              <w:rPr>
                <w:rFonts w:ascii="宋体" w:hAnsi="宋体"/>
                <w:sz w:val="24"/>
              </w:rPr>
            </w:pPr>
            <w:r>
              <w:rPr>
                <w:rFonts w:hint="eastAsia" w:ascii="宋体" w:hAnsi="宋体"/>
                <w:sz w:val="24"/>
              </w:rPr>
              <w:t>主</w:t>
            </w:r>
          </w:p>
          <w:p w14:paraId="4D680863">
            <w:pPr>
              <w:jc w:val="center"/>
              <w:rPr>
                <w:rFonts w:ascii="宋体" w:hAnsi="宋体"/>
                <w:sz w:val="24"/>
              </w:rPr>
            </w:pPr>
            <w:r>
              <w:rPr>
                <w:rFonts w:hint="eastAsia" w:ascii="宋体" w:hAnsi="宋体"/>
                <w:sz w:val="24"/>
              </w:rPr>
              <w:t>要</w:t>
            </w:r>
          </w:p>
          <w:p w14:paraId="7E9EC464">
            <w:pPr>
              <w:jc w:val="center"/>
              <w:rPr>
                <w:rFonts w:ascii="宋体" w:hAnsi="宋体"/>
                <w:sz w:val="24"/>
              </w:rPr>
            </w:pPr>
            <w:r>
              <w:rPr>
                <w:rFonts w:hint="eastAsia" w:ascii="宋体" w:hAnsi="宋体" w:cs="宋体"/>
                <w:sz w:val="24"/>
              </w:rPr>
              <w:t>获</w:t>
            </w:r>
          </w:p>
          <w:p w14:paraId="5BFEBF4C">
            <w:pPr>
              <w:jc w:val="center"/>
              <w:rPr>
                <w:rFonts w:ascii="宋体" w:hAnsi="宋体"/>
                <w:sz w:val="24"/>
              </w:rPr>
            </w:pPr>
            <w:r>
              <w:rPr>
                <w:rFonts w:hint="eastAsia" w:ascii="宋体" w:hAnsi="宋体" w:cs="宋体"/>
                <w:sz w:val="24"/>
              </w:rPr>
              <w:t>奖</w:t>
            </w:r>
          </w:p>
          <w:p w14:paraId="606067FF">
            <w:pPr>
              <w:jc w:val="center"/>
              <w:rPr>
                <w:rFonts w:ascii="宋体" w:hAnsi="宋体"/>
                <w:sz w:val="24"/>
              </w:rPr>
            </w:pPr>
            <w:r>
              <w:rPr>
                <w:rFonts w:hint="eastAsia" w:ascii="宋体" w:hAnsi="宋体"/>
                <w:sz w:val="24"/>
              </w:rPr>
              <w:t>情</w:t>
            </w:r>
          </w:p>
          <w:p w14:paraId="0F0CC57F">
            <w:pPr>
              <w:jc w:val="center"/>
              <w:rPr>
                <w:rFonts w:ascii="宋体" w:hAnsi="宋体"/>
                <w:sz w:val="24"/>
              </w:rPr>
            </w:pPr>
            <w:r>
              <w:rPr>
                <w:rFonts w:hint="eastAsia" w:ascii="宋体" w:hAnsi="宋体"/>
                <w:sz w:val="24"/>
              </w:rPr>
              <w:t>况</w:t>
            </w:r>
          </w:p>
          <w:p w14:paraId="3A76BAE5">
            <w:pPr>
              <w:jc w:val="center"/>
              <w:rPr>
                <w:rFonts w:ascii="宋体" w:hAnsi="宋体"/>
                <w:sz w:val="24"/>
              </w:rPr>
            </w:pPr>
          </w:p>
        </w:tc>
        <w:tc>
          <w:tcPr>
            <w:tcW w:w="7536" w:type="dxa"/>
            <w:gridSpan w:val="7"/>
            <w:vAlign w:val="center"/>
          </w:tcPr>
          <w:p w14:paraId="52A96A14">
            <w:pPr>
              <w:jc w:val="center"/>
              <w:rPr>
                <w:rFonts w:ascii="宋体" w:hAnsi="宋体"/>
                <w:sz w:val="24"/>
              </w:rPr>
            </w:pPr>
          </w:p>
        </w:tc>
      </w:tr>
      <w:tr w14:paraId="789EC3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40" w:hRule="exact"/>
          <w:jc w:val="center"/>
        </w:trPr>
        <w:tc>
          <w:tcPr>
            <w:tcW w:w="1454" w:type="dxa"/>
            <w:vAlign w:val="center"/>
          </w:tcPr>
          <w:p w14:paraId="00B81EAB">
            <w:pPr>
              <w:jc w:val="center"/>
              <w:rPr>
                <w:rFonts w:ascii="宋体" w:hAnsi="宋体"/>
                <w:sz w:val="24"/>
              </w:rPr>
            </w:pPr>
            <w:r>
              <w:rPr>
                <w:rFonts w:hint="eastAsia" w:ascii="宋体" w:hAnsi="宋体"/>
                <w:sz w:val="24"/>
              </w:rPr>
              <w:t>其它需</w:t>
            </w:r>
          </w:p>
          <w:p w14:paraId="63B3BF41">
            <w:pPr>
              <w:jc w:val="center"/>
              <w:rPr>
                <w:rFonts w:ascii="宋体" w:hAnsi="宋体"/>
                <w:sz w:val="24"/>
              </w:rPr>
            </w:pPr>
            <w:r>
              <w:rPr>
                <w:rFonts w:hint="eastAsia" w:ascii="宋体" w:hAnsi="宋体" w:cs="宋体"/>
                <w:sz w:val="24"/>
              </w:rPr>
              <w:t>补</w:t>
            </w:r>
            <w:r>
              <w:rPr>
                <w:rFonts w:hint="eastAsia" w:ascii="宋体" w:hAnsi="宋体"/>
                <w:sz w:val="24"/>
              </w:rPr>
              <w:t>充的情况</w:t>
            </w:r>
          </w:p>
          <w:p w14:paraId="463F2F6E">
            <w:pPr>
              <w:jc w:val="center"/>
              <w:rPr>
                <w:rFonts w:ascii="宋体" w:hAnsi="宋体"/>
                <w:sz w:val="24"/>
              </w:rPr>
            </w:pPr>
          </w:p>
        </w:tc>
        <w:tc>
          <w:tcPr>
            <w:tcW w:w="7536" w:type="dxa"/>
            <w:gridSpan w:val="7"/>
            <w:vAlign w:val="center"/>
          </w:tcPr>
          <w:p w14:paraId="5C9C45A7">
            <w:pPr>
              <w:jc w:val="center"/>
              <w:rPr>
                <w:rFonts w:ascii="宋体" w:hAnsi="宋体"/>
                <w:sz w:val="24"/>
              </w:rPr>
            </w:pPr>
          </w:p>
        </w:tc>
      </w:tr>
    </w:tbl>
    <w:p w14:paraId="27B063D9">
      <w:pPr>
        <w:rPr>
          <w:rFonts w:ascii="宋体" w:hAnsi="宋体"/>
          <w:b/>
          <w:szCs w:val="21"/>
        </w:rPr>
      </w:pPr>
    </w:p>
    <w:p w14:paraId="36570833">
      <w:pPr>
        <w:autoSpaceDE w:val="0"/>
        <w:autoSpaceDN w:val="0"/>
        <w:adjustRightInd w:val="0"/>
        <w:snapToGrid w:val="0"/>
        <w:spacing w:line="360" w:lineRule="auto"/>
        <w:rPr>
          <w:rFonts w:ascii="宋体" w:hAnsi="宋体"/>
          <w:szCs w:val="21"/>
        </w:rPr>
      </w:pPr>
    </w:p>
    <w:p w14:paraId="3F955ED6">
      <w:pPr>
        <w:autoSpaceDE w:val="0"/>
        <w:autoSpaceDN w:val="0"/>
        <w:adjustRightInd w:val="0"/>
        <w:snapToGrid w:val="0"/>
        <w:spacing w:line="360" w:lineRule="auto"/>
        <w:ind w:firstLine="630" w:firstLineChars="300"/>
        <w:rPr>
          <w:rFonts w:ascii="宋体" w:hAnsi="宋体" w:cs="宋体"/>
          <w:szCs w:val="21"/>
        </w:rPr>
      </w:pPr>
      <w:r>
        <w:rPr>
          <w:rFonts w:hint="eastAsia" w:ascii="宋体" w:hAnsi="宋体" w:cs="宋体"/>
          <w:kern w:val="0"/>
          <w:szCs w:val="21"/>
        </w:rPr>
        <w:t>投标人：</w:t>
      </w:r>
      <w:r>
        <w:rPr>
          <w:rFonts w:hint="eastAsia" w:ascii="宋体" w:hAnsi="宋体" w:cs="宋体"/>
          <w:spacing w:val="14"/>
          <w:kern w:val="0"/>
          <w:szCs w:val="21"/>
          <w:u w:val="single"/>
        </w:rPr>
        <w:t>（单位全称） （电子签章）</w:t>
      </w:r>
    </w:p>
    <w:p w14:paraId="1F0D32B2">
      <w:pPr>
        <w:autoSpaceDE w:val="0"/>
        <w:autoSpaceDN w:val="0"/>
        <w:adjustRightInd w:val="0"/>
        <w:snapToGrid w:val="0"/>
        <w:spacing w:line="360" w:lineRule="auto"/>
        <w:ind w:firstLine="464" w:firstLineChars="200"/>
        <w:rPr>
          <w:rFonts w:ascii="宋体" w:hAnsi="宋体" w:cs="宋体"/>
          <w:spacing w:val="11"/>
          <w:kern w:val="0"/>
          <w:szCs w:val="21"/>
        </w:rPr>
      </w:pPr>
      <w:r>
        <w:rPr>
          <w:rFonts w:hint="eastAsia" w:ascii="宋体" w:hAnsi="宋体" w:cs="宋体"/>
          <w:spacing w:val="11"/>
          <w:kern w:val="0"/>
          <w:szCs w:val="21"/>
        </w:rPr>
        <w:t>法定代表人或委托代理人：</w:t>
      </w:r>
      <w:r>
        <w:rPr>
          <w:rFonts w:hint="eastAsia" w:ascii="宋体" w:hAnsi="宋体" w:cs="宋体"/>
          <w:spacing w:val="11"/>
          <w:kern w:val="0"/>
          <w:szCs w:val="21"/>
          <w:u w:val="single"/>
        </w:rPr>
        <w:t xml:space="preserve">     （电子签章）</w:t>
      </w:r>
    </w:p>
    <w:p w14:paraId="41D1A24A">
      <w:pPr>
        <w:autoSpaceDE w:val="0"/>
        <w:autoSpaceDN w:val="0"/>
        <w:adjustRightInd w:val="0"/>
        <w:snapToGrid w:val="0"/>
        <w:spacing w:after="100" w:afterAutospacing="1" w:line="360" w:lineRule="auto"/>
        <w:rPr>
          <w:rFonts w:ascii="宋体" w:hAnsi="宋体" w:cs="宋体"/>
          <w:szCs w:val="21"/>
        </w:rPr>
      </w:pPr>
      <w:r>
        <w:rPr>
          <w:rFonts w:hint="eastAsia" w:ascii="宋体" w:hAnsi="宋体" w:cs="宋体"/>
          <w:szCs w:val="21"/>
        </w:rPr>
        <w:t xml:space="preserve">      日期：  年  月  日</w:t>
      </w:r>
    </w:p>
    <w:p w14:paraId="3DE14D93">
      <w:pPr>
        <w:spacing w:line="440" w:lineRule="exact"/>
        <w:jc w:val="center"/>
        <w:rPr>
          <w:rFonts w:ascii="宋体" w:hAnsi="宋体"/>
          <w:szCs w:val="21"/>
        </w:rPr>
      </w:pPr>
    </w:p>
    <w:p w14:paraId="0ECDD6CF">
      <w:pPr>
        <w:spacing w:line="440" w:lineRule="exact"/>
        <w:rPr>
          <w:rFonts w:ascii="宋体" w:hAnsi="宋体"/>
          <w:szCs w:val="21"/>
        </w:rPr>
      </w:pPr>
      <w:bookmarkStart w:id="453" w:name="_Toc152045811"/>
      <w:bookmarkStart w:id="454" w:name="_Toc247527851"/>
      <w:bookmarkStart w:id="455" w:name="_Toc144974879"/>
      <w:bookmarkStart w:id="456" w:name="_Toc152042600"/>
      <w:bookmarkStart w:id="457" w:name="_Toc247514303"/>
    </w:p>
    <w:p w14:paraId="2D090A6E">
      <w:pPr>
        <w:spacing w:line="440" w:lineRule="exact"/>
        <w:rPr>
          <w:rFonts w:ascii="宋体" w:hAnsi="宋体"/>
          <w:szCs w:val="21"/>
        </w:rPr>
      </w:pPr>
    </w:p>
    <w:p w14:paraId="1D42ABDE">
      <w:pPr>
        <w:pStyle w:val="4"/>
        <w:ind w:firstLine="103"/>
        <w:rPr>
          <w:rFonts w:ascii="宋体"/>
          <w:sz w:val="21"/>
          <w:szCs w:val="21"/>
        </w:rPr>
      </w:pPr>
      <w:bookmarkStart w:id="458" w:name="_Toc27748"/>
      <w:bookmarkStart w:id="459" w:name="_Toc475109681"/>
      <w:r>
        <w:rPr>
          <w:rFonts w:ascii="宋体"/>
          <w:sz w:val="21"/>
          <w:szCs w:val="21"/>
        </w:rPr>
        <w:t>（四）</w:t>
      </w:r>
      <w:bookmarkEnd w:id="453"/>
      <w:bookmarkEnd w:id="454"/>
      <w:bookmarkEnd w:id="455"/>
      <w:bookmarkEnd w:id="456"/>
      <w:bookmarkEnd w:id="457"/>
      <w:r>
        <w:rPr>
          <w:rFonts w:hint="eastAsia" w:ascii="宋体"/>
          <w:sz w:val="21"/>
          <w:szCs w:val="21"/>
        </w:rPr>
        <w:t>拟投入人员汇总表</w:t>
      </w:r>
      <w:bookmarkEnd w:id="458"/>
      <w:bookmarkEnd w:id="459"/>
    </w:p>
    <w:tbl>
      <w:tblPr>
        <w:tblStyle w:val="3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69"/>
        <w:gridCol w:w="1095"/>
        <w:gridCol w:w="875"/>
        <w:gridCol w:w="875"/>
        <w:gridCol w:w="1533"/>
        <w:gridCol w:w="3010"/>
      </w:tblGrid>
      <w:tr w14:paraId="0CA6B0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2" w:hRule="atLeast"/>
          <w:jc w:val="center"/>
        </w:trPr>
        <w:tc>
          <w:tcPr>
            <w:tcW w:w="569" w:type="dxa"/>
            <w:vAlign w:val="center"/>
          </w:tcPr>
          <w:p w14:paraId="6B888953">
            <w:pPr>
              <w:jc w:val="center"/>
              <w:rPr>
                <w:rFonts w:ascii="宋体" w:hAnsi="宋体"/>
                <w:sz w:val="24"/>
              </w:rPr>
            </w:pPr>
            <w:r>
              <w:rPr>
                <w:rFonts w:hint="eastAsia" w:ascii="宋体" w:hAnsi="宋体"/>
                <w:sz w:val="24"/>
              </w:rPr>
              <w:t>序号</w:t>
            </w:r>
          </w:p>
        </w:tc>
        <w:tc>
          <w:tcPr>
            <w:tcW w:w="1095" w:type="dxa"/>
            <w:vAlign w:val="center"/>
          </w:tcPr>
          <w:p w14:paraId="0E10E119">
            <w:pPr>
              <w:jc w:val="center"/>
              <w:rPr>
                <w:rFonts w:ascii="宋体" w:hAnsi="宋体"/>
                <w:sz w:val="24"/>
              </w:rPr>
            </w:pPr>
            <w:r>
              <w:rPr>
                <w:rFonts w:hint="eastAsia" w:ascii="宋体" w:hAnsi="宋体"/>
                <w:sz w:val="24"/>
              </w:rPr>
              <w:t>姓名</w:t>
            </w:r>
          </w:p>
        </w:tc>
        <w:tc>
          <w:tcPr>
            <w:tcW w:w="875" w:type="dxa"/>
            <w:vAlign w:val="center"/>
          </w:tcPr>
          <w:p w14:paraId="75C2CF8C">
            <w:pPr>
              <w:jc w:val="center"/>
              <w:rPr>
                <w:rFonts w:ascii="宋体" w:hAnsi="宋体"/>
                <w:sz w:val="24"/>
              </w:rPr>
            </w:pPr>
            <w:r>
              <w:rPr>
                <w:rFonts w:hint="eastAsia" w:ascii="宋体" w:hAnsi="宋体"/>
                <w:sz w:val="24"/>
              </w:rPr>
              <w:t>性别</w:t>
            </w:r>
          </w:p>
        </w:tc>
        <w:tc>
          <w:tcPr>
            <w:tcW w:w="875" w:type="dxa"/>
            <w:vAlign w:val="center"/>
          </w:tcPr>
          <w:p w14:paraId="4CBE62CC">
            <w:pPr>
              <w:jc w:val="center"/>
              <w:rPr>
                <w:rFonts w:ascii="宋体" w:hAnsi="宋体"/>
                <w:sz w:val="24"/>
              </w:rPr>
            </w:pPr>
            <w:r>
              <w:rPr>
                <w:rFonts w:hint="eastAsia" w:ascii="宋体" w:hAnsi="宋体"/>
                <w:sz w:val="24"/>
              </w:rPr>
              <w:t>专业</w:t>
            </w:r>
          </w:p>
        </w:tc>
        <w:tc>
          <w:tcPr>
            <w:tcW w:w="1533" w:type="dxa"/>
            <w:vAlign w:val="center"/>
          </w:tcPr>
          <w:p w14:paraId="16FC1D8F">
            <w:pPr>
              <w:jc w:val="center"/>
              <w:rPr>
                <w:rFonts w:ascii="宋体" w:hAnsi="宋体"/>
                <w:sz w:val="24"/>
              </w:rPr>
            </w:pPr>
            <w:r>
              <w:rPr>
                <w:rFonts w:hint="eastAsia" w:ascii="宋体" w:hAnsi="宋体"/>
                <w:sz w:val="24"/>
              </w:rPr>
              <w:t>任职资格</w:t>
            </w:r>
          </w:p>
        </w:tc>
        <w:tc>
          <w:tcPr>
            <w:tcW w:w="3010" w:type="dxa"/>
            <w:vAlign w:val="center"/>
          </w:tcPr>
          <w:p w14:paraId="3D7E407B">
            <w:pPr>
              <w:jc w:val="center"/>
              <w:rPr>
                <w:rFonts w:ascii="宋体" w:hAnsi="宋体"/>
                <w:sz w:val="24"/>
              </w:rPr>
            </w:pPr>
            <w:r>
              <w:rPr>
                <w:rFonts w:hint="eastAsia" w:ascii="宋体" w:hAnsi="宋体"/>
                <w:sz w:val="24"/>
              </w:rPr>
              <w:t>在本项目拟任职务</w:t>
            </w:r>
          </w:p>
        </w:tc>
      </w:tr>
      <w:tr w14:paraId="2EE50D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0" w:hRule="atLeast"/>
          <w:jc w:val="center"/>
        </w:trPr>
        <w:tc>
          <w:tcPr>
            <w:tcW w:w="569" w:type="dxa"/>
            <w:vAlign w:val="center"/>
          </w:tcPr>
          <w:p w14:paraId="2769BDAA">
            <w:pPr>
              <w:jc w:val="center"/>
              <w:rPr>
                <w:rFonts w:ascii="宋体" w:hAnsi="宋体"/>
                <w:sz w:val="24"/>
              </w:rPr>
            </w:pPr>
          </w:p>
        </w:tc>
        <w:tc>
          <w:tcPr>
            <w:tcW w:w="1095" w:type="dxa"/>
            <w:vAlign w:val="center"/>
          </w:tcPr>
          <w:p w14:paraId="6607C576">
            <w:pPr>
              <w:jc w:val="center"/>
              <w:rPr>
                <w:rFonts w:ascii="宋体" w:hAnsi="宋体"/>
                <w:sz w:val="24"/>
              </w:rPr>
            </w:pPr>
          </w:p>
        </w:tc>
        <w:tc>
          <w:tcPr>
            <w:tcW w:w="875" w:type="dxa"/>
            <w:vAlign w:val="center"/>
          </w:tcPr>
          <w:p w14:paraId="410B3134">
            <w:pPr>
              <w:jc w:val="center"/>
              <w:rPr>
                <w:rFonts w:ascii="宋体" w:hAnsi="宋体"/>
                <w:sz w:val="24"/>
              </w:rPr>
            </w:pPr>
          </w:p>
        </w:tc>
        <w:tc>
          <w:tcPr>
            <w:tcW w:w="875" w:type="dxa"/>
            <w:vAlign w:val="center"/>
          </w:tcPr>
          <w:p w14:paraId="227142FC">
            <w:pPr>
              <w:jc w:val="center"/>
              <w:rPr>
                <w:rFonts w:ascii="宋体" w:hAnsi="宋体"/>
                <w:sz w:val="24"/>
              </w:rPr>
            </w:pPr>
          </w:p>
        </w:tc>
        <w:tc>
          <w:tcPr>
            <w:tcW w:w="1533" w:type="dxa"/>
            <w:vAlign w:val="center"/>
          </w:tcPr>
          <w:p w14:paraId="6E13DE9D">
            <w:pPr>
              <w:jc w:val="center"/>
              <w:rPr>
                <w:rFonts w:ascii="宋体" w:hAnsi="宋体"/>
                <w:sz w:val="24"/>
              </w:rPr>
            </w:pPr>
          </w:p>
        </w:tc>
        <w:tc>
          <w:tcPr>
            <w:tcW w:w="3010" w:type="dxa"/>
            <w:vAlign w:val="center"/>
          </w:tcPr>
          <w:p w14:paraId="7DCC0E8A">
            <w:pPr>
              <w:jc w:val="center"/>
              <w:rPr>
                <w:rFonts w:ascii="宋体" w:hAnsi="宋体"/>
                <w:sz w:val="24"/>
              </w:rPr>
            </w:pPr>
          </w:p>
        </w:tc>
      </w:tr>
      <w:tr w14:paraId="10EC5F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0" w:hRule="atLeast"/>
          <w:jc w:val="center"/>
        </w:trPr>
        <w:tc>
          <w:tcPr>
            <w:tcW w:w="569" w:type="dxa"/>
            <w:vAlign w:val="center"/>
          </w:tcPr>
          <w:p w14:paraId="0D7E0E93">
            <w:pPr>
              <w:jc w:val="center"/>
              <w:rPr>
                <w:rFonts w:ascii="宋体" w:hAnsi="宋体"/>
                <w:sz w:val="24"/>
              </w:rPr>
            </w:pPr>
          </w:p>
        </w:tc>
        <w:tc>
          <w:tcPr>
            <w:tcW w:w="1095" w:type="dxa"/>
            <w:vAlign w:val="center"/>
          </w:tcPr>
          <w:p w14:paraId="5E4542F9">
            <w:pPr>
              <w:jc w:val="center"/>
              <w:rPr>
                <w:rFonts w:ascii="宋体" w:hAnsi="宋体"/>
                <w:sz w:val="24"/>
              </w:rPr>
            </w:pPr>
          </w:p>
        </w:tc>
        <w:tc>
          <w:tcPr>
            <w:tcW w:w="875" w:type="dxa"/>
            <w:vAlign w:val="center"/>
          </w:tcPr>
          <w:p w14:paraId="0D18FAE4">
            <w:pPr>
              <w:jc w:val="center"/>
              <w:rPr>
                <w:rFonts w:ascii="宋体" w:hAnsi="宋体"/>
                <w:sz w:val="24"/>
              </w:rPr>
            </w:pPr>
          </w:p>
        </w:tc>
        <w:tc>
          <w:tcPr>
            <w:tcW w:w="875" w:type="dxa"/>
            <w:vAlign w:val="center"/>
          </w:tcPr>
          <w:p w14:paraId="174837D5">
            <w:pPr>
              <w:jc w:val="center"/>
              <w:rPr>
                <w:rFonts w:ascii="宋体" w:hAnsi="宋体"/>
                <w:sz w:val="24"/>
              </w:rPr>
            </w:pPr>
          </w:p>
        </w:tc>
        <w:tc>
          <w:tcPr>
            <w:tcW w:w="1533" w:type="dxa"/>
            <w:vAlign w:val="center"/>
          </w:tcPr>
          <w:p w14:paraId="214FDA9B">
            <w:pPr>
              <w:jc w:val="center"/>
              <w:rPr>
                <w:rFonts w:ascii="宋体" w:hAnsi="宋体"/>
                <w:sz w:val="24"/>
              </w:rPr>
            </w:pPr>
          </w:p>
        </w:tc>
        <w:tc>
          <w:tcPr>
            <w:tcW w:w="3010" w:type="dxa"/>
            <w:vAlign w:val="center"/>
          </w:tcPr>
          <w:p w14:paraId="42340290">
            <w:pPr>
              <w:jc w:val="center"/>
              <w:rPr>
                <w:rFonts w:ascii="宋体" w:hAnsi="宋体"/>
                <w:sz w:val="24"/>
              </w:rPr>
            </w:pPr>
          </w:p>
        </w:tc>
      </w:tr>
      <w:tr w14:paraId="1EC4D5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0" w:hRule="atLeast"/>
          <w:jc w:val="center"/>
        </w:trPr>
        <w:tc>
          <w:tcPr>
            <w:tcW w:w="569" w:type="dxa"/>
            <w:vAlign w:val="center"/>
          </w:tcPr>
          <w:p w14:paraId="6B9B9CF6">
            <w:pPr>
              <w:jc w:val="center"/>
              <w:rPr>
                <w:rFonts w:ascii="宋体" w:hAnsi="宋体"/>
                <w:sz w:val="24"/>
              </w:rPr>
            </w:pPr>
          </w:p>
        </w:tc>
        <w:tc>
          <w:tcPr>
            <w:tcW w:w="1095" w:type="dxa"/>
            <w:vAlign w:val="center"/>
          </w:tcPr>
          <w:p w14:paraId="11D0F5A1">
            <w:pPr>
              <w:jc w:val="center"/>
              <w:rPr>
                <w:rFonts w:ascii="宋体" w:hAnsi="宋体"/>
                <w:sz w:val="24"/>
              </w:rPr>
            </w:pPr>
          </w:p>
        </w:tc>
        <w:tc>
          <w:tcPr>
            <w:tcW w:w="875" w:type="dxa"/>
            <w:vAlign w:val="center"/>
          </w:tcPr>
          <w:p w14:paraId="6703150D">
            <w:pPr>
              <w:jc w:val="center"/>
              <w:rPr>
                <w:rFonts w:ascii="宋体" w:hAnsi="宋体"/>
                <w:sz w:val="24"/>
              </w:rPr>
            </w:pPr>
          </w:p>
        </w:tc>
        <w:tc>
          <w:tcPr>
            <w:tcW w:w="875" w:type="dxa"/>
            <w:vAlign w:val="center"/>
          </w:tcPr>
          <w:p w14:paraId="7E4C204D">
            <w:pPr>
              <w:jc w:val="center"/>
              <w:rPr>
                <w:rFonts w:ascii="宋体" w:hAnsi="宋体"/>
                <w:sz w:val="24"/>
              </w:rPr>
            </w:pPr>
          </w:p>
        </w:tc>
        <w:tc>
          <w:tcPr>
            <w:tcW w:w="1533" w:type="dxa"/>
            <w:vAlign w:val="center"/>
          </w:tcPr>
          <w:p w14:paraId="49A6E8AD">
            <w:pPr>
              <w:jc w:val="center"/>
              <w:rPr>
                <w:rFonts w:ascii="宋体" w:hAnsi="宋体"/>
                <w:sz w:val="24"/>
              </w:rPr>
            </w:pPr>
          </w:p>
        </w:tc>
        <w:tc>
          <w:tcPr>
            <w:tcW w:w="3010" w:type="dxa"/>
            <w:vAlign w:val="center"/>
          </w:tcPr>
          <w:p w14:paraId="310D0BC2">
            <w:pPr>
              <w:jc w:val="center"/>
              <w:rPr>
                <w:rFonts w:ascii="宋体" w:hAnsi="宋体"/>
                <w:sz w:val="24"/>
              </w:rPr>
            </w:pPr>
          </w:p>
        </w:tc>
      </w:tr>
      <w:tr w14:paraId="49AC40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0" w:hRule="atLeast"/>
          <w:jc w:val="center"/>
        </w:trPr>
        <w:tc>
          <w:tcPr>
            <w:tcW w:w="569" w:type="dxa"/>
            <w:vAlign w:val="center"/>
          </w:tcPr>
          <w:p w14:paraId="4C397493">
            <w:pPr>
              <w:jc w:val="center"/>
              <w:rPr>
                <w:rFonts w:ascii="宋体" w:hAnsi="宋体"/>
                <w:sz w:val="24"/>
              </w:rPr>
            </w:pPr>
          </w:p>
        </w:tc>
        <w:tc>
          <w:tcPr>
            <w:tcW w:w="1095" w:type="dxa"/>
            <w:vAlign w:val="center"/>
          </w:tcPr>
          <w:p w14:paraId="1BD46345">
            <w:pPr>
              <w:jc w:val="center"/>
              <w:rPr>
                <w:rFonts w:ascii="宋体" w:hAnsi="宋体"/>
                <w:sz w:val="24"/>
              </w:rPr>
            </w:pPr>
          </w:p>
        </w:tc>
        <w:tc>
          <w:tcPr>
            <w:tcW w:w="875" w:type="dxa"/>
            <w:vAlign w:val="center"/>
          </w:tcPr>
          <w:p w14:paraId="01C56374">
            <w:pPr>
              <w:jc w:val="center"/>
              <w:rPr>
                <w:rFonts w:ascii="宋体" w:hAnsi="宋体"/>
                <w:sz w:val="24"/>
              </w:rPr>
            </w:pPr>
          </w:p>
        </w:tc>
        <w:tc>
          <w:tcPr>
            <w:tcW w:w="875" w:type="dxa"/>
            <w:vAlign w:val="center"/>
          </w:tcPr>
          <w:p w14:paraId="6DCCE7BB">
            <w:pPr>
              <w:jc w:val="center"/>
              <w:rPr>
                <w:rFonts w:ascii="宋体" w:hAnsi="宋体"/>
                <w:sz w:val="24"/>
              </w:rPr>
            </w:pPr>
          </w:p>
        </w:tc>
        <w:tc>
          <w:tcPr>
            <w:tcW w:w="1533" w:type="dxa"/>
            <w:vAlign w:val="center"/>
          </w:tcPr>
          <w:p w14:paraId="441100B4">
            <w:pPr>
              <w:jc w:val="center"/>
              <w:rPr>
                <w:rFonts w:ascii="宋体" w:hAnsi="宋体"/>
                <w:sz w:val="24"/>
              </w:rPr>
            </w:pPr>
          </w:p>
        </w:tc>
        <w:tc>
          <w:tcPr>
            <w:tcW w:w="3010" w:type="dxa"/>
            <w:vAlign w:val="center"/>
          </w:tcPr>
          <w:p w14:paraId="49B96FF9">
            <w:pPr>
              <w:jc w:val="center"/>
              <w:rPr>
                <w:rFonts w:ascii="宋体" w:hAnsi="宋体"/>
                <w:sz w:val="24"/>
              </w:rPr>
            </w:pPr>
          </w:p>
        </w:tc>
      </w:tr>
      <w:tr w14:paraId="150C11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0" w:hRule="atLeast"/>
          <w:jc w:val="center"/>
        </w:trPr>
        <w:tc>
          <w:tcPr>
            <w:tcW w:w="569" w:type="dxa"/>
            <w:vAlign w:val="center"/>
          </w:tcPr>
          <w:p w14:paraId="6CE79C44">
            <w:pPr>
              <w:jc w:val="center"/>
              <w:rPr>
                <w:rFonts w:ascii="宋体" w:hAnsi="宋体"/>
                <w:sz w:val="24"/>
              </w:rPr>
            </w:pPr>
          </w:p>
        </w:tc>
        <w:tc>
          <w:tcPr>
            <w:tcW w:w="1095" w:type="dxa"/>
            <w:vAlign w:val="center"/>
          </w:tcPr>
          <w:p w14:paraId="6E19CFA5">
            <w:pPr>
              <w:jc w:val="center"/>
              <w:rPr>
                <w:rFonts w:ascii="宋体" w:hAnsi="宋体"/>
                <w:sz w:val="24"/>
              </w:rPr>
            </w:pPr>
          </w:p>
        </w:tc>
        <w:tc>
          <w:tcPr>
            <w:tcW w:w="875" w:type="dxa"/>
            <w:vAlign w:val="center"/>
          </w:tcPr>
          <w:p w14:paraId="60983AF2">
            <w:pPr>
              <w:jc w:val="center"/>
              <w:rPr>
                <w:rFonts w:ascii="宋体" w:hAnsi="宋体"/>
                <w:sz w:val="24"/>
              </w:rPr>
            </w:pPr>
          </w:p>
        </w:tc>
        <w:tc>
          <w:tcPr>
            <w:tcW w:w="875" w:type="dxa"/>
            <w:vAlign w:val="center"/>
          </w:tcPr>
          <w:p w14:paraId="280880A2">
            <w:pPr>
              <w:jc w:val="center"/>
              <w:rPr>
                <w:rFonts w:ascii="宋体" w:hAnsi="宋体"/>
                <w:sz w:val="24"/>
              </w:rPr>
            </w:pPr>
          </w:p>
        </w:tc>
        <w:tc>
          <w:tcPr>
            <w:tcW w:w="1533" w:type="dxa"/>
            <w:vAlign w:val="center"/>
          </w:tcPr>
          <w:p w14:paraId="22D82266">
            <w:pPr>
              <w:jc w:val="center"/>
              <w:rPr>
                <w:rFonts w:ascii="宋体" w:hAnsi="宋体"/>
                <w:sz w:val="24"/>
              </w:rPr>
            </w:pPr>
          </w:p>
        </w:tc>
        <w:tc>
          <w:tcPr>
            <w:tcW w:w="3010" w:type="dxa"/>
            <w:vAlign w:val="center"/>
          </w:tcPr>
          <w:p w14:paraId="5BDD8495">
            <w:pPr>
              <w:jc w:val="center"/>
              <w:rPr>
                <w:rFonts w:ascii="宋体" w:hAnsi="宋体"/>
                <w:sz w:val="24"/>
              </w:rPr>
            </w:pPr>
          </w:p>
        </w:tc>
      </w:tr>
      <w:tr w14:paraId="0ACD6A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0" w:hRule="atLeast"/>
          <w:jc w:val="center"/>
        </w:trPr>
        <w:tc>
          <w:tcPr>
            <w:tcW w:w="569" w:type="dxa"/>
            <w:vAlign w:val="center"/>
          </w:tcPr>
          <w:p w14:paraId="5CF2E76C">
            <w:pPr>
              <w:jc w:val="center"/>
              <w:rPr>
                <w:rFonts w:ascii="宋体" w:hAnsi="宋体"/>
                <w:sz w:val="24"/>
              </w:rPr>
            </w:pPr>
          </w:p>
        </w:tc>
        <w:tc>
          <w:tcPr>
            <w:tcW w:w="1095" w:type="dxa"/>
            <w:vAlign w:val="center"/>
          </w:tcPr>
          <w:p w14:paraId="5897F0FB">
            <w:pPr>
              <w:jc w:val="center"/>
              <w:rPr>
                <w:rFonts w:ascii="宋体" w:hAnsi="宋体"/>
                <w:sz w:val="24"/>
              </w:rPr>
            </w:pPr>
          </w:p>
        </w:tc>
        <w:tc>
          <w:tcPr>
            <w:tcW w:w="875" w:type="dxa"/>
            <w:vAlign w:val="center"/>
          </w:tcPr>
          <w:p w14:paraId="7A41DF5B">
            <w:pPr>
              <w:jc w:val="center"/>
              <w:rPr>
                <w:rFonts w:ascii="宋体" w:hAnsi="宋体"/>
                <w:sz w:val="24"/>
              </w:rPr>
            </w:pPr>
          </w:p>
        </w:tc>
        <w:tc>
          <w:tcPr>
            <w:tcW w:w="875" w:type="dxa"/>
            <w:vAlign w:val="center"/>
          </w:tcPr>
          <w:p w14:paraId="6426CF4E">
            <w:pPr>
              <w:jc w:val="center"/>
              <w:rPr>
                <w:rFonts w:ascii="宋体" w:hAnsi="宋体"/>
                <w:sz w:val="24"/>
              </w:rPr>
            </w:pPr>
          </w:p>
        </w:tc>
        <w:tc>
          <w:tcPr>
            <w:tcW w:w="1533" w:type="dxa"/>
            <w:vAlign w:val="center"/>
          </w:tcPr>
          <w:p w14:paraId="733AFE70">
            <w:pPr>
              <w:jc w:val="center"/>
              <w:rPr>
                <w:rFonts w:ascii="宋体" w:hAnsi="宋体"/>
                <w:sz w:val="24"/>
              </w:rPr>
            </w:pPr>
          </w:p>
        </w:tc>
        <w:tc>
          <w:tcPr>
            <w:tcW w:w="3010" w:type="dxa"/>
            <w:vAlign w:val="center"/>
          </w:tcPr>
          <w:p w14:paraId="00E6CA2D">
            <w:pPr>
              <w:jc w:val="center"/>
              <w:rPr>
                <w:rFonts w:ascii="宋体" w:hAnsi="宋体"/>
                <w:sz w:val="24"/>
              </w:rPr>
            </w:pPr>
          </w:p>
        </w:tc>
      </w:tr>
      <w:tr w14:paraId="2DEE26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0" w:hRule="atLeast"/>
          <w:jc w:val="center"/>
        </w:trPr>
        <w:tc>
          <w:tcPr>
            <w:tcW w:w="569" w:type="dxa"/>
            <w:vAlign w:val="center"/>
          </w:tcPr>
          <w:p w14:paraId="5FD1B189">
            <w:pPr>
              <w:jc w:val="center"/>
              <w:rPr>
                <w:rFonts w:ascii="宋体" w:hAnsi="宋体"/>
                <w:sz w:val="24"/>
              </w:rPr>
            </w:pPr>
          </w:p>
        </w:tc>
        <w:tc>
          <w:tcPr>
            <w:tcW w:w="1095" w:type="dxa"/>
            <w:vAlign w:val="center"/>
          </w:tcPr>
          <w:p w14:paraId="4CF38C2B">
            <w:pPr>
              <w:jc w:val="center"/>
              <w:rPr>
                <w:rFonts w:ascii="宋体" w:hAnsi="宋体"/>
                <w:sz w:val="24"/>
              </w:rPr>
            </w:pPr>
          </w:p>
        </w:tc>
        <w:tc>
          <w:tcPr>
            <w:tcW w:w="875" w:type="dxa"/>
            <w:vAlign w:val="center"/>
          </w:tcPr>
          <w:p w14:paraId="3D2AF123">
            <w:pPr>
              <w:jc w:val="center"/>
              <w:rPr>
                <w:rFonts w:ascii="宋体" w:hAnsi="宋体"/>
                <w:sz w:val="24"/>
              </w:rPr>
            </w:pPr>
          </w:p>
        </w:tc>
        <w:tc>
          <w:tcPr>
            <w:tcW w:w="875" w:type="dxa"/>
            <w:vAlign w:val="center"/>
          </w:tcPr>
          <w:p w14:paraId="0F77BC84">
            <w:pPr>
              <w:jc w:val="center"/>
              <w:rPr>
                <w:rFonts w:ascii="宋体" w:hAnsi="宋体"/>
                <w:sz w:val="24"/>
              </w:rPr>
            </w:pPr>
          </w:p>
        </w:tc>
        <w:tc>
          <w:tcPr>
            <w:tcW w:w="1533" w:type="dxa"/>
            <w:vAlign w:val="center"/>
          </w:tcPr>
          <w:p w14:paraId="34D65BAA">
            <w:pPr>
              <w:jc w:val="center"/>
              <w:rPr>
                <w:rFonts w:ascii="宋体" w:hAnsi="宋体"/>
                <w:sz w:val="24"/>
              </w:rPr>
            </w:pPr>
          </w:p>
        </w:tc>
        <w:tc>
          <w:tcPr>
            <w:tcW w:w="3010" w:type="dxa"/>
            <w:vAlign w:val="center"/>
          </w:tcPr>
          <w:p w14:paraId="4506441F">
            <w:pPr>
              <w:jc w:val="center"/>
              <w:rPr>
                <w:rFonts w:ascii="宋体" w:hAnsi="宋体"/>
                <w:sz w:val="24"/>
              </w:rPr>
            </w:pPr>
          </w:p>
        </w:tc>
      </w:tr>
      <w:tr w14:paraId="76394A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0" w:hRule="atLeast"/>
          <w:jc w:val="center"/>
        </w:trPr>
        <w:tc>
          <w:tcPr>
            <w:tcW w:w="569" w:type="dxa"/>
            <w:vAlign w:val="center"/>
          </w:tcPr>
          <w:p w14:paraId="045017ED">
            <w:pPr>
              <w:jc w:val="center"/>
              <w:rPr>
                <w:rFonts w:ascii="宋体" w:hAnsi="宋体"/>
                <w:sz w:val="24"/>
              </w:rPr>
            </w:pPr>
          </w:p>
        </w:tc>
        <w:tc>
          <w:tcPr>
            <w:tcW w:w="1095" w:type="dxa"/>
            <w:vAlign w:val="center"/>
          </w:tcPr>
          <w:p w14:paraId="3C41A0B0">
            <w:pPr>
              <w:jc w:val="center"/>
              <w:rPr>
                <w:rFonts w:ascii="宋体" w:hAnsi="宋体"/>
                <w:sz w:val="24"/>
              </w:rPr>
            </w:pPr>
          </w:p>
        </w:tc>
        <w:tc>
          <w:tcPr>
            <w:tcW w:w="875" w:type="dxa"/>
            <w:vAlign w:val="center"/>
          </w:tcPr>
          <w:p w14:paraId="042F7452">
            <w:pPr>
              <w:jc w:val="center"/>
              <w:rPr>
                <w:rFonts w:ascii="宋体" w:hAnsi="宋体"/>
                <w:sz w:val="24"/>
              </w:rPr>
            </w:pPr>
          </w:p>
        </w:tc>
        <w:tc>
          <w:tcPr>
            <w:tcW w:w="875" w:type="dxa"/>
            <w:vAlign w:val="center"/>
          </w:tcPr>
          <w:p w14:paraId="6ED4BEAD">
            <w:pPr>
              <w:jc w:val="center"/>
              <w:rPr>
                <w:rFonts w:ascii="宋体" w:hAnsi="宋体"/>
                <w:sz w:val="24"/>
              </w:rPr>
            </w:pPr>
          </w:p>
        </w:tc>
        <w:tc>
          <w:tcPr>
            <w:tcW w:w="1533" w:type="dxa"/>
            <w:vAlign w:val="center"/>
          </w:tcPr>
          <w:p w14:paraId="2FE95E40">
            <w:pPr>
              <w:jc w:val="center"/>
              <w:rPr>
                <w:rFonts w:ascii="宋体" w:hAnsi="宋体"/>
                <w:sz w:val="24"/>
              </w:rPr>
            </w:pPr>
          </w:p>
        </w:tc>
        <w:tc>
          <w:tcPr>
            <w:tcW w:w="3010" w:type="dxa"/>
            <w:vAlign w:val="center"/>
          </w:tcPr>
          <w:p w14:paraId="4ADD8C12">
            <w:pPr>
              <w:jc w:val="center"/>
              <w:rPr>
                <w:rFonts w:ascii="宋体" w:hAnsi="宋体"/>
                <w:sz w:val="24"/>
              </w:rPr>
            </w:pPr>
          </w:p>
        </w:tc>
      </w:tr>
      <w:tr w14:paraId="43B74A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5" w:hRule="atLeast"/>
          <w:jc w:val="center"/>
        </w:trPr>
        <w:tc>
          <w:tcPr>
            <w:tcW w:w="569" w:type="dxa"/>
            <w:vAlign w:val="center"/>
          </w:tcPr>
          <w:p w14:paraId="76624E0E">
            <w:pPr>
              <w:jc w:val="center"/>
              <w:rPr>
                <w:rFonts w:ascii="宋体" w:hAnsi="宋体"/>
                <w:sz w:val="24"/>
              </w:rPr>
            </w:pPr>
          </w:p>
        </w:tc>
        <w:tc>
          <w:tcPr>
            <w:tcW w:w="1095" w:type="dxa"/>
            <w:vAlign w:val="center"/>
          </w:tcPr>
          <w:p w14:paraId="6B3B8437">
            <w:pPr>
              <w:jc w:val="center"/>
              <w:rPr>
                <w:rFonts w:ascii="宋体" w:hAnsi="宋体"/>
                <w:sz w:val="24"/>
              </w:rPr>
            </w:pPr>
          </w:p>
        </w:tc>
        <w:tc>
          <w:tcPr>
            <w:tcW w:w="875" w:type="dxa"/>
            <w:vAlign w:val="center"/>
          </w:tcPr>
          <w:p w14:paraId="2344EF8F">
            <w:pPr>
              <w:jc w:val="center"/>
              <w:rPr>
                <w:rFonts w:ascii="宋体" w:hAnsi="宋体"/>
                <w:sz w:val="24"/>
              </w:rPr>
            </w:pPr>
          </w:p>
        </w:tc>
        <w:tc>
          <w:tcPr>
            <w:tcW w:w="875" w:type="dxa"/>
            <w:vAlign w:val="center"/>
          </w:tcPr>
          <w:p w14:paraId="121980C9">
            <w:pPr>
              <w:jc w:val="center"/>
              <w:rPr>
                <w:rFonts w:ascii="宋体" w:hAnsi="宋体"/>
                <w:sz w:val="24"/>
              </w:rPr>
            </w:pPr>
          </w:p>
        </w:tc>
        <w:tc>
          <w:tcPr>
            <w:tcW w:w="1533" w:type="dxa"/>
            <w:vAlign w:val="center"/>
          </w:tcPr>
          <w:p w14:paraId="5716FBCE">
            <w:pPr>
              <w:jc w:val="center"/>
              <w:rPr>
                <w:rFonts w:ascii="宋体" w:hAnsi="宋体"/>
                <w:sz w:val="24"/>
              </w:rPr>
            </w:pPr>
          </w:p>
        </w:tc>
        <w:tc>
          <w:tcPr>
            <w:tcW w:w="3010" w:type="dxa"/>
            <w:vAlign w:val="center"/>
          </w:tcPr>
          <w:p w14:paraId="05695BAE">
            <w:pPr>
              <w:jc w:val="center"/>
              <w:rPr>
                <w:rFonts w:ascii="宋体" w:hAnsi="宋体"/>
                <w:sz w:val="24"/>
              </w:rPr>
            </w:pPr>
          </w:p>
        </w:tc>
      </w:tr>
    </w:tbl>
    <w:p w14:paraId="6256ED3E">
      <w:pPr>
        <w:rPr>
          <w:rFonts w:ascii="宋体" w:hAnsi="宋体"/>
          <w:b/>
          <w:szCs w:val="21"/>
        </w:rPr>
      </w:pPr>
    </w:p>
    <w:p w14:paraId="3176A8B4">
      <w:pPr>
        <w:rPr>
          <w:rFonts w:ascii="宋体" w:hAnsi="宋体"/>
          <w:b/>
          <w:szCs w:val="21"/>
        </w:rPr>
      </w:pPr>
    </w:p>
    <w:p w14:paraId="5D34653B">
      <w:pPr>
        <w:rPr>
          <w:rFonts w:ascii="宋体" w:hAnsi="宋体"/>
          <w:b/>
          <w:szCs w:val="21"/>
        </w:rPr>
      </w:pPr>
    </w:p>
    <w:p w14:paraId="5F2E550D">
      <w:pPr>
        <w:autoSpaceDE w:val="0"/>
        <w:autoSpaceDN w:val="0"/>
        <w:adjustRightInd w:val="0"/>
        <w:snapToGrid w:val="0"/>
        <w:spacing w:line="360" w:lineRule="auto"/>
        <w:ind w:firstLine="630" w:firstLineChars="300"/>
        <w:rPr>
          <w:rFonts w:ascii="宋体" w:hAnsi="宋体" w:cs="宋体"/>
          <w:szCs w:val="21"/>
        </w:rPr>
      </w:pPr>
      <w:r>
        <w:rPr>
          <w:rFonts w:hint="eastAsia" w:ascii="宋体" w:hAnsi="宋体" w:cs="宋体"/>
          <w:kern w:val="0"/>
          <w:szCs w:val="21"/>
        </w:rPr>
        <w:t>投标人：</w:t>
      </w:r>
      <w:r>
        <w:rPr>
          <w:rFonts w:hint="eastAsia" w:ascii="宋体" w:hAnsi="宋体" w:cs="宋体"/>
          <w:spacing w:val="14"/>
          <w:kern w:val="0"/>
          <w:szCs w:val="21"/>
          <w:u w:val="single"/>
        </w:rPr>
        <w:t xml:space="preserve">（单位全称） （电子签章）    </w:t>
      </w:r>
    </w:p>
    <w:p w14:paraId="58FF2B9F">
      <w:pPr>
        <w:autoSpaceDE w:val="0"/>
        <w:autoSpaceDN w:val="0"/>
        <w:adjustRightInd w:val="0"/>
        <w:snapToGrid w:val="0"/>
        <w:spacing w:line="360" w:lineRule="auto"/>
        <w:ind w:firstLine="696" w:firstLineChars="300"/>
        <w:rPr>
          <w:rFonts w:ascii="宋体" w:hAnsi="宋体" w:cs="宋体"/>
          <w:spacing w:val="11"/>
          <w:kern w:val="0"/>
          <w:szCs w:val="21"/>
        </w:rPr>
      </w:pPr>
      <w:r>
        <w:rPr>
          <w:rFonts w:hint="eastAsia" w:ascii="宋体" w:hAnsi="宋体" w:cs="宋体"/>
          <w:spacing w:val="11"/>
          <w:kern w:val="0"/>
          <w:szCs w:val="21"/>
        </w:rPr>
        <w:t>法定代表人或委托代理人：</w:t>
      </w:r>
      <w:r>
        <w:rPr>
          <w:rFonts w:hint="eastAsia" w:ascii="宋体" w:hAnsi="宋体" w:cs="宋体"/>
          <w:spacing w:val="11"/>
          <w:kern w:val="0"/>
          <w:szCs w:val="21"/>
          <w:u w:val="single"/>
        </w:rPr>
        <w:t xml:space="preserve">    （电子签章）</w:t>
      </w:r>
    </w:p>
    <w:p w14:paraId="521284A6">
      <w:pPr>
        <w:autoSpaceDE w:val="0"/>
        <w:autoSpaceDN w:val="0"/>
        <w:adjustRightInd w:val="0"/>
        <w:snapToGrid w:val="0"/>
        <w:spacing w:after="100" w:afterAutospacing="1" w:line="360" w:lineRule="auto"/>
        <w:rPr>
          <w:rFonts w:ascii="宋体" w:hAnsi="宋体" w:cs="宋体"/>
          <w:szCs w:val="21"/>
        </w:rPr>
      </w:pPr>
      <w:r>
        <w:rPr>
          <w:rFonts w:hint="eastAsia" w:ascii="宋体" w:hAnsi="宋体" w:cs="宋体"/>
          <w:szCs w:val="21"/>
        </w:rPr>
        <w:t xml:space="preserve">      日期：  年  月  日</w:t>
      </w:r>
    </w:p>
    <w:p w14:paraId="5B47200C">
      <w:pPr>
        <w:autoSpaceDE w:val="0"/>
        <w:autoSpaceDN w:val="0"/>
        <w:adjustRightInd w:val="0"/>
        <w:snapToGrid w:val="0"/>
        <w:spacing w:line="360" w:lineRule="auto"/>
        <w:rPr>
          <w:rFonts w:ascii="宋体" w:hAnsi="宋体"/>
          <w:b/>
          <w:szCs w:val="21"/>
        </w:rPr>
      </w:pPr>
      <w:r>
        <w:rPr>
          <w:rFonts w:hint="eastAsia" w:ascii="宋体" w:hAnsi="宋体"/>
          <w:b/>
          <w:szCs w:val="21"/>
        </w:rPr>
        <w:t>。</w:t>
      </w:r>
    </w:p>
    <w:p w14:paraId="46AE7DD4">
      <w:pPr>
        <w:rPr>
          <w:rFonts w:ascii="宋体" w:hAnsi="宋体"/>
          <w:szCs w:val="21"/>
        </w:rPr>
      </w:pPr>
    </w:p>
    <w:p w14:paraId="7FDAB4B1">
      <w:pPr>
        <w:pStyle w:val="4"/>
        <w:snapToGrid w:val="0"/>
        <w:spacing w:before="0" w:after="0" w:line="360" w:lineRule="auto"/>
        <w:jc w:val="center"/>
        <w:rPr>
          <w:rStyle w:val="46"/>
          <w:rFonts w:ascii="宋体" w:cs="宋体"/>
          <w:b w:val="0"/>
          <w:bCs w:val="0"/>
        </w:rPr>
      </w:pPr>
      <w:r>
        <w:rPr>
          <w:rFonts w:ascii="宋体"/>
          <w:szCs w:val="21"/>
        </w:rPr>
        <w:br w:type="page"/>
      </w:r>
      <w:bookmarkStart w:id="460" w:name="_Toc30099_WPSOffice_Level1"/>
      <w:bookmarkStart w:id="461" w:name="_Toc12268_WPSOffice_Level1"/>
      <w:bookmarkStart w:id="462" w:name="_Toc24683"/>
      <w:bookmarkStart w:id="463" w:name="_Toc475109683"/>
      <w:bookmarkStart w:id="464" w:name="_Toc271821942"/>
      <w:r>
        <w:rPr>
          <w:rStyle w:val="46"/>
          <w:rFonts w:hint="eastAsia" w:ascii="宋体" w:cs="宋体"/>
          <w:b w:val="0"/>
          <w:bCs w:val="0"/>
          <w:lang w:val="en-US" w:eastAsia="zh-CN"/>
        </w:rPr>
        <w:t>六</w:t>
      </w:r>
      <w:r>
        <w:rPr>
          <w:rStyle w:val="46"/>
          <w:rFonts w:ascii="宋体" w:cs="宋体"/>
          <w:b w:val="0"/>
          <w:bCs w:val="0"/>
        </w:rPr>
        <w:t>、其他资料</w:t>
      </w:r>
      <w:bookmarkEnd w:id="460"/>
      <w:bookmarkEnd w:id="461"/>
      <w:bookmarkEnd w:id="462"/>
      <w:bookmarkEnd w:id="463"/>
      <w:bookmarkEnd w:id="464"/>
    </w:p>
    <w:p w14:paraId="1238A9B5">
      <w:pPr>
        <w:spacing w:line="400" w:lineRule="exact"/>
        <w:rPr>
          <w:rFonts w:ascii="宋体" w:hAnsi="宋体"/>
          <w:szCs w:val="21"/>
        </w:rPr>
      </w:pPr>
    </w:p>
    <w:p w14:paraId="4D0F648F">
      <w:pPr>
        <w:autoSpaceDE w:val="0"/>
        <w:autoSpaceDN w:val="0"/>
        <w:spacing w:line="360" w:lineRule="auto"/>
        <w:jc w:val="center"/>
        <w:rPr>
          <w:rFonts w:ascii="宋体" w:hAnsi="宋体"/>
          <w:b/>
          <w:kern w:val="0"/>
          <w:szCs w:val="21"/>
        </w:rPr>
      </w:pPr>
      <w:r>
        <w:rPr>
          <w:rFonts w:hint="eastAsia" w:ascii="宋体" w:hAnsi="宋体"/>
          <w:b/>
          <w:szCs w:val="21"/>
        </w:rPr>
        <w:t>投标人认为需要提供的其他材料</w:t>
      </w:r>
    </w:p>
    <w:p w14:paraId="0ADA5A8C">
      <w:pPr>
        <w:rPr>
          <w:rFonts w:ascii="宋体" w:hAnsi="宋体"/>
          <w:szCs w:val="21"/>
        </w:rPr>
      </w:pPr>
    </w:p>
    <w:p w14:paraId="4D043091">
      <w:pPr>
        <w:rPr>
          <w:rFonts w:ascii="宋体" w:hAnsi="宋体"/>
          <w:szCs w:val="21"/>
        </w:rPr>
      </w:pPr>
    </w:p>
    <w:p w14:paraId="3CEACC81">
      <w:pPr>
        <w:rPr>
          <w:rFonts w:ascii="宋体" w:hAnsi="宋体"/>
          <w:szCs w:val="21"/>
        </w:rPr>
      </w:pPr>
    </w:p>
    <w:bookmarkEnd w:id="433"/>
    <w:p w14:paraId="5D09E534">
      <w:pPr>
        <w:pStyle w:val="4"/>
        <w:snapToGrid w:val="0"/>
        <w:spacing w:before="0" w:after="0" w:line="360" w:lineRule="auto"/>
        <w:rPr>
          <w:rFonts w:ascii="宋体"/>
        </w:rPr>
      </w:pPr>
    </w:p>
    <w:p w14:paraId="1FCFD51F">
      <w:pPr>
        <w:jc w:val="right"/>
        <w:rPr>
          <w:rFonts w:ascii="宋体" w:hAnsi="宋体"/>
        </w:rPr>
      </w:pPr>
    </w:p>
    <w:p w14:paraId="7B359AD7">
      <w:pPr>
        <w:rPr>
          <w:rFonts w:ascii="宋体" w:hAnsi="宋体"/>
        </w:rPr>
      </w:pPr>
    </w:p>
    <w:p w14:paraId="66EC8081"/>
    <w:p w14:paraId="73785E07"/>
    <w:p w14:paraId="7E967772">
      <w:pPr>
        <w:widowControl/>
        <w:jc w:val="left"/>
      </w:pPr>
      <w:r>
        <w:br w:type="page"/>
      </w:r>
    </w:p>
    <w:p w14:paraId="24EDEBA7">
      <w:pPr>
        <w:widowControl/>
        <w:spacing w:line="360" w:lineRule="exact"/>
        <w:rPr>
          <w:rFonts w:hint="eastAsia" w:ascii="仿宋" w:hAnsi="仿宋" w:eastAsia="仿宋" w:cs="宋体"/>
          <w:sz w:val="24"/>
        </w:rPr>
      </w:pPr>
      <w:r>
        <w:rPr>
          <w:rFonts w:ascii="仿宋" w:hAnsi="仿宋" w:eastAsia="仿宋" w:cs="宋体"/>
          <w:sz w:val="24"/>
        </w:rPr>
        <w:t>附件</w:t>
      </w:r>
      <w:r>
        <w:rPr>
          <w:rFonts w:hint="eastAsia" w:ascii="仿宋" w:hAnsi="仿宋" w:eastAsia="仿宋" w:cs="宋体"/>
          <w:sz w:val="24"/>
        </w:rPr>
        <w:t>一</w:t>
      </w:r>
    </w:p>
    <w:p w14:paraId="25156451">
      <w:pPr>
        <w:spacing w:line="360" w:lineRule="exact"/>
        <w:jc w:val="center"/>
        <w:rPr>
          <w:rFonts w:ascii="仿宋" w:hAnsi="仿宋" w:eastAsia="仿宋"/>
          <w:b/>
          <w:spacing w:val="6"/>
          <w:sz w:val="24"/>
        </w:rPr>
      </w:pPr>
      <w:r>
        <w:rPr>
          <w:rFonts w:ascii="仿宋" w:hAnsi="仿宋" w:eastAsia="仿宋"/>
          <w:b/>
          <w:spacing w:val="6"/>
          <w:sz w:val="24"/>
        </w:rPr>
        <w:t>中小企业声明函（货物）</w:t>
      </w:r>
    </w:p>
    <w:p w14:paraId="5CCA75A9">
      <w:pPr>
        <w:widowControl/>
        <w:spacing w:line="360" w:lineRule="exact"/>
        <w:ind w:firstLine="480" w:firstLineChars="200"/>
        <w:rPr>
          <w:rFonts w:ascii="仿宋" w:hAnsi="仿宋" w:eastAsia="仿宋" w:cs="宋体"/>
          <w:sz w:val="24"/>
        </w:rPr>
      </w:pPr>
    </w:p>
    <w:p w14:paraId="34DE99C3">
      <w:pPr>
        <w:widowControl/>
        <w:spacing w:line="360" w:lineRule="exact"/>
        <w:ind w:firstLine="480" w:firstLineChars="200"/>
        <w:rPr>
          <w:rFonts w:ascii="仿宋" w:hAnsi="仿宋" w:eastAsia="仿宋" w:cs="宋体"/>
          <w:sz w:val="24"/>
        </w:rPr>
      </w:pPr>
      <w:r>
        <w:rPr>
          <w:rFonts w:ascii="仿宋" w:hAnsi="仿宋" w:eastAsia="仿宋" w:cs="宋体"/>
          <w:sz w:val="24"/>
        </w:rPr>
        <w:t>本公司（联合体）郑重声明，根据《政府采购促进中小企业发展管理办法》（财库﹝2020﹞46 号）的规定，本公司（联合体）参加</w:t>
      </w:r>
      <w:r>
        <w:rPr>
          <w:rFonts w:ascii="仿宋" w:hAnsi="仿宋" w:eastAsia="仿宋" w:cs="宋体"/>
          <w:sz w:val="24"/>
          <w:u w:val="single"/>
        </w:rPr>
        <w:t xml:space="preserve">     （单位名称）</w:t>
      </w:r>
      <w:r>
        <w:rPr>
          <w:rFonts w:ascii="仿宋" w:hAnsi="仿宋" w:eastAsia="仿宋" w:cs="宋体"/>
          <w:sz w:val="24"/>
        </w:rPr>
        <w:t xml:space="preserve"> 的</w:t>
      </w:r>
      <w:r>
        <w:rPr>
          <w:rFonts w:ascii="仿宋" w:hAnsi="仿宋" w:eastAsia="仿宋" w:cs="宋体"/>
          <w:sz w:val="24"/>
          <w:u w:val="single"/>
        </w:rPr>
        <w:t xml:space="preserve">  （项目名称） </w:t>
      </w:r>
      <w:r>
        <w:rPr>
          <w:rFonts w:ascii="仿宋" w:hAnsi="仿宋" w:eastAsia="仿宋" w:cs="宋体"/>
          <w:sz w:val="24"/>
        </w:rPr>
        <w:t>采购活动，提供的货物全部由符合政策要求的中小企业制造。相关企业（含联合体中的中小企业、签订分包意向协议的中小企业）的具体情况如下：</w:t>
      </w:r>
    </w:p>
    <w:p w14:paraId="209E52AE">
      <w:pPr>
        <w:widowControl/>
        <w:spacing w:line="360" w:lineRule="exact"/>
        <w:ind w:firstLine="480" w:firstLineChars="200"/>
        <w:rPr>
          <w:rFonts w:ascii="仿宋" w:hAnsi="仿宋" w:eastAsia="仿宋" w:cs="宋体"/>
          <w:sz w:val="24"/>
        </w:rPr>
      </w:pPr>
      <w:r>
        <w:rPr>
          <w:rFonts w:ascii="仿宋" w:hAnsi="仿宋" w:eastAsia="仿宋" w:cs="宋体"/>
          <w:sz w:val="24"/>
        </w:rPr>
        <w:t>1.</w:t>
      </w:r>
      <w:r>
        <w:rPr>
          <w:rFonts w:ascii="仿宋" w:hAnsi="仿宋" w:eastAsia="仿宋" w:cs="宋体"/>
          <w:sz w:val="24"/>
          <w:u w:val="single"/>
        </w:rPr>
        <w:t xml:space="preserve">     （标的名称）</w:t>
      </w:r>
      <w:r>
        <w:rPr>
          <w:rFonts w:ascii="仿宋" w:hAnsi="仿宋" w:eastAsia="仿宋" w:cs="宋体"/>
          <w:sz w:val="24"/>
        </w:rPr>
        <w:t xml:space="preserve"> ，属于</w:t>
      </w:r>
      <w:r>
        <w:rPr>
          <w:rFonts w:ascii="仿宋" w:hAnsi="仿宋" w:eastAsia="仿宋" w:cs="宋体"/>
          <w:sz w:val="24"/>
          <w:u w:val="single"/>
        </w:rPr>
        <w:t xml:space="preserve">     （采购文件中明确的所属行业）</w:t>
      </w:r>
      <w:r>
        <w:rPr>
          <w:rFonts w:ascii="仿宋" w:hAnsi="仿宋" w:eastAsia="仿宋" w:cs="宋体"/>
          <w:sz w:val="24"/>
        </w:rPr>
        <w:t>行业 ；制造商为</w:t>
      </w:r>
      <w:r>
        <w:rPr>
          <w:rFonts w:ascii="仿宋" w:hAnsi="仿宋" w:eastAsia="仿宋" w:cs="宋体"/>
          <w:sz w:val="24"/>
          <w:u w:val="single"/>
        </w:rPr>
        <w:t xml:space="preserve">     （企业名称） </w:t>
      </w:r>
      <w:r>
        <w:rPr>
          <w:rFonts w:ascii="仿宋" w:hAnsi="仿宋" w:eastAsia="仿宋" w:cs="宋体"/>
          <w:sz w:val="24"/>
        </w:rPr>
        <w:t>，从业人员</w:t>
      </w:r>
      <w:r>
        <w:rPr>
          <w:rFonts w:ascii="仿宋" w:hAnsi="仿宋" w:eastAsia="仿宋" w:cs="宋体"/>
          <w:sz w:val="24"/>
          <w:u w:val="single"/>
        </w:rPr>
        <w:t xml:space="preserve">     </w:t>
      </w:r>
      <w:r>
        <w:rPr>
          <w:rFonts w:ascii="仿宋" w:hAnsi="仿宋" w:eastAsia="仿宋" w:cs="宋体"/>
          <w:sz w:val="24"/>
        </w:rPr>
        <w:t>人，营业收入为</w:t>
      </w:r>
      <w:r>
        <w:rPr>
          <w:rFonts w:ascii="仿宋" w:hAnsi="仿宋" w:eastAsia="仿宋" w:cs="宋体"/>
          <w:sz w:val="24"/>
          <w:u w:val="single"/>
        </w:rPr>
        <w:t xml:space="preserve">    </w:t>
      </w:r>
      <w:r>
        <w:rPr>
          <w:rFonts w:ascii="仿宋" w:hAnsi="仿宋" w:eastAsia="仿宋" w:cs="宋体"/>
          <w:sz w:val="24"/>
        </w:rPr>
        <w:t>万元，资产总额为</w:t>
      </w:r>
      <w:r>
        <w:rPr>
          <w:rFonts w:ascii="仿宋" w:hAnsi="仿宋" w:eastAsia="仿宋" w:cs="宋体"/>
          <w:sz w:val="24"/>
          <w:u w:val="single"/>
        </w:rPr>
        <w:t xml:space="preserve">    </w:t>
      </w:r>
      <w:r>
        <w:rPr>
          <w:rFonts w:ascii="仿宋" w:hAnsi="仿宋" w:eastAsia="仿宋" w:cs="宋体"/>
          <w:sz w:val="24"/>
        </w:rPr>
        <w:t>万元，属于</w:t>
      </w:r>
      <w:r>
        <w:rPr>
          <w:rFonts w:ascii="仿宋" w:hAnsi="仿宋" w:eastAsia="仿宋" w:cs="宋体"/>
          <w:sz w:val="24"/>
          <w:u w:val="single"/>
        </w:rPr>
        <w:t xml:space="preserve">   （中型企业、小型企业、微型企业）</w:t>
      </w:r>
      <w:r>
        <w:rPr>
          <w:rFonts w:ascii="仿宋" w:hAnsi="仿宋" w:eastAsia="仿宋" w:cs="宋体"/>
          <w:sz w:val="24"/>
        </w:rPr>
        <w:t xml:space="preserve"> ；</w:t>
      </w:r>
    </w:p>
    <w:p w14:paraId="63575E22">
      <w:pPr>
        <w:widowControl/>
        <w:spacing w:line="360" w:lineRule="exact"/>
        <w:ind w:firstLine="480" w:firstLineChars="200"/>
        <w:rPr>
          <w:rFonts w:ascii="仿宋" w:hAnsi="仿宋" w:eastAsia="仿宋" w:cs="宋体"/>
          <w:sz w:val="24"/>
        </w:rPr>
      </w:pPr>
      <w:r>
        <w:rPr>
          <w:rFonts w:ascii="仿宋" w:hAnsi="仿宋" w:eastAsia="仿宋" w:cs="宋体"/>
          <w:sz w:val="24"/>
        </w:rPr>
        <w:t>2.</w:t>
      </w:r>
      <w:r>
        <w:rPr>
          <w:rFonts w:ascii="仿宋" w:hAnsi="仿宋" w:eastAsia="仿宋" w:cs="宋体"/>
          <w:sz w:val="24"/>
          <w:u w:val="single"/>
        </w:rPr>
        <w:t xml:space="preserve">     （标的名称）</w:t>
      </w:r>
      <w:r>
        <w:rPr>
          <w:rFonts w:ascii="仿宋" w:hAnsi="仿宋" w:eastAsia="仿宋" w:cs="宋体"/>
          <w:sz w:val="24"/>
        </w:rPr>
        <w:t xml:space="preserve"> ，属于</w:t>
      </w:r>
      <w:r>
        <w:rPr>
          <w:rFonts w:ascii="仿宋" w:hAnsi="仿宋" w:eastAsia="仿宋" w:cs="宋体"/>
          <w:sz w:val="24"/>
          <w:u w:val="single"/>
        </w:rPr>
        <w:t xml:space="preserve">     （采购文件中明确的所属行业）</w:t>
      </w:r>
      <w:r>
        <w:rPr>
          <w:rFonts w:ascii="仿宋" w:hAnsi="仿宋" w:eastAsia="仿宋" w:cs="宋体"/>
          <w:sz w:val="24"/>
        </w:rPr>
        <w:t>行业 ；制造商为</w:t>
      </w:r>
      <w:r>
        <w:rPr>
          <w:rFonts w:ascii="仿宋" w:hAnsi="仿宋" w:eastAsia="仿宋" w:cs="宋体"/>
          <w:sz w:val="24"/>
          <w:u w:val="single"/>
        </w:rPr>
        <w:t xml:space="preserve">     （企业名称） </w:t>
      </w:r>
      <w:r>
        <w:rPr>
          <w:rFonts w:ascii="仿宋" w:hAnsi="仿宋" w:eastAsia="仿宋" w:cs="宋体"/>
          <w:sz w:val="24"/>
        </w:rPr>
        <w:t>，从业人员</w:t>
      </w:r>
      <w:r>
        <w:rPr>
          <w:rFonts w:ascii="仿宋" w:hAnsi="仿宋" w:eastAsia="仿宋" w:cs="宋体"/>
          <w:sz w:val="24"/>
          <w:u w:val="single"/>
        </w:rPr>
        <w:t xml:space="preserve">     </w:t>
      </w:r>
      <w:r>
        <w:rPr>
          <w:rFonts w:ascii="仿宋" w:hAnsi="仿宋" w:eastAsia="仿宋" w:cs="宋体"/>
          <w:sz w:val="24"/>
        </w:rPr>
        <w:t>人，营业收入为</w:t>
      </w:r>
      <w:r>
        <w:rPr>
          <w:rFonts w:ascii="仿宋" w:hAnsi="仿宋" w:eastAsia="仿宋" w:cs="宋体"/>
          <w:sz w:val="24"/>
          <w:u w:val="single"/>
        </w:rPr>
        <w:t xml:space="preserve">    </w:t>
      </w:r>
      <w:r>
        <w:rPr>
          <w:rFonts w:ascii="仿宋" w:hAnsi="仿宋" w:eastAsia="仿宋" w:cs="宋体"/>
          <w:sz w:val="24"/>
        </w:rPr>
        <w:t>万元，资产总额为</w:t>
      </w:r>
      <w:r>
        <w:rPr>
          <w:rFonts w:ascii="仿宋" w:hAnsi="仿宋" w:eastAsia="仿宋" w:cs="宋体"/>
          <w:sz w:val="24"/>
          <w:u w:val="single"/>
        </w:rPr>
        <w:t xml:space="preserve">    </w:t>
      </w:r>
      <w:r>
        <w:rPr>
          <w:rFonts w:ascii="仿宋" w:hAnsi="仿宋" w:eastAsia="仿宋" w:cs="宋体"/>
          <w:sz w:val="24"/>
        </w:rPr>
        <w:t>万元，属于</w:t>
      </w:r>
      <w:r>
        <w:rPr>
          <w:rFonts w:ascii="仿宋" w:hAnsi="仿宋" w:eastAsia="仿宋" w:cs="宋体"/>
          <w:sz w:val="24"/>
          <w:u w:val="single"/>
        </w:rPr>
        <w:t xml:space="preserve">   （中型企业、小型企业、微型企业）</w:t>
      </w:r>
      <w:r>
        <w:rPr>
          <w:rFonts w:ascii="仿宋" w:hAnsi="仿宋" w:eastAsia="仿宋" w:cs="宋体"/>
          <w:sz w:val="24"/>
        </w:rPr>
        <w:t xml:space="preserve"> ；</w:t>
      </w:r>
    </w:p>
    <w:p w14:paraId="2F301911">
      <w:pPr>
        <w:widowControl/>
        <w:spacing w:line="360" w:lineRule="exact"/>
        <w:ind w:firstLine="480" w:firstLineChars="200"/>
        <w:rPr>
          <w:rFonts w:ascii="仿宋" w:hAnsi="仿宋" w:eastAsia="仿宋" w:cs="宋体"/>
          <w:sz w:val="24"/>
        </w:rPr>
      </w:pPr>
      <w:r>
        <w:rPr>
          <w:rFonts w:ascii="仿宋" w:hAnsi="仿宋" w:eastAsia="仿宋" w:cs="宋体"/>
          <w:sz w:val="24"/>
        </w:rPr>
        <w:t>……</w:t>
      </w:r>
    </w:p>
    <w:p w14:paraId="5C02C2F6">
      <w:pPr>
        <w:widowControl/>
        <w:spacing w:line="360" w:lineRule="exact"/>
        <w:ind w:firstLine="480" w:firstLineChars="200"/>
        <w:rPr>
          <w:rFonts w:ascii="仿宋" w:hAnsi="仿宋" w:eastAsia="仿宋" w:cs="宋体"/>
          <w:sz w:val="24"/>
        </w:rPr>
      </w:pPr>
      <w:r>
        <w:rPr>
          <w:rFonts w:ascii="仿宋" w:hAnsi="仿宋" w:eastAsia="仿宋" w:cs="宋体"/>
          <w:sz w:val="24"/>
        </w:rPr>
        <w:t>以上企业，不属于大企业的分支机构，不存在控股股东为大企业的情形，也不存在与大企业的负责人为同一人的情形。</w:t>
      </w:r>
    </w:p>
    <w:p w14:paraId="2AAE8B67">
      <w:pPr>
        <w:widowControl/>
        <w:spacing w:line="360" w:lineRule="exact"/>
        <w:ind w:firstLine="480" w:firstLineChars="200"/>
        <w:rPr>
          <w:rFonts w:ascii="仿宋" w:hAnsi="仿宋" w:eastAsia="仿宋" w:cs="宋体"/>
          <w:sz w:val="24"/>
        </w:rPr>
      </w:pPr>
      <w:r>
        <w:rPr>
          <w:rFonts w:ascii="仿宋" w:hAnsi="仿宋" w:eastAsia="仿宋" w:cs="宋体"/>
          <w:sz w:val="24"/>
        </w:rPr>
        <w:t>本企业对上述声明内容的真实性负责。如有虚假，将依法承担相应责任。</w:t>
      </w:r>
    </w:p>
    <w:p w14:paraId="4243E343">
      <w:pPr>
        <w:pStyle w:val="15"/>
        <w:spacing w:after="0" w:line="360" w:lineRule="exact"/>
        <w:rPr>
          <w:rFonts w:ascii="仿宋" w:hAnsi="仿宋" w:eastAsia="仿宋"/>
          <w:sz w:val="24"/>
        </w:rPr>
      </w:pPr>
    </w:p>
    <w:p w14:paraId="1F0E6006">
      <w:pPr>
        <w:spacing w:line="360" w:lineRule="exact"/>
        <w:rPr>
          <w:rFonts w:ascii="仿宋" w:hAnsi="仿宋" w:eastAsia="仿宋"/>
          <w:sz w:val="24"/>
        </w:rPr>
      </w:pPr>
    </w:p>
    <w:p w14:paraId="60968398">
      <w:pPr>
        <w:widowControl/>
        <w:spacing w:line="360" w:lineRule="exact"/>
        <w:ind w:firstLine="4677" w:firstLineChars="1949"/>
        <w:rPr>
          <w:rFonts w:ascii="仿宋" w:hAnsi="仿宋" w:eastAsia="仿宋" w:cs="宋体"/>
          <w:sz w:val="24"/>
        </w:rPr>
      </w:pPr>
      <w:r>
        <w:rPr>
          <w:rFonts w:ascii="仿宋" w:hAnsi="仿宋" w:eastAsia="仿宋" w:cs="宋体"/>
          <w:sz w:val="24"/>
        </w:rPr>
        <w:t>企业名称（盖章）：</w:t>
      </w:r>
    </w:p>
    <w:p w14:paraId="1CF44483">
      <w:pPr>
        <w:widowControl/>
        <w:spacing w:line="360" w:lineRule="exact"/>
        <w:ind w:firstLine="4677" w:firstLineChars="1949"/>
        <w:rPr>
          <w:rFonts w:ascii="仿宋" w:hAnsi="仿宋" w:eastAsia="仿宋" w:cs="宋体"/>
          <w:sz w:val="24"/>
        </w:rPr>
      </w:pPr>
      <w:r>
        <w:rPr>
          <w:rFonts w:ascii="仿宋" w:hAnsi="仿宋" w:eastAsia="仿宋" w:cs="宋体"/>
          <w:sz w:val="24"/>
        </w:rPr>
        <w:t>日 期：</w:t>
      </w:r>
    </w:p>
    <w:p w14:paraId="7A89267C">
      <w:pPr>
        <w:widowControl/>
        <w:spacing w:line="360" w:lineRule="exact"/>
        <w:ind w:firstLine="480" w:firstLineChars="200"/>
        <w:rPr>
          <w:rFonts w:ascii="仿宋" w:hAnsi="仿宋" w:eastAsia="仿宋" w:cs="宋体"/>
          <w:sz w:val="24"/>
        </w:rPr>
      </w:pPr>
    </w:p>
    <w:p w14:paraId="65FA856F">
      <w:pPr>
        <w:widowControl/>
        <w:spacing w:line="360" w:lineRule="exact"/>
        <w:ind w:firstLine="480" w:firstLineChars="200"/>
        <w:rPr>
          <w:rFonts w:ascii="仿宋" w:hAnsi="仿宋" w:eastAsia="仿宋" w:cs="宋体"/>
          <w:sz w:val="24"/>
        </w:rPr>
      </w:pPr>
    </w:p>
    <w:p w14:paraId="015100D5">
      <w:pPr>
        <w:widowControl/>
        <w:spacing w:line="360" w:lineRule="exact"/>
        <w:ind w:firstLine="480" w:firstLineChars="200"/>
        <w:rPr>
          <w:rFonts w:ascii="仿宋" w:hAnsi="仿宋" w:eastAsia="仿宋"/>
          <w:sz w:val="24"/>
        </w:rPr>
      </w:pPr>
      <w:r>
        <w:rPr>
          <w:rFonts w:ascii="仿宋" w:hAnsi="仿宋" w:eastAsia="仿宋" w:cs="宋体"/>
          <w:sz w:val="24"/>
        </w:rPr>
        <w:t>注：从业人员、营业收入、资产总额填报上一年度数据，无上一年度数据的新企业可不填报。</w:t>
      </w:r>
    </w:p>
    <w:p w14:paraId="021DC219">
      <w:pPr>
        <w:pStyle w:val="15"/>
        <w:spacing w:after="0" w:line="360" w:lineRule="exact"/>
        <w:rPr>
          <w:rFonts w:ascii="仿宋" w:hAnsi="仿宋" w:eastAsia="仿宋"/>
          <w:sz w:val="24"/>
        </w:rPr>
      </w:pPr>
    </w:p>
    <w:p w14:paraId="48AF06C3">
      <w:pPr>
        <w:spacing w:line="360" w:lineRule="exact"/>
        <w:jc w:val="center"/>
        <w:rPr>
          <w:rFonts w:ascii="仿宋" w:hAnsi="仿宋" w:eastAsia="仿宋"/>
          <w:b/>
          <w:spacing w:val="6"/>
          <w:sz w:val="24"/>
        </w:rPr>
      </w:pPr>
      <w:r>
        <w:rPr>
          <w:rFonts w:ascii="仿宋" w:hAnsi="仿宋" w:eastAsia="仿宋"/>
          <w:b/>
          <w:spacing w:val="6"/>
          <w:sz w:val="24"/>
        </w:rPr>
        <w:br w:type="page"/>
      </w:r>
      <w:r>
        <w:rPr>
          <w:rFonts w:ascii="仿宋" w:hAnsi="仿宋" w:eastAsia="仿宋"/>
          <w:b/>
          <w:spacing w:val="6"/>
          <w:sz w:val="24"/>
        </w:rPr>
        <w:t>中小企业声明函（工程、服务）</w:t>
      </w:r>
    </w:p>
    <w:p w14:paraId="60019FBF">
      <w:pPr>
        <w:widowControl/>
        <w:spacing w:line="360" w:lineRule="exact"/>
        <w:ind w:firstLine="480" w:firstLineChars="200"/>
        <w:rPr>
          <w:rFonts w:ascii="仿宋" w:hAnsi="仿宋" w:eastAsia="仿宋" w:cs="宋体"/>
          <w:sz w:val="24"/>
        </w:rPr>
      </w:pPr>
    </w:p>
    <w:p w14:paraId="20BB1BCC">
      <w:pPr>
        <w:widowControl/>
        <w:spacing w:line="360" w:lineRule="exact"/>
        <w:ind w:firstLine="480" w:firstLineChars="200"/>
        <w:rPr>
          <w:rFonts w:ascii="仿宋" w:hAnsi="仿宋" w:eastAsia="仿宋" w:cs="宋体"/>
          <w:sz w:val="24"/>
        </w:rPr>
      </w:pPr>
      <w:r>
        <w:rPr>
          <w:rFonts w:ascii="仿宋" w:hAnsi="仿宋" w:eastAsia="仿宋" w:cs="宋体"/>
          <w:sz w:val="24"/>
        </w:rPr>
        <w:t>本公司（联合体）郑重声明，根据《政府采购促进中小企业发展管理办法》（财库﹝2020﹞46 号）的规定，本公司（联合体）参加</w:t>
      </w:r>
      <w:r>
        <w:rPr>
          <w:rFonts w:ascii="仿宋" w:hAnsi="仿宋" w:eastAsia="仿宋" w:cs="宋体"/>
          <w:sz w:val="24"/>
          <w:u w:val="single"/>
        </w:rPr>
        <w:t xml:space="preserve">     （单位名称）</w:t>
      </w:r>
      <w:r>
        <w:rPr>
          <w:rFonts w:ascii="仿宋" w:hAnsi="仿宋" w:eastAsia="仿宋" w:cs="宋体"/>
          <w:sz w:val="24"/>
        </w:rPr>
        <w:t xml:space="preserve"> 的</w:t>
      </w:r>
      <w:r>
        <w:rPr>
          <w:rFonts w:ascii="仿宋" w:hAnsi="仿宋" w:eastAsia="仿宋" w:cs="宋体"/>
          <w:sz w:val="24"/>
          <w:u w:val="single"/>
        </w:rPr>
        <w:t xml:space="preserve">  （项目名称） </w:t>
      </w:r>
      <w:r>
        <w:rPr>
          <w:rFonts w:ascii="仿宋" w:hAnsi="仿宋" w:eastAsia="仿宋" w:cs="宋体"/>
          <w:sz w:val="24"/>
        </w:rPr>
        <w:t>采购活动，工程的施工单位全部为符合政策要求的中小企业（或者：服务全部由符合政策要求的中小企业承接）。相关企业（含联合体中的中小企业、签订分包意向协议的中小企业）的具体情况如下：</w:t>
      </w:r>
    </w:p>
    <w:p w14:paraId="683CEE2F">
      <w:pPr>
        <w:widowControl/>
        <w:spacing w:line="360" w:lineRule="exact"/>
        <w:ind w:firstLine="480" w:firstLineChars="200"/>
        <w:rPr>
          <w:rFonts w:ascii="仿宋" w:hAnsi="仿宋" w:eastAsia="仿宋" w:cs="宋体"/>
          <w:sz w:val="24"/>
        </w:rPr>
      </w:pPr>
      <w:r>
        <w:rPr>
          <w:rFonts w:ascii="仿宋" w:hAnsi="仿宋" w:eastAsia="仿宋" w:cs="宋体"/>
          <w:sz w:val="24"/>
        </w:rPr>
        <w:t>1.</w:t>
      </w:r>
      <w:r>
        <w:rPr>
          <w:rFonts w:ascii="仿宋" w:hAnsi="仿宋" w:eastAsia="仿宋" w:cs="宋体"/>
          <w:sz w:val="24"/>
          <w:u w:val="single"/>
        </w:rPr>
        <w:t xml:space="preserve">     （标的名称）</w:t>
      </w:r>
      <w:r>
        <w:rPr>
          <w:rFonts w:ascii="仿宋" w:hAnsi="仿宋" w:eastAsia="仿宋" w:cs="宋体"/>
          <w:sz w:val="24"/>
        </w:rPr>
        <w:t xml:space="preserve"> ，属于</w:t>
      </w:r>
      <w:r>
        <w:rPr>
          <w:rFonts w:ascii="仿宋" w:hAnsi="仿宋" w:eastAsia="仿宋" w:cs="宋体"/>
          <w:sz w:val="24"/>
          <w:u w:val="single"/>
        </w:rPr>
        <w:t xml:space="preserve">     （采购文件中明确的所属行业）</w:t>
      </w:r>
      <w:r>
        <w:rPr>
          <w:rFonts w:ascii="仿宋" w:hAnsi="仿宋" w:eastAsia="仿宋" w:cs="宋体"/>
          <w:sz w:val="24"/>
        </w:rPr>
        <w:t>行业 ；承建（承接）企业为</w:t>
      </w:r>
      <w:r>
        <w:rPr>
          <w:rFonts w:ascii="仿宋" w:hAnsi="仿宋" w:eastAsia="仿宋" w:cs="宋体"/>
          <w:sz w:val="24"/>
          <w:u w:val="single"/>
        </w:rPr>
        <w:t xml:space="preserve">     （企业名称） </w:t>
      </w:r>
      <w:r>
        <w:rPr>
          <w:rFonts w:ascii="仿宋" w:hAnsi="仿宋" w:eastAsia="仿宋" w:cs="宋体"/>
          <w:sz w:val="24"/>
        </w:rPr>
        <w:t>，从业人员</w:t>
      </w:r>
      <w:r>
        <w:rPr>
          <w:rFonts w:ascii="仿宋" w:hAnsi="仿宋" w:eastAsia="仿宋" w:cs="宋体"/>
          <w:sz w:val="24"/>
          <w:u w:val="single"/>
        </w:rPr>
        <w:t xml:space="preserve">     </w:t>
      </w:r>
      <w:r>
        <w:rPr>
          <w:rFonts w:ascii="仿宋" w:hAnsi="仿宋" w:eastAsia="仿宋" w:cs="宋体"/>
          <w:sz w:val="24"/>
        </w:rPr>
        <w:t>人，营业收入为</w:t>
      </w:r>
      <w:r>
        <w:rPr>
          <w:rFonts w:ascii="仿宋" w:hAnsi="仿宋" w:eastAsia="仿宋" w:cs="宋体"/>
          <w:sz w:val="24"/>
          <w:u w:val="single"/>
        </w:rPr>
        <w:t xml:space="preserve">    </w:t>
      </w:r>
      <w:r>
        <w:rPr>
          <w:rFonts w:ascii="仿宋" w:hAnsi="仿宋" w:eastAsia="仿宋" w:cs="宋体"/>
          <w:sz w:val="24"/>
        </w:rPr>
        <w:t>万元，资产总额为</w:t>
      </w:r>
      <w:r>
        <w:rPr>
          <w:rFonts w:ascii="仿宋" w:hAnsi="仿宋" w:eastAsia="仿宋" w:cs="宋体"/>
          <w:sz w:val="24"/>
          <w:u w:val="single"/>
        </w:rPr>
        <w:t xml:space="preserve">    </w:t>
      </w:r>
      <w:r>
        <w:rPr>
          <w:rFonts w:ascii="仿宋" w:hAnsi="仿宋" w:eastAsia="仿宋" w:cs="宋体"/>
          <w:sz w:val="24"/>
        </w:rPr>
        <w:t>万元，属于</w:t>
      </w:r>
      <w:r>
        <w:rPr>
          <w:rFonts w:ascii="仿宋" w:hAnsi="仿宋" w:eastAsia="仿宋" w:cs="宋体"/>
          <w:sz w:val="24"/>
          <w:u w:val="single"/>
        </w:rPr>
        <w:t xml:space="preserve">   （中型企业、小型企业、微型企业）</w:t>
      </w:r>
      <w:r>
        <w:rPr>
          <w:rFonts w:ascii="仿宋" w:hAnsi="仿宋" w:eastAsia="仿宋" w:cs="宋体"/>
          <w:sz w:val="24"/>
        </w:rPr>
        <w:t xml:space="preserve"> ；</w:t>
      </w:r>
    </w:p>
    <w:p w14:paraId="38CF5C02">
      <w:pPr>
        <w:widowControl/>
        <w:spacing w:line="360" w:lineRule="exact"/>
        <w:ind w:firstLine="480" w:firstLineChars="200"/>
        <w:rPr>
          <w:rFonts w:ascii="仿宋" w:hAnsi="仿宋" w:eastAsia="仿宋" w:cs="宋体"/>
          <w:sz w:val="24"/>
        </w:rPr>
      </w:pPr>
      <w:r>
        <w:rPr>
          <w:rFonts w:ascii="仿宋" w:hAnsi="仿宋" w:eastAsia="仿宋" w:cs="宋体"/>
          <w:sz w:val="24"/>
        </w:rPr>
        <w:t>2.</w:t>
      </w:r>
      <w:r>
        <w:rPr>
          <w:rFonts w:ascii="仿宋" w:hAnsi="仿宋" w:eastAsia="仿宋" w:cs="宋体"/>
          <w:sz w:val="24"/>
          <w:u w:val="single"/>
        </w:rPr>
        <w:t xml:space="preserve">     （标的名称）</w:t>
      </w:r>
      <w:r>
        <w:rPr>
          <w:rFonts w:ascii="仿宋" w:hAnsi="仿宋" w:eastAsia="仿宋" w:cs="宋体"/>
          <w:sz w:val="24"/>
        </w:rPr>
        <w:t xml:space="preserve"> ，属于</w:t>
      </w:r>
      <w:r>
        <w:rPr>
          <w:rFonts w:ascii="仿宋" w:hAnsi="仿宋" w:eastAsia="仿宋" w:cs="宋体"/>
          <w:sz w:val="24"/>
          <w:u w:val="single"/>
        </w:rPr>
        <w:t xml:space="preserve">     （采购文件中明确的所属行业）</w:t>
      </w:r>
      <w:r>
        <w:rPr>
          <w:rFonts w:ascii="仿宋" w:hAnsi="仿宋" w:eastAsia="仿宋" w:cs="宋体"/>
          <w:sz w:val="24"/>
        </w:rPr>
        <w:t>行业 ；承建（承接）企业为</w:t>
      </w:r>
      <w:r>
        <w:rPr>
          <w:rFonts w:ascii="仿宋" w:hAnsi="仿宋" w:eastAsia="仿宋" w:cs="宋体"/>
          <w:sz w:val="24"/>
          <w:u w:val="single"/>
        </w:rPr>
        <w:t xml:space="preserve">     （企业名称） </w:t>
      </w:r>
      <w:r>
        <w:rPr>
          <w:rFonts w:ascii="仿宋" w:hAnsi="仿宋" w:eastAsia="仿宋" w:cs="宋体"/>
          <w:sz w:val="24"/>
        </w:rPr>
        <w:t>，从业人员</w:t>
      </w:r>
      <w:r>
        <w:rPr>
          <w:rFonts w:ascii="仿宋" w:hAnsi="仿宋" w:eastAsia="仿宋" w:cs="宋体"/>
          <w:sz w:val="24"/>
          <w:u w:val="single"/>
        </w:rPr>
        <w:t xml:space="preserve">     </w:t>
      </w:r>
      <w:r>
        <w:rPr>
          <w:rFonts w:ascii="仿宋" w:hAnsi="仿宋" w:eastAsia="仿宋" w:cs="宋体"/>
          <w:sz w:val="24"/>
        </w:rPr>
        <w:t>人，营业收入为</w:t>
      </w:r>
      <w:r>
        <w:rPr>
          <w:rFonts w:ascii="仿宋" w:hAnsi="仿宋" w:eastAsia="仿宋" w:cs="宋体"/>
          <w:sz w:val="24"/>
          <w:u w:val="single"/>
        </w:rPr>
        <w:t xml:space="preserve">    </w:t>
      </w:r>
      <w:r>
        <w:rPr>
          <w:rFonts w:ascii="仿宋" w:hAnsi="仿宋" w:eastAsia="仿宋" w:cs="宋体"/>
          <w:sz w:val="24"/>
        </w:rPr>
        <w:t>万元，资产总额为</w:t>
      </w:r>
      <w:r>
        <w:rPr>
          <w:rFonts w:ascii="仿宋" w:hAnsi="仿宋" w:eastAsia="仿宋" w:cs="宋体"/>
          <w:sz w:val="24"/>
          <w:u w:val="single"/>
        </w:rPr>
        <w:t xml:space="preserve">    </w:t>
      </w:r>
      <w:r>
        <w:rPr>
          <w:rFonts w:ascii="仿宋" w:hAnsi="仿宋" w:eastAsia="仿宋" w:cs="宋体"/>
          <w:sz w:val="24"/>
        </w:rPr>
        <w:t>万元，属于</w:t>
      </w:r>
      <w:r>
        <w:rPr>
          <w:rFonts w:ascii="仿宋" w:hAnsi="仿宋" w:eastAsia="仿宋" w:cs="宋体"/>
          <w:sz w:val="24"/>
          <w:u w:val="single"/>
        </w:rPr>
        <w:t xml:space="preserve">   （中型企业、小型企业、微型企业）</w:t>
      </w:r>
      <w:r>
        <w:rPr>
          <w:rFonts w:ascii="仿宋" w:hAnsi="仿宋" w:eastAsia="仿宋" w:cs="宋体"/>
          <w:sz w:val="24"/>
        </w:rPr>
        <w:t xml:space="preserve"> ；</w:t>
      </w:r>
    </w:p>
    <w:p w14:paraId="67088194">
      <w:pPr>
        <w:widowControl/>
        <w:spacing w:line="360" w:lineRule="exact"/>
        <w:ind w:firstLine="480" w:firstLineChars="200"/>
        <w:rPr>
          <w:rFonts w:ascii="仿宋" w:hAnsi="仿宋" w:eastAsia="仿宋" w:cs="宋体"/>
          <w:sz w:val="24"/>
        </w:rPr>
      </w:pPr>
      <w:r>
        <w:rPr>
          <w:rFonts w:ascii="仿宋" w:hAnsi="仿宋" w:eastAsia="仿宋" w:cs="宋体"/>
          <w:sz w:val="24"/>
        </w:rPr>
        <w:t>……</w:t>
      </w:r>
    </w:p>
    <w:p w14:paraId="7336A2E4">
      <w:pPr>
        <w:widowControl/>
        <w:spacing w:line="360" w:lineRule="exact"/>
        <w:ind w:firstLine="480" w:firstLineChars="200"/>
        <w:rPr>
          <w:rFonts w:ascii="仿宋" w:hAnsi="仿宋" w:eastAsia="仿宋" w:cs="宋体"/>
          <w:sz w:val="24"/>
        </w:rPr>
      </w:pPr>
      <w:r>
        <w:rPr>
          <w:rFonts w:ascii="仿宋" w:hAnsi="仿宋" w:eastAsia="仿宋" w:cs="宋体"/>
          <w:sz w:val="24"/>
        </w:rPr>
        <w:t>以上企业，不属于大企业的分支机构，不存在控股股东为大企业的情形，也不存在与大企业的负责人为同一人的情形。</w:t>
      </w:r>
    </w:p>
    <w:p w14:paraId="2FF15C29">
      <w:pPr>
        <w:widowControl/>
        <w:spacing w:line="360" w:lineRule="exact"/>
        <w:ind w:firstLine="480" w:firstLineChars="200"/>
        <w:rPr>
          <w:rFonts w:ascii="仿宋" w:hAnsi="仿宋" w:eastAsia="仿宋" w:cs="宋体"/>
          <w:sz w:val="24"/>
        </w:rPr>
      </w:pPr>
      <w:r>
        <w:rPr>
          <w:rFonts w:ascii="仿宋" w:hAnsi="仿宋" w:eastAsia="仿宋" w:cs="宋体"/>
          <w:sz w:val="24"/>
        </w:rPr>
        <w:t>本企业对上述声明内容的真实性负责。如有虚假，将依法承担相应责任。</w:t>
      </w:r>
    </w:p>
    <w:p w14:paraId="36E8306C">
      <w:pPr>
        <w:pStyle w:val="15"/>
        <w:spacing w:after="0" w:line="360" w:lineRule="exact"/>
        <w:rPr>
          <w:rFonts w:ascii="仿宋" w:hAnsi="仿宋" w:eastAsia="仿宋"/>
          <w:sz w:val="24"/>
        </w:rPr>
      </w:pPr>
    </w:p>
    <w:p w14:paraId="669E5B7D">
      <w:pPr>
        <w:spacing w:line="360" w:lineRule="exact"/>
        <w:rPr>
          <w:rFonts w:ascii="仿宋" w:hAnsi="仿宋" w:eastAsia="仿宋"/>
          <w:sz w:val="24"/>
        </w:rPr>
      </w:pPr>
    </w:p>
    <w:p w14:paraId="38FB5BBF">
      <w:pPr>
        <w:widowControl/>
        <w:spacing w:line="360" w:lineRule="exact"/>
        <w:ind w:firstLine="4677" w:firstLineChars="1949"/>
        <w:rPr>
          <w:rFonts w:ascii="仿宋" w:hAnsi="仿宋" w:eastAsia="仿宋" w:cs="宋体"/>
          <w:sz w:val="24"/>
        </w:rPr>
      </w:pPr>
      <w:r>
        <w:rPr>
          <w:rFonts w:ascii="仿宋" w:hAnsi="仿宋" w:eastAsia="仿宋" w:cs="宋体"/>
          <w:sz w:val="24"/>
        </w:rPr>
        <w:t>企业名称（盖章）：</w:t>
      </w:r>
    </w:p>
    <w:p w14:paraId="1708DB96">
      <w:pPr>
        <w:widowControl/>
        <w:spacing w:line="360" w:lineRule="exact"/>
        <w:ind w:firstLine="4677" w:firstLineChars="1949"/>
        <w:rPr>
          <w:rFonts w:ascii="仿宋" w:hAnsi="仿宋" w:eastAsia="仿宋" w:cs="宋体"/>
          <w:sz w:val="24"/>
        </w:rPr>
      </w:pPr>
      <w:r>
        <w:rPr>
          <w:rFonts w:ascii="仿宋" w:hAnsi="仿宋" w:eastAsia="仿宋" w:cs="宋体"/>
          <w:sz w:val="24"/>
        </w:rPr>
        <w:t>日 期：</w:t>
      </w:r>
    </w:p>
    <w:p w14:paraId="6A600681">
      <w:pPr>
        <w:widowControl/>
        <w:spacing w:line="360" w:lineRule="exact"/>
        <w:ind w:firstLine="480" w:firstLineChars="200"/>
        <w:rPr>
          <w:rFonts w:ascii="仿宋" w:hAnsi="仿宋" w:eastAsia="仿宋" w:cs="宋体"/>
          <w:sz w:val="24"/>
        </w:rPr>
      </w:pPr>
    </w:p>
    <w:p w14:paraId="30D3DF87">
      <w:pPr>
        <w:widowControl/>
        <w:spacing w:line="360" w:lineRule="exact"/>
        <w:ind w:firstLine="480" w:firstLineChars="200"/>
        <w:rPr>
          <w:rFonts w:ascii="仿宋" w:hAnsi="仿宋" w:eastAsia="仿宋"/>
          <w:sz w:val="24"/>
        </w:rPr>
      </w:pPr>
      <w:r>
        <w:rPr>
          <w:rFonts w:ascii="仿宋" w:hAnsi="仿宋" w:eastAsia="仿宋" w:cs="宋体"/>
          <w:sz w:val="24"/>
        </w:rPr>
        <w:t>注：从业人员、营业收入、资产总额填报上一年度数据，无上一年度数据的新企业可不填报。</w:t>
      </w:r>
    </w:p>
    <w:p w14:paraId="380688E7">
      <w:pPr>
        <w:widowControl/>
        <w:spacing w:line="360" w:lineRule="exact"/>
        <w:ind w:firstLine="480" w:firstLineChars="200"/>
        <w:rPr>
          <w:rFonts w:ascii="仿宋" w:hAnsi="仿宋" w:eastAsia="仿宋" w:cs="宋体"/>
          <w:sz w:val="24"/>
        </w:rPr>
      </w:pPr>
    </w:p>
    <w:p w14:paraId="7CA499AC">
      <w:pPr>
        <w:spacing w:line="360" w:lineRule="exact"/>
        <w:rPr>
          <w:rFonts w:ascii="仿宋" w:hAnsi="仿宋" w:eastAsia="仿宋"/>
          <w:b/>
          <w:spacing w:val="6"/>
          <w:sz w:val="24"/>
        </w:rPr>
      </w:pPr>
      <w:bookmarkStart w:id="465" w:name="OLE_LINK14"/>
      <w:bookmarkStart w:id="466" w:name="OLE_LINK13"/>
      <w:r>
        <w:rPr>
          <w:rFonts w:ascii="仿宋" w:hAnsi="仿宋" w:eastAsia="仿宋" w:cs="宋体"/>
          <w:sz w:val="24"/>
        </w:rPr>
        <w:br w:type="page"/>
      </w:r>
      <w:r>
        <w:rPr>
          <w:rFonts w:ascii="仿宋" w:hAnsi="仿宋" w:eastAsia="仿宋" w:cs="宋体"/>
          <w:sz w:val="24"/>
        </w:rPr>
        <w:t>附件</w:t>
      </w:r>
      <w:r>
        <w:rPr>
          <w:rFonts w:hint="eastAsia" w:ascii="仿宋" w:hAnsi="仿宋" w:eastAsia="仿宋" w:cs="宋体"/>
          <w:sz w:val="24"/>
        </w:rPr>
        <w:t>二</w:t>
      </w:r>
    </w:p>
    <w:p w14:paraId="4A2E62A4">
      <w:pPr>
        <w:spacing w:line="360" w:lineRule="exact"/>
        <w:jc w:val="center"/>
        <w:rPr>
          <w:rFonts w:hint="eastAsia" w:ascii="仿宋" w:hAnsi="仿宋" w:eastAsia="仿宋"/>
          <w:b/>
          <w:spacing w:val="6"/>
          <w:sz w:val="24"/>
        </w:rPr>
      </w:pPr>
    </w:p>
    <w:p w14:paraId="57C899F7">
      <w:pPr>
        <w:spacing w:line="360" w:lineRule="exact"/>
        <w:jc w:val="center"/>
        <w:rPr>
          <w:rFonts w:ascii="仿宋" w:hAnsi="仿宋" w:eastAsia="仿宋"/>
          <w:b/>
          <w:spacing w:val="6"/>
          <w:sz w:val="24"/>
        </w:rPr>
      </w:pPr>
      <w:r>
        <w:rPr>
          <w:rFonts w:ascii="仿宋" w:hAnsi="仿宋" w:eastAsia="仿宋"/>
          <w:b/>
          <w:spacing w:val="6"/>
          <w:sz w:val="24"/>
        </w:rPr>
        <w:t>残疾人福利性单位声明函（样表）</w:t>
      </w:r>
    </w:p>
    <w:bookmarkEnd w:id="465"/>
    <w:bookmarkEnd w:id="466"/>
    <w:p w14:paraId="0E13675F">
      <w:pPr>
        <w:spacing w:line="360" w:lineRule="exact"/>
        <w:rPr>
          <w:rFonts w:ascii="仿宋" w:hAnsi="仿宋" w:eastAsia="仿宋"/>
          <w:b/>
          <w:spacing w:val="6"/>
          <w:sz w:val="24"/>
        </w:rPr>
      </w:pPr>
    </w:p>
    <w:p w14:paraId="0B52873C">
      <w:pPr>
        <w:spacing w:line="360" w:lineRule="exact"/>
        <w:ind w:firstLine="504" w:firstLineChars="200"/>
        <w:rPr>
          <w:rFonts w:ascii="仿宋" w:hAnsi="仿宋" w:eastAsia="仿宋"/>
          <w:spacing w:val="6"/>
          <w:sz w:val="24"/>
        </w:rPr>
      </w:pPr>
      <w:r>
        <w:rPr>
          <w:rFonts w:ascii="仿宋" w:hAnsi="仿宋" w:eastAsia="仿宋"/>
          <w:spacing w:val="6"/>
          <w:sz w:val="24"/>
        </w:rPr>
        <w:t>本单位郑重声明，根据《财政部 民政部 中国残疾人联合会关于促进残疾人就业政府采购政策的通知》（财库</w:t>
      </w:r>
      <w:r>
        <w:rPr>
          <w:rFonts w:ascii="仿宋" w:hAnsi="仿宋" w:eastAsia="仿宋"/>
          <w:sz w:val="24"/>
        </w:rPr>
        <w:t>〔2017〕 141</w:t>
      </w:r>
      <w:r>
        <w:rPr>
          <w:rFonts w:ascii="仿宋" w:hAnsi="仿宋" w:eastAsia="仿宋"/>
          <w:spacing w:val="6"/>
          <w:sz w:val="24"/>
        </w:rPr>
        <w:t>号）的规定，本单位为符合条件的残疾人福利性单位，且本单位参加_</w:t>
      </w:r>
      <w:r>
        <w:rPr>
          <w:rFonts w:ascii="仿宋" w:hAnsi="仿宋" w:eastAsia="仿宋"/>
          <w:spacing w:val="6"/>
          <w:sz w:val="24"/>
          <w:u w:val="single"/>
        </w:rPr>
        <w:t>（采购单位名称）</w:t>
      </w:r>
      <w:r>
        <w:rPr>
          <w:rFonts w:ascii="仿宋" w:hAnsi="仿宋" w:eastAsia="仿宋"/>
          <w:spacing w:val="6"/>
          <w:sz w:val="24"/>
        </w:rPr>
        <w:t>_单位的_</w:t>
      </w:r>
      <w:r>
        <w:rPr>
          <w:rFonts w:ascii="仿宋" w:hAnsi="仿宋" w:eastAsia="仿宋"/>
          <w:spacing w:val="6"/>
          <w:sz w:val="24"/>
          <w:u w:val="single"/>
        </w:rPr>
        <w:t>（采购项目名称）_</w:t>
      </w:r>
      <w:r>
        <w:rPr>
          <w:rFonts w:ascii="仿宋" w:hAnsi="仿宋" w:eastAsia="仿宋"/>
          <w:spacing w:val="6"/>
          <w:sz w:val="24"/>
        </w:rPr>
        <w:t>项目采购活动提供本单位制造的货物（由本单位承担工程/提供服务），或者提供其他残疾人福利性单位制造的货物（不包括使用非残疾人福利性单位注册商标的货物）。</w:t>
      </w:r>
    </w:p>
    <w:p w14:paraId="032D2D9B">
      <w:pPr>
        <w:spacing w:line="360" w:lineRule="exact"/>
        <w:ind w:firstLine="504" w:firstLineChars="200"/>
        <w:rPr>
          <w:rFonts w:ascii="仿宋" w:hAnsi="仿宋" w:eastAsia="仿宋"/>
          <w:spacing w:val="6"/>
          <w:sz w:val="24"/>
        </w:rPr>
      </w:pPr>
      <w:r>
        <w:rPr>
          <w:rFonts w:ascii="仿宋" w:hAnsi="仿宋" w:eastAsia="仿宋"/>
          <w:spacing w:val="6"/>
          <w:sz w:val="24"/>
        </w:rPr>
        <w:t>本单位对上述声明的真实性负责。如有虚假，将依法承担相应责任。</w:t>
      </w:r>
    </w:p>
    <w:p w14:paraId="2D265799">
      <w:pPr>
        <w:spacing w:line="360" w:lineRule="exact"/>
        <w:ind w:firstLine="504" w:firstLineChars="200"/>
        <w:rPr>
          <w:rFonts w:ascii="仿宋" w:hAnsi="仿宋" w:eastAsia="仿宋"/>
          <w:spacing w:val="6"/>
          <w:sz w:val="24"/>
        </w:rPr>
      </w:pPr>
    </w:p>
    <w:p w14:paraId="14053B31">
      <w:pPr>
        <w:spacing w:line="360" w:lineRule="exact"/>
        <w:ind w:firstLine="504" w:firstLineChars="200"/>
        <w:rPr>
          <w:rFonts w:ascii="仿宋" w:hAnsi="仿宋" w:eastAsia="仿宋"/>
          <w:spacing w:val="6"/>
          <w:sz w:val="24"/>
        </w:rPr>
      </w:pPr>
    </w:p>
    <w:p w14:paraId="74BA3CE8">
      <w:pPr>
        <w:tabs>
          <w:tab w:val="left" w:pos="4860"/>
        </w:tabs>
        <w:spacing w:line="360" w:lineRule="exact"/>
        <w:ind w:right="1560" w:firstLine="504" w:firstLineChars="200"/>
        <w:jc w:val="center"/>
        <w:rPr>
          <w:rFonts w:ascii="仿宋" w:hAnsi="仿宋" w:eastAsia="仿宋"/>
          <w:spacing w:val="6"/>
          <w:sz w:val="24"/>
        </w:rPr>
      </w:pPr>
      <w:r>
        <w:rPr>
          <w:rFonts w:ascii="仿宋" w:hAnsi="仿宋" w:eastAsia="仿宋"/>
          <w:spacing w:val="6"/>
          <w:sz w:val="24"/>
        </w:rPr>
        <w:t xml:space="preserve">               单位名称</w:t>
      </w:r>
      <w:r>
        <w:rPr>
          <w:rFonts w:ascii="仿宋" w:hAnsi="仿宋" w:eastAsia="仿宋"/>
          <w:sz w:val="24"/>
        </w:rPr>
        <w:t>（电子签章）</w:t>
      </w:r>
      <w:r>
        <w:rPr>
          <w:rFonts w:ascii="仿宋" w:hAnsi="仿宋" w:eastAsia="仿宋"/>
          <w:spacing w:val="6"/>
          <w:sz w:val="24"/>
        </w:rPr>
        <w:t>：</w:t>
      </w:r>
    </w:p>
    <w:p w14:paraId="74E5C8AC">
      <w:pPr>
        <w:tabs>
          <w:tab w:val="left" w:pos="4860"/>
        </w:tabs>
        <w:spacing w:line="360" w:lineRule="exact"/>
        <w:ind w:right="1560" w:firstLine="504" w:firstLineChars="200"/>
        <w:jc w:val="center"/>
        <w:rPr>
          <w:rFonts w:ascii="仿宋" w:hAnsi="仿宋" w:eastAsia="仿宋"/>
          <w:spacing w:val="6"/>
          <w:sz w:val="24"/>
        </w:rPr>
      </w:pPr>
      <w:r>
        <w:rPr>
          <w:rFonts w:ascii="仿宋" w:hAnsi="仿宋" w:eastAsia="仿宋"/>
          <w:spacing w:val="6"/>
          <w:sz w:val="24"/>
        </w:rPr>
        <w:t xml:space="preserve">       日  期：</w:t>
      </w:r>
    </w:p>
    <w:p w14:paraId="134E4179">
      <w:pPr>
        <w:pStyle w:val="157"/>
        <w:ind w:firstLine="504"/>
        <w:rPr>
          <w:rFonts w:ascii="仿宋" w:hAnsi="仿宋" w:eastAsia="仿宋"/>
          <w:spacing w:val="6"/>
          <w:sz w:val="24"/>
          <w:szCs w:val="24"/>
        </w:rPr>
      </w:pPr>
    </w:p>
    <w:p w14:paraId="6D3C51E3">
      <w:pPr>
        <w:rPr>
          <w:rFonts w:ascii="仿宋" w:hAnsi="仿宋" w:eastAsia="仿宋"/>
          <w:spacing w:val="6"/>
          <w:sz w:val="24"/>
        </w:rPr>
      </w:pPr>
    </w:p>
    <w:p w14:paraId="34F1A229">
      <w:pPr>
        <w:pStyle w:val="157"/>
        <w:ind w:firstLine="504"/>
        <w:rPr>
          <w:rFonts w:ascii="仿宋" w:hAnsi="仿宋" w:eastAsia="仿宋"/>
          <w:spacing w:val="6"/>
          <w:sz w:val="24"/>
          <w:szCs w:val="24"/>
        </w:rPr>
      </w:pPr>
    </w:p>
    <w:p w14:paraId="2B6C4FCA"/>
    <w:p w14:paraId="3E3EA4A5">
      <w:pPr>
        <w:widowControl/>
        <w:spacing w:line="360" w:lineRule="exact"/>
        <w:rPr>
          <w:rFonts w:ascii="仿宋" w:hAnsi="仿宋" w:eastAsia="仿宋" w:cs="宋体"/>
          <w:sz w:val="24"/>
        </w:rPr>
      </w:pPr>
    </w:p>
    <w:p w14:paraId="703D0C81">
      <w:pPr>
        <w:widowControl/>
        <w:spacing w:line="360" w:lineRule="exact"/>
        <w:rPr>
          <w:rFonts w:ascii="仿宋" w:hAnsi="仿宋" w:eastAsia="仿宋" w:cs="宋体"/>
          <w:sz w:val="24"/>
        </w:rPr>
      </w:pPr>
      <w:r>
        <w:rPr>
          <w:rFonts w:ascii="仿宋" w:hAnsi="仿宋" w:eastAsia="仿宋" w:cs="宋体"/>
          <w:sz w:val="24"/>
        </w:rPr>
        <w:br w:type="page"/>
      </w:r>
      <w:r>
        <w:rPr>
          <w:rFonts w:hint="eastAsia" w:ascii="仿宋" w:hAnsi="仿宋" w:eastAsia="仿宋" w:cs="宋体"/>
          <w:sz w:val="24"/>
        </w:rPr>
        <w:t>附件三：</w:t>
      </w:r>
    </w:p>
    <w:p w14:paraId="3983299E">
      <w:pPr>
        <w:spacing w:line="360" w:lineRule="exact"/>
        <w:jc w:val="center"/>
        <w:rPr>
          <w:rFonts w:hint="eastAsia"/>
          <w:color w:val="1C1C1C"/>
          <w:w w:val="105"/>
          <w:sz w:val="24"/>
        </w:rPr>
      </w:pPr>
    </w:p>
    <w:p w14:paraId="02DC4F4E">
      <w:pPr>
        <w:spacing w:line="360" w:lineRule="exact"/>
        <w:jc w:val="center"/>
        <w:rPr>
          <w:sz w:val="24"/>
        </w:rPr>
      </w:pPr>
      <w:r>
        <w:rPr>
          <w:color w:val="1C1C1C"/>
          <w:w w:val="105"/>
          <w:sz w:val="24"/>
        </w:rPr>
        <w:t>河南省政府采购合同融资政策告知函</w:t>
      </w:r>
    </w:p>
    <w:p w14:paraId="63BA42FA">
      <w:pPr>
        <w:pStyle w:val="15"/>
        <w:spacing w:after="0" w:line="360" w:lineRule="exact"/>
        <w:ind w:left="1760" w:firstLine="680"/>
        <w:rPr>
          <w:sz w:val="24"/>
        </w:rPr>
      </w:pPr>
    </w:p>
    <w:p w14:paraId="7D726A6F">
      <w:pPr>
        <w:spacing w:line="360" w:lineRule="exact"/>
        <w:ind w:left="255" w:right="126" w:firstLine="629"/>
        <w:rPr>
          <w:color w:val="1C1C1C"/>
          <w:sz w:val="24"/>
        </w:rPr>
      </w:pPr>
      <w:r>
        <w:rPr>
          <w:color w:val="1C1C1C"/>
          <w:sz w:val="24"/>
        </w:rPr>
        <w:t>各供应商：</w:t>
      </w:r>
    </w:p>
    <w:p w14:paraId="1EDC42B2">
      <w:pPr>
        <w:spacing w:line="360" w:lineRule="exact"/>
        <w:ind w:left="255" w:right="126" w:firstLine="629"/>
        <w:rPr>
          <w:color w:val="1C1C1C"/>
          <w:sz w:val="24"/>
        </w:rPr>
      </w:pPr>
      <w:r>
        <w:rPr>
          <w:color w:val="1C1C1C"/>
          <w:sz w:val="24"/>
        </w:rPr>
        <w:t>欢迎贵公司参与河南省政府采购活动！</w:t>
      </w:r>
    </w:p>
    <w:p w14:paraId="20027E3F">
      <w:pPr>
        <w:spacing w:line="360" w:lineRule="exact"/>
        <w:ind w:left="255" w:right="126" w:firstLine="629"/>
        <w:rPr>
          <w:color w:val="1C1C1C"/>
          <w:sz w:val="24"/>
        </w:rPr>
      </w:pPr>
      <w:r>
        <w:rPr>
          <w:color w:val="1C1C1C"/>
          <w:sz w:val="24"/>
        </w:rPr>
        <w:t>政府采购合同融资是河南省财政厅支持中小微企业发展，针 对参与政府采购活动的供应商融资难、融资贵问题推出的一项融 资政策。贵公司若成为本次政府采购项目的中标成交供应商，可持政府采购合同向金融机构申请贷款，无需抵押、担保，融资机 构将根据《河南省政府采购合同融资工作实施方案》 （豫财购(2017] 10 号）， 按照双 方 自愿 的 原 则 提供便 捷、 优 惠的 贷款 服务。</w:t>
      </w:r>
    </w:p>
    <w:p w14:paraId="01135463">
      <w:pPr>
        <w:spacing w:line="360" w:lineRule="exact"/>
        <w:ind w:left="255" w:right="126" w:firstLine="629"/>
        <w:rPr>
          <w:color w:val="3B3B38"/>
          <w:sz w:val="30"/>
        </w:rPr>
      </w:pPr>
      <w:r>
        <w:rPr>
          <w:color w:val="1C1C1C"/>
          <w:sz w:val="24"/>
        </w:rPr>
        <w:t>贷款渠道和提供贷款的金融机构，可在河南省政府采购网“河南省政府采购合同融资平台”查询联系。</w:t>
      </w:r>
      <w:r>
        <w:rPr>
          <w:color w:val="3B3B38"/>
          <w:sz w:val="24"/>
        </w:rPr>
        <w:tab/>
      </w:r>
      <w:r>
        <w:rPr>
          <w:color w:val="3B3B38"/>
          <w:sz w:val="24"/>
        </w:rPr>
        <w:tab/>
      </w:r>
      <w:r>
        <w:rPr>
          <w:color w:val="3B3B38"/>
          <w:sz w:val="24"/>
        </w:rPr>
        <w:tab/>
      </w:r>
      <w:r>
        <w:rPr>
          <w:color w:val="3B3B38"/>
          <w:sz w:val="30"/>
        </w:rPr>
        <w:tab/>
      </w:r>
    </w:p>
    <w:p w14:paraId="74304C3E">
      <w:pPr>
        <w:sectPr>
          <w:footerReference r:id="rId11" w:type="default"/>
          <w:pgSz w:w="11906" w:h="16838"/>
          <w:pgMar w:top="1418" w:right="1134" w:bottom="1418" w:left="1134" w:header="851" w:footer="992" w:gutter="0"/>
          <w:cols w:space="720" w:num="1"/>
          <w:docGrid w:type="lines" w:linePitch="312" w:charSpace="0"/>
        </w:sectPr>
      </w:pPr>
    </w:p>
    <w:p w14:paraId="7C287974">
      <w:pPr>
        <w:widowControl/>
        <w:jc w:val="center"/>
        <w:rPr>
          <w:rFonts w:ascii="宋体" w:hAnsi="宋体"/>
          <w:b/>
          <w:bCs/>
          <w:sz w:val="30"/>
          <w:szCs w:val="30"/>
        </w:rPr>
      </w:pPr>
      <w:r>
        <w:rPr>
          <w:rFonts w:hint="eastAsia" w:ascii="宋体" w:hAnsi="宋体"/>
          <w:b/>
          <w:bCs/>
          <w:sz w:val="30"/>
          <w:szCs w:val="30"/>
        </w:rPr>
        <w:t>供应商主要内容汇总</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02EF1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32" w:hRule="atLeast"/>
        </w:trPr>
        <w:tc>
          <w:tcPr>
            <w:tcW w:w="9962" w:type="dxa"/>
            <w:tcBorders>
              <w:top w:val="single" w:color="auto" w:sz="4" w:space="0"/>
              <w:left w:val="single" w:color="auto" w:sz="4" w:space="0"/>
              <w:bottom w:val="single" w:color="auto" w:sz="4" w:space="0"/>
              <w:right w:val="single" w:color="auto" w:sz="4" w:space="0"/>
            </w:tcBorders>
            <w:shd w:val="clear" w:color="auto" w:fill="auto"/>
            <w:vAlign w:val="center"/>
          </w:tcPr>
          <w:p w14:paraId="64479BCB">
            <w:pPr>
              <w:widowControl/>
              <w:spacing w:line="480" w:lineRule="auto"/>
              <w:jc w:val="left"/>
              <w:rPr>
                <w:rFonts w:ascii="宋体" w:hAnsi="宋体"/>
                <w:b/>
                <w:bCs/>
                <w:kern w:val="0"/>
                <w:sz w:val="22"/>
                <w:szCs w:val="22"/>
              </w:rPr>
            </w:pPr>
            <w:r>
              <w:rPr>
                <w:rFonts w:hint="eastAsia" w:ascii="宋体" w:hAnsi="宋体"/>
                <w:b/>
                <w:bCs/>
                <w:kern w:val="0"/>
                <w:sz w:val="22"/>
                <w:szCs w:val="22"/>
              </w:rPr>
              <w:t>投标人：</w:t>
            </w:r>
          </w:p>
          <w:p w14:paraId="5D7F0562">
            <w:pPr>
              <w:pStyle w:val="15"/>
            </w:pPr>
            <w:r>
              <w:rPr>
                <w:rFonts w:hint="eastAsia" w:ascii="宋体" w:hAnsi="宋体"/>
                <w:b/>
                <w:bCs/>
                <w:kern w:val="0"/>
                <w:sz w:val="22"/>
                <w:szCs w:val="22"/>
              </w:rPr>
              <w:t>地址：</w:t>
            </w:r>
          </w:p>
          <w:p w14:paraId="1A4836A4">
            <w:pPr>
              <w:widowControl/>
              <w:spacing w:line="480" w:lineRule="auto"/>
              <w:jc w:val="left"/>
              <w:rPr>
                <w:rFonts w:ascii="宋体" w:hAnsi="宋体"/>
                <w:b/>
                <w:bCs/>
                <w:kern w:val="0"/>
                <w:sz w:val="22"/>
                <w:szCs w:val="22"/>
              </w:rPr>
            </w:pPr>
            <w:r>
              <w:rPr>
                <w:rFonts w:hint="eastAsia" w:ascii="宋体" w:hAnsi="宋体"/>
                <w:b/>
                <w:bCs/>
                <w:kern w:val="0"/>
                <w:sz w:val="22"/>
                <w:szCs w:val="22"/>
              </w:rPr>
              <w:t>统一社会信用代码：</w:t>
            </w:r>
          </w:p>
          <w:p w14:paraId="0FC72274">
            <w:pPr>
              <w:widowControl/>
              <w:spacing w:line="480" w:lineRule="auto"/>
              <w:jc w:val="left"/>
              <w:rPr>
                <w:rFonts w:ascii="宋体" w:hAnsi="宋体"/>
                <w:b/>
                <w:bCs/>
                <w:kern w:val="0"/>
                <w:sz w:val="22"/>
                <w:szCs w:val="22"/>
              </w:rPr>
            </w:pPr>
            <w:r>
              <w:rPr>
                <w:rFonts w:hint="eastAsia" w:ascii="宋体" w:hAnsi="宋体"/>
                <w:b/>
                <w:bCs/>
                <w:kern w:val="0"/>
                <w:sz w:val="22"/>
                <w:szCs w:val="22"/>
              </w:rPr>
              <w:t>投标报价：</w:t>
            </w:r>
          </w:p>
          <w:p w14:paraId="3A5D5896">
            <w:pPr>
              <w:widowControl/>
              <w:spacing w:line="480" w:lineRule="auto"/>
              <w:jc w:val="left"/>
              <w:rPr>
                <w:rFonts w:ascii="宋体" w:hAnsi="宋体"/>
                <w:b/>
                <w:bCs/>
                <w:kern w:val="0"/>
                <w:sz w:val="22"/>
                <w:szCs w:val="22"/>
              </w:rPr>
            </w:pPr>
            <w:r>
              <w:rPr>
                <w:rFonts w:hint="eastAsia" w:ascii="宋体" w:hAnsi="宋体"/>
                <w:b/>
                <w:bCs/>
                <w:kern w:val="0"/>
                <w:sz w:val="22"/>
                <w:szCs w:val="22"/>
              </w:rPr>
              <w:t>投标范围：</w:t>
            </w:r>
            <w:r>
              <w:rPr>
                <w:rFonts w:ascii="宋体" w:hAnsi="宋体"/>
                <w:b/>
                <w:bCs/>
                <w:kern w:val="0"/>
                <w:sz w:val="22"/>
                <w:szCs w:val="22"/>
              </w:rPr>
              <w:t xml:space="preserve"> </w:t>
            </w:r>
          </w:p>
          <w:p w14:paraId="3A9DF722">
            <w:pPr>
              <w:widowControl/>
              <w:spacing w:line="480" w:lineRule="auto"/>
              <w:jc w:val="left"/>
              <w:rPr>
                <w:rFonts w:ascii="宋体" w:hAnsi="宋体"/>
                <w:b/>
                <w:bCs/>
                <w:kern w:val="0"/>
                <w:sz w:val="22"/>
                <w:szCs w:val="22"/>
              </w:rPr>
            </w:pPr>
            <w:r>
              <w:rPr>
                <w:rFonts w:hint="eastAsia" w:ascii="宋体" w:hAnsi="宋体"/>
                <w:b/>
                <w:bCs/>
                <w:kern w:val="0"/>
                <w:sz w:val="22"/>
                <w:szCs w:val="22"/>
              </w:rPr>
              <w:t>质量要求：</w:t>
            </w:r>
          </w:p>
          <w:p w14:paraId="6A7B7E35">
            <w:pPr>
              <w:widowControl/>
              <w:spacing w:line="480" w:lineRule="auto"/>
              <w:jc w:val="left"/>
              <w:rPr>
                <w:rFonts w:ascii="宋体" w:hAnsi="宋体"/>
                <w:b/>
                <w:bCs/>
                <w:kern w:val="0"/>
                <w:sz w:val="22"/>
                <w:szCs w:val="22"/>
              </w:rPr>
            </w:pPr>
            <w:r>
              <w:rPr>
                <w:rFonts w:hint="eastAsia" w:ascii="宋体" w:hAnsi="宋体"/>
                <w:b/>
                <w:bCs/>
                <w:kern w:val="0"/>
                <w:sz w:val="22"/>
                <w:szCs w:val="22"/>
              </w:rPr>
              <w:t xml:space="preserve">服务期限： </w:t>
            </w:r>
          </w:p>
          <w:p w14:paraId="33029ECB">
            <w:pPr>
              <w:widowControl/>
              <w:spacing w:line="480" w:lineRule="auto"/>
              <w:jc w:val="left"/>
              <w:rPr>
                <w:rFonts w:ascii="宋体" w:hAnsi="宋体"/>
                <w:b/>
                <w:bCs/>
                <w:kern w:val="0"/>
                <w:sz w:val="22"/>
                <w:szCs w:val="22"/>
              </w:rPr>
            </w:pPr>
            <w:r>
              <w:rPr>
                <w:rFonts w:hint="eastAsia" w:ascii="宋体" w:hAnsi="宋体"/>
                <w:b/>
                <w:bCs/>
                <w:kern w:val="0"/>
                <w:sz w:val="22"/>
                <w:szCs w:val="22"/>
              </w:rPr>
              <w:t>项目负责人（姓名及证书编号）：</w:t>
            </w:r>
          </w:p>
          <w:p w14:paraId="0F0CD6F3">
            <w:pPr>
              <w:widowControl/>
              <w:spacing w:line="480" w:lineRule="auto"/>
              <w:jc w:val="left"/>
              <w:rPr>
                <w:rFonts w:ascii="宋体" w:hAnsi="宋体"/>
                <w:b/>
                <w:bCs/>
                <w:kern w:val="0"/>
                <w:sz w:val="22"/>
                <w:szCs w:val="22"/>
              </w:rPr>
            </w:pPr>
            <w:r>
              <w:rPr>
                <w:rFonts w:hint="eastAsia" w:ascii="宋体" w:hAnsi="宋体"/>
                <w:b/>
                <w:bCs/>
                <w:kern w:val="0"/>
                <w:sz w:val="22"/>
                <w:szCs w:val="22"/>
              </w:rPr>
              <w:t>投标文件有效期：</w:t>
            </w:r>
          </w:p>
          <w:p w14:paraId="1BBB00E2">
            <w:pPr>
              <w:spacing w:line="336" w:lineRule="auto"/>
              <w:rPr>
                <w:rFonts w:ascii="宋体" w:hAnsi="宋体"/>
                <w:b/>
                <w:bCs/>
                <w:kern w:val="0"/>
                <w:sz w:val="22"/>
                <w:szCs w:val="22"/>
              </w:rPr>
            </w:pPr>
            <w:r>
              <w:rPr>
                <w:rFonts w:hint="eastAsia" w:ascii="宋体" w:hAnsi="宋体"/>
                <w:b/>
                <w:bCs/>
                <w:kern w:val="0"/>
                <w:sz w:val="22"/>
                <w:szCs w:val="22"/>
              </w:rPr>
              <w:t>投报业绩：</w:t>
            </w:r>
          </w:p>
          <w:p w14:paraId="21C091DF">
            <w:pPr>
              <w:spacing w:line="336" w:lineRule="auto"/>
              <w:rPr>
                <w:rFonts w:ascii="宋体" w:hAnsi="宋体"/>
                <w:sz w:val="20"/>
                <w:szCs w:val="32"/>
              </w:rPr>
            </w:pPr>
            <w:r>
              <w:rPr>
                <w:rFonts w:hint="eastAsia" w:ascii="宋体" w:hAnsi="宋体"/>
                <w:sz w:val="20"/>
                <w:szCs w:val="32"/>
              </w:rPr>
              <w:t>业绩一：</w:t>
            </w:r>
          </w:p>
          <w:p w14:paraId="16455673">
            <w:pPr>
              <w:spacing w:line="336" w:lineRule="auto"/>
              <w:rPr>
                <w:rFonts w:ascii="宋体" w:hAnsi="宋体"/>
                <w:sz w:val="20"/>
                <w:szCs w:val="32"/>
              </w:rPr>
            </w:pPr>
            <w:r>
              <w:rPr>
                <w:rFonts w:hint="eastAsia" w:ascii="宋体" w:hAnsi="宋体"/>
                <w:sz w:val="20"/>
                <w:szCs w:val="32"/>
              </w:rPr>
              <w:t>项目名称：</w:t>
            </w:r>
            <w:r>
              <w:rPr>
                <w:rFonts w:ascii="宋体" w:hAnsi="宋体"/>
                <w:sz w:val="20"/>
                <w:szCs w:val="32"/>
              </w:rPr>
              <w:t xml:space="preserve"> </w:t>
            </w:r>
          </w:p>
          <w:p w14:paraId="2705A65B">
            <w:pPr>
              <w:spacing w:line="336" w:lineRule="auto"/>
              <w:rPr>
                <w:rFonts w:ascii="宋体" w:hAnsi="宋体"/>
                <w:sz w:val="20"/>
                <w:szCs w:val="32"/>
              </w:rPr>
            </w:pPr>
            <w:r>
              <w:rPr>
                <w:rFonts w:hint="eastAsia" w:ascii="宋体" w:hAnsi="宋体"/>
                <w:sz w:val="20"/>
                <w:szCs w:val="32"/>
              </w:rPr>
              <w:t>项目负责人：</w:t>
            </w:r>
            <w:r>
              <w:rPr>
                <w:rFonts w:ascii="宋体" w:hAnsi="宋体"/>
                <w:sz w:val="20"/>
                <w:szCs w:val="32"/>
              </w:rPr>
              <w:t xml:space="preserve"> </w:t>
            </w:r>
          </w:p>
          <w:p w14:paraId="6BBE4B58">
            <w:pPr>
              <w:spacing w:line="336" w:lineRule="auto"/>
              <w:rPr>
                <w:rFonts w:ascii="宋体" w:hAnsi="宋体"/>
                <w:sz w:val="20"/>
                <w:szCs w:val="32"/>
              </w:rPr>
            </w:pPr>
            <w:r>
              <w:rPr>
                <w:rFonts w:hint="eastAsia" w:ascii="宋体" w:hAnsi="宋体"/>
                <w:sz w:val="20"/>
                <w:szCs w:val="32"/>
              </w:rPr>
              <w:t>中标公示查询媒体：</w:t>
            </w:r>
            <w:r>
              <w:rPr>
                <w:rFonts w:ascii="宋体" w:hAnsi="宋体"/>
                <w:sz w:val="20"/>
                <w:szCs w:val="32"/>
              </w:rPr>
              <w:t xml:space="preserve"> </w:t>
            </w:r>
          </w:p>
          <w:p w14:paraId="04CB3DCB">
            <w:pPr>
              <w:spacing w:line="336" w:lineRule="auto"/>
              <w:rPr>
                <w:rFonts w:ascii="宋体" w:hAnsi="宋体"/>
                <w:sz w:val="20"/>
                <w:szCs w:val="32"/>
              </w:rPr>
            </w:pPr>
            <w:r>
              <w:rPr>
                <w:rFonts w:hint="eastAsia" w:ascii="宋体" w:hAnsi="宋体"/>
                <w:sz w:val="20"/>
                <w:szCs w:val="32"/>
              </w:rPr>
              <w:t xml:space="preserve">合同金额： </w:t>
            </w:r>
          </w:p>
          <w:p w14:paraId="112DCF3D">
            <w:pPr>
              <w:spacing w:line="336" w:lineRule="auto"/>
              <w:rPr>
                <w:rFonts w:ascii="宋体" w:hAnsi="宋体"/>
                <w:sz w:val="20"/>
                <w:szCs w:val="32"/>
              </w:rPr>
            </w:pPr>
            <w:r>
              <w:rPr>
                <w:rFonts w:hint="eastAsia" w:ascii="宋体" w:hAnsi="宋体"/>
                <w:sz w:val="20"/>
                <w:szCs w:val="32"/>
              </w:rPr>
              <w:t>合同签订日期： 年 月 日</w:t>
            </w:r>
          </w:p>
          <w:p w14:paraId="17AD8A88">
            <w:pPr>
              <w:spacing w:line="336" w:lineRule="auto"/>
              <w:rPr>
                <w:rFonts w:ascii="宋体" w:hAnsi="宋体"/>
                <w:sz w:val="20"/>
                <w:szCs w:val="32"/>
              </w:rPr>
            </w:pPr>
            <w:r>
              <w:rPr>
                <w:rFonts w:hint="eastAsia" w:ascii="宋体" w:hAnsi="宋体"/>
                <w:sz w:val="20"/>
                <w:szCs w:val="32"/>
              </w:rPr>
              <w:t xml:space="preserve">验收日期： </w:t>
            </w:r>
          </w:p>
          <w:p w14:paraId="7DB74441">
            <w:pPr>
              <w:widowControl/>
              <w:spacing w:line="480" w:lineRule="auto"/>
              <w:jc w:val="left"/>
              <w:rPr>
                <w:rFonts w:ascii="宋体" w:hAnsi="宋体"/>
                <w:sz w:val="20"/>
                <w:szCs w:val="32"/>
              </w:rPr>
            </w:pPr>
            <w:r>
              <w:rPr>
                <w:rFonts w:hint="eastAsia" w:ascii="宋体" w:hAnsi="宋体"/>
                <w:sz w:val="20"/>
                <w:szCs w:val="32"/>
              </w:rPr>
              <w:t>业绩二：</w:t>
            </w:r>
          </w:p>
          <w:p w14:paraId="2CA23DBD">
            <w:pPr>
              <w:widowControl/>
              <w:spacing w:line="480" w:lineRule="auto"/>
              <w:jc w:val="left"/>
              <w:rPr>
                <w:rFonts w:ascii="宋体" w:hAnsi="宋体"/>
              </w:rPr>
            </w:pPr>
            <w:r>
              <w:rPr>
                <w:rFonts w:ascii="宋体" w:hAnsi="宋体"/>
              </w:rPr>
              <w:t>……</w:t>
            </w:r>
          </w:p>
        </w:tc>
      </w:tr>
    </w:tbl>
    <w:p w14:paraId="43B348AF">
      <w:pPr>
        <w:rPr>
          <w:b/>
        </w:rPr>
      </w:pPr>
    </w:p>
    <w:p w14:paraId="5D9626DE">
      <w:pPr>
        <w:pStyle w:val="35"/>
        <w:ind w:firstLine="422"/>
      </w:pPr>
      <w:r>
        <w:rPr>
          <w:b/>
        </w:rPr>
        <w:t>注：供应商应把投标文件中所有业绩逐一统计，上述表格可自行扩展。</w:t>
      </w:r>
      <w:r>
        <w:rPr>
          <w:rFonts w:hint="eastAsia"/>
          <w:b/>
        </w:rPr>
        <w:t>本表只作为辅助评标用，不作为评审因素的依据。</w:t>
      </w:r>
    </w:p>
    <w:p w14:paraId="27E5D860">
      <w:pPr>
        <w:pStyle w:val="34"/>
      </w:pPr>
    </w:p>
    <w:sectPr>
      <w:pgSz w:w="11906" w:h="16838"/>
      <w:pgMar w:top="1418" w:right="1134" w:bottom="1418"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Calibri Light">
    <w:panose1 w:val="020F03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 w:name="瀹嬩綋">
    <w:altName w:val="Noto Sans SC"/>
    <w:panose1 w:val="00000000000000000000"/>
    <w:charset w:val="00"/>
    <w:family w:val="auto"/>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BE8F5">
    <w:pPr>
      <w:pStyle w:val="24"/>
      <w:ind w:firstLine="48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05485" cy="147955"/>
              <wp:effectExtent l="0" t="0" r="1905" b="0"/>
              <wp:wrapNone/>
              <wp:docPr id="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705485" cy="147955"/>
                      </a:xfrm>
                      <a:prstGeom prst="rect">
                        <a:avLst/>
                      </a:prstGeom>
                      <a:noFill/>
                      <a:ln>
                        <a:noFill/>
                      </a:ln>
                    </wps:spPr>
                    <wps:txbx>
                      <w:txbxContent>
                        <w:p w14:paraId="67E3A465">
                          <w:pPr>
                            <w:pStyle w:val="24"/>
                            <w:ind w:firstLine="480"/>
                            <w:jc w:val="center"/>
                          </w:pPr>
                          <w:r>
                            <w:t xml:space="preserve">第 </w:t>
                          </w:r>
                          <w:r>
                            <w:fldChar w:fldCharType="begin"/>
                          </w:r>
                          <w:r>
                            <w:instrText xml:space="preserve"> PAGE  \* MERGEFORMAT </w:instrText>
                          </w:r>
                          <w:r>
                            <w:fldChar w:fldCharType="separate"/>
                          </w:r>
                          <w:r>
                            <w:t>2</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1.65pt;width:55.55pt;mso-position-horizontal:center;mso-position-horizontal-relative:margin;mso-wrap-style:none;z-index:251659264;mso-width-relative:page;mso-height-relative:page;" filled="f" stroked="f" coordsize="21600,21600" o:gfxdata="UEsDBAoAAAAAAIdO4kAAAAAAAAAAAAAAAAAEAAAAZHJzL1BLAwQUAAAACACHTuJA3wWhhNEAAAAE&#10;AQAADwAAAGRycy9kb3ducmV2LnhtbE2PMWvDMBCF90L+g7hAtkZOAm1wLGcIdOnWpBS6XayLZSKd&#10;jKQ49r+v0qW94cHxjve+q/ajs2KgEDvPClbLAgRx43XHrYLP09vzFkRMyBqtZ1IwUYR9PXuqsNT+&#10;zh80HFMrcgjHEhWYlPpSytgYchiXvifO3sUHhymvoZU64D2HOyvXRfEiHXacGwz2dDDUXI83p+B1&#10;/PLURzrQ92VogummrX2flFrMV8UORKIx/R3DAz+jQ52Zzv7GOgqrID+SfvXh5QFxVrDebEDWlfwP&#10;X/8AUEsDBBQAAAAIAIdO4kCVla6fCwIAAAIEAAAOAAAAZHJzL2Uyb0RvYy54bWytU0uOEzEQ3SNx&#10;B8t70kmUMEMrndEwURDS8JEGDuC43WmLtssqO+kOB4AbsJoNe86Vc1B2p8MwbGbBxirb5VfvvSov&#10;rjrTsL1Cr8EWfDIac6ashFLbbcE/f1q/uOTMB2FL0YBVBT8oz6+Wz58tWperKdTQlAoZgVift67g&#10;dQguzzIva2WEH4FTli4rQCMCbXGblShaQjdNNh2PX2YtYOkQpPKeTlf9JT8h4lMAoaq0VCuQO6Ns&#10;6FFRNSKQJF9r5/kysa0qJcOHqvIqsKbgpDSklYpQvIlrtlyIfIvC1VqeKIinUHikyQhtqegZaiWC&#10;YDvU/0AZLRE8VGEkwWS9kOQIqZiMH3lzVwunkhay2ruz6f7/wcr3+4/IdFnwGWdWGGr48cf34/2v&#10;489vbBrtaZ3PKevOUV7oXkNHQ5OkencL8otnFm5qYbfqGhHaWomS6E3iy+zB0x7HR5BN+w5KqiN2&#10;ARJQV6GJ3pEbjNCpNYdza1QXmKTDi/F8djnnTNLVZHbxaj5PFUQ+PHbowxsFhsWg4EidT+Bif+tD&#10;JCPyISXWsrDWTZO639i/DigxniTykW/PPHSb7mTGBsoDyUDoh4m+EgU14FfOWhqkglv6N5w1by0Z&#10;EWduCHAINkMgrKSHBQ+c9eFN6Gdz51Bva8IdrL4ms9Y6CYmu9hxOLGk0kr7TGMfZe7hPWX++7vI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3wWhhNEAAAAEAQAADwAAAAAAAAABACAAAAAiAAAAZHJz&#10;L2Rvd25yZXYueG1sUEsBAhQAFAAAAAgAh07iQJWVrp8LAgAAAgQAAA4AAAAAAAAAAQAgAAAAIAEA&#10;AGRycy9lMm9Eb2MueG1sUEsFBgAAAAAGAAYAWQEAAJ0FAAAAAA==&#10;">
              <v:fill on="f" focussize="0,0"/>
              <v:stroke on="f"/>
              <v:imagedata o:title=""/>
              <o:lock v:ext="edit" aspectratio="f"/>
              <v:textbox inset="0mm,0mm,0mm,0mm" style="mso-fit-shape-to-text:t;">
                <w:txbxContent>
                  <w:p w14:paraId="67E3A465">
                    <w:pPr>
                      <w:pStyle w:val="24"/>
                      <w:ind w:firstLine="480"/>
                      <w:jc w:val="center"/>
                    </w:pPr>
                    <w:r>
                      <w:t xml:space="preserve">第 </w:t>
                    </w:r>
                    <w:r>
                      <w:fldChar w:fldCharType="begin"/>
                    </w:r>
                    <w:r>
                      <w:instrText xml:space="preserve"> PAGE  \* MERGEFORMAT </w:instrText>
                    </w:r>
                    <w:r>
                      <w:fldChar w:fldCharType="separate"/>
                    </w:r>
                    <w:r>
                      <w:t>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FCA50">
    <w:pPr>
      <w:pStyle w:val="24"/>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457835" cy="147955"/>
              <wp:effectExtent l="0" t="0" r="635"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457835" cy="147955"/>
                      </a:xfrm>
                      <a:prstGeom prst="rect">
                        <a:avLst/>
                      </a:prstGeom>
                      <a:noFill/>
                      <a:ln>
                        <a:noFill/>
                      </a:ln>
                    </wps:spPr>
                    <wps:txbx>
                      <w:txbxContent>
                        <w:p w14:paraId="38663FCF">
                          <w:pPr>
                            <w:pStyle w:val="24"/>
                            <w:jc w:val="center"/>
                          </w:pPr>
                          <w:r>
                            <w:t xml:space="preserve">第 </w:t>
                          </w:r>
                          <w:r>
                            <w:fldChar w:fldCharType="begin"/>
                          </w:r>
                          <w:r>
                            <w:instrText xml:space="preserve"> PAGE  \* MERGEFORMAT </w:instrText>
                          </w:r>
                          <w:r>
                            <w:fldChar w:fldCharType="separate"/>
                          </w:r>
                          <w:r>
                            <w:t>17</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65pt;width:36.05pt;mso-position-horizontal:center;mso-position-horizontal-relative:margin;mso-wrap-style:none;z-index:251660288;mso-width-relative:page;mso-height-relative:page;" filled="f" stroked="f" coordsize="21600,21600" o:gfxdata="UEsDBAoAAAAAAIdO4kAAAAAAAAAAAAAAAAAEAAAAZHJzL1BLAwQUAAAACACHTuJAIGcakNEAAAAD&#10;AQAADwAAAGRycy9kb3ducmV2LnhtbE2PwWrDMBBE74X8g9hAb41sB5rgWs4h0EtvTUuht421sUyl&#10;lZEUx/77qr20l4Vhhpm3zWF2VkwU4uBZQbkpQBB3Xg/cK3h/e37Yg4gJWaP1TAoWinBoV3cN1trf&#10;+JWmU+pFLuFYowKT0lhLGTtDDuPGj8TZu/jgMGUZeqkD3nK5s7IqikfpcOC8YHCko6Hu63R1Cnbz&#10;h6cx0pE+L1MXzLDs7cui1P26LJ5AJJrTXxh+8DM6tJnp7K+so7AK8iPp92ZvV5Ugzgqq7RZk28j/&#10;7O03UEsDBBQAAAAIAIdO4kByWX6fDAIAAAIEAAAOAAAAZHJzL2Uyb0RvYy54bWytU81uEzEQviPx&#10;DpbvZJOmoWWVTVUaBSGVH6nwAI7Xm7VYe6yxk93wAPAGPXHhznPlORh7s6GUSw9crLE9/ub7vhnP&#10;rzrTsJ1Cr8EWfDIac6ashFLbTcE/f1q9uOTMB2FL0YBVBd8rz68Wz5/NW5erM6ihKRUyArE+b13B&#10;6xBcnmVe1soIPwKnLF1WgEYE2uImK1G0hG6a7Gw8fpm1gKVDkMp7Ol32l/yIiE8BhKrSUi1Bbo2y&#10;oUdF1YhAknytneeLxLaqlAwfqsqrwJqCk9KQVipC8Tqu2WIu8g0KV2t5pCCeQuGRJiO0paInqKUI&#10;gm1R/wNltETwUIWRBJP1QpIjpGIyfuTNXS2cSlrIau9Opvv/Byvf7z4i02XBp5xZYajhh/vvhx+/&#10;Dj+/sWm0p3U+p6w7R3mhew0dDU2S6t0tyC+eWbiphd2oa0RoayVKojeJL7MHT3scH0HW7TsoqY7Y&#10;BkhAXYUmekduMEKn1uxPrVFdYJIOz2cXl9MZZ5KuJucXr2azVEHkw2OHPrxRYFgMCo7U+QQudrc+&#10;RDIiH1JiLQsr3TSp+43964AS40kiH/n2zEO37o5mrKHckwyEfpjoK1FQA37lrKVBKrilf8NZ89aS&#10;EXHmhgCHYD0Ewkp6WPDAWR/ehH42tw71pibcweprMmulk5Doas/hyJJGI+k7jnGcvYf7lPXn6y5+&#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BnGpDRAAAAAwEAAA8AAAAAAAAAAQAgAAAAIgAAAGRy&#10;cy9kb3ducmV2LnhtbFBLAQIUABQAAAAIAIdO4kByWX6fDAIAAAIEAAAOAAAAAAAAAAEAIAAAACAB&#10;AABkcnMvZTJvRG9jLnhtbFBLBQYAAAAABgAGAFkBAACeBQAAAAA=&#10;">
              <v:fill on="f" focussize="0,0"/>
              <v:stroke on="f"/>
              <v:imagedata o:title=""/>
              <o:lock v:ext="edit" aspectratio="f"/>
              <v:textbox inset="0mm,0mm,0mm,0mm" style="mso-fit-shape-to-text:t;">
                <w:txbxContent>
                  <w:p w14:paraId="38663FCF">
                    <w:pPr>
                      <w:pStyle w:val="24"/>
                      <w:jc w:val="center"/>
                    </w:pPr>
                    <w:r>
                      <w:t xml:space="preserve">第 </w:t>
                    </w:r>
                    <w:r>
                      <w:fldChar w:fldCharType="begin"/>
                    </w:r>
                    <w:r>
                      <w:instrText xml:space="preserve"> PAGE  \* MERGEFORMAT </w:instrText>
                    </w:r>
                    <w:r>
                      <w:fldChar w:fldCharType="separate"/>
                    </w:r>
                    <w:r>
                      <w:t>17</w:t>
                    </w:r>
                    <w:r>
                      <w:fldChar w:fldCharType="end"/>
                    </w:r>
                    <w:r>
                      <w:t xml:space="preserve"> 页</w:t>
                    </w:r>
                  </w:p>
                </w:txbxContent>
              </v:textbox>
            </v:shape>
          </w:pict>
        </mc:Fallback>
      </mc:AlternateContent>
    </w:r>
  </w:p>
  <w:p w14:paraId="0FDEC705">
    <w:pPr>
      <w:pStyle w:val="24"/>
      <w:ind w:right="10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DE5BB">
    <w:pPr>
      <w:pStyle w:val="24"/>
      <w:framePr w:wrap="around" w:vAnchor="text" w:hAnchor="margin" w:xAlign="center" w:y="1"/>
      <w:rPr>
        <w:rStyle w:val="39"/>
      </w:rPr>
    </w:pPr>
    <w:r>
      <w:fldChar w:fldCharType="begin"/>
    </w:r>
    <w:r>
      <w:rPr>
        <w:rStyle w:val="39"/>
      </w:rPr>
      <w:instrText xml:space="preserve">PAGE  </w:instrText>
    </w:r>
    <w:r>
      <w:fldChar w:fldCharType="end"/>
    </w:r>
  </w:p>
  <w:p w14:paraId="7EE15851">
    <w:pPr>
      <w:pStyle w:val="2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04F4D">
    <w:pPr>
      <w:pStyle w:val="24"/>
      <w:jc w:val="right"/>
    </w:pPr>
    <w:r>
      <w:rPr>
        <w:szCs w:val="21"/>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8849C">
    <w:pPr>
      <w:pStyle w:val="24"/>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457835" cy="147955"/>
              <wp:effectExtent l="0" t="0" r="1905" b="0"/>
              <wp:wrapNone/>
              <wp:docPr id="2" name="Text Box 1028"/>
              <wp:cNvGraphicFramePr/>
              <a:graphic xmlns:a="http://schemas.openxmlformats.org/drawingml/2006/main">
                <a:graphicData uri="http://schemas.microsoft.com/office/word/2010/wordprocessingShape">
                  <wps:wsp>
                    <wps:cNvSpPr txBox="1">
                      <a:spLocks noChangeArrowheads="1"/>
                    </wps:cNvSpPr>
                    <wps:spPr bwMode="auto">
                      <a:xfrm>
                        <a:off x="0" y="0"/>
                        <a:ext cx="457835" cy="147955"/>
                      </a:xfrm>
                      <a:prstGeom prst="rect">
                        <a:avLst/>
                      </a:prstGeom>
                      <a:noFill/>
                      <a:ln>
                        <a:noFill/>
                      </a:ln>
                    </wps:spPr>
                    <wps:txbx>
                      <w:txbxContent>
                        <w:p w14:paraId="7E7D77F5">
                          <w:pPr>
                            <w:pStyle w:val="24"/>
                            <w:jc w:val="center"/>
                          </w:pPr>
                          <w:r>
                            <w:t xml:space="preserve">第 </w:t>
                          </w:r>
                          <w:r>
                            <w:fldChar w:fldCharType="begin"/>
                          </w:r>
                          <w:r>
                            <w:instrText xml:space="preserve"> PAGE  \* MERGEFORMAT </w:instrText>
                          </w:r>
                          <w:r>
                            <w:fldChar w:fldCharType="separate"/>
                          </w:r>
                          <w:r>
                            <w:t>40</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Text Box 1028" o:spid="_x0000_s1026" o:spt="202" type="#_x0000_t202" style="position:absolute;left:0pt;margin-top:0pt;height:11.65pt;width:36.05pt;mso-position-horizontal:center;mso-position-horizontal-relative:margin;mso-wrap-style:none;z-index:251662336;mso-width-relative:page;mso-height-relative:page;" filled="f" stroked="f" coordsize="21600,21600" o:gfxdata="UEsDBAoAAAAAAIdO4kAAAAAAAAAAAAAAAAAEAAAAZHJzL1BLAwQUAAAACACHTuJAIGcakNEAAAAD&#10;AQAADwAAAGRycy9kb3ducmV2LnhtbE2PwWrDMBBE74X8g9hAb41sB5rgWs4h0EtvTUuht421sUyl&#10;lZEUx/77qr20l4Vhhpm3zWF2VkwU4uBZQbkpQBB3Xg/cK3h/e37Yg4gJWaP1TAoWinBoV3cN1trf&#10;+JWmU+pFLuFYowKT0lhLGTtDDuPGj8TZu/jgMGUZeqkD3nK5s7IqikfpcOC8YHCko6Hu63R1Cnbz&#10;h6cx0pE+L1MXzLDs7cui1P26LJ5AJJrTXxh+8DM6tJnp7K+so7AK8iPp92ZvV5Ugzgqq7RZk28j/&#10;7O03UEsDBBQAAAAIAIdO4kBP4y6G/gEAAAQEAAAOAAAAZHJzL2Uyb0RvYy54bWytU8Fu2zAMvQ/Y&#10;Pwi6L3ayZs2MOEXXIMOArhvQ7gMUWY6FWaJAKbGzrx8l21nXXXrYRaAk6vG9R2p905uWnRR6Dbbk&#10;81nOmbISKm0PJf/xtHu34swHYSvRglUlPyvPbzZv36w7V6gFNNBWChmBWF90ruRNCK7IMi8bZYSf&#10;gVOWLmtAIwJt8ZBVKDpCN222yPMPWQdYOQSpvKfT7XDJR0R8DSDUtZZqC/JolA0DKqpWBJLkG+08&#10;3yS2da1k+FbXXgXWlpyUhrRSEYr3cc02a1EcULhGy5GCeA2FF5qM0JaKXqC2Igh2RP0PlNESwUMd&#10;ZhJMNghJjpCKef7Cm8dGOJW0kNXeXUz3/w9WPpy+I9NVyRecWWGo4U+qD+wT9GyeL1bRoM75gvIe&#10;HWWGnm5obJJY7+5B/vTMwl0j7EHdIkLXKFERwXl8mT17OuD4CLLvvkJFlcQxQALqazTRPfKDETo1&#10;53xpTmQj6fBqeb16v+RM0tX86vrjcpkqiGJ67NCHzwoMi0HJkXqfwMXp3odIRhRTSqxlYafbNvW/&#10;tX8dUGI8SeQj34F56Pf9aMYeqjPJQBjGiT4TBQ3gL846GqWSW/o5nLVfLBkRp24KcAr2UyCspIcl&#10;D5wN4V0YpvPoUB8awp2sviWzdjoJia4OHEaWNBxJ3zjIcfqe71PWn8+7+Q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gZxqQ0QAAAAMBAAAPAAAAAAAAAAEAIAAAACIAAABkcnMvZG93bnJldi54bWxQ&#10;SwECFAAUAAAACACHTuJAT+Muhv4BAAAEBAAADgAAAAAAAAABACAAAAAgAQAAZHJzL2Uyb0RvYy54&#10;bWxQSwUGAAAAAAYABgBZAQAAkAUAAAAA&#10;">
              <v:fill on="f" focussize="0,0"/>
              <v:stroke on="f"/>
              <v:imagedata o:title=""/>
              <o:lock v:ext="edit" aspectratio="f"/>
              <v:textbox inset="0mm,0mm,0mm,0mm" style="mso-fit-shape-to-text:t;">
                <w:txbxContent>
                  <w:p w14:paraId="7E7D77F5">
                    <w:pPr>
                      <w:pStyle w:val="24"/>
                      <w:jc w:val="center"/>
                    </w:pPr>
                    <w:r>
                      <w:t xml:space="preserve">第 </w:t>
                    </w:r>
                    <w:r>
                      <w:fldChar w:fldCharType="begin"/>
                    </w:r>
                    <w:r>
                      <w:instrText xml:space="preserve"> PAGE  \* MERGEFORMAT </w:instrText>
                    </w:r>
                    <w:r>
                      <w:fldChar w:fldCharType="separate"/>
                    </w:r>
                    <w:r>
                      <w:t>40</w:t>
                    </w:r>
                    <w:r>
                      <w:fldChar w:fldCharType="end"/>
                    </w:r>
                    <w:r>
                      <w:t xml:space="preserve"> 页</w:t>
                    </w:r>
                  </w:p>
                </w:txbxContent>
              </v:textbox>
            </v:shape>
          </w:pict>
        </mc:Fallback>
      </mc:AlternateContent>
    </w:r>
  </w:p>
  <w:p w14:paraId="2C0C6C38">
    <w:pPr>
      <w:pStyle w:val="24"/>
      <w:ind w:right="108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45653">
    <w:pPr>
      <w:pStyle w:val="2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59890">
    <w:pPr>
      <w:pStyle w:val="24"/>
      <w:ind w:firstLine="48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762635" cy="147955"/>
              <wp:effectExtent l="0" t="0" r="1905" b="0"/>
              <wp:wrapNone/>
              <wp:docPr id="1" name="文本框 4"/>
              <wp:cNvGraphicFramePr/>
              <a:graphic xmlns:a="http://schemas.openxmlformats.org/drawingml/2006/main">
                <a:graphicData uri="http://schemas.microsoft.com/office/word/2010/wordprocessingShape">
                  <wps:wsp>
                    <wps:cNvSpPr txBox="1">
                      <a:spLocks noChangeArrowheads="1"/>
                    </wps:cNvSpPr>
                    <wps:spPr bwMode="auto">
                      <a:xfrm>
                        <a:off x="0" y="0"/>
                        <a:ext cx="762635" cy="147955"/>
                      </a:xfrm>
                      <a:prstGeom prst="rect">
                        <a:avLst/>
                      </a:prstGeom>
                      <a:noFill/>
                      <a:ln>
                        <a:noFill/>
                      </a:ln>
                    </wps:spPr>
                    <wps:txbx>
                      <w:txbxContent>
                        <w:p w14:paraId="68A7B300">
                          <w:pPr>
                            <w:pStyle w:val="24"/>
                            <w:ind w:firstLine="480"/>
                            <w:jc w:val="center"/>
                          </w:pPr>
                          <w:r>
                            <w:t xml:space="preserve">第 </w:t>
                          </w:r>
                          <w:r>
                            <w:fldChar w:fldCharType="begin"/>
                          </w:r>
                          <w:r>
                            <w:instrText xml:space="preserve"> PAGE  \* MERGEFORMAT </w:instrText>
                          </w:r>
                          <w:r>
                            <w:fldChar w:fldCharType="separate"/>
                          </w:r>
                          <w:r>
                            <w:t>45</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文本框 4" o:spid="_x0000_s1026" o:spt="202" type="#_x0000_t202" style="position:absolute;left:0pt;margin-top:0pt;height:11.65pt;width:60.05pt;mso-position-horizontal:center;mso-position-horizontal-relative:margin;mso-wrap-style:none;z-index:251661312;mso-width-relative:page;mso-height-relative:page;" filled="f" stroked="f" coordsize="21600,21600" o:gfxdata="UEsDBAoAAAAAAIdO4kAAAAAAAAAAAAAAAAAEAAAAZHJzL1BLAwQUAAAACACHTuJArpMcINEAAAAE&#10;AQAADwAAAGRycy9kb3ducmV2LnhtbE2PwWrDMBBE74X8g9hAbo1kB9rgWM4h0EtvTUqhN8XaWCbS&#10;ykiKY/99lV7ay8Iww8zbej85y0YMsfckoVgLYEit1z11Ej5Pb89bYDEp0sp6QgkzRtg3i6daVdrf&#10;6QPHY+pYLqFYKQkmpaHiPLYGnYprPyBl7+KDUynL0HEd1D2XO8tLIV64Uz3lBaMGPBhsr8ebk/A6&#10;fXkcIh7w+zK2wfTz1r7PUq6WhdgBSzilvzA88DM6NJnp7G+kI7MS8iPp9z68UhTAzhLKzQZ4U/P/&#10;8M0PUEsDBBQAAAAIAIdO4kCN/7MkCgIAAAIEAAAOAAAAZHJzL2Uyb0RvYy54bWytU0uOEzEQ3SNx&#10;B8t70kmYZKCVzmiYKAhp+EgDB3Dc7rRF22WVnXSHA8ANWLFhz7lyDsrudBiGzSzYWGW7/Oq9V+XF&#10;VWcatlfoNdiCT0ZjzpSVUGq7Lfinj+tnLzjzQdhSNGBVwQ/K86vl0yeL1uVqCjU0pUJGINbnrSt4&#10;HYLLs8zLWhnhR+CUpcsK0IhAW9xmJYqW0E2TTcfjedYClg5BKu/pdNVf8hMiPgYQqkpLtQK5M8qG&#10;HhVVIwJJ8rV2ni8T26pSMryvKq8CawpOSkNaqQjFm7hmy4XItyhcreWJgngMhQeajNCWip6hViII&#10;tkP9D5TREsFDFUYSTNYLSY6Qisn4gTd3tXAqaSGrvTub7v8frHy3/4BMlzQJnFlhqOHH79+OP34d&#10;f35lF9Ge1vmcsu4c5YXuFXQxNUr17hbkZ88s3NTCbtU1IrS1EiXRm8SX2b2nPY6PIJv2LZRUR+wC&#10;JKCuQhMByQ1G6NSaw7k1qgtM0uHlfDp/PuNM0tXk4vLlbJYqiHx47NCH1woMi0HBkTqfwMX+1odI&#10;RuRDSqxlYa2bJnW/sX8dUGI8SeQj35556DbdyYwNlAeSgdAPE30lCmrAL5y1NEgFt/RvOGveWDIi&#10;ztwQ4BBshkBYSQ8LHjjrw5vQz+bOod7WhDtYfU1mrXUSEl3tOZxY0mgkfacxjrN3f5+y/nzd5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ukxwg0QAAAAQBAAAPAAAAAAAAAAEAIAAAACIAAABkcnMv&#10;ZG93bnJldi54bWxQSwECFAAUAAAACACHTuJAjf+zJAoCAAACBAAADgAAAAAAAAABACAAAAAgAQAA&#10;ZHJzL2Uyb0RvYy54bWxQSwUGAAAAAAYABgBZAQAAnAUAAAAA&#10;">
              <v:fill on="f" focussize="0,0"/>
              <v:stroke on="f"/>
              <v:imagedata o:title=""/>
              <o:lock v:ext="edit" aspectratio="f"/>
              <v:textbox inset="0mm,0mm,0mm,0mm" style="mso-fit-shape-to-text:t;">
                <w:txbxContent>
                  <w:p w14:paraId="68A7B300">
                    <w:pPr>
                      <w:pStyle w:val="24"/>
                      <w:ind w:firstLine="480"/>
                      <w:jc w:val="center"/>
                    </w:pPr>
                    <w:r>
                      <w:t xml:space="preserve">第 </w:t>
                    </w:r>
                    <w:r>
                      <w:fldChar w:fldCharType="begin"/>
                    </w:r>
                    <w:r>
                      <w:instrText xml:space="preserve"> PAGE  \* MERGEFORMAT </w:instrText>
                    </w:r>
                    <w:r>
                      <w:fldChar w:fldCharType="separate"/>
                    </w:r>
                    <w:r>
                      <w:t>45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D3EEB">
    <w:pPr>
      <w:pStyle w:val="25"/>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8031C">
    <w:pPr>
      <w:pStyle w:val="25"/>
      <w:pBdr>
        <w:bottom w:val="single" w:color="auto" w:sz="4"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AB8977"/>
    <w:multiLevelType w:val="singleLevel"/>
    <w:tmpl w:val="8DAB8977"/>
    <w:lvl w:ilvl="0" w:tentative="0">
      <w:start w:val="3"/>
      <w:numFmt w:val="chineseCounting"/>
      <w:suff w:val="nothing"/>
      <w:lvlText w:val="%1、"/>
      <w:lvlJc w:val="left"/>
      <w:rPr>
        <w:rFonts w:hint="eastAsia"/>
      </w:rPr>
    </w:lvl>
  </w:abstractNum>
  <w:abstractNum w:abstractNumId="1">
    <w:nsid w:val="A3F013F3"/>
    <w:multiLevelType w:val="singleLevel"/>
    <w:tmpl w:val="A3F013F3"/>
    <w:lvl w:ilvl="0" w:tentative="0">
      <w:start w:val="2"/>
      <w:numFmt w:val="decimal"/>
      <w:lvlText w:val="%1."/>
      <w:lvlJc w:val="left"/>
      <w:pPr>
        <w:tabs>
          <w:tab w:val="left" w:pos="312"/>
        </w:tabs>
      </w:pPr>
    </w:lvl>
  </w:abstractNum>
  <w:abstractNum w:abstractNumId="2">
    <w:nsid w:val="380E06EA"/>
    <w:multiLevelType w:val="singleLevel"/>
    <w:tmpl w:val="380E06EA"/>
    <w:lvl w:ilvl="0" w:tentative="0">
      <w:start w:val="10"/>
      <w:numFmt w:val="chineseCounting"/>
      <w:suff w:val="space"/>
      <w:lvlText w:val="第%1条"/>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0NGE4MzVjMjg1MDA4YmI5N2ZjZTc5OGNlY2YyMWYifQ=="/>
  </w:docVars>
  <w:rsids>
    <w:rsidRoot w:val="00275272"/>
    <w:rsid w:val="0003412F"/>
    <w:rsid w:val="00037BAA"/>
    <w:rsid w:val="00050579"/>
    <w:rsid w:val="00060172"/>
    <w:rsid w:val="0007095E"/>
    <w:rsid w:val="000C067F"/>
    <w:rsid w:val="000D148A"/>
    <w:rsid w:val="000D38BF"/>
    <w:rsid w:val="001113BD"/>
    <w:rsid w:val="00111C9E"/>
    <w:rsid w:val="001213A7"/>
    <w:rsid w:val="00145857"/>
    <w:rsid w:val="00155444"/>
    <w:rsid w:val="00156194"/>
    <w:rsid w:val="001606E4"/>
    <w:rsid w:val="001832CD"/>
    <w:rsid w:val="001A23AD"/>
    <w:rsid w:val="001C5A02"/>
    <w:rsid w:val="001F7F83"/>
    <w:rsid w:val="00203783"/>
    <w:rsid w:val="002111C8"/>
    <w:rsid w:val="00215193"/>
    <w:rsid w:val="00240968"/>
    <w:rsid w:val="00245DF5"/>
    <w:rsid w:val="00251225"/>
    <w:rsid w:val="002674AD"/>
    <w:rsid w:val="00275272"/>
    <w:rsid w:val="00277A27"/>
    <w:rsid w:val="00292781"/>
    <w:rsid w:val="002A5F9F"/>
    <w:rsid w:val="002C6406"/>
    <w:rsid w:val="002E6C29"/>
    <w:rsid w:val="002F610A"/>
    <w:rsid w:val="002F7AFE"/>
    <w:rsid w:val="0030509C"/>
    <w:rsid w:val="00307DC7"/>
    <w:rsid w:val="0031274E"/>
    <w:rsid w:val="00344D93"/>
    <w:rsid w:val="00347223"/>
    <w:rsid w:val="00376296"/>
    <w:rsid w:val="00377E38"/>
    <w:rsid w:val="0038036A"/>
    <w:rsid w:val="00382D0E"/>
    <w:rsid w:val="003A048F"/>
    <w:rsid w:val="003D2CE2"/>
    <w:rsid w:val="003F5D55"/>
    <w:rsid w:val="003F6A3A"/>
    <w:rsid w:val="00424A53"/>
    <w:rsid w:val="00433CE0"/>
    <w:rsid w:val="00447087"/>
    <w:rsid w:val="00463243"/>
    <w:rsid w:val="00463F76"/>
    <w:rsid w:val="00484C20"/>
    <w:rsid w:val="004864B0"/>
    <w:rsid w:val="00492761"/>
    <w:rsid w:val="00496C6B"/>
    <w:rsid w:val="004C52E8"/>
    <w:rsid w:val="004D7730"/>
    <w:rsid w:val="004E650C"/>
    <w:rsid w:val="004F4BF9"/>
    <w:rsid w:val="004F7FC9"/>
    <w:rsid w:val="005007A4"/>
    <w:rsid w:val="005030F2"/>
    <w:rsid w:val="00514D5E"/>
    <w:rsid w:val="00516129"/>
    <w:rsid w:val="0051614B"/>
    <w:rsid w:val="005331C1"/>
    <w:rsid w:val="00553685"/>
    <w:rsid w:val="0056144A"/>
    <w:rsid w:val="00564013"/>
    <w:rsid w:val="00583F3C"/>
    <w:rsid w:val="00591653"/>
    <w:rsid w:val="0059176F"/>
    <w:rsid w:val="005942BB"/>
    <w:rsid w:val="005A2293"/>
    <w:rsid w:val="005A79B0"/>
    <w:rsid w:val="00620262"/>
    <w:rsid w:val="00622AE0"/>
    <w:rsid w:val="00627AA3"/>
    <w:rsid w:val="006329A3"/>
    <w:rsid w:val="006348FC"/>
    <w:rsid w:val="0066415E"/>
    <w:rsid w:val="006819CE"/>
    <w:rsid w:val="00681C66"/>
    <w:rsid w:val="006841B5"/>
    <w:rsid w:val="006A11FD"/>
    <w:rsid w:val="006A7C44"/>
    <w:rsid w:val="006F4099"/>
    <w:rsid w:val="00700C4A"/>
    <w:rsid w:val="00722523"/>
    <w:rsid w:val="00762BBC"/>
    <w:rsid w:val="00765991"/>
    <w:rsid w:val="00783A53"/>
    <w:rsid w:val="007913AE"/>
    <w:rsid w:val="00793468"/>
    <w:rsid w:val="007C4432"/>
    <w:rsid w:val="007D560A"/>
    <w:rsid w:val="007F264D"/>
    <w:rsid w:val="00815761"/>
    <w:rsid w:val="0082011F"/>
    <w:rsid w:val="00830C7A"/>
    <w:rsid w:val="00831237"/>
    <w:rsid w:val="00833D35"/>
    <w:rsid w:val="0083506C"/>
    <w:rsid w:val="00835964"/>
    <w:rsid w:val="00853823"/>
    <w:rsid w:val="008613DD"/>
    <w:rsid w:val="008637FC"/>
    <w:rsid w:val="0087025D"/>
    <w:rsid w:val="00872997"/>
    <w:rsid w:val="00893A3C"/>
    <w:rsid w:val="008A7193"/>
    <w:rsid w:val="008B729B"/>
    <w:rsid w:val="008D21B6"/>
    <w:rsid w:val="008D7E2F"/>
    <w:rsid w:val="008E1FA3"/>
    <w:rsid w:val="008F1C7A"/>
    <w:rsid w:val="008F1E8F"/>
    <w:rsid w:val="00910C02"/>
    <w:rsid w:val="00925D0A"/>
    <w:rsid w:val="00944203"/>
    <w:rsid w:val="00945216"/>
    <w:rsid w:val="0094696D"/>
    <w:rsid w:val="00967609"/>
    <w:rsid w:val="0097220A"/>
    <w:rsid w:val="00977ED0"/>
    <w:rsid w:val="00994E95"/>
    <w:rsid w:val="00997BE0"/>
    <w:rsid w:val="009A1353"/>
    <w:rsid w:val="009A4EB8"/>
    <w:rsid w:val="009A6A86"/>
    <w:rsid w:val="009B40F6"/>
    <w:rsid w:val="009B5979"/>
    <w:rsid w:val="009C57D3"/>
    <w:rsid w:val="009D6E6D"/>
    <w:rsid w:val="00A7515C"/>
    <w:rsid w:val="00A771BF"/>
    <w:rsid w:val="00A86497"/>
    <w:rsid w:val="00AB118A"/>
    <w:rsid w:val="00B001B0"/>
    <w:rsid w:val="00B22763"/>
    <w:rsid w:val="00B2305B"/>
    <w:rsid w:val="00B23EE7"/>
    <w:rsid w:val="00B46D21"/>
    <w:rsid w:val="00B8407A"/>
    <w:rsid w:val="00B86CA2"/>
    <w:rsid w:val="00BB1BB8"/>
    <w:rsid w:val="00BF275F"/>
    <w:rsid w:val="00C04978"/>
    <w:rsid w:val="00C4385C"/>
    <w:rsid w:val="00C564BD"/>
    <w:rsid w:val="00C57030"/>
    <w:rsid w:val="00C60E28"/>
    <w:rsid w:val="00C617FD"/>
    <w:rsid w:val="00C73827"/>
    <w:rsid w:val="00C768E2"/>
    <w:rsid w:val="00C966E9"/>
    <w:rsid w:val="00C96D63"/>
    <w:rsid w:val="00CB5B93"/>
    <w:rsid w:val="00CC2F78"/>
    <w:rsid w:val="00CD524F"/>
    <w:rsid w:val="00CE6575"/>
    <w:rsid w:val="00CF63A2"/>
    <w:rsid w:val="00D126E4"/>
    <w:rsid w:val="00D25283"/>
    <w:rsid w:val="00D4006C"/>
    <w:rsid w:val="00D40EB4"/>
    <w:rsid w:val="00D4783D"/>
    <w:rsid w:val="00D55166"/>
    <w:rsid w:val="00D743EB"/>
    <w:rsid w:val="00D74754"/>
    <w:rsid w:val="00D92232"/>
    <w:rsid w:val="00DA0CAE"/>
    <w:rsid w:val="00DC234F"/>
    <w:rsid w:val="00DE723A"/>
    <w:rsid w:val="00DF0B55"/>
    <w:rsid w:val="00E30695"/>
    <w:rsid w:val="00E366E1"/>
    <w:rsid w:val="00E402FD"/>
    <w:rsid w:val="00E41A1D"/>
    <w:rsid w:val="00E67791"/>
    <w:rsid w:val="00E71E71"/>
    <w:rsid w:val="00E802F8"/>
    <w:rsid w:val="00EB4AF3"/>
    <w:rsid w:val="00ED17F0"/>
    <w:rsid w:val="00ED7A12"/>
    <w:rsid w:val="00EF27B5"/>
    <w:rsid w:val="00EF2EDA"/>
    <w:rsid w:val="00F06D33"/>
    <w:rsid w:val="00F20162"/>
    <w:rsid w:val="00F30D2F"/>
    <w:rsid w:val="00F359DA"/>
    <w:rsid w:val="00F437BD"/>
    <w:rsid w:val="00F45F2E"/>
    <w:rsid w:val="00F64C5E"/>
    <w:rsid w:val="00F834D7"/>
    <w:rsid w:val="00F93886"/>
    <w:rsid w:val="00FC0EBE"/>
    <w:rsid w:val="00FC5DE8"/>
    <w:rsid w:val="00FF247F"/>
    <w:rsid w:val="00FF648A"/>
    <w:rsid w:val="0292239F"/>
    <w:rsid w:val="03DD19E6"/>
    <w:rsid w:val="03EC20CD"/>
    <w:rsid w:val="046F5927"/>
    <w:rsid w:val="04B04949"/>
    <w:rsid w:val="04BF763A"/>
    <w:rsid w:val="0639602E"/>
    <w:rsid w:val="064424ED"/>
    <w:rsid w:val="084909A0"/>
    <w:rsid w:val="08663CCF"/>
    <w:rsid w:val="0A1C012F"/>
    <w:rsid w:val="0BCB0FBA"/>
    <w:rsid w:val="0BCF1C98"/>
    <w:rsid w:val="0C2A6B26"/>
    <w:rsid w:val="0E19425F"/>
    <w:rsid w:val="0E2F2F33"/>
    <w:rsid w:val="0F185709"/>
    <w:rsid w:val="0FC66979"/>
    <w:rsid w:val="1030763E"/>
    <w:rsid w:val="10315B19"/>
    <w:rsid w:val="10BA0B1B"/>
    <w:rsid w:val="10E300CF"/>
    <w:rsid w:val="112D51D0"/>
    <w:rsid w:val="11A227BD"/>
    <w:rsid w:val="1236538E"/>
    <w:rsid w:val="13B642FE"/>
    <w:rsid w:val="140D3B2D"/>
    <w:rsid w:val="157B622D"/>
    <w:rsid w:val="157E1985"/>
    <w:rsid w:val="16043F25"/>
    <w:rsid w:val="162B3F8D"/>
    <w:rsid w:val="16C74C21"/>
    <w:rsid w:val="170809C6"/>
    <w:rsid w:val="17E81190"/>
    <w:rsid w:val="18143040"/>
    <w:rsid w:val="18673A70"/>
    <w:rsid w:val="18FF4AE5"/>
    <w:rsid w:val="192D3F36"/>
    <w:rsid w:val="199E1010"/>
    <w:rsid w:val="19D0740C"/>
    <w:rsid w:val="1A1D7BEA"/>
    <w:rsid w:val="1AB34740"/>
    <w:rsid w:val="1B442947"/>
    <w:rsid w:val="1B521E67"/>
    <w:rsid w:val="1CF65BA9"/>
    <w:rsid w:val="1E9031D7"/>
    <w:rsid w:val="1F8E4A2D"/>
    <w:rsid w:val="20375CB1"/>
    <w:rsid w:val="21091F11"/>
    <w:rsid w:val="21C1459A"/>
    <w:rsid w:val="22837AA1"/>
    <w:rsid w:val="23586A43"/>
    <w:rsid w:val="235D2C72"/>
    <w:rsid w:val="238F0EF7"/>
    <w:rsid w:val="24D80777"/>
    <w:rsid w:val="250C2C05"/>
    <w:rsid w:val="256769F7"/>
    <w:rsid w:val="260357AC"/>
    <w:rsid w:val="260E10A9"/>
    <w:rsid w:val="26681488"/>
    <w:rsid w:val="276D7AF2"/>
    <w:rsid w:val="2909285F"/>
    <w:rsid w:val="294856D2"/>
    <w:rsid w:val="2A2612E6"/>
    <w:rsid w:val="2A89462A"/>
    <w:rsid w:val="2B3461E3"/>
    <w:rsid w:val="2C0A2349"/>
    <w:rsid w:val="2D2B5B5B"/>
    <w:rsid w:val="2ED65471"/>
    <w:rsid w:val="2F326AD7"/>
    <w:rsid w:val="2F465A5E"/>
    <w:rsid w:val="2F9E29A6"/>
    <w:rsid w:val="302A20B8"/>
    <w:rsid w:val="30477E0F"/>
    <w:rsid w:val="304E5FD7"/>
    <w:rsid w:val="31344D88"/>
    <w:rsid w:val="331F5318"/>
    <w:rsid w:val="334B071B"/>
    <w:rsid w:val="33E3647C"/>
    <w:rsid w:val="35585710"/>
    <w:rsid w:val="359311A4"/>
    <w:rsid w:val="35B71D41"/>
    <w:rsid w:val="35D94676"/>
    <w:rsid w:val="35DF3187"/>
    <w:rsid w:val="35F46500"/>
    <w:rsid w:val="36CD6B13"/>
    <w:rsid w:val="36E4530C"/>
    <w:rsid w:val="37294C63"/>
    <w:rsid w:val="37667C65"/>
    <w:rsid w:val="3799357A"/>
    <w:rsid w:val="37C40EF2"/>
    <w:rsid w:val="380B6117"/>
    <w:rsid w:val="3857135C"/>
    <w:rsid w:val="38571D22"/>
    <w:rsid w:val="386F7A62"/>
    <w:rsid w:val="38C31508"/>
    <w:rsid w:val="39287E20"/>
    <w:rsid w:val="39AD7E20"/>
    <w:rsid w:val="3A074729"/>
    <w:rsid w:val="3A8F650A"/>
    <w:rsid w:val="3B711BE8"/>
    <w:rsid w:val="3B820DE6"/>
    <w:rsid w:val="3C9614E1"/>
    <w:rsid w:val="3CE74ED1"/>
    <w:rsid w:val="3F155DE5"/>
    <w:rsid w:val="3FA53B34"/>
    <w:rsid w:val="40064284"/>
    <w:rsid w:val="407D0E43"/>
    <w:rsid w:val="419C43AB"/>
    <w:rsid w:val="43E762FB"/>
    <w:rsid w:val="45186C85"/>
    <w:rsid w:val="45463412"/>
    <w:rsid w:val="46017756"/>
    <w:rsid w:val="461524DD"/>
    <w:rsid w:val="481B63B6"/>
    <w:rsid w:val="482A5A21"/>
    <w:rsid w:val="4899389B"/>
    <w:rsid w:val="492823CB"/>
    <w:rsid w:val="49C66341"/>
    <w:rsid w:val="49DE7B2F"/>
    <w:rsid w:val="4AE20F59"/>
    <w:rsid w:val="4B726781"/>
    <w:rsid w:val="4BB962A5"/>
    <w:rsid w:val="4EAD7AD0"/>
    <w:rsid w:val="4F28081F"/>
    <w:rsid w:val="506B3DC0"/>
    <w:rsid w:val="507369C3"/>
    <w:rsid w:val="50D74B26"/>
    <w:rsid w:val="527C3CA5"/>
    <w:rsid w:val="539354E6"/>
    <w:rsid w:val="53DC38BE"/>
    <w:rsid w:val="54902AE5"/>
    <w:rsid w:val="552129FB"/>
    <w:rsid w:val="55902273"/>
    <w:rsid w:val="55A42C27"/>
    <w:rsid w:val="57353AC5"/>
    <w:rsid w:val="57802226"/>
    <w:rsid w:val="57DE4279"/>
    <w:rsid w:val="59795A6E"/>
    <w:rsid w:val="5A8150B8"/>
    <w:rsid w:val="5A90452E"/>
    <w:rsid w:val="5ACF14DF"/>
    <w:rsid w:val="5AFF3461"/>
    <w:rsid w:val="5B0E18F6"/>
    <w:rsid w:val="5B6B6D49"/>
    <w:rsid w:val="5BBA3F93"/>
    <w:rsid w:val="5F473659"/>
    <w:rsid w:val="603705CE"/>
    <w:rsid w:val="60863855"/>
    <w:rsid w:val="60995CEB"/>
    <w:rsid w:val="61554981"/>
    <w:rsid w:val="61F112C6"/>
    <w:rsid w:val="62542767"/>
    <w:rsid w:val="638C2BC2"/>
    <w:rsid w:val="63A159FD"/>
    <w:rsid w:val="63B115E1"/>
    <w:rsid w:val="63C96C0E"/>
    <w:rsid w:val="63F34B3F"/>
    <w:rsid w:val="64613E33"/>
    <w:rsid w:val="6613212F"/>
    <w:rsid w:val="66A96769"/>
    <w:rsid w:val="67E426CD"/>
    <w:rsid w:val="68665DBA"/>
    <w:rsid w:val="68B435F2"/>
    <w:rsid w:val="68B8352A"/>
    <w:rsid w:val="68BD0654"/>
    <w:rsid w:val="6A6609F6"/>
    <w:rsid w:val="6AEA0757"/>
    <w:rsid w:val="6B4E1FD9"/>
    <w:rsid w:val="6D7D6EC2"/>
    <w:rsid w:val="6DFB0AA2"/>
    <w:rsid w:val="6E9D1924"/>
    <w:rsid w:val="6F821344"/>
    <w:rsid w:val="6FB34C34"/>
    <w:rsid w:val="6FCD36D6"/>
    <w:rsid w:val="6FDA2787"/>
    <w:rsid w:val="6FEC67AE"/>
    <w:rsid w:val="71444CDF"/>
    <w:rsid w:val="7276691F"/>
    <w:rsid w:val="73FB73CE"/>
    <w:rsid w:val="74DC3900"/>
    <w:rsid w:val="750D1087"/>
    <w:rsid w:val="757E4A86"/>
    <w:rsid w:val="75F07258"/>
    <w:rsid w:val="773F5613"/>
    <w:rsid w:val="77684C91"/>
    <w:rsid w:val="77F84181"/>
    <w:rsid w:val="780354B1"/>
    <w:rsid w:val="781400F4"/>
    <w:rsid w:val="78F3671A"/>
    <w:rsid w:val="79821680"/>
    <w:rsid w:val="79E24222"/>
    <w:rsid w:val="7A4A1F0A"/>
    <w:rsid w:val="7DEF68E1"/>
    <w:rsid w:val="7DF05160"/>
    <w:rsid w:val="7DF514EE"/>
    <w:rsid w:val="7E35474D"/>
    <w:rsid w:val="7F0B6060"/>
    <w:rsid w:val="7F8E33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iPriority="0" w:semiHidden="0" w:name="Body Text 3"/>
    <w:lsdException w:qFormat="1" w:uiPriority="99" w:semiHidden="0" w:name="Body Text Indent 2"/>
    <w:lsdException w:qFormat="1" w:uiPriority="0"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autoRedefine/>
    <w:qFormat/>
    <w:uiPriority w:val="0"/>
    <w:pPr>
      <w:keepNext/>
      <w:keepLines/>
      <w:spacing w:before="340" w:after="330" w:line="578" w:lineRule="auto"/>
      <w:outlineLvl w:val="0"/>
    </w:pPr>
    <w:rPr>
      <w:b/>
      <w:bCs/>
      <w:kern w:val="44"/>
      <w:sz w:val="44"/>
      <w:szCs w:val="44"/>
    </w:rPr>
  </w:style>
  <w:style w:type="paragraph" w:styleId="3">
    <w:name w:val="heading 2"/>
    <w:basedOn w:val="1"/>
    <w:link w:val="46"/>
    <w:autoRedefine/>
    <w:unhideWhenUsed/>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47"/>
    <w:autoRedefine/>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48"/>
    <w:autoRedefine/>
    <w:unhideWhenUsed/>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link w:val="49"/>
    <w:autoRedefine/>
    <w:unhideWhenUsed/>
    <w:qFormat/>
    <w:uiPriority w:val="0"/>
    <w:pPr>
      <w:keepNext/>
      <w:keepLines/>
      <w:spacing w:before="280" w:after="290" w:line="376" w:lineRule="auto"/>
      <w:outlineLvl w:val="4"/>
    </w:pPr>
    <w:rPr>
      <w:b/>
      <w:bCs/>
      <w:sz w:val="28"/>
      <w:szCs w:val="28"/>
    </w:rPr>
  </w:style>
  <w:style w:type="paragraph" w:styleId="7">
    <w:name w:val="heading 6"/>
    <w:basedOn w:val="1"/>
    <w:next w:val="1"/>
    <w:link w:val="50"/>
    <w:autoRedefine/>
    <w:unhideWhenUsed/>
    <w:qFormat/>
    <w:uiPriority w:val="0"/>
    <w:pPr>
      <w:keepNext/>
      <w:keepLines/>
      <w:spacing w:before="240" w:after="64" w:line="320" w:lineRule="auto"/>
      <w:outlineLvl w:val="5"/>
    </w:pPr>
    <w:rPr>
      <w:rFonts w:ascii="Cambria" w:hAnsi="Cambria"/>
      <w:b/>
      <w:bCs/>
      <w:sz w:val="24"/>
    </w:rPr>
  </w:style>
  <w:style w:type="paragraph" w:styleId="8">
    <w:name w:val="heading 7"/>
    <w:basedOn w:val="1"/>
    <w:next w:val="1"/>
    <w:link w:val="51"/>
    <w:autoRedefine/>
    <w:unhideWhenUsed/>
    <w:qFormat/>
    <w:uiPriority w:val="0"/>
    <w:pPr>
      <w:keepNext/>
      <w:keepLines/>
      <w:spacing w:before="240" w:after="64" w:line="320" w:lineRule="auto"/>
      <w:outlineLvl w:val="6"/>
    </w:pPr>
    <w:rPr>
      <w:b/>
      <w:bCs/>
      <w:sz w:val="24"/>
    </w:rPr>
  </w:style>
  <w:style w:type="paragraph" w:styleId="9">
    <w:name w:val="heading 8"/>
    <w:basedOn w:val="1"/>
    <w:next w:val="1"/>
    <w:link w:val="52"/>
    <w:autoRedefine/>
    <w:semiHidden/>
    <w:unhideWhenUsed/>
    <w:qFormat/>
    <w:uiPriority w:val="0"/>
    <w:pPr>
      <w:keepNext/>
      <w:keepLines/>
      <w:widowControl/>
      <w:tabs>
        <w:tab w:val="left" w:pos="1440"/>
      </w:tabs>
      <w:spacing w:before="240" w:after="64" w:line="316" w:lineRule="auto"/>
      <w:ind w:left="1440" w:hanging="1440"/>
      <w:jc w:val="left"/>
      <w:outlineLvl w:val="7"/>
    </w:pPr>
    <w:rPr>
      <w:rFonts w:ascii="Arial" w:hAnsi="Arial" w:eastAsia="黑体"/>
      <w:kern w:val="0"/>
      <w:sz w:val="24"/>
    </w:rPr>
  </w:style>
  <w:style w:type="paragraph" w:styleId="10">
    <w:name w:val="heading 9"/>
    <w:basedOn w:val="1"/>
    <w:next w:val="1"/>
    <w:link w:val="53"/>
    <w:autoRedefine/>
    <w:semiHidden/>
    <w:unhideWhenUsed/>
    <w:qFormat/>
    <w:uiPriority w:val="0"/>
    <w:pPr>
      <w:keepNext/>
      <w:keepLines/>
      <w:widowControl/>
      <w:tabs>
        <w:tab w:val="left" w:pos="1584"/>
      </w:tabs>
      <w:spacing w:before="240" w:after="64" w:line="316" w:lineRule="auto"/>
      <w:ind w:left="1584" w:hanging="1584"/>
      <w:jc w:val="left"/>
      <w:outlineLvl w:val="8"/>
    </w:pPr>
    <w:rPr>
      <w:rFonts w:ascii="Arial" w:hAnsi="Arial" w:eastAsia="黑体"/>
      <w:kern w:val="0"/>
      <w:szCs w:val="21"/>
    </w:rPr>
  </w:style>
  <w:style w:type="character" w:default="1" w:styleId="37">
    <w:name w:val="Default Paragraph Font"/>
    <w:autoRedefine/>
    <w:semiHidden/>
    <w:unhideWhenUsed/>
    <w:qFormat/>
    <w:uiPriority w:val="1"/>
  </w:style>
  <w:style w:type="table" w:default="1" w:styleId="36">
    <w:name w:val="Normal Table"/>
    <w:autoRedefine/>
    <w:semiHidden/>
    <w:unhideWhenUsed/>
    <w:qFormat/>
    <w:uiPriority w:val="99"/>
    <w:tblPr>
      <w:tblCellMar>
        <w:top w:w="0" w:type="dxa"/>
        <w:left w:w="108" w:type="dxa"/>
        <w:bottom w:w="0" w:type="dxa"/>
        <w:right w:w="108" w:type="dxa"/>
      </w:tblCellMar>
    </w:tblPr>
  </w:style>
  <w:style w:type="paragraph" w:styleId="11">
    <w:name w:val="Normal Indent"/>
    <w:basedOn w:val="1"/>
    <w:link w:val="66"/>
    <w:autoRedefine/>
    <w:qFormat/>
    <w:uiPriority w:val="0"/>
    <w:pPr>
      <w:ind w:firstLine="420"/>
    </w:pPr>
    <w:rPr>
      <w:kern w:val="0"/>
      <w:sz w:val="20"/>
      <w:szCs w:val="20"/>
      <w:lang w:val="zh-CN"/>
    </w:rPr>
  </w:style>
  <w:style w:type="paragraph" w:styleId="12">
    <w:name w:val="Document Map"/>
    <w:basedOn w:val="1"/>
    <w:link w:val="141"/>
    <w:autoRedefine/>
    <w:qFormat/>
    <w:uiPriority w:val="0"/>
    <w:pPr>
      <w:shd w:val="clear" w:color="auto" w:fill="000080"/>
    </w:pPr>
    <w:rPr>
      <w:rFonts w:ascii="宋体" w:hAnsi="宋体"/>
      <w:sz w:val="24"/>
    </w:rPr>
  </w:style>
  <w:style w:type="paragraph" w:styleId="13">
    <w:name w:val="annotation text"/>
    <w:basedOn w:val="1"/>
    <w:link w:val="127"/>
    <w:autoRedefine/>
    <w:unhideWhenUsed/>
    <w:qFormat/>
    <w:uiPriority w:val="0"/>
    <w:pPr>
      <w:jc w:val="left"/>
    </w:pPr>
  </w:style>
  <w:style w:type="paragraph" w:styleId="14">
    <w:name w:val="Body Text 3"/>
    <w:basedOn w:val="1"/>
    <w:link w:val="138"/>
    <w:autoRedefine/>
    <w:unhideWhenUsed/>
    <w:qFormat/>
    <w:uiPriority w:val="0"/>
    <w:pPr>
      <w:topLinePunct/>
      <w:spacing w:line="400" w:lineRule="exact"/>
    </w:pPr>
    <w:rPr>
      <w:rFonts w:cs="黑体" w:asciiTheme="minorEastAsia" w:hAnsiTheme="minorEastAsia" w:eastAsiaTheme="minorEastAsia"/>
      <w:b/>
      <w:szCs w:val="21"/>
    </w:rPr>
  </w:style>
  <w:style w:type="paragraph" w:styleId="15">
    <w:name w:val="Body Text"/>
    <w:basedOn w:val="1"/>
    <w:next w:val="16"/>
    <w:link w:val="102"/>
    <w:autoRedefine/>
    <w:unhideWhenUsed/>
    <w:qFormat/>
    <w:uiPriority w:val="0"/>
    <w:pPr>
      <w:spacing w:after="120" w:line="360" w:lineRule="auto"/>
    </w:pPr>
    <w:rPr>
      <w:rFonts w:cs="黑体"/>
    </w:rPr>
  </w:style>
  <w:style w:type="paragraph" w:styleId="16">
    <w:name w:val="Body Text 2"/>
    <w:basedOn w:val="1"/>
    <w:link w:val="136"/>
    <w:autoRedefine/>
    <w:qFormat/>
    <w:uiPriority w:val="0"/>
    <w:rPr>
      <w:sz w:val="24"/>
      <w:szCs w:val="20"/>
    </w:rPr>
  </w:style>
  <w:style w:type="paragraph" w:styleId="17">
    <w:name w:val="Body Text Indent"/>
    <w:basedOn w:val="1"/>
    <w:next w:val="18"/>
    <w:link w:val="94"/>
    <w:autoRedefine/>
    <w:unhideWhenUsed/>
    <w:qFormat/>
    <w:uiPriority w:val="0"/>
    <w:pPr>
      <w:spacing w:after="120"/>
      <w:ind w:left="420" w:leftChars="200"/>
    </w:pPr>
  </w:style>
  <w:style w:type="paragraph" w:styleId="18">
    <w:name w:val="envelope return"/>
    <w:basedOn w:val="1"/>
    <w:autoRedefine/>
    <w:qFormat/>
    <w:uiPriority w:val="0"/>
    <w:pPr>
      <w:snapToGrid w:val="0"/>
    </w:pPr>
    <w:rPr>
      <w:rFonts w:ascii="Arial" w:hAnsi="Arial"/>
    </w:rPr>
  </w:style>
  <w:style w:type="paragraph" w:styleId="19">
    <w:name w:val="toc 3"/>
    <w:basedOn w:val="1"/>
    <w:next w:val="1"/>
    <w:autoRedefine/>
    <w:unhideWhenUsed/>
    <w:qFormat/>
    <w:uiPriority w:val="39"/>
    <w:pPr>
      <w:ind w:left="420"/>
      <w:jc w:val="left"/>
    </w:pPr>
    <w:rPr>
      <w:i/>
      <w:iCs/>
      <w:sz w:val="20"/>
      <w:szCs w:val="20"/>
    </w:rPr>
  </w:style>
  <w:style w:type="paragraph" w:styleId="20">
    <w:name w:val="Plain Text"/>
    <w:basedOn w:val="1"/>
    <w:link w:val="95"/>
    <w:autoRedefine/>
    <w:unhideWhenUsed/>
    <w:qFormat/>
    <w:uiPriority w:val="0"/>
    <w:pPr>
      <w:spacing w:line="360" w:lineRule="auto"/>
    </w:pPr>
    <w:rPr>
      <w:rFonts w:ascii="Courier New" w:hAnsi="Courier New" w:cs="黑体"/>
      <w:szCs w:val="22"/>
    </w:rPr>
  </w:style>
  <w:style w:type="paragraph" w:styleId="21">
    <w:name w:val="Date"/>
    <w:basedOn w:val="1"/>
    <w:next w:val="1"/>
    <w:link w:val="133"/>
    <w:autoRedefine/>
    <w:unhideWhenUsed/>
    <w:qFormat/>
    <w:uiPriority w:val="0"/>
    <w:pPr>
      <w:spacing w:before="100" w:beforeAutospacing="1" w:after="100" w:afterAutospacing="1"/>
      <w:ind w:left="100" w:leftChars="2500"/>
    </w:pPr>
    <w:rPr>
      <w:rFonts w:cs="宋体"/>
      <w:kern w:val="0"/>
      <w:sz w:val="20"/>
      <w:szCs w:val="20"/>
      <w:u w:val="words"/>
    </w:rPr>
  </w:style>
  <w:style w:type="paragraph" w:styleId="22">
    <w:name w:val="Body Text Indent 2"/>
    <w:basedOn w:val="1"/>
    <w:link w:val="97"/>
    <w:autoRedefine/>
    <w:unhideWhenUsed/>
    <w:qFormat/>
    <w:uiPriority w:val="99"/>
    <w:pPr>
      <w:spacing w:after="120" w:line="480" w:lineRule="auto"/>
      <w:ind w:left="420" w:leftChars="200"/>
    </w:pPr>
    <w:rPr>
      <w:kern w:val="0"/>
      <w:sz w:val="20"/>
    </w:rPr>
  </w:style>
  <w:style w:type="paragraph" w:styleId="23">
    <w:name w:val="Balloon Text"/>
    <w:basedOn w:val="1"/>
    <w:link w:val="145"/>
    <w:autoRedefine/>
    <w:unhideWhenUsed/>
    <w:qFormat/>
    <w:uiPriority w:val="0"/>
    <w:rPr>
      <w:sz w:val="18"/>
      <w:szCs w:val="18"/>
    </w:rPr>
  </w:style>
  <w:style w:type="paragraph" w:styleId="24">
    <w:name w:val="footer"/>
    <w:basedOn w:val="1"/>
    <w:link w:val="44"/>
    <w:autoRedefine/>
    <w:unhideWhenUsed/>
    <w:qFormat/>
    <w:uiPriority w:val="99"/>
    <w:pPr>
      <w:tabs>
        <w:tab w:val="center" w:pos="4153"/>
        <w:tab w:val="right" w:pos="8306"/>
      </w:tabs>
      <w:snapToGrid w:val="0"/>
      <w:jc w:val="left"/>
    </w:pPr>
    <w:rPr>
      <w:sz w:val="18"/>
      <w:szCs w:val="18"/>
    </w:rPr>
  </w:style>
  <w:style w:type="paragraph" w:styleId="25">
    <w:name w:val="header"/>
    <w:basedOn w:val="1"/>
    <w:link w:val="4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6">
    <w:name w:val="Subtitle"/>
    <w:basedOn w:val="1"/>
    <w:next w:val="1"/>
    <w:link w:val="131"/>
    <w:autoRedefine/>
    <w:qFormat/>
    <w:uiPriority w:val="0"/>
    <w:pPr>
      <w:spacing w:before="240" w:after="60" w:line="312" w:lineRule="auto"/>
      <w:jc w:val="center"/>
      <w:outlineLvl w:val="1"/>
    </w:pPr>
    <w:rPr>
      <w:rFonts w:ascii="Cambria" w:hAnsi="Cambria"/>
      <w:b/>
      <w:bCs/>
      <w:kern w:val="28"/>
      <w:sz w:val="32"/>
      <w:szCs w:val="32"/>
    </w:rPr>
  </w:style>
  <w:style w:type="paragraph" w:styleId="27">
    <w:name w:val="Body Text Indent 3"/>
    <w:basedOn w:val="1"/>
    <w:link w:val="139"/>
    <w:autoRedefine/>
    <w:semiHidden/>
    <w:unhideWhenUsed/>
    <w:qFormat/>
    <w:uiPriority w:val="0"/>
    <w:pPr>
      <w:spacing w:after="120"/>
      <w:ind w:left="420" w:leftChars="200"/>
    </w:pPr>
    <w:rPr>
      <w:rFonts w:cs="黑体"/>
      <w:sz w:val="16"/>
      <w:szCs w:val="16"/>
    </w:rPr>
  </w:style>
  <w:style w:type="paragraph" w:styleId="28">
    <w:name w:val="Message Header"/>
    <w:basedOn w:val="1"/>
    <w:next w:val="29"/>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Cambria" w:hAnsi="Cambria"/>
      <w:sz w:val="24"/>
    </w:rPr>
  </w:style>
  <w:style w:type="paragraph" w:customStyle="1" w:styleId="29">
    <w:name w:val="文档正文"/>
    <w:basedOn w:val="1"/>
    <w:next w:val="30"/>
    <w:autoRedefine/>
    <w:qFormat/>
    <w:uiPriority w:val="0"/>
    <w:pPr>
      <w:adjustRightInd w:val="0"/>
      <w:spacing w:line="480" w:lineRule="atLeast"/>
      <w:ind w:firstLine="567"/>
      <w:textAlignment w:val="baseline"/>
    </w:pPr>
    <w:rPr>
      <w:rFonts w:ascii="仿宋_GB2312" w:eastAsia="仿宋_GB2312"/>
      <w:kern w:val="0"/>
      <w:sz w:val="28"/>
      <w:szCs w:val="20"/>
    </w:rPr>
  </w:style>
  <w:style w:type="paragraph" w:customStyle="1" w:styleId="30">
    <w:name w:val="样式1"/>
    <w:basedOn w:val="19"/>
    <w:next w:val="29"/>
    <w:autoRedefine/>
    <w:qFormat/>
    <w:uiPriority w:val="0"/>
    <w:pPr>
      <w:spacing w:before="120" w:after="120" w:line="300" w:lineRule="auto"/>
    </w:pPr>
    <w:rPr>
      <w:rFonts w:ascii="Arial Unicode MS" w:hAnsi="Arial Unicode MS"/>
      <w:b/>
      <w:sz w:val="24"/>
    </w:rPr>
  </w:style>
  <w:style w:type="paragraph" w:styleId="31">
    <w:name w:val="Normal (Web)"/>
    <w:basedOn w:val="1"/>
    <w:autoRedefine/>
    <w:unhideWhenUsed/>
    <w:qFormat/>
    <w:uiPriority w:val="99"/>
    <w:pPr>
      <w:widowControl/>
      <w:spacing w:before="100" w:beforeAutospacing="1" w:after="100" w:afterAutospacing="1" w:line="360" w:lineRule="auto"/>
      <w:jc w:val="left"/>
    </w:pPr>
    <w:rPr>
      <w:rFonts w:ascii="宋体" w:hAnsi="宋体" w:cs="宋体"/>
      <w:kern w:val="0"/>
      <w:sz w:val="24"/>
    </w:rPr>
  </w:style>
  <w:style w:type="paragraph" w:styleId="32">
    <w:name w:val="Title"/>
    <w:basedOn w:val="1"/>
    <w:next w:val="1"/>
    <w:link w:val="129"/>
    <w:autoRedefine/>
    <w:qFormat/>
    <w:uiPriority w:val="10"/>
    <w:pPr>
      <w:spacing w:before="240" w:after="60" w:line="360" w:lineRule="auto"/>
      <w:jc w:val="center"/>
      <w:outlineLvl w:val="0"/>
    </w:pPr>
    <w:rPr>
      <w:rFonts w:ascii="Cambria" w:hAnsi="Cambria"/>
      <w:b/>
      <w:bCs/>
      <w:sz w:val="32"/>
      <w:szCs w:val="32"/>
    </w:rPr>
  </w:style>
  <w:style w:type="paragraph" w:styleId="33">
    <w:name w:val="annotation subject"/>
    <w:basedOn w:val="13"/>
    <w:next w:val="13"/>
    <w:link w:val="143"/>
    <w:autoRedefine/>
    <w:unhideWhenUsed/>
    <w:qFormat/>
    <w:uiPriority w:val="0"/>
    <w:pPr>
      <w:overflowPunct w:val="0"/>
      <w:adjustRightInd w:val="0"/>
      <w:spacing w:line="500" w:lineRule="exact"/>
      <w:ind w:firstLine="560" w:firstLineChars="200"/>
    </w:pPr>
    <w:rPr>
      <w:rFonts w:eastAsia="仿宋_GB2312"/>
      <w:b/>
      <w:bCs/>
      <w:kern w:val="28"/>
      <w:sz w:val="28"/>
      <w:szCs w:val="28"/>
    </w:rPr>
  </w:style>
  <w:style w:type="paragraph" w:styleId="34">
    <w:name w:val="Body Text First Indent"/>
    <w:basedOn w:val="15"/>
    <w:next w:val="1"/>
    <w:link w:val="104"/>
    <w:autoRedefine/>
    <w:unhideWhenUsed/>
    <w:qFormat/>
    <w:uiPriority w:val="0"/>
    <w:pPr>
      <w:spacing w:line="240" w:lineRule="auto"/>
      <w:ind w:firstLine="420" w:firstLineChars="100"/>
    </w:pPr>
    <w:rPr>
      <w:rFonts w:asciiTheme="minorHAnsi" w:hAnsiTheme="minorHAnsi" w:eastAsiaTheme="minorEastAsia" w:cstheme="minorBidi"/>
      <w:szCs w:val="22"/>
    </w:rPr>
  </w:style>
  <w:style w:type="paragraph" w:styleId="35">
    <w:name w:val="Body Text First Indent 2"/>
    <w:basedOn w:val="17"/>
    <w:next w:val="1"/>
    <w:link w:val="135"/>
    <w:autoRedefine/>
    <w:unhideWhenUsed/>
    <w:qFormat/>
    <w:uiPriority w:val="99"/>
    <w:pPr>
      <w:spacing w:line="360" w:lineRule="auto"/>
      <w:ind w:firstLine="420" w:firstLineChars="200"/>
    </w:pPr>
  </w:style>
  <w:style w:type="character" w:styleId="38">
    <w:name w:val="Strong"/>
    <w:autoRedefine/>
    <w:qFormat/>
    <w:uiPriority w:val="0"/>
    <w:rPr>
      <w:rFonts w:hint="eastAsia" w:ascii="仿宋_GB2312" w:eastAsia="仿宋_GB2312"/>
      <w:b/>
      <w:bCs/>
      <w:kern w:val="2"/>
      <w:sz w:val="28"/>
      <w:szCs w:val="24"/>
      <w:lang w:val="en-US" w:eastAsia="zh-CN" w:bidi="ar-SA"/>
    </w:rPr>
  </w:style>
  <w:style w:type="character" w:styleId="39">
    <w:name w:val="page number"/>
    <w:autoRedefine/>
    <w:qFormat/>
    <w:uiPriority w:val="0"/>
  </w:style>
  <w:style w:type="character" w:styleId="40">
    <w:name w:val="FollowedHyperlink"/>
    <w:basedOn w:val="37"/>
    <w:autoRedefine/>
    <w:semiHidden/>
    <w:unhideWhenUsed/>
    <w:qFormat/>
    <w:uiPriority w:val="99"/>
    <w:rPr>
      <w:color w:val="800080"/>
      <w:u w:val="none"/>
    </w:rPr>
  </w:style>
  <w:style w:type="character" w:styleId="41">
    <w:name w:val="Hyperlink"/>
    <w:autoRedefine/>
    <w:unhideWhenUsed/>
    <w:qFormat/>
    <w:uiPriority w:val="99"/>
    <w:rPr>
      <w:color w:val="333333"/>
      <w:sz w:val="18"/>
      <w:szCs w:val="18"/>
      <w:u w:val="none"/>
    </w:rPr>
  </w:style>
  <w:style w:type="character" w:styleId="42">
    <w:name w:val="annotation reference"/>
    <w:autoRedefine/>
    <w:qFormat/>
    <w:uiPriority w:val="0"/>
    <w:rPr>
      <w:sz w:val="21"/>
      <w:szCs w:val="21"/>
    </w:rPr>
  </w:style>
  <w:style w:type="character" w:customStyle="1" w:styleId="43">
    <w:name w:val="页眉 Char"/>
    <w:basedOn w:val="37"/>
    <w:link w:val="25"/>
    <w:autoRedefine/>
    <w:qFormat/>
    <w:uiPriority w:val="99"/>
    <w:rPr>
      <w:sz w:val="18"/>
      <w:szCs w:val="18"/>
    </w:rPr>
  </w:style>
  <w:style w:type="character" w:customStyle="1" w:styleId="44">
    <w:name w:val="页脚 Char"/>
    <w:basedOn w:val="37"/>
    <w:link w:val="24"/>
    <w:autoRedefine/>
    <w:qFormat/>
    <w:uiPriority w:val="99"/>
    <w:rPr>
      <w:sz w:val="18"/>
      <w:szCs w:val="18"/>
    </w:rPr>
  </w:style>
  <w:style w:type="character" w:customStyle="1" w:styleId="45">
    <w:name w:val="标题 1 Char"/>
    <w:basedOn w:val="37"/>
    <w:link w:val="2"/>
    <w:autoRedefine/>
    <w:qFormat/>
    <w:uiPriority w:val="0"/>
    <w:rPr>
      <w:rFonts w:ascii="Times New Roman" w:hAnsi="Times New Roman" w:eastAsia="宋体" w:cs="Times New Roman"/>
      <w:b/>
      <w:bCs/>
      <w:kern w:val="44"/>
      <w:sz w:val="44"/>
      <w:szCs w:val="44"/>
    </w:rPr>
  </w:style>
  <w:style w:type="character" w:customStyle="1" w:styleId="46">
    <w:name w:val="标题 2 Char"/>
    <w:basedOn w:val="37"/>
    <w:link w:val="3"/>
    <w:autoRedefine/>
    <w:qFormat/>
    <w:uiPriority w:val="0"/>
    <w:rPr>
      <w:rFonts w:ascii="Cambria" w:hAnsi="Cambria" w:eastAsia="宋体" w:cs="Times New Roman"/>
      <w:b/>
      <w:bCs/>
      <w:sz w:val="32"/>
      <w:szCs w:val="32"/>
    </w:rPr>
  </w:style>
  <w:style w:type="character" w:customStyle="1" w:styleId="47">
    <w:name w:val="标题 3 Char"/>
    <w:basedOn w:val="37"/>
    <w:link w:val="4"/>
    <w:autoRedefine/>
    <w:qFormat/>
    <w:uiPriority w:val="0"/>
    <w:rPr>
      <w:rFonts w:ascii="Times New Roman" w:hAnsi="Times New Roman" w:eastAsia="宋体" w:cs="Times New Roman"/>
      <w:b/>
      <w:bCs/>
      <w:sz w:val="32"/>
      <w:szCs w:val="32"/>
    </w:rPr>
  </w:style>
  <w:style w:type="character" w:customStyle="1" w:styleId="48">
    <w:name w:val="标题 4 Char"/>
    <w:basedOn w:val="37"/>
    <w:link w:val="5"/>
    <w:autoRedefine/>
    <w:qFormat/>
    <w:uiPriority w:val="0"/>
    <w:rPr>
      <w:rFonts w:ascii="Cambria" w:hAnsi="Cambria" w:eastAsia="宋体" w:cs="Times New Roman"/>
      <w:b/>
      <w:bCs/>
      <w:sz w:val="28"/>
      <w:szCs w:val="28"/>
    </w:rPr>
  </w:style>
  <w:style w:type="character" w:customStyle="1" w:styleId="49">
    <w:name w:val="标题 5 Char"/>
    <w:basedOn w:val="37"/>
    <w:link w:val="6"/>
    <w:autoRedefine/>
    <w:qFormat/>
    <w:uiPriority w:val="0"/>
    <w:rPr>
      <w:rFonts w:ascii="Times New Roman" w:hAnsi="Times New Roman" w:eastAsia="宋体" w:cs="Times New Roman"/>
      <w:b/>
      <w:bCs/>
      <w:sz w:val="28"/>
      <w:szCs w:val="28"/>
    </w:rPr>
  </w:style>
  <w:style w:type="character" w:customStyle="1" w:styleId="50">
    <w:name w:val="标题 6 Char"/>
    <w:basedOn w:val="37"/>
    <w:link w:val="7"/>
    <w:autoRedefine/>
    <w:qFormat/>
    <w:uiPriority w:val="0"/>
    <w:rPr>
      <w:rFonts w:ascii="Cambria" w:hAnsi="Cambria" w:eastAsia="宋体" w:cs="Times New Roman"/>
      <w:b/>
      <w:bCs/>
      <w:sz w:val="24"/>
      <w:szCs w:val="24"/>
    </w:rPr>
  </w:style>
  <w:style w:type="character" w:customStyle="1" w:styleId="51">
    <w:name w:val="标题 7 Char"/>
    <w:basedOn w:val="37"/>
    <w:link w:val="8"/>
    <w:autoRedefine/>
    <w:qFormat/>
    <w:uiPriority w:val="0"/>
    <w:rPr>
      <w:rFonts w:ascii="Times New Roman" w:hAnsi="Times New Roman" w:eastAsia="宋体" w:cs="Times New Roman"/>
      <w:b/>
      <w:bCs/>
      <w:sz w:val="24"/>
      <w:szCs w:val="24"/>
    </w:rPr>
  </w:style>
  <w:style w:type="character" w:customStyle="1" w:styleId="52">
    <w:name w:val="标题 8 Char"/>
    <w:basedOn w:val="37"/>
    <w:link w:val="9"/>
    <w:autoRedefine/>
    <w:semiHidden/>
    <w:qFormat/>
    <w:uiPriority w:val="0"/>
    <w:rPr>
      <w:rFonts w:ascii="Arial" w:hAnsi="Arial" w:eastAsia="黑体" w:cs="Times New Roman"/>
      <w:kern w:val="0"/>
      <w:sz w:val="24"/>
      <w:szCs w:val="24"/>
    </w:rPr>
  </w:style>
  <w:style w:type="character" w:customStyle="1" w:styleId="53">
    <w:name w:val="标题 9 Char"/>
    <w:basedOn w:val="37"/>
    <w:link w:val="10"/>
    <w:autoRedefine/>
    <w:semiHidden/>
    <w:qFormat/>
    <w:uiPriority w:val="0"/>
    <w:rPr>
      <w:rFonts w:ascii="Arial" w:hAnsi="Arial" w:eastAsia="黑体" w:cs="Times New Roman"/>
      <w:kern w:val="0"/>
      <w:szCs w:val="21"/>
    </w:rPr>
  </w:style>
  <w:style w:type="paragraph" w:customStyle="1" w:styleId="54">
    <w:name w:val="Default"/>
    <w:autoRedefine/>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5">
    <w:name w:val="p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56">
    <w:name w:val="MSG_EN_FONT_STYLE_NAME_TEMPLATE_ROLE_NUMBER MSG_EN_FONT_STYLE_NAME_BY_ROLE_TEXT 31"/>
    <w:basedOn w:val="1"/>
    <w:link w:val="57"/>
    <w:autoRedefine/>
    <w:unhideWhenUsed/>
    <w:qFormat/>
    <w:uiPriority w:val="99"/>
    <w:pPr>
      <w:shd w:val="clear" w:color="auto" w:fill="FFFFFF"/>
      <w:spacing w:line="190" w:lineRule="exact"/>
      <w:jc w:val="distribute"/>
    </w:pPr>
    <w:rPr>
      <w:rFonts w:ascii="PMingLiU" w:eastAsia="PMingLiU"/>
      <w:kern w:val="0"/>
      <w:sz w:val="19"/>
      <w:szCs w:val="20"/>
      <w:lang w:val="zh-CN"/>
    </w:rPr>
  </w:style>
  <w:style w:type="character" w:customStyle="1" w:styleId="57">
    <w:name w:val="MSG_EN_FONT_STYLE_NAME_TEMPLATE_ROLE_NUMBER MSG_EN_FONT_STYLE_NAME_BY_ROLE_TEXT 3_"/>
    <w:link w:val="56"/>
    <w:autoRedefine/>
    <w:unhideWhenUsed/>
    <w:qFormat/>
    <w:locked/>
    <w:uiPriority w:val="99"/>
    <w:rPr>
      <w:rFonts w:ascii="PMingLiU" w:hAnsi="Times New Roman" w:eastAsia="PMingLiU" w:cs="Times New Roman"/>
      <w:kern w:val="0"/>
      <w:sz w:val="19"/>
      <w:szCs w:val="20"/>
      <w:shd w:val="clear" w:color="auto" w:fill="FFFFFF"/>
      <w:lang w:val="zh-CN" w:eastAsia="zh-CN"/>
    </w:rPr>
  </w:style>
  <w:style w:type="paragraph" w:customStyle="1" w:styleId="58">
    <w:name w:val="WPS Plain"/>
    <w:autoRedefine/>
    <w:qFormat/>
    <w:uiPriority w:val="0"/>
    <w:rPr>
      <w:rFonts w:ascii="Times New Roman" w:hAnsi="Times New Roman" w:eastAsia="宋体" w:cs="Times New Roman"/>
      <w:lang w:val="en-US" w:eastAsia="zh-CN" w:bidi="ar-SA"/>
    </w:rPr>
  </w:style>
  <w:style w:type="paragraph" w:customStyle="1" w:styleId="59">
    <w:name w:val="表格居中"/>
    <w:basedOn w:val="1"/>
    <w:link w:val="60"/>
    <w:autoRedefine/>
    <w:qFormat/>
    <w:uiPriority w:val="0"/>
    <w:pPr>
      <w:jc w:val="center"/>
    </w:pPr>
    <w:rPr>
      <w:rFonts w:ascii="宋体" w:hAnsi="Calibri"/>
      <w:kern w:val="0"/>
      <w:sz w:val="20"/>
      <w:szCs w:val="21"/>
      <w:lang w:val="zh-CN"/>
    </w:rPr>
  </w:style>
  <w:style w:type="character" w:customStyle="1" w:styleId="60">
    <w:name w:val="表格居中 Char"/>
    <w:link w:val="59"/>
    <w:autoRedefine/>
    <w:qFormat/>
    <w:uiPriority w:val="0"/>
    <w:rPr>
      <w:rFonts w:ascii="宋体" w:hAnsi="Calibri" w:eastAsia="宋体" w:cs="Times New Roman"/>
      <w:kern w:val="0"/>
      <w:sz w:val="20"/>
      <w:szCs w:val="21"/>
      <w:lang w:val="zh-CN" w:eastAsia="zh-CN"/>
    </w:rPr>
  </w:style>
  <w:style w:type="paragraph" w:customStyle="1" w:styleId="61">
    <w:name w:val="表头"/>
    <w:basedOn w:val="1"/>
    <w:link w:val="62"/>
    <w:autoRedefine/>
    <w:qFormat/>
    <w:uiPriority w:val="0"/>
    <w:pPr>
      <w:overflowPunct w:val="0"/>
      <w:adjustRightInd w:val="0"/>
      <w:spacing w:line="500" w:lineRule="exact"/>
      <w:ind w:firstLine="560" w:firstLineChars="200"/>
      <w:jc w:val="center"/>
    </w:pPr>
    <w:rPr>
      <w:rFonts w:eastAsia="黑体"/>
      <w:kern w:val="28"/>
      <w:sz w:val="24"/>
      <w:szCs w:val="20"/>
      <w:lang w:val="zh-CN"/>
    </w:rPr>
  </w:style>
  <w:style w:type="character" w:customStyle="1" w:styleId="62">
    <w:name w:val="表头 Char Char"/>
    <w:link w:val="61"/>
    <w:autoRedefine/>
    <w:qFormat/>
    <w:locked/>
    <w:uiPriority w:val="0"/>
    <w:rPr>
      <w:rFonts w:ascii="Times New Roman" w:hAnsi="Times New Roman" w:eastAsia="黑体" w:cs="Times New Roman"/>
      <w:kern w:val="28"/>
      <w:sz w:val="24"/>
      <w:szCs w:val="20"/>
      <w:lang w:val="zh-CN" w:eastAsia="zh-CN"/>
    </w:rPr>
  </w:style>
  <w:style w:type="paragraph" w:customStyle="1" w:styleId="63">
    <w:name w:val="标题2"/>
    <w:basedOn w:val="3"/>
    <w:next w:val="1"/>
    <w:link w:val="64"/>
    <w:autoRedefine/>
    <w:qFormat/>
    <w:uiPriority w:val="0"/>
    <w:pPr>
      <w:snapToGrid w:val="0"/>
      <w:spacing w:before="120" w:after="120" w:line="240" w:lineRule="auto"/>
      <w:jc w:val="left"/>
    </w:pPr>
    <w:rPr>
      <w:rFonts w:ascii="Arial" w:hAnsi="Arial"/>
      <w:b w:val="0"/>
      <w:bCs w:val="0"/>
      <w:kern w:val="0"/>
      <w:sz w:val="20"/>
      <w:szCs w:val="21"/>
      <w:lang w:val="zh-CN"/>
    </w:rPr>
  </w:style>
  <w:style w:type="character" w:customStyle="1" w:styleId="64">
    <w:name w:val="标题2 Char Char"/>
    <w:link w:val="63"/>
    <w:autoRedefine/>
    <w:qFormat/>
    <w:locked/>
    <w:uiPriority w:val="0"/>
    <w:rPr>
      <w:rFonts w:ascii="Arial" w:hAnsi="Arial" w:eastAsia="宋体" w:cs="Times New Roman"/>
      <w:kern w:val="0"/>
      <w:sz w:val="20"/>
      <w:szCs w:val="21"/>
      <w:lang w:val="zh-CN" w:eastAsia="zh-CN"/>
    </w:rPr>
  </w:style>
  <w:style w:type="paragraph" w:customStyle="1" w:styleId="65">
    <w:name w:val="11"/>
    <w:basedOn w:val="11"/>
    <w:link w:val="67"/>
    <w:autoRedefine/>
    <w:qFormat/>
    <w:uiPriority w:val="0"/>
    <w:pPr>
      <w:spacing w:line="500" w:lineRule="atLeast"/>
      <w:ind w:firstLine="200" w:firstLineChars="200"/>
    </w:pPr>
    <w:rPr>
      <w:rFonts w:ascii="Calibri" w:hAnsi="Calibri" w:eastAsia="仿宋_GB2312"/>
      <w:sz w:val="28"/>
    </w:rPr>
  </w:style>
  <w:style w:type="character" w:customStyle="1" w:styleId="66">
    <w:name w:val="正文缩进 Char"/>
    <w:link w:val="11"/>
    <w:autoRedefine/>
    <w:qFormat/>
    <w:locked/>
    <w:uiPriority w:val="0"/>
    <w:rPr>
      <w:rFonts w:ascii="Times New Roman" w:hAnsi="Times New Roman" w:eastAsia="宋体" w:cs="Times New Roman"/>
      <w:kern w:val="0"/>
      <w:sz w:val="20"/>
      <w:szCs w:val="20"/>
      <w:lang w:val="zh-CN" w:eastAsia="zh-CN"/>
    </w:rPr>
  </w:style>
  <w:style w:type="character" w:customStyle="1" w:styleId="67">
    <w:name w:val="11 Char2"/>
    <w:link w:val="65"/>
    <w:autoRedefine/>
    <w:qFormat/>
    <w:locked/>
    <w:uiPriority w:val="0"/>
    <w:rPr>
      <w:rFonts w:ascii="Calibri" w:hAnsi="Calibri" w:eastAsia="仿宋_GB2312" w:cs="Times New Roman"/>
      <w:kern w:val="0"/>
      <w:sz w:val="28"/>
      <w:szCs w:val="20"/>
      <w:lang w:val="zh-CN" w:eastAsia="zh-CN"/>
    </w:rPr>
  </w:style>
  <w:style w:type="paragraph" w:customStyle="1" w:styleId="68">
    <w:name w:val="图标题"/>
    <w:basedOn w:val="1"/>
    <w:link w:val="69"/>
    <w:autoRedefine/>
    <w:qFormat/>
    <w:uiPriority w:val="0"/>
    <w:pPr>
      <w:jc w:val="center"/>
    </w:pPr>
    <w:rPr>
      <w:rFonts w:eastAsia="黑体"/>
      <w:kern w:val="0"/>
      <w:sz w:val="24"/>
      <w:lang w:val="zh-CN"/>
    </w:rPr>
  </w:style>
  <w:style w:type="character" w:customStyle="1" w:styleId="69">
    <w:name w:val="图标题 Char Char"/>
    <w:link w:val="68"/>
    <w:autoRedefine/>
    <w:qFormat/>
    <w:locked/>
    <w:uiPriority w:val="0"/>
    <w:rPr>
      <w:rFonts w:ascii="Times New Roman" w:hAnsi="Times New Roman" w:eastAsia="黑体" w:cs="Times New Roman"/>
      <w:kern w:val="0"/>
      <w:sz w:val="24"/>
      <w:szCs w:val="24"/>
      <w:lang w:val="zh-CN" w:eastAsia="zh-CN"/>
    </w:rPr>
  </w:style>
  <w:style w:type="paragraph" w:customStyle="1" w:styleId="70">
    <w:name w:val="地质报告文本"/>
    <w:basedOn w:val="1"/>
    <w:link w:val="71"/>
    <w:autoRedefine/>
    <w:qFormat/>
    <w:uiPriority w:val="0"/>
    <w:pPr>
      <w:spacing w:line="500" w:lineRule="exact"/>
      <w:ind w:firstLine="200" w:firstLineChars="200"/>
      <w:jc w:val="left"/>
    </w:pPr>
    <w:rPr>
      <w:rFonts w:eastAsia="仿宋_GB2312"/>
      <w:kern w:val="0"/>
      <w:sz w:val="28"/>
      <w:szCs w:val="28"/>
      <w:lang w:val="zh-CN"/>
    </w:rPr>
  </w:style>
  <w:style w:type="character" w:customStyle="1" w:styleId="71">
    <w:name w:val="地质报告文本 Char1"/>
    <w:link w:val="70"/>
    <w:autoRedefine/>
    <w:qFormat/>
    <w:locked/>
    <w:uiPriority w:val="0"/>
    <w:rPr>
      <w:rFonts w:ascii="Times New Roman" w:hAnsi="Times New Roman" w:eastAsia="仿宋_GB2312" w:cs="Times New Roman"/>
      <w:kern w:val="0"/>
      <w:sz w:val="28"/>
      <w:szCs w:val="28"/>
      <w:lang w:val="zh-CN" w:eastAsia="zh-CN"/>
    </w:rPr>
  </w:style>
  <w:style w:type="paragraph" w:customStyle="1" w:styleId="72">
    <w:name w:val="样式 宋体 黑色 行距: 固定值 25 磅"/>
    <w:basedOn w:val="1"/>
    <w:link w:val="73"/>
    <w:autoRedefine/>
    <w:qFormat/>
    <w:uiPriority w:val="0"/>
    <w:pPr>
      <w:overflowPunct w:val="0"/>
      <w:adjustRightInd w:val="0"/>
      <w:spacing w:line="500" w:lineRule="exact"/>
      <w:ind w:firstLine="560" w:firstLineChars="200"/>
    </w:pPr>
    <w:rPr>
      <w:rFonts w:eastAsia="仿宋_GB2312"/>
      <w:color w:val="000000"/>
      <w:kern w:val="28"/>
      <w:sz w:val="28"/>
      <w:szCs w:val="20"/>
      <w:lang w:val="zh-CN"/>
    </w:rPr>
  </w:style>
  <w:style w:type="character" w:customStyle="1" w:styleId="73">
    <w:name w:val="样式 宋体 黑色 行距: 固定值 25 磅 Char Char"/>
    <w:link w:val="72"/>
    <w:autoRedefine/>
    <w:qFormat/>
    <w:locked/>
    <w:uiPriority w:val="0"/>
    <w:rPr>
      <w:rFonts w:ascii="Times New Roman" w:hAnsi="Times New Roman" w:eastAsia="仿宋_GB2312" w:cs="Times New Roman"/>
      <w:color w:val="000000"/>
      <w:kern w:val="28"/>
      <w:sz w:val="28"/>
      <w:szCs w:val="20"/>
      <w:lang w:val="zh-CN" w:eastAsia="zh-CN"/>
    </w:rPr>
  </w:style>
  <w:style w:type="paragraph" w:customStyle="1" w:styleId="74">
    <w:name w:val="样式 样式 宋体 黑色 行距: 固定值 25 磅 + (西文) 宋体 首行缩进:  2 字符"/>
    <w:basedOn w:val="72"/>
    <w:link w:val="75"/>
    <w:autoRedefine/>
    <w:qFormat/>
    <w:uiPriority w:val="0"/>
  </w:style>
  <w:style w:type="character" w:customStyle="1" w:styleId="75">
    <w:name w:val="样式 样式 宋体 黑色 行距: 固定值 25 磅 + (西文) 宋体 首行缩进:  2 字符 Char Char"/>
    <w:link w:val="74"/>
    <w:autoRedefine/>
    <w:qFormat/>
    <w:locked/>
    <w:uiPriority w:val="0"/>
    <w:rPr>
      <w:rFonts w:ascii="Times New Roman" w:hAnsi="Times New Roman" w:eastAsia="仿宋_GB2312" w:cs="Times New Roman"/>
      <w:color w:val="000000"/>
      <w:kern w:val="28"/>
      <w:sz w:val="28"/>
      <w:szCs w:val="20"/>
      <w:lang w:val="zh-CN" w:eastAsia="zh-CN"/>
    </w:rPr>
  </w:style>
  <w:style w:type="paragraph" w:customStyle="1" w:styleId="76">
    <w:name w:val="样式 首行缩进:  2 字符"/>
    <w:basedOn w:val="1"/>
    <w:link w:val="77"/>
    <w:autoRedefine/>
    <w:qFormat/>
    <w:uiPriority w:val="0"/>
    <w:pPr>
      <w:overflowPunct w:val="0"/>
      <w:spacing w:line="500" w:lineRule="exact"/>
      <w:ind w:firstLine="567"/>
    </w:pPr>
    <w:rPr>
      <w:rFonts w:eastAsia="仿宋_GB2312"/>
      <w:kern w:val="0"/>
      <w:sz w:val="28"/>
      <w:szCs w:val="20"/>
      <w:lang w:val="zh-CN"/>
    </w:rPr>
  </w:style>
  <w:style w:type="character" w:customStyle="1" w:styleId="77">
    <w:name w:val="样式 首行缩进:  2 字符 Char Char"/>
    <w:link w:val="76"/>
    <w:autoRedefine/>
    <w:qFormat/>
    <w:locked/>
    <w:uiPriority w:val="0"/>
    <w:rPr>
      <w:rFonts w:ascii="Times New Roman" w:hAnsi="Times New Roman" w:eastAsia="仿宋_GB2312" w:cs="Times New Roman"/>
      <w:kern w:val="0"/>
      <w:sz w:val="28"/>
      <w:szCs w:val="20"/>
      <w:lang w:val="zh-CN" w:eastAsia="zh-CN"/>
    </w:rPr>
  </w:style>
  <w:style w:type="paragraph" w:customStyle="1" w:styleId="78">
    <w:name w:val="表格1"/>
    <w:link w:val="79"/>
    <w:autoRedefine/>
    <w:qFormat/>
    <w:uiPriority w:val="0"/>
    <w:pPr>
      <w:jc w:val="center"/>
    </w:pPr>
    <w:rPr>
      <w:rFonts w:ascii="Calibri" w:hAnsi="Calibri" w:eastAsia="宋体" w:cs="Times New Roman"/>
      <w:sz w:val="18"/>
      <w:szCs w:val="22"/>
      <w:lang w:val="en-US" w:eastAsia="zh-CN" w:bidi="ar-SA"/>
    </w:rPr>
  </w:style>
  <w:style w:type="character" w:customStyle="1" w:styleId="79">
    <w:name w:val="表格1 Char Char"/>
    <w:link w:val="78"/>
    <w:autoRedefine/>
    <w:qFormat/>
    <w:locked/>
    <w:uiPriority w:val="0"/>
    <w:rPr>
      <w:rFonts w:ascii="Calibri" w:hAnsi="Calibri" w:eastAsia="宋体" w:cs="Times New Roman"/>
      <w:kern w:val="0"/>
      <w:sz w:val="18"/>
    </w:rPr>
  </w:style>
  <w:style w:type="paragraph" w:customStyle="1" w:styleId="80">
    <w:name w:val="表格文字"/>
    <w:basedOn w:val="1"/>
    <w:link w:val="81"/>
    <w:autoRedefine/>
    <w:qFormat/>
    <w:uiPriority w:val="0"/>
    <w:pPr>
      <w:adjustRightInd w:val="0"/>
      <w:spacing w:line="420" w:lineRule="atLeast"/>
      <w:jc w:val="left"/>
    </w:pPr>
    <w:rPr>
      <w:kern w:val="0"/>
      <w:sz w:val="20"/>
      <w:szCs w:val="20"/>
      <w:lang w:val="zh-CN"/>
    </w:rPr>
  </w:style>
  <w:style w:type="character" w:customStyle="1" w:styleId="81">
    <w:name w:val="表格文字 Char1"/>
    <w:link w:val="80"/>
    <w:autoRedefine/>
    <w:qFormat/>
    <w:locked/>
    <w:uiPriority w:val="0"/>
    <w:rPr>
      <w:rFonts w:ascii="Times New Roman" w:hAnsi="Times New Roman" w:eastAsia="宋体" w:cs="Times New Roman"/>
      <w:kern w:val="0"/>
      <w:sz w:val="20"/>
      <w:szCs w:val="20"/>
      <w:lang w:val="zh-CN" w:eastAsia="zh-CN"/>
    </w:rPr>
  </w:style>
  <w:style w:type="paragraph" w:customStyle="1" w:styleId="82">
    <w:name w:val="表头1"/>
    <w:basedOn w:val="1"/>
    <w:link w:val="83"/>
    <w:autoRedefine/>
    <w:qFormat/>
    <w:uiPriority w:val="0"/>
    <w:pPr>
      <w:spacing w:line="540" w:lineRule="exact"/>
      <w:ind w:firstLine="480" w:firstLineChars="200"/>
    </w:pPr>
    <w:rPr>
      <w:rFonts w:eastAsia="黑体"/>
      <w:kern w:val="0"/>
      <w:sz w:val="24"/>
      <w:lang w:val="zh-CN"/>
    </w:rPr>
  </w:style>
  <w:style w:type="character" w:customStyle="1" w:styleId="83">
    <w:name w:val="表头1 Char Char"/>
    <w:link w:val="82"/>
    <w:autoRedefine/>
    <w:qFormat/>
    <w:locked/>
    <w:uiPriority w:val="0"/>
    <w:rPr>
      <w:rFonts w:ascii="Times New Roman" w:hAnsi="Times New Roman" w:eastAsia="黑体" w:cs="Times New Roman"/>
      <w:kern w:val="0"/>
      <w:sz w:val="24"/>
      <w:szCs w:val="24"/>
      <w:lang w:val="zh-CN" w:eastAsia="zh-CN"/>
    </w:rPr>
  </w:style>
  <w:style w:type="paragraph" w:customStyle="1" w:styleId="84">
    <w:name w:val="font5"/>
    <w:basedOn w:val="1"/>
    <w:link w:val="85"/>
    <w:autoRedefine/>
    <w:qFormat/>
    <w:uiPriority w:val="0"/>
    <w:pPr>
      <w:widowControl/>
      <w:spacing w:before="100" w:beforeAutospacing="1" w:after="100" w:afterAutospacing="1"/>
      <w:jc w:val="left"/>
    </w:pPr>
    <w:rPr>
      <w:rFonts w:ascii="宋体" w:hAnsi="宋体"/>
      <w:kern w:val="0"/>
      <w:sz w:val="24"/>
      <w:lang w:val="zh-CN"/>
    </w:rPr>
  </w:style>
  <w:style w:type="character" w:customStyle="1" w:styleId="85">
    <w:name w:val="font5 Char Char"/>
    <w:link w:val="84"/>
    <w:autoRedefine/>
    <w:qFormat/>
    <w:locked/>
    <w:uiPriority w:val="0"/>
    <w:rPr>
      <w:rFonts w:ascii="宋体" w:hAnsi="宋体" w:eastAsia="宋体" w:cs="Times New Roman"/>
      <w:kern w:val="0"/>
      <w:sz w:val="24"/>
      <w:szCs w:val="24"/>
      <w:lang w:val="zh-CN" w:eastAsia="zh-CN"/>
    </w:rPr>
  </w:style>
  <w:style w:type="paragraph" w:customStyle="1" w:styleId="86">
    <w:name w:val="样式 样式 样式 宋体 黑色 行距: 固定值 25 磅 + (西文) 宋体 首行缩进:  2 字符 + (西文) 宋体"/>
    <w:basedOn w:val="74"/>
    <w:link w:val="87"/>
    <w:autoRedefine/>
    <w:qFormat/>
    <w:uiPriority w:val="0"/>
  </w:style>
  <w:style w:type="character" w:customStyle="1" w:styleId="87">
    <w:name w:val="样式 样式 样式 宋体 黑色 行距: 固定值 25 磅 + (西文) 宋体 首行缩进:  2 字符 + (西文) 宋体 Char Char"/>
    <w:link w:val="86"/>
    <w:autoRedefine/>
    <w:qFormat/>
    <w:locked/>
    <w:uiPriority w:val="0"/>
    <w:rPr>
      <w:rFonts w:ascii="Times New Roman" w:hAnsi="Times New Roman" w:eastAsia="仿宋_GB2312" w:cs="Times New Roman"/>
      <w:color w:val="000000"/>
      <w:kern w:val="28"/>
      <w:sz w:val="28"/>
      <w:szCs w:val="20"/>
      <w:lang w:val="zh-CN" w:eastAsia="zh-CN"/>
    </w:rPr>
  </w:style>
  <w:style w:type="paragraph" w:customStyle="1" w:styleId="88">
    <w:name w:val="表标题"/>
    <w:basedOn w:val="1"/>
    <w:link w:val="89"/>
    <w:autoRedefine/>
    <w:qFormat/>
    <w:uiPriority w:val="0"/>
    <w:pPr>
      <w:spacing w:line="500" w:lineRule="exact"/>
      <w:jc w:val="center"/>
    </w:pPr>
    <w:rPr>
      <w:rFonts w:eastAsia="黑体"/>
      <w:kern w:val="0"/>
      <w:sz w:val="24"/>
      <w:szCs w:val="21"/>
      <w:lang w:val="zh-CN"/>
    </w:rPr>
  </w:style>
  <w:style w:type="character" w:customStyle="1" w:styleId="89">
    <w:name w:val="表标题 Char Char"/>
    <w:link w:val="88"/>
    <w:autoRedefine/>
    <w:qFormat/>
    <w:locked/>
    <w:uiPriority w:val="0"/>
    <w:rPr>
      <w:rFonts w:ascii="Times New Roman" w:hAnsi="Times New Roman" w:eastAsia="黑体" w:cs="Times New Roman"/>
      <w:kern w:val="0"/>
      <w:sz w:val="24"/>
      <w:szCs w:val="21"/>
      <w:lang w:val="zh-CN" w:eastAsia="zh-CN"/>
    </w:rPr>
  </w:style>
  <w:style w:type="paragraph" w:customStyle="1" w:styleId="90">
    <w:name w:val="表格文字左端"/>
    <w:basedOn w:val="80"/>
    <w:link w:val="91"/>
    <w:autoRedefine/>
    <w:qFormat/>
    <w:uiPriority w:val="0"/>
    <w:pPr>
      <w:adjustRightInd/>
      <w:spacing w:line="260" w:lineRule="exact"/>
      <w:ind w:firstLine="50" w:firstLineChars="50"/>
    </w:pPr>
    <w:rPr>
      <w:rFonts w:eastAsia="楷体_GB2312"/>
      <w:szCs w:val="21"/>
    </w:rPr>
  </w:style>
  <w:style w:type="character" w:customStyle="1" w:styleId="91">
    <w:name w:val="表格文字左端 Char Char"/>
    <w:link w:val="90"/>
    <w:autoRedefine/>
    <w:qFormat/>
    <w:locked/>
    <w:uiPriority w:val="0"/>
    <w:rPr>
      <w:rFonts w:ascii="Times New Roman" w:hAnsi="Times New Roman" w:eastAsia="楷体_GB2312" w:cs="Times New Roman"/>
      <w:kern w:val="0"/>
      <w:sz w:val="20"/>
      <w:szCs w:val="21"/>
      <w:lang w:val="zh-CN" w:eastAsia="zh-CN"/>
    </w:rPr>
  </w:style>
  <w:style w:type="paragraph" w:customStyle="1" w:styleId="92">
    <w:name w:val="正文1 Char1 Char Char"/>
    <w:basedOn w:val="1"/>
    <w:link w:val="93"/>
    <w:autoRedefine/>
    <w:qFormat/>
    <w:uiPriority w:val="0"/>
    <w:pPr>
      <w:overflowPunct w:val="0"/>
      <w:adjustRightInd w:val="0"/>
      <w:spacing w:line="500" w:lineRule="exact"/>
      <w:ind w:left="2" w:firstLine="574" w:firstLineChars="205"/>
      <w:jc w:val="left"/>
    </w:pPr>
    <w:rPr>
      <w:rFonts w:eastAsia="仿宋_GB2312"/>
      <w:kern w:val="28"/>
      <w:sz w:val="28"/>
      <w:szCs w:val="28"/>
      <w:lang w:val="zh-CN"/>
    </w:rPr>
  </w:style>
  <w:style w:type="character" w:customStyle="1" w:styleId="93">
    <w:name w:val="正文1 Char1 Char Char Char Char"/>
    <w:link w:val="92"/>
    <w:autoRedefine/>
    <w:qFormat/>
    <w:locked/>
    <w:uiPriority w:val="0"/>
    <w:rPr>
      <w:rFonts w:ascii="Times New Roman" w:hAnsi="Times New Roman" w:eastAsia="仿宋_GB2312" w:cs="Times New Roman"/>
      <w:kern w:val="28"/>
      <w:sz w:val="28"/>
      <w:szCs w:val="28"/>
      <w:lang w:val="zh-CN" w:eastAsia="zh-CN"/>
    </w:rPr>
  </w:style>
  <w:style w:type="character" w:customStyle="1" w:styleId="94">
    <w:name w:val="正文文本缩进 Char"/>
    <w:basedOn w:val="37"/>
    <w:link w:val="17"/>
    <w:autoRedefine/>
    <w:qFormat/>
    <w:uiPriority w:val="0"/>
    <w:rPr>
      <w:rFonts w:ascii="Times New Roman" w:hAnsi="Times New Roman" w:eastAsia="宋体" w:cs="Times New Roman"/>
      <w:szCs w:val="24"/>
    </w:rPr>
  </w:style>
  <w:style w:type="character" w:customStyle="1" w:styleId="95">
    <w:name w:val="纯文本 Char"/>
    <w:link w:val="20"/>
    <w:autoRedefine/>
    <w:qFormat/>
    <w:uiPriority w:val="0"/>
    <w:rPr>
      <w:rFonts w:ascii="Courier New" w:hAnsi="Courier New" w:eastAsia="宋体" w:cs="黑体"/>
    </w:rPr>
  </w:style>
  <w:style w:type="character" w:customStyle="1" w:styleId="96">
    <w:name w:val="纯文本 Char1"/>
    <w:basedOn w:val="37"/>
    <w:autoRedefine/>
    <w:semiHidden/>
    <w:qFormat/>
    <w:uiPriority w:val="99"/>
    <w:rPr>
      <w:rFonts w:ascii="宋体" w:hAnsi="Courier New" w:eastAsia="宋体" w:cs="Courier New"/>
      <w:szCs w:val="21"/>
    </w:rPr>
  </w:style>
  <w:style w:type="character" w:customStyle="1" w:styleId="97">
    <w:name w:val="正文文本缩进 2 Char"/>
    <w:link w:val="22"/>
    <w:autoRedefine/>
    <w:qFormat/>
    <w:uiPriority w:val="99"/>
    <w:rPr>
      <w:rFonts w:ascii="Times New Roman" w:hAnsi="Times New Roman" w:eastAsia="宋体" w:cs="Times New Roman"/>
      <w:kern w:val="0"/>
      <w:sz w:val="20"/>
      <w:szCs w:val="24"/>
    </w:rPr>
  </w:style>
  <w:style w:type="character" w:customStyle="1" w:styleId="98">
    <w:name w:val="正文文本缩进 2 Char1"/>
    <w:basedOn w:val="37"/>
    <w:autoRedefine/>
    <w:semiHidden/>
    <w:qFormat/>
    <w:uiPriority w:val="99"/>
    <w:rPr>
      <w:rFonts w:ascii="Times New Roman" w:hAnsi="Times New Roman" w:eastAsia="宋体" w:cs="Times New Roman"/>
      <w:szCs w:val="24"/>
    </w:rPr>
  </w:style>
  <w:style w:type="paragraph" w:customStyle="1" w:styleId="99">
    <w:name w:val="Table Paragraph"/>
    <w:basedOn w:val="1"/>
    <w:autoRedefine/>
    <w:qFormat/>
    <w:uiPriority w:val="99"/>
    <w:rPr>
      <w:rFonts w:ascii="宋体" w:hAnsi="宋体" w:cs="宋体"/>
    </w:rPr>
  </w:style>
  <w:style w:type="paragraph" w:customStyle="1" w:styleId="100">
    <w:name w:val="范本-正文"/>
    <w:autoRedefine/>
    <w:qFormat/>
    <w:uiPriority w:val="0"/>
    <w:pPr>
      <w:spacing w:line="360" w:lineRule="auto"/>
      <w:ind w:firstLine="420"/>
    </w:pPr>
    <w:rPr>
      <w:rFonts w:ascii="Times New Roman" w:hAnsi="Times New Roman" w:eastAsia="宋体" w:cs="Times New Roman"/>
      <w:iCs/>
      <w:kern w:val="2"/>
      <w:sz w:val="24"/>
      <w:szCs w:val="21"/>
      <w:lang w:val="en-US" w:eastAsia="zh-CN" w:bidi="ar-SA"/>
    </w:rPr>
  </w:style>
  <w:style w:type="paragraph" w:customStyle="1" w:styleId="101">
    <w:name w:val="济渡池桥正文"/>
    <w:autoRedefine/>
    <w:qFormat/>
    <w:uiPriority w:val="0"/>
    <w:pPr>
      <w:spacing w:line="360" w:lineRule="auto"/>
      <w:ind w:firstLine="536" w:firstLineChars="200"/>
    </w:pPr>
    <w:rPr>
      <w:rFonts w:ascii="Times New Roman" w:hAnsi="Times New Roman" w:eastAsia="宋体" w:cs="Times New Roman"/>
      <w:color w:val="000000"/>
      <w:spacing w:val="-6"/>
      <w:sz w:val="28"/>
      <w:szCs w:val="28"/>
      <w:lang w:val="en-US" w:eastAsia="zh-CN" w:bidi="ar-SA"/>
    </w:rPr>
  </w:style>
  <w:style w:type="character" w:customStyle="1" w:styleId="102">
    <w:name w:val="正文文本 Char"/>
    <w:link w:val="15"/>
    <w:autoRedefine/>
    <w:qFormat/>
    <w:uiPriority w:val="0"/>
    <w:rPr>
      <w:rFonts w:ascii="Times New Roman" w:hAnsi="Times New Roman" w:eastAsia="宋体" w:cs="黑体"/>
      <w:szCs w:val="24"/>
    </w:rPr>
  </w:style>
  <w:style w:type="character" w:customStyle="1" w:styleId="103">
    <w:name w:val="正文文本 Char1"/>
    <w:basedOn w:val="37"/>
    <w:autoRedefine/>
    <w:semiHidden/>
    <w:qFormat/>
    <w:uiPriority w:val="99"/>
    <w:rPr>
      <w:rFonts w:ascii="Times New Roman" w:hAnsi="Times New Roman" w:eastAsia="宋体" w:cs="Times New Roman"/>
      <w:szCs w:val="24"/>
    </w:rPr>
  </w:style>
  <w:style w:type="character" w:customStyle="1" w:styleId="104">
    <w:name w:val="正文首行缩进 Char"/>
    <w:link w:val="34"/>
    <w:autoRedefine/>
    <w:qFormat/>
    <w:uiPriority w:val="0"/>
  </w:style>
  <w:style w:type="character" w:customStyle="1" w:styleId="105">
    <w:name w:val="正文首行缩进 Char1"/>
    <w:basedOn w:val="103"/>
    <w:autoRedefine/>
    <w:semiHidden/>
    <w:qFormat/>
    <w:uiPriority w:val="99"/>
    <w:rPr>
      <w:rFonts w:ascii="Times New Roman" w:hAnsi="Times New Roman" w:eastAsia="宋体" w:cs="Times New Roman"/>
      <w:szCs w:val="24"/>
    </w:rPr>
  </w:style>
  <w:style w:type="character" w:customStyle="1" w:styleId="106">
    <w:name w:val="Char Char20"/>
    <w:autoRedefine/>
    <w:qFormat/>
    <w:uiPriority w:val="0"/>
    <w:rPr>
      <w:rFonts w:hint="default" w:ascii="Arial" w:hAnsi="Arial" w:eastAsia="黑体" w:cs="Arial"/>
      <w:b/>
      <w:bCs/>
      <w:kern w:val="28"/>
      <w:sz w:val="36"/>
      <w:szCs w:val="32"/>
    </w:rPr>
  </w:style>
  <w:style w:type="character" w:customStyle="1" w:styleId="107">
    <w:name w:val="正文文字缩进 2 Char Char"/>
    <w:autoRedefine/>
    <w:qFormat/>
    <w:uiPriority w:val="0"/>
    <w:rPr>
      <w:rFonts w:hint="eastAsia" w:ascii="宋体" w:hAnsi="宋体" w:eastAsia="宋体"/>
      <w:kern w:val="2"/>
      <w:sz w:val="21"/>
      <w:szCs w:val="24"/>
      <w:lang w:val="en-US" w:eastAsia="zh-CN" w:bidi="ar-SA"/>
    </w:rPr>
  </w:style>
  <w:style w:type="character" w:customStyle="1" w:styleId="108">
    <w:name w:val="列表名称"/>
    <w:autoRedefine/>
    <w:qFormat/>
    <w:uiPriority w:val="0"/>
    <w:rPr>
      <w:rFonts w:hint="eastAsia" w:ascii="黑体" w:hAnsi="黑体" w:eastAsia="黑体"/>
      <w:sz w:val="24"/>
    </w:rPr>
  </w:style>
  <w:style w:type="character" w:customStyle="1" w:styleId="109">
    <w:name w:val="样式 小四 两端对齐 首行缩进:  0.85 厘米 行距: 1.5 倍行距 Char Char Char"/>
    <w:autoRedefine/>
    <w:qFormat/>
    <w:uiPriority w:val="0"/>
    <w:rPr>
      <w:rFonts w:hint="eastAsia" w:ascii="宋体" w:hAnsi="宋体" w:eastAsia="宋体" w:cs="宋体"/>
      <w:kern w:val="2"/>
      <w:sz w:val="24"/>
      <w:szCs w:val="24"/>
      <w:lang w:val="en-US" w:eastAsia="zh-CN" w:bidi="ar-SA"/>
    </w:rPr>
  </w:style>
  <w:style w:type="character" w:customStyle="1" w:styleId="110">
    <w:name w:val="表头 Char Char Char"/>
    <w:autoRedefine/>
    <w:qFormat/>
    <w:uiPriority w:val="0"/>
    <w:rPr>
      <w:rFonts w:hint="eastAsia" w:ascii="黑体" w:hAnsi="黑体" w:eastAsia="黑体"/>
      <w:color w:val="FF0000"/>
      <w:kern w:val="2"/>
      <w:sz w:val="24"/>
    </w:rPr>
  </w:style>
  <w:style w:type="character" w:customStyle="1" w:styleId="111">
    <w:name w:val="Char Char9"/>
    <w:autoRedefine/>
    <w:qFormat/>
    <w:uiPriority w:val="0"/>
    <w:rPr>
      <w:rFonts w:hint="eastAsia" w:ascii="宋体" w:hAnsi="Courier New" w:eastAsia="仿宋_GB2312" w:cs="Times New Roman"/>
      <w:kern w:val="28"/>
      <w:sz w:val="28"/>
      <w:szCs w:val="20"/>
    </w:rPr>
  </w:style>
  <w:style w:type="character" w:customStyle="1" w:styleId="112">
    <w:name w:val="样式 粉红 下划线"/>
    <w:autoRedefine/>
    <w:qFormat/>
    <w:uiPriority w:val="0"/>
    <w:rPr>
      <w:color w:val="auto"/>
      <w:u w:val="none"/>
    </w:rPr>
  </w:style>
  <w:style w:type="character" w:customStyle="1" w:styleId="113">
    <w:name w:val="（节） Char"/>
    <w:autoRedefine/>
    <w:qFormat/>
    <w:uiPriority w:val="0"/>
    <w:rPr>
      <w:rFonts w:hint="default" w:ascii="Arial" w:hAnsi="Arial" w:eastAsia="黑体" w:cs="Arial"/>
      <w:b/>
      <w:kern w:val="28"/>
      <w:sz w:val="32"/>
      <w:szCs w:val="32"/>
    </w:rPr>
  </w:style>
  <w:style w:type="character" w:customStyle="1" w:styleId="114">
    <w:name w:val="font161"/>
    <w:autoRedefine/>
    <w:qFormat/>
    <w:uiPriority w:val="0"/>
    <w:rPr>
      <w:rFonts w:hint="default" w:ascii="Arial" w:hAnsi="Arial" w:eastAsia="黑体" w:cs="Arial"/>
      <w:b/>
      <w:bCs/>
      <w:kern w:val="2"/>
      <w:sz w:val="32"/>
      <w:szCs w:val="32"/>
      <w:lang w:val="en-US" w:eastAsia="zh-CN" w:bidi="ar-SA"/>
    </w:rPr>
  </w:style>
  <w:style w:type="character" w:customStyle="1" w:styleId="115">
    <w:name w:val="text1"/>
    <w:autoRedefine/>
    <w:qFormat/>
    <w:uiPriority w:val="0"/>
    <w:rPr>
      <w:rFonts w:hint="eastAsia" w:ascii="新宋体" w:hAnsi="新宋体" w:eastAsia="新宋体"/>
      <w:color w:val="333333"/>
      <w:spacing w:val="330"/>
      <w:kern w:val="2"/>
      <w:sz w:val="18"/>
      <w:szCs w:val="18"/>
      <w:u w:val="none"/>
      <w:lang w:val="en-US" w:eastAsia="zh-CN" w:bidi="ar-SA"/>
    </w:rPr>
  </w:style>
  <w:style w:type="character" w:customStyle="1" w:styleId="116">
    <w:name w:val="middle1"/>
    <w:autoRedefine/>
    <w:qFormat/>
    <w:uiPriority w:val="0"/>
    <w:rPr>
      <w:rFonts w:hint="eastAsia" w:ascii="宋体" w:hAnsi="宋体" w:eastAsia="宋体"/>
      <w:kern w:val="2"/>
      <w:sz w:val="24"/>
      <w:szCs w:val="24"/>
      <w:lang w:val="en-US" w:eastAsia="zh-CN" w:bidi="ar-SA"/>
    </w:rPr>
  </w:style>
  <w:style w:type="character" w:customStyle="1" w:styleId="117">
    <w:name w:val="样式 标题4 + 非加粗 Char"/>
    <w:autoRedefine/>
    <w:qFormat/>
    <w:uiPriority w:val="0"/>
    <w:rPr>
      <w:rFonts w:hint="eastAsia" w:ascii="宋体" w:hAnsi="宋体" w:eastAsia="宋体"/>
      <w:b/>
      <w:kern w:val="2"/>
      <w:sz w:val="24"/>
      <w:szCs w:val="24"/>
      <w:lang w:val="en-US" w:eastAsia="zh-CN" w:bidi="ar-SA"/>
    </w:rPr>
  </w:style>
  <w:style w:type="character" w:customStyle="1" w:styleId="118">
    <w:name w:val="纯文本 Char Char"/>
    <w:autoRedefine/>
    <w:qFormat/>
    <w:uiPriority w:val="0"/>
    <w:rPr>
      <w:rFonts w:hint="eastAsia" w:ascii="宋体" w:hAnsi="Courier New" w:eastAsia="宋体" w:cs="Courier New"/>
      <w:kern w:val="2"/>
      <w:sz w:val="21"/>
      <w:szCs w:val="21"/>
      <w:lang w:val="en-US" w:eastAsia="zh-CN" w:bidi="ar-SA"/>
    </w:rPr>
  </w:style>
  <w:style w:type="character" w:customStyle="1" w:styleId="119">
    <w:name w:val="地质报告文本 Char Char"/>
    <w:autoRedefine/>
    <w:qFormat/>
    <w:uiPriority w:val="0"/>
    <w:rPr>
      <w:rFonts w:hint="eastAsia" w:ascii="仿宋_GB2312" w:eastAsia="仿宋_GB2312" w:cs="仿宋_GB2312"/>
      <w:kern w:val="2"/>
      <w:sz w:val="28"/>
      <w:szCs w:val="28"/>
    </w:rPr>
  </w:style>
  <w:style w:type="character" w:customStyle="1" w:styleId="120">
    <w:name w:val="样式 粉红"/>
    <w:autoRedefine/>
    <w:qFormat/>
    <w:uiPriority w:val="0"/>
    <w:rPr>
      <w:color w:val="auto"/>
      <w:u w:val="none"/>
    </w:rPr>
  </w:style>
  <w:style w:type="character" w:customStyle="1" w:styleId="121">
    <w:name w:val="apple-converted-space"/>
    <w:autoRedefine/>
    <w:qFormat/>
    <w:uiPriority w:val="0"/>
  </w:style>
  <w:style w:type="character" w:customStyle="1" w:styleId="122">
    <w:name w:val="mh-map_new-info"/>
    <w:autoRedefine/>
    <w:qFormat/>
    <w:uiPriority w:val="0"/>
  </w:style>
  <w:style w:type="character" w:customStyle="1" w:styleId="123">
    <w:name w:val="正文1 Char Char"/>
    <w:autoRedefine/>
    <w:qFormat/>
    <w:uiPriority w:val="0"/>
    <w:rPr>
      <w:rFonts w:hint="eastAsia" w:ascii="宋体" w:hAnsi="宋体" w:eastAsia="宋体"/>
      <w:sz w:val="28"/>
      <w:szCs w:val="28"/>
    </w:rPr>
  </w:style>
  <w:style w:type="character" w:customStyle="1" w:styleId="124">
    <w:name w:val="样式 小四"/>
    <w:autoRedefine/>
    <w:qFormat/>
    <w:uiPriority w:val="0"/>
    <w:rPr>
      <w:rFonts w:hint="default" w:ascii="Times New Roman" w:hAnsi="Times New Roman" w:eastAsia="仿宋_GB2312" w:cs="Times New Roman"/>
      <w:kern w:val="2"/>
      <w:sz w:val="28"/>
      <w:szCs w:val="24"/>
      <w:lang w:val="en-US" w:eastAsia="zh-CN" w:bidi="ar-SA"/>
    </w:rPr>
  </w:style>
  <w:style w:type="character" w:customStyle="1" w:styleId="125">
    <w:name w:val="标题 Char1"/>
    <w:autoRedefine/>
    <w:qFormat/>
    <w:uiPriority w:val="10"/>
    <w:rPr>
      <w:rFonts w:hint="default" w:ascii="Calibri Light" w:hAnsi="Calibri Light" w:eastAsia="宋体" w:cs="黑体"/>
      <w:b/>
      <w:bCs/>
      <w:sz w:val="32"/>
      <w:szCs w:val="32"/>
    </w:rPr>
  </w:style>
  <w:style w:type="character" w:customStyle="1" w:styleId="126">
    <w:name w:val="文本框及表格 Char"/>
    <w:autoRedefine/>
    <w:qFormat/>
    <w:uiPriority w:val="0"/>
    <w:rPr>
      <w:rFonts w:hint="eastAsia" w:ascii="宋体" w:hAnsi="宋体" w:eastAsia="宋体"/>
      <w:kern w:val="2"/>
      <w:sz w:val="24"/>
      <w:lang w:val="en-US" w:eastAsia="zh-CN" w:bidi="ar-SA"/>
    </w:rPr>
  </w:style>
  <w:style w:type="character" w:customStyle="1" w:styleId="127">
    <w:name w:val="批注文字 Char1"/>
    <w:link w:val="13"/>
    <w:autoRedefine/>
    <w:qFormat/>
    <w:uiPriority w:val="0"/>
    <w:rPr>
      <w:rFonts w:ascii="Times New Roman" w:hAnsi="Times New Roman" w:eastAsia="宋体" w:cs="Times New Roman"/>
      <w:szCs w:val="24"/>
    </w:rPr>
  </w:style>
  <w:style w:type="character" w:customStyle="1" w:styleId="128">
    <w:name w:val="批注文字 Char"/>
    <w:basedOn w:val="37"/>
    <w:autoRedefine/>
    <w:semiHidden/>
    <w:qFormat/>
    <w:uiPriority w:val="99"/>
    <w:rPr>
      <w:rFonts w:ascii="Times New Roman" w:hAnsi="Times New Roman" w:eastAsia="宋体" w:cs="Times New Roman"/>
      <w:szCs w:val="24"/>
    </w:rPr>
  </w:style>
  <w:style w:type="character" w:customStyle="1" w:styleId="129">
    <w:name w:val="标题 Char"/>
    <w:link w:val="32"/>
    <w:autoRedefine/>
    <w:qFormat/>
    <w:uiPriority w:val="10"/>
    <w:rPr>
      <w:rFonts w:ascii="Cambria" w:hAnsi="Cambria" w:eastAsia="宋体" w:cs="Times New Roman"/>
      <w:b/>
      <w:bCs/>
      <w:sz w:val="32"/>
      <w:szCs w:val="32"/>
    </w:rPr>
  </w:style>
  <w:style w:type="character" w:customStyle="1" w:styleId="130">
    <w:name w:val="标题 Char2"/>
    <w:basedOn w:val="37"/>
    <w:autoRedefine/>
    <w:qFormat/>
    <w:uiPriority w:val="10"/>
    <w:rPr>
      <w:rFonts w:eastAsia="宋体" w:asciiTheme="majorHAnsi" w:hAnsiTheme="majorHAnsi" w:cstheme="majorBidi"/>
      <w:b/>
      <w:bCs/>
      <w:sz w:val="32"/>
      <w:szCs w:val="32"/>
    </w:rPr>
  </w:style>
  <w:style w:type="character" w:customStyle="1" w:styleId="131">
    <w:name w:val="副标题 Char"/>
    <w:link w:val="26"/>
    <w:autoRedefine/>
    <w:qFormat/>
    <w:uiPriority w:val="0"/>
    <w:rPr>
      <w:rFonts w:ascii="Cambria" w:hAnsi="Cambria" w:eastAsia="宋体" w:cs="Times New Roman"/>
      <w:b/>
      <w:bCs/>
      <w:kern w:val="28"/>
      <w:sz w:val="32"/>
      <w:szCs w:val="32"/>
    </w:rPr>
  </w:style>
  <w:style w:type="character" w:customStyle="1" w:styleId="132">
    <w:name w:val="副标题 Char1"/>
    <w:basedOn w:val="37"/>
    <w:autoRedefine/>
    <w:qFormat/>
    <w:uiPriority w:val="11"/>
    <w:rPr>
      <w:rFonts w:eastAsia="宋体" w:asciiTheme="majorHAnsi" w:hAnsiTheme="majorHAnsi" w:cstheme="majorBidi"/>
      <w:b/>
      <w:bCs/>
      <w:kern w:val="28"/>
      <w:sz w:val="32"/>
      <w:szCs w:val="32"/>
    </w:rPr>
  </w:style>
  <w:style w:type="character" w:customStyle="1" w:styleId="133">
    <w:name w:val="日期 Char"/>
    <w:link w:val="21"/>
    <w:autoRedefine/>
    <w:qFormat/>
    <w:uiPriority w:val="0"/>
    <w:rPr>
      <w:rFonts w:ascii="Times New Roman" w:hAnsi="Times New Roman" w:eastAsia="宋体" w:cs="宋体"/>
      <w:kern w:val="0"/>
      <w:sz w:val="20"/>
      <w:szCs w:val="20"/>
      <w:u w:val="words"/>
    </w:rPr>
  </w:style>
  <w:style w:type="character" w:customStyle="1" w:styleId="134">
    <w:name w:val="日期 Char1"/>
    <w:basedOn w:val="37"/>
    <w:autoRedefine/>
    <w:semiHidden/>
    <w:qFormat/>
    <w:uiPriority w:val="99"/>
    <w:rPr>
      <w:rFonts w:ascii="Times New Roman" w:hAnsi="Times New Roman" w:eastAsia="宋体" w:cs="Times New Roman"/>
      <w:szCs w:val="24"/>
    </w:rPr>
  </w:style>
  <w:style w:type="character" w:customStyle="1" w:styleId="135">
    <w:name w:val="正文首行缩进 2 Char"/>
    <w:basedOn w:val="94"/>
    <w:link w:val="35"/>
    <w:autoRedefine/>
    <w:qFormat/>
    <w:uiPriority w:val="99"/>
    <w:rPr>
      <w:rFonts w:ascii="Times New Roman" w:hAnsi="Times New Roman" w:eastAsia="宋体" w:cs="Times New Roman"/>
      <w:szCs w:val="24"/>
    </w:rPr>
  </w:style>
  <w:style w:type="character" w:customStyle="1" w:styleId="136">
    <w:name w:val="正文文本 2 Char"/>
    <w:link w:val="16"/>
    <w:autoRedefine/>
    <w:qFormat/>
    <w:uiPriority w:val="0"/>
    <w:rPr>
      <w:rFonts w:ascii="Times New Roman" w:hAnsi="Times New Roman" w:eastAsia="宋体" w:cs="Times New Roman"/>
      <w:sz w:val="24"/>
      <w:szCs w:val="20"/>
    </w:rPr>
  </w:style>
  <w:style w:type="character" w:customStyle="1" w:styleId="137">
    <w:name w:val="正文文本 2 Char1"/>
    <w:basedOn w:val="37"/>
    <w:autoRedefine/>
    <w:semiHidden/>
    <w:qFormat/>
    <w:uiPriority w:val="99"/>
    <w:rPr>
      <w:rFonts w:ascii="Times New Roman" w:hAnsi="Times New Roman" w:eastAsia="宋体" w:cs="Times New Roman"/>
      <w:szCs w:val="24"/>
    </w:rPr>
  </w:style>
  <w:style w:type="character" w:customStyle="1" w:styleId="138">
    <w:name w:val="正文文本 3 Char"/>
    <w:basedOn w:val="37"/>
    <w:link w:val="14"/>
    <w:autoRedefine/>
    <w:qFormat/>
    <w:uiPriority w:val="0"/>
    <w:rPr>
      <w:rFonts w:cs="黑体" w:asciiTheme="minorEastAsia" w:hAnsiTheme="minorEastAsia" w:eastAsiaTheme="minorEastAsia"/>
      <w:b/>
      <w:kern w:val="2"/>
      <w:sz w:val="21"/>
      <w:szCs w:val="21"/>
    </w:rPr>
  </w:style>
  <w:style w:type="character" w:customStyle="1" w:styleId="139">
    <w:name w:val="正文文本缩进 3 Char"/>
    <w:link w:val="27"/>
    <w:autoRedefine/>
    <w:semiHidden/>
    <w:qFormat/>
    <w:uiPriority w:val="0"/>
    <w:rPr>
      <w:rFonts w:ascii="Times New Roman" w:hAnsi="Times New Roman" w:eastAsia="宋体" w:cs="黑体"/>
      <w:sz w:val="16"/>
      <w:szCs w:val="16"/>
    </w:rPr>
  </w:style>
  <w:style w:type="character" w:customStyle="1" w:styleId="140">
    <w:name w:val="正文文本缩进 3 Char1"/>
    <w:basedOn w:val="37"/>
    <w:autoRedefine/>
    <w:semiHidden/>
    <w:qFormat/>
    <w:uiPriority w:val="99"/>
    <w:rPr>
      <w:rFonts w:ascii="Times New Roman" w:hAnsi="Times New Roman" w:eastAsia="宋体" w:cs="Times New Roman"/>
      <w:sz w:val="16"/>
      <w:szCs w:val="16"/>
    </w:rPr>
  </w:style>
  <w:style w:type="character" w:customStyle="1" w:styleId="141">
    <w:name w:val="文档结构图 Char"/>
    <w:link w:val="12"/>
    <w:autoRedefine/>
    <w:qFormat/>
    <w:uiPriority w:val="0"/>
    <w:rPr>
      <w:rFonts w:ascii="宋体" w:hAnsi="宋体" w:eastAsia="宋体" w:cs="Times New Roman"/>
      <w:sz w:val="24"/>
      <w:szCs w:val="24"/>
      <w:shd w:val="clear" w:color="auto" w:fill="000080"/>
    </w:rPr>
  </w:style>
  <w:style w:type="character" w:customStyle="1" w:styleId="142">
    <w:name w:val="文档结构图 Char1"/>
    <w:basedOn w:val="37"/>
    <w:autoRedefine/>
    <w:semiHidden/>
    <w:qFormat/>
    <w:uiPriority w:val="99"/>
    <w:rPr>
      <w:rFonts w:ascii="宋体" w:hAnsi="Times New Roman" w:eastAsia="宋体" w:cs="Times New Roman"/>
      <w:sz w:val="18"/>
      <w:szCs w:val="18"/>
    </w:rPr>
  </w:style>
  <w:style w:type="character" w:customStyle="1" w:styleId="143">
    <w:name w:val="批注主题 Char"/>
    <w:link w:val="33"/>
    <w:autoRedefine/>
    <w:qFormat/>
    <w:uiPriority w:val="0"/>
    <w:rPr>
      <w:rFonts w:ascii="Times New Roman" w:hAnsi="Times New Roman" w:eastAsia="仿宋_GB2312" w:cs="Times New Roman"/>
      <w:b/>
      <w:bCs/>
      <w:kern w:val="28"/>
      <w:sz w:val="28"/>
      <w:szCs w:val="28"/>
    </w:rPr>
  </w:style>
  <w:style w:type="character" w:customStyle="1" w:styleId="144">
    <w:name w:val="批注主题 Char1"/>
    <w:basedOn w:val="128"/>
    <w:autoRedefine/>
    <w:semiHidden/>
    <w:qFormat/>
    <w:uiPriority w:val="99"/>
    <w:rPr>
      <w:rFonts w:ascii="Times New Roman" w:hAnsi="Times New Roman" w:eastAsia="宋体" w:cs="Times New Roman"/>
      <w:b/>
      <w:bCs/>
      <w:szCs w:val="24"/>
    </w:rPr>
  </w:style>
  <w:style w:type="character" w:customStyle="1" w:styleId="145">
    <w:name w:val="批注框文本 Char"/>
    <w:basedOn w:val="37"/>
    <w:link w:val="23"/>
    <w:autoRedefine/>
    <w:qFormat/>
    <w:uiPriority w:val="0"/>
    <w:rPr>
      <w:rFonts w:ascii="Times New Roman" w:hAnsi="Times New Roman" w:eastAsia="宋体" w:cs="Times New Roman"/>
      <w:sz w:val="18"/>
      <w:szCs w:val="18"/>
    </w:rPr>
  </w:style>
  <w:style w:type="character" w:customStyle="1" w:styleId="146">
    <w:name w:val="页眉 Char1"/>
    <w:autoRedefine/>
    <w:semiHidden/>
    <w:qFormat/>
    <w:uiPriority w:val="99"/>
    <w:rPr>
      <w:rFonts w:ascii="Times New Roman" w:hAnsi="Times New Roman" w:eastAsia="宋体" w:cs="Times New Roman"/>
      <w:sz w:val="18"/>
      <w:szCs w:val="18"/>
    </w:rPr>
  </w:style>
  <w:style w:type="character" w:customStyle="1" w:styleId="147">
    <w:name w:val="页脚 Char1"/>
    <w:autoRedefine/>
    <w:semiHidden/>
    <w:qFormat/>
    <w:uiPriority w:val="99"/>
    <w:rPr>
      <w:rFonts w:ascii="Times New Roman" w:hAnsi="Times New Roman" w:eastAsia="宋体" w:cs="Times New Roman"/>
      <w:sz w:val="18"/>
      <w:szCs w:val="18"/>
    </w:rPr>
  </w:style>
  <w:style w:type="paragraph" w:customStyle="1" w:styleId="148">
    <w:name w:val="WPSOffice手动目录 1"/>
    <w:autoRedefine/>
    <w:qFormat/>
    <w:uiPriority w:val="0"/>
    <w:rPr>
      <w:rFonts w:ascii="Times New Roman" w:hAnsi="Times New Roman" w:eastAsia="宋体" w:cs="Times New Roman"/>
      <w:lang w:val="en-US" w:eastAsia="zh-CN" w:bidi="ar-SA"/>
    </w:rPr>
  </w:style>
  <w:style w:type="paragraph" w:customStyle="1" w:styleId="149">
    <w:name w:val="_Style 0"/>
    <w:autoRedefine/>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50">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51">
    <w:name w:val="No Spacing"/>
    <w:autoRedefine/>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52">
    <w:name w:val="无间隔1"/>
    <w:basedOn w:val="1"/>
    <w:autoRedefine/>
    <w:qFormat/>
    <w:uiPriority w:val="99"/>
    <w:pPr>
      <w:spacing w:line="400" w:lineRule="exact"/>
    </w:pPr>
    <w:rPr>
      <w:sz w:val="24"/>
    </w:rPr>
  </w:style>
  <w:style w:type="paragraph" w:customStyle="1" w:styleId="153">
    <w:name w:val="default"/>
    <w:basedOn w:val="1"/>
    <w:autoRedefine/>
    <w:qFormat/>
    <w:uiPriority w:val="0"/>
    <w:pPr>
      <w:widowControl/>
      <w:jc w:val="left"/>
    </w:pPr>
    <w:rPr>
      <w:rFonts w:ascii="宋体" w:hAnsi="宋体" w:cs="宋体"/>
      <w:kern w:val="0"/>
      <w:sz w:val="24"/>
    </w:rPr>
  </w:style>
  <w:style w:type="character" w:customStyle="1" w:styleId="154">
    <w:name w:val="NormalCharacter"/>
    <w:autoRedefine/>
    <w:qFormat/>
    <w:uiPriority w:val="0"/>
    <w:rPr>
      <w:rFonts w:ascii="Times New Roman" w:hAnsi="Times New Roman" w:eastAsia="宋体" w:cs="Times New Roman"/>
      <w:kern w:val="2"/>
      <w:sz w:val="21"/>
      <w:lang w:val="en-US" w:eastAsia="zh-CN" w:bidi="ar-SA"/>
    </w:rPr>
  </w:style>
  <w:style w:type="table" w:customStyle="1" w:styleId="155">
    <w:name w:val="Table Normal"/>
    <w:autoRedefine/>
    <w:semiHidden/>
    <w:unhideWhenUsed/>
    <w:qFormat/>
    <w:uiPriority w:val="0"/>
    <w:tblPr>
      <w:tblCellMar>
        <w:top w:w="0" w:type="dxa"/>
        <w:left w:w="0" w:type="dxa"/>
        <w:bottom w:w="0" w:type="dxa"/>
        <w:right w:w="0" w:type="dxa"/>
      </w:tblCellMar>
    </w:tblPr>
  </w:style>
  <w:style w:type="character" w:customStyle="1" w:styleId="156">
    <w:name w:val="gb-jt"/>
    <w:basedOn w:val="37"/>
    <w:autoRedefine/>
    <w:qFormat/>
    <w:uiPriority w:val="0"/>
  </w:style>
  <w:style w:type="paragraph" w:customStyle="1" w:styleId="157">
    <w:name w:val="段"/>
    <w:next w:val="1"/>
    <w:qFormat/>
    <w:uiPriority w:val="0"/>
    <w:pPr>
      <w:autoSpaceDE w:val="0"/>
      <w:autoSpaceDN w:val="0"/>
      <w:ind w:firstLine="200" w:firstLineChars="200"/>
      <w:jc w:val="both"/>
    </w:pPr>
    <w:rPr>
      <w:rFonts w:ascii="宋体" w:hAnsi="Calibri" w:eastAsia="Times New Roman" w:cs="Times New Roman"/>
      <w:sz w:val="21"/>
      <w:lang w:val="en-US" w:eastAsia="zh-CN" w:bidi="ar-SA"/>
    </w:rPr>
  </w:style>
  <w:style w:type="paragraph" w:customStyle="1" w:styleId="158">
    <w:name w:val="*正文"/>
    <w:basedOn w:val="1"/>
    <w:qFormat/>
    <w:uiPriority w:val="0"/>
    <w:pPr>
      <w:keepNext/>
      <w:keepLines/>
      <w:spacing w:line="360" w:lineRule="auto"/>
      <w:ind w:firstLine="200" w:firstLineChars="200"/>
    </w:pPr>
    <w:rPr>
      <w:rFonts w:ascii="宋体" w:hAnsi="宋体"/>
    </w:rPr>
  </w:style>
  <w:style w:type="paragraph" w:customStyle="1" w:styleId="159">
    <w:name w:val="Table Text"/>
    <w:basedOn w:val="1"/>
    <w:semiHidden/>
    <w:qFormat/>
    <w:uiPriority w:val="0"/>
    <w:rPr>
      <w:rFonts w:ascii="宋体" w:hAnsi="宋体" w:eastAsia="宋体" w:cs="宋体"/>
      <w:sz w:val="20"/>
      <w:szCs w:val="20"/>
      <w:lang w:val="en-US" w:eastAsia="en-US" w:bidi="ar-SA"/>
    </w:rPr>
  </w:style>
  <w:style w:type="table" w:customStyle="1" w:styleId="160">
    <w:name w:val="Table Normal2"/>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61</Pages>
  <Words>25052</Words>
  <Characters>26565</Characters>
  <Lines>154</Lines>
  <Paragraphs>43</Paragraphs>
  <TotalTime>5</TotalTime>
  <ScaleCrop>false</ScaleCrop>
  <LinksUpToDate>false</LinksUpToDate>
  <CharactersWithSpaces>28455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2024-02-28T07:47:00Z</dcterms:created>
  <dc:creator>Administrator</dc:creator>
  <cp:lastModifiedBy>唯一</cp:lastModifiedBy>
  <cp:lastPrinted>2023-07-20T03:32:00Z</cp:lastPrinted>
  <dcterms:modified xsi:type="dcterms:W3CDTF">2026-08-20T07:38:54Z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0D984DA8645C42D4B61587CDD46648B0_13</vt:lpwstr>
  </property>
  <property fmtid="{D5CDD505-2E9C-101B-9397-08002B2CF9AE}" pid="4" name="KSOTemplateDocerSaveRecord">
    <vt:lpwstr>eyJoZGlkIjoiODI1MWJiYzFjYWUxMTdmYTdjYzAxNDg0NTc0NzExYjIiLCJ1c2VySWQiOiIxNzIwNjEyMTYzIn0=</vt:lpwstr>
  </property>
</Properties>
</file>