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6135C0B">
      <w:pPr>
        <w:rPr>
          <w:rFonts w:hint="eastAsia" w:ascii="宋体" w:hAnsi="宋体" w:eastAsia="宋体" w:cs="宋体"/>
          <w:b/>
          <w:sz w:val="48"/>
          <w:lang w:eastAsia="zh-CN"/>
        </w:rPr>
      </w:pPr>
      <w:r>
        <w:rPr>
          <w:rFonts w:hint="eastAsia" w:ascii="宋体" w:hAnsi="宋体" w:eastAsia="宋体" w:cs="宋体"/>
          <w:b/>
          <w:sz w:val="48"/>
          <w:lang w:eastAsia="zh-CN"/>
        </w:rPr>
        <w:drawing>
          <wp:inline distT="0" distB="0" distL="114300" distR="114300">
            <wp:extent cx="6181090" cy="8755380"/>
            <wp:effectExtent l="0" t="0" r="10160" b="7620"/>
            <wp:docPr id="1" name="图片 1" descr="磋商文件封皮"/>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磋商文件封皮"/>
                    <pic:cNvPicPr>
                      <a:picLocks noChangeAspect="1"/>
                    </pic:cNvPicPr>
                  </pic:nvPicPr>
                  <pic:blipFill>
                    <a:blip r:embed="rId7"/>
                    <a:stretch>
                      <a:fillRect/>
                    </a:stretch>
                  </pic:blipFill>
                  <pic:spPr>
                    <a:xfrm>
                      <a:off x="0" y="0"/>
                      <a:ext cx="6181090" cy="8755380"/>
                    </a:xfrm>
                    <a:prstGeom prst="rect">
                      <a:avLst/>
                    </a:prstGeom>
                  </pic:spPr>
                </pic:pic>
              </a:graphicData>
            </a:graphic>
          </wp:inline>
        </w:drawing>
      </w:r>
    </w:p>
    <w:p w14:paraId="304DB874">
      <w:pPr>
        <w:pStyle w:val="20"/>
        <w:rPr>
          <w:rFonts w:hint="eastAsia" w:ascii="宋体" w:hAnsi="宋体" w:eastAsia="宋体" w:cs="宋体"/>
        </w:rPr>
      </w:pPr>
    </w:p>
    <w:p w14:paraId="2752CEA3">
      <w:pPr>
        <w:pStyle w:val="20"/>
        <w:rPr>
          <w:rFonts w:hint="eastAsia" w:ascii="宋体" w:hAnsi="宋体" w:eastAsia="宋体" w:cs="宋体"/>
        </w:rPr>
      </w:pPr>
    </w:p>
    <w:p w14:paraId="71A93ECF">
      <w:pPr>
        <w:pStyle w:val="20"/>
        <w:spacing w:line="360" w:lineRule="auto"/>
        <w:jc w:val="center"/>
        <w:rPr>
          <w:rFonts w:hint="eastAsia" w:ascii="宋体" w:hAnsi="宋体" w:eastAsia="宋体" w:cs="宋体"/>
          <w:b/>
          <w:bCs/>
          <w:sz w:val="40"/>
          <w:szCs w:val="40"/>
          <w:lang w:eastAsia="zh-CN"/>
        </w:rPr>
      </w:pPr>
      <w:r>
        <w:rPr>
          <w:rFonts w:hint="eastAsia" w:ascii="宋体" w:hAnsi="宋体" w:eastAsia="宋体" w:cs="宋体"/>
          <w:b/>
          <w:bCs/>
          <w:sz w:val="40"/>
          <w:szCs w:val="40"/>
          <w:lang w:eastAsia="zh-CN"/>
        </w:rPr>
        <w:t>中共平顶山市新华区委政法委员会2026年新华区社会管理创新中心项目视频监控维保项目</w:t>
      </w:r>
    </w:p>
    <w:p w14:paraId="0969849A">
      <w:pPr>
        <w:pStyle w:val="20"/>
        <w:rPr>
          <w:rFonts w:hint="eastAsia" w:ascii="宋体" w:hAnsi="宋体" w:eastAsia="宋体" w:cs="宋体"/>
        </w:rPr>
      </w:pPr>
    </w:p>
    <w:p w14:paraId="6B1ED3AB">
      <w:pPr>
        <w:pStyle w:val="20"/>
        <w:rPr>
          <w:rFonts w:hint="eastAsia" w:ascii="宋体" w:hAnsi="宋体" w:eastAsia="宋体" w:cs="宋体"/>
        </w:rPr>
      </w:pPr>
    </w:p>
    <w:p w14:paraId="63E10B73">
      <w:pPr>
        <w:pStyle w:val="31"/>
        <w:ind w:left="480"/>
        <w:rPr>
          <w:rFonts w:hint="eastAsia" w:ascii="宋体" w:hAnsi="宋体" w:cs="宋体"/>
        </w:rPr>
      </w:pPr>
    </w:p>
    <w:p w14:paraId="4FCCBEA6">
      <w:pPr>
        <w:pStyle w:val="31"/>
        <w:ind w:left="480"/>
        <w:rPr>
          <w:rFonts w:hint="eastAsia" w:ascii="宋体" w:hAnsi="宋体" w:cs="宋体"/>
        </w:rPr>
      </w:pPr>
    </w:p>
    <w:p w14:paraId="5F870BDB">
      <w:pPr>
        <w:pStyle w:val="31"/>
        <w:ind w:left="480"/>
        <w:rPr>
          <w:rFonts w:hint="eastAsia" w:ascii="宋体" w:hAnsi="宋体" w:cs="宋体"/>
        </w:rPr>
      </w:pPr>
    </w:p>
    <w:p w14:paraId="325832EB">
      <w:pPr>
        <w:pStyle w:val="31"/>
        <w:ind w:left="480"/>
        <w:rPr>
          <w:rFonts w:hint="eastAsia" w:ascii="宋体" w:hAnsi="宋体" w:cs="宋体"/>
        </w:rPr>
      </w:pPr>
    </w:p>
    <w:p w14:paraId="4CC7C73C">
      <w:pPr>
        <w:jc w:val="center"/>
        <w:rPr>
          <w:rFonts w:hint="eastAsia" w:ascii="宋体" w:hAnsi="宋体" w:eastAsia="宋体" w:cs="宋体"/>
          <w:b/>
          <w:sz w:val="72"/>
        </w:rPr>
      </w:pPr>
      <w:r>
        <w:rPr>
          <w:rFonts w:hint="eastAsia" w:ascii="宋体" w:hAnsi="宋体" w:eastAsia="宋体" w:cs="宋体"/>
          <w:b/>
          <w:sz w:val="72"/>
          <w:szCs w:val="21"/>
        </w:rPr>
        <w:t>竞争性磋商文件</w:t>
      </w:r>
    </w:p>
    <w:p w14:paraId="08CEB5D5">
      <w:pPr>
        <w:rPr>
          <w:rFonts w:hint="eastAsia" w:ascii="宋体" w:hAnsi="宋体" w:eastAsia="宋体" w:cs="宋体"/>
        </w:rPr>
      </w:pPr>
    </w:p>
    <w:p w14:paraId="72FE63E5">
      <w:pPr>
        <w:rPr>
          <w:rFonts w:hint="eastAsia" w:ascii="宋体" w:hAnsi="宋体" w:eastAsia="宋体" w:cs="宋体"/>
        </w:rPr>
      </w:pPr>
    </w:p>
    <w:p w14:paraId="0A90FBEE">
      <w:pPr>
        <w:rPr>
          <w:rFonts w:hint="eastAsia" w:ascii="宋体" w:hAnsi="宋体" w:eastAsia="宋体" w:cs="宋体"/>
        </w:rPr>
      </w:pPr>
    </w:p>
    <w:p w14:paraId="10E7609F">
      <w:pPr>
        <w:rPr>
          <w:rFonts w:hint="eastAsia" w:ascii="宋体" w:hAnsi="宋体" w:eastAsia="宋体" w:cs="宋体"/>
        </w:rPr>
      </w:pPr>
    </w:p>
    <w:p w14:paraId="59F9EEBD">
      <w:pPr>
        <w:rPr>
          <w:rFonts w:hint="eastAsia" w:ascii="宋体" w:hAnsi="宋体" w:eastAsia="宋体" w:cs="宋体"/>
        </w:rPr>
      </w:pPr>
    </w:p>
    <w:p w14:paraId="2ED8415C">
      <w:pPr>
        <w:rPr>
          <w:rFonts w:hint="eastAsia" w:ascii="宋体" w:hAnsi="宋体" w:eastAsia="宋体" w:cs="宋体"/>
        </w:rPr>
      </w:pPr>
    </w:p>
    <w:p w14:paraId="21F65956">
      <w:pPr>
        <w:rPr>
          <w:rFonts w:hint="eastAsia" w:ascii="宋体" w:hAnsi="宋体" w:eastAsia="宋体" w:cs="宋体"/>
        </w:rPr>
      </w:pPr>
    </w:p>
    <w:p w14:paraId="0A09670E">
      <w:pPr>
        <w:rPr>
          <w:rFonts w:hint="eastAsia" w:ascii="宋体" w:hAnsi="宋体" w:eastAsia="宋体" w:cs="宋体"/>
        </w:rPr>
      </w:pPr>
    </w:p>
    <w:p w14:paraId="4606AC9B">
      <w:pPr>
        <w:rPr>
          <w:rFonts w:hint="eastAsia" w:ascii="宋体" w:hAnsi="宋体" w:eastAsia="宋体" w:cs="宋体"/>
        </w:rPr>
      </w:pPr>
    </w:p>
    <w:p w14:paraId="20745131">
      <w:pPr>
        <w:rPr>
          <w:rFonts w:hint="eastAsia" w:ascii="宋体" w:hAnsi="宋体" w:eastAsia="宋体" w:cs="宋体"/>
        </w:rPr>
      </w:pPr>
    </w:p>
    <w:p w14:paraId="4766FC5E">
      <w:pPr>
        <w:rPr>
          <w:rFonts w:hint="eastAsia" w:ascii="宋体" w:hAnsi="宋体" w:eastAsia="宋体" w:cs="宋体"/>
        </w:rPr>
      </w:pPr>
    </w:p>
    <w:p w14:paraId="3AAE04F1">
      <w:pPr>
        <w:rPr>
          <w:rFonts w:hint="eastAsia" w:ascii="宋体" w:hAnsi="宋体" w:eastAsia="宋体" w:cs="宋体"/>
        </w:rPr>
      </w:pPr>
    </w:p>
    <w:p w14:paraId="397CE3F1">
      <w:pPr>
        <w:rPr>
          <w:rFonts w:hint="eastAsia" w:ascii="宋体" w:hAnsi="宋体" w:eastAsia="宋体" w:cs="宋体"/>
        </w:rPr>
      </w:pPr>
    </w:p>
    <w:p w14:paraId="17061100">
      <w:pPr>
        <w:rPr>
          <w:rFonts w:hint="eastAsia" w:ascii="宋体" w:hAnsi="宋体" w:eastAsia="宋体" w:cs="宋体"/>
        </w:rPr>
      </w:pPr>
    </w:p>
    <w:p w14:paraId="531358B7">
      <w:pPr>
        <w:pStyle w:val="31"/>
        <w:ind w:left="0" w:leftChars="0" w:firstLine="0" w:firstLineChars="0"/>
        <w:jc w:val="left"/>
        <w:rPr>
          <w:rFonts w:hint="eastAsia" w:ascii="宋体" w:hAnsi="宋体" w:cs="宋体"/>
        </w:rPr>
      </w:pPr>
    </w:p>
    <w:p w14:paraId="2FACD616">
      <w:pPr>
        <w:pStyle w:val="31"/>
        <w:ind w:left="0" w:leftChars="0" w:firstLine="0" w:firstLineChars="0"/>
        <w:jc w:val="left"/>
        <w:rPr>
          <w:rFonts w:hint="eastAsia" w:ascii="宋体" w:hAnsi="宋体" w:cs="宋体"/>
        </w:rPr>
      </w:pPr>
    </w:p>
    <w:p w14:paraId="514B302D">
      <w:pPr>
        <w:ind w:left="960" w:leftChars="400" w:firstLine="643" w:firstLineChars="200"/>
        <w:jc w:val="left"/>
        <w:rPr>
          <w:rFonts w:hint="eastAsia" w:ascii="宋体" w:hAnsi="宋体" w:eastAsia="宋体" w:cs="宋体"/>
          <w:b/>
          <w:bCs/>
          <w:sz w:val="32"/>
          <w:szCs w:val="40"/>
        </w:rPr>
      </w:pPr>
      <w:r>
        <w:rPr>
          <w:rFonts w:hint="eastAsia" w:ascii="宋体" w:hAnsi="宋体" w:eastAsia="宋体" w:cs="宋体"/>
          <w:b/>
          <w:bCs/>
          <w:sz w:val="32"/>
          <w:szCs w:val="40"/>
        </w:rPr>
        <w:t>采   购   人：中共平顶山市新华区委政法委员会</w:t>
      </w:r>
    </w:p>
    <w:p w14:paraId="256ECD79">
      <w:pPr>
        <w:ind w:left="960" w:leftChars="400" w:firstLine="643" w:firstLineChars="200"/>
        <w:jc w:val="left"/>
        <w:rPr>
          <w:rFonts w:hint="eastAsia" w:ascii="宋体" w:hAnsi="宋体" w:eastAsia="宋体" w:cs="宋体"/>
          <w:b/>
          <w:bCs/>
          <w:sz w:val="32"/>
          <w:szCs w:val="40"/>
        </w:rPr>
      </w:pPr>
      <w:r>
        <w:rPr>
          <w:rFonts w:hint="eastAsia" w:ascii="宋体" w:hAnsi="宋体" w:eastAsia="宋体" w:cs="宋体"/>
          <w:b/>
          <w:bCs/>
          <w:sz w:val="32"/>
          <w:szCs w:val="40"/>
        </w:rPr>
        <w:t>采购代理机构：河南易采工程管理有限公司</w:t>
      </w:r>
    </w:p>
    <w:p w14:paraId="136DA6F6">
      <w:pPr>
        <w:ind w:left="960" w:leftChars="400" w:firstLine="643" w:firstLineChars="200"/>
        <w:jc w:val="left"/>
        <w:rPr>
          <w:rFonts w:hint="eastAsia" w:ascii="宋体" w:hAnsi="宋体" w:eastAsia="宋体" w:cs="宋体"/>
          <w:b/>
          <w:bCs/>
          <w:sz w:val="32"/>
          <w:szCs w:val="40"/>
        </w:rPr>
      </w:pPr>
      <w:r>
        <w:rPr>
          <w:rFonts w:hint="eastAsia" w:ascii="宋体" w:hAnsi="宋体" w:eastAsia="宋体" w:cs="宋体"/>
          <w:b/>
          <w:bCs/>
          <w:sz w:val="32"/>
          <w:szCs w:val="40"/>
        </w:rPr>
        <w:t>日        期：二〇二</w:t>
      </w:r>
      <w:r>
        <w:rPr>
          <w:rFonts w:hint="eastAsia" w:ascii="宋体" w:hAnsi="宋体" w:eastAsia="宋体" w:cs="宋体"/>
          <w:b/>
          <w:bCs/>
          <w:sz w:val="32"/>
          <w:szCs w:val="40"/>
          <w:lang w:val="en-US" w:eastAsia="zh-CN"/>
        </w:rPr>
        <w:t>六</w:t>
      </w:r>
      <w:r>
        <w:rPr>
          <w:rFonts w:hint="eastAsia" w:ascii="宋体" w:hAnsi="宋体" w:eastAsia="宋体" w:cs="宋体"/>
          <w:b/>
          <w:bCs/>
          <w:sz w:val="32"/>
          <w:szCs w:val="40"/>
        </w:rPr>
        <w:t>年</w:t>
      </w:r>
      <w:r>
        <w:rPr>
          <w:rFonts w:hint="eastAsia" w:ascii="宋体" w:hAnsi="宋体" w:eastAsia="宋体" w:cs="宋体"/>
          <w:b/>
          <w:bCs/>
          <w:sz w:val="32"/>
          <w:szCs w:val="40"/>
          <w:lang w:val="en-US" w:eastAsia="zh-CN"/>
        </w:rPr>
        <w:t>八</w:t>
      </w:r>
      <w:r>
        <w:rPr>
          <w:rFonts w:hint="eastAsia" w:ascii="宋体" w:hAnsi="宋体" w:eastAsia="宋体" w:cs="宋体"/>
          <w:b/>
          <w:bCs/>
          <w:sz w:val="32"/>
          <w:szCs w:val="40"/>
        </w:rPr>
        <w:t>月</w:t>
      </w:r>
    </w:p>
    <w:p w14:paraId="6B974DCC">
      <w:pPr>
        <w:pStyle w:val="2"/>
        <w:rPr>
          <w:rFonts w:hint="eastAsia"/>
        </w:rPr>
      </w:pPr>
    </w:p>
    <w:sdt>
      <w:sdtPr>
        <w:rPr>
          <w:rFonts w:hint="eastAsia" w:ascii="宋体" w:hAnsi="宋体" w:eastAsia="宋体" w:cs="宋体"/>
          <w:sz w:val="20"/>
          <w:szCs w:val="21"/>
        </w:rPr>
        <w:id w:val="147475524"/>
        <w:docPartObj>
          <w:docPartGallery w:val="Table of Contents"/>
          <w:docPartUnique/>
        </w:docPartObj>
      </w:sdtPr>
      <w:sdtEndPr>
        <w:rPr>
          <w:rFonts w:hint="eastAsia" w:ascii="宋体" w:hAnsi="宋体" w:eastAsia="宋体" w:cs="宋体"/>
          <w:sz w:val="24"/>
          <w:szCs w:val="22"/>
        </w:rPr>
      </w:sdtEndPr>
      <w:sdtContent>
        <w:p w14:paraId="46476D5A">
          <w:pPr>
            <w:jc w:val="center"/>
            <w:rPr>
              <w:rFonts w:hint="eastAsia" w:ascii="宋体" w:hAnsi="宋体" w:eastAsia="宋体" w:cs="宋体"/>
              <w:sz w:val="40"/>
              <w:szCs w:val="40"/>
            </w:rPr>
          </w:pPr>
          <w:r>
            <w:rPr>
              <w:rFonts w:hint="eastAsia" w:ascii="宋体" w:hAnsi="宋体" w:eastAsia="宋体" w:cs="宋体"/>
              <w:sz w:val="40"/>
              <w:szCs w:val="40"/>
            </w:rPr>
            <w:t>目  录</w:t>
          </w:r>
        </w:p>
        <w:p w14:paraId="2CFCD19A">
          <w:pPr>
            <w:pStyle w:val="23"/>
            <w:tabs>
              <w:tab w:val="right" w:leader="dot" w:pos="9746"/>
            </w:tabs>
            <w:spacing w:line="360" w:lineRule="auto"/>
            <w:rPr>
              <w:rFonts w:hint="eastAsia" w:ascii="宋体" w:hAnsi="宋体" w:eastAsia="宋体" w:cs="宋体"/>
            </w:rPr>
          </w:pPr>
          <w:r>
            <w:rPr>
              <w:rFonts w:hint="eastAsia" w:ascii="宋体" w:hAnsi="宋体" w:cs="宋体"/>
              <w:szCs w:val="21"/>
            </w:rPr>
            <w:fldChar w:fldCharType="begin"/>
          </w:r>
          <w:r>
            <w:rPr>
              <w:rFonts w:hint="eastAsia" w:ascii="宋体" w:hAnsi="宋体" w:cs="宋体"/>
              <w:szCs w:val="21"/>
            </w:rPr>
            <w:instrText xml:space="preserve">TOC \o "1-3" \h \u </w:instrText>
          </w:r>
          <w:r>
            <w:rPr>
              <w:rFonts w:hint="eastAsia" w:ascii="宋体" w:hAnsi="宋体" w:cs="宋体"/>
              <w:szCs w:val="21"/>
            </w:rPr>
            <w:fldChar w:fldCharType="separate"/>
          </w:r>
          <w:r>
            <w:rPr>
              <w:rFonts w:hint="eastAsia" w:ascii="宋体" w:hAnsi="宋体" w:eastAsia="宋体" w:cs="宋体"/>
              <w:szCs w:val="21"/>
            </w:rPr>
            <w:fldChar w:fldCharType="begin"/>
          </w:r>
          <w:r>
            <w:rPr>
              <w:rFonts w:hint="eastAsia" w:ascii="宋体" w:hAnsi="宋体" w:eastAsia="宋体" w:cs="宋体"/>
              <w:szCs w:val="21"/>
            </w:rPr>
            <w:instrText xml:space="preserve"> HYPERLINK \l _Toc595 </w:instrText>
          </w:r>
          <w:r>
            <w:rPr>
              <w:rFonts w:hint="eastAsia" w:ascii="宋体" w:hAnsi="宋体" w:eastAsia="宋体" w:cs="宋体"/>
              <w:szCs w:val="21"/>
            </w:rPr>
            <w:fldChar w:fldCharType="separate"/>
          </w:r>
          <w:r>
            <w:rPr>
              <w:rFonts w:hint="eastAsia" w:ascii="宋体" w:hAnsi="宋体" w:eastAsia="宋体" w:cs="宋体"/>
            </w:rPr>
            <w:t>第一章  磋商公告</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_Toc595 \h </w:instrText>
          </w:r>
          <w:r>
            <w:rPr>
              <w:rFonts w:hint="eastAsia" w:ascii="宋体" w:hAnsi="宋体" w:eastAsia="宋体" w:cs="宋体"/>
            </w:rPr>
            <w:fldChar w:fldCharType="separate"/>
          </w:r>
          <w:r>
            <w:rPr>
              <w:rFonts w:hint="eastAsia" w:ascii="宋体" w:hAnsi="宋体" w:eastAsia="宋体" w:cs="宋体"/>
            </w:rPr>
            <w:t>6</w:t>
          </w:r>
          <w:r>
            <w:rPr>
              <w:rFonts w:hint="eastAsia" w:ascii="宋体" w:hAnsi="宋体" w:eastAsia="宋体" w:cs="宋体"/>
            </w:rPr>
            <w:fldChar w:fldCharType="end"/>
          </w:r>
          <w:r>
            <w:rPr>
              <w:rFonts w:hint="eastAsia" w:ascii="宋体" w:hAnsi="宋体" w:eastAsia="宋体" w:cs="宋体"/>
              <w:szCs w:val="21"/>
            </w:rPr>
            <w:fldChar w:fldCharType="end"/>
          </w:r>
        </w:p>
        <w:p w14:paraId="10902744">
          <w:pPr>
            <w:pStyle w:val="23"/>
            <w:tabs>
              <w:tab w:val="right" w:leader="dot" w:pos="9746"/>
            </w:tabs>
            <w:spacing w:line="360" w:lineRule="auto"/>
            <w:rPr>
              <w:rFonts w:hint="eastAsia" w:ascii="宋体" w:hAnsi="宋体" w:eastAsia="宋体" w:cs="宋体"/>
            </w:rPr>
          </w:pPr>
          <w:r>
            <w:rPr>
              <w:rFonts w:hint="eastAsia" w:ascii="宋体" w:hAnsi="宋体" w:eastAsia="宋体" w:cs="宋体"/>
              <w:szCs w:val="21"/>
            </w:rPr>
            <w:fldChar w:fldCharType="begin"/>
          </w:r>
          <w:r>
            <w:rPr>
              <w:rFonts w:hint="eastAsia" w:ascii="宋体" w:hAnsi="宋体" w:eastAsia="宋体" w:cs="宋体"/>
              <w:szCs w:val="21"/>
            </w:rPr>
            <w:instrText xml:space="preserve"> HYPERLINK \l _Toc5871 </w:instrText>
          </w:r>
          <w:r>
            <w:rPr>
              <w:rFonts w:hint="eastAsia" w:ascii="宋体" w:hAnsi="宋体" w:eastAsia="宋体" w:cs="宋体"/>
              <w:szCs w:val="21"/>
            </w:rPr>
            <w:fldChar w:fldCharType="separate"/>
          </w:r>
          <w:r>
            <w:rPr>
              <w:rFonts w:hint="eastAsia" w:ascii="宋体" w:hAnsi="宋体" w:eastAsia="宋体" w:cs="宋体"/>
            </w:rPr>
            <w:t>第二章  供应商须知</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_Toc5871 \h </w:instrText>
          </w:r>
          <w:r>
            <w:rPr>
              <w:rFonts w:hint="eastAsia" w:ascii="宋体" w:hAnsi="宋体" w:eastAsia="宋体" w:cs="宋体"/>
            </w:rPr>
            <w:fldChar w:fldCharType="separate"/>
          </w:r>
          <w:r>
            <w:rPr>
              <w:rFonts w:hint="eastAsia" w:ascii="宋体" w:hAnsi="宋体" w:eastAsia="宋体" w:cs="宋体"/>
            </w:rPr>
            <w:t>11</w:t>
          </w:r>
          <w:r>
            <w:rPr>
              <w:rFonts w:hint="eastAsia" w:ascii="宋体" w:hAnsi="宋体" w:eastAsia="宋体" w:cs="宋体"/>
            </w:rPr>
            <w:fldChar w:fldCharType="end"/>
          </w:r>
          <w:r>
            <w:rPr>
              <w:rFonts w:hint="eastAsia" w:ascii="宋体" w:hAnsi="宋体" w:eastAsia="宋体" w:cs="宋体"/>
              <w:szCs w:val="21"/>
            </w:rPr>
            <w:fldChar w:fldCharType="end"/>
          </w:r>
        </w:p>
        <w:p w14:paraId="1A4CAD1B">
          <w:pPr>
            <w:pStyle w:val="26"/>
            <w:tabs>
              <w:tab w:val="right" w:leader="dot" w:pos="9746"/>
            </w:tabs>
            <w:spacing w:line="360" w:lineRule="auto"/>
            <w:rPr>
              <w:rFonts w:hint="eastAsia" w:ascii="宋体" w:hAnsi="宋体" w:eastAsia="宋体" w:cs="宋体"/>
            </w:rPr>
          </w:pPr>
          <w:r>
            <w:rPr>
              <w:rFonts w:hint="eastAsia" w:ascii="宋体" w:hAnsi="宋体" w:eastAsia="宋体" w:cs="宋体"/>
              <w:szCs w:val="21"/>
            </w:rPr>
            <w:fldChar w:fldCharType="begin"/>
          </w:r>
          <w:r>
            <w:rPr>
              <w:rFonts w:hint="eastAsia" w:ascii="宋体" w:hAnsi="宋体" w:eastAsia="宋体" w:cs="宋体"/>
              <w:szCs w:val="21"/>
            </w:rPr>
            <w:instrText xml:space="preserve"> HYPERLINK \l _Toc14216 </w:instrText>
          </w:r>
          <w:r>
            <w:rPr>
              <w:rFonts w:hint="eastAsia" w:ascii="宋体" w:hAnsi="宋体" w:eastAsia="宋体" w:cs="宋体"/>
              <w:szCs w:val="21"/>
            </w:rPr>
            <w:fldChar w:fldCharType="separate"/>
          </w:r>
          <w:r>
            <w:rPr>
              <w:rFonts w:hint="eastAsia" w:ascii="宋体" w:hAnsi="宋体" w:eastAsia="宋体" w:cs="宋体"/>
              <w:bCs/>
              <w:szCs w:val="21"/>
            </w:rPr>
            <w:t>1. 总则</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_Toc14216 \h </w:instrText>
          </w:r>
          <w:r>
            <w:rPr>
              <w:rFonts w:hint="eastAsia" w:ascii="宋体" w:hAnsi="宋体" w:eastAsia="宋体" w:cs="宋体"/>
            </w:rPr>
            <w:fldChar w:fldCharType="separate"/>
          </w:r>
          <w:r>
            <w:rPr>
              <w:rFonts w:hint="eastAsia" w:ascii="宋体" w:hAnsi="宋体" w:eastAsia="宋体" w:cs="宋体"/>
            </w:rPr>
            <w:t>19</w:t>
          </w:r>
          <w:r>
            <w:rPr>
              <w:rFonts w:hint="eastAsia" w:ascii="宋体" w:hAnsi="宋体" w:eastAsia="宋体" w:cs="宋体"/>
            </w:rPr>
            <w:fldChar w:fldCharType="end"/>
          </w:r>
          <w:r>
            <w:rPr>
              <w:rFonts w:hint="eastAsia" w:ascii="宋体" w:hAnsi="宋体" w:eastAsia="宋体" w:cs="宋体"/>
              <w:szCs w:val="21"/>
            </w:rPr>
            <w:fldChar w:fldCharType="end"/>
          </w:r>
        </w:p>
        <w:p w14:paraId="60083179">
          <w:pPr>
            <w:pStyle w:val="16"/>
            <w:tabs>
              <w:tab w:val="right" w:leader="dot" w:pos="9746"/>
            </w:tabs>
            <w:spacing w:line="360" w:lineRule="auto"/>
            <w:rPr>
              <w:rFonts w:hint="eastAsia" w:ascii="宋体" w:hAnsi="宋体" w:eastAsia="宋体" w:cs="宋体"/>
            </w:rPr>
          </w:pPr>
          <w:r>
            <w:rPr>
              <w:rFonts w:hint="eastAsia" w:ascii="宋体" w:hAnsi="宋体" w:eastAsia="宋体" w:cs="宋体"/>
              <w:szCs w:val="21"/>
            </w:rPr>
            <w:fldChar w:fldCharType="begin"/>
          </w:r>
          <w:r>
            <w:rPr>
              <w:rFonts w:hint="eastAsia" w:ascii="宋体" w:hAnsi="宋体" w:eastAsia="宋体" w:cs="宋体"/>
              <w:szCs w:val="21"/>
            </w:rPr>
            <w:instrText xml:space="preserve"> HYPERLINK \l _Toc18596 </w:instrText>
          </w:r>
          <w:r>
            <w:rPr>
              <w:rFonts w:hint="eastAsia" w:ascii="宋体" w:hAnsi="宋体" w:eastAsia="宋体" w:cs="宋体"/>
              <w:szCs w:val="21"/>
            </w:rPr>
            <w:fldChar w:fldCharType="separate"/>
          </w:r>
          <w:r>
            <w:rPr>
              <w:rFonts w:hint="eastAsia" w:ascii="宋体" w:hAnsi="宋体" w:eastAsia="宋体" w:cs="宋体"/>
              <w:szCs w:val="21"/>
            </w:rPr>
            <w:t>1.1 项目概况</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_Toc18596 \h </w:instrText>
          </w:r>
          <w:r>
            <w:rPr>
              <w:rFonts w:hint="eastAsia" w:ascii="宋体" w:hAnsi="宋体" w:eastAsia="宋体" w:cs="宋体"/>
            </w:rPr>
            <w:fldChar w:fldCharType="separate"/>
          </w:r>
          <w:r>
            <w:rPr>
              <w:rFonts w:hint="eastAsia" w:ascii="宋体" w:hAnsi="宋体" w:eastAsia="宋体" w:cs="宋体"/>
            </w:rPr>
            <w:t>19</w:t>
          </w:r>
          <w:r>
            <w:rPr>
              <w:rFonts w:hint="eastAsia" w:ascii="宋体" w:hAnsi="宋体" w:eastAsia="宋体" w:cs="宋体"/>
            </w:rPr>
            <w:fldChar w:fldCharType="end"/>
          </w:r>
          <w:r>
            <w:rPr>
              <w:rFonts w:hint="eastAsia" w:ascii="宋体" w:hAnsi="宋体" w:eastAsia="宋体" w:cs="宋体"/>
              <w:szCs w:val="21"/>
            </w:rPr>
            <w:fldChar w:fldCharType="end"/>
          </w:r>
        </w:p>
        <w:p w14:paraId="650D7AB3">
          <w:pPr>
            <w:pStyle w:val="16"/>
            <w:tabs>
              <w:tab w:val="right" w:leader="dot" w:pos="9746"/>
            </w:tabs>
            <w:spacing w:line="360" w:lineRule="auto"/>
            <w:rPr>
              <w:rFonts w:hint="eastAsia" w:ascii="宋体" w:hAnsi="宋体" w:eastAsia="宋体" w:cs="宋体"/>
            </w:rPr>
          </w:pPr>
          <w:r>
            <w:rPr>
              <w:rFonts w:hint="eastAsia" w:ascii="宋体" w:hAnsi="宋体" w:eastAsia="宋体" w:cs="宋体"/>
              <w:szCs w:val="21"/>
            </w:rPr>
            <w:fldChar w:fldCharType="begin"/>
          </w:r>
          <w:r>
            <w:rPr>
              <w:rFonts w:hint="eastAsia" w:ascii="宋体" w:hAnsi="宋体" w:eastAsia="宋体" w:cs="宋体"/>
              <w:szCs w:val="21"/>
            </w:rPr>
            <w:instrText xml:space="preserve"> HYPERLINK \l _Toc21004 </w:instrText>
          </w:r>
          <w:r>
            <w:rPr>
              <w:rFonts w:hint="eastAsia" w:ascii="宋体" w:hAnsi="宋体" w:eastAsia="宋体" w:cs="宋体"/>
              <w:szCs w:val="21"/>
            </w:rPr>
            <w:fldChar w:fldCharType="separate"/>
          </w:r>
          <w:r>
            <w:rPr>
              <w:rFonts w:hint="eastAsia" w:ascii="宋体" w:hAnsi="宋体" w:eastAsia="宋体" w:cs="宋体"/>
              <w:szCs w:val="21"/>
            </w:rPr>
            <w:t>1.2 资金来源和落实情况</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_Toc21004 \h </w:instrText>
          </w:r>
          <w:r>
            <w:rPr>
              <w:rFonts w:hint="eastAsia" w:ascii="宋体" w:hAnsi="宋体" w:eastAsia="宋体" w:cs="宋体"/>
            </w:rPr>
            <w:fldChar w:fldCharType="separate"/>
          </w:r>
          <w:r>
            <w:rPr>
              <w:rFonts w:hint="eastAsia" w:ascii="宋体" w:hAnsi="宋体" w:eastAsia="宋体" w:cs="宋体"/>
            </w:rPr>
            <w:t>19</w:t>
          </w:r>
          <w:r>
            <w:rPr>
              <w:rFonts w:hint="eastAsia" w:ascii="宋体" w:hAnsi="宋体" w:eastAsia="宋体" w:cs="宋体"/>
            </w:rPr>
            <w:fldChar w:fldCharType="end"/>
          </w:r>
          <w:r>
            <w:rPr>
              <w:rFonts w:hint="eastAsia" w:ascii="宋体" w:hAnsi="宋体" w:eastAsia="宋体" w:cs="宋体"/>
              <w:szCs w:val="21"/>
            </w:rPr>
            <w:fldChar w:fldCharType="end"/>
          </w:r>
        </w:p>
        <w:p w14:paraId="12E361F8">
          <w:pPr>
            <w:pStyle w:val="16"/>
            <w:tabs>
              <w:tab w:val="right" w:leader="dot" w:pos="9746"/>
            </w:tabs>
            <w:spacing w:line="360" w:lineRule="auto"/>
            <w:rPr>
              <w:rFonts w:hint="eastAsia" w:ascii="宋体" w:hAnsi="宋体" w:eastAsia="宋体" w:cs="宋体"/>
            </w:rPr>
          </w:pPr>
          <w:r>
            <w:rPr>
              <w:rFonts w:hint="eastAsia" w:ascii="宋体" w:hAnsi="宋体" w:eastAsia="宋体" w:cs="宋体"/>
              <w:szCs w:val="21"/>
            </w:rPr>
            <w:fldChar w:fldCharType="begin"/>
          </w:r>
          <w:r>
            <w:rPr>
              <w:rFonts w:hint="eastAsia" w:ascii="宋体" w:hAnsi="宋体" w:eastAsia="宋体" w:cs="宋体"/>
              <w:szCs w:val="21"/>
            </w:rPr>
            <w:instrText xml:space="preserve"> HYPERLINK \l _Toc32589 </w:instrText>
          </w:r>
          <w:r>
            <w:rPr>
              <w:rFonts w:hint="eastAsia" w:ascii="宋体" w:hAnsi="宋体" w:eastAsia="宋体" w:cs="宋体"/>
              <w:szCs w:val="21"/>
            </w:rPr>
            <w:fldChar w:fldCharType="separate"/>
          </w:r>
          <w:r>
            <w:rPr>
              <w:rFonts w:hint="eastAsia" w:ascii="宋体" w:hAnsi="宋体" w:eastAsia="宋体" w:cs="宋体"/>
              <w:szCs w:val="21"/>
            </w:rPr>
            <w:t>1.3 招标范围、服务期限和质量要求</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_Toc32589 \h </w:instrText>
          </w:r>
          <w:r>
            <w:rPr>
              <w:rFonts w:hint="eastAsia" w:ascii="宋体" w:hAnsi="宋体" w:eastAsia="宋体" w:cs="宋体"/>
            </w:rPr>
            <w:fldChar w:fldCharType="separate"/>
          </w:r>
          <w:r>
            <w:rPr>
              <w:rFonts w:hint="eastAsia" w:ascii="宋体" w:hAnsi="宋体" w:eastAsia="宋体" w:cs="宋体"/>
            </w:rPr>
            <w:t>19</w:t>
          </w:r>
          <w:r>
            <w:rPr>
              <w:rFonts w:hint="eastAsia" w:ascii="宋体" w:hAnsi="宋体" w:eastAsia="宋体" w:cs="宋体"/>
            </w:rPr>
            <w:fldChar w:fldCharType="end"/>
          </w:r>
          <w:r>
            <w:rPr>
              <w:rFonts w:hint="eastAsia" w:ascii="宋体" w:hAnsi="宋体" w:eastAsia="宋体" w:cs="宋体"/>
              <w:szCs w:val="21"/>
            </w:rPr>
            <w:fldChar w:fldCharType="end"/>
          </w:r>
        </w:p>
        <w:p w14:paraId="56B09727">
          <w:pPr>
            <w:pStyle w:val="16"/>
            <w:tabs>
              <w:tab w:val="right" w:leader="dot" w:pos="9746"/>
            </w:tabs>
            <w:spacing w:line="360" w:lineRule="auto"/>
            <w:rPr>
              <w:rFonts w:hint="eastAsia" w:ascii="宋体" w:hAnsi="宋体" w:eastAsia="宋体" w:cs="宋体"/>
            </w:rPr>
          </w:pPr>
          <w:r>
            <w:rPr>
              <w:rFonts w:hint="eastAsia" w:ascii="宋体" w:hAnsi="宋体" w:eastAsia="宋体" w:cs="宋体"/>
              <w:szCs w:val="21"/>
            </w:rPr>
            <w:fldChar w:fldCharType="begin"/>
          </w:r>
          <w:r>
            <w:rPr>
              <w:rFonts w:hint="eastAsia" w:ascii="宋体" w:hAnsi="宋体" w:eastAsia="宋体" w:cs="宋体"/>
              <w:szCs w:val="21"/>
            </w:rPr>
            <w:instrText xml:space="preserve"> HYPERLINK \l _Toc23560 </w:instrText>
          </w:r>
          <w:r>
            <w:rPr>
              <w:rFonts w:hint="eastAsia" w:ascii="宋体" w:hAnsi="宋体" w:eastAsia="宋体" w:cs="宋体"/>
              <w:szCs w:val="21"/>
            </w:rPr>
            <w:fldChar w:fldCharType="separate"/>
          </w:r>
          <w:r>
            <w:rPr>
              <w:rFonts w:hint="eastAsia" w:ascii="宋体" w:hAnsi="宋体" w:eastAsia="宋体" w:cs="宋体"/>
              <w:szCs w:val="21"/>
            </w:rPr>
            <w:t>1.4 供应商资格要求</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_Toc23560 \h </w:instrText>
          </w:r>
          <w:r>
            <w:rPr>
              <w:rFonts w:hint="eastAsia" w:ascii="宋体" w:hAnsi="宋体" w:eastAsia="宋体" w:cs="宋体"/>
            </w:rPr>
            <w:fldChar w:fldCharType="separate"/>
          </w:r>
          <w:r>
            <w:rPr>
              <w:rFonts w:hint="eastAsia" w:ascii="宋体" w:hAnsi="宋体" w:eastAsia="宋体" w:cs="宋体"/>
            </w:rPr>
            <w:t>19</w:t>
          </w:r>
          <w:r>
            <w:rPr>
              <w:rFonts w:hint="eastAsia" w:ascii="宋体" w:hAnsi="宋体" w:eastAsia="宋体" w:cs="宋体"/>
            </w:rPr>
            <w:fldChar w:fldCharType="end"/>
          </w:r>
          <w:r>
            <w:rPr>
              <w:rFonts w:hint="eastAsia" w:ascii="宋体" w:hAnsi="宋体" w:eastAsia="宋体" w:cs="宋体"/>
              <w:szCs w:val="21"/>
            </w:rPr>
            <w:fldChar w:fldCharType="end"/>
          </w:r>
        </w:p>
        <w:p w14:paraId="30E60A58">
          <w:pPr>
            <w:pStyle w:val="16"/>
            <w:tabs>
              <w:tab w:val="right" w:leader="dot" w:pos="9746"/>
            </w:tabs>
            <w:spacing w:line="360" w:lineRule="auto"/>
            <w:rPr>
              <w:rFonts w:hint="eastAsia" w:ascii="宋体" w:hAnsi="宋体" w:eastAsia="宋体" w:cs="宋体"/>
            </w:rPr>
          </w:pPr>
          <w:r>
            <w:rPr>
              <w:rFonts w:hint="eastAsia" w:ascii="宋体" w:hAnsi="宋体" w:eastAsia="宋体" w:cs="宋体"/>
              <w:szCs w:val="21"/>
            </w:rPr>
            <w:fldChar w:fldCharType="begin"/>
          </w:r>
          <w:r>
            <w:rPr>
              <w:rFonts w:hint="eastAsia" w:ascii="宋体" w:hAnsi="宋体" w:eastAsia="宋体" w:cs="宋体"/>
              <w:szCs w:val="21"/>
            </w:rPr>
            <w:instrText xml:space="preserve"> HYPERLINK \l _Toc5520 </w:instrText>
          </w:r>
          <w:r>
            <w:rPr>
              <w:rFonts w:hint="eastAsia" w:ascii="宋体" w:hAnsi="宋体" w:eastAsia="宋体" w:cs="宋体"/>
              <w:szCs w:val="21"/>
            </w:rPr>
            <w:fldChar w:fldCharType="separate"/>
          </w:r>
          <w:r>
            <w:rPr>
              <w:rFonts w:hint="eastAsia" w:ascii="宋体" w:hAnsi="宋体" w:eastAsia="宋体" w:cs="宋体"/>
              <w:szCs w:val="21"/>
            </w:rPr>
            <w:t>1.5 费用承担</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_Toc5520 \h </w:instrText>
          </w:r>
          <w:r>
            <w:rPr>
              <w:rFonts w:hint="eastAsia" w:ascii="宋体" w:hAnsi="宋体" w:eastAsia="宋体" w:cs="宋体"/>
            </w:rPr>
            <w:fldChar w:fldCharType="separate"/>
          </w:r>
          <w:r>
            <w:rPr>
              <w:rFonts w:hint="eastAsia" w:ascii="宋体" w:hAnsi="宋体" w:eastAsia="宋体" w:cs="宋体"/>
            </w:rPr>
            <w:t>19</w:t>
          </w:r>
          <w:r>
            <w:rPr>
              <w:rFonts w:hint="eastAsia" w:ascii="宋体" w:hAnsi="宋体" w:eastAsia="宋体" w:cs="宋体"/>
            </w:rPr>
            <w:fldChar w:fldCharType="end"/>
          </w:r>
          <w:r>
            <w:rPr>
              <w:rFonts w:hint="eastAsia" w:ascii="宋体" w:hAnsi="宋体" w:eastAsia="宋体" w:cs="宋体"/>
              <w:szCs w:val="21"/>
            </w:rPr>
            <w:fldChar w:fldCharType="end"/>
          </w:r>
        </w:p>
        <w:p w14:paraId="1AA1E572">
          <w:pPr>
            <w:pStyle w:val="16"/>
            <w:tabs>
              <w:tab w:val="right" w:leader="dot" w:pos="9746"/>
            </w:tabs>
            <w:spacing w:line="360" w:lineRule="auto"/>
            <w:rPr>
              <w:rFonts w:hint="eastAsia" w:ascii="宋体" w:hAnsi="宋体" w:eastAsia="宋体" w:cs="宋体"/>
            </w:rPr>
          </w:pPr>
          <w:r>
            <w:rPr>
              <w:rFonts w:hint="eastAsia" w:ascii="宋体" w:hAnsi="宋体" w:eastAsia="宋体" w:cs="宋体"/>
              <w:szCs w:val="21"/>
            </w:rPr>
            <w:fldChar w:fldCharType="begin"/>
          </w:r>
          <w:r>
            <w:rPr>
              <w:rFonts w:hint="eastAsia" w:ascii="宋体" w:hAnsi="宋体" w:eastAsia="宋体" w:cs="宋体"/>
              <w:szCs w:val="21"/>
            </w:rPr>
            <w:instrText xml:space="preserve"> HYPERLINK \l _Toc16962 </w:instrText>
          </w:r>
          <w:r>
            <w:rPr>
              <w:rFonts w:hint="eastAsia" w:ascii="宋体" w:hAnsi="宋体" w:eastAsia="宋体" w:cs="宋体"/>
              <w:szCs w:val="21"/>
            </w:rPr>
            <w:fldChar w:fldCharType="separate"/>
          </w:r>
          <w:r>
            <w:rPr>
              <w:rFonts w:hint="eastAsia" w:ascii="宋体" w:hAnsi="宋体" w:eastAsia="宋体" w:cs="宋体"/>
              <w:szCs w:val="21"/>
            </w:rPr>
            <w:t>1.6 保密</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_Toc16962 \h </w:instrText>
          </w:r>
          <w:r>
            <w:rPr>
              <w:rFonts w:hint="eastAsia" w:ascii="宋体" w:hAnsi="宋体" w:eastAsia="宋体" w:cs="宋体"/>
            </w:rPr>
            <w:fldChar w:fldCharType="separate"/>
          </w:r>
          <w:r>
            <w:rPr>
              <w:rFonts w:hint="eastAsia" w:ascii="宋体" w:hAnsi="宋体" w:eastAsia="宋体" w:cs="宋体"/>
            </w:rPr>
            <w:t>19</w:t>
          </w:r>
          <w:r>
            <w:rPr>
              <w:rFonts w:hint="eastAsia" w:ascii="宋体" w:hAnsi="宋体" w:eastAsia="宋体" w:cs="宋体"/>
            </w:rPr>
            <w:fldChar w:fldCharType="end"/>
          </w:r>
          <w:r>
            <w:rPr>
              <w:rFonts w:hint="eastAsia" w:ascii="宋体" w:hAnsi="宋体" w:eastAsia="宋体" w:cs="宋体"/>
              <w:szCs w:val="21"/>
            </w:rPr>
            <w:fldChar w:fldCharType="end"/>
          </w:r>
        </w:p>
        <w:p w14:paraId="29FA6193">
          <w:pPr>
            <w:pStyle w:val="16"/>
            <w:tabs>
              <w:tab w:val="right" w:leader="dot" w:pos="9746"/>
            </w:tabs>
            <w:spacing w:line="360" w:lineRule="auto"/>
            <w:rPr>
              <w:rFonts w:hint="eastAsia" w:ascii="宋体" w:hAnsi="宋体" w:eastAsia="宋体" w:cs="宋体"/>
            </w:rPr>
          </w:pPr>
          <w:r>
            <w:rPr>
              <w:rFonts w:hint="eastAsia" w:ascii="宋体" w:hAnsi="宋体" w:eastAsia="宋体" w:cs="宋体"/>
              <w:szCs w:val="21"/>
            </w:rPr>
            <w:fldChar w:fldCharType="begin"/>
          </w:r>
          <w:r>
            <w:rPr>
              <w:rFonts w:hint="eastAsia" w:ascii="宋体" w:hAnsi="宋体" w:eastAsia="宋体" w:cs="宋体"/>
              <w:szCs w:val="21"/>
            </w:rPr>
            <w:instrText xml:space="preserve"> HYPERLINK \l _Toc5887 </w:instrText>
          </w:r>
          <w:r>
            <w:rPr>
              <w:rFonts w:hint="eastAsia" w:ascii="宋体" w:hAnsi="宋体" w:eastAsia="宋体" w:cs="宋体"/>
              <w:szCs w:val="21"/>
            </w:rPr>
            <w:fldChar w:fldCharType="separate"/>
          </w:r>
          <w:r>
            <w:rPr>
              <w:rFonts w:hint="eastAsia" w:ascii="宋体" w:hAnsi="宋体" w:eastAsia="宋体" w:cs="宋体"/>
              <w:szCs w:val="21"/>
            </w:rPr>
            <w:t>1.7 语言文字</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_Toc5887 \h </w:instrText>
          </w:r>
          <w:r>
            <w:rPr>
              <w:rFonts w:hint="eastAsia" w:ascii="宋体" w:hAnsi="宋体" w:eastAsia="宋体" w:cs="宋体"/>
            </w:rPr>
            <w:fldChar w:fldCharType="separate"/>
          </w:r>
          <w:r>
            <w:rPr>
              <w:rFonts w:hint="eastAsia" w:ascii="宋体" w:hAnsi="宋体" w:eastAsia="宋体" w:cs="宋体"/>
            </w:rPr>
            <w:t>19</w:t>
          </w:r>
          <w:r>
            <w:rPr>
              <w:rFonts w:hint="eastAsia" w:ascii="宋体" w:hAnsi="宋体" w:eastAsia="宋体" w:cs="宋体"/>
            </w:rPr>
            <w:fldChar w:fldCharType="end"/>
          </w:r>
          <w:r>
            <w:rPr>
              <w:rFonts w:hint="eastAsia" w:ascii="宋体" w:hAnsi="宋体" w:eastAsia="宋体" w:cs="宋体"/>
              <w:szCs w:val="21"/>
            </w:rPr>
            <w:fldChar w:fldCharType="end"/>
          </w:r>
        </w:p>
        <w:p w14:paraId="45EEC001">
          <w:pPr>
            <w:pStyle w:val="16"/>
            <w:tabs>
              <w:tab w:val="right" w:leader="dot" w:pos="9746"/>
            </w:tabs>
            <w:spacing w:line="360" w:lineRule="auto"/>
            <w:rPr>
              <w:rFonts w:hint="eastAsia" w:ascii="宋体" w:hAnsi="宋体" w:eastAsia="宋体" w:cs="宋体"/>
            </w:rPr>
          </w:pPr>
          <w:r>
            <w:rPr>
              <w:rFonts w:hint="eastAsia" w:ascii="宋体" w:hAnsi="宋体" w:eastAsia="宋体" w:cs="宋体"/>
              <w:szCs w:val="21"/>
            </w:rPr>
            <w:fldChar w:fldCharType="begin"/>
          </w:r>
          <w:r>
            <w:rPr>
              <w:rFonts w:hint="eastAsia" w:ascii="宋体" w:hAnsi="宋体" w:eastAsia="宋体" w:cs="宋体"/>
              <w:szCs w:val="21"/>
            </w:rPr>
            <w:instrText xml:space="preserve"> HYPERLINK \l _Toc5185 </w:instrText>
          </w:r>
          <w:r>
            <w:rPr>
              <w:rFonts w:hint="eastAsia" w:ascii="宋体" w:hAnsi="宋体" w:eastAsia="宋体" w:cs="宋体"/>
              <w:szCs w:val="21"/>
            </w:rPr>
            <w:fldChar w:fldCharType="separate"/>
          </w:r>
          <w:r>
            <w:rPr>
              <w:rFonts w:hint="eastAsia" w:ascii="宋体" w:hAnsi="宋体" w:eastAsia="宋体" w:cs="宋体"/>
              <w:szCs w:val="21"/>
            </w:rPr>
            <w:t>1.8 计量单位</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_Toc5185 \h </w:instrText>
          </w:r>
          <w:r>
            <w:rPr>
              <w:rFonts w:hint="eastAsia" w:ascii="宋体" w:hAnsi="宋体" w:eastAsia="宋体" w:cs="宋体"/>
            </w:rPr>
            <w:fldChar w:fldCharType="separate"/>
          </w:r>
          <w:r>
            <w:rPr>
              <w:rFonts w:hint="eastAsia" w:ascii="宋体" w:hAnsi="宋体" w:eastAsia="宋体" w:cs="宋体"/>
            </w:rPr>
            <w:t>19</w:t>
          </w:r>
          <w:r>
            <w:rPr>
              <w:rFonts w:hint="eastAsia" w:ascii="宋体" w:hAnsi="宋体" w:eastAsia="宋体" w:cs="宋体"/>
            </w:rPr>
            <w:fldChar w:fldCharType="end"/>
          </w:r>
          <w:r>
            <w:rPr>
              <w:rFonts w:hint="eastAsia" w:ascii="宋体" w:hAnsi="宋体" w:eastAsia="宋体" w:cs="宋体"/>
              <w:szCs w:val="21"/>
            </w:rPr>
            <w:fldChar w:fldCharType="end"/>
          </w:r>
        </w:p>
        <w:p w14:paraId="2580D52D">
          <w:pPr>
            <w:pStyle w:val="16"/>
            <w:tabs>
              <w:tab w:val="right" w:leader="dot" w:pos="9746"/>
            </w:tabs>
            <w:spacing w:line="360" w:lineRule="auto"/>
            <w:rPr>
              <w:rFonts w:hint="eastAsia" w:ascii="宋体" w:hAnsi="宋体" w:eastAsia="宋体" w:cs="宋体"/>
            </w:rPr>
          </w:pPr>
          <w:r>
            <w:rPr>
              <w:rFonts w:hint="eastAsia" w:ascii="宋体" w:hAnsi="宋体" w:eastAsia="宋体" w:cs="宋体"/>
              <w:szCs w:val="21"/>
            </w:rPr>
            <w:fldChar w:fldCharType="begin"/>
          </w:r>
          <w:r>
            <w:rPr>
              <w:rFonts w:hint="eastAsia" w:ascii="宋体" w:hAnsi="宋体" w:eastAsia="宋体" w:cs="宋体"/>
              <w:szCs w:val="21"/>
            </w:rPr>
            <w:instrText xml:space="preserve"> HYPERLINK \l _Toc17983 </w:instrText>
          </w:r>
          <w:r>
            <w:rPr>
              <w:rFonts w:hint="eastAsia" w:ascii="宋体" w:hAnsi="宋体" w:eastAsia="宋体" w:cs="宋体"/>
              <w:szCs w:val="21"/>
            </w:rPr>
            <w:fldChar w:fldCharType="separate"/>
          </w:r>
          <w:r>
            <w:rPr>
              <w:rFonts w:hint="eastAsia" w:ascii="宋体" w:hAnsi="宋体" w:eastAsia="宋体" w:cs="宋体"/>
              <w:szCs w:val="21"/>
            </w:rPr>
            <w:t>1.9 踏勘现场(本项目不适用)</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_Toc17983 \h </w:instrText>
          </w:r>
          <w:r>
            <w:rPr>
              <w:rFonts w:hint="eastAsia" w:ascii="宋体" w:hAnsi="宋体" w:eastAsia="宋体" w:cs="宋体"/>
            </w:rPr>
            <w:fldChar w:fldCharType="separate"/>
          </w:r>
          <w:r>
            <w:rPr>
              <w:rFonts w:hint="eastAsia" w:ascii="宋体" w:hAnsi="宋体" w:eastAsia="宋体" w:cs="宋体"/>
            </w:rPr>
            <w:t>19</w:t>
          </w:r>
          <w:r>
            <w:rPr>
              <w:rFonts w:hint="eastAsia" w:ascii="宋体" w:hAnsi="宋体" w:eastAsia="宋体" w:cs="宋体"/>
            </w:rPr>
            <w:fldChar w:fldCharType="end"/>
          </w:r>
          <w:r>
            <w:rPr>
              <w:rFonts w:hint="eastAsia" w:ascii="宋体" w:hAnsi="宋体" w:eastAsia="宋体" w:cs="宋体"/>
              <w:szCs w:val="21"/>
            </w:rPr>
            <w:fldChar w:fldCharType="end"/>
          </w:r>
        </w:p>
        <w:p w14:paraId="665D39A9">
          <w:pPr>
            <w:pStyle w:val="16"/>
            <w:tabs>
              <w:tab w:val="right" w:leader="dot" w:pos="9746"/>
            </w:tabs>
            <w:spacing w:line="360" w:lineRule="auto"/>
            <w:rPr>
              <w:rFonts w:hint="eastAsia" w:ascii="宋体" w:hAnsi="宋体" w:eastAsia="宋体" w:cs="宋体"/>
            </w:rPr>
          </w:pPr>
          <w:r>
            <w:rPr>
              <w:rFonts w:hint="eastAsia" w:ascii="宋体" w:hAnsi="宋体" w:eastAsia="宋体" w:cs="宋体"/>
              <w:szCs w:val="21"/>
            </w:rPr>
            <w:fldChar w:fldCharType="begin"/>
          </w:r>
          <w:r>
            <w:rPr>
              <w:rFonts w:hint="eastAsia" w:ascii="宋体" w:hAnsi="宋体" w:eastAsia="宋体" w:cs="宋体"/>
              <w:szCs w:val="21"/>
            </w:rPr>
            <w:instrText xml:space="preserve"> HYPERLINK \l _Toc7784 </w:instrText>
          </w:r>
          <w:r>
            <w:rPr>
              <w:rFonts w:hint="eastAsia" w:ascii="宋体" w:hAnsi="宋体" w:eastAsia="宋体" w:cs="宋体"/>
              <w:szCs w:val="21"/>
            </w:rPr>
            <w:fldChar w:fldCharType="separate"/>
          </w:r>
          <w:r>
            <w:rPr>
              <w:rFonts w:hint="eastAsia" w:ascii="宋体" w:hAnsi="宋体" w:eastAsia="宋体" w:cs="宋体"/>
              <w:szCs w:val="21"/>
            </w:rPr>
            <w:t>1.10 投标预备会(本项目不适用)</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_Toc7784 \h </w:instrText>
          </w:r>
          <w:r>
            <w:rPr>
              <w:rFonts w:hint="eastAsia" w:ascii="宋体" w:hAnsi="宋体" w:eastAsia="宋体" w:cs="宋体"/>
            </w:rPr>
            <w:fldChar w:fldCharType="separate"/>
          </w:r>
          <w:r>
            <w:rPr>
              <w:rFonts w:hint="eastAsia" w:ascii="宋体" w:hAnsi="宋体" w:eastAsia="宋体" w:cs="宋体"/>
            </w:rPr>
            <w:t>20</w:t>
          </w:r>
          <w:r>
            <w:rPr>
              <w:rFonts w:hint="eastAsia" w:ascii="宋体" w:hAnsi="宋体" w:eastAsia="宋体" w:cs="宋体"/>
            </w:rPr>
            <w:fldChar w:fldCharType="end"/>
          </w:r>
          <w:r>
            <w:rPr>
              <w:rFonts w:hint="eastAsia" w:ascii="宋体" w:hAnsi="宋体" w:eastAsia="宋体" w:cs="宋体"/>
              <w:szCs w:val="21"/>
            </w:rPr>
            <w:fldChar w:fldCharType="end"/>
          </w:r>
        </w:p>
        <w:p w14:paraId="5FEC402D">
          <w:pPr>
            <w:pStyle w:val="16"/>
            <w:tabs>
              <w:tab w:val="right" w:leader="dot" w:pos="9746"/>
            </w:tabs>
            <w:spacing w:line="360" w:lineRule="auto"/>
            <w:rPr>
              <w:rFonts w:hint="eastAsia" w:ascii="宋体" w:hAnsi="宋体" w:eastAsia="宋体" w:cs="宋体"/>
            </w:rPr>
          </w:pPr>
          <w:r>
            <w:rPr>
              <w:rFonts w:hint="eastAsia" w:ascii="宋体" w:hAnsi="宋体" w:eastAsia="宋体" w:cs="宋体"/>
              <w:szCs w:val="21"/>
            </w:rPr>
            <w:fldChar w:fldCharType="begin"/>
          </w:r>
          <w:r>
            <w:rPr>
              <w:rFonts w:hint="eastAsia" w:ascii="宋体" w:hAnsi="宋体" w:eastAsia="宋体" w:cs="宋体"/>
              <w:szCs w:val="21"/>
            </w:rPr>
            <w:instrText xml:space="preserve"> HYPERLINK \l _Toc18736 </w:instrText>
          </w:r>
          <w:r>
            <w:rPr>
              <w:rFonts w:hint="eastAsia" w:ascii="宋体" w:hAnsi="宋体" w:eastAsia="宋体" w:cs="宋体"/>
              <w:szCs w:val="21"/>
            </w:rPr>
            <w:fldChar w:fldCharType="separate"/>
          </w:r>
          <w:r>
            <w:rPr>
              <w:rFonts w:hint="eastAsia" w:ascii="宋体" w:hAnsi="宋体" w:eastAsia="宋体" w:cs="宋体"/>
              <w:szCs w:val="21"/>
            </w:rPr>
            <w:t>1.11 分包</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_Toc18736 \h </w:instrText>
          </w:r>
          <w:r>
            <w:rPr>
              <w:rFonts w:hint="eastAsia" w:ascii="宋体" w:hAnsi="宋体" w:eastAsia="宋体" w:cs="宋体"/>
            </w:rPr>
            <w:fldChar w:fldCharType="separate"/>
          </w:r>
          <w:r>
            <w:rPr>
              <w:rFonts w:hint="eastAsia" w:ascii="宋体" w:hAnsi="宋体" w:eastAsia="宋体" w:cs="宋体"/>
            </w:rPr>
            <w:t>20</w:t>
          </w:r>
          <w:r>
            <w:rPr>
              <w:rFonts w:hint="eastAsia" w:ascii="宋体" w:hAnsi="宋体" w:eastAsia="宋体" w:cs="宋体"/>
            </w:rPr>
            <w:fldChar w:fldCharType="end"/>
          </w:r>
          <w:r>
            <w:rPr>
              <w:rFonts w:hint="eastAsia" w:ascii="宋体" w:hAnsi="宋体" w:eastAsia="宋体" w:cs="宋体"/>
              <w:szCs w:val="21"/>
            </w:rPr>
            <w:fldChar w:fldCharType="end"/>
          </w:r>
        </w:p>
        <w:p w14:paraId="55D569D7">
          <w:pPr>
            <w:pStyle w:val="16"/>
            <w:tabs>
              <w:tab w:val="right" w:leader="dot" w:pos="9746"/>
            </w:tabs>
            <w:spacing w:line="360" w:lineRule="auto"/>
            <w:rPr>
              <w:rFonts w:hint="eastAsia" w:ascii="宋体" w:hAnsi="宋体" w:eastAsia="宋体" w:cs="宋体"/>
            </w:rPr>
          </w:pPr>
          <w:r>
            <w:rPr>
              <w:rFonts w:hint="eastAsia" w:ascii="宋体" w:hAnsi="宋体" w:eastAsia="宋体" w:cs="宋体"/>
              <w:szCs w:val="21"/>
            </w:rPr>
            <w:fldChar w:fldCharType="begin"/>
          </w:r>
          <w:r>
            <w:rPr>
              <w:rFonts w:hint="eastAsia" w:ascii="宋体" w:hAnsi="宋体" w:eastAsia="宋体" w:cs="宋体"/>
              <w:szCs w:val="21"/>
            </w:rPr>
            <w:instrText xml:space="preserve"> HYPERLINK \l _Toc30202 </w:instrText>
          </w:r>
          <w:r>
            <w:rPr>
              <w:rFonts w:hint="eastAsia" w:ascii="宋体" w:hAnsi="宋体" w:eastAsia="宋体" w:cs="宋体"/>
              <w:szCs w:val="21"/>
            </w:rPr>
            <w:fldChar w:fldCharType="separate"/>
          </w:r>
          <w:r>
            <w:rPr>
              <w:rFonts w:hint="eastAsia" w:ascii="宋体" w:hAnsi="宋体" w:eastAsia="宋体" w:cs="宋体"/>
              <w:szCs w:val="21"/>
            </w:rPr>
            <w:t>1.12 偏离</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_Toc30202 \h </w:instrText>
          </w:r>
          <w:r>
            <w:rPr>
              <w:rFonts w:hint="eastAsia" w:ascii="宋体" w:hAnsi="宋体" w:eastAsia="宋体" w:cs="宋体"/>
            </w:rPr>
            <w:fldChar w:fldCharType="separate"/>
          </w:r>
          <w:r>
            <w:rPr>
              <w:rFonts w:hint="eastAsia" w:ascii="宋体" w:hAnsi="宋体" w:eastAsia="宋体" w:cs="宋体"/>
            </w:rPr>
            <w:t>20</w:t>
          </w:r>
          <w:r>
            <w:rPr>
              <w:rFonts w:hint="eastAsia" w:ascii="宋体" w:hAnsi="宋体" w:eastAsia="宋体" w:cs="宋体"/>
            </w:rPr>
            <w:fldChar w:fldCharType="end"/>
          </w:r>
          <w:r>
            <w:rPr>
              <w:rFonts w:hint="eastAsia" w:ascii="宋体" w:hAnsi="宋体" w:eastAsia="宋体" w:cs="宋体"/>
              <w:szCs w:val="21"/>
            </w:rPr>
            <w:fldChar w:fldCharType="end"/>
          </w:r>
        </w:p>
        <w:p w14:paraId="236C2F20">
          <w:pPr>
            <w:pStyle w:val="26"/>
            <w:tabs>
              <w:tab w:val="right" w:leader="dot" w:pos="9746"/>
            </w:tabs>
            <w:spacing w:line="360" w:lineRule="auto"/>
            <w:rPr>
              <w:rFonts w:hint="eastAsia" w:ascii="宋体" w:hAnsi="宋体" w:eastAsia="宋体" w:cs="宋体"/>
            </w:rPr>
          </w:pPr>
          <w:r>
            <w:rPr>
              <w:rFonts w:hint="eastAsia" w:ascii="宋体" w:hAnsi="宋体" w:eastAsia="宋体" w:cs="宋体"/>
              <w:szCs w:val="21"/>
            </w:rPr>
            <w:fldChar w:fldCharType="begin"/>
          </w:r>
          <w:r>
            <w:rPr>
              <w:rFonts w:hint="eastAsia" w:ascii="宋体" w:hAnsi="宋体" w:eastAsia="宋体" w:cs="宋体"/>
              <w:szCs w:val="21"/>
            </w:rPr>
            <w:instrText xml:space="preserve"> HYPERLINK \l _Toc21354 </w:instrText>
          </w:r>
          <w:r>
            <w:rPr>
              <w:rFonts w:hint="eastAsia" w:ascii="宋体" w:hAnsi="宋体" w:eastAsia="宋体" w:cs="宋体"/>
              <w:szCs w:val="21"/>
            </w:rPr>
            <w:fldChar w:fldCharType="separate"/>
          </w:r>
          <w:r>
            <w:rPr>
              <w:rFonts w:hint="eastAsia" w:ascii="宋体" w:hAnsi="宋体" w:eastAsia="宋体" w:cs="宋体"/>
              <w:bCs/>
              <w:szCs w:val="21"/>
            </w:rPr>
            <w:t>2. 磋商文件</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_Toc21354 \h </w:instrText>
          </w:r>
          <w:r>
            <w:rPr>
              <w:rFonts w:hint="eastAsia" w:ascii="宋体" w:hAnsi="宋体" w:eastAsia="宋体" w:cs="宋体"/>
            </w:rPr>
            <w:fldChar w:fldCharType="separate"/>
          </w:r>
          <w:r>
            <w:rPr>
              <w:rFonts w:hint="eastAsia" w:ascii="宋体" w:hAnsi="宋体" w:eastAsia="宋体" w:cs="宋体"/>
            </w:rPr>
            <w:t>20</w:t>
          </w:r>
          <w:r>
            <w:rPr>
              <w:rFonts w:hint="eastAsia" w:ascii="宋体" w:hAnsi="宋体" w:eastAsia="宋体" w:cs="宋体"/>
            </w:rPr>
            <w:fldChar w:fldCharType="end"/>
          </w:r>
          <w:r>
            <w:rPr>
              <w:rFonts w:hint="eastAsia" w:ascii="宋体" w:hAnsi="宋体" w:eastAsia="宋体" w:cs="宋体"/>
              <w:szCs w:val="21"/>
            </w:rPr>
            <w:fldChar w:fldCharType="end"/>
          </w:r>
        </w:p>
        <w:p w14:paraId="3511A864">
          <w:pPr>
            <w:pStyle w:val="16"/>
            <w:tabs>
              <w:tab w:val="right" w:leader="dot" w:pos="9746"/>
            </w:tabs>
            <w:spacing w:line="360" w:lineRule="auto"/>
            <w:rPr>
              <w:rFonts w:hint="eastAsia" w:ascii="宋体" w:hAnsi="宋体" w:eastAsia="宋体" w:cs="宋体"/>
            </w:rPr>
          </w:pPr>
          <w:r>
            <w:rPr>
              <w:rFonts w:hint="eastAsia" w:ascii="宋体" w:hAnsi="宋体" w:eastAsia="宋体" w:cs="宋体"/>
              <w:szCs w:val="21"/>
            </w:rPr>
            <w:fldChar w:fldCharType="begin"/>
          </w:r>
          <w:r>
            <w:rPr>
              <w:rFonts w:hint="eastAsia" w:ascii="宋体" w:hAnsi="宋体" w:eastAsia="宋体" w:cs="宋体"/>
              <w:szCs w:val="21"/>
            </w:rPr>
            <w:instrText xml:space="preserve"> HYPERLINK \l _Toc3618 </w:instrText>
          </w:r>
          <w:r>
            <w:rPr>
              <w:rFonts w:hint="eastAsia" w:ascii="宋体" w:hAnsi="宋体" w:eastAsia="宋体" w:cs="宋体"/>
              <w:szCs w:val="21"/>
            </w:rPr>
            <w:fldChar w:fldCharType="separate"/>
          </w:r>
          <w:r>
            <w:rPr>
              <w:rFonts w:hint="eastAsia" w:ascii="宋体" w:hAnsi="宋体" w:eastAsia="宋体" w:cs="宋体"/>
              <w:szCs w:val="21"/>
            </w:rPr>
            <w:t>2.1 磋商文件的组成</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_Toc3618 \h </w:instrText>
          </w:r>
          <w:r>
            <w:rPr>
              <w:rFonts w:hint="eastAsia" w:ascii="宋体" w:hAnsi="宋体" w:eastAsia="宋体" w:cs="宋体"/>
            </w:rPr>
            <w:fldChar w:fldCharType="separate"/>
          </w:r>
          <w:r>
            <w:rPr>
              <w:rFonts w:hint="eastAsia" w:ascii="宋体" w:hAnsi="宋体" w:eastAsia="宋体" w:cs="宋体"/>
            </w:rPr>
            <w:t>20</w:t>
          </w:r>
          <w:r>
            <w:rPr>
              <w:rFonts w:hint="eastAsia" w:ascii="宋体" w:hAnsi="宋体" w:eastAsia="宋体" w:cs="宋体"/>
            </w:rPr>
            <w:fldChar w:fldCharType="end"/>
          </w:r>
          <w:r>
            <w:rPr>
              <w:rFonts w:hint="eastAsia" w:ascii="宋体" w:hAnsi="宋体" w:eastAsia="宋体" w:cs="宋体"/>
              <w:szCs w:val="21"/>
            </w:rPr>
            <w:fldChar w:fldCharType="end"/>
          </w:r>
        </w:p>
        <w:p w14:paraId="56E2B7FA">
          <w:pPr>
            <w:pStyle w:val="16"/>
            <w:tabs>
              <w:tab w:val="right" w:leader="dot" w:pos="9746"/>
            </w:tabs>
            <w:spacing w:line="360" w:lineRule="auto"/>
            <w:rPr>
              <w:rFonts w:hint="eastAsia" w:ascii="宋体" w:hAnsi="宋体" w:eastAsia="宋体" w:cs="宋体"/>
            </w:rPr>
          </w:pPr>
          <w:r>
            <w:rPr>
              <w:rFonts w:hint="eastAsia" w:ascii="宋体" w:hAnsi="宋体" w:eastAsia="宋体" w:cs="宋体"/>
              <w:szCs w:val="21"/>
            </w:rPr>
            <w:fldChar w:fldCharType="begin"/>
          </w:r>
          <w:r>
            <w:rPr>
              <w:rFonts w:hint="eastAsia" w:ascii="宋体" w:hAnsi="宋体" w:eastAsia="宋体" w:cs="宋体"/>
              <w:szCs w:val="21"/>
            </w:rPr>
            <w:instrText xml:space="preserve"> HYPERLINK \l _Toc10638 </w:instrText>
          </w:r>
          <w:r>
            <w:rPr>
              <w:rFonts w:hint="eastAsia" w:ascii="宋体" w:hAnsi="宋体" w:eastAsia="宋体" w:cs="宋体"/>
              <w:szCs w:val="21"/>
            </w:rPr>
            <w:fldChar w:fldCharType="separate"/>
          </w:r>
          <w:r>
            <w:rPr>
              <w:rFonts w:hint="eastAsia" w:ascii="宋体" w:hAnsi="宋体" w:eastAsia="宋体" w:cs="宋体"/>
              <w:szCs w:val="21"/>
            </w:rPr>
            <w:t>2.2 磋商文件的澄清</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_Toc10638 \h </w:instrText>
          </w:r>
          <w:r>
            <w:rPr>
              <w:rFonts w:hint="eastAsia" w:ascii="宋体" w:hAnsi="宋体" w:eastAsia="宋体" w:cs="宋体"/>
            </w:rPr>
            <w:fldChar w:fldCharType="separate"/>
          </w:r>
          <w:r>
            <w:rPr>
              <w:rFonts w:hint="eastAsia" w:ascii="宋体" w:hAnsi="宋体" w:eastAsia="宋体" w:cs="宋体"/>
            </w:rPr>
            <w:t>21</w:t>
          </w:r>
          <w:r>
            <w:rPr>
              <w:rFonts w:hint="eastAsia" w:ascii="宋体" w:hAnsi="宋体" w:eastAsia="宋体" w:cs="宋体"/>
            </w:rPr>
            <w:fldChar w:fldCharType="end"/>
          </w:r>
          <w:r>
            <w:rPr>
              <w:rFonts w:hint="eastAsia" w:ascii="宋体" w:hAnsi="宋体" w:eastAsia="宋体" w:cs="宋体"/>
              <w:szCs w:val="21"/>
            </w:rPr>
            <w:fldChar w:fldCharType="end"/>
          </w:r>
        </w:p>
        <w:p w14:paraId="27B4F350">
          <w:pPr>
            <w:pStyle w:val="16"/>
            <w:tabs>
              <w:tab w:val="right" w:leader="dot" w:pos="9746"/>
            </w:tabs>
            <w:spacing w:line="360" w:lineRule="auto"/>
            <w:rPr>
              <w:rFonts w:hint="eastAsia" w:ascii="宋体" w:hAnsi="宋体" w:eastAsia="宋体" w:cs="宋体"/>
            </w:rPr>
          </w:pPr>
          <w:r>
            <w:rPr>
              <w:rFonts w:hint="eastAsia" w:ascii="宋体" w:hAnsi="宋体" w:eastAsia="宋体" w:cs="宋体"/>
              <w:szCs w:val="21"/>
            </w:rPr>
            <w:fldChar w:fldCharType="begin"/>
          </w:r>
          <w:r>
            <w:rPr>
              <w:rFonts w:hint="eastAsia" w:ascii="宋体" w:hAnsi="宋体" w:eastAsia="宋体" w:cs="宋体"/>
              <w:szCs w:val="21"/>
            </w:rPr>
            <w:instrText xml:space="preserve"> HYPERLINK \l _Toc26239 </w:instrText>
          </w:r>
          <w:r>
            <w:rPr>
              <w:rFonts w:hint="eastAsia" w:ascii="宋体" w:hAnsi="宋体" w:eastAsia="宋体" w:cs="宋体"/>
              <w:szCs w:val="21"/>
            </w:rPr>
            <w:fldChar w:fldCharType="separate"/>
          </w:r>
          <w:r>
            <w:rPr>
              <w:rFonts w:hint="eastAsia" w:ascii="宋体" w:hAnsi="宋体" w:eastAsia="宋体" w:cs="宋体"/>
              <w:szCs w:val="21"/>
            </w:rPr>
            <w:t>2.3 磋商文件的修改</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_Toc26239 \h </w:instrText>
          </w:r>
          <w:r>
            <w:rPr>
              <w:rFonts w:hint="eastAsia" w:ascii="宋体" w:hAnsi="宋体" w:eastAsia="宋体" w:cs="宋体"/>
            </w:rPr>
            <w:fldChar w:fldCharType="separate"/>
          </w:r>
          <w:r>
            <w:rPr>
              <w:rFonts w:hint="eastAsia" w:ascii="宋体" w:hAnsi="宋体" w:eastAsia="宋体" w:cs="宋体"/>
            </w:rPr>
            <w:t>21</w:t>
          </w:r>
          <w:r>
            <w:rPr>
              <w:rFonts w:hint="eastAsia" w:ascii="宋体" w:hAnsi="宋体" w:eastAsia="宋体" w:cs="宋体"/>
            </w:rPr>
            <w:fldChar w:fldCharType="end"/>
          </w:r>
          <w:r>
            <w:rPr>
              <w:rFonts w:hint="eastAsia" w:ascii="宋体" w:hAnsi="宋体" w:eastAsia="宋体" w:cs="宋体"/>
              <w:szCs w:val="21"/>
            </w:rPr>
            <w:fldChar w:fldCharType="end"/>
          </w:r>
        </w:p>
        <w:p w14:paraId="12B11627">
          <w:pPr>
            <w:pStyle w:val="26"/>
            <w:tabs>
              <w:tab w:val="right" w:leader="dot" w:pos="9746"/>
            </w:tabs>
            <w:spacing w:line="360" w:lineRule="auto"/>
            <w:rPr>
              <w:rFonts w:hint="eastAsia" w:ascii="宋体" w:hAnsi="宋体" w:eastAsia="宋体" w:cs="宋体"/>
            </w:rPr>
          </w:pPr>
          <w:r>
            <w:rPr>
              <w:rFonts w:hint="eastAsia" w:ascii="宋体" w:hAnsi="宋体" w:eastAsia="宋体" w:cs="宋体"/>
              <w:szCs w:val="21"/>
            </w:rPr>
            <w:fldChar w:fldCharType="begin"/>
          </w:r>
          <w:r>
            <w:rPr>
              <w:rFonts w:hint="eastAsia" w:ascii="宋体" w:hAnsi="宋体" w:eastAsia="宋体" w:cs="宋体"/>
              <w:szCs w:val="21"/>
            </w:rPr>
            <w:instrText xml:space="preserve"> HYPERLINK \l _Toc27709 </w:instrText>
          </w:r>
          <w:r>
            <w:rPr>
              <w:rFonts w:hint="eastAsia" w:ascii="宋体" w:hAnsi="宋体" w:eastAsia="宋体" w:cs="宋体"/>
              <w:szCs w:val="21"/>
            </w:rPr>
            <w:fldChar w:fldCharType="separate"/>
          </w:r>
          <w:r>
            <w:rPr>
              <w:rFonts w:hint="eastAsia" w:ascii="宋体" w:hAnsi="宋体" w:eastAsia="宋体" w:cs="宋体"/>
              <w:bCs/>
              <w:szCs w:val="21"/>
            </w:rPr>
            <w:t>3. 响应文件</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_Toc27709 \h </w:instrText>
          </w:r>
          <w:r>
            <w:rPr>
              <w:rFonts w:hint="eastAsia" w:ascii="宋体" w:hAnsi="宋体" w:eastAsia="宋体" w:cs="宋体"/>
            </w:rPr>
            <w:fldChar w:fldCharType="separate"/>
          </w:r>
          <w:r>
            <w:rPr>
              <w:rFonts w:hint="eastAsia" w:ascii="宋体" w:hAnsi="宋体" w:eastAsia="宋体" w:cs="宋体"/>
            </w:rPr>
            <w:t>21</w:t>
          </w:r>
          <w:r>
            <w:rPr>
              <w:rFonts w:hint="eastAsia" w:ascii="宋体" w:hAnsi="宋体" w:eastAsia="宋体" w:cs="宋体"/>
            </w:rPr>
            <w:fldChar w:fldCharType="end"/>
          </w:r>
          <w:r>
            <w:rPr>
              <w:rFonts w:hint="eastAsia" w:ascii="宋体" w:hAnsi="宋体" w:eastAsia="宋体" w:cs="宋体"/>
              <w:szCs w:val="21"/>
            </w:rPr>
            <w:fldChar w:fldCharType="end"/>
          </w:r>
        </w:p>
        <w:p w14:paraId="027BD238">
          <w:pPr>
            <w:pStyle w:val="16"/>
            <w:tabs>
              <w:tab w:val="right" w:leader="dot" w:pos="9746"/>
            </w:tabs>
            <w:spacing w:line="360" w:lineRule="auto"/>
            <w:rPr>
              <w:rFonts w:hint="eastAsia" w:ascii="宋体" w:hAnsi="宋体" w:eastAsia="宋体" w:cs="宋体"/>
            </w:rPr>
          </w:pPr>
          <w:r>
            <w:rPr>
              <w:rFonts w:hint="eastAsia" w:ascii="宋体" w:hAnsi="宋体" w:eastAsia="宋体" w:cs="宋体"/>
              <w:szCs w:val="21"/>
            </w:rPr>
            <w:fldChar w:fldCharType="begin"/>
          </w:r>
          <w:r>
            <w:rPr>
              <w:rFonts w:hint="eastAsia" w:ascii="宋体" w:hAnsi="宋体" w:eastAsia="宋体" w:cs="宋体"/>
              <w:szCs w:val="21"/>
            </w:rPr>
            <w:instrText xml:space="preserve"> HYPERLINK \l _Toc9920 </w:instrText>
          </w:r>
          <w:r>
            <w:rPr>
              <w:rFonts w:hint="eastAsia" w:ascii="宋体" w:hAnsi="宋体" w:eastAsia="宋体" w:cs="宋体"/>
              <w:szCs w:val="21"/>
            </w:rPr>
            <w:fldChar w:fldCharType="separate"/>
          </w:r>
          <w:r>
            <w:rPr>
              <w:rFonts w:hint="eastAsia" w:ascii="宋体" w:hAnsi="宋体" w:eastAsia="宋体" w:cs="宋体"/>
              <w:szCs w:val="21"/>
            </w:rPr>
            <w:t>3.1 响应文件的组成</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_Toc9920 \h </w:instrText>
          </w:r>
          <w:r>
            <w:rPr>
              <w:rFonts w:hint="eastAsia" w:ascii="宋体" w:hAnsi="宋体" w:eastAsia="宋体" w:cs="宋体"/>
            </w:rPr>
            <w:fldChar w:fldCharType="separate"/>
          </w:r>
          <w:r>
            <w:rPr>
              <w:rFonts w:hint="eastAsia" w:ascii="宋体" w:hAnsi="宋体" w:eastAsia="宋体" w:cs="宋体"/>
            </w:rPr>
            <w:t>21</w:t>
          </w:r>
          <w:r>
            <w:rPr>
              <w:rFonts w:hint="eastAsia" w:ascii="宋体" w:hAnsi="宋体" w:eastAsia="宋体" w:cs="宋体"/>
            </w:rPr>
            <w:fldChar w:fldCharType="end"/>
          </w:r>
          <w:r>
            <w:rPr>
              <w:rFonts w:hint="eastAsia" w:ascii="宋体" w:hAnsi="宋体" w:eastAsia="宋体" w:cs="宋体"/>
              <w:szCs w:val="21"/>
            </w:rPr>
            <w:fldChar w:fldCharType="end"/>
          </w:r>
        </w:p>
        <w:p w14:paraId="6B0FF39D">
          <w:pPr>
            <w:pStyle w:val="16"/>
            <w:tabs>
              <w:tab w:val="right" w:leader="dot" w:pos="9746"/>
            </w:tabs>
            <w:spacing w:line="360" w:lineRule="auto"/>
            <w:rPr>
              <w:rFonts w:hint="eastAsia" w:ascii="宋体" w:hAnsi="宋体" w:eastAsia="宋体" w:cs="宋体"/>
            </w:rPr>
          </w:pPr>
          <w:r>
            <w:rPr>
              <w:rFonts w:hint="eastAsia" w:ascii="宋体" w:hAnsi="宋体" w:eastAsia="宋体" w:cs="宋体"/>
              <w:szCs w:val="21"/>
            </w:rPr>
            <w:fldChar w:fldCharType="begin"/>
          </w:r>
          <w:r>
            <w:rPr>
              <w:rFonts w:hint="eastAsia" w:ascii="宋体" w:hAnsi="宋体" w:eastAsia="宋体" w:cs="宋体"/>
              <w:szCs w:val="21"/>
            </w:rPr>
            <w:instrText xml:space="preserve"> HYPERLINK \l _Toc20406 </w:instrText>
          </w:r>
          <w:r>
            <w:rPr>
              <w:rFonts w:hint="eastAsia" w:ascii="宋体" w:hAnsi="宋体" w:eastAsia="宋体" w:cs="宋体"/>
              <w:szCs w:val="21"/>
            </w:rPr>
            <w:fldChar w:fldCharType="separate"/>
          </w:r>
          <w:r>
            <w:rPr>
              <w:rFonts w:hint="eastAsia" w:ascii="宋体" w:hAnsi="宋体" w:eastAsia="宋体" w:cs="宋体"/>
              <w:szCs w:val="21"/>
            </w:rPr>
            <w:t>3.2 投标报价</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_Toc20406 \h </w:instrText>
          </w:r>
          <w:r>
            <w:rPr>
              <w:rFonts w:hint="eastAsia" w:ascii="宋体" w:hAnsi="宋体" w:eastAsia="宋体" w:cs="宋体"/>
            </w:rPr>
            <w:fldChar w:fldCharType="separate"/>
          </w:r>
          <w:r>
            <w:rPr>
              <w:rFonts w:hint="eastAsia" w:ascii="宋体" w:hAnsi="宋体" w:eastAsia="宋体" w:cs="宋体"/>
            </w:rPr>
            <w:t>21</w:t>
          </w:r>
          <w:r>
            <w:rPr>
              <w:rFonts w:hint="eastAsia" w:ascii="宋体" w:hAnsi="宋体" w:eastAsia="宋体" w:cs="宋体"/>
            </w:rPr>
            <w:fldChar w:fldCharType="end"/>
          </w:r>
          <w:r>
            <w:rPr>
              <w:rFonts w:hint="eastAsia" w:ascii="宋体" w:hAnsi="宋体" w:eastAsia="宋体" w:cs="宋体"/>
              <w:szCs w:val="21"/>
            </w:rPr>
            <w:fldChar w:fldCharType="end"/>
          </w:r>
        </w:p>
        <w:p w14:paraId="16E3B508">
          <w:pPr>
            <w:pStyle w:val="16"/>
            <w:tabs>
              <w:tab w:val="right" w:leader="dot" w:pos="9746"/>
            </w:tabs>
            <w:spacing w:line="360" w:lineRule="auto"/>
            <w:rPr>
              <w:rFonts w:hint="eastAsia" w:ascii="宋体" w:hAnsi="宋体" w:eastAsia="宋体" w:cs="宋体"/>
            </w:rPr>
          </w:pPr>
          <w:r>
            <w:rPr>
              <w:rFonts w:hint="eastAsia" w:ascii="宋体" w:hAnsi="宋体" w:eastAsia="宋体" w:cs="宋体"/>
              <w:szCs w:val="21"/>
            </w:rPr>
            <w:fldChar w:fldCharType="begin"/>
          </w:r>
          <w:r>
            <w:rPr>
              <w:rFonts w:hint="eastAsia" w:ascii="宋体" w:hAnsi="宋体" w:eastAsia="宋体" w:cs="宋体"/>
              <w:szCs w:val="21"/>
            </w:rPr>
            <w:instrText xml:space="preserve"> HYPERLINK \l _Toc22599 </w:instrText>
          </w:r>
          <w:r>
            <w:rPr>
              <w:rFonts w:hint="eastAsia" w:ascii="宋体" w:hAnsi="宋体" w:eastAsia="宋体" w:cs="宋体"/>
              <w:szCs w:val="21"/>
            </w:rPr>
            <w:fldChar w:fldCharType="separate"/>
          </w:r>
          <w:r>
            <w:rPr>
              <w:rFonts w:hint="eastAsia" w:ascii="宋体" w:hAnsi="宋体" w:eastAsia="宋体" w:cs="宋体"/>
              <w:szCs w:val="21"/>
            </w:rPr>
            <w:t>3.3 投标有效期</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_Toc22599 \h </w:instrText>
          </w:r>
          <w:r>
            <w:rPr>
              <w:rFonts w:hint="eastAsia" w:ascii="宋体" w:hAnsi="宋体" w:eastAsia="宋体" w:cs="宋体"/>
            </w:rPr>
            <w:fldChar w:fldCharType="separate"/>
          </w:r>
          <w:r>
            <w:rPr>
              <w:rFonts w:hint="eastAsia" w:ascii="宋体" w:hAnsi="宋体" w:eastAsia="宋体" w:cs="宋体"/>
            </w:rPr>
            <w:t>22</w:t>
          </w:r>
          <w:r>
            <w:rPr>
              <w:rFonts w:hint="eastAsia" w:ascii="宋体" w:hAnsi="宋体" w:eastAsia="宋体" w:cs="宋体"/>
            </w:rPr>
            <w:fldChar w:fldCharType="end"/>
          </w:r>
          <w:r>
            <w:rPr>
              <w:rFonts w:hint="eastAsia" w:ascii="宋体" w:hAnsi="宋体" w:eastAsia="宋体" w:cs="宋体"/>
              <w:szCs w:val="21"/>
            </w:rPr>
            <w:fldChar w:fldCharType="end"/>
          </w:r>
        </w:p>
        <w:p w14:paraId="7A8DCCF8">
          <w:pPr>
            <w:pStyle w:val="16"/>
            <w:tabs>
              <w:tab w:val="right" w:leader="dot" w:pos="9746"/>
            </w:tabs>
            <w:spacing w:line="360" w:lineRule="auto"/>
            <w:rPr>
              <w:rFonts w:hint="eastAsia" w:ascii="宋体" w:hAnsi="宋体" w:eastAsia="宋体" w:cs="宋体"/>
            </w:rPr>
          </w:pPr>
          <w:r>
            <w:rPr>
              <w:rFonts w:hint="eastAsia" w:ascii="宋体" w:hAnsi="宋体" w:eastAsia="宋体" w:cs="宋体"/>
              <w:szCs w:val="21"/>
            </w:rPr>
            <w:fldChar w:fldCharType="begin"/>
          </w:r>
          <w:r>
            <w:rPr>
              <w:rFonts w:hint="eastAsia" w:ascii="宋体" w:hAnsi="宋体" w:eastAsia="宋体" w:cs="宋体"/>
              <w:szCs w:val="21"/>
            </w:rPr>
            <w:instrText xml:space="preserve"> HYPERLINK \l _Toc19813 </w:instrText>
          </w:r>
          <w:r>
            <w:rPr>
              <w:rFonts w:hint="eastAsia" w:ascii="宋体" w:hAnsi="宋体" w:eastAsia="宋体" w:cs="宋体"/>
              <w:szCs w:val="21"/>
            </w:rPr>
            <w:fldChar w:fldCharType="separate"/>
          </w:r>
          <w:r>
            <w:rPr>
              <w:rFonts w:hint="eastAsia" w:ascii="宋体" w:hAnsi="宋体" w:eastAsia="宋体" w:cs="宋体"/>
              <w:szCs w:val="21"/>
            </w:rPr>
            <w:t>3.4 投标保证金</w:t>
          </w:r>
          <w:r>
            <w:rPr>
              <w:rFonts w:hint="eastAsia" w:ascii="宋体" w:hAnsi="宋体" w:eastAsia="宋体" w:cs="宋体"/>
              <w:bCs/>
              <w:szCs w:val="21"/>
            </w:rPr>
            <w:t>（本项目不适用）</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_Toc19813 \h </w:instrText>
          </w:r>
          <w:r>
            <w:rPr>
              <w:rFonts w:hint="eastAsia" w:ascii="宋体" w:hAnsi="宋体" w:eastAsia="宋体" w:cs="宋体"/>
            </w:rPr>
            <w:fldChar w:fldCharType="separate"/>
          </w:r>
          <w:r>
            <w:rPr>
              <w:rFonts w:hint="eastAsia" w:ascii="宋体" w:hAnsi="宋体" w:eastAsia="宋体" w:cs="宋体"/>
            </w:rPr>
            <w:t>22</w:t>
          </w:r>
          <w:r>
            <w:rPr>
              <w:rFonts w:hint="eastAsia" w:ascii="宋体" w:hAnsi="宋体" w:eastAsia="宋体" w:cs="宋体"/>
            </w:rPr>
            <w:fldChar w:fldCharType="end"/>
          </w:r>
          <w:r>
            <w:rPr>
              <w:rFonts w:hint="eastAsia" w:ascii="宋体" w:hAnsi="宋体" w:eastAsia="宋体" w:cs="宋体"/>
              <w:szCs w:val="21"/>
            </w:rPr>
            <w:fldChar w:fldCharType="end"/>
          </w:r>
        </w:p>
        <w:p w14:paraId="7CADB30F">
          <w:pPr>
            <w:pStyle w:val="16"/>
            <w:tabs>
              <w:tab w:val="right" w:leader="dot" w:pos="9746"/>
            </w:tabs>
            <w:spacing w:line="360" w:lineRule="auto"/>
            <w:rPr>
              <w:rFonts w:hint="eastAsia" w:ascii="宋体" w:hAnsi="宋体" w:eastAsia="宋体" w:cs="宋体"/>
            </w:rPr>
          </w:pPr>
          <w:r>
            <w:rPr>
              <w:rFonts w:hint="eastAsia" w:ascii="宋体" w:hAnsi="宋体" w:eastAsia="宋体" w:cs="宋体"/>
              <w:szCs w:val="21"/>
            </w:rPr>
            <w:fldChar w:fldCharType="begin"/>
          </w:r>
          <w:r>
            <w:rPr>
              <w:rFonts w:hint="eastAsia" w:ascii="宋体" w:hAnsi="宋体" w:eastAsia="宋体" w:cs="宋体"/>
              <w:szCs w:val="21"/>
            </w:rPr>
            <w:instrText xml:space="preserve"> HYPERLINK \l _Toc13828 </w:instrText>
          </w:r>
          <w:r>
            <w:rPr>
              <w:rFonts w:hint="eastAsia" w:ascii="宋体" w:hAnsi="宋体" w:eastAsia="宋体" w:cs="宋体"/>
              <w:szCs w:val="21"/>
            </w:rPr>
            <w:fldChar w:fldCharType="separate"/>
          </w:r>
          <w:r>
            <w:rPr>
              <w:rFonts w:hint="eastAsia" w:ascii="宋体" w:hAnsi="宋体" w:eastAsia="宋体" w:cs="宋体"/>
              <w:szCs w:val="21"/>
            </w:rPr>
            <w:t>3.5 资格审查资料</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_Toc13828 \h </w:instrText>
          </w:r>
          <w:r>
            <w:rPr>
              <w:rFonts w:hint="eastAsia" w:ascii="宋体" w:hAnsi="宋体" w:eastAsia="宋体" w:cs="宋体"/>
            </w:rPr>
            <w:fldChar w:fldCharType="separate"/>
          </w:r>
          <w:r>
            <w:rPr>
              <w:rFonts w:hint="eastAsia" w:ascii="宋体" w:hAnsi="宋体" w:eastAsia="宋体" w:cs="宋体"/>
            </w:rPr>
            <w:t>22</w:t>
          </w:r>
          <w:r>
            <w:rPr>
              <w:rFonts w:hint="eastAsia" w:ascii="宋体" w:hAnsi="宋体" w:eastAsia="宋体" w:cs="宋体"/>
            </w:rPr>
            <w:fldChar w:fldCharType="end"/>
          </w:r>
          <w:r>
            <w:rPr>
              <w:rFonts w:hint="eastAsia" w:ascii="宋体" w:hAnsi="宋体" w:eastAsia="宋体" w:cs="宋体"/>
              <w:szCs w:val="21"/>
            </w:rPr>
            <w:fldChar w:fldCharType="end"/>
          </w:r>
        </w:p>
        <w:p w14:paraId="5548E2DE">
          <w:pPr>
            <w:pStyle w:val="16"/>
            <w:tabs>
              <w:tab w:val="right" w:leader="dot" w:pos="9746"/>
            </w:tabs>
            <w:spacing w:line="360" w:lineRule="auto"/>
            <w:rPr>
              <w:rFonts w:hint="eastAsia" w:ascii="宋体" w:hAnsi="宋体" w:eastAsia="宋体" w:cs="宋体"/>
            </w:rPr>
          </w:pPr>
          <w:r>
            <w:rPr>
              <w:rFonts w:hint="eastAsia" w:ascii="宋体" w:hAnsi="宋体" w:eastAsia="宋体" w:cs="宋体"/>
              <w:szCs w:val="21"/>
            </w:rPr>
            <w:fldChar w:fldCharType="begin"/>
          </w:r>
          <w:r>
            <w:rPr>
              <w:rFonts w:hint="eastAsia" w:ascii="宋体" w:hAnsi="宋体" w:eastAsia="宋体" w:cs="宋体"/>
              <w:szCs w:val="21"/>
            </w:rPr>
            <w:instrText xml:space="preserve"> HYPERLINK \l _Toc1772 </w:instrText>
          </w:r>
          <w:r>
            <w:rPr>
              <w:rFonts w:hint="eastAsia" w:ascii="宋体" w:hAnsi="宋体" w:eastAsia="宋体" w:cs="宋体"/>
              <w:szCs w:val="21"/>
            </w:rPr>
            <w:fldChar w:fldCharType="separate"/>
          </w:r>
          <w:r>
            <w:rPr>
              <w:rFonts w:hint="eastAsia" w:ascii="宋体" w:hAnsi="宋体" w:eastAsia="宋体" w:cs="宋体"/>
              <w:szCs w:val="21"/>
            </w:rPr>
            <w:t>3.6 备选投标方案（本项目不适用）</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_Toc1772 \h </w:instrText>
          </w:r>
          <w:r>
            <w:rPr>
              <w:rFonts w:hint="eastAsia" w:ascii="宋体" w:hAnsi="宋体" w:eastAsia="宋体" w:cs="宋体"/>
            </w:rPr>
            <w:fldChar w:fldCharType="separate"/>
          </w:r>
          <w:r>
            <w:rPr>
              <w:rFonts w:hint="eastAsia" w:ascii="宋体" w:hAnsi="宋体" w:eastAsia="宋体" w:cs="宋体"/>
            </w:rPr>
            <w:t>22</w:t>
          </w:r>
          <w:r>
            <w:rPr>
              <w:rFonts w:hint="eastAsia" w:ascii="宋体" w:hAnsi="宋体" w:eastAsia="宋体" w:cs="宋体"/>
            </w:rPr>
            <w:fldChar w:fldCharType="end"/>
          </w:r>
          <w:r>
            <w:rPr>
              <w:rFonts w:hint="eastAsia" w:ascii="宋体" w:hAnsi="宋体" w:eastAsia="宋体" w:cs="宋体"/>
              <w:szCs w:val="21"/>
            </w:rPr>
            <w:fldChar w:fldCharType="end"/>
          </w:r>
        </w:p>
        <w:p w14:paraId="3F194E3A">
          <w:pPr>
            <w:pStyle w:val="26"/>
            <w:tabs>
              <w:tab w:val="right" w:leader="dot" w:pos="9746"/>
            </w:tabs>
            <w:spacing w:line="360" w:lineRule="auto"/>
            <w:rPr>
              <w:rFonts w:hint="eastAsia" w:ascii="宋体" w:hAnsi="宋体" w:eastAsia="宋体" w:cs="宋体"/>
            </w:rPr>
          </w:pPr>
          <w:r>
            <w:rPr>
              <w:rFonts w:hint="eastAsia" w:ascii="宋体" w:hAnsi="宋体" w:eastAsia="宋体" w:cs="宋体"/>
              <w:szCs w:val="21"/>
            </w:rPr>
            <w:fldChar w:fldCharType="begin"/>
          </w:r>
          <w:r>
            <w:rPr>
              <w:rFonts w:hint="eastAsia" w:ascii="宋体" w:hAnsi="宋体" w:eastAsia="宋体" w:cs="宋体"/>
              <w:szCs w:val="21"/>
            </w:rPr>
            <w:instrText xml:space="preserve"> HYPERLINK \l _Toc3029 </w:instrText>
          </w:r>
          <w:r>
            <w:rPr>
              <w:rFonts w:hint="eastAsia" w:ascii="宋体" w:hAnsi="宋体" w:eastAsia="宋体" w:cs="宋体"/>
              <w:szCs w:val="21"/>
            </w:rPr>
            <w:fldChar w:fldCharType="separate"/>
          </w:r>
          <w:r>
            <w:rPr>
              <w:rFonts w:hint="eastAsia" w:ascii="宋体" w:hAnsi="宋体" w:eastAsia="宋体" w:cs="宋体"/>
              <w:bCs/>
              <w:szCs w:val="21"/>
            </w:rPr>
            <w:t>4. 投标</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_Toc3029 \h </w:instrText>
          </w:r>
          <w:r>
            <w:rPr>
              <w:rFonts w:hint="eastAsia" w:ascii="宋体" w:hAnsi="宋体" w:eastAsia="宋体" w:cs="宋体"/>
            </w:rPr>
            <w:fldChar w:fldCharType="separate"/>
          </w:r>
          <w:r>
            <w:rPr>
              <w:rFonts w:hint="eastAsia" w:ascii="宋体" w:hAnsi="宋体" w:eastAsia="宋体" w:cs="宋体"/>
            </w:rPr>
            <w:t>23</w:t>
          </w:r>
          <w:r>
            <w:rPr>
              <w:rFonts w:hint="eastAsia" w:ascii="宋体" w:hAnsi="宋体" w:eastAsia="宋体" w:cs="宋体"/>
            </w:rPr>
            <w:fldChar w:fldCharType="end"/>
          </w:r>
          <w:r>
            <w:rPr>
              <w:rFonts w:hint="eastAsia" w:ascii="宋体" w:hAnsi="宋体" w:eastAsia="宋体" w:cs="宋体"/>
              <w:szCs w:val="21"/>
            </w:rPr>
            <w:fldChar w:fldCharType="end"/>
          </w:r>
        </w:p>
        <w:p w14:paraId="327DB300">
          <w:pPr>
            <w:pStyle w:val="16"/>
            <w:tabs>
              <w:tab w:val="right" w:leader="dot" w:pos="9746"/>
            </w:tabs>
            <w:spacing w:line="360" w:lineRule="auto"/>
            <w:rPr>
              <w:rFonts w:hint="eastAsia" w:ascii="宋体" w:hAnsi="宋体" w:eastAsia="宋体" w:cs="宋体"/>
            </w:rPr>
          </w:pPr>
          <w:r>
            <w:rPr>
              <w:rFonts w:hint="eastAsia" w:ascii="宋体" w:hAnsi="宋体" w:eastAsia="宋体" w:cs="宋体"/>
              <w:szCs w:val="21"/>
            </w:rPr>
            <w:fldChar w:fldCharType="begin"/>
          </w:r>
          <w:r>
            <w:rPr>
              <w:rFonts w:hint="eastAsia" w:ascii="宋体" w:hAnsi="宋体" w:eastAsia="宋体" w:cs="宋体"/>
              <w:szCs w:val="21"/>
            </w:rPr>
            <w:instrText xml:space="preserve"> HYPERLINK \l _Toc3691 </w:instrText>
          </w:r>
          <w:r>
            <w:rPr>
              <w:rFonts w:hint="eastAsia" w:ascii="宋体" w:hAnsi="宋体" w:eastAsia="宋体" w:cs="宋体"/>
              <w:szCs w:val="21"/>
            </w:rPr>
            <w:fldChar w:fldCharType="separate"/>
          </w:r>
          <w:r>
            <w:rPr>
              <w:rFonts w:hint="eastAsia" w:ascii="宋体" w:hAnsi="宋体" w:eastAsia="宋体" w:cs="宋体"/>
              <w:szCs w:val="21"/>
            </w:rPr>
            <w:t>4.1 响应文件的递交</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_Toc3691 \h </w:instrText>
          </w:r>
          <w:r>
            <w:rPr>
              <w:rFonts w:hint="eastAsia" w:ascii="宋体" w:hAnsi="宋体" w:eastAsia="宋体" w:cs="宋体"/>
            </w:rPr>
            <w:fldChar w:fldCharType="separate"/>
          </w:r>
          <w:r>
            <w:rPr>
              <w:rFonts w:hint="eastAsia" w:ascii="宋体" w:hAnsi="宋体" w:eastAsia="宋体" w:cs="宋体"/>
            </w:rPr>
            <w:t>23</w:t>
          </w:r>
          <w:r>
            <w:rPr>
              <w:rFonts w:hint="eastAsia" w:ascii="宋体" w:hAnsi="宋体" w:eastAsia="宋体" w:cs="宋体"/>
            </w:rPr>
            <w:fldChar w:fldCharType="end"/>
          </w:r>
          <w:r>
            <w:rPr>
              <w:rFonts w:hint="eastAsia" w:ascii="宋体" w:hAnsi="宋体" w:eastAsia="宋体" w:cs="宋体"/>
              <w:szCs w:val="21"/>
            </w:rPr>
            <w:fldChar w:fldCharType="end"/>
          </w:r>
        </w:p>
        <w:p w14:paraId="47E7C880">
          <w:pPr>
            <w:pStyle w:val="26"/>
            <w:tabs>
              <w:tab w:val="right" w:leader="dot" w:pos="9746"/>
            </w:tabs>
            <w:spacing w:line="360" w:lineRule="auto"/>
            <w:rPr>
              <w:rFonts w:hint="eastAsia" w:ascii="宋体" w:hAnsi="宋体" w:eastAsia="宋体" w:cs="宋体"/>
            </w:rPr>
          </w:pPr>
          <w:r>
            <w:rPr>
              <w:rFonts w:hint="eastAsia" w:ascii="宋体" w:hAnsi="宋体" w:eastAsia="宋体" w:cs="宋体"/>
              <w:szCs w:val="21"/>
            </w:rPr>
            <w:fldChar w:fldCharType="begin"/>
          </w:r>
          <w:r>
            <w:rPr>
              <w:rFonts w:hint="eastAsia" w:ascii="宋体" w:hAnsi="宋体" w:eastAsia="宋体" w:cs="宋体"/>
              <w:szCs w:val="21"/>
            </w:rPr>
            <w:instrText xml:space="preserve"> HYPERLINK \l _Toc10796 </w:instrText>
          </w:r>
          <w:r>
            <w:rPr>
              <w:rFonts w:hint="eastAsia" w:ascii="宋体" w:hAnsi="宋体" w:eastAsia="宋体" w:cs="宋体"/>
              <w:szCs w:val="21"/>
            </w:rPr>
            <w:fldChar w:fldCharType="separate"/>
          </w:r>
          <w:r>
            <w:rPr>
              <w:rFonts w:hint="eastAsia" w:ascii="宋体" w:hAnsi="宋体" w:eastAsia="宋体" w:cs="宋体"/>
              <w:bCs/>
              <w:szCs w:val="21"/>
            </w:rPr>
            <w:t>5. 开标</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_Toc10796 \h </w:instrText>
          </w:r>
          <w:r>
            <w:rPr>
              <w:rFonts w:hint="eastAsia" w:ascii="宋体" w:hAnsi="宋体" w:eastAsia="宋体" w:cs="宋体"/>
            </w:rPr>
            <w:fldChar w:fldCharType="separate"/>
          </w:r>
          <w:r>
            <w:rPr>
              <w:rFonts w:hint="eastAsia" w:ascii="宋体" w:hAnsi="宋体" w:eastAsia="宋体" w:cs="宋体"/>
            </w:rPr>
            <w:t>23</w:t>
          </w:r>
          <w:r>
            <w:rPr>
              <w:rFonts w:hint="eastAsia" w:ascii="宋体" w:hAnsi="宋体" w:eastAsia="宋体" w:cs="宋体"/>
            </w:rPr>
            <w:fldChar w:fldCharType="end"/>
          </w:r>
          <w:r>
            <w:rPr>
              <w:rFonts w:hint="eastAsia" w:ascii="宋体" w:hAnsi="宋体" w:eastAsia="宋体" w:cs="宋体"/>
              <w:szCs w:val="21"/>
            </w:rPr>
            <w:fldChar w:fldCharType="end"/>
          </w:r>
        </w:p>
        <w:p w14:paraId="3115A38D">
          <w:pPr>
            <w:pStyle w:val="16"/>
            <w:tabs>
              <w:tab w:val="right" w:leader="dot" w:pos="9746"/>
            </w:tabs>
            <w:spacing w:line="360" w:lineRule="auto"/>
            <w:rPr>
              <w:rFonts w:hint="eastAsia" w:ascii="宋体" w:hAnsi="宋体" w:eastAsia="宋体" w:cs="宋体"/>
            </w:rPr>
          </w:pPr>
          <w:r>
            <w:rPr>
              <w:rFonts w:hint="eastAsia" w:ascii="宋体" w:hAnsi="宋体" w:eastAsia="宋体" w:cs="宋体"/>
              <w:szCs w:val="21"/>
            </w:rPr>
            <w:fldChar w:fldCharType="begin"/>
          </w:r>
          <w:r>
            <w:rPr>
              <w:rFonts w:hint="eastAsia" w:ascii="宋体" w:hAnsi="宋体" w:eastAsia="宋体" w:cs="宋体"/>
              <w:szCs w:val="21"/>
            </w:rPr>
            <w:instrText xml:space="preserve"> HYPERLINK \l _Toc9744 </w:instrText>
          </w:r>
          <w:r>
            <w:rPr>
              <w:rFonts w:hint="eastAsia" w:ascii="宋体" w:hAnsi="宋体" w:eastAsia="宋体" w:cs="宋体"/>
              <w:szCs w:val="21"/>
            </w:rPr>
            <w:fldChar w:fldCharType="separate"/>
          </w:r>
          <w:r>
            <w:rPr>
              <w:rFonts w:hint="eastAsia" w:ascii="宋体" w:hAnsi="宋体" w:eastAsia="宋体" w:cs="宋体"/>
              <w:szCs w:val="21"/>
            </w:rPr>
            <w:t>5.1 开标时间和地点</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_Toc9744 \h </w:instrText>
          </w:r>
          <w:r>
            <w:rPr>
              <w:rFonts w:hint="eastAsia" w:ascii="宋体" w:hAnsi="宋体" w:eastAsia="宋体" w:cs="宋体"/>
            </w:rPr>
            <w:fldChar w:fldCharType="separate"/>
          </w:r>
          <w:r>
            <w:rPr>
              <w:rFonts w:hint="eastAsia" w:ascii="宋体" w:hAnsi="宋体" w:eastAsia="宋体" w:cs="宋体"/>
            </w:rPr>
            <w:t>23</w:t>
          </w:r>
          <w:r>
            <w:rPr>
              <w:rFonts w:hint="eastAsia" w:ascii="宋体" w:hAnsi="宋体" w:eastAsia="宋体" w:cs="宋体"/>
            </w:rPr>
            <w:fldChar w:fldCharType="end"/>
          </w:r>
          <w:r>
            <w:rPr>
              <w:rFonts w:hint="eastAsia" w:ascii="宋体" w:hAnsi="宋体" w:eastAsia="宋体" w:cs="宋体"/>
              <w:szCs w:val="21"/>
            </w:rPr>
            <w:fldChar w:fldCharType="end"/>
          </w:r>
        </w:p>
        <w:p w14:paraId="18622CC0">
          <w:pPr>
            <w:pStyle w:val="16"/>
            <w:tabs>
              <w:tab w:val="right" w:leader="dot" w:pos="9746"/>
            </w:tabs>
            <w:spacing w:line="360" w:lineRule="auto"/>
            <w:rPr>
              <w:rFonts w:hint="eastAsia" w:ascii="宋体" w:hAnsi="宋体" w:eastAsia="宋体" w:cs="宋体"/>
            </w:rPr>
          </w:pPr>
          <w:r>
            <w:rPr>
              <w:rFonts w:hint="eastAsia" w:ascii="宋体" w:hAnsi="宋体" w:eastAsia="宋体" w:cs="宋体"/>
              <w:szCs w:val="21"/>
            </w:rPr>
            <w:fldChar w:fldCharType="begin"/>
          </w:r>
          <w:r>
            <w:rPr>
              <w:rFonts w:hint="eastAsia" w:ascii="宋体" w:hAnsi="宋体" w:eastAsia="宋体" w:cs="宋体"/>
              <w:szCs w:val="21"/>
            </w:rPr>
            <w:instrText xml:space="preserve"> HYPERLINK \l _Toc22492 </w:instrText>
          </w:r>
          <w:r>
            <w:rPr>
              <w:rFonts w:hint="eastAsia" w:ascii="宋体" w:hAnsi="宋体" w:eastAsia="宋体" w:cs="宋体"/>
              <w:szCs w:val="21"/>
            </w:rPr>
            <w:fldChar w:fldCharType="separate"/>
          </w:r>
          <w:r>
            <w:rPr>
              <w:rFonts w:hint="eastAsia" w:ascii="宋体" w:hAnsi="宋体" w:eastAsia="宋体" w:cs="宋体"/>
              <w:szCs w:val="21"/>
            </w:rPr>
            <w:t>5.2 开标程序</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_Toc22492 \h </w:instrText>
          </w:r>
          <w:r>
            <w:rPr>
              <w:rFonts w:hint="eastAsia" w:ascii="宋体" w:hAnsi="宋体" w:eastAsia="宋体" w:cs="宋体"/>
            </w:rPr>
            <w:fldChar w:fldCharType="separate"/>
          </w:r>
          <w:r>
            <w:rPr>
              <w:rFonts w:hint="eastAsia" w:ascii="宋体" w:hAnsi="宋体" w:eastAsia="宋体" w:cs="宋体"/>
            </w:rPr>
            <w:t>23</w:t>
          </w:r>
          <w:r>
            <w:rPr>
              <w:rFonts w:hint="eastAsia" w:ascii="宋体" w:hAnsi="宋体" w:eastAsia="宋体" w:cs="宋体"/>
            </w:rPr>
            <w:fldChar w:fldCharType="end"/>
          </w:r>
          <w:r>
            <w:rPr>
              <w:rFonts w:hint="eastAsia" w:ascii="宋体" w:hAnsi="宋体" w:eastAsia="宋体" w:cs="宋体"/>
              <w:szCs w:val="21"/>
            </w:rPr>
            <w:fldChar w:fldCharType="end"/>
          </w:r>
        </w:p>
        <w:p w14:paraId="23AD3C03">
          <w:pPr>
            <w:pStyle w:val="26"/>
            <w:tabs>
              <w:tab w:val="right" w:leader="dot" w:pos="9746"/>
            </w:tabs>
            <w:spacing w:line="360" w:lineRule="auto"/>
            <w:rPr>
              <w:rFonts w:hint="eastAsia" w:ascii="宋体" w:hAnsi="宋体" w:eastAsia="宋体" w:cs="宋体"/>
            </w:rPr>
          </w:pPr>
          <w:r>
            <w:rPr>
              <w:rFonts w:hint="eastAsia" w:ascii="宋体" w:hAnsi="宋体" w:eastAsia="宋体" w:cs="宋体"/>
              <w:szCs w:val="21"/>
            </w:rPr>
            <w:fldChar w:fldCharType="begin"/>
          </w:r>
          <w:r>
            <w:rPr>
              <w:rFonts w:hint="eastAsia" w:ascii="宋体" w:hAnsi="宋体" w:eastAsia="宋体" w:cs="宋体"/>
              <w:szCs w:val="21"/>
            </w:rPr>
            <w:instrText xml:space="preserve"> HYPERLINK \l _Toc22848 </w:instrText>
          </w:r>
          <w:r>
            <w:rPr>
              <w:rFonts w:hint="eastAsia" w:ascii="宋体" w:hAnsi="宋体" w:eastAsia="宋体" w:cs="宋体"/>
              <w:szCs w:val="21"/>
            </w:rPr>
            <w:fldChar w:fldCharType="separate"/>
          </w:r>
          <w:r>
            <w:rPr>
              <w:rFonts w:hint="eastAsia" w:ascii="宋体" w:hAnsi="宋体" w:eastAsia="宋体" w:cs="宋体"/>
              <w:bCs/>
              <w:szCs w:val="21"/>
            </w:rPr>
            <w:t>6. 评标</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_Toc22848 \h </w:instrText>
          </w:r>
          <w:r>
            <w:rPr>
              <w:rFonts w:hint="eastAsia" w:ascii="宋体" w:hAnsi="宋体" w:eastAsia="宋体" w:cs="宋体"/>
            </w:rPr>
            <w:fldChar w:fldCharType="separate"/>
          </w:r>
          <w:r>
            <w:rPr>
              <w:rFonts w:hint="eastAsia" w:ascii="宋体" w:hAnsi="宋体" w:eastAsia="宋体" w:cs="宋体"/>
            </w:rPr>
            <w:t>24</w:t>
          </w:r>
          <w:r>
            <w:rPr>
              <w:rFonts w:hint="eastAsia" w:ascii="宋体" w:hAnsi="宋体" w:eastAsia="宋体" w:cs="宋体"/>
            </w:rPr>
            <w:fldChar w:fldCharType="end"/>
          </w:r>
          <w:r>
            <w:rPr>
              <w:rFonts w:hint="eastAsia" w:ascii="宋体" w:hAnsi="宋体" w:eastAsia="宋体" w:cs="宋体"/>
              <w:szCs w:val="21"/>
            </w:rPr>
            <w:fldChar w:fldCharType="end"/>
          </w:r>
        </w:p>
        <w:p w14:paraId="7FA23A72">
          <w:pPr>
            <w:pStyle w:val="16"/>
            <w:tabs>
              <w:tab w:val="right" w:leader="dot" w:pos="9746"/>
            </w:tabs>
            <w:spacing w:line="360" w:lineRule="auto"/>
            <w:rPr>
              <w:rFonts w:hint="eastAsia" w:ascii="宋体" w:hAnsi="宋体" w:eastAsia="宋体" w:cs="宋体"/>
            </w:rPr>
          </w:pPr>
          <w:r>
            <w:rPr>
              <w:rFonts w:hint="eastAsia" w:ascii="宋体" w:hAnsi="宋体" w:eastAsia="宋体" w:cs="宋体"/>
              <w:szCs w:val="21"/>
            </w:rPr>
            <w:fldChar w:fldCharType="begin"/>
          </w:r>
          <w:r>
            <w:rPr>
              <w:rFonts w:hint="eastAsia" w:ascii="宋体" w:hAnsi="宋体" w:eastAsia="宋体" w:cs="宋体"/>
              <w:szCs w:val="21"/>
            </w:rPr>
            <w:instrText xml:space="preserve"> HYPERLINK \l _Toc15148 </w:instrText>
          </w:r>
          <w:r>
            <w:rPr>
              <w:rFonts w:hint="eastAsia" w:ascii="宋体" w:hAnsi="宋体" w:eastAsia="宋体" w:cs="宋体"/>
              <w:szCs w:val="21"/>
            </w:rPr>
            <w:fldChar w:fldCharType="separate"/>
          </w:r>
          <w:r>
            <w:rPr>
              <w:rFonts w:hint="eastAsia" w:ascii="宋体" w:hAnsi="宋体" w:eastAsia="宋体" w:cs="宋体"/>
              <w:szCs w:val="21"/>
            </w:rPr>
            <w:t>6.1 磋商小组</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_Toc15148 \h </w:instrText>
          </w:r>
          <w:r>
            <w:rPr>
              <w:rFonts w:hint="eastAsia" w:ascii="宋体" w:hAnsi="宋体" w:eastAsia="宋体" w:cs="宋体"/>
            </w:rPr>
            <w:fldChar w:fldCharType="separate"/>
          </w:r>
          <w:r>
            <w:rPr>
              <w:rFonts w:hint="eastAsia" w:ascii="宋体" w:hAnsi="宋体" w:eastAsia="宋体" w:cs="宋体"/>
            </w:rPr>
            <w:t>24</w:t>
          </w:r>
          <w:r>
            <w:rPr>
              <w:rFonts w:hint="eastAsia" w:ascii="宋体" w:hAnsi="宋体" w:eastAsia="宋体" w:cs="宋体"/>
            </w:rPr>
            <w:fldChar w:fldCharType="end"/>
          </w:r>
          <w:r>
            <w:rPr>
              <w:rFonts w:hint="eastAsia" w:ascii="宋体" w:hAnsi="宋体" w:eastAsia="宋体" w:cs="宋体"/>
              <w:szCs w:val="21"/>
            </w:rPr>
            <w:fldChar w:fldCharType="end"/>
          </w:r>
        </w:p>
        <w:p w14:paraId="559CD5BC">
          <w:pPr>
            <w:pStyle w:val="16"/>
            <w:tabs>
              <w:tab w:val="right" w:leader="dot" w:pos="9746"/>
            </w:tabs>
            <w:spacing w:line="360" w:lineRule="auto"/>
            <w:rPr>
              <w:rFonts w:hint="eastAsia" w:ascii="宋体" w:hAnsi="宋体" w:eastAsia="宋体" w:cs="宋体"/>
            </w:rPr>
          </w:pPr>
          <w:r>
            <w:rPr>
              <w:rFonts w:hint="eastAsia" w:ascii="宋体" w:hAnsi="宋体" w:eastAsia="宋体" w:cs="宋体"/>
              <w:szCs w:val="21"/>
            </w:rPr>
            <w:fldChar w:fldCharType="begin"/>
          </w:r>
          <w:r>
            <w:rPr>
              <w:rFonts w:hint="eastAsia" w:ascii="宋体" w:hAnsi="宋体" w:eastAsia="宋体" w:cs="宋体"/>
              <w:szCs w:val="21"/>
            </w:rPr>
            <w:instrText xml:space="preserve"> HYPERLINK \l _Toc9165 </w:instrText>
          </w:r>
          <w:r>
            <w:rPr>
              <w:rFonts w:hint="eastAsia" w:ascii="宋体" w:hAnsi="宋体" w:eastAsia="宋体" w:cs="宋体"/>
              <w:szCs w:val="21"/>
            </w:rPr>
            <w:fldChar w:fldCharType="separate"/>
          </w:r>
          <w:r>
            <w:rPr>
              <w:rFonts w:hint="eastAsia" w:ascii="宋体" w:hAnsi="宋体" w:eastAsia="宋体" w:cs="宋体"/>
              <w:szCs w:val="21"/>
            </w:rPr>
            <w:t>6.2 磋商原则</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_Toc9165 \h </w:instrText>
          </w:r>
          <w:r>
            <w:rPr>
              <w:rFonts w:hint="eastAsia" w:ascii="宋体" w:hAnsi="宋体" w:eastAsia="宋体" w:cs="宋体"/>
            </w:rPr>
            <w:fldChar w:fldCharType="separate"/>
          </w:r>
          <w:r>
            <w:rPr>
              <w:rFonts w:hint="eastAsia" w:ascii="宋体" w:hAnsi="宋体" w:eastAsia="宋体" w:cs="宋体"/>
            </w:rPr>
            <w:t>24</w:t>
          </w:r>
          <w:r>
            <w:rPr>
              <w:rFonts w:hint="eastAsia" w:ascii="宋体" w:hAnsi="宋体" w:eastAsia="宋体" w:cs="宋体"/>
            </w:rPr>
            <w:fldChar w:fldCharType="end"/>
          </w:r>
          <w:r>
            <w:rPr>
              <w:rFonts w:hint="eastAsia" w:ascii="宋体" w:hAnsi="宋体" w:eastAsia="宋体" w:cs="宋体"/>
              <w:szCs w:val="21"/>
            </w:rPr>
            <w:fldChar w:fldCharType="end"/>
          </w:r>
        </w:p>
        <w:p w14:paraId="3DD9AAA2">
          <w:pPr>
            <w:pStyle w:val="26"/>
            <w:tabs>
              <w:tab w:val="right" w:leader="dot" w:pos="9746"/>
            </w:tabs>
            <w:spacing w:line="360" w:lineRule="auto"/>
            <w:rPr>
              <w:rFonts w:hint="eastAsia" w:ascii="宋体" w:hAnsi="宋体" w:eastAsia="宋体" w:cs="宋体"/>
            </w:rPr>
          </w:pPr>
          <w:r>
            <w:rPr>
              <w:rFonts w:hint="eastAsia" w:ascii="宋体" w:hAnsi="宋体" w:eastAsia="宋体" w:cs="宋体"/>
              <w:szCs w:val="21"/>
            </w:rPr>
            <w:fldChar w:fldCharType="begin"/>
          </w:r>
          <w:r>
            <w:rPr>
              <w:rFonts w:hint="eastAsia" w:ascii="宋体" w:hAnsi="宋体" w:eastAsia="宋体" w:cs="宋体"/>
              <w:szCs w:val="21"/>
            </w:rPr>
            <w:instrText xml:space="preserve"> HYPERLINK \l _Toc15526 </w:instrText>
          </w:r>
          <w:r>
            <w:rPr>
              <w:rFonts w:hint="eastAsia" w:ascii="宋体" w:hAnsi="宋体" w:eastAsia="宋体" w:cs="宋体"/>
              <w:szCs w:val="21"/>
            </w:rPr>
            <w:fldChar w:fldCharType="separate"/>
          </w:r>
          <w:r>
            <w:rPr>
              <w:rFonts w:hint="eastAsia" w:ascii="宋体" w:hAnsi="宋体" w:eastAsia="宋体" w:cs="宋体"/>
              <w:bCs/>
              <w:szCs w:val="21"/>
            </w:rPr>
            <w:t>7. 合同授予</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_Toc15526 \h </w:instrText>
          </w:r>
          <w:r>
            <w:rPr>
              <w:rFonts w:hint="eastAsia" w:ascii="宋体" w:hAnsi="宋体" w:eastAsia="宋体" w:cs="宋体"/>
            </w:rPr>
            <w:fldChar w:fldCharType="separate"/>
          </w:r>
          <w:r>
            <w:rPr>
              <w:rFonts w:hint="eastAsia" w:ascii="宋体" w:hAnsi="宋体" w:eastAsia="宋体" w:cs="宋体"/>
            </w:rPr>
            <w:t>26</w:t>
          </w:r>
          <w:r>
            <w:rPr>
              <w:rFonts w:hint="eastAsia" w:ascii="宋体" w:hAnsi="宋体" w:eastAsia="宋体" w:cs="宋体"/>
            </w:rPr>
            <w:fldChar w:fldCharType="end"/>
          </w:r>
          <w:r>
            <w:rPr>
              <w:rFonts w:hint="eastAsia" w:ascii="宋体" w:hAnsi="宋体" w:eastAsia="宋体" w:cs="宋体"/>
              <w:szCs w:val="21"/>
            </w:rPr>
            <w:fldChar w:fldCharType="end"/>
          </w:r>
        </w:p>
        <w:p w14:paraId="2CF8C4E1">
          <w:pPr>
            <w:pStyle w:val="16"/>
            <w:tabs>
              <w:tab w:val="right" w:leader="dot" w:pos="9746"/>
            </w:tabs>
            <w:spacing w:line="360" w:lineRule="auto"/>
            <w:rPr>
              <w:rFonts w:hint="eastAsia" w:ascii="宋体" w:hAnsi="宋体" w:eastAsia="宋体" w:cs="宋体"/>
            </w:rPr>
          </w:pPr>
          <w:r>
            <w:rPr>
              <w:rFonts w:hint="eastAsia" w:ascii="宋体" w:hAnsi="宋体" w:eastAsia="宋体" w:cs="宋体"/>
              <w:szCs w:val="21"/>
            </w:rPr>
            <w:fldChar w:fldCharType="begin"/>
          </w:r>
          <w:r>
            <w:rPr>
              <w:rFonts w:hint="eastAsia" w:ascii="宋体" w:hAnsi="宋体" w:eastAsia="宋体" w:cs="宋体"/>
              <w:szCs w:val="21"/>
            </w:rPr>
            <w:instrText xml:space="preserve"> HYPERLINK \l _Toc16409 </w:instrText>
          </w:r>
          <w:r>
            <w:rPr>
              <w:rFonts w:hint="eastAsia" w:ascii="宋体" w:hAnsi="宋体" w:eastAsia="宋体" w:cs="宋体"/>
              <w:szCs w:val="21"/>
            </w:rPr>
            <w:fldChar w:fldCharType="separate"/>
          </w:r>
          <w:r>
            <w:rPr>
              <w:rFonts w:hint="eastAsia" w:ascii="宋体" w:hAnsi="宋体" w:eastAsia="宋体" w:cs="宋体"/>
              <w:szCs w:val="21"/>
            </w:rPr>
            <w:t>7.1 定标方式</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_Toc16409 \h </w:instrText>
          </w:r>
          <w:r>
            <w:rPr>
              <w:rFonts w:hint="eastAsia" w:ascii="宋体" w:hAnsi="宋体" w:eastAsia="宋体" w:cs="宋体"/>
            </w:rPr>
            <w:fldChar w:fldCharType="separate"/>
          </w:r>
          <w:r>
            <w:rPr>
              <w:rFonts w:hint="eastAsia" w:ascii="宋体" w:hAnsi="宋体" w:eastAsia="宋体" w:cs="宋体"/>
            </w:rPr>
            <w:t>26</w:t>
          </w:r>
          <w:r>
            <w:rPr>
              <w:rFonts w:hint="eastAsia" w:ascii="宋体" w:hAnsi="宋体" w:eastAsia="宋体" w:cs="宋体"/>
            </w:rPr>
            <w:fldChar w:fldCharType="end"/>
          </w:r>
          <w:r>
            <w:rPr>
              <w:rFonts w:hint="eastAsia" w:ascii="宋体" w:hAnsi="宋体" w:eastAsia="宋体" w:cs="宋体"/>
              <w:szCs w:val="21"/>
            </w:rPr>
            <w:fldChar w:fldCharType="end"/>
          </w:r>
        </w:p>
        <w:p w14:paraId="2FDBEB8A">
          <w:pPr>
            <w:pStyle w:val="16"/>
            <w:tabs>
              <w:tab w:val="right" w:leader="dot" w:pos="9746"/>
            </w:tabs>
            <w:spacing w:line="360" w:lineRule="auto"/>
            <w:rPr>
              <w:rFonts w:hint="eastAsia" w:ascii="宋体" w:hAnsi="宋体" w:eastAsia="宋体" w:cs="宋体"/>
            </w:rPr>
          </w:pPr>
          <w:r>
            <w:rPr>
              <w:rFonts w:hint="eastAsia" w:ascii="宋体" w:hAnsi="宋体" w:eastAsia="宋体" w:cs="宋体"/>
              <w:szCs w:val="21"/>
            </w:rPr>
            <w:fldChar w:fldCharType="begin"/>
          </w:r>
          <w:r>
            <w:rPr>
              <w:rFonts w:hint="eastAsia" w:ascii="宋体" w:hAnsi="宋体" w:eastAsia="宋体" w:cs="宋体"/>
              <w:szCs w:val="21"/>
            </w:rPr>
            <w:instrText xml:space="preserve"> HYPERLINK \l _Toc14652 </w:instrText>
          </w:r>
          <w:r>
            <w:rPr>
              <w:rFonts w:hint="eastAsia" w:ascii="宋体" w:hAnsi="宋体" w:eastAsia="宋体" w:cs="宋体"/>
              <w:szCs w:val="21"/>
            </w:rPr>
            <w:fldChar w:fldCharType="separate"/>
          </w:r>
          <w:r>
            <w:rPr>
              <w:rFonts w:hint="eastAsia" w:ascii="宋体" w:hAnsi="宋体" w:eastAsia="宋体" w:cs="宋体"/>
              <w:szCs w:val="21"/>
            </w:rPr>
            <w:t>7.2 中标通知</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_Toc14652 \h </w:instrText>
          </w:r>
          <w:r>
            <w:rPr>
              <w:rFonts w:hint="eastAsia" w:ascii="宋体" w:hAnsi="宋体" w:eastAsia="宋体" w:cs="宋体"/>
            </w:rPr>
            <w:fldChar w:fldCharType="separate"/>
          </w:r>
          <w:r>
            <w:rPr>
              <w:rFonts w:hint="eastAsia" w:ascii="宋体" w:hAnsi="宋体" w:eastAsia="宋体" w:cs="宋体"/>
            </w:rPr>
            <w:t>26</w:t>
          </w:r>
          <w:r>
            <w:rPr>
              <w:rFonts w:hint="eastAsia" w:ascii="宋体" w:hAnsi="宋体" w:eastAsia="宋体" w:cs="宋体"/>
            </w:rPr>
            <w:fldChar w:fldCharType="end"/>
          </w:r>
          <w:r>
            <w:rPr>
              <w:rFonts w:hint="eastAsia" w:ascii="宋体" w:hAnsi="宋体" w:eastAsia="宋体" w:cs="宋体"/>
              <w:szCs w:val="21"/>
            </w:rPr>
            <w:fldChar w:fldCharType="end"/>
          </w:r>
        </w:p>
        <w:p w14:paraId="43D49F9C">
          <w:pPr>
            <w:pStyle w:val="16"/>
            <w:tabs>
              <w:tab w:val="right" w:leader="dot" w:pos="9746"/>
            </w:tabs>
            <w:spacing w:line="360" w:lineRule="auto"/>
            <w:rPr>
              <w:rFonts w:hint="eastAsia" w:ascii="宋体" w:hAnsi="宋体" w:eastAsia="宋体" w:cs="宋体"/>
            </w:rPr>
          </w:pPr>
          <w:r>
            <w:rPr>
              <w:rFonts w:hint="eastAsia" w:ascii="宋体" w:hAnsi="宋体" w:eastAsia="宋体" w:cs="宋体"/>
              <w:szCs w:val="21"/>
            </w:rPr>
            <w:fldChar w:fldCharType="begin"/>
          </w:r>
          <w:r>
            <w:rPr>
              <w:rFonts w:hint="eastAsia" w:ascii="宋体" w:hAnsi="宋体" w:eastAsia="宋体" w:cs="宋体"/>
              <w:szCs w:val="21"/>
            </w:rPr>
            <w:instrText xml:space="preserve"> HYPERLINK \l _Toc15124 </w:instrText>
          </w:r>
          <w:r>
            <w:rPr>
              <w:rFonts w:hint="eastAsia" w:ascii="宋体" w:hAnsi="宋体" w:eastAsia="宋体" w:cs="宋体"/>
              <w:szCs w:val="21"/>
            </w:rPr>
            <w:fldChar w:fldCharType="separate"/>
          </w:r>
          <w:r>
            <w:rPr>
              <w:rFonts w:hint="eastAsia" w:ascii="宋体" w:hAnsi="宋体" w:eastAsia="宋体" w:cs="宋体"/>
              <w:szCs w:val="21"/>
            </w:rPr>
            <w:t>7.3 履约担保（本项目不适用）</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_Toc15124 \h </w:instrText>
          </w:r>
          <w:r>
            <w:rPr>
              <w:rFonts w:hint="eastAsia" w:ascii="宋体" w:hAnsi="宋体" w:eastAsia="宋体" w:cs="宋体"/>
            </w:rPr>
            <w:fldChar w:fldCharType="separate"/>
          </w:r>
          <w:r>
            <w:rPr>
              <w:rFonts w:hint="eastAsia" w:ascii="宋体" w:hAnsi="宋体" w:eastAsia="宋体" w:cs="宋体"/>
            </w:rPr>
            <w:t>26</w:t>
          </w:r>
          <w:r>
            <w:rPr>
              <w:rFonts w:hint="eastAsia" w:ascii="宋体" w:hAnsi="宋体" w:eastAsia="宋体" w:cs="宋体"/>
            </w:rPr>
            <w:fldChar w:fldCharType="end"/>
          </w:r>
          <w:r>
            <w:rPr>
              <w:rFonts w:hint="eastAsia" w:ascii="宋体" w:hAnsi="宋体" w:eastAsia="宋体" w:cs="宋体"/>
              <w:szCs w:val="21"/>
            </w:rPr>
            <w:fldChar w:fldCharType="end"/>
          </w:r>
        </w:p>
        <w:p w14:paraId="143CA0EC">
          <w:pPr>
            <w:pStyle w:val="16"/>
            <w:tabs>
              <w:tab w:val="right" w:leader="dot" w:pos="9746"/>
            </w:tabs>
            <w:spacing w:line="360" w:lineRule="auto"/>
            <w:rPr>
              <w:rFonts w:hint="eastAsia" w:ascii="宋体" w:hAnsi="宋体" w:eastAsia="宋体" w:cs="宋体"/>
            </w:rPr>
          </w:pPr>
          <w:r>
            <w:rPr>
              <w:rFonts w:hint="eastAsia" w:ascii="宋体" w:hAnsi="宋体" w:eastAsia="宋体" w:cs="宋体"/>
              <w:szCs w:val="21"/>
            </w:rPr>
            <w:fldChar w:fldCharType="begin"/>
          </w:r>
          <w:r>
            <w:rPr>
              <w:rFonts w:hint="eastAsia" w:ascii="宋体" w:hAnsi="宋体" w:eastAsia="宋体" w:cs="宋体"/>
              <w:szCs w:val="21"/>
            </w:rPr>
            <w:instrText xml:space="preserve"> HYPERLINK \l _Toc18102 </w:instrText>
          </w:r>
          <w:r>
            <w:rPr>
              <w:rFonts w:hint="eastAsia" w:ascii="宋体" w:hAnsi="宋体" w:eastAsia="宋体" w:cs="宋体"/>
              <w:szCs w:val="21"/>
            </w:rPr>
            <w:fldChar w:fldCharType="separate"/>
          </w:r>
          <w:r>
            <w:rPr>
              <w:rFonts w:hint="eastAsia" w:ascii="宋体" w:hAnsi="宋体" w:eastAsia="宋体" w:cs="宋体"/>
              <w:szCs w:val="21"/>
            </w:rPr>
            <w:t>7.4 签订合同</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_Toc18102 \h </w:instrText>
          </w:r>
          <w:r>
            <w:rPr>
              <w:rFonts w:hint="eastAsia" w:ascii="宋体" w:hAnsi="宋体" w:eastAsia="宋体" w:cs="宋体"/>
            </w:rPr>
            <w:fldChar w:fldCharType="separate"/>
          </w:r>
          <w:r>
            <w:rPr>
              <w:rFonts w:hint="eastAsia" w:ascii="宋体" w:hAnsi="宋体" w:eastAsia="宋体" w:cs="宋体"/>
            </w:rPr>
            <w:t>26</w:t>
          </w:r>
          <w:r>
            <w:rPr>
              <w:rFonts w:hint="eastAsia" w:ascii="宋体" w:hAnsi="宋体" w:eastAsia="宋体" w:cs="宋体"/>
            </w:rPr>
            <w:fldChar w:fldCharType="end"/>
          </w:r>
          <w:r>
            <w:rPr>
              <w:rFonts w:hint="eastAsia" w:ascii="宋体" w:hAnsi="宋体" w:eastAsia="宋体" w:cs="宋体"/>
              <w:szCs w:val="21"/>
            </w:rPr>
            <w:fldChar w:fldCharType="end"/>
          </w:r>
        </w:p>
        <w:p w14:paraId="34CED7B0">
          <w:pPr>
            <w:pStyle w:val="26"/>
            <w:tabs>
              <w:tab w:val="right" w:leader="dot" w:pos="9746"/>
            </w:tabs>
            <w:spacing w:line="360" w:lineRule="auto"/>
            <w:rPr>
              <w:rFonts w:hint="eastAsia" w:ascii="宋体" w:hAnsi="宋体" w:eastAsia="宋体" w:cs="宋体"/>
            </w:rPr>
          </w:pPr>
          <w:r>
            <w:rPr>
              <w:rFonts w:hint="eastAsia" w:ascii="宋体" w:hAnsi="宋体" w:eastAsia="宋体" w:cs="宋体"/>
              <w:szCs w:val="21"/>
            </w:rPr>
            <w:fldChar w:fldCharType="begin"/>
          </w:r>
          <w:r>
            <w:rPr>
              <w:rFonts w:hint="eastAsia" w:ascii="宋体" w:hAnsi="宋体" w:eastAsia="宋体" w:cs="宋体"/>
              <w:szCs w:val="21"/>
            </w:rPr>
            <w:instrText xml:space="preserve"> HYPERLINK \l _Toc9596 </w:instrText>
          </w:r>
          <w:r>
            <w:rPr>
              <w:rFonts w:hint="eastAsia" w:ascii="宋体" w:hAnsi="宋体" w:eastAsia="宋体" w:cs="宋体"/>
              <w:szCs w:val="21"/>
            </w:rPr>
            <w:fldChar w:fldCharType="separate"/>
          </w:r>
          <w:r>
            <w:rPr>
              <w:rFonts w:hint="eastAsia" w:ascii="宋体" w:hAnsi="宋体" w:eastAsia="宋体" w:cs="宋体"/>
              <w:bCs/>
              <w:szCs w:val="21"/>
            </w:rPr>
            <w:t>8. 重新招标和不再招标</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_Toc9596 \h </w:instrText>
          </w:r>
          <w:r>
            <w:rPr>
              <w:rFonts w:hint="eastAsia" w:ascii="宋体" w:hAnsi="宋体" w:eastAsia="宋体" w:cs="宋体"/>
            </w:rPr>
            <w:fldChar w:fldCharType="separate"/>
          </w:r>
          <w:r>
            <w:rPr>
              <w:rFonts w:hint="eastAsia" w:ascii="宋体" w:hAnsi="宋体" w:eastAsia="宋体" w:cs="宋体"/>
            </w:rPr>
            <w:t>26</w:t>
          </w:r>
          <w:r>
            <w:rPr>
              <w:rFonts w:hint="eastAsia" w:ascii="宋体" w:hAnsi="宋体" w:eastAsia="宋体" w:cs="宋体"/>
            </w:rPr>
            <w:fldChar w:fldCharType="end"/>
          </w:r>
          <w:r>
            <w:rPr>
              <w:rFonts w:hint="eastAsia" w:ascii="宋体" w:hAnsi="宋体" w:eastAsia="宋体" w:cs="宋体"/>
              <w:szCs w:val="21"/>
            </w:rPr>
            <w:fldChar w:fldCharType="end"/>
          </w:r>
        </w:p>
        <w:p w14:paraId="669EE178">
          <w:pPr>
            <w:pStyle w:val="16"/>
            <w:tabs>
              <w:tab w:val="right" w:leader="dot" w:pos="9746"/>
            </w:tabs>
            <w:spacing w:line="360" w:lineRule="auto"/>
            <w:rPr>
              <w:rFonts w:hint="eastAsia" w:ascii="宋体" w:hAnsi="宋体" w:eastAsia="宋体" w:cs="宋体"/>
            </w:rPr>
          </w:pPr>
          <w:r>
            <w:rPr>
              <w:rFonts w:hint="eastAsia" w:ascii="宋体" w:hAnsi="宋体" w:eastAsia="宋体" w:cs="宋体"/>
              <w:szCs w:val="21"/>
            </w:rPr>
            <w:fldChar w:fldCharType="begin"/>
          </w:r>
          <w:r>
            <w:rPr>
              <w:rFonts w:hint="eastAsia" w:ascii="宋体" w:hAnsi="宋体" w:eastAsia="宋体" w:cs="宋体"/>
              <w:szCs w:val="21"/>
            </w:rPr>
            <w:instrText xml:space="preserve"> HYPERLINK \l _Toc9362 </w:instrText>
          </w:r>
          <w:r>
            <w:rPr>
              <w:rFonts w:hint="eastAsia" w:ascii="宋体" w:hAnsi="宋体" w:eastAsia="宋体" w:cs="宋体"/>
              <w:szCs w:val="21"/>
            </w:rPr>
            <w:fldChar w:fldCharType="separate"/>
          </w:r>
          <w:r>
            <w:rPr>
              <w:rFonts w:hint="eastAsia" w:ascii="宋体" w:hAnsi="宋体" w:eastAsia="宋体" w:cs="宋体"/>
              <w:szCs w:val="21"/>
            </w:rPr>
            <w:t>8.1 重新招标</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_Toc9362 \h </w:instrText>
          </w:r>
          <w:r>
            <w:rPr>
              <w:rFonts w:hint="eastAsia" w:ascii="宋体" w:hAnsi="宋体" w:eastAsia="宋体" w:cs="宋体"/>
            </w:rPr>
            <w:fldChar w:fldCharType="separate"/>
          </w:r>
          <w:r>
            <w:rPr>
              <w:rFonts w:hint="eastAsia" w:ascii="宋体" w:hAnsi="宋体" w:eastAsia="宋体" w:cs="宋体"/>
            </w:rPr>
            <w:t>26</w:t>
          </w:r>
          <w:r>
            <w:rPr>
              <w:rFonts w:hint="eastAsia" w:ascii="宋体" w:hAnsi="宋体" w:eastAsia="宋体" w:cs="宋体"/>
            </w:rPr>
            <w:fldChar w:fldCharType="end"/>
          </w:r>
          <w:r>
            <w:rPr>
              <w:rFonts w:hint="eastAsia" w:ascii="宋体" w:hAnsi="宋体" w:eastAsia="宋体" w:cs="宋体"/>
              <w:szCs w:val="21"/>
            </w:rPr>
            <w:fldChar w:fldCharType="end"/>
          </w:r>
        </w:p>
        <w:p w14:paraId="09BF4DD2">
          <w:pPr>
            <w:pStyle w:val="16"/>
            <w:tabs>
              <w:tab w:val="right" w:leader="dot" w:pos="9746"/>
            </w:tabs>
            <w:spacing w:line="360" w:lineRule="auto"/>
            <w:rPr>
              <w:rFonts w:hint="eastAsia" w:ascii="宋体" w:hAnsi="宋体" w:eastAsia="宋体" w:cs="宋体"/>
            </w:rPr>
          </w:pPr>
          <w:r>
            <w:rPr>
              <w:rFonts w:hint="eastAsia" w:ascii="宋体" w:hAnsi="宋体" w:eastAsia="宋体" w:cs="宋体"/>
              <w:szCs w:val="21"/>
            </w:rPr>
            <w:fldChar w:fldCharType="begin"/>
          </w:r>
          <w:r>
            <w:rPr>
              <w:rFonts w:hint="eastAsia" w:ascii="宋体" w:hAnsi="宋体" w:eastAsia="宋体" w:cs="宋体"/>
              <w:szCs w:val="21"/>
            </w:rPr>
            <w:instrText xml:space="preserve"> HYPERLINK \l _Toc13257 </w:instrText>
          </w:r>
          <w:r>
            <w:rPr>
              <w:rFonts w:hint="eastAsia" w:ascii="宋体" w:hAnsi="宋体" w:eastAsia="宋体" w:cs="宋体"/>
              <w:szCs w:val="21"/>
            </w:rPr>
            <w:fldChar w:fldCharType="separate"/>
          </w:r>
          <w:r>
            <w:rPr>
              <w:rFonts w:hint="eastAsia" w:ascii="宋体" w:hAnsi="宋体" w:eastAsia="宋体" w:cs="宋体"/>
              <w:szCs w:val="21"/>
            </w:rPr>
            <w:t>8.2 不再招标</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_Toc13257 \h </w:instrText>
          </w:r>
          <w:r>
            <w:rPr>
              <w:rFonts w:hint="eastAsia" w:ascii="宋体" w:hAnsi="宋体" w:eastAsia="宋体" w:cs="宋体"/>
            </w:rPr>
            <w:fldChar w:fldCharType="separate"/>
          </w:r>
          <w:r>
            <w:rPr>
              <w:rFonts w:hint="eastAsia" w:ascii="宋体" w:hAnsi="宋体" w:eastAsia="宋体" w:cs="宋体"/>
            </w:rPr>
            <w:t>27</w:t>
          </w:r>
          <w:r>
            <w:rPr>
              <w:rFonts w:hint="eastAsia" w:ascii="宋体" w:hAnsi="宋体" w:eastAsia="宋体" w:cs="宋体"/>
            </w:rPr>
            <w:fldChar w:fldCharType="end"/>
          </w:r>
          <w:r>
            <w:rPr>
              <w:rFonts w:hint="eastAsia" w:ascii="宋体" w:hAnsi="宋体" w:eastAsia="宋体" w:cs="宋体"/>
              <w:szCs w:val="21"/>
            </w:rPr>
            <w:fldChar w:fldCharType="end"/>
          </w:r>
        </w:p>
        <w:p w14:paraId="1ED8F763">
          <w:pPr>
            <w:pStyle w:val="26"/>
            <w:tabs>
              <w:tab w:val="right" w:leader="dot" w:pos="9746"/>
            </w:tabs>
            <w:spacing w:line="360" w:lineRule="auto"/>
            <w:rPr>
              <w:rFonts w:hint="eastAsia" w:ascii="宋体" w:hAnsi="宋体" w:eastAsia="宋体" w:cs="宋体"/>
            </w:rPr>
          </w:pPr>
          <w:r>
            <w:rPr>
              <w:rFonts w:hint="eastAsia" w:ascii="宋体" w:hAnsi="宋体" w:eastAsia="宋体" w:cs="宋体"/>
              <w:szCs w:val="21"/>
            </w:rPr>
            <w:fldChar w:fldCharType="begin"/>
          </w:r>
          <w:r>
            <w:rPr>
              <w:rFonts w:hint="eastAsia" w:ascii="宋体" w:hAnsi="宋体" w:eastAsia="宋体" w:cs="宋体"/>
              <w:szCs w:val="21"/>
            </w:rPr>
            <w:instrText xml:space="preserve"> HYPERLINK \l _Toc1197 </w:instrText>
          </w:r>
          <w:r>
            <w:rPr>
              <w:rFonts w:hint="eastAsia" w:ascii="宋体" w:hAnsi="宋体" w:eastAsia="宋体" w:cs="宋体"/>
              <w:szCs w:val="21"/>
            </w:rPr>
            <w:fldChar w:fldCharType="separate"/>
          </w:r>
          <w:r>
            <w:rPr>
              <w:rFonts w:hint="eastAsia" w:ascii="宋体" w:hAnsi="宋体" w:eastAsia="宋体" w:cs="宋体"/>
              <w:bCs/>
              <w:szCs w:val="21"/>
            </w:rPr>
            <w:t>9. 纪律和监督</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_Toc1197 \h </w:instrText>
          </w:r>
          <w:r>
            <w:rPr>
              <w:rFonts w:hint="eastAsia" w:ascii="宋体" w:hAnsi="宋体" w:eastAsia="宋体" w:cs="宋体"/>
            </w:rPr>
            <w:fldChar w:fldCharType="separate"/>
          </w:r>
          <w:r>
            <w:rPr>
              <w:rFonts w:hint="eastAsia" w:ascii="宋体" w:hAnsi="宋体" w:eastAsia="宋体" w:cs="宋体"/>
            </w:rPr>
            <w:t>27</w:t>
          </w:r>
          <w:r>
            <w:rPr>
              <w:rFonts w:hint="eastAsia" w:ascii="宋体" w:hAnsi="宋体" w:eastAsia="宋体" w:cs="宋体"/>
            </w:rPr>
            <w:fldChar w:fldCharType="end"/>
          </w:r>
          <w:r>
            <w:rPr>
              <w:rFonts w:hint="eastAsia" w:ascii="宋体" w:hAnsi="宋体" w:eastAsia="宋体" w:cs="宋体"/>
              <w:szCs w:val="21"/>
            </w:rPr>
            <w:fldChar w:fldCharType="end"/>
          </w:r>
        </w:p>
        <w:p w14:paraId="7DA289FC">
          <w:pPr>
            <w:pStyle w:val="16"/>
            <w:tabs>
              <w:tab w:val="right" w:leader="dot" w:pos="9746"/>
            </w:tabs>
            <w:spacing w:line="360" w:lineRule="auto"/>
            <w:rPr>
              <w:rFonts w:hint="eastAsia" w:ascii="宋体" w:hAnsi="宋体" w:eastAsia="宋体" w:cs="宋体"/>
            </w:rPr>
          </w:pPr>
          <w:r>
            <w:rPr>
              <w:rFonts w:hint="eastAsia" w:ascii="宋体" w:hAnsi="宋体" w:eastAsia="宋体" w:cs="宋体"/>
              <w:szCs w:val="21"/>
            </w:rPr>
            <w:fldChar w:fldCharType="begin"/>
          </w:r>
          <w:r>
            <w:rPr>
              <w:rFonts w:hint="eastAsia" w:ascii="宋体" w:hAnsi="宋体" w:eastAsia="宋体" w:cs="宋体"/>
              <w:szCs w:val="21"/>
            </w:rPr>
            <w:instrText xml:space="preserve"> HYPERLINK \l _Toc27291 </w:instrText>
          </w:r>
          <w:r>
            <w:rPr>
              <w:rFonts w:hint="eastAsia" w:ascii="宋体" w:hAnsi="宋体" w:eastAsia="宋体" w:cs="宋体"/>
              <w:szCs w:val="21"/>
            </w:rPr>
            <w:fldChar w:fldCharType="separate"/>
          </w:r>
          <w:r>
            <w:rPr>
              <w:rFonts w:hint="eastAsia" w:ascii="宋体" w:hAnsi="宋体" w:eastAsia="宋体" w:cs="宋体"/>
              <w:szCs w:val="21"/>
            </w:rPr>
            <w:t>9.1 对采购人的纪律要求</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_Toc27291 \h </w:instrText>
          </w:r>
          <w:r>
            <w:rPr>
              <w:rFonts w:hint="eastAsia" w:ascii="宋体" w:hAnsi="宋体" w:eastAsia="宋体" w:cs="宋体"/>
            </w:rPr>
            <w:fldChar w:fldCharType="separate"/>
          </w:r>
          <w:r>
            <w:rPr>
              <w:rFonts w:hint="eastAsia" w:ascii="宋体" w:hAnsi="宋体" w:eastAsia="宋体" w:cs="宋体"/>
            </w:rPr>
            <w:t>27</w:t>
          </w:r>
          <w:r>
            <w:rPr>
              <w:rFonts w:hint="eastAsia" w:ascii="宋体" w:hAnsi="宋体" w:eastAsia="宋体" w:cs="宋体"/>
            </w:rPr>
            <w:fldChar w:fldCharType="end"/>
          </w:r>
          <w:r>
            <w:rPr>
              <w:rFonts w:hint="eastAsia" w:ascii="宋体" w:hAnsi="宋体" w:eastAsia="宋体" w:cs="宋体"/>
              <w:szCs w:val="21"/>
            </w:rPr>
            <w:fldChar w:fldCharType="end"/>
          </w:r>
        </w:p>
        <w:p w14:paraId="347A6ED0">
          <w:pPr>
            <w:pStyle w:val="16"/>
            <w:tabs>
              <w:tab w:val="right" w:leader="dot" w:pos="9746"/>
            </w:tabs>
            <w:spacing w:line="360" w:lineRule="auto"/>
            <w:rPr>
              <w:rFonts w:hint="eastAsia" w:ascii="宋体" w:hAnsi="宋体" w:eastAsia="宋体" w:cs="宋体"/>
            </w:rPr>
          </w:pPr>
          <w:r>
            <w:rPr>
              <w:rFonts w:hint="eastAsia" w:ascii="宋体" w:hAnsi="宋体" w:eastAsia="宋体" w:cs="宋体"/>
              <w:szCs w:val="21"/>
            </w:rPr>
            <w:fldChar w:fldCharType="begin"/>
          </w:r>
          <w:r>
            <w:rPr>
              <w:rFonts w:hint="eastAsia" w:ascii="宋体" w:hAnsi="宋体" w:eastAsia="宋体" w:cs="宋体"/>
              <w:szCs w:val="21"/>
            </w:rPr>
            <w:instrText xml:space="preserve"> HYPERLINK \l _Toc29297 </w:instrText>
          </w:r>
          <w:r>
            <w:rPr>
              <w:rFonts w:hint="eastAsia" w:ascii="宋体" w:hAnsi="宋体" w:eastAsia="宋体" w:cs="宋体"/>
              <w:szCs w:val="21"/>
            </w:rPr>
            <w:fldChar w:fldCharType="separate"/>
          </w:r>
          <w:r>
            <w:rPr>
              <w:rFonts w:hint="eastAsia" w:ascii="宋体" w:hAnsi="宋体" w:eastAsia="宋体" w:cs="宋体"/>
              <w:szCs w:val="21"/>
            </w:rPr>
            <w:t>9.2 对供应商的纪律要求</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_Toc29297 \h </w:instrText>
          </w:r>
          <w:r>
            <w:rPr>
              <w:rFonts w:hint="eastAsia" w:ascii="宋体" w:hAnsi="宋体" w:eastAsia="宋体" w:cs="宋体"/>
            </w:rPr>
            <w:fldChar w:fldCharType="separate"/>
          </w:r>
          <w:r>
            <w:rPr>
              <w:rFonts w:hint="eastAsia" w:ascii="宋体" w:hAnsi="宋体" w:eastAsia="宋体" w:cs="宋体"/>
            </w:rPr>
            <w:t>27</w:t>
          </w:r>
          <w:r>
            <w:rPr>
              <w:rFonts w:hint="eastAsia" w:ascii="宋体" w:hAnsi="宋体" w:eastAsia="宋体" w:cs="宋体"/>
            </w:rPr>
            <w:fldChar w:fldCharType="end"/>
          </w:r>
          <w:r>
            <w:rPr>
              <w:rFonts w:hint="eastAsia" w:ascii="宋体" w:hAnsi="宋体" w:eastAsia="宋体" w:cs="宋体"/>
              <w:szCs w:val="21"/>
            </w:rPr>
            <w:fldChar w:fldCharType="end"/>
          </w:r>
        </w:p>
        <w:p w14:paraId="45A23646">
          <w:pPr>
            <w:pStyle w:val="16"/>
            <w:tabs>
              <w:tab w:val="right" w:leader="dot" w:pos="9746"/>
            </w:tabs>
            <w:spacing w:line="360" w:lineRule="auto"/>
            <w:rPr>
              <w:rFonts w:hint="eastAsia" w:ascii="宋体" w:hAnsi="宋体" w:eastAsia="宋体" w:cs="宋体"/>
            </w:rPr>
          </w:pPr>
          <w:r>
            <w:rPr>
              <w:rFonts w:hint="eastAsia" w:ascii="宋体" w:hAnsi="宋体" w:eastAsia="宋体" w:cs="宋体"/>
              <w:szCs w:val="21"/>
            </w:rPr>
            <w:fldChar w:fldCharType="begin"/>
          </w:r>
          <w:r>
            <w:rPr>
              <w:rFonts w:hint="eastAsia" w:ascii="宋体" w:hAnsi="宋体" w:eastAsia="宋体" w:cs="宋体"/>
              <w:szCs w:val="21"/>
            </w:rPr>
            <w:instrText xml:space="preserve"> HYPERLINK \l _Toc9148 </w:instrText>
          </w:r>
          <w:r>
            <w:rPr>
              <w:rFonts w:hint="eastAsia" w:ascii="宋体" w:hAnsi="宋体" w:eastAsia="宋体" w:cs="宋体"/>
              <w:szCs w:val="21"/>
            </w:rPr>
            <w:fldChar w:fldCharType="separate"/>
          </w:r>
          <w:r>
            <w:rPr>
              <w:rFonts w:hint="eastAsia" w:ascii="宋体" w:hAnsi="宋体" w:eastAsia="宋体" w:cs="宋体"/>
              <w:szCs w:val="21"/>
            </w:rPr>
            <w:t>9.3 对磋商小组成员的纪律要求</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_Toc9148 \h </w:instrText>
          </w:r>
          <w:r>
            <w:rPr>
              <w:rFonts w:hint="eastAsia" w:ascii="宋体" w:hAnsi="宋体" w:eastAsia="宋体" w:cs="宋体"/>
            </w:rPr>
            <w:fldChar w:fldCharType="separate"/>
          </w:r>
          <w:r>
            <w:rPr>
              <w:rFonts w:hint="eastAsia" w:ascii="宋体" w:hAnsi="宋体" w:eastAsia="宋体" w:cs="宋体"/>
            </w:rPr>
            <w:t>27</w:t>
          </w:r>
          <w:r>
            <w:rPr>
              <w:rFonts w:hint="eastAsia" w:ascii="宋体" w:hAnsi="宋体" w:eastAsia="宋体" w:cs="宋体"/>
            </w:rPr>
            <w:fldChar w:fldCharType="end"/>
          </w:r>
          <w:r>
            <w:rPr>
              <w:rFonts w:hint="eastAsia" w:ascii="宋体" w:hAnsi="宋体" w:eastAsia="宋体" w:cs="宋体"/>
              <w:szCs w:val="21"/>
            </w:rPr>
            <w:fldChar w:fldCharType="end"/>
          </w:r>
        </w:p>
        <w:p w14:paraId="0D268AA9">
          <w:pPr>
            <w:pStyle w:val="16"/>
            <w:tabs>
              <w:tab w:val="right" w:leader="dot" w:pos="9746"/>
            </w:tabs>
            <w:spacing w:line="360" w:lineRule="auto"/>
            <w:rPr>
              <w:rFonts w:hint="eastAsia" w:ascii="宋体" w:hAnsi="宋体" w:eastAsia="宋体" w:cs="宋体"/>
            </w:rPr>
          </w:pPr>
          <w:r>
            <w:rPr>
              <w:rFonts w:hint="eastAsia" w:ascii="宋体" w:hAnsi="宋体" w:eastAsia="宋体" w:cs="宋体"/>
              <w:szCs w:val="21"/>
            </w:rPr>
            <w:fldChar w:fldCharType="begin"/>
          </w:r>
          <w:r>
            <w:rPr>
              <w:rFonts w:hint="eastAsia" w:ascii="宋体" w:hAnsi="宋体" w:eastAsia="宋体" w:cs="宋体"/>
              <w:szCs w:val="21"/>
            </w:rPr>
            <w:instrText xml:space="preserve"> HYPERLINK \l _Toc5226 </w:instrText>
          </w:r>
          <w:r>
            <w:rPr>
              <w:rFonts w:hint="eastAsia" w:ascii="宋体" w:hAnsi="宋体" w:eastAsia="宋体" w:cs="宋体"/>
              <w:szCs w:val="21"/>
            </w:rPr>
            <w:fldChar w:fldCharType="separate"/>
          </w:r>
          <w:r>
            <w:rPr>
              <w:rFonts w:hint="eastAsia" w:ascii="宋体" w:hAnsi="宋体" w:eastAsia="宋体" w:cs="宋体"/>
              <w:szCs w:val="21"/>
            </w:rPr>
            <w:t>9.4 对与评标活动有关的工作人员的纪律要求</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_Toc5226 \h </w:instrText>
          </w:r>
          <w:r>
            <w:rPr>
              <w:rFonts w:hint="eastAsia" w:ascii="宋体" w:hAnsi="宋体" w:eastAsia="宋体" w:cs="宋体"/>
            </w:rPr>
            <w:fldChar w:fldCharType="separate"/>
          </w:r>
          <w:r>
            <w:rPr>
              <w:rFonts w:hint="eastAsia" w:ascii="宋体" w:hAnsi="宋体" w:eastAsia="宋体" w:cs="宋体"/>
            </w:rPr>
            <w:t>27</w:t>
          </w:r>
          <w:r>
            <w:rPr>
              <w:rFonts w:hint="eastAsia" w:ascii="宋体" w:hAnsi="宋体" w:eastAsia="宋体" w:cs="宋体"/>
            </w:rPr>
            <w:fldChar w:fldCharType="end"/>
          </w:r>
          <w:r>
            <w:rPr>
              <w:rFonts w:hint="eastAsia" w:ascii="宋体" w:hAnsi="宋体" w:eastAsia="宋体" w:cs="宋体"/>
              <w:szCs w:val="21"/>
            </w:rPr>
            <w:fldChar w:fldCharType="end"/>
          </w:r>
        </w:p>
        <w:p w14:paraId="2E93C43A">
          <w:pPr>
            <w:pStyle w:val="16"/>
            <w:tabs>
              <w:tab w:val="right" w:leader="dot" w:pos="9746"/>
            </w:tabs>
            <w:spacing w:line="360" w:lineRule="auto"/>
            <w:rPr>
              <w:rFonts w:hint="eastAsia" w:ascii="宋体" w:hAnsi="宋体" w:eastAsia="宋体" w:cs="宋体"/>
            </w:rPr>
          </w:pPr>
          <w:r>
            <w:rPr>
              <w:rFonts w:hint="eastAsia" w:ascii="宋体" w:hAnsi="宋体" w:eastAsia="宋体" w:cs="宋体"/>
              <w:szCs w:val="21"/>
            </w:rPr>
            <w:fldChar w:fldCharType="begin"/>
          </w:r>
          <w:r>
            <w:rPr>
              <w:rFonts w:hint="eastAsia" w:ascii="宋体" w:hAnsi="宋体" w:eastAsia="宋体" w:cs="宋体"/>
              <w:szCs w:val="21"/>
            </w:rPr>
            <w:instrText xml:space="preserve"> HYPERLINK \l _Toc22498 </w:instrText>
          </w:r>
          <w:r>
            <w:rPr>
              <w:rFonts w:hint="eastAsia" w:ascii="宋体" w:hAnsi="宋体" w:eastAsia="宋体" w:cs="宋体"/>
              <w:szCs w:val="21"/>
            </w:rPr>
            <w:fldChar w:fldCharType="separate"/>
          </w:r>
          <w:r>
            <w:rPr>
              <w:rFonts w:hint="eastAsia" w:ascii="宋体" w:hAnsi="宋体" w:eastAsia="宋体" w:cs="宋体"/>
              <w:szCs w:val="21"/>
            </w:rPr>
            <w:t>9.5 投诉</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_Toc22498 \h </w:instrText>
          </w:r>
          <w:r>
            <w:rPr>
              <w:rFonts w:hint="eastAsia" w:ascii="宋体" w:hAnsi="宋体" w:eastAsia="宋体" w:cs="宋体"/>
            </w:rPr>
            <w:fldChar w:fldCharType="separate"/>
          </w:r>
          <w:r>
            <w:rPr>
              <w:rFonts w:hint="eastAsia" w:ascii="宋体" w:hAnsi="宋体" w:eastAsia="宋体" w:cs="宋体"/>
            </w:rPr>
            <w:t>27</w:t>
          </w:r>
          <w:r>
            <w:rPr>
              <w:rFonts w:hint="eastAsia" w:ascii="宋体" w:hAnsi="宋体" w:eastAsia="宋体" w:cs="宋体"/>
            </w:rPr>
            <w:fldChar w:fldCharType="end"/>
          </w:r>
          <w:r>
            <w:rPr>
              <w:rFonts w:hint="eastAsia" w:ascii="宋体" w:hAnsi="宋体" w:eastAsia="宋体" w:cs="宋体"/>
              <w:szCs w:val="21"/>
            </w:rPr>
            <w:fldChar w:fldCharType="end"/>
          </w:r>
        </w:p>
        <w:p w14:paraId="449DF1EE">
          <w:pPr>
            <w:pStyle w:val="26"/>
            <w:tabs>
              <w:tab w:val="right" w:leader="dot" w:pos="9746"/>
            </w:tabs>
            <w:spacing w:line="360" w:lineRule="auto"/>
            <w:rPr>
              <w:rFonts w:hint="eastAsia" w:ascii="宋体" w:hAnsi="宋体" w:eastAsia="宋体" w:cs="宋体"/>
            </w:rPr>
          </w:pPr>
          <w:r>
            <w:rPr>
              <w:rFonts w:hint="eastAsia" w:ascii="宋体" w:hAnsi="宋体" w:eastAsia="宋体" w:cs="宋体"/>
              <w:szCs w:val="21"/>
            </w:rPr>
            <w:fldChar w:fldCharType="begin"/>
          </w:r>
          <w:r>
            <w:rPr>
              <w:rFonts w:hint="eastAsia" w:ascii="宋体" w:hAnsi="宋体" w:eastAsia="宋体" w:cs="宋体"/>
              <w:szCs w:val="21"/>
            </w:rPr>
            <w:instrText xml:space="preserve"> HYPERLINK \l _Toc9058 </w:instrText>
          </w:r>
          <w:r>
            <w:rPr>
              <w:rFonts w:hint="eastAsia" w:ascii="宋体" w:hAnsi="宋体" w:eastAsia="宋体" w:cs="宋体"/>
              <w:szCs w:val="21"/>
            </w:rPr>
            <w:fldChar w:fldCharType="separate"/>
          </w:r>
          <w:r>
            <w:rPr>
              <w:rFonts w:hint="eastAsia" w:ascii="宋体" w:hAnsi="宋体" w:eastAsia="宋体" w:cs="宋体"/>
              <w:bCs/>
              <w:szCs w:val="21"/>
            </w:rPr>
            <w:t>10. 需要补充的其他内容</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_Toc9058 \h </w:instrText>
          </w:r>
          <w:r>
            <w:rPr>
              <w:rFonts w:hint="eastAsia" w:ascii="宋体" w:hAnsi="宋体" w:eastAsia="宋体" w:cs="宋体"/>
            </w:rPr>
            <w:fldChar w:fldCharType="separate"/>
          </w:r>
          <w:r>
            <w:rPr>
              <w:rFonts w:hint="eastAsia" w:ascii="宋体" w:hAnsi="宋体" w:eastAsia="宋体" w:cs="宋体"/>
            </w:rPr>
            <w:t>27</w:t>
          </w:r>
          <w:r>
            <w:rPr>
              <w:rFonts w:hint="eastAsia" w:ascii="宋体" w:hAnsi="宋体" w:eastAsia="宋体" w:cs="宋体"/>
            </w:rPr>
            <w:fldChar w:fldCharType="end"/>
          </w:r>
          <w:r>
            <w:rPr>
              <w:rFonts w:hint="eastAsia" w:ascii="宋体" w:hAnsi="宋体" w:eastAsia="宋体" w:cs="宋体"/>
              <w:szCs w:val="21"/>
            </w:rPr>
            <w:fldChar w:fldCharType="end"/>
          </w:r>
        </w:p>
        <w:p w14:paraId="56459F2C">
          <w:pPr>
            <w:pStyle w:val="23"/>
            <w:tabs>
              <w:tab w:val="right" w:leader="dot" w:pos="9746"/>
            </w:tabs>
            <w:spacing w:line="360" w:lineRule="auto"/>
            <w:rPr>
              <w:rFonts w:hint="eastAsia" w:ascii="宋体" w:hAnsi="宋体" w:eastAsia="宋体" w:cs="宋体"/>
            </w:rPr>
          </w:pPr>
          <w:r>
            <w:rPr>
              <w:rFonts w:hint="eastAsia" w:ascii="宋体" w:hAnsi="宋体" w:eastAsia="宋体" w:cs="宋体"/>
              <w:szCs w:val="21"/>
            </w:rPr>
            <w:fldChar w:fldCharType="begin"/>
          </w:r>
          <w:r>
            <w:rPr>
              <w:rFonts w:hint="eastAsia" w:ascii="宋体" w:hAnsi="宋体" w:eastAsia="宋体" w:cs="宋体"/>
              <w:szCs w:val="21"/>
            </w:rPr>
            <w:instrText xml:space="preserve"> HYPERLINK \l _Toc15322 </w:instrText>
          </w:r>
          <w:r>
            <w:rPr>
              <w:rFonts w:hint="eastAsia" w:ascii="宋体" w:hAnsi="宋体" w:eastAsia="宋体" w:cs="宋体"/>
              <w:szCs w:val="21"/>
            </w:rPr>
            <w:fldChar w:fldCharType="separate"/>
          </w:r>
          <w:r>
            <w:rPr>
              <w:rFonts w:hint="eastAsia" w:ascii="宋体" w:hAnsi="宋体" w:eastAsia="宋体" w:cs="宋体"/>
            </w:rPr>
            <w:t>第三章  评标办法（综合评估法）</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_Toc15322 \h </w:instrText>
          </w:r>
          <w:r>
            <w:rPr>
              <w:rFonts w:hint="eastAsia" w:ascii="宋体" w:hAnsi="宋体" w:eastAsia="宋体" w:cs="宋体"/>
            </w:rPr>
            <w:fldChar w:fldCharType="separate"/>
          </w:r>
          <w:r>
            <w:rPr>
              <w:rFonts w:hint="eastAsia" w:ascii="宋体" w:hAnsi="宋体" w:eastAsia="宋体" w:cs="宋体"/>
            </w:rPr>
            <w:t>28</w:t>
          </w:r>
          <w:r>
            <w:rPr>
              <w:rFonts w:hint="eastAsia" w:ascii="宋体" w:hAnsi="宋体" w:eastAsia="宋体" w:cs="宋体"/>
            </w:rPr>
            <w:fldChar w:fldCharType="end"/>
          </w:r>
          <w:r>
            <w:rPr>
              <w:rFonts w:hint="eastAsia" w:ascii="宋体" w:hAnsi="宋体" w:eastAsia="宋体" w:cs="宋体"/>
              <w:szCs w:val="21"/>
            </w:rPr>
            <w:fldChar w:fldCharType="end"/>
          </w:r>
        </w:p>
        <w:p w14:paraId="4668F39E">
          <w:pPr>
            <w:pStyle w:val="26"/>
            <w:tabs>
              <w:tab w:val="right" w:leader="dot" w:pos="9746"/>
            </w:tabs>
            <w:spacing w:line="360" w:lineRule="auto"/>
            <w:rPr>
              <w:rFonts w:hint="eastAsia" w:ascii="宋体" w:hAnsi="宋体" w:eastAsia="宋体" w:cs="宋体"/>
            </w:rPr>
          </w:pPr>
          <w:r>
            <w:rPr>
              <w:rFonts w:hint="eastAsia" w:ascii="宋体" w:hAnsi="宋体" w:eastAsia="宋体" w:cs="宋体"/>
              <w:szCs w:val="21"/>
            </w:rPr>
            <w:fldChar w:fldCharType="begin"/>
          </w:r>
          <w:r>
            <w:rPr>
              <w:rFonts w:hint="eastAsia" w:ascii="宋体" w:hAnsi="宋体" w:eastAsia="宋体" w:cs="宋体"/>
              <w:szCs w:val="21"/>
            </w:rPr>
            <w:instrText xml:space="preserve"> HYPERLINK \l _Toc2933 </w:instrText>
          </w:r>
          <w:r>
            <w:rPr>
              <w:rFonts w:hint="eastAsia" w:ascii="宋体" w:hAnsi="宋体" w:eastAsia="宋体" w:cs="宋体"/>
              <w:szCs w:val="21"/>
            </w:rPr>
            <w:fldChar w:fldCharType="separate"/>
          </w:r>
          <w:r>
            <w:rPr>
              <w:rFonts w:hint="eastAsia" w:ascii="宋体" w:hAnsi="宋体" w:eastAsia="宋体" w:cs="宋体"/>
              <w:szCs w:val="21"/>
            </w:rPr>
            <w:t>1. 评标方法</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_Toc2933 \h </w:instrText>
          </w:r>
          <w:r>
            <w:rPr>
              <w:rFonts w:hint="eastAsia" w:ascii="宋体" w:hAnsi="宋体" w:eastAsia="宋体" w:cs="宋体"/>
            </w:rPr>
            <w:fldChar w:fldCharType="separate"/>
          </w:r>
          <w:r>
            <w:rPr>
              <w:rFonts w:hint="eastAsia" w:ascii="宋体" w:hAnsi="宋体" w:eastAsia="宋体" w:cs="宋体"/>
            </w:rPr>
            <w:t>31</w:t>
          </w:r>
          <w:r>
            <w:rPr>
              <w:rFonts w:hint="eastAsia" w:ascii="宋体" w:hAnsi="宋体" w:eastAsia="宋体" w:cs="宋体"/>
            </w:rPr>
            <w:fldChar w:fldCharType="end"/>
          </w:r>
          <w:r>
            <w:rPr>
              <w:rFonts w:hint="eastAsia" w:ascii="宋体" w:hAnsi="宋体" w:eastAsia="宋体" w:cs="宋体"/>
              <w:szCs w:val="21"/>
            </w:rPr>
            <w:fldChar w:fldCharType="end"/>
          </w:r>
        </w:p>
        <w:p w14:paraId="4696F458">
          <w:pPr>
            <w:pStyle w:val="26"/>
            <w:tabs>
              <w:tab w:val="right" w:leader="dot" w:pos="9746"/>
            </w:tabs>
            <w:spacing w:line="360" w:lineRule="auto"/>
            <w:rPr>
              <w:rFonts w:hint="eastAsia" w:ascii="宋体" w:hAnsi="宋体" w:eastAsia="宋体" w:cs="宋体"/>
            </w:rPr>
          </w:pPr>
          <w:r>
            <w:rPr>
              <w:rFonts w:hint="eastAsia" w:ascii="宋体" w:hAnsi="宋体" w:eastAsia="宋体" w:cs="宋体"/>
              <w:szCs w:val="21"/>
            </w:rPr>
            <w:fldChar w:fldCharType="begin"/>
          </w:r>
          <w:r>
            <w:rPr>
              <w:rFonts w:hint="eastAsia" w:ascii="宋体" w:hAnsi="宋体" w:eastAsia="宋体" w:cs="宋体"/>
              <w:szCs w:val="21"/>
            </w:rPr>
            <w:instrText xml:space="preserve"> HYPERLINK \l _Toc29644 </w:instrText>
          </w:r>
          <w:r>
            <w:rPr>
              <w:rFonts w:hint="eastAsia" w:ascii="宋体" w:hAnsi="宋体" w:eastAsia="宋体" w:cs="宋体"/>
              <w:szCs w:val="21"/>
            </w:rPr>
            <w:fldChar w:fldCharType="separate"/>
          </w:r>
          <w:r>
            <w:rPr>
              <w:rFonts w:hint="eastAsia" w:ascii="宋体" w:hAnsi="宋体" w:eastAsia="宋体" w:cs="宋体"/>
              <w:szCs w:val="21"/>
            </w:rPr>
            <w:t>2. 评审标准</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_Toc29644 \h </w:instrText>
          </w:r>
          <w:r>
            <w:rPr>
              <w:rFonts w:hint="eastAsia" w:ascii="宋体" w:hAnsi="宋体" w:eastAsia="宋体" w:cs="宋体"/>
            </w:rPr>
            <w:fldChar w:fldCharType="separate"/>
          </w:r>
          <w:r>
            <w:rPr>
              <w:rFonts w:hint="eastAsia" w:ascii="宋体" w:hAnsi="宋体" w:eastAsia="宋体" w:cs="宋体"/>
            </w:rPr>
            <w:t>31</w:t>
          </w:r>
          <w:r>
            <w:rPr>
              <w:rFonts w:hint="eastAsia" w:ascii="宋体" w:hAnsi="宋体" w:eastAsia="宋体" w:cs="宋体"/>
            </w:rPr>
            <w:fldChar w:fldCharType="end"/>
          </w:r>
          <w:r>
            <w:rPr>
              <w:rFonts w:hint="eastAsia" w:ascii="宋体" w:hAnsi="宋体" w:eastAsia="宋体" w:cs="宋体"/>
              <w:szCs w:val="21"/>
            </w:rPr>
            <w:fldChar w:fldCharType="end"/>
          </w:r>
        </w:p>
        <w:p w14:paraId="79AAB7F2">
          <w:pPr>
            <w:pStyle w:val="16"/>
            <w:tabs>
              <w:tab w:val="right" w:leader="dot" w:pos="9746"/>
            </w:tabs>
            <w:spacing w:line="360" w:lineRule="auto"/>
            <w:rPr>
              <w:rFonts w:hint="eastAsia" w:ascii="宋体" w:hAnsi="宋体" w:eastAsia="宋体" w:cs="宋体"/>
            </w:rPr>
          </w:pPr>
          <w:r>
            <w:rPr>
              <w:rFonts w:hint="eastAsia" w:ascii="宋体" w:hAnsi="宋体" w:eastAsia="宋体" w:cs="宋体"/>
              <w:szCs w:val="21"/>
            </w:rPr>
            <w:fldChar w:fldCharType="begin"/>
          </w:r>
          <w:r>
            <w:rPr>
              <w:rFonts w:hint="eastAsia" w:ascii="宋体" w:hAnsi="宋体" w:eastAsia="宋体" w:cs="宋体"/>
              <w:szCs w:val="21"/>
            </w:rPr>
            <w:instrText xml:space="preserve"> HYPERLINK \l _Toc3778 </w:instrText>
          </w:r>
          <w:r>
            <w:rPr>
              <w:rFonts w:hint="eastAsia" w:ascii="宋体" w:hAnsi="宋体" w:eastAsia="宋体" w:cs="宋体"/>
              <w:szCs w:val="21"/>
            </w:rPr>
            <w:fldChar w:fldCharType="separate"/>
          </w:r>
          <w:r>
            <w:rPr>
              <w:rFonts w:hint="eastAsia" w:ascii="宋体" w:hAnsi="宋体" w:eastAsia="宋体" w:cs="宋体"/>
              <w:szCs w:val="21"/>
            </w:rPr>
            <w:t>2.1 初步评审标准</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_Toc3778 \h </w:instrText>
          </w:r>
          <w:r>
            <w:rPr>
              <w:rFonts w:hint="eastAsia" w:ascii="宋体" w:hAnsi="宋体" w:eastAsia="宋体" w:cs="宋体"/>
            </w:rPr>
            <w:fldChar w:fldCharType="separate"/>
          </w:r>
          <w:r>
            <w:rPr>
              <w:rFonts w:hint="eastAsia" w:ascii="宋体" w:hAnsi="宋体" w:eastAsia="宋体" w:cs="宋体"/>
            </w:rPr>
            <w:t>31</w:t>
          </w:r>
          <w:r>
            <w:rPr>
              <w:rFonts w:hint="eastAsia" w:ascii="宋体" w:hAnsi="宋体" w:eastAsia="宋体" w:cs="宋体"/>
            </w:rPr>
            <w:fldChar w:fldCharType="end"/>
          </w:r>
          <w:r>
            <w:rPr>
              <w:rFonts w:hint="eastAsia" w:ascii="宋体" w:hAnsi="宋体" w:eastAsia="宋体" w:cs="宋体"/>
              <w:szCs w:val="21"/>
            </w:rPr>
            <w:fldChar w:fldCharType="end"/>
          </w:r>
        </w:p>
        <w:p w14:paraId="2239FE62">
          <w:pPr>
            <w:pStyle w:val="16"/>
            <w:tabs>
              <w:tab w:val="right" w:leader="dot" w:pos="9746"/>
            </w:tabs>
            <w:spacing w:line="360" w:lineRule="auto"/>
            <w:rPr>
              <w:rFonts w:hint="eastAsia" w:ascii="宋体" w:hAnsi="宋体" w:eastAsia="宋体" w:cs="宋体"/>
            </w:rPr>
          </w:pPr>
          <w:r>
            <w:rPr>
              <w:rFonts w:hint="eastAsia" w:ascii="宋体" w:hAnsi="宋体" w:eastAsia="宋体" w:cs="宋体"/>
              <w:szCs w:val="21"/>
            </w:rPr>
            <w:fldChar w:fldCharType="begin"/>
          </w:r>
          <w:r>
            <w:rPr>
              <w:rFonts w:hint="eastAsia" w:ascii="宋体" w:hAnsi="宋体" w:eastAsia="宋体" w:cs="宋体"/>
              <w:szCs w:val="21"/>
            </w:rPr>
            <w:instrText xml:space="preserve"> HYPERLINK \l _Toc30117 </w:instrText>
          </w:r>
          <w:r>
            <w:rPr>
              <w:rFonts w:hint="eastAsia" w:ascii="宋体" w:hAnsi="宋体" w:eastAsia="宋体" w:cs="宋体"/>
              <w:szCs w:val="21"/>
            </w:rPr>
            <w:fldChar w:fldCharType="separate"/>
          </w:r>
          <w:r>
            <w:rPr>
              <w:rFonts w:hint="eastAsia" w:ascii="宋体" w:hAnsi="宋体" w:eastAsia="宋体" w:cs="宋体"/>
              <w:szCs w:val="21"/>
            </w:rPr>
            <w:t>2.2 分值构成与评分标准</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_Toc30117 \h </w:instrText>
          </w:r>
          <w:r>
            <w:rPr>
              <w:rFonts w:hint="eastAsia" w:ascii="宋体" w:hAnsi="宋体" w:eastAsia="宋体" w:cs="宋体"/>
            </w:rPr>
            <w:fldChar w:fldCharType="separate"/>
          </w:r>
          <w:r>
            <w:rPr>
              <w:rFonts w:hint="eastAsia" w:ascii="宋体" w:hAnsi="宋体" w:eastAsia="宋体" w:cs="宋体"/>
            </w:rPr>
            <w:t>31</w:t>
          </w:r>
          <w:r>
            <w:rPr>
              <w:rFonts w:hint="eastAsia" w:ascii="宋体" w:hAnsi="宋体" w:eastAsia="宋体" w:cs="宋体"/>
            </w:rPr>
            <w:fldChar w:fldCharType="end"/>
          </w:r>
          <w:r>
            <w:rPr>
              <w:rFonts w:hint="eastAsia" w:ascii="宋体" w:hAnsi="宋体" w:eastAsia="宋体" w:cs="宋体"/>
              <w:szCs w:val="21"/>
            </w:rPr>
            <w:fldChar w:fldCharType="end"/>
          </w:r>
        </w:p>
        <w:p w14:paraId="1E9282B3">
          <w:pPr>
            <w:pStyle w:val="16"/>
            <w:tabs>
              <w:tab w:val="right" w:leader="dot" w:pos="9746"/>
            </w:tabs>
            <w:spacing w:line="360" w:lineRule="auto"/>
            <w:rPr>
              <w:rFonts w:hint="eastAsia" w:ascii="宋体" w:hAnsi="宋体" w:eastAsia="宋体" w:cs="宋体"/>
            </w:rPr>
          </w:pPr>
          <w:r>
            <w:rPr>
              <w:rFonts w:hint="eastAsia" w:ascii="宋体" w:hAnsi="宋体" w:eastAsia="宋体" w:cs="宋体"/>
              <w:szCs w:val="21"/>
            </w:rPr>
            <w:fldChar w:fldCharType="begin"/>
          </w:r>
          <w:r>
            <w:rPr>
              <w:rFonts w:hint="eastAsia" w:ascii="宋体" w:hAnsi="宋体" w:eastAsia="宋体" w:cs="宋体"/>
              <w:szCs w:val="21"/>
            </w:rPr>
            <w:instrText xml:space="preserve"> HYPERLINK \l _Toc16030 </w:instrText>
          </w:r>
          <w:r>
            <w:rPr>
              <w:rFonts w:hint="eastAsia" w:ascii="宋体" w:hAnsi="宋体" w:eastAsia="宋体" w:cs="宋体"/>
              <w:szCs w:val="21"/>
            </w:rPr>
            <w:fldChar w:fldCharType="separate"/>
          </w:r>
          <w:r>
            <w:rPr>
              <w:rFonts w:hint="eastAsia" w:ascii="宋体" w:hAnsi="宋体" w:eastAsia="宋体" w:cs="宋体"/>
              <w:szCs w:val="21"/>
            </w:rPr>
            <w:t>3.1 初步评审</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_Toc16030 \h </w:instrText>
          </w:r>
          <w:r>
            <w:rPr>
              <w:rFonts w:hint="eastAsia" w:ascii="宋体" w:hAnsi="宋体" w:eastAsia="宋体" w:cs="宋体"/>
            </w:rPr>
            <w:fldChar w:fldCharType="separate"/>
          </w:r>
          <w:r>
            <w:rPr>
              <w:rFonts w:hint="eastAsia" w:ascii="宋体" w:hAnsi="宋体" w:eastAsia="宋体" w:cs="宋体"/>
            </w:rPr>
            <w:t>32</w:t>
          </w:r>
          <w:r>
            <w:rPr>
              <w:rFonts w:hint="eastAsia" w:ascii="宋体" w:hAnsi="宋体" w:eastAsia="宋体" w:cs="宋体"/>
            </w:rPr>
            <w:fldChar w:fldCharType="end"/>
          </w:r>
          <w:r>
            <w:rPr>
              <w:rFonts w:hint="eastAsia" w:ascii="宋体" w:hAnsi="宋体" w:eastAsia="宋体" w:cs="宋体"/>
              <w:szCs w:val="21"/>
            </w:rPr>
            <w:fldChar w:fldCharType="end"/>
          </w:r>
        </w:p>
        <w:p w14:paraId="6A61B8E8">
          <w:pPr>
            <w:pStyle w:val="16"/>
            <w:tabs>
              <w:tab w:val="right" w:leader="dot" w:pos="9746"/>
            </w:tabs>
            <w:spacing w:line="360" w:lineRule="auto"/>
            <w:rPr>
              <w:rFonts w:hint="eastAsia" w:ascii="宋体" w:hAnsi="宋体" w:eastAsia="宋体" w:cs="宋体"/>
            </w:rPr>
          </w:pPr>
          <w:r>
            <w:rPr>
              <w:rFonts w:hint="eastAsia" w:ascii="宋体" w:hAnsi="宋体" w:eastAsia="宋体" w:cs="宋体"/>
              <w:szCs w:val="21"/>
            </w:rPr>
            <w:fldChar w:fldCharType="begin"/>
          </w:r>
          <w:r>
            <w:rPr>
              <w:rFonts w:hint="eastAsia" w:ascii="宋体" w:hAnsi="宋体" w:eastAsia="宋体" w:cs="宋体"/>
              <w:szCs w:val="21"/>
            </w:rPr>
            <w:instrText xml:space="preserve"> HYPERLINK \l _Toc15354 </w:instrText>
          </w:r>
          <w:r>
            <w:rPr>
              <w:rFonts w:hint="eastAsia" w:ascii="宋体" w:hAnsi="宋体" w:eastAsia="宋体" w:cs="宋体"/>
              <w:szCs w:val="21"/>
            </w:rPr>
            <w:fldChar w:fldCharType="separate"/>
          </w:r>
          <w:r>
            <w:rPr>
              <w:rFonts w:hint="eastAsia" w:ascii="宋体" w:hAnsi="宋体" w:eastAsia="宋体" w:cs="宋体"/>
              <w:szCs w:val="21"/>
            </w:rPr>
            <w:t>3.2 详细评审</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_Toc15354 \h </w:instrText>
          </w:r>
          <w:r>
            <w:rPr>
              <w:rFonts w:hint="eastAsia" w:ascii="宋体" w:hAnsi="宋体" w:eastAsia="宋体" w:cs="宋体"/>
            </w:rPr>
            <w:fldChar w:fldCharType="separate"/>
          </w:r>
          <w:r>
            <w:rPr>
              <w:rFonts w:hint="eastAsia" w:ascii="宋体" w:hAnsi="宋体" w:eastAsia="宋体" w:cs="宋体"/>
            </w:rPr>
            <w:t>32</w:t>
          </w:r>
          <w:r>
            <w:rPr>
              <w:rFonts w:hint="eastAsia" w:ascii="宋体" w:hAnsi="宋体" w:eastAsia="宋体" w:cs="宋体"/>
            </w:rPr>
            <w:fldChar w:fldCharType="end"/>
          </w:r>
          <w:r>
            <w:rPr>
              <w:rFonts w:hint="eastAsia" w:ascii="宋体" w:hAnsi="宋体" w:eastAsia="宋体" w:cs="宋体"/>
              <w:szCs w:val="21"/>
            </w:rPr>
            <w:fldChar w:fldCharType="end"/>
          </w:r>
        </w:p>
        <w:p w14:paraId="70026D60">
          <w:pPr>
            <w:pStyle w:val="16"/>
            <w:tabs>
              <w:tab w:val="right" w:leader="dot" w:pos="9746"/>
            </w:tabs>
            <w:spacing w:line="360" w:lineRule="auto"/>
            <w:rPr>
              <w:rFonts w:hint="eastAsia" w:ascii="宋体" w:hAnsi="宋体" w:eastAsia="宋体" w:cs="宋体"/>
            </w:rPr>
          </w:pPr>
          <w:r>
            <w:rPr>
              <w:rFonts w:hint="eastAsia" w:ascii="宋体" w:hAnsi="宋体" w:eastAsia="宋体" w:cs="宋体"/>
              <w:szCs w:val="21"/>
            </w:rPr>
            <w:fldChar w:fldCharType="begin"/>
          </w:r>
          <w:r>
            <w:rPr>
              <w:rFonts w:hint="eastAsia" w:ascii="宋体" w:hAnsi="宋体" w:eastAsia="宋体" w:cs="宋体"/>
              <w:szCs w:val="21"/>
            </w:rPr>
            <w:instrText xml:space="preserve"> HYPERLINK \l _Toc1916 </w:instrText>
          </w:r>
          <w:r>
            <w:rPr>
              <w:rFonts w:hint="eastAsia" w:ascii="宋体" w:hAnsi="宋体" w:eastAsia="宋体" w:cs="宋体"/>
              <w:szCs w:val="21"/>
            </w:rPr>
            <w:fldChar w:fldCharType="separate"/>
          </w:r>
          <w:r>
            <w:rPr>
              <w:rFonts w:hint="eastAsia" w:ascii="宋体" w:hAnsi="宋体" w:eastAsia="宋体" w:cs="宋体"/>
              <w:szCs w:val="21"/>
            </w:rPr>
            <w:t>3.3 响应文件的澄清和补正</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_Toc1916 \h </w:instrText>
          </w:r>
          <w:r>
            <w:rPr>
              <w:rFonts w:hint="eastAsia" w:ascii="宋体" w:hAnsi="宋体" w:eastAsia="宋体" w:cs="宋体"/>
            </w:rPr>
            <w:fldChar w:fldCharType="separate"/>
          </w:r>
          <w:r>
            <w:rPr>
              <w:rFonts w:hint="eastAsia" w:ascii="宋体" w:hAnsi="宋体" w:eastAsia="宋体" w:cs="宋体"/>
            </w:rPr>
            <w:t>33</w:t>
          </w:r>
          <w:r>
            <w:rPr>
              <w:rFonts w:hint="eastAsia" w:ascii="宋体" w:hAnsi="宋体" w:eastAsia="宋体" w:cs="宋体"/>
            </w:rPr>
            <w:fldChar w:fldCharType="end"/>
          </w:r>
          <w:r>
            <w:rPr>
              <w:rFonts w:hint="eastAsia" w:ascii="宋体" w:hAnsi="宋体" w:eastAsia="宋体" w:cs="宋体"/>
              <w:szCs w:val="21"/>
            </w:rPr>
            <w:fldChar w:fldCharType="end"/>
          </w:r>
        </w:p>
        <w:p w14:paraId="0825448B">
          <w:pPr>
            <w:pStyle w:val="16"/>
            <w:tabs>
              <w:tab w:val="right" w:leader="dot" w:pos="9746"/>
            </w:tabs>
            <w:spacing w:line="360" w:lineRule="auto"/>
            <w:rPr>
              <w:rFonts w:hint="eastAsia" w:ascii="宋体" w:hAnsi="宋体" w:eastAsia="宋体" w:cs="宋体"/>
            </w:rPr>
          </w:pPr>
          <w:r>
            <w:rPr>
              <w:rFonts w:hint="eastAsia" w:ascii="宋体" w:hAnsi="宋体" w:eastAsia="宋体" w:cs="宋体"/>
              <w:szCs w:val="21"/>
            </w:rPr>
            <w:fldChar w:fldCharType="begin"/>
          </w:r>
          <w:r>
            <w:rPr>
              <w:rFonts w:hint="eastAsia" w:ascii="宋体" w:hAnsi="宋体" w:eastAsia="宋体" w:cs="宋体"/>
              <w:szCs w:val="21"/>
            </w:rPr>
            <w:instrText xml:space="preserve"> HYPERLINK \l _Toc13537 </w:instrText>
          </w:r>
          <w:r>
            <w:rPr>
              <w:rFonts w:hint="eastAsia" w:ascii="宋体" w:hAnsi="宋体" w:eastAsia="宋体" w:cs="宋体"/>
              <w:szCs w:val="21"/>
            </w:rPr>
            <w:fldChar w:fldCharType="separate"/>
          </w:r>
          <w:r>
            <w:rPr>
              <w:rFonts w:hint="eastAsia" w:ascii="宋体" w:hAnsi="宋体" w:eastAsia="宋体" w:cs="宋体"/>
              <w:szCs w:val="21"/>
            </w:rPr>
            <w:t>3.4 评标结果</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_Toc13537 \h </w:instrText>
          </w:r>
          <w:r>
            <w:rPr>
              <w:rFonts w:hint="eastAsia" w:ascii="宋体" w:hAnsi="宋体" w:eastAsia="宋体" w:cs="宋体"/>
            </w:rPr>
            <w:fldChar w:fldCharType="separate"/>
          </w:r>
          <w:r>
            <w:rPr>
              <w:rFonts w:hint="eastAsia" w:ascii="宋体" w:hAnsi="宋体" w:eastAsia="宋体" w:cs="宋体"/>
            </w:rPr>
            <w:t>33</w:t>
          </w:r>
          <w:r>
            <w:rPr>
              <w:rFonts w:hint="eastAsia" w:ascii="宋体" w:hAnsi="宋体" w:eastAsia="宋体" w:cs="宋体"/>
            </w:rPr>
            <w:fldChar w:fldCharType="end"/>
          </w:r>
          <w:r>
            <w:rPr>
              <w:rFonts w:hint="eastAsia" w:ascii="宋体" w:hAnsi="宋体" w:eastAsia="宋体" w:cs="宋体"/>
              <w:szCs w:val="21"/>
            </w:rPr>
            <w:fldChar w:fldCharType="end"/>
          </w:r>
        </w:p>
        <w:p w14:paraId="1DD78AC6">
          <w:pPr>
            <w:pStyle w:val="26"/>
            <w:tabs>
              <w:tab w:val="right" w:leader="dot" w:pos="9746"/>
            </w:tabs>
            <w:spacing w:line="360" w:lineRule="auto"/>
            <w:rPr>
              <w:rFonts w:hint="eastAsia" w:ascii="宋体" w:hAnsi="宋体" w:eastAsia="宋体" w:cs="宋体"/>
            </w:rPr>
          </w:pPr>
          <w:r>
            <w:rPr>
              <w:rFonts w:hint="eastAsia" w:ascii="宋体" w:hAnsi="宋体" w:eastAsia="宋体" w:cs="宋体"/>
              <w:szCs w:val="21"/>
            </w:rPr>
            <w:fldChar w:fldCharType="begin"/>
          </w:r>
          <w:r>
            <w:rPr>
              <w:rFonts w:hint="eastAsia" w:ascii="宋体" w:hAnsi="宋体" w:eastAsia="宋体" w:cs="宋体"/>
              <w:szCs w:val="21"/>
            </w:rPr>
            <w:instrText xml:space="preserve"> HYPERLINK \l _Toc11489 </w:instrText>
          </w:r>
          <w:r>
            <w:rPr>
              <w:rFonts w:hint="eastAsia" w:ascii="宋体" w:hAnsi="宋体" w:eastAsia="宋体" w:cs="宋体"/>
              <w:szCs w:val="21"/>
            </w:rPr>
            <w:fldChar w:fldCharType="separate"/>
          </w:r>
          <w:r>
            <w:rPr>
              <w:rFonts w:hint="eastAsia" w:ascii="宋体" w:hAnsi="宋体" w:eastAsia="宋体" w:cs="宋体"/>
              <w:szCs w:val="21"/>
            </w:rPr>
            <w:t>4. 无效标条件</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_Toc11489 \h </w:instrText>
          </w:r>
          <w:r>
            <w:rPr>
              <w:rFonts w:hint="eastAsia" w:ascii="宋体" w:hAnsi="宋体" w:eastAsia="宋体" w:cs="宋体"/>
            </w:rPr>
            <w:fldChar w:fldCharType="separate"/>
          </w:r>
          <w:r>
            <w:rPr>
              <w:rFonts w:hint="eastAsia" w:ascii="宋体" w:hAnsi="宋体" w:eastAsia="宋体" w:cs="宋体"/>
            </w:rPr>
            <w:t>33</w:t>
          </w:r>
          <w:r>
            <w:rPr>
              <w:rFonts w:hint="eastAsia" w:ascii="宋体" w:hAnsi="宋体" w:eastAsia="宋体" w:cs="宋体"/>
            </w:rPr>
            <w:fldChar w:fldCharType="end"/>
          </w:r>
          <w:r>
            <w:rPr>
              <w:rFonts w:hint="eastAsia" w:ascii="宋体" w:hAnsi="宋体" w:eastAsia="宋体" w:cs="宋体"/>
              <w:szCs w:val="21"/>
            </w:rPr>
            <w:fldChar w:fldCharType="end"/>
          </w:r>
        </w:p>
        <w:p w14:paraId="66AA63AE">
          <w:pPr>
            <w:pStyle w:val="23"/>
            <w:tabs>
              <w:tab w:val="right" w:leader="dot" w:pos="9746"/>
            </w:tabs>
            <w:spacing w:line="360" w:lineRule="auto"/>
            <w:rPr>
              <w:rFonts w:hint="eastAsia" w:ascii="宋体" w:hAnsi="宋体" w:eastAsia="宋体" w:cs="宋体"/>
            </w:rPr>
          </w:pPr>
          <w:r>
            <w:rPr>
              <w:rFonts w:hint="eastAsia" w:ascii="宋体" w:hAnsi="宋体" w:eastAsia="宋体" w:cs="宋体"/>
              <w:szCs w:val="21"/>
            </w:rPr>
            <w:fldChar w:fldCharType="begin"/>
          </w:r>
          <w:r>
            <w:rPr>
              <w:rFonts w:hint="eastAsia" w:ascii="宋体" w:hAnsi="宋体" w:eastAsia="宋体" w:cs="宋体"/>
              <w:szCs w:val="21"/>
            </w:rPr>
            <w:instrText xml:space="preserve"> HYPERLINK \l _Toc29830 </w:instrText>
          </w:r>
          <w:r>
            <w:rPr>
              <w:rFonts w:hint="eastAsia" w:ascii="宋体" w:hAnsi="宋体" w:eastAsia="宋体" w:cs="宋体"/>
              <w:szCs w:val="21"/>
            </w:rPr>
            <w:fldChar w:fldCharType="separate"/>
          </w:r>
          <w:r>
            <w:rPr>
              <w:rFonts w:hint="eastAsia" w:ascii="宋体" w:hAnsi="宋体" w:eastAsia="宋体" w:cs="宋体"/>
            </w:rPr>
            <w:t>第四章  合同条款及格式</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_Toc29830 \h </w:instrText>
          </w:r>
          <w:r>
            <w:rPr>
              <w:rFonts w:hint="eastAsia" w:ascii="宋体" w:hAnsi="宋体" w:eastAsia="宋体" w:cs="宋体"/>
            </w:rPr>
            <w:fldChar w:fldCharType="separate"/>
          </w:r>
          <w:r>
            <w:rPr>
              <w:rFonts w:hint="eastAsia" w:ascii="宋体" w:hAnsi="宋体" w:eastAsia="宋体" w:cs="宋体"/>
            </w:rPr>
            <w:t>34</w:t>
          </w:r>
          <w:r>
            <w:rPr>
              <w:rFonts w:hint="eastAsia" w:ascii="宋体" w:hAnsi="宋体" w:eastAsia="宋体" w:cs="宋体"/>
            </w:rPr>
            <w:fldChar w:fldCharType="end"/>
          </w:r>
          <w:r>
            <w:rPr>
              <w:rFonts w:hint="eastAsia" w:ascii="宋体" w:hAnsi="宋体" w:eastAsia="宋体" w:cs="宋体"/>
              <w:szCs w:val="21"/>
            </w:rPr>
            <w:fldChar w:fldCharType="end"/>
          </w:r>
        </w:p>
        <w:p w14:paraId="5B2EA066">
          <w:pPr>
            <w:pStyle w:val="23"/>
            <w:tabs>
              <w:tab w:val="right" w:leader="dot" w:pos="9746"/>
            </w:tabs>
            <w:spacing w:line="360" w:lineRule="auto"/>
            <w:rPr>
              <w:rFonts w:hint="eastAsia" w:ascii="宋体" w:hAnsi="宋体" w:eastAsia="宋体" w:cs="宋体"/>
            </w:rPr>
          </w:pPr>
          <w:r>
            <w:rPr>
              <w:rFonts w:hint="eastAsia" w:ascii="宋体" w:hAnsi="宋体" w:eastAsia="宋体" w:cs="宋体"/>
              <w:szCs w:val="21"/>
            </w:rPr>
            <w:fldChar w:fldCharType="begin"/>
          </w:r>
          <w:r>
            <w:rPr>
              <w:rFonts w:hint="eastAsia" w:ascii="宋体" w:hAnsi="宋体" w:eastAsia="宋体" w:cs="宋体"/>
              <w:szCs w:val="21"/>
            </w:rPr>
            <w:instrText xml:space="preserve"> HYPERLINK \l _Toc15896 </w:instrText>
          </w:r>
          <w:r>
            <w:rPr>
              <w:rFonts w:hint="eastAsia" w:ascii="宋体" w:hAnsi="宋体" w:eastAsia="宋体" w:cs="宋体"/>
              <w:szCs w:val="21"/>
            </w:rPr>
            <w:fldChar w:fldCharType="separate"/>
          </w:r>
          <w:r>
            <w:rPr>
              <w:rFonts w:hint="eastAsia" w:ascii="宋体" w:hAnsi="宋体" w:eastAsia="宋体" w:cs="宋体"/>
            </w:rPr>
            <w:t>第五章  采购需求</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_Toc15896 \h </w:instrText>
          </w:r>
          <w:r>
            <w:rPr>
              <w:rFonts w:hint="eastAsia" w:ascii="宋体" w:hAnsi="宋体" w:eastAsia="宋体" w:cs="宋体"/>
            </w:rPr>
            <w:fldChar w:fldCharType="separate"/>
          </w:r>
          <w:r>
            <w:rPr>
              <w:rFonts w:hint="eastAsia" w:ascii="宋体" w:hAnsi="宋体" w:eastAsia="宋体" w:cs="宋体"/>
            </w:rPr>
            <w:t>36</w:t>
          </w:r>
          <w:r>
            <w:rPr>
              <w:rFonts w:hint="eastAsia" w:ascii="宋体" w:hAnsi="宋体" w:eastAsia="宋体" w:cs="宋体"/>
            </w:rPr>
            <w:fldChar w:fldCharType="end"/>
          </w:r>
          <w:r>
            <w:rPr>
              <w:rFonts w:hint="eastAsia" w:ascii="宋体" w:hAnsi="宋体" w:eastAsia="宋体" w:cs="宋体"/>
              <w:szCs w:val="21"/>
            </w:rPr>
            <w:fldChar w:fldCharType="end"/>
          </w:r>
        </w:p>
        <w:p w14:paraId="6560AA21">
          <w:pPr>
            <w:pStyle w:val="23"/>
            <w:tabs>
              <w:tab w:val="right" w:leader="dot" w:pos="9746"/>
            </w:tabs>
            <w:spacing w:line="360" w:lineRule="auto"/>
            <w:rPr>
              <w:rFonts w:hint="eastAsia" w:ascii="宋体" w:hAnsi="宋体" w:eastAsia="宋体" w:cs="宋体"/>
            </w:rPr>
          </w:pPr>
          <w:r>
            <w:rPr>
              <w:rFonts w:hint="eastAsia" w:ascii="宋体" w:hAnsi="宋体" w:eastAsia="宋体" w:cs="宋体"/>
              <w:szCs w:val="21"/>
            </w:rPr>
            <w:fldChar w:fldCharType="begin"/>
          </w:r>
          <w:r>
            <w:rPr>
              <w:rFonts w:hint="eastAsia" w:ascii="宋体" w:hAnsi="宋体" w:eastAsia="宋体" w:cs="宋体"/>
              <w:szCs w:val="21"/>
            </w:rPr>
            <w:instrText xml:space="preserve"> HYPERLINK \l _Toc12688 </w:instrText>
          </w:r>
          <w:r>
            <w:rPr>
              <w:rFonts w:hint="eastAsia" w:ascii="宋体" w:hAnsi="宋体" w:eastAsia="宋体" w:cs="宋体"/>
              <w:szCs w:val="21"/>
            </w:rPr>
            <w:fldChar w:fldCharType="separate"/>
          </w:r>
          <w:r>
            <w:rPr>
              <w:rFonts w:hint="eastAsia" w:ascii="宋体" w:hAnsi="宋体" w:eastAsia="宋体" w:cs="宋体"/>
            </w:rPr>
            <w:t>第六章  响应文件格式</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_Toc12688 \h </w:instrText>
          </w:r>
          <w:r>
            <w:rPr>
              <w:rFonts w:hint="eastAsia" w:ascii="宋体" w:hAnsi="宋体" w:eastAsia="宋体" w:cs="宋体"/>
            </w:rPr>
            <w:fldChar w:fldCharType="separate"/>
          </w:r>
          <w:r>
            <w:rPr>
              <w:rFonts w:hint="eastAsia" w:ascii="宋体" w:hAnsi="宋体" w:eastAsia="宋体" w:cs="宋体"/>
            </w:rPr>
            <w:t>46</w:t>
          </w:r>
          <w:r>
            <w:rPr>
              <w:rFonts w:hint="eastAsia" w:ascii="宋体" w:hAnsi="宋体" w:eastAsia="宋体" w:cs="宋体"/>
            </w:rPr>
            <w:fldChar w:fldCharType="end"/>
          </w:r>
          <w:r>
            <w:rPr>
              <w:rFonts w:hint="eastAsia" w:ascii="宋体" w:hAnsi="宋体" w:eastAsia="宋体" w:cs="宋体"/>
              <w:szCs w:val="21"/>
            </w:rPr>
            <w:fldChar w:fldCharType="end"/>
          </w:r>
        </w:p>
        <w:p w14:paraId="059B6FF6">
          <w:pPr>
            <w:pStyle w:val="26"/>
            <w:tabs>
              <w:tab w:val="right" w:leader="dot" w:pos="9746"/>
            </w:tabs>
            <w:spacing w:line="360" w:lineRule="auto"/>
            <w:rPr>
              <w:rFonts w:hint="eastAsia" w:ascii="宋体" w:hAnsi="宋体" w:eastAsia="宋体" w:cs="宋体"/>
            </w:rPr>
          </w:pPr>
          <w:r>
            <w:rPr>
              <w:rFonts w:hint="eastAsia" w:ascii="宋体" w:hAnsi="宋体" w:eastAsia="宋体" w:cs="宋体"/>
              <w:szCs w:val="21"/>
            </w:rPr>
            <w:fldChar w:fldCharType="begin"/>
          </w:r>
          <w:r>
            <w:rPr>
              <w:rFonts w:hint="eastAsia" w:ascii="宋体" w:hAnsi="宋体" w:eastAsia="宋体" w:cs="宋体"/>
              <w:szCs w:val="21"/>
            </w:rPr>
            <w:instrText xml:space="preserve"> HYPERLINK \l _Toc4493 </w:instrText>
          </w:r>
          <w:r>
            <w:rPr>
              <w:rFonts w:hint="eastAsia" w:ascii="宋体" w:hAnsi="宋体" w:eastAsia="宋体" w:cs="宋体"/>
              <w:szCs w:val="21"/>
            </w:rPr>
            <w:fldChar w:fldCharType="separate"/>
          </w:r>
          <w:r>
            <w:rPr>
              <w:rFonts w:hint="eastAsia" w:ascii="宋体" w:hAnsi="宋体" w:eastAsia="宋体" w:cs="宋体"/>
              <w:szCs w:val="28"/>
            </w:rPr>
            <w:t>一、</w:t>
          </w:r>
          <w:r>
            <w:rPr>
              <w:rFonts w:hint="eastAsia" w:ascii="宋体" w:hAnsi="宋体" w:eastAsia="宋体" w:cs="宋体"/>
            </w:rPr>
            <w:t>磋商承诺书</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_Toc4493 \h </w:instrText>
          </w:r>
          <w:r>
            <w:rPr>
              <w:rFonts w:hint="eastAsia" w:ascii="宋体" w:hAnsi="宋体" w:eastAsia="宋体" w:cs="宋体"/>
            </w:rPr>
            <w:fldChar w:fldCharType="separate"/>
          </w:r>
          <w:r>
            <w:rPr>
              <w:rFonts w:hint="eastAsia" w:ascii="宋体" w:hAnsi="宋体" w:eastAsia="宋体" w:cs="宋体"/>
            </w:rPr>
            <w:t>48</w:t>
          </w:r>
          <w:r>
            <w:rPr>
              <w:rFonts w:hint="eastAsia" w:ascii="宋体" w:hAnsi="宋体" w:eastAsia="宋体" w:cs="宋体"/>
            </w:rPr>
            <w:fldChar w:fldCharType="end"/>
          </w:r>
          <w:r>
            <w:rPr>
              <w:rFonts w:hint="eastAsia" w:ascii="宋体" w:hAnsi="宋体" w:eastAsia="宋体" w:cs="宋体"/>
              <w:szCs w:val="21"/>
            </w:rPr>
            <w:fldChar w:fldCharType="end"/>
          </w:r>
        </w:p>
        <w:p w14:paraId="48F209C6">
          <w:pPr>
            <w:pStyle w:val="26"/>
            <w:tabs>
              <w:tab w:val="right" w:leader="dot" w:pos="9746"/>
            </w:tabs>
            <w:spacing w:line="360" w:lineRule="auto"/>
            <w:rPr>
              <w:rFonts w:hint="eastAsia" w:ascii="宋体" w:hAnsi="宋体" w:eastAsia="宋体" w:cs="宋体"/>
            </w:rPr>
          </w:pPr>
          <w:r>
            <w:rPr>
              <w:rFonts w:hint="eastAsia" w:ascii="宋体" w:hAnsi="宋体" w:eastAsia="宋体" w:cs="宋体"/>
              <w:szCs w:val="21"/>
            </w:rPr>
            <w:fldChar w:fldCharType="begin"/>
          </w:r>
          <w:r>
            <w:rPr>
              <w:rFonts w:hint="eastAsia" w:ascii="宋体" w:hAnsi="宋体" w:eastAsia="宋体" w:cs="宋体"/>
              <w:szCs w:val="21"/>
            </w:rPr>
            <w:instrText xml:space="preserve"> HYPERLINK \l _Toc405 </w:instrText>
          </w:r>
          <w:r>
            <w:rPr>
              <w:rFonts w:hint="eastAsia" w:ascii="宋体" w:hAnsi="宋体" w:eastAsia="宋体" w:cs="宋体"/>
              <w:szCs w:val="21"/>
            </w:rPr>
            <w:fldChar w:fldCharType="separate"/>
          </w:r>
          <w:r>
            <w:rPr>
              <w:rFonts w:hint="eastAsia" w:ascii="宋体" w:hAnsi="宋体" w:eastAsia="宋体" w:cs="宋体"/>
              <w:szCs w:val="28"/>
            </w:rPr>
            <w:t>二、报价表</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_Toc405 \h </w:instrText>
          </w:r>
          <w:r>
            <w:rPr>
              <w:rFonts w:hint="eastAsia" w:ascii="宋体" w:hAnsi="宋体" w:eastAsia="宋体" w:cs="宋体"/>
            </w:rPr>
            <w:fldChar w:fldCharType="separate"/>
          </w:r>
          <w:r>
            <w:rPr>
              <w:rFonts w:hint="eastAsia" w:ascii="宋体" w:hAnsi="宋体" w:eastAsia="宋体" w:cs="宋体"/>
            </w:rPr>
            <w:t>49</w:t>
          </w:r>
          <w:r>
            <w:rPr>
              <w:rFonts w:hint="eastAsia" w:ascii="宋体" w:hAnsi="宋体" w:eastAsia="宋体" w:cs="宋体"/>
            </w:rPr>
            <w:fldChar w:fldCharType="end"/>
          </w:r>
          <w:r>
            <w:rPr>
              <w:rFonts w:hint="eastAsia" w:ascii="宋体" w:hAnsi="宋体" w:eastAsia="宋体" w:cs="宋体"/>
              <w:szCs w:val="21"/>
            </w:rPr>
            <w:fldChar w:fldCharType="end"/>
          </w:r>
        </w:p>
        <w:p w14:paraId="675B89CB">
          <w:pPr>
            <w:pStyle w:val="26"/>
            <w:tabs>
              <w:tab w:val="right" w:leader="dot" w:pos="9746"/>
            </w:tabs>
            <w:spacing w:line="360" w:lineRule="auto"/>
            <w:rPr>
              <w:rFonts w:hint="eastAsia" w:ascii="宋体" w:hAnsi="宋体" w:eastAsia="宋体" w:cs="宋体"/>
            </w:rPr>
          </w:pPr>
          <w:r>
            <w:rPr>
              <w:rFonts w:hint="eastAsia" w:ascii="宋体" w:hAnsi="宋体" w:eastAsia="宋体" w:cs="宋体"/>
              <w:szCs w:val="21"/>
            </w:rPr>
            <w:fldChar w:fldCharType="begin"/>
          </w:r>
          <w:r>
            <w:rPr>
              <w:rFonts w:hint="eastAsia" w:ascii="宋体" w:hAnsi="宋体" w:eastAsia="宋体" w:cs="宋体"/>
              <w:szCs w:val="21"/>
            </w:rPr>
            <w:instrText xml:space="preserve"> HYPERLINK \l _Toc1013 </w:instrText>
          </w:r>
          <w:r>
            <w:rPr>
              <w:rFonts w:hint="eastAsia" w:ascii="宋体" w:hAnsi="宋体" w:eastAsia="宋体" w:cs="宋体"/>
              <w:szCs w:val="21"/>
            </w:rPr>
            <w:fldChar w:fldCharType="separate"/>
          </w:r>
          <w:r>
            <w:rPr>
              <w:rFonts w:hint="eastAsia" w:ascii="宋体" w:hAnsi="宋体" w:eastAsia="宋体" w:cs="宋体"/>
              <w:szCs w:val="28"/>
            </w:rPr>
            <w:t>三、法定代表人</w:t>
          </w:r>
          <w:r>
            <w:rPr>
              <w:rFonts w:hint="eastAsia" w:ascii="宋体" w:hAnsi="宋体" w:eastAsia="宋体" w:cs="宋体"/>
              <w:szCs w:val="28"/>
              <w:lang w:eastAsia="zh-CN"/>
            </w:rPr>
            <w:t>（</w:t>
          </w:r>
          <w:r>
            <w:rPr>
              <w:rFonts w:hint="eastAsia" w:ascii="宋体" w:hAnsi="宋体" w:eastAsia="宋体" w:cs="宋体"/>
              <w:szCs w:val="28"/>
              <w:lang w:val="en-US" w:eastAsia="zh-CN"/>
            </w:rPr>
            <w:t>负责人</w:t>
          </w:r>
          <w:r>
            <w:rPr>
              <w:rFonts w:hint="eastAsia" w:ascii="宋体" w:hAnsi="宋体" w:eastAsia="宋体" w:cs="宋体"/>
              <w:szCs w:val="28"/>
              <w:lang w:eastAsia="zh-CN"/>
            </w:rPr>
            <w:t>）</w:t>
          </w:r>
          <w:r>
            <w:rPr>
              <w:rFonts w:hint="eastAsia" w:ascii="宋体" w:hAnsi="宋体" w:eastAsia="宋体" w:cs="宋体"/>
              <w:szCs w:val="28"/>
            </w:rPr>
            <w:t>身份证明</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_Toc1013 \h </w:instrText>
          </w:r>
          <w:r>
            <w:rPr>
              <w:rFonts w:hint="eastAsia" w:ascii="宋体" w:hAnsi="宋体" w:eastAsia="宋体" w:cs="宋体"/>
            </w:rPr>
            <w:fldChar w:fldCharType="separate"/>
          </w:r>
          <w:r>
            <w:rPr>
              <w:rFonts w:hint="eastAsia" w:ascii="宋体" w:hAnsi="宋体" w:eastAsia="宋体" w:cs="宋体"/>
            </w:rPr>
            <w:t>51</w:t>
          </w:r>
          <w:r>
            <w:rPr>
              <w:rFonts w:hint="eastAsia" w:ascii="宋体" w:hAnsi="宋体" w:eastAsia="宋体" w:cs="宋体"/>
            </w:rPr>
            <w:fldChar w:fldCharType="end"/>
          </w:r>
          <w:r>
            <w:rPr>
              <w:rFonts w:hint="eastAsia" w:ascii="宋体" w:hAnsi="宋体" w:eastAsia="宋体" w:cs="宋体"/>
              <w:szCs w:val="21"/>
            </w:rPr>
            <w:fldChar w:fldCharType="end"/>
          </w:r>
        </w:p>
        <w:p w14:paraId="707313E3">
          <w:pPr>
            <w:pStyle w:val="26"/>
            <w:tabs>
              <w:tab w:val="right" w:leader="dot" w:pos="9746"/>
            </w:tabs>
            <w:spacing w:line="360" w:lineRule="auto"/>
            <w:rPr>
              <w:rFonts w:hint="eastAsia" w:ascii="宋体" w:hAnsi="宋体" w:eastAsia="宋体" w:cs="宋体"/>
            </w:rPr>
          </w:pPr>
          <w:r>
            <w:rPr>
              <w:rFonts w:hint="eastAsia" w:ascii="宋体" w:hAnsi="宋体" w:eastAsia="宋体" w:cs="宋体"/>
              <w:szCs w:val="21"/>
            </w:rPr>
            <w:fldChar w:fldCharType="begin"/>
          </w:r>
          <w:r>
            <w:rPr>
              <w:rFonts w:hint="eastAsia" w:ascii="宋体" w:hAnsi="宋体" w:eastAsia="宋体" w:cs="宋体"/>
              <w:szCs w:val="21"/>
            </w:rPr>
            <w:instrText xml:space="preserve"> HYPERLINK \l _Toc15905 </w:instrText>
          </w:r>
          <w:r>
            <w:rPr>
              <w:rFonts w:hint="eastAsia" w:ascii="宋体" w:hAnsi="宋体" w:eastAsia="宋体" w:cs="宋体"/>
              <w:szCs w:val="21"/>
            </w:rPr>
            <w:fldChar w:fldCharType="separate"/>
          </w:r>
          <w:r>
            <w:rPr>
              <w:rFonts w:hint="eastAsia" w:ascii="宋体" w:hAnsi="宋体" w:eastAsia="宋体" w:cs="宋体"/>
              <w:szCs w:val="28"/>
            </w:rPr>
            <w:t>四、法定代表人</w:t>
          </w:r>
          <w:r>
            <w:rPr>
              <w:rFonts w:hint="eastAsia" w:ascii="宋体" w:hAnsi="宋体" w:eastAsia="宋体" w:cs="宋体"/>
              <w:szCs w:val="28"/>
              <w:lang w:eastAsia="zh-CN"/>
            </w:rPr>
            <w:t>（</w:t>
          </w:r>
          <w:r>
            <w:rPr>
              <w:rFonts w:hint="eastAsia" w:ascii="宋体" w:hAnsi="宋体" w:eastAsia="宋体" w:cs="宋体"/>
              <w:szCs w:val="28"/>
              <w:lang w:val="en-US" w:eastAsia="zh-CN"/>
            </w:rPr>
            <w:t>负责人</w:t>
          </w:r>
          <w:r>
            <w:rPr>
              <w:rFonts w:hint="eastAsia" w:ascii="宋体" w:hAnsi="宋体" w:eastAsia="宋体" w:cs="宋体"/>
              <w:szCs w:val="28"/>
              <w:lang w:eastAsia="zh-CN"/>
            </w:rPr>
            <w:t>）</w:t>
          </w:r>
          <w:r>
            <w:rPr>
              <w:rFonts w:hint="eastAsia" w:ascii="宋体" w:hAnsi="宋体" w:eastAsia="宋体" w:cs="宋体"/>
              <w:szCs w:val="28"/>
            </w:rPr>
            <w:t>授权委托书</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_Toc15905 \h </w:instrText>
          </w:r>
          <w:r>
            <w:rPr>
              <w:rFonts w:hint="eastAsia" w:ascii="宋体" w:hAnsi="宋体" w:eastAsia="宋体" w:cs="宋体"/>
            </w:rPr>
            <w:fldChar w:fldCharType="separate"/>
          </w:r>
          <w:r>
            <w:rPr>
              <w:rFonts w:hint="eastAsia" w:ascii="宋体" w:hAnsi="宋体" w:eastAsia="宋体" w:cs="宋体"/>
            </w:rPr>
            <w:t>52</w:t>
          </w:r>
          <w:r>
            <w:rPr>
              <w:rFonts w:hint="eastAsia" w:ascii="宋体" w:hAnsi="宋体" w:eastAsia="宋体" w:cs="宋体"/>
            </w:rPr>
            <w:fldChar w:fldCharType="end"/>
          </w:r>
          <w:r>
            <w:rPr>
              <w:rFonts w:hint="eastAsia" w:ascii="宋体" w:hAnsi="宋体" w:eastAsia="宋体" w:cs="宋体"/>
              <w:szCs w:val="21"/>
            </w:rPr>
            <w:fldChar w:fldCharType="end"/>
          </w:r>
        </w:p>
        <w:p w14:paraId="3AD46D4D">
          <w:pPr>
            <w:pStyle w:val="26"/>
            <w:tabs>
              <w:tab w:val="right" w:leader="dot" w:pos="9746"/>
            </w:tabs>
            <w:spacing w:line="360" w:lineRule="auto"/>
            <w:rPr>
              <w:rFonts w:hint="eastAsia" w:ascii="宋体" w:hAnsi="宋体" w:eastAsia="宋体" w:cs="宋体"/>
            </w:rPr>
          </w:pPr>
          <w:r>
            <w:rPr>
              <w:rFonts w:hint="eastAsia" w:ascii="宋体" w:hAnsi="宋体" w:eastAsia="宋体" w:cs="宋体"/>
              <w:szCs w:val="21"/>
            </w:rPr>
            <w:fldChar w:fldCharType="begin"/>
          </w:r>
          <w:r>
            <w:rPr>
              <w:rFonts w:hint="eastAsia" w:ascii="宋体" w:hAnsi="宋体" w:eastAsia="宋体" w:cs="宋体"/>
              <w:szCs w:val="21"/>
            </w:rPr>
            <w:instrText xml:space="preserve"> HYPERLINK \l _Toc24998 </w:instrText>
          </w:r>
          <w:r>
            <w:rPr>
              <w:rFonts w:hint="eastAsia" w:ascii="宋体" w:hAnsi="宋体" w:eastAsia="宋体" w:cs="宋体"/>
              <w:szCs w:val="21"/>
            </w:rPr>
            <w:fldChar w:fldCharType="separate"/>
          </w:r>
          <w:r>
            <w:rPr>
              <w:rFonts w:hint="eastAsia" w:ascii="宋体" w:hAnsi="宋体" w:eastAsia="宋体" w:cs="宋体"/>
              <w:szCs w:val="28"/>
            </w:rPr>
            <w:t>五、资格审查资料</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_Toc24998 \h </w:instrText>
          </w:r>
          <w:r>
            <w:rPr>
              <w:rFonts w:hint="eastAsia" w:ascii="宋体" w:hAnsi="宋体" w:eastAsia="宋体" w:cs="宋体"/>
            </w:rPr>
            <w:fldChar w:fldCharType="separate"/>
          </w:r>
          <w:r>
            <w:rPr>
              <w:rFonts w:hint="eastAsia" w:ascii="宋体" w:hAnsi="宋体" w:eastAsia="宋体" w:cs="宋体"/>
            </w:rPr>
            <w:t>53</w:t>
          </w:r>
          <w:r>
            <w:rPr>
              <w:rFonts w:hint="eastAsia" w:ascii="宋体" w:hAnsi="宋体" w:eastAsia="宋体" w:cs="宋体"/>
            </w:rPr>
            <w:fldChar w:fldCharType="end"/>
          </w:r>
          <w:r>
            <w:rPr>
              <w:rFonts w:hint="eastAsia" w:ascii="宋体" w:hAnsi="宋体" w:eastAsia="宋体" w:cs="宋体"/>
              <w:szCs w:val="21"/>
            </w:rPr>
            <w:fldChar w:fldCharType="end"/>
          </w:r>
        </w:p>
        <w:p w14:paraId="1E97D690">
          <w:pPr>
            <w:pStyle w:val="26"/>
            <w:tabs>
              <w:tab w:val="right" w:leader="dot" w:pos="9746"/>
            </w:tabs>
            <w:spacing w:line="360" w:lineRule="auto"/>
            <w:rPr>
              <w:rFonts w:hint="eastAsia" w:ascii="宋体" w:hAnsi="宋体" w:eastAsia="宋体" w:cs="宋体"/>
            </w:rPr>
          </w:pPr>
          <w:r>
            <w:rPr>
              <w:rFonts w:hint="eastAsia" w:ascii="宋体" w:hAnsi="宋体" w:eastAsia="宋体" w:cs="宋体"/>
              <w:szCs w:val="21"/>
            </w:rPr>
            <w:fldChar w:fldCharType="begin"/>
          </w:r>
          <w:r>
            <w:rPr>
              <w:rFonts w:hint="eastAsia" w:ascii="宋体" w:hAnsi="宋体" w:eastAsia="宋体" w:cs="宋体"/>
              <w:szCs w:val="21"/>
            </w:rPr>
            <w:instrText xml:space="preserve"> HYPERLINK \l _Toc32555 </w:instrText>
          </w:r>
          <w:r>
            <w:rPr>
              <w:rFonts w:hint="eastAsia" w:ascii="宋体" w:hAnsi="宋体" w:eastAsia="宋体" w:cs="宋体"/>
              <w:szCs w:val="21"/>
            </w:rPr>
            <w:fldChar w:fldCharType="separate"/>
          </w:r>
          <w:r>
            <w:rPr>
              <w:rFonts w:hint="eastAsia" w:ascii="宋体" w:hAnsi="宋体" w:eastAsia="宋体" w:cs="宋体"/>
              <w:szCs w:val="28"/>
            </w:rPr>
            <w:t>六、技术部分</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_Toc32555 \h </w:instrText>
          </w:r>
          <w:r>
            <w:rPr>
              <w:rFonts w:hint="eastAsia" w:ascii="宋体" w:hAnsi="宋体" w:eastAsia="宋体" w:cs="宋体"/>
            </w:rPr>
            <w:fldChar w:fldCharType="separate"/>
          </w:r>
          <w:r>
            <w:rPr>
              <w:rFonts w:hint="eastAsia" w:ascii="宋体" w:hAnsi="宋体" w:eastAsia="宋体" w:cs="宋体"/>
            </w:rPr>
            <w:t>55</w:t>
          </w:r>
          <w:r>
            <w:rPr>
              <w:rFonts w:hint="eastAsia" w:ascii="宋体" w:hAnsi="宋体" w:eastAsia="宋体" w:cs="宋体"/>
            </w:rPr>
            <w:fldChar w:fldCharType="end"/>
          </w:r>
          <w:r>
            <w:rPr>
              <w:rFonts w:hint="eastAsia" w:ascii="宋体" w:hAnsi="宋体" w:eastAsia="宋体" w:cs="宋体"/>
              <w:szCs w:val="21"/>
            </w:rPr>
            <w:fldChar w:fldCharType="end"/>
          </w:r>
        </w:p>
        <w:p w14:paraId="29B050FB">
          <w:pPr>
            <w:pStyle w:val="26"/>
            <w:tabs>
              <w:tab w:val="right" w:leader="dot" w:pos="9746"/>
            </w:tabs>
            <w:spacing w:line="360" w:lineRule="auto"/>
          </w:pPr>
          <w:r>
            <w:rPr>
              <w:rFonts w:hint="eastAsia" w:ascii="宋体" w:hAnsi="宋体" w:eastAsia="宋体" w:cs="宋体"/>
              <w:szCs w:val="21"/>
            </w:rPr>
            <w:fldChar w:fldCharType="begin"/>
          </w:r>
          <w:r>
            <w:rPr>
              <w:rFonts w:hint="eastAsia" w:ascii="宋体" w:hAnsi="宋体" w:eastAsia="宋体" w:cs="宋体"/>
              <w:szCs w:val="21"/>
            </w:rPr>
            <w:instrText xml:space="preserve"> HYPERLINK \l _Toc21458 </w:instrText>
          </w:r>
          <w:r>
            <w:rPr>
              <w:rFonts w:hint="eastAsia" w:ascii="宋体" w:hAnsi="宋体" w:eastAsia="宋体" w:cs="宋体"/>
              <w:szCs w:val="21"/>
            </w:rPr>
            <w:fldChar w:fldCharType="separate"/>
          </w:r>
          <w:r>
            <w:rPr>
              <w:rFonts w:hint="eastAsia" w:ascii="宋体" w:hAnsi="宋体" w:eastAsia="宋体" w:cs="宋体"/>
              <w:szCs w:val="28"/>
            </w:rPr>
            <w:t>七、其他材料</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_Toc21458 \h </w:instrText>
          </w:r>
          <w:r>
            <w:rPr>
              <w:rFonts w:hint="eastAsia" w:ascii="宋体" w:hAnsi="宋体" w:eastAsia="宋体" w:cs="宋体"/>
            </w:rPr>
            <w:fldChar w:fldCharType="separate"/>
          </w:r>
          <w:r>
            <w:rPr>
              <w:rFonts w:hint="eastAsia" w:ascii="宋体" w:hAnsi="宋体" w:eastAsia="宋体" w:cs="宋体"/>
            </w:rPr>
            <w:t>56</w:t>
          </w:r>
          <w:r>
            <w:rPr>
              <w:rFonts w:hint="eastAsia" w:ascii="宋体" w:hAnsi="宋体" w:eastAsia="宋体" w:cs="宋体"/>
            </w:rPr>
            <w:fldChar w:fldCharType="end"/>
          </w:r>
          <w:r>
            <w:rPr>
              <w:rFonts w:hint="eastAsia" w:ascii="宋体" w:hAnsi="宋体" w:eastAsia="宋体" w:cs="宋体"/>
              <w:szCs w:val="21"/>
            </w:rPr>
            <w:fldChar w:fldCharType="end"/>
          </w:r>
        </w:p>
        <w:p w14:paraId="16BDF156">
          <w:pPr>
            <w:spacing w:line="360" w:lineRule="auto"/>
            <w:rPr>
              <w:rFonts w:hint="eastAsia" w:ascii="宋体" w:hAnsi="宋体" w:eastAsia="宋体" w:cs="宋体"/>
            </w:rPr>
          </w:pPr>
          <w:r>
            <w:rPr>
              <w:rFonts w:hint="eastAsia" w:ascii="宋体" w:hAnsi="宋体" w:eastAsia="宋体" w:cs="宋体"/>
              <w:szCs w:val="21"/>
            </w:rPr>
            <w:fldChar w:fldCharType="end"/>
          </w:r>
        </w:p>
      </w:sdtContent>
    </w:sdt>
    <w:p w14:paraId="3BD78545">
      <w:pPr>
        <w:jc w:val="center"/>
        <w:outlineLvl w:val="0"/>
        <w:rPr>
          <w:rFonts w:hint="eastAsia" w:ascii="宋体" w:hAnsi="宋体" w:eastAsia="宋体" w:cs="宋体"/>
          <w:b/>
          <w:sz w:val="32"/>
        </w:rPr>
        <w:sectPr>
          <w:footerReference r:id="rId3" w:type="default"/>
          <w:pgSz w:w="11906" w:h="16838"/>
          <w:pgMar w:top="1440" w:right="1080" w:bottom="1440" w:left="1080" w:header="851" w:footer="1331" w:gutter="0"/>
          <w:cols w:space="720" w:num="1"/>
          <w:titlePg/>
          <w:docGrid w:type="lines" w:linePitch="326" w:charSpace="0"/>
        </w:sectPr>
      </w:pPr>
      <w:bookmarkStart w:id="0" w:name="_Toc45177801"/>
    </w:p>
    <w:p w14:paraId="4B257120">
      <w:pPr>
        <w:jc w:val="center"/>
        <w:outlineLvl w:val="0"/>
        <w:rPr>
          <w:rFonts w:hint="eastAsia" w:ascii="宋体" w:hAnsi="宋体" w:eastAsia="宋体" w:cs="宋体"/>
          <w:b/>
          <w:sz w:val="32"/>
        </w:rPr>
      </w:pPr>
      <w:bookmarkStart w:id="433" w:name="_GoBack"/>
      <w:bookmarkEnd w:id="433"/>
      <w:bookmarkStart w:id="1" w:name="_Toc595"/>
      <w:r>
        <w:rPr>
          <w:rFonts w:hint="eastAsia" w:ascii="宋体" w:hAnsi="宋体" w:eastAsia="宋体" w:cs="宋体"/>
          <w:b/>
          <w:sz w:val="32"/>
        </w:rPr>
        <w:t>第一章  磋商公告</w:t>
      </w:r>
      <w:bookmarkEnd w:id="0"/>
      <w:bookmarkEnd w:id="1"/>
    </w:p>
    <w:p w14:paraId="13EE6FA0">
      <w:pPr>
        <w:spacing w:line="360" w:lineRule="auto"/>
        <w:jc w:val="center"/>
        <w:rPr>
          <w:rFonts w:hint="eastAsia" w:ascii="宋体" w:hAnsi="宋体" w:eastAsia="宋体" w:cs="宋体"/>
          <w:b/>
          <w:bCs/>
          <w:sz w:val="28"/>
          <w:szCs w:val="32"/>
        </w:rPr>
      </w:pPr>
      <w:bookmarkStart w:id="2" w:name="_Hlk138958872"/>
      <w:r>
        <w:rPr>
          <w:rFonts w:hint="eastAsia" w:ascii="宋体" w:hAnsi="宋体" w:eastAsia="宋体" w:cs="宋体"/>
          <w:b/>
          <w:bCs/>
          <w:sz w:val="28"/>
          <w:szCs w:val="32"/>
        </w:rPr>
        <w:t>【平公资采202</w:t>
      </w:r>
      <w:r>
        <w:rPr>
          <w:rFonts w:hint="eastAsia" w:ascii="宋体" w:hAnsi="宋体" w:eastAsia="宋体" w:cs="宋体"/>
          <w:b/>
          <w:bCs/>
          <w:sz w:val="28"/>
          <w:szCs w:val="32"/>
          <w:lang w:val="en-US" w:eastAsia="zh-CN"/>
        </w:rPr>
        <w:t>6856</w:t>
      </w:r>
      <w:r>
        <w:rPr>
          <w:rFonts w:hint="eastAsia" w:ascii="宋体" w:hAnsi="宋体" w:eastAsia="宋体" w:cs="宋体"/>
          <w:b/>
          <w:bCs/>
          <w:sz w:val="28"/>
          <w:szCs w:val="32"/>
        </w:rPr>
        <w:t>号】</w:t>
      </w:r>
      <w:r>
        <w:rPr>
          <w:rFonts w:hint="eastAsia" w:ascii="宋体" w:hAnsi="宋体" w:eastAsia="宋体" w:cs="宋体"/>
          <w:b/>
          <w:bCs/>
          <w:sz w:val="28"/>
          <w:szCs w:val="32"/>
          <w:lang w:eastAsia="zh-CN"/>
        </w:rPr>
        <w:t>中共平顶山市新华区委政法委员会2026年新华区社会管理创新中心项目视频监控维保项目</w:t>
      </w:r>
      <w:r>
        <w:rPr>
          <w:rFonts w:hint="eastAsia" w:ascii="宋体" w:hAnsi="宋体" w:eastAsia="宋体" w:cs="宋体"/>
          <w:b/>
          <w:bCs/>
          <w:sz w:val="28"/>
          <w:szCs w:val="32"/>
        </w:rPr>
        <w:t>竞争性磋商公告</w:t>
      </w:r>
    </w:p>
    <w:p w14:paraId="634BA0F0">
      <w:pPr>
        <w:spacing w:line="440" w:lineRule="exact"/>
        <w:rPr>
          <w:rFonts w:hint="eastAsia" w:ascii="宋体" w:hAnsi="宋体" w:eastAsia="宋体" w:cs="宋体"/>
          <w:b/>
          <w:bCs/>
          <w:sz w:val="21"/>
          <w:szCs w:val="21"/>
        </w:rPr>
      </w:pPr>
      <w:r>
        <w:rPr>
          <w:rFonts w:hint="eastAsia" w:ascii="宋体" w:hAnsi="宋体" w:eastAsia="宋体" w:cs="宋体"/>
          <w:b/>
          <w:bCs/>
          <w:sz w:val="21"/>
          <w:szCs w:val="21"/>
        </w:rPr>
        <w:t>项目概况</w:t>
      </w:r>
    </w:p>
    <w:p w14:paraId="5C2834FA">
      <w:pPr>
        <w:spacing w:line="440" w:lineRule="exact"/>
        <w:ind w:firstLine="420" w:firstLineChars="200"/>
        <w:rPr>
          <w:rFonts w:hint="eastAsia" w:ascii="宋体" w:hAnsi="宋体" w:eastAsia="宋体" w:cs="宋体"/>
          <w:bCs/>
          <w:sz w:val="21"/>
          <w:szCs w:val="21"/>
        </w:rPr>
      </w:pPr>
      <w:r>
        <w:rPr>
          <w:rFonts w:hint="eastAsia" w:ascii="宋体" w:hAnsi="宋体" w:eastAsia="宋体" w:cs="宋体"/>
          <w:bCs/>
          <w:sz w:val="21"/>
          <w:szCs w:val="21"/>
          <w:lang w:eastAsia="zh-CN"/>
        </w:rPr>
        <w:t>中共平顶山市新华区委政法委员会2026年新华区社会管理创新中心项目视频监控维保项目</w:t>
      </w:r>
      <w:r>
        <w:rPr>
          <w:rFonts w:hint="eastAsia" w:ascii="宋体" w:hAnsi="宋体" w:eastAsia="宋体" w:cs="宋体"/>
          <w:bCs/>
          <w:sz w:val="21"/>
          <w:szCs w:val="21"/>
        </w:rPr>
        <w:t>的潜在投标人应在平顶山市公共资源交易中心电子交易系统获取招标文件并于202</w:t>
      </w:r>
      <w:r>
        <w:rPr>
          <w:rFonts w:hint="eastAsia" w:ascii="宋体" w:hAnsi="宋体" w:eastAsia="宋体" w:cs="宋体"/>
          <w:bCs/>
          <w:sz w:val="21"/>
          <w:szCs w:val="21"/>
          <w:lang w:val="en-US" w:eastAsia="zh-CN"/>
        </w:rPr>
        <w:t>6</w:t>
      </w:r>
      <w:r>
        <w:rPr>
          <w:rFonts w:hint="eastAsia" w:ascii="宋体" w:hAnsi="宋体" w:eastAsia="宋体" w:cs="宋体"/>
          <w:bCs/>
          <w:sz w:val="21"/>
          <w:szCs w:val="21"/>
        </w:rPr>
        <w:t>年</w:t>
      </w:r>
      <w:r>
        <w:rPr>
          <w:rFonts w:hint="eastAsia" w:ascii="宋体" w:hAnsi="宋体" w:eastAsia="宋体" w:cs="宋体"/>
          <w:bCs/>
          <w:sz w:val="21"/>
          <w:szCs w:val="21"/>
          <w:lang w:val="en-US" w:eastAsia="zh-CN"/>
        </w:rPr>
        <w:t>9</w:t>
      </w:r>
      <w:r>
        <w:rPr>
          <w:rFonts w:hint="eastAsia" w:ascii="宋体" w:hAnsi="宋体" w:eastAsia="宋体" w:cs="宋体"/>
          <w:bCs/>
          <w:sz w:val="21"/>
          <w:szCs w:val="21"/>
        </w:rPr>
        <w:t>月</w:t>
      </w:r>
      <w:r>
        <w:rPr>
          <w:rFonts w:hint="eastAsia" w:ascii="宋体" w:hAnsi="宋体" w:eastAsia="宋体" w:cs="宋体"/>
          <w:bCs/>
          <w:sz w:val="21"/>
          <w:szCs w:val="21"/>
          <w:lang w:val="en-US" w:eastAsia="zh-CN"/>
        </w:rPr>
        <w:t>8</w:t>
      </w:r>
      <w:r>
        <w:rPr>
          <w:rFonts w:hint="eastAsia" w:ascii="宋体" w:hAnsi="宋体" w:eastAsia="宋体" w:cs="宋体"/>
          <w:bCs/>
          <w:sz w:val="21"/>
          <w:szCs w:val="21"/>
        </w:rPr>
        <w:t>日</w:t>
      </w:r>
      <w:r>
        <w:rPr>
          <w:rFonts w:hint="eastAsia" w:ascii="宋体" w:hAnsi="宋体" w:eastAsia="宋体" w:cs="宋体"/>
          <w:bCs/>
          <w:sz w:val="21"/>
          <w:szCs w:val="21"/>
          <w:lang w:val="en-US" w:eastAsia="zh-CN"/>
        </w:rPr>
        <w:t>9</w:t>
      </w:r>
      <w:r>
        <w:rPr>
          <w:rFonts w:hint="eastAsia" w:ascii="宋体" w:hAnsi="宋体" w:eastAsia="宋体" w:cs="宋体"/>
          <w:bCs/>
          <w:sz w:val="21"/>
          <w:szCs w:val="21"/>
        </w:rPr>
        <w:t>时</w:t>
      </w:r>
      <w:r>
        <w:rPr>
          <w:rFonts w:hint="eastAsia" w:ascii="宋体" w:hAnsi="宋体" w:eastAsia="宋体" w:cs="宋体"/>
          <w:bCs/>
          <w:sz w:val="21"/>
          <w:szCs w:val="21"/>
          <w:lang w:val="en-US" w:eastAsia="zh-CN"/>
        </w:rPr>
        <w:t>00</w:t>
      </w:r>
      <w:r>
        <w:rPr>
          <w:rFonts w:hint="eastAsia" w:ascii="宋体" w:hAnsi="宋体" w:eastAsia="宋体" w:cs="宋体"/>
          <w:bCs/>
          <w:sz w:val="21"/>
          <w:szCs w:val="21"/>
        </w:rPr>
        <w:t>分（北京时间）前递交响应文件。</w:t>
      </w:r>
    </w:p>
    <w:p w14:paraId="16295002">
      <w:pPr>
        <w:spacing w:line="440" w:lineRule="exact"/>
        <w:rPr>
          <w:rFonts w:hint="eastAsia" w:ascii="宋体" w:hAnsi="宋体" w:eastAsia="宋体" w:cs="宋体"/>
          <w:b/>
          <w:bCs/>
          <w:sz w:val="21"/>
          <w:szCs w:val="21"/>
        </w:rPr>
      </w:pPr>
      <w:r>
        <w:rPr>
          <w:rFonts w:hint="eastAsia" w:ascii="宋体" w:hAnsi="宋体" w:eastAsia="宋体" w:cs="宋体"/>
          <w:b/>
          <w:bCs/>
          <w:sz w:val="21"/>
          <w:szCs w:val="21"/>
        </w:rPr>
        <w:t>一、项目基本情况</w:t>
      </w:r>
    </w:p>
    <w:p w14:paraId="4DF9A71E">
      <w:pPr>
        <w:spacing w:line="440" w:lineRule="exact"/>
        <w:ind w:firstLine="422" w:firstLineChars="200"/>
        <w:rPr>
          <w:rFonts w:hint="default" w:ascii="宋体" w:hAnsi="宋体" w:eastAsia="宋体" w:cs="宋体"/>
          <w:sz w:val="21"/>
          <w:szCs w:val="21"/>
          <w:lang w:val="en-US" w:eastAsia="zh-CN"/>
        </w:rPr>
      </w:pPr>
      <w:bookmarkStart w:id="3" w:name="_Hlk138959232"/>
      <w:r>
        <w:rPr>
          <w:rFonts w:hint="eastAsia" w:ascii="宋体" w:hAnsi="宋体" w:eastAsia="宋体" w:cs="宋体"/>
          <w:b/>
          <w:sz w:val="21"/>
          <w:szCs w:val="21"/>
        </w:rPr>
        <w:t>1、项目编号</w:t>
      </w:r>
      <w:r>
        <w:rPr>
          <w:rFonts w:hint="eastAsia" w:ascii="宋体" w:hAnsi="宋体" w:eastAsia="宋体" w:cs="宋体"/>
          <w:sz w:val="21"/>
          <w:szCs w:val="21"/>
        </w:rPr>
        <w:t>：平新采磋商-202</w:t>
      </w:r>
      <w:r>
        <w:rPr>
          <w:rFonts w:hint="eastAsia" w:ascii="宋体" w:hAnsi="宋体" w:eastAsia="宋体" w:cs="宋体"/>
          <w:sz w:val="21"/>
          <w:szCs w:val="21"/>
          <w:lang w:val="en-US" w:eastAsia="zh-CN"/>
        </w:rPr>
        <w:t>6</w:t>
      </w:r>
      <w:r>
        <w:rPr>
          <w:rFonts w:hint="eastAsia" w:ascii="宋体" w:hAnsi="宋体" w:eastAsia="宋体" w:cs="宋体"/>
          <w:sz w:val="21"/>
          <w:szCs w:val="21"/>
        </w:rPr>
        <w:t>-</w:t>
      </w:r>
      <w:r>
        <w:rPr>
          <w:rFonts w:hint="eastAsia" w:ascii="宋体" w:hAnsi="宋体" w:eastAsia="宋体" w:cs="宋体"/>
          <w:sz w:val="21"/>
          <w:szCs w:val="21"/>
          <w:lang w:val="en-US" w:eastAsia="zh-CN"/>
        </w:rPr>
        <w:t xml:space="preserve">26  </w:t>
      </w:r>
    </w:p>
    <w:p w14:paraId="334BF13B">
      <w:pPr>
        <w:spacing w:line="440" w:lineRule="exact"/>
        <w:ind w:firstLine="422" w:firstLineChars="200"/>
        <w:rPr>
          <w:rFonts w:hint="eastAsia" w:ascii="宋体" w:hAnsi="宋体" w:eastAsia="宋体" w:cs="宋体"/>
          <w:sz w:val="21"/>
          <w:szCs w:val="21"/>
          <w:lang w:eastAsia="zh-CN"/>
        </w:rPr>
      </w:pPr>
      <w:r>
        <w:rPr>
          <w:rFonts w:hint="eastAsia" w:ascii="宋体" w:hAnsi="宋体" w:eastAsia="宋体" w:cs="宋体"/>
          <w:b/>
          <w:sz w:val="21"/>
          <w:szCs w:val="21"/>
        </w:rPr>
        <w:t>2、项目名称</w:t>
      </w:r>
      <w:r>
        <w:rPr>
          <w:rFonts w:hint="eastAsia" w:ascii="宋体" w:hAnsi="宋体" w:eastAsia="宋体" w:cs="宋体"/>
          <w:sz w:val="21"/>
          <w:szCs w:val="21"/>
        </w:rPr>
        <w:t>：</w:t>
      </w:r>
      <w:r>
        <w:rPr>
          <w:rFonts w:hint="eastAsia" w:ascii="宋体" w:hAnsi="宋体" w:eastAsia="宋体" w:cs="宋体"/>
          <w:sz w:val="21"/>
          <w:szCs w:val="21"/>
          <w:lang w:eastAsia="zh-CN"/>
        </w:rPr>
        <w:t>中共平顶山市新华区委政法委员会2026年新华区社会管理创新中心项目视频监控维保项目</w:t>
      </w:r>
    </w:p>
    <w:p w14:paraId="250FB3AF">
      <w:pPr>
        <w:spacing w:line="440" w:lineRule="exact"/>
        <w:ind w:firstLine="422" w:firstLineChars="200"/>
        <w:rPr>
          <w:rFonts w:hint="eastAsia" w:ascii="宋体" w:hAnsi="宋体" w:eastAsia="宋体" w:cs="宋体"/>
          <w:sz w:val="21"/>
          <w:szCs w:val="21"/>
        </w:rPr>
      </w:pPr>
      <w:r>
        <w:rPr>
          <w:rFonts w:hint="eastAsia" w:ascii="宋体" w:hAnsi="宋体" w:eastAsia="宋体" w:cs="宋体"/>
          <w:b/>
          <w:sz w:val="21"/>
          <w:szCs w:val="21"/>
        </w:rPr>
        <w:t>3、采购方式</w:t>
      </w:r>
      <w:r>
        <w:rPr>
          <w:rFonts w:hint="eastAsia" w:ascii="宋体" w:hAnsi="宋体" w:eastAsia="宋体" w:cs="宋体"/>
          <w:sz w:val="21"/>
          <w:szCs w:val="21"/>
        </w:rPr>
        <w:t>：竞争性磋商</w:t>
      </w:r>
    </w:p>
    <w:p w14:paraId="4E445C96">
      <w:pPr>
        <w:spacing w:line="440" w:lineRule="exact"/>
        <w:ind w:firstLine="422" w:firstLineChars="200"/>
        <w:rPr>
          <w:rFonts w:hint="eastAsia" w:ascii="宋体" w:hAnsi="宋体" w:eastAsia="宋体" w:cs="宋体"/>
          <w:color w:val="000000" w:themeColor="text1"/>
          <w:sz w:val="21"/>
          <w:szCs w:val="21"/>
          <w:highlight w:val="none"/>
        </w:rPr>
      </w:pPr>
      <w:r>
        <w:rPr>
          <w:rFonts w:hint="eastAsia" w:ascii="宋体" w:hAnsi="宋体" w:eastAsia="宋体" w:cs="宋体"/>
          <w:b/>
          <w:sz w:val="21"/>
          <w:szCs w:val="21"/>
        </w:rPr>
        <w:t>4、预算金额</w:t>
      </w:r>
      <w:r>
        <w:rPr>
          <w:rFonts w:hint="eastAsia" w:ascii="宋体" w:hAnsi="宋体" w:eastAsia="宋体" w:cs="宋体"/>
          <w:sz w:val="21"/>
          <w:szCs w:val="21"/>
        </w:rPr>
        <w:t>：5700</w:t>
      </w:r>
      <w:r>
        <w:rPr>
          <w:rFonts w:hint="eastAsia" w:ascii="宋体" w:hAnsi="宋体" w:eastAsia="宋体" w:cs="宋体"/>
          <w:color w:val="000000" w:themeColor="text1"/>
          <w:sz w:val="21"/>
          <w:szCs w:val="21"/>
          <w:highlight w:val="none"/>
        </w:rPr>
        <w:t>00.00元；最高限价：570000.00元</w:t>
      </w:r>
    </w:p>
    <w:tbl>
      <w:tblPr>
        <w:tblStyle w:val="33"/>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08"/>
        <w:gridCol w:w="1556"/>
        <w:gridCol w:w="4349"/>
        <w:gridCol w:w="1707"/>
        <w:gridCol w:w="1738"/>
      </w:tblGrid>
      <w:tr w14:paraId="1EC397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3" w:hRule="atLeast"/>
          <w:jc w:val="center"/>
        </w:trPr>
        <w:tc>
          <w:tcPr>
            <w:tcW w:w="305" w:type="pct"/>
            <w:vAlign w:val="center"/>
          </w:tcPr>
          <w:p w14:paraId="252CCE2D">
            <w:pPr>
              <w:jc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序号</w:t>
            </w:r>
          </w:p>
        </w:tc>
        <w:tc>
          <w:tcPr>
            <w:tcW w:w="781" w:type="pct"/>
            <w:vAlign w:val="center"/>
          </w:tcPr>
          <w:p w14:paraId="4A35EE94">
            <w:pPr>
              <w:jc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包号</w:t>
            </w:r>
          </w:p>
        </w:tc>
        <w:tc>
          <w:tcPr>
            <w:tcW w:w="2183" w:type="pct"/>
            <w:vAlign w:val="center"/>
          </w:tcPr>
          <w:p w14:paraId="61CF0F5E">
            <w:pPr>
              <w:jc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包名称</w:t>
            </w:r>
          </w:p>
        </w:tc>
        <w:tc>
          <w:tcPr>
            <w:tcW w:w="857" w:type="pct"/>
            <w:vAlign w:val="center"/>
          </w:tcPr>
          <w:p w14:paraId="5D5AFEC1">
            <w:pPr>
              <w:jc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包预算（元）</w:t>
            </w:r>
          </w:p>
        </w:tc>
        <w:tc>
          <w:tcPr>
            <w:tcW w:w="872" w:type="pct"/>
            <w:vAlign w:val="center"/>
          </w:tcPr>
          <w:p w14:paraId="0383FA62">
            <w:pPr>
              <w:jc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包最高限价（元）</w:t>
            </w:r>
          </w:p>
        </w:tc>
      </w:tr>
      <w:tr w14:paraId="23AA33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1" w:hRule="atLeast"/>
          <w:jc w:val="center"/>
        </w:trPr>
        <w:tc>
          <w:tcPr>
            <w:tcW w:w="305" w:type="pct"/>
            <w:vAlign w:val="center"/>
          </w:tcPr>
          <w:p w14:paraId="3BBC623A">
            <w:pPr>
              <w:jc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1</w:t>
            </w:r>
          </w:p>
        </w:tc>
        <w:tc>
          <w:tcPr>
            <w:tcW w:w="781" w:type="pct"/>
            <w:vAlign w:val="center"/>
          </w:tcPr>
          <w:p w14:paraId="2472DB71">
            <w:pPr>
              <w:jc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平公资采202</w:t>
            </w:r>
            <w:r>
              <w:rPr>
                <w:rFonts w:hint="eastAsia" w:ascii="宋体" w:hAnsi="宋体" w:eastAsia="宋体" w:cs="宋体"/>
                <w:color w:val="000000" w:themeColor="text1"/>
                <w:sz w:val="21"/>
                <w:szCs w:val="21"/>
                <w:highlight w:val="none"/>
                <w:lang w:val="en-US" w:eastAsia="zh-CN"/>
              </w:rPr>
              <w:t>6856</w:t>
            </w:r>
            <w:r>
              <w:rPr>
                <w:rFonts w:hint="eastAsia" w:ascii="宋体" w:hAnsi="宋体" w:eastAsia="宋体" w:cs="宋体"/>
                <w:color w:val="000000" w:themeColor="text1"/>
                <w:sz w:val="21"/>
                <w:szCs w:val="21"/>
                <w:highlight w:val="none"/>
              </w:rPr>
              <w:t>号-1</w:t>
            </w:r>
          </w:p>
        </w:tc>
        <w:tc>
          <w:tcPr>
            <w:tcW w:w="2183" w:type="pct"/>
            <w:vAlign w:val="center"/>
          </w:tcPr>
          <w:p w14:paraId="12EBF8E7">
            <w:pPr>
              <w:jc w:val="center"/>
              <w:rPr>
                <w:rFonts w:hint="eastAsia" w:ascii="宋体" w:hAnsi="宋体" w:eastAsia="宋体" w:cs="宋体"/>
                <w:color w:val="000000" w:themeColor="text1"/>
                <w:sz w:val="21"/>
                <w:szCs w:val="21"/>
                <w:highlight w:val="none"/>
                <w:lang w:eastAsia="zh-CN"/>
              </w:rPr>
            </w:pPr>
            <w:r>
              <w:rPr>
                <w:rFonts w:hint="eastAsia" w:ascii="宋体" w:hAnsi="宋体" w:eastAsia="宋体" w:cs="宋体"/>
                <w:color w:val="000000" w:themeColor="text1"/>
                <w:sz w:val="21"/>
                <w:szCs w:val="21"/>
                <w:highlight w:val="none"/>
                <w:lang w:eastAsia="zh-CN"/>
              </w:rPr>
              <w:t>中共平顶山市新华区委政法委员会2026年新华区社会管理创新中心项目视频监控维保项目</w:t>
            </w:r>
          </w:p>
        </w:tc>
        <w:tc>
          <w:tcPr>
            <w:tcW w:w="857" w:type="pct"/>
            <w:vAlign w:val="center"/>
          </w:tcPr>
          <w:p w14:paraId="2352E0AB">
            <w:pPr>
              <w:jc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570000.00</w:t>
            </w:r>
          </w:p>
        </w:tc>
        <w:tc>
          <w:tcPr>
            <w:tcW w:w="872" w:type="pct"/>
            <w:vAlign w:val="center"/>
          </w:tcPr>
          <w:p w14:paraId="7DF4311F">
            <w:pPr>
              <w:jc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570000.00</w:t>
            </w:r>
          </w:p>
        </w:tc>
      </w:tr>
    </w:tbl>
    <w:p w14:paraId="18611C35">
      <w:pPr>
        <w:spacing w:line="440" w:lineRule="exact"/>
        <w:ind w:firstLine="422" w:firstLineChars="200"/>
        <w:rPr>
          <w:rFonts w:hint="eastAsia" w:ascii="宋体" w:hAnsi="宋体" w:eastAsia="宋体" w:cs="宋体"/>
          <w:b/>
          <w:color w:val="000000" w:themeColor="text1"/>
          <w:sz w:val="21"/>
          <w:szCs w:val="21"/>
          <w:highlight w:val="none"/>
        </w:rPr>
      </w:pPr>
      <w:r>
        <w:rPr>
          <w:rFonts w:hint="eastAsia" w:ascii="宋体" w:hAnsi="宋体" w:eastAsia="宋体" w:cs="宋体"/>
          <w:b/>
          <w:color w:val="000000" w:themeColor="text1"/>
          <w:sz w:val="21"/>
          <w:szCs w:val="21"/>
          <w:highlight w:val="none"/>
        </w:rPr>
        <w:t>5、采购需求（包括但不限于标的的名称、数量、简要技术需求或服务要求等）</w:t>
      </w:r>
    </w:p>
    <w:bookmarkEnd w:id="3"/>
    <w:p w14:paraId="26EECB0B">
      <w:pPr>
        <w:spacing w:line="440" w:lineRule="exact"/>
        <w:ind w:firstLine="420" w:firstLineChars="200"/>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5.1采购内容：</w:t>
      </w:r>
      <w:r>
        <w:rPr>
          <w:rFonts w:hint="default" w:ascii="宋体" w:hAnsi="宋体" w:eastAsia="宋体" w:cs="宋体"/>
          <w:b w:val="0"/>
          <w:bCs w:val="0"/>
          <w:color w:val="000000" w:themeColor="text1"/>
          <w:kern w:val="0"/>
          <w:sz w:val="21"/>
          <w:szCs w:val="21"/>
          <w:highlight w:val="none"/>
          <w:lang w:val="en-US" w:eastAsia="zh-CN"/>
        </w:rPr>
        <w:t>维保区域为光明路以东、平安大道以南、开源路以西、湛北路以北区域内共计246个前端摄像头。保证视频监控机房硬件、软件以及配套设施、平台日常使用和运维；前端线路和设备故障及时修复（无法取电点位加装太阳能供电）；设备丢失或损坏且无法修复及时加装、更换（设备更换率不低于10%）；以及前端246个摄像头使用中所产生的电费，配合采购单位对更换固定资产进行保管、移交、处置等</w:t>
      </w:r>
      <w:r>
        <w:rPr>
          <w:rFonts w:hint="eastAsia" w:ascii="宋体" w:hAnsi="宋体" w:eastAsia="宋体" w:cs="宋体"/>
          <w:b w:val="0"/>
          <w:bCs w:val="0"/>
          <w:color w:val="000000" w:themeColor="text1"/>
          <w:kern w:val="0"/>
          <w:sz w:val="21"/>
          <w:szCs w:val="21"/>
          <w:highlight w:val="none"/>
          <w:lang w:val="en-US" w:eastAsia="zh-CN"/>
        </w:rPr>
        <w:t>。</w:t>
      </w:r>
    </w:p>
    <w:p w14:paraId="4A660274">
      <w:pPr>
        <w:spacing w:line="440" w:lineRule="exact"/>
        <w:ind w:firstLine="420" w:firstLineChars="200"/>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5.2资金及落实情况：财政资金，已落实；</w:t>
      </w:r>
    </w:p>
    <w:p w14:paraId="543D644A">
      <w:pPr>
        <w:spacing w:line="440" w:lineRule="exact"/>
        <w:ind w:firstLine="420" w:firstLineChars="200"/>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5.3服务期限：1年；</w:t>
      </w:r>
    </w:p>
    <w:p w14:paraId="252B6082">
      <w:pPr>
        <w:spacing w:line="440" w:lineRule="exact"/>
        <w:ind w:firstLine="420" w:firstLineChars="200"/>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5.4质量要求：符合国家、行业有关标准、规范；</w:t>
      </w:r>
    </w:p>
    <w:p w14:paraId="71EA9968">
      <w:pPr>
        <w:spacing w:line="440" w:lineRule="exact"/>
        <w:ind w:firstLine="420" w:firstLineChars="200"/>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5.5标段划分：本项目不划分标段。</w:t>
      </w:r>
    </w:p>
    <w:p w14:paraId="4950CC4B">
      <w:pPr>
        <w:spacing w:line="440" w:lineRule="exact"/>
        <w:ind w:firstLine="422" w:firstLineChars="200"/>
        <w:rPr>
          <w:rFonts w:hint="eastAsia" w:ascii="宋体" w:hAnsi="宋体" w:eastAsia="宋体" w:cs="宋体"/>
          <w:color w:val="000000" w:themeColor="text1"/>
          <w:sz w:val="21"/>
          <w:szCs w:val="21"/>
          <w:highlight w:val="none"/>
        </w:rPr>
      </w:pPr>
      <w:r>
        <w:rPr>
          <w:rFonts w:hint="eastAsia" w:ascii="宋体" w:hAnsi="宋体" w:eastAsia="宋体" w:cs="宋体"/>
          <w:b/>
          <w:color w:val="000000" w:themeColor="text1"/>
          <w:sz w:val="21"/>
          <w:szCs w:val="21"/>
          <w:highlight w:val="none"/>
        </w:rPr>
        <w:t>6、合同履约期限：</w:t>
      </w:r>
      <w:r>
        <w:rPr>
          <w:rFonts w:hint="eastAsia" w:ascii="宋体" w:hAnsi="宋体" w:eastAsia="宋体" w:cs="宋体"/>
          <w:color w:val="000000" w:themeColor="text1"/>
          <w:sz w:val="21"/>
          <w:szCs w:val="21"/>
          <w:highlight w:val="none"/>
        </w:rPr>
        <w:t>1年</w:t>
      </w:r>
    </w:p>
    <w:p w14:paraId="3184B405">
      <w:pPr>
        <w:spacing w:line="440" w:lineRule="exact"/>
        <w:ind w:firstLine="422" w:firstLineChars="200"/>
        <w:rPr>
          <w:rFonts w:hint="eastAsia" w:ascii="宋体" w:hAnsi="宋体" w:eastAsia="宋体" w:cs="宋体"/>
          <w:color w:val="auto"/>
          <w:sz w:val="21"/>
          <w:szCs w:val="21"/>
        </w:rPr>
      </w:pPr>
      <w:r>
        <w:rPr>
          <w:rFonts w:hint="eastAsia" w:ascii="宋体" w:hAnsi="宋体" w:eastAsia="宋体" w:cs="宋体"/>
          <w:b/>
          <w:color w:val="auto"/>
          <w:sz w:val="21"/>
          <w:szCs w:val="21"/>
        </w:rPr>
        <w:t>7、本项目是否接受联合体投标：</w:t>
      </w:r>
      <w:r>
        <w:rPr>
          <w:rFonts w:hint="eastAsia" w:ascii="宋体" w:hAnsi="宋体" w:eastAsia="宋体" w:cs="宋体"/>
          <w:color w:val="auto"/>
          <w:sz w:val="21"/>
          <w:szCs w:val="21"/>
        </w:rPr>
        <w:t>否</w:t>
      </w:r>
    </w:p>
    <w:p w14:paraId="275C44A1">
      <w:pPr>
        <w:spacing w:line="440" w:lineRule="exact"/>
        <w:ind w:firstLine="422" w:firstLineChars="200"/>
        <w:rPr>
          <w:rFonts w:hint="eastAsia" w:ascii="宋体" w:hAnsi="宋体" w:eastAsia="宋体" w:cs="宋体"/>
          <w:color w:val="auto"/>
          <w:sz w:val="21"/>
          <w:szCs w:val="21"/>
        </w:rPr>
      </w:pPr>
      <w:r>
        <w:rPr>
          <w:rFonts w:hint="eastAsia" w:ascii="宋体" w:hAnsi="宋体" w:eastAsia="宋体" w:cs="宋体"/>
          <w:b/>
          <w:color w:val="auto"/>
          <w:sz w:val="21"/>
          <w:szCs w:val="21"/>
        </w:rPr>
        <w:t>8、是否接受进口产品</w:t>
      </w:r>
      <w:r>
        <w:rPr>
          <w:rFonts w:hint="eastAsia" w:ascii="宋体" w:hAnsi="宋体" w:eastAsia="宋体" w:cs="宋体"/>
          <w:color w:val="auto"/>
          <w:sz w:val="21"/>
          <w:szCs w:val="21"/>
        </w:rPr>
        <w:t>：否</w:t>
      </w:r>
    </w:p>
    <w:p w14:paraId="7F54200E">
      <w:pPr>
        <w:spacing w:line="460" w:lineRule="exact"/>
        <w:ind w:firstLine="420" w:firstLineChars="199"/>
        <w:rPr>
          <w:rFonts w:hint="eastAsia" w:ascii="宋体" w:hAnsi="宋体" w:eastAsia="宋体" w:cs="宋体"/>
          <w:b/>
          <w:bCs/>
          <w:color w:val="auto"/>
          <w:kern w:val="0"/>
          <w:sz w:val="21"/>
          <w:szCs w:val="21"/>
        </w:rPr>
      </w:pPr>
      <w:r>
        <w:rPr>
          <w:rFonts w:hint="eastAsia" w:ascii="宋体" w:hAnsi="宋体" w:eastAsia="宋体" w:cs="宋体"/>
          <w:b/>
          <w:bCs/>
          <w:color w:val="auto"/>
          <w:kern w:val="0"/>
          <w:sz w:val="21"/>
          <w:szCs w:val="21"/>
        </w:rPr>
        <w:t>9、是否专门面向中小企业：</w:t>
      </w:r>
      <w:r>
        <w:rPr>
          <w:rFonts w:hint="eastAsia" w:ascii="宋体" w:hAnsi="宋体" w:eastAsia="宋体" w:cs="宋体"/>
          <w:color w:val="auto"/>
          <w:sz w:val="21"/>
          <w:szCs w:val="21"/>
        </w:rPr>
        <w:t>否</w:t>
      </w:r>
    </w:p>
    <w:p w14:paraId="7C487501">
      <w:pPr>
        <w:spacing w:after="120" w:line="440" w:lineRule="exact"/>
        <w:ind w:firstLine="211" w:firstLineChars="100"/>
        <w:rPr>
          <w:rFonts w:hint="eastAsia" w:ascii="宋体" w:hAnsi="宋体" w:eastAsia="宋体" w:cs="宋体"/>
          <w:b/>
          <w:bCs/>
          <w:color w:val="auto"/>
          <w:sz w:val="21"/>
          <w:szCs w:val="21"/>
        </w:rPr>
      </w:pPr>
      <w:r>
        <w:rPr>
          <w:rFonts w:hint="eastAsia" w:ascii="宋体" w:hAnsi="宋体" w:eastAsia="宋体" w:cs="宋体"/>
          <w:b/>
          <w:bCs/>
          <w:color w:val="auto"/>
          <w:sz w:val="21"/>
          <w:szCs w:val="21"/>
        </w:rPr>
        <w:t>二、申请人资格要求：</w:t>
      </w:r>
    </w:p>
    <w:p w14:paraId="1957BC6F">
      <w:pPr>
        <w:keepNext w:val="0"/>
        <w:keepLines w:val="0"/>
        <w:pageBreakBefore w:val="0"/>
        <w:kinsoku/>
        <w:wordWrap/>
        <w:overflowPunct/>
        <w:topLinePunct w:val="0"/>
        <w:autoSpaceDE/>
        <w:autoSpaceDN/>
        <w:bidi w:val="0"/>
        <w:adjustRightInd/>
        <w:spacing w:line="500" w:lineRule="exact"/>
        <w:ind w:firstLine="420" w:firstLineChars="200"/>
        <w:jc w:val="left"/>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1、满足《中华人民共和国政府采购法》第二十二条规定；</w:t>
      </w:r>
    </w:p>
    <w:p w14:paraId="7495E23C">
      <w:pPr>
        <w:keepNext w:val="0"/>
        <w:keepLines w:val="0"/>
        <w:pageBreakBefore w:val="0"/>
        <w:kinsoku/>
        <w:wordWrap/>
        <w:overflowPunct/>
        <w:topLinePunct w:val="0"/>
        <w:autoSpaceDE/>
        <w:autoSpaceDN/>
        <w:bidi w:val="0"/>
        <w:adjustRightInd/>
        <w:spacing w:line="500" w:lineRule="exact"/>
        <w:ind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2、落实政府采购政策满足的资格要求：</w:t>
      </w:r>
      <w:r>
        <w:rPr>
          <w:rFonts w:hint="eastAsia" w:ascii="宋体" w:hAnsi="宋体" w:eastAsia="宋体" w:cs="宋体"/>
          <w:color w:val="auto"/>
          <w:sz w:val="21"/>
          <w:szCs w:val="21"/>
          <w:lang w:val="en-US" w:eastAsia="zh-CN"/>
        </w:rPr>
        <w:t>本项目非专门面向中小企业采购，供应商为小微企业、监狱企业、残疾人福利性单位，落实中小企业价格评审优惠政策； 中小企业划型标准请依据工信部联企业〔2011〕300号文件之规定。</w:t>
      </w:r>
    </w:p>
    <w:p w14:paraId="2BB8B86C">
      <w:pPr>
        <w:keepNext w:val="0"/>
        <w:keepLines w:val="0"/>
        <w:pageBreakBefore w:val="0"/>
        <w:kinsoku/>
        <w:wordWrap/>
        <w:overflowPunct/>
        <w:topLinePunct w:val="0"/>
        <w:autoSpaceDE/>
        <w:autoSpaceDN/>
        <w:bidi w:val="0"/>
        <w:adjustRightInd/>
        <w:spacing w:line="500" w:lineRule="exact"/>
        <w:ind w:firstLine="420" w:firstLineChars="200"/>
        <w:jc w:val="left"/>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3、本项目的特定资格要求</w:t>
      </w:r>
    </w:p>
    <w:p w14:paraId="66965374">
      <w:pPr>
        <w:keepNext w:val="0"/>
        <w:keepLines w:val="0"/>
        <w:pageBreakBefore w:val="0"/>
        <w:widowControl w:val="0"/>
        <w:kinsoku/>
        <w:wordWrap/>
        <w:overflowPunct/>
        <w:topLinePunct w:val="0"/>
        <w:autoSpaceDE/>
        <w:autoSpaceDN/>
        <w:bidi w:val="0"/>
        <w:adjustRightInd/>
        <w:spacing w:line="500" w:lineRule="exact"/>
        <w:ind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3.1</w:t>
      </w:r>
      <w:r>
        <w:rPr>
          <w:rFonts w:hint="eastAsia" w:ascii="宋体" w:hAnsi="宋体" w:eastAsia="宋体" w:cs="宋体"/>
          <w:color w:val="auto"/>
          <w:sz w:val="21"/>
          <w:szCs w:val="21"/>
        </w:rPr>
        <w:t>具有独立承担民事责任的能力的法人或其他组织(如是分支机构，则须提供具备独立法人资格的上级机构授权证明)，须持有有效的营业执照（可提供扫描件或电子营业执照）；</w:t>
      </w:r>
    </w:p>
    <w:p w14:paraId="600F6B6C">
      <w:pPr>
        <w:keepNext w:val="0"/>
        <w:keepLines w:val="0"/>
        <w:pageBreakBefore w:val="0"/>
        <w:widowControl w:val="0"/>
        <w:kinsoku/>
        <w:wordWrap/>
        <w:overflowPunct/>
        <w:topLinePunct w:val="0"/>
        <w:autoSpaceDE/>
        <w:autoSpaceDN/>
        <w:bidi w:val="0"/>
        <w:adjustRightInd/>
        <w:spacing w:line="500" w:lineRule="exact"/>
        <w:ind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3.2</w:t>
      </w:r>
      <w:r>
        <w:rPr>
          <w:rFonts w:hint="eastAsia" w:ascii="宋体" w:hAnsi="宋体" w:eastAsia="宋体" w:cs="宋体"/>
          <w:color w:val="auto"/>
          <w:sz w:val="21"/>
          <w:szCs w:val="21"/>
        </w:rPr>
        <w:t>单位负责人为同一人或存在控股、管理关系的不同单位，不得同时参加本项目的投标（提供相关证明材料或提供承诺书）；</w:t>
      </w:r>
    </w:p>
    <w:p w14:paraId="7D5332E4">
      <w:pPr>
        <w:keepNext w:val="0"/>
        <w:keepLines w:val="0"/>
        <w:pageBreakBefore w:val="0"/>
        <w:widowControl w:val="0"/>
        <w:kinsoku/>
        <w:wordWrap/>
        <w:overflowPunct/>
        <w:topLinePunct w:val="0"/>
        <w:autoSpaceDE/>
        <w:autoSpaceDN/>
        <w:bidi w:val="0"/>
        <w:adjustRightInd/>
        <w:spacing w:line="500" w:lineRule="exact"/>
        <w:ind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3.</w:t>
      </w:r>
      <w:r>
        <w:rPr>
          <w:rFonts w:hint="eastAsia" w:ascii="宋体" w:hAnsi="宋体" w:eastAsia="宋体" w:cs="宋体"/>
          <w:color w:val="auto"/>
          <w:sz w:val="21"/>
          <w:szCs w:val="21"/>
          <w:lang w:val="en-US" w:eastAsia="zh-CN"/>
        </w:rPr>
        <w:t>3</w:t>
      </w:r>
      <w:r>
        <w:rPr>
          <w:rFonts w:hint="eastAsia" w:ascii="宋体" w:hAnsi="宋体" w:eastAsia="宋体" w:cs="宋体"/>
          <w:color w:val="auto"/>
          <w:sz w:val="21"/>
          <w:szCs w:val="21"/>
        </w:rPr>
        <w:t>为贯彻落实《关于促进政府采购公平竞争优化营商环境的通知》（财库〔2019〕38号）和《关于全面推行证明事项和涉企经营许可事项告知承诺制的指导意见》（国办发〔2020〕42号），降低供应商参与政府采购活动的制度性交易成本，持续优化政府采购营商环境。在本次招标活动中，供应商只需</w:t>
      </w:r>
      <w:r>
        <w:rPr>
          <w:rFonts w:hint="eastAsia" w:ascii="宋体" w:hAnsi="宋体" w:eastAsia="宋体" w:cs="宋体"/>
          <w:color w:val="auto"/>
          <w:sz w:val="21"/>
          <w:szCs w:val="21"/>
          <w:lang w:val="en-US" w:eastAsia="zh-CN"/>
        </w:rPr>
        <w:t>提供</w:t>
      </w:r>
      <w:r>
        <w:rPr>
          <w:rFonts w:hint="eastAsia" w:ascii="宋体" w:hAnsi="宋体" w:eastAsia="宋体" w:cs="宋体"/>
          <w:color w:val="auto"/>
          <w:sz w:val="21"/>
          <w:szCs w:val="21"/>
        </w:rPr>
        <w:t>政府采购供应商信用承诺书</w:t>
      </w: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lang w:val="en-US" w:eastAsia="zh-CN"/>
        </w:rPr>
        <w:t>格式详见磋商文件</w:t>
      </w:r>
      <w:r>
        <w:rPr>
          <w:rFonts w:hint="eastAsia" w:ascii="宋体" w:hAnsi="宋体" w:eastAsia="宋体" w:cs="宋体"/>
          <w:color w:val="auto"/>
          <w:sz w:val="21"/>
          <w:szCs w:val="21"/>
        </w:rPr>
        <w:t>），不再需要提供以下证明材料：</w:t>
      </w:r>
    </w:p>
    <w:p w14:paraId="1075CE35">
      <w:pPr>
        <w:keepNext w:val="0"/>
        <w:keepLines w:val="0"/>
        <w:pageBreakBefore w:val="0"/>
        <w:widowControl w:val="0"/>
        <w:kinsoku/>
        <w:wordWrap/>
        <w:overflowPunct/>
        <w:topLinePunct w:val="0"/>
        <w:autoSpaceDE/>
        <w:autoSpaceDN/>
        <w:bidi w:val="0"/>
        <w:adjustRightInd/>
        <w:spacing w:line="500" w:lineRule="exact"/>
        <w:ind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（1）具有良好的商业信誉的证明材料；</w:t>
      </w:r>
    </w:p>
    <w:p w14:paraId="7F118876">
      <w:pPr>
        <w:keepNext w:val="0"/>
        <w:keepLines w:val="0"/>
        <w:pageBreakBefore w:val="0"/>
        <w:widowControl w:val="0"/>
        <w:kinsoku/>
        <w:wordWrap/>
        <w:overflowPunct/>
        <w:topLinePunct w:val="0"/>
        <w:autoSpaceDE/>
        <w:autoSpaceDN/>
        <w:bidi w:val="0"/>
        <w:adjustRightInd/>
        <w:spacing w:line="500" w:lineRule="exact"/>
        <w:ind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（2）符合国家相关规定的财务状况报告；</w:t>
      </w:r>
    </w:p>
    <w:p w14:paraId="4408787E">
      <w:pPr>
        <w:keepNext w:val="0"/>
        <w:keepLines w:val="0"/>
        <w:pageBreakBefore w:val="0"/>
        <w:widowControl w:val="0"/>
        <w:kinsoku/>
        <w:wordWrap/>
        <w:overflowPunct/>
        <w:topLinePunct w:val="0"/>
        <w:autoSpaceDE/>
        <w:autoSpaceDN/>
        <w:bidi w:val="0"/>
        <w:adjustRightInd/>
        <w:spacing w:line="500" w:lineRule="exact"/>
        <w:ind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（3）具备履行政府采购合同所必需的设备和专业技术能力的证明材料；</w:t>
      </w:r>
    </w:p>
    <w:p w14:paraId="25162FA4">
      <w:pPr>
        <w:keepNext w:val="0"/>
        <w:keepLines w:val="0"/>
        <w:pageBreakBefore w:val="0"/>
        <w:widowControl w:val="0"/>
        <w:kinsoku/>
        <w:wordWrap/>
        <w:overflowPunct/>
        <w:topLinePunct w:val="0"/>
        <w:autoSpaceDE/>
        <w:autoSpaceDN/>
        <w:bidi w:val="0"/>
        <w:adjustRightInd/>
        <w:spacing w:line="500" w:lineRule="exact"/>
        <w:ind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（4）依法缴纳税收和社会保障资金的证明材料；</w:t>
      </w:r>
    </w:p>
    <w:p w14:paraId="2EAF2B88">
      <w:pPr>
        <w:keepNext w:val="0"/>
        <w:keepLines w:val="0"/>
        <w:pageBreakBefore w:val="0"/>
        <w:widowControl w:val="0"/>
        <w:kinsoku/>
        <w:wordWrap/>
        <w:overflowPunct/>
        <w:topLinePunct w:val="0"/>
        <w:autoSpaceDE/>
        <w:autoSpaceDN/>
        <w:bidi w:val="0"/>
        <w:adjustRightInd/>
        <w:spacing w:line="500" w:lineRule="exact"/>
        <w:ind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（5）参加政府采购活动前三年内在经营活动中没有重大违法记录的证明材料；</w:t>
      </w:r>
    </w:p>
    <w:p w14:paraId="750FBE39">
      <w:pPr>
        <w:keepNext w:val="0"/>
        <w:keepLines w:val="0"/>
        <w:pageBreakBefore w:val="0"/>
        <w:widowControl w:val="0"/>
        <w:kinsoku/>
        <w:wordWrap/>
        <w:overflowPunct/>
        <w:topLinePunct w:val="0"/>
        <w:autoSpaceDE/>
        <w:autoSpaceDN/>
        <w:bidi w:val="0"/>
        <w:adjustRightInd/>
        <w:spacing w:line="500" w:lineRule="exact"/>
        <w:ind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（6）未被列入失信被执行人、重大税收违法失信主体、政府采购严重违法失信行为记录名单的证明材料。</w:t>
      </w:r>
    </w:p>
    <w:p w14:paraId="5999A6E5">
      <w:pPr>
        <w:keepNext w:val="0"/>
        <w:keepLines w:val="0"/>
        <w:pageBreakBefore w:val="0"/>
        <w:widowControl w:val="0"/>
        <w:kinsoku/>
        <w:wordWrap/>
        <w:overflowPunct/>
        <w:topLinePunct w:val="0"/>
        <w:autoSpaceDE/>
        <w:autoSpaceDN/>
        <w:bidi w:val="0"/>
        <w:adjustRightInd/>
        <w:spacing w:line="500" w:lineRule="exact"/>
        <w:ind w:firstLine="420" w:firstLineChars="200"/>
        <w:textAlignment w:val="auto"/>
        <w:rPr>
          <w:rFonts w:hint="eastAsia" w:ascii="宋体" w:hAnsi="宋体" w:eastAsia="宋体" w:cs="宋体"/>
          <w:color w:val="auto"/>
          <w:sz w:val="21"/>
          <w:szCs w:val="21"/>
          <w:lang w:eastAsia="zh-CN"/>
        </w:rPr>
      </w:pPr>
      <w:r>
        <w:rPr>
          <w:rFonts w:hint="eastAsia" w:ascii="宋体" w:hAnsi="宋体" w:eastAsia="宋体" w:cs="宋体"/>
          <w:color w:val="auto"/>
          <w:sz w:val="21"/>
          <w:szCs w:val="21"/>
        </w:rPr>
        <w:t>注：</w:t>
      </w:r>
      <w:r>
        <w:rPr>
          <w:rFonts w:hint="eastAsia" w:ascii="宋体" w:hAnsi="宋体" w:eastAsia="宋体" w:cs="宋体"/>
          <w:color w:val="auto"/>
          <w:sz w:val="21"/>
          <w:szCs w:val="21"/>
          <w:lang w:val="en-US" w:eastAsia="zh-CN"/>
        </w:rPr>
        <w:t>根据</w:t>
      </w:r>
      <w:r>
        <w:rPr>
          <w:rFonts w:hint="eastAsia" w:ascii="宋体" w:hAnsi="宋体" w:eastAsia="宋体" w:cs="宋体"/>
          <w:color w:val="auto"/>
          <w:sz w:val="21"/>
          <w:szCs w:val="21"/>
        </w:rPr>
        <w:t>财库〔2016〕125号文，采购人、代理机构在开标时通过“信用中国”、“中国执行信息公开网”及“中国政府采购网”查询供应商信用情况，如有不良情况，按无效标处理</w:t>
      </w:r>
      <w:r>
        <w:rPr>
          <w:rFonts w:hint="eastAsia" w:ascii="宋体" w:hAnsi="宋体" w:eastAsia="宋体" w:cs="宋体"/>
          <w:color w:val="auto"/>
          <w:sz w:val="21"/>
          <w:szCs w:val="21"/>
          <w:lang w:eastAsia="zh-CN"/>
        </w:rPr>
        <w:t>；</w:t>
      </w:r>
    </w:p>
    <w:p w14:paraId="1D329F76">
      <w:pPr>
        <w:keepNext w:val="0"/>
        <w:keepLines w:val="0"/>
        <w:pageBreakBefore w:val="0"/>
        <w:widowControl w:val="0"/>
        <w:kinsoku/>
        <w:wordWrap/>
        <w:overflowPunct/>
        <w:topLinePunct w:val="0"/>
        <w:autoSpaceDE/>
        <w:autoSpaceDN/>
        <w:bidi w:val="0"/>
        <w:adjustRightInd/>
        <w:spacing w:line="500" w:lineRule="exact"/>
        <w:ind w:firstLine="420" w:firstLineChars="200"/>
        <w:textAlignment w:val="auto"/>
        <w:rPr>
          <w:rFonts w:hint="eastAsia" w:ascii="宋体" w:hAnsi="宋体" w:eastAsia="宋体" w:cs="宋体"/>
          <w:color w:val="auto"/>
          <w:sz w:val="21"/>
          <w:szCs w:val="21"/>
          <w:lang w:eastAsia="zh-CN"/>
        </w:rPr>
      </w:pPr>
      <w:r>
        <w:rPr>
          <w:rFonts w:hint="eastAsia" w:ascii="宋体" w:hAnsi="宋体" w:eastAsia="宋体" w:cs="宋体"/>
          <w:color w:val="auto"/>
          <w:sz w:val="21"/>
          <w:szCs w:val="21"/>
        </w:rPr>
        <w:t>3.</w:t>
      </w:r>
      <w:r>
        <w:rPr>
          <w:rFonts w:hint="eastAsia" w:ascii="宋体" w:hAnsi="宋体" w:eastAsia="宋体" w:cs="宋体"/>
          <w:color w:val="auto"/>
          <w:sz w:val="21"/>
          <w:szCs w:val="21"/>
          <w:lang w:val="en-US" w:eastAsia="zh-CN"/>
        </w:rPr>
        <w:t>4</w:t>
      </w:r>
      <w:r>
        <w:rPr>
          <w:rFonts w:hint="eastAsia" w:ascii="宋体" w:hAnsi="宋体" w:eastAsia="宋体" w:cs="宋体"/>
          <w:color w:val="auto"/>
          <w:sz w:val="21"/>
          <w:szCs w:val="21"/>
        </w:rPr>
        <w:t>供应商所提供资料必须真实有效并提供资料真实有效承诺书，并愿意承担因就提供虚假资料随时视为放弃中标资格并承担由此引起的一切不良和法律后果（提供承诺书，格式自拟）</w:t>
      </w:r>
      <w:r>
        <w:rPr>
          <w:rFonts w:hint="eastAsia" w:ascii="宋体" w:hAnsi="宋体" w:eastAsia="宋体" w:cs="宋体"/>
          <w:color w:val="auto"/>
          <w:sz w:val="21"/>
          <w:szCs w:val="21"/>
          <w:lang w:eastAsia="zh-CN"/>
        </w:rPr>
        <w:t>；</w:t>
      </w:r>
    </w:p>
    <w:p w14:paraId="49DAB60B">
      <w:pPr>
        <w:keepNext w:val="0"/>
        <w:keepLines w:val="0"/>
        <w:pageBreakBefore w:val="0"/>
        <w:kinsoku/>
        <w:wordWrap/>
        <w:overflowPunct/>
        <w:topLinePunct w:val="0"/>
        <w:autoSpaceDE/>
        <w:autoSpaceDN/>
        <w:bidi w:val="0"/>
        <w:adjustRightInd/>
        <w:spacing w:line="500" w:lineRule="exact"/>
        <w:ind w:firstLine="420" w:firstLineChars="200"/>
        <w:textAlignment w:val="auto"/>
        <w:rPr>
          <w:rFonts w:hint="eastAsia" w:ascii="宋体" w:hAnsi="宋体" w:cs="宋体"/>
          <w:sz w:val="21"/>
          <w:szCs w:val="21"/>
        </w:rPr>
      </w:pPr>
      <w:r>
        <w:rPr>
          <w:rFonts w:hint="eastAsia" w:ascii="宋体" w:hAnsi="宋体" w:eastAsia="宋体" w:cs="宋体"/>
          <w:color w:val="auto"/>
          <w:sz w:val="21"/>
          <w:szCs w:val="21"/>
        </w:rPr>
        <w:t>3.</w:t>
      </w:r>
      <w:r>
        <w:rPr>
          <w:rFonts w:hint="eastAsia" w:ascii="宋体" w:hAnsi="宋体" w:eastAsia="宋体" w:cs="宋体"/>
          <w:color w:val="auto"/>
          <w:sz w:val="21"/>
          <w:szCs w:val="21"/>
          <w:lang w:val="en-US" w:eastAsia="zh-CN"/>
        </w:rPr>
        <w:t>5</w:t>
      </w:r>
      <w:r>
        <w:rPr>
          <w:rFonts w:hint="eastAsia" w:ascii="宋体" w:hAnsi="宋体" w:eastAsia="宋体" w:cs="宋体"/>
          <w:color w:val="auto"/>
          <w:sz w:val="21"/>
          <w:szCs w:val="21"/>
        </w:rPr>
        <w:t>本次采购采用资格后审，不接受联合体投标</w:t>
      </w:r>
      <w:r>
        <w:rPr>
          <w:rFonts w:hint="eastAsia" w:ascii="宋体" w:hAnsi="宋体" w:eastAsia="宋体" w:cs="宋体"/>
          <w:color w:val="auto"/>
          <w:sz w:val="21"/>
          <w:szCs w:val="21"/>
          <w:lang w:eastAsia="zh-CN"/>
        </w:rPr>
        <w:t>。</w:t>
      </w:r>
    </w:p>
    <w:p w14:paraId="3D5E74C6">
      <w:pPr>
        <w:spacing w:line="360" w:lineRule="auto"/>
        <w:rPr>
          <w:rFonts w:hint="eastAsia" w:ascii="宋体" w:hAnsi="宋体" w:eastAsia="宋体" w:cs="宋体"/>
          <w:b/>
          <w:bCs/>
          <w:sz w:val="21"/>
          <w:szCs w:val="21"/>
        </w:rPr>
      </w:pPr>
      <w:r>
        <w:rPr>
          <w:rFonts w:hint="eastAsia" w:ascii="宋体" w:hAnsi="宋体" w:eastAsia="宋体" w:cs="宋体"/>
          <w:b/>
          <w:bCs/>
          <w:sz w:val="21"/>
          <w:szCs w:val="21"/>
        </w:rPr>
        <w:t>三、获取采购文件</w:t>
      </w:r>
    </w:p>
    <w:p w14:paraId="403998D2">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1.时间：202</w:t>
      </w:r>
      <w:r>
        <w:rPr>
          <w:rFonts w:hint="eastAsia" w:ascii="宋体" w:hAnsi="宋体" w:eastAsia="宋体" w:cs="宋体"/>
          <w:sz w:val="21"/>
          <w:szCs w:val="21"/>
          <w:lang w:val="en-US" w:eastAsia="zh-CN"/>
        </w:rPr>
        <w:t>6</w:t>
      </w:r>
      <w:r>
        <w:rPr>
          <w:rFonts w:hint="eastAsia" w:ascii="宋体" w:hAnsi="宋体" w:eastAsia="宋体" w:cs="宋体"/>
          <w:sz w:val="21"/>
          <w:szCs w:val="21"/>
        </w:rPr>
        <w:t>年</w:t>
      </w:r>
      <w:r>
        <w:rPr>
          <w:rFonts w:hint="eastAsia" w:ascii="宋体" w:hAnsi="宋体" w:eastAsia="宋体" w:cs="宋体"/>
          <w:sz w:val="21"/>
          <w:szCs w:val="21"/>
          <w:lang w:val="en-US" w:eastAsia="zh-CN"/>
        </w:rPr>
        <w:t>08</w:t>
      </w:r>
      <w:r>
        <w:rPr>
          <w:rFonts w:hint="eastAsia" w:ascii="宋体" w:hAnsi="宋体" w:eastAsia="宋体" w:cs="宋体"/>
          <w:sz w:val="21"/>
          <w:szCs w:val="21"/>
        </w:rPr>
        <w:t>月</w:t>
      </w:r>
      <w:r>
        <w:rPr>
          <w:rFonts w:hint="eastAsia" w:ascii="宋体" w:hAnsi="宋体" w:eastAsia="宋体" w:cs="宋体"/>
          <w:sz w:val="21"/>
          <w:szCs w:val="21"/>
          <w:lang w:val="en-US" w:eastAsia="zh-CN"/>
        </w:rPr>
        <w:t>13</w:t>
      </w:r>
      <w:r>
        <w:rPr>
          <w:rFonts w:hint="eastAsia" w:ascii="宋体" w:hAnsi="宋体" w:eastAsia="宋体" w:cs="宋体"/>
          <w:sz w:val="21"/>
          <w:szCs w:val="21"/>
        </w:rPr>
        <w:t>日至 202</w:t>
      </w:r>
      <w:r>
        <w:rPr>
          <w:rFonts w:hint="eastAsia" w:ascii="宋体" w:hAnsi="宋体" w:eastAsia="宋体" w:cs="宋体"/>
          <w:sz w:val="21"/>
          <w:szCs w:val="21"/>
          <w:lang w:val="en-US" w:eastAsia="zh-CN"/>
        </w:rPr>
        <w:t>6</w:t>
      </w:r>
      <w:r>
        <w:rPr>
          <w:rFonts w:hint="eastAsia" w:ascii="宋体" w:hAnsi="宋体" w:eastAsia="宋体" w:cs="宋体"/>
          <w:sz w:val="21"/>
          <w:szCs w:val="21"/>
        </w:rPr>
        <w:t>年</w:t>
      </w:r>
      <w:r>
        <w:rPr>
          <w:rFonts w:hint="eastAsia" w:ascii="宋体" w:hAnsi="宋体" w:eastAsia="宋体" w:cs="宋体"/>
          <w:sz w:val="21"/>
          <w:szCs w:val="21"/>
          <w:lang w:val="en-US" w:eastAsia="zh-CN"/>
        </w:rPr>
        <w:t>09</w:t>
      </w:r>
      <w:r>
        <w:rPr>
          <w:rFonts w:hint="eastAsia" w:ascii="宋体" w:hAnsi="宋体" w:eastAsia="宋体" w:cs="宋体"/>
          <w:sz w:val="21"/>
          <w:szCs w:val="21"/>
        </w:rPr>
        <w:t>月</w:t>
      </w:r>
      <w:r>
        <w:rPr>
          <w:rFonts w:hint="eastAsia" w:ascii="宋体" w:hAnsi="宋体" w:eastAsia="宋体" w:cs="宋体"/>
          <w:sz w:val="21"/>
          <w:szCs w:val="21"/>
          <w:lang w:val="en-US" w:eastAsia="zh-CN"/>
        </w:rPr>
        <w:t>07</w:t>
      </w:r>
      <w:r>
        <w:rPr>
          <w:rFonts w:hint="eastAsia" w:ascii="宋体" w:hAnsi="宋体" w:eastAsia="宋体" w:cs="宋体"/>
          <w:sz w:val="21"/>
          <w:szCs w:val="21"/>
        </w:rPr>
        <w:t>日，每天上午00:00至12:00，下午12:00至23:59（北京时间）</w:t>
      </w:r>
    </w:p>
    <w:p w14:paraId="0898DC78">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2.地点：平顶山市公共资源交易中心电子交易系统；</w:t>
      </w:r>
    </w:p>
    <w:p w14:paraId="19A7A81E">
      <w:pPr>
        <w:spacing w:line="440" w:lineRule="exact"/>
        <w:ind w:firstLine="420" w:firstLineChars="200"/>
        <w:rPr>
          <w:rFonts w:hint="eastAsia" w:ascii="宋体" w:hAnsi="宋体" w:eastAsia="宋体" w:cs="宋体"/>
          <w:sz w:val="21"/>
          <w:szCs w:val="21"/>
        </w:rPr>
      </w:pPr>
      <w:r>
        <w:rPr>
          <w:rFonts w:hint="eastAsia" w:ascii="宋体" w:hAnsi="宋体" w:eastAsia="宋体" w:cs="宋体"/>
          <w:sz w:val="21"/>
          <w:szCs w:val="21"/>
        </w:rPr>
        <w:t>3.方式：潜在供应商需凭CA数字证书通过平顶山市公共资源交易中心网站（网址：http://ggzy.pds.gov.cn/）“登陆业务系统”入口进入电子交易系统下载采购文件，具体操作请查看以下链接：http://ggzy.pds.gov.cn/fwzn/11020.jhtml。</w:t>
      </w:r>
    </w:p>
    <w:p w14:paraId="793A0812">
      <w:pPr>
        <w:spacing w:line="440" w:lineRule="exact"/>
        <w:ind w:firstLine="420" w:firstLineChars="200"/>
        <w:rPr>
          <w:rFonts w:hint="eastAsia" w:ascii="宋体" w:hAnsi="宋体" w:eastAsia="宋体" w:cs="宋体"/>
          <w:sz w:val="21"/>
          <w:szCs w:val="21"/>
        </w:rPr>
      </w:pPr>
      <w:r>
        <w:rPr>
          <w:rFonts w:hint="eastAsia" w:ascii="宋体" w:hAnsi="宋体" w:eastAsia="宋体" w:cs="宋体"/>
          <w:sz w:val="21"/>
          <w:szCs w:val="21"/>
        </w:rPr>
        <w:t>办理CA 证书：http://ggzy.pds.gov.cn/tzgg/10814.jhtml。</w:t>
      </w:r>
    </w:p>
    <w:p w14:paraId="0D84F68C">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4.售价：0元。</w:t>
      </w:r>
    </w:p>
    <w:p w14:paraId="5A71C386">
      <w:pPr>
        <w:spacing w:line="360" w:lineRule="auto"/>
        <w:rPr>
          <w:rFonts w:hint="eastAsia" w:ascii="宋体" w:hAnsi="宋体" w:eastAsia="宋体" w:cs="宋体"/>
          <w:b/>
          <w:bCs/>
          <w:sz w:val="21"/>
          <w:szCs w:val="21"/>
        </w:rPr>
      </w:pPr>
      <w:r>
        <w:rPr>
          <w:rFonts w:hint="eastAsia" w:ascii="宋体" w:hAnsi="宋体" w:eastAsia="宋体" w:cs="宋体"/>
          <w:b/>
          <w:bCs/>
          <w:sz w:val="21"/>
          <w:szCs w:val="21"/>
        </w:rPr>
        <w:t>四、响应文件提交</w:t>
      </w:r>
    </w:p>
    <w:p w14:paraId="18DC27D9">
      <w:pPr>
        <w:widowControl/>
        <w:shd w:val="clear" w:color="auto" w:fill="FFFFFF"/>
        <w:snapToGrid w:val="0"/>
        <w:spacing w:line="360" w:lineRule="auto"/>
        <w:ind w:firstLine="480"/>
        <w:jc w:val="left"/>
        <w:rPr>
          <w:rFonts w:hint="eastAsia" w:ascii="宋体" w:hAnsi="宋体" w:eastAsia="宋体" w:cs="宋体"/>
          <w:kern w:val="0"/>
          <w:sz w:val="21"/>
          <w:szCs w:val="21"/>
        </w:rPr>
      </w:pPr>
      <w:r>
        <w:rPr>
          <w:rFonts w:hint="eastAsia" w:ascii="宋体" w:hAnsi="宋体" w:eastAsia="宋体" w:cs="宋体"/>
          <w:kern w:val="0"/>
          <w:sz w:val="21"/>
          <w:szCs w:val="21"/>
        </w:rPr>
        <w:t>1、截至时间：</w:t>
      </w:r>
      <w:r>
        <w:rPr>
          <w:rFonts w:hint="eastAsia" w:ascii="宋体" w:hAnsi="宋体" w:eastAsia="宋体" w:cs="宋体"/>
          <w:bCs/>
          <w:sz w:val="21"/>
          <w:szCs w:val="21"/>
        </w:rPr>
        <w:t>202</w:t>
      </w:r>
      <w:r>
        <w:rPr>
          <w:rFonts w:hint="eastAsia" w:ascii="宋体" w:hAnsi="宋体" w:eastAsia="宋体" w:cs="宋体"/>
          <w:bCs/>
          <w:sz w:val="21"/>
          <w:szCs w:val="21"/>
          <w:lang w:val="en-US" w:eastAsia="zh-CN"/>
        </w:rPr>
        <w:t>6</w:t>
      </w:r>
      <w:r>
        <w:rPr>
          <w:rFonts w:hint="eastAsia" w:ascii="宋体" w:hAnsi="宋体" w:eastAsia="宋体" w:cs="宋体"/>
          <w:bCs/>
          <w:sz w:val="21"/>
          <w:szCs w:val="21"/>
        </w:rPr>
        <w:t>年</w:t>
      </w:r>
      <w:r>
        <w:rPr>
          <w:rFonts w:hint="eastAsia" w:ascii="宋体" w:hAnsi="宋体" w:eastAsia="宋体" w:cs="宋体"/>
          <w:bCs/>
          <w:sz w:val="21"/>
          <w:szCs w:val="21"/>
          <w:lang w:val="en-US" w:eastAsia="zh-CN"/>
        </w:rPr>
        <w:t>9</w:t>
      </w:r>
      <w:r>
        <w:rPr>
          <w:rFonts w:hint="eastAsia" w:ascii="宋体" w:hAnsi="宋体" w:eastAsia="宋体" w:cs="宋体"/>
          <w:bCs/>
          <w:sz w:val="21"/>
          <w:szCs w:val="21"/>
        </w:rPr>
        <w:t>月</w:t>
      </w:r>
      <w:r>
        <w:rPr>
          <w:rFonts w:hint="eastAsia" w:ascii="宋体" w:hAnsi="宋体" w:eastAsia="宋体" w:cs="宋体"/>
          <w:bCs/>
          <w:sz w:val="21"/>
          <w:szCs w:val="21"/>
          <w:lang w:val="en-US" w:eastAsia="zh-CN"/>
        </w:rPr>
        <w:t>8</w:t>
      </w:r>
      <w:r>
        <w:rPr>
          <w:rFonts w:hint="eastAsia" w:ascii="宋体" w:hAnsi="宋体" w:eastAsia="宋体" w:cs="宋体"/>
          <w:bCs/>
          <w:sz w:val="21"/>
          <w:szCs w:val="21"/>
        </w:rPr>
        <w:t>日</w:t>
      </w:r>
      <w:r>
        <w:rPr>
          <w:rFonts w:hint="eastAsia" w:ascii="宋体" w:hAnsi="宋体" w:eastAsia="宋体" w:cs="宋体"/>
          <w:bCs/>
          <w:sz w:val="21"/>
          <w:szCs w:val="21"/>
          <w:lang w:val="en-US" w:eastAsia="zh-CN"/>
        </w:rPr>
        <w:t>9</w:t>
      </w:r>
      <w:r>
        <w:rPr>
          <w:rFonts w:hint="eastAsia" w:ascii="宋体" w:hAnsi="宋体" w:eastAsia="宋体" w:cs="宋体"/>
          <w:bCs/>
          <w:sz w:val="21"/>
          <w:szCs w:val="21"/>
        </w:rPr>
        <w:t>时</w:t>
      </w:r>
      <w:r>
        <w:rPr>
          <w:rFonts w:hint="eastAsia" w:ascii="宋体" w:hAnsi="宋体" w:eastAsia="宋体" w:cs="宋体"/>
          <w:bCs/>
          <w:sz w:val="21"/>
          <w:szCs w:val="21"/>
          <w:lang w:val="en-US" w:eastAsia="zh-CN"/>
        </w:rPr>
        <w:t>00</w:t>
      </w:r>
      <w:r>
        <w:rPr>
          <w:rFonts w:hint="eastAsia" w:ascii="宋体" w:hAnsi="宋体" w:eastAsia="宋体" w:cs="宋体"/>
          <w:bCs/>
          <w:sz w:val="21"/>
          <w:szCs w:val="21"/>
        </w:rPr>
        <w:t>分</w:t>
      </w:r>
      <w:r>
        <w:rPr>
          <w:rFonts w:hint="eastAsia" w:ascii="宋体" w:hAnsi="宋体" w:eastAsia="宋体" w:cs="宋体"/>
          <w:kern w:val="0"/>
          <w:sz w:val="21"/>
          <w:szCs w:val="21"/>
        </w:rPr>
        <w:t>（北京时间）</w:t>
      </w:r>
    </w:p>
    <w:p w14:paraId="5C24EA92">
      <w:pPr>
        <w:widowControl/>
        <w:shd w:val="clear" w:color="auto" w:fill="FFFFFF"/>
        <w:snapToGrid w:val="0"/>
        <w:spacing w:line="360" w:lineRule="auto"/>
        <w:ind w:firstLine="480"/>
        <w:jc w:val="left"/>
        <w:rPr>
          <w:rFonts w:hint="eastAsia" w:ascii="宋体" w:hAnsi="宋体" w:eastAsia="宋体" w:cs="宋体"/>
          <w:kern w:val="0"/>
          <w:sz w:val="21"/>
          <w:szCs w:val="21"/>
        </w:rPr>
      </w:pPr>
      <w:r>
        <w:rPr>
          <w:rFonts w:hint="eastAsia" w:ascii="宋体" w:hAnsi="宋体" w:eastAsia="宋体" w:cs="宋体"/>
          <w:kern w:val="0"/>
          <w:sz w:val="21"/>
          <w:szCs w:val="21"/>
        </w:rPr>
        <w:t>2、地点：平顶山市</w:t>
      </w:r>
      <w:r>
        <w:rPr>
          <w:rFonts w:hint="eastAsia" w:ascii="宋体" w:hAnsi="宋体" w:eastAsia="宋体" w:cs="宋体"/>
          <w:kern w:val="0"/>
          <w:sz w:val="21"/>
          <w:szCs w:val="21"/>
          <w:shd w:val="clear" w:color="auto" w:fill="FFFFFF"/>
        </w:rPr>
        <w:t>公共资源交易中心电子交易系统。</w:t>
      </w:r>
    </w:p>
    <w:p w14:paraId="771E4BFB">
      <w:pPr>
        <w:spacing w:line="360" w:lineRule="auto"/>
        <w:rPr>
          <w:rFonts w:hint="eastAsia" w:ascii="宋体" w:hAnsi="宋体" w:eastAsia="宋体" w:cs="宋体"/>
          <w:b/>
          <w:bCs/>
          <w:sz w:val="21"/>
          <w:szCs w:val="21"/>
        </w:rPr>
      </w:pPr>
      <w:r>
        <w:rPr>
          <w:rFonts w:hint="eastAsia" w:ascii="宋体" w:hAnsi="宋体" w:eastAsia="宋体" w:cs="宋体"/>
          <w:b/>
          <w:bCs/>
          <w:sz w:val="21"/>
          <w:szCs w:val="21"/>
        </w:rPr>
        <w:t>五、响应文件开启</w:t>
      </w:r>
    </w:p>
    <w:p w14:paraId="010CCE23">
      <w:pPr>
        <w:widowControl/>
        <w:shd w:val="clear" w:color="auto" w:fill="FFFFFF"/>
        <w:snapToGrid w:val="0"/>
        <w:spacing w:line="360" w:lineRule="auto"/>
        <w:ind w:firstLine="525" w:firstLineChars="250"/>
        <w:jc w:val="left"/>
        <w:rPr>
          <w:rFonts w:hint="eastAsia" w:ascii="宋体" w:hAnsi="宋体" w:eastAsia="宋体" w:cs="宋体"/>
          <w:kern w:val="0"/>
          <w:sz w:val="21"/>
          <w:szCs w:val="21"/>
        </w:rPr>
      </w:pPr>
      <w:r>
        <w:rPr>
          <w:rFonts w:hint="eastAsia" w:ascii="宋体" w:hAnsi="宋体" w:eastAsia="宋体" w:cs="宋体"/>
          <w:kern w:val="0"/>
          <w:sz w:val="21"/>
          <w:szCs w:val="21"/>
        </w:rPr>
        <w:t>1、时间：</w:t>
      </w:r>
      <w:r>
        <w:rPr>
          <w:rFonts w:hint="eastAsia" w:ascii="宋体" w:hAnsi="宋体" w:eastAsia="宋体" w:cs="宋体"/>
          <w:bCs/>
          <w:sz w:val="21"/>
          <w:szCs w:val="21"/>
        </w:rPr>
        <w:t>202</w:t>
      </w:r>
      <w:r>
        <w:rPr>
          <w:rFonts w:hint="eastAsia" w:ascii="宋体" w:hAnsi="宋体" w:eastAsia="宋体" w:cs="宋体"/>
          <w:bCs/>
          <w:sz w:val="21"/>
          <w:szCs w:val="21"/>
          <w:lang w:val="en-US" w:eastAsia="zh-CN"/>
        </w:rPr>
        <w:t>6</w:t>
      </w:r>
      <w:r>
        <w:rPr>
          <w:rFonts w:hint="eastAsia" w:ascii="宋体" w:hAnsi="宋体" w:eastAsia="宋体" w:cs="宋体"/>
          <w:bCs/>
          <w:sz w:val="21"/>
          <w:szCs w:val="21"/>
        </w:rPr>
        <w:t>年</w:t>
      </w:r>
      <w:r>
        <w:rPr>
          <w:rFonts w:hint="eastAsia" w:ascii="宋体" w:hAnsi="宋体" w:eastAsia="宋体" w:cs="宋体"/>
          <w:bCs/>
          <w:sz w:val="21"/>
          <w:szCs w:val="21"/>
          <w:lang w:val="en-US" w:eastAsia="zh-CN"/>
        </w:rPr>
        <w:t>9</w:t>
      </w:r>
      <w:r>
        <w:rPr>
          <w:rFonts w:hint="eastAsia" w:ascii="宋体" w:hAnsi="宋体" w:eastAsia="宋体" w:cs="宋体"/>
          <w:bCs/>
          <w:sz w:val="21"/>
          <w:szCs w:val="21"/>
        </w:rPr>
        <w:t>月</w:t>
      </w:r>
      <w:r>
        <w:rPr>
          <w:rFonts w:hint="eastAsia" w:ascii="宋体" w:hAnsi="宋体" w:eastAsia="宋体" w:cs="宋体"/>
          <w:bCs/>
          <w:sz w:val="21"/>
          <w:szCs w:val="21"/>
          <w:lang w:val="en-US" w:eastAsia="zh-CN"/>
        </w:rPr>
        <w:t>8</w:t>
      </w:r>
      <w:r>
        <w:rPr>
          <w:rFonts w:hint="eastAsia" w:ascii="宋体" w:hAnsi="宋体" w:eastAsia="宋体" w:cs="宋体"/>
          <w:bCs/>
          <w:sz w:val="21"/>
          <w:szCs w:val="21"/>
        </w:rPr>
        <w:t>日</w:t>
      </w:r>
      <w:r>
        <w:rPr>
          <w:rFonts w:hint="eastAsia" w:ascii="宋体" w:hAnsi="宋体" w:eastAsia="宋体" w:cs="宋体"/>
          <w:bCs/>
          <w:sz w:val="21"/>
          <w:szCs w:val="21"/>
          <w:lang w:val="en-US" w:eastAsia="zh-CN"/>
        </w:rPr>
        <w:t>9</w:t>
      </w:r>
      <w:r>
        <w:rPr>
          <w:rFonts w:hint="eastAsia" w:ascii="宋体" w:hAnsi="宋体" w:eastAsia="宋体" w:cs="宋体"/>
          <w:bCs/>
          <w:sz w:val="21"/>
          <w:szCs w:val="21"/>
        </w:rPr>
        <w:t>时</w:t>
      </w:r>
      <w:r>
        <w:rPr>
          <w:rFonts w:hint="eastAsia" w:ascii="宋体" w:hAnsi="宋体" w:eastAsia="宋体" w:cs="宋体"/>
          <w:bCs/>
          <w:sz w:val="21"/>
          <w:szCs w:val="21"/>
          <w:lang w:val="en-US" w:eastAsia="zh-CN"/>
        </w:rPr>
        <w:t>00</w:t>
      </w:r>
      <w:r>
        <w:rPr>
          <w:rFonts w:hint="eastAsia" w:ascii="宋体" w:hAnsi="宋体" w:eastAsia="宋体" w:cs="宋体"/>
          <w:bCs/>
          <w:sz w:val="21"/>
          <w:szCs w:val="21"/>
        </w:rPr>
        <w:t>分</w:t>
      </w:r>
      <w:r>
        <w:rPr>
          <w:rFonts w:hint="eastAsia" w:ascii="宋体" w:hAnsi="宋体" w:eastAsia="宋体" w:cs="宋体"/>
          <w:kern w:val="0"/>
          <w:sz w:val="21"/>
          <w:szCs w:val="21"/>
          <w:shd w:val="clear" w:color="auto" w:fill="FFFFFF"/>
        </w:rPr>
        <w:t>（北京时间）</w:t>
      </w:r>
    </w:p>
    <w:p w14:paraId="70705A60">
      <w:pPr>
        <w:widowControl/>
        <w:shd w:val="clear" w:color="auto" w:fill="FFFFFF"/>
        <w:snapToGrid w:val="0"/>
        <w:spacing w:line="360" w:lineRule="auto"/>
        <w:ind w:firstLine="480"/>
        <w:jc w:val="left"/>
        <w:rPr>
          <w:rFonts w:hint="eastAsia" w:ascii="宋体" w:hAnsi="宋体" w:eastAsia="宋体" w:cs="宋体"/>
          <w:kern w:val="0"/>
          <w:sz w:val="21"/>
          <w:szCs w:val="21"/>
        </w:rPr>
      </w:pPr>
      <w:r>
        <w:rPr>
          <w:rFonts w:hint="eastAsia" w:ascii="宋体" w:hAnsi="宋体" w:eastAsia="宋体" w:cs="宋体"/>
          <w:kern w:val="0"/>
          <w:sz w:val="21"/>
          <w:szCs w:val="21"/>
        </w:rPr>
        <w:t>2、地点：平顶山市</w:t>
      </w:r>
      <w:r>
        <w:rPr>
          <w:rFonts w:hint="eastAsia" w:ascii="宋体" w:hAnsi="宋体" w:eastAsia="宋体" w:cs="宋体"/>
          <w:kern w:val="0"/>
          <w:sz w:val="21"/>
          <w:szCs w:val="21"/>
          <w:shd w:val="clear" w:color="auto" w:fill="FFFFFF"/>
        </w:rPr>
        <w:t>公共资源交易中心电子交易系统。</w:t>
      </w:r>
    </w:p>
    <w:p w14:paraId="1CD10F74">
      <w:pPr>
        <w:spacing w:line="360" w:lineRule="auto"/>
        <w:rPr>
          <w:rFonts w:hint="eastAsia" w:ascii="宋体" w:hAnsi="宋体" w:eastAsia="宋体" w:cs="宋体"/>
          <w:b/>
          <w:sz w:val="21"/>
          <w:szCs w:val="21"/>
        </w:rPr>
      </w:pPr>
      <w:r>
        <w:rPr>
          <w:rFonts w:hint="eastAsia" w:ascii="宋体" w:hAnsi="宋体" w:eastAsia="宋体" w:cs="宋体"/>
          <w:b/>
          <w:bCs/>
          <w:sz w:val="21"/>
          <w:szCs w:val="21"/>
        </w:rPr>
        <w:t>六、发布公告的媒介及招标公告期限</w:t>
      </w:r>
    </w:p>
    <w:p w14:paraId="3BDEEB34">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本次公告在《河南省政府采购网》《平顶山市政府采购网》《平顶山市新华区政府采购网》《全国公共资源交易平台（河南省·平顶山市）》《河南省公共资源交易公共服务平台》上发布。公告期限为三个工作日。</w:t>
      </w:r>
    </w:p>
    <w:p w14:paraId="78E9BAE5">
      <w:pPr>
        <w:spacing w:line="360" w:lineRule="auto"/>
        <w:rPr>
          <w:rFonts w:hint="eastAsia" w:ascii="宋体" w:hAnsi="宋体" w:eastAsia="宋体" w:cs="宋体"/>
          <w:b/>
          <w:bCs/>
          <w:sz w:val="21"/>
          <w:szCs w:val="21"/>
        </w:rPr>
      </w:pPr>
      <w:r>
        <w:rPr>
          <w:rFonts w:hint="eastAsia" w:ascii="宋体" w:hAnsi="宋体" w:eastAsia="宋体" w:cs="宋体"/>
          <w:b/>
          <w:bCs/>
          <w:sz w:val="21"/>
          <w:szCs w:val="21"/>
        </w:rPr>
        <w:t>七、其他补充事宜</w:t>
      </w:r>
    </w:p>
    <w:p w14:paraId="361C6590">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1、全面实行在线“不见面”开标，供应商远程在线解密投标文件，不再到开标现场，供应商开标前应仔细阅读《关于“不见面开标系统”升级的通知》。逾期上传的投标文件，采购人不予受理。</w:t>
      </w:r>
    </w:p>
    <w:p w14:paraId="7A711974">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2、该公告已同步至“平顶山市公共资源交易中心微信公众号”，可通过公众号中的服务栏目进行查阅。</w:t>
      </w:r>
    </w:p>
    <w:p w14:paraId="5FEA76AB">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3、本项目落实扶持不发达地区和少数民族地区，绿色发展、中小微型企业、监狱企业、残疾人福利性单位发展等相关政府采购政策。</w:t>
      </w:r>
    </w:p>
    <w:p w14:paraId="40D75DF4">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4、投标人或其他利害关系人对本次</w:t>
      </w:r>
      <w:r>
        <w:rPr>
          <w:rFonts w:hint="eastAsia" w:ascii="宋体" w:hAnsi="宋体" w:eastAsia="宋体" w:cs="宋体"/>
          <w:sz w:val="21"/>
          <w:szCs w:val="21"/>
          <w:lang w:val="en-US" w:eastAsia="zh-CN"/>
        </w:rPr>
        <w:t>采购公告</w:t>
      </w:r>
      <w:r>
        <w:rPr>
          <w:rFonts w:hint="eastAsia" w:ascii="宋体" w:hAnsi="宋体" w:eastAsia="宋体" w:cs="宋体"/>
          <w:sz w:val="21"/>
          <w:szCs w:val="21"/>
        </w:rPr>
        <w:t>如有异议</w:t>
      </w:r>
      <w:r>
        <w:rPr>
          <w:rFonts w:hint="eastAsia" w:ascii="宋体" w:hAnsi="宋体" w:eastAsia="宋体" w:cs="宋体"/>
          <w:sz w:val="21"/>
          <w:szCs w:val="21"/>
          <w:lang w:eastAsia="zh-CN"/>
        </w:rPr>
        <w:t>，</w:t>
      </w:r>
      <w:r>
        <w:rPr>
          <w:rFonts w:hint="eastAsia" w:ascii="宋体" w:hAnsi="宋体" w:eastAsia="宋体" w:cs="宋体"/>
          <w:sz w:val="21"/>
          <w:szCs w:val="21"/>
        </w:rPr>
        <w:t>请按中华人民共和国财政部令第94号《政府采购质疑和投诉办法》的相关规定，</w:t>
      </w:r>
      <w:r>
        <w:rPr>
          <w:rFonts w:hint="eastAsia" w:ascii="宋体" w:hAnsi="宋体" w:eastAsia="宋体" w:cs="宋体"/>
          <w:sz w:val="21"/>
          <w:szCs w:val="21"/>
          <w:lang w:val="en-US" w:eastAsia="zh-CN"/>
        </w:rPr>
        <w:t>在规定时间内，</w:t>
      </w:r>
      <w:r>
        <w:rPr>
          <w:rFonts w:hint="eastAsia" w:ascii="宋体" w:hAnsi="宋体" w:eastAsia="宋体" w:cs="宋体"/>
          <w:sz w:val="21"/>
          <w:szCs w:val="21"/>
        </w:rPr>
        <w:t>向采购人</w:t>
      </w:r>
      <w:r>
        <w:rPr>
          <w:rFonts w:hint="eastAsia" w:ascii="宋体" w:hAnsi="宋体" w:eastAsia="宋体" w:cs="宋体"/>
          <w:sz w:val="21"/>
          <w:szCs w:val="21"/>
          <w:lang w:eastAsia="zh-CN"/>
        </w:rPr>
        <w:t>、</w:t>
      </w:r>
      <w:r>
        <w:rPr>
          <w:rFonts w:hint="eastAsia" w:ascii="宋体" w:hAnsi="宋体" w:eastAsia="宋体" w:cs="宋体"/>
          <w:sz w:val="21"/>
          <w:szCs w:val="21"/>
        </w:rPr>
        <w:t>采购代理机构</w:t>
      </w: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政府采购监督部门</w:t>
      </w:r>
      <w:r>
        <w:rPr>
          <w:rFonts w:hint="eastAsia" w:ascii="宋体" w:hAnsi="宋体" w:eastAsia="宋体" w:cs="宋体"/>
          <w:sz w:val="21"/>
          <w:szCs w:val="21"/>
        </w:rPr>
        <w:t>提出质疑</w:t>
      </w: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投诉等事宜。</w:t>
      </w:r>
      <w:r>
        <w:rPr>
          <w:rFonts w:hint="eastAsia" w:ascii="宋体" w:hAnsi="宋体" w:eastAsia="宋体" w:cs="宋体"/>
          <w:sz w:val="21"/>
          <w:szCs w:val="21"/>
        </w:rPr>
        <w:t>逾期未提交或未按照要求提交的质疑</w:t>
      </w: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投诉</w:t>
      </w:r>
      <w:r>
        <w:rPr>
          <w:rFonts w:hint="eastAsia" w:ascii="宋体" w:hAnsi="宋体" w:eastAsia="宋体" w:cs="宋体"/>
          <w:sz w:val="21"/>
          <w:szCs w:val="21"/>
        </w:rPr>
        <w:t>将不予受理。</w:t>
      </w:r>
    </w:p>
    <w:p w14:paraId="63EC12F3">
      <w:pPr>
        <w:spacing w:line="360" w:lineRule="auto"/>
        <w:ind w:left="334" w:leftChars="139"/>
        <w:rPr>
          <w:rFonts w:ascii="宋体" w:hAnsi="宋体" w:eastAsia="宋体" w:cs="宋体"/>
          <w:sz w:val="21"/>
          <w:szCs w:val="21"/>
        </w:rPr>
      </w:pPr>
      <w:r>
        <w:rPr>
          <w:rFonts w:hint="eastAsia" w:ascii="宋体" w:hAnsi="宋体" w:eastAsia="宋体" w:cs="宋体"/>
          <w:sz w:val="21"/>
          <w:szCs w:val="21"/>
        </w:rPr>
        <w:t xml:space="preserve">5、监督单位：平顶山市新华区财政局    </w:t>
      </w:r>
    </w:p>
    <w:p w14:paraId="4EEF25B7">
      <w:pPr>
        <w:spacing w:line="360" w:lineRule="auto"/>
        <w:ind w:left="334" w:leftChars="139"/>
        <w:rPr>
          <w:rFonts w:hint="eastAsia" w:ascii="宋体" w:hAnsi="宋体" w:eastAsia="宋体" w:cs="宋体"/>
          <w:sz w:val="21"/>
          <w:szCs w:val="21"/>
        </w:rPr>
      </w:pPr>
      <w:r>
        <w:rPr>
          <w:rFonts w:hint="eastAsia" w:ascii="宋体" w:hAnsi="宋体" w:eastAsia="宋体" w:cs="宋体"/>
          <w:sz w:val="21"/>
          <w:szCs w:val="21"/>
        </w:rPr>
        <w:t>联系方式：0375-7666036</w:t>
      </w:r>
    </w:p>
    <w:p w14:paraId="78C091AD">
      <w:pPr>
        <w:spacing w:line="360" w:lineRule="auto"/>
        <w:rPr>
          <w:rFonts w:hint="eastAsia" w:ascii="宋体" w:hAnsi="宋体" w:eastAsia="宋体" w:cs="宋体"/>
          <w:b/>
          <w:bCs/>
          <w:sz w:val="21"/>
          <w:szCs w:val="21"/>
        </w:rPr>
      </w:pPr>
      <w:r>
        <w:rPr>
          <w:rFonts w:hint="eastAsia" w:ascii="宋体" w:hAnsi="宋体" w:eastAsia="宋体" w:cs="宋体"/>
          <w:b/>
          <w:bCs/>
          <w:sz w:val="21"/>
          <w:szCs w:val="21"/>
        </w:rPr>
        <w:t>八、凡对本次招标提出询问，请按照以下方式联系</w:t>
      </w:r>
    </w:p>
    <w:p w14:paraId="2432C5CD">
      <w:pPr>
        <w:spacing w:line="500" w:lineRule="exact"/>
        <w:ind w:firstLine="420" w:firstLineChars="200"/>
        <w:rPr>
          <w:rFonts w:hint="eastAsia" w:ascii="宋体" w:hAnsi="宋体" w:eastAsia="宋体" w:cs="宋体"/>
          <w:sz w:val="21"/>
          <w:szCs w:val="21"/>
        </w:rPr>
      </w:pPr>
      <w:r>
        <w:rPr>
          <w:rFonts w:hint="eastAsia" w:ascii="宋体" w:hAnsi="宋体" w:eastAsia="宋体" w:cs="宋体"/>
          <w:sz w:val="21"/>
          <w:szCs w:val="21"/>
        </w:rPr>
        <w:t>1.采购人信息</w:t>
      </w:r>
    </w:p>
    <w:p w14:paraId="4161F51E">
      <w:pPr>
        <w:spacing w:line="500" w:lineRule="exact"/>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名称：中共平顶山市新华区委政法委员会</w:t>
      </w:r>
    </w:p>
    <w:p w14:paraId="3D7D8458">
      <w:pPr>
        <w:spacing w:line="500" w:lineRule="exact"/>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地址：河南省平顶山市建设路西段277号院内</w:t>
      </w:r>
    </w:p>
    <w:p w14:paraId="6EFCC75D">
      <w:pPr>
        <w:spacing w:line="500" w:lineRule="exact"/>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联系人：吕先生</w:t>
      </w:r>
    </w:p>
    <w:p w14:paraId="3C090D5F">
      <w:pPr>
        <w:spacing w:line="500" w:lineRule="exact"/>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联系方式：17703756001</w:t>
      </w:r>
    </w:p>
    <w:p w14:paraId="165CBF47">
      <w:pPr>
        <w:spacing w:line="500" w:lineRule="exact"/>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2.采购代理机构信息</w:t>
      </w:r>
    </w:p>
    <w:bookmarkEnd w:id="2"/>
    <w:p w14:paraId="64EB80D8">
      <w:pPr>
        <w:spacing w:line="500" w:lineRule="exact"/>
        <w:ind w:firstLine="420" w:firstLineChars="200"/>
        <w:rPr>
          <w:rFonts w:hint="eastAsia" w:ascii="宋体" w:hAnsi="宋体" w:eastAsia="宋体" w:cs="宋体"/>
          <w:sz w:val="21"/>
          <w:szCs w:val="21"/>
        </w:rPr>
      </w:pPr>
      <w:r>
        <w:rPr>
          <w:rFonts w:hint="eastAsia" w:ascii="宋体" w:hAnsi="宋体" w:eastAsia="宋体" w:cs="宋体"/>
          <w:sz w:val="21"/>
          <w:szCs w:val="21"/>
        </w:rPr>
        <w:t>名称：河南易采工程管理有限公司</w:t>
      </w:r>
    </w:p>
    <w:p w14:paraId="42F68EE5">
      <w:pPr>
        <w:spacing w:line="500" w:lineRule="exact"/>
        <w:ind w:firstLine="420" w:firstLineChars="200"/>
        <w:rPr>
          <w:rFonts w:hint="eastAsia" w:ascii="宋体" w:hAnsi="宋体" w:eastAsia="宋体" w:cs="宋体"/>
          <w:sz w:val="21"/>
          <w:szCs w:val="21"/>
        </w:rPr>
      </w:pPr>
      <w:r>
        <w:rPr>
          <w:rFonts w:hint="eastAsia" w:ascii="宋体" w:hAnsi="宋体" w:eastAsia="宋体" w:cs="宋体"/>
          <w:sz w:val="21"/>
          <w:szCs w:val="21"/>
        </w:rPr>
        <w:t>地址：河南省平顶山市未来路中段中梁鹰城壹号院</w:t>
      </w:r>
    </w:p>
    <w:p w14:paraId="3B7F56DE">
      <w:pPr>
        <w:spacing w:line="500" w:lineRule="exact"/>
        <w:ind w:firstLine="420" w:firstLineChars="200"/>
        <w:rPr>
          <w:rFonts w:hint="eastAsia" w:ascii="宋体" w:hAnsi="宋体" w:eastAsia="宋体" w:cs="宋体"/>
          <w:sz w:val="21"/>
          <w:szCs w:val="21"/>
        </w:rPr>
      </w:pPr>
      <w:r>
        <w:rPr>
          <w:rFonts w:hint="eastAsia" w:ascii="宋体" w:hAnsi="宋体" w:eastAsia="宋体" w:cs="宋体"/>
          <w:sz w:val="21"/>
          <w:szCs w:val="21"/>
        </w:rPr>
        <w:t>联系人：吴女士</w:t>
      </w:r>
    </w:p>
    <w:p w14:paraId="55C1790D">
      <w:pPr>
        <w:spacing w:line="500" w:lineRule="exact"/>
        <w:ind w:firstLine="420" w:firstLineChars="200"/>
        <w:rPr>
          <w:rFonts w:hint="eastAsia" w:ascii="宋体" w:hAnsi="宋体" w:eastAsia="宋体" w:cs="宋体"/>
          <w:sz w:val="21"/>
          <w:szCs w:val="21"/>
        </w:rPr>
      </w:pPr>
      <w:r>
        <w:rPr>
          <w:rFonts w:hint="eastAsia" w:ascii="宋体" w:hAnsi="宋体" w:eastAsia="宋体" w:cs="宋体"/>
          <w:sz w:val="21"/>
          <w:szCs w:val="21"/>
        </w:rPr>
        <w:t>联系方式：0375-2555998、19939030802</w:t>
      </w:r>
    </w:p>
    <w:p w14:paraId="4C2A117C">
      <w:pPr>
        <w:spacing w:line="500" w:lineRule="exact"/>
        <w:ind w:firstLine="420" w:firstLineChars="200"/>
        <w:rPr>
          <w:rFonts w:hint="eastAsia" w:ascii="宋体" w:hAnsi="宋体" w:eastAsia="宋体" w:cs="宋体"/>
          <w:sz w:val="21"/>
          <w:szCs w:val="21"/>
        </w:rPr>
      </w:pPr>
      <w:r>
        <w:rPr>
          <w:rFonts w:hint="eastAsia" w:ascii="宋体" w:hAnsi="宋体" w:eastAsia="宋体" w:cs="宋体"/>
          <w:sz w:val="21"/>
          <w:szCs w:val="21"/>
        </w:rPr>
        <w:t>3.项目联系方式</w:t>
      </w:r>
    </w:p>
    <w:p w14:paraId="17D77DE1">
      <w:pPr>
        <w:spacing w:line="500" w:lineRule="exact"/>
        <w:ind w:firstLine="420" w:firstLineChars="200"/>
        <w:rPr>
          <w:rFonts w:hint="eastAsia" w:ascii="宋体" w:hAnsi="宋体" w:eastAsia="宋体" w:cs="宋体"/>
          <w:sz w:val="21"/>
          <w:szCs w:val="21"/>
        </w:rPr>
      </w:pPr>
      <w:r>
        <w:rPr>
          <w:rFonts w:hint="eastAsia" w:ascii="宋体" w:hAnsi="宋体" w:eastAsia="宋体" w:cs="宋体"/>
          <w:sz w:val="21"/>
          <w:szCs w:val="21"/>
        </w:rPr>
        <w:t>联系人：吴女士</w:t>
      </w:r>
    </w:p>
    <w:p w14:paraId="65B49169">
      <w:pPr>
        <w:spacing w:line="500" w:lineRule="exact"/>
        <w:ind w:firstLine="420" w:firstLineChars="200"/>
        <w:rPr>
          <w:rFonts w:hint="eastAsia" w:ascii="宋体" w:hAnsi="宋体" w:eastAsia="宋体" w:cs="宋体"/>
          <w:sz w:val="21"/>
          <w:szCs w:val="21"/>
        </w:rPr>
      </w:pPr>
      <w:r>
        <w:rPr>
          <w:rFonts w:hint="eastAsia" w:ascii="宋体" w:hAnsi="宋体" w:eastAsia="宋体" w:cs="宋体"/>
          <w:sz w:val="21"/>
          <w:szCs w:val="21"/>
        </w:rPr>
        <w:t>联系方式：0375-2555998</w:t>
      </w:r>
    </w:p>
    <w:p w14:paraId="163FAC99">
      <w:pPr>
        <w:spacing w:line="500" w:lineRule="exact"/>
        <w:ind w:firstLine="420" w:firstLineChars="200"/>
        <w:rPr>
          <w:rFonts w:hint="eastAsia" w:ascii="宋体" w:hAnsi="宋体" w:eastAsia="宋体" w:cs="宋体"/>
          <w:sz w:val="21"/>
          <w:szCs w:val="21"/>
        </w:rPr>
      </w:pPr>
    </w:p>
    <w:p w14:paraId="6E339A08">
      <w:pPr>
        <w:spacing w:line="500" w:lineRule="exact"/>
        <w:ind w:firstLine="422" w:firstLineChars="200"/>
        <w:rPr>
          <w:rFonts w:hint="eastAsia" w:ascii="宋体" w:hAnsi="宋体" w:eastAsia="宋体" w:cs="宋体"/>
          <w:b/>
          <w:bCs/>
          <w:sz w:val="21"/>
          <w:szCs w:val="21"/>
        </w:rPr>
      </w:pPr>
      <w:r>
        <w:rPr>
          <w:rFonts w:hint="eastAsia" w:ascii="宋体" w:hAnsi="宋体" w:eastAsia="宋体" w:cs="宋体"/>
          <w:b/>
          <w:bCs/>
          <w:sz w:val="21"/>
          <w:szCs w:val="21"/>
        </w:rPr>
        <w:br w:type="page"/>
      </w:r>
    </w:p>
    <w:p w14:paraId="7929AA50">
      <w:pPr>
        <w:spacing w:line="360" w:lineRule="auto"/>
        <w:ind w:firstLine="422" w:firstLineChars="200"/>
        <w:jc w:val="center"/>
        <w:rPr>
          <w:rFonts w:hint="eastAsia" w:ascii="宋体" w:hAnsi="宋体" w:eastAsia="宋体" w:cs="宋体"/>
          <w:b/>
          <w:bCs/>
          <w:sz w:val="21"/>
          <w:szCs w:val="21"/>
        </w:rPr>
      </w:pPr>
      <w:r>
        <w:rPr>
          <w:rFonts w:hint="eastAsia" w:ascii="宋体" w:hAnsi="宋体" w:eastAsia="宋体" w:cs="宋体"/>
          <w:b/>
          <w:bCs/>
          <w:sz w:val="21"/>
          <w:szCs w:val="21"/>
        </w:rPr>
        <w:t>温馨提示：</w:t>
      </w:r>
    </w:p>
    <w:p w14:paraId="749244DB">
      <w:pPr>
        <w:spacing w:line="360" w:lineRule="auto"/>
        <w:ind w:firstLine="420" w:firstLineChars="200"/>
        <w:rPr>
          <w:rFonts w:hint="eastAsia" w:ascii="宋体" w:hAnsi="宋体" w:eastAsia="宋体" w:cs="宋体"/>
          <w:sz w:val="21"/>
          <w:szCs w:val="21"/>
        </w:rPr>
      </w:pPr>
    </w:p>
    <w:p w14:paraId="0E8F962F">
      <w:pPr>
        <w:shd w:val="clear" w:color="auto" w:fill="FFFFFF"/>
        <w:adjustRightInd w:val="0"/>
        <w:snapToGrid w:val="0"/>
        <w:spacing w:line="360" w:lineRule="auto"/>
        <w:ind w:firstLine="482"/>
        <w:rPr>
          <w:rFonts w:hint="eastAsia" w:ascii="宋体" w:hAnsi="宋体" w:eastAsia="宋体" w:cs="宋体"/>
          <w:bCs/>
          <w:sz w:val="21"/>
          <w:szCs w:val="21"/>
        </w:rPr>
      </w:pPr>
      <w:r>
        <w:rPr>
          <w:rFonts w:hint="eastAsia" w:ascii="宋体" w:hAnsi="宋体" w:eastAsia="宋体" w:cs="宋体"/>
          <w:bCs/>
          <w:sz w:val="21"/>
          <w:szCs w:val="21"/>
        </w:rPr>
        <w:t>本项目为全流程电子化交易项目，请认真阅读磋商文件，并注意以下事项。</w:t>
      </w:r>
    </w:p>
    <w:p w14:paraId="775F4C11">
      <w:pPr>
        <w:shd w:val="clear" w:color="auto" w:fill="FFFFFF"/>
        <w:adjustRightInd w:val="0"/>
        <w:snapToGrid w:val="0"/>
        <w:spacing w:line="360" w:lineRule="auto"/>
        <w:ind w:firstLine="640"/>
        <w:rPr>
          <w:rFonts w:hint="eastAsia" w:ascii="宋体" w:hAnsi="宋体" w:eastAsia="宋体" w:cs="宋体"/>
          <w:bCs/>
          <w:sz w:val="21"/>
          <w:szCs w:val="21"/>
        </w:rPr>
      </w:pPr>
      <w:r>
        <w:rPr>
          <w:rFonts w:hint="eastAsia" w:ascii="宋体" w:hAnsi="宋体" w:eastAsia="宋体" w:cs="宋体"/>
          <w:bCs/>
          <w:sz w:val="21"/>
          <w:szCs w:val="21"/>
        </w:rPr>
        <w:t>1.供应商应按磋商文件规定编制、提交电子响应文件。</w:t>
      </w:r>
    </w:p>
    <w:p w14:paraId="4D505EDC">
      <w:pPr>
        <w:shd w:val="clear" w:color="auto" w:fill="FFFFFF"/>
        <w:adjustRightInd w:val="0"/>
        <w:snapToGrid w:val="0"/>
        <w:spacing w:line="360" w:lineRule="auto"/>
        <w:ind w:firstLine="640"/>
        <w:rPr>
          <w:rFonts w:hint="eastAsia" w:ascii="宋体" w:hAnsi="宋体" w:eastAsia="宋体" w:cs="宋体"/>
          <w:bCs/>
          <w:sz w:val="21"/>
          <w:szCs w:val="21"/>
        </w:rPr>
      </w:pPr>
      <w:r>
        <w:rPr>
          <w:rFonts w:hint="eastAsia" w:ascii="宋体" w:hAnsi="宋体" w:eastAsia="宋体" w:cs="宋体"/>
          <w:bCs/>
          <w:sz w:val="21"/>
          <w:szCs w:val="21"/>
        </w:rPr>
        <w:t>2.本项目供应商不用再提供纸质响应文件。</w:t>
      </w:r>
    </w:p>
    <w:p w14:paraId="5DF731C7">
      <w:pPr>
        <w:shd w:val="clear" w:color="auto" w:fill="FFFFFF"/>
        <w:adjustRightInd w:val="0"/>
        <w:snapToGrid w:val="0"/>
        <w:spacing w:line="360" w:lineRule="auto"/>
        <w:ind w:firstLine="640"/>
        <w:rPr>
          <w:rFonts w:hint="eastAsia" w:ascii="宋体" w:hAnsi="宋体" w:eastAsia="宋体" w:cs="宋体"/>
          <w:bCs/>
          <w:sz w:val="21"/>
          <w:szCs w:val="21"/>
        </w:rPr>
      </w:pPr>
      <w:r>
        <w:rPr>
          <w:rFonts w:hint="eastAsia" w:ascii="宋体" w:hAnsi="宋体" w:eastAsia="宋体" w:cs="宋体"/>
          <w:bCs/>
          <w:sz w:val="21"/>
          <w:szCs w:val="21"/>
        </w:rPr>
        <w:t>3.电子文件下载、制作、提交期间和开标（电子响应文件的解密）环节，供应商须使用CA数字证书（证书须在有效期内）。</w:t>
      </w:r>
    </w:p>
    <w:p w14:paraId="24C74E24">
      <w:pPr>
        <w:shd w:val="clear" w:color="auto" w:fill="FFFFFF"/>
        <w:adjustRightInd w:val="0"/>
        <w:snapToGrid w:val="0"/>
        <w:spacing w:line="360" w:lineRule="auto"/>
        <w:ind w:firstLine="640"/>
        <w:rPr>
          <w:rFonts w:hint="eastAsia" w:ascii="宋体" w:hAnsi="宋体" w:eastAsia="宋体" w:cs="宋体"/>
          <w:bCs/>
          <w:sz w:val="21"/>
          <w:szCs w:val="21"/>
        </w:rPr>
      </w:pPr>
      <w:r>
        <w:rPr>
          <w:rFonts w:hint="eastAsia" w:ascii="宋体" w:hAnsi="宋体" w:eastAsia="宋体" w:cs="宋体"/>
          <w:bCs/>
          <w:sz w:val="21"/>
          <w:szCs w:val="21"/>
        </w:rPr>
        <w:t>4.电子响应文件的制作</w:t>
      </w:r>
    </w:p>
    <w:p w14:paraId="4DA3A189">
      <w:pPr>
        <w:shd w:val="clear" w:color="auto" w:fill="FFFFFF"/>
        <w:adjustRightInd w:val="0"/>
        <w:snapToGrid w:val="0"/>
        <w:spacing w:line="360" w:lineRule="auto"/>
        <w:ind w:firstLine="640"/>
        <w:rPr>
          <w:rFonts w:hint="eastAsia" w:ascii="宋体" w:hAnsi="宋体" w:eastAsia="宋体" w:cs="宋体"/>
          <w:bCs/>
          <w:sz w:val="21"/>
          <w:szCs w:val="21"/>
        </w:rPr>
      </w:pPr>
      <w:r>
        <w:rPr>
          <w:rFonts w:hint="eastAsia" w:ascii="宋体" w:hAnsi="宋体" w:eastAsia="宋体" w:cs="宋体"/>
          <w:bCs/>
          <w:sz w:val="21"/>
          <w:szCs w:val="21"/>
        </w:rPr>
        <w:t>4.1供应商登录《全国公共资源交易平台(河南省▪平顶山市)》公共资源交易系统（http://221.176.192.166:8080/ggzy/）下载“平顶山响应文件制作系统”，按磋商文件要求制作电子响应文件。</w:t>
      </w:r>
    </w:p>
    <w:p w14:paraId="6B63C15F">
      <w:pPr>
        <w:shd w:val="clear" w:color="auto" w:fill="FFFFFF"/>
        <w:adjustRightInd w:val="0"/>
        <w:snapToGrid w:val="0"/>
        <w:spacing w:line="360" w:lineRule="auto"/>
        <w:ind w:firstLine="640"/>
        <w:rPr>
          <w:rFonts w:hint="eastAsia" w:ascii="宋体" w:hAnsi="宋体" w:eastAsia="宋体" w:cs="宋体"/>
          <w:bCs/>
          <w:sz w:val="21"/>
          <w:szCs w:val="21"/>
        </w:rPr>
      </w:pPr>
      <w:r>
        <w:rPr>
          <w:rFonts w:hint="eastAsia" w:ascii="宋体" w:hAnsi="宋体" w:eastAsia="宋体" w:cs="宋体"/>
          <w:bCs/>
          <w:sz w:val="21"/>
          <w:szCs w:val="21"/>
        </w:rPr>
        <w:t>电子响应文件的制作，参考《全国公共资源交易平台(河南省.平顶山市)》公共资源交易系统——组件下载——交易系统操作手册（供应商、供应商）。</w:t>
      </w:r>
    </w:p>
    <w:p w14:paraId="11B95482">
      <w:pPr>
        <w:shd w:val="clear" w:color="auto" w:fill="FFFFFF"/>
        <w:adjustRightInd w:val="0"/>
        <w:snapToGrid w:val="0"/>
        <w:spacing w:line="360" w:lineRule="auto"/>
        <w:ind w:firstLine="640"/>
        <w:rPr>
          <w:rFonts w:hint="eastAsia" w:ascii="宋体" w:hAnsi="宋体" w:eastAsia="宋体" w:cs="宋体"/>
          <w:bCs/>
          <w:sz w:val="21"/>
          <w:szCs w:val="21"/>
        </w:rPr>
      </w:pPr>
      <w:r>
        <w:rPr>
          <w:rFonts w:hint="eastAsia" w:ascii="宋体" w:hAnsi="宋体" w:eastAsia="宋体" w:cs="宋体"/>
          <w:bCs/>
          <w:sz w:val="21"/>
          <w:szCs w:val="21"/>
        </w:rPr>
        <w:t>4.2供应商须将磋商文件要求的资质、业绩、荣誉及相关人员证明材料等资料原件扫描件（或图片）制作到所提交的电子响应文件中。</w:t>
      </w:r>
    </w:p>
    <w:p w14:paraId="07B61365">
      <w:pPr>
        <w:shd w:val="clear" w:color="auto" w:fill="FFFFFF"/>
        <w:adjustRightInd w:val="0"/>
        <w:snapToGrid w:val="0"/>
        <w:spacing w:line="360" w:lineRule="auto"/>
        <w:ind w:firstLine="640"/>
        <w:rPr>
          <w:rFonts w:hint="eastAsia" w:ascii="宋体" w:hAnsi="宋体" w:eastAsia="宋体" w:cs="宋体"/>
          <w:bCs/>
          <w:sz w:val="21"/>
          <w:szCs w:val="21"/>
        </w:rPr>
      </w:pPr>
      <w:r>
        <w:rPr>
          <w:rFonts w:hint="eastAsia" w:ascii="宋体" w:hAnsi="宋体" w:eastAsia="宋体" w:cs="宋体"/>
          <w:bCs/>
          <w:sz w:val="21"/>
          <w:szCs w:val="21"/>
        </w:rPr>
        <w:t>4.3供应商对同一项目多个标段进行投标的，应分别下载所投标段的磋商文件，按标段制作电子响应文件，并按磋商文件要求在相应位置加盖供应商电子印章和法人电子印章。</w:t>
      </w:r>
    </w:p>
    <w:p w14:paraId="111BF285">
      <w:pPr>
        <w:shd w:val="clear" w:color="auto" w:fill="FFFFFF"/>
        <w:adjustRightInd w:val="0"/>
        <w:snapToGrid w:val="0"/>
        <w:spacing w:line="360" w:lineRule="auto"/>
        <w:ind w:firstLine="640"/>
        <w:rPr>
          <w:rFonts w:hint="eastAsia" w:ascii="宋体" w:hAnsi="宋体" w:eastAsia="宋体" w:cs="宋体"/>
          <w:bCs/>
          <w:sz w:val="21"/>
          <w:szCs w:val="21"/>
        </w:rPr>
      </w:pPr>
      <w:r>
        <w:rPr>
          <w:rFonts w:hint="eastAsia" w:ascii="宋体" w:hAnsi="宋体" w:eastAsia="宋体" w:cs="宋体"/>
          <w:bCs/>
          <w:sz w:val="21"/>
          <w:szCs w:val="21"/>
        </w:rPr>
        <w:t>一个标段对应生成一个文件夹（xxxx项目xx标段）, 其中包含2个文件和1个文件夹。后缀名为“.file”的文件用于电子投标使用，名称为“备份”的文件夹使用电子介质存储，供开标现场备用。</w:t>
      </w:r>
    </w:p>
    <w:p w14:paraId="0E8280D6">
      <w:pPr>
        <w:shd w:val="clear" w:color="auto" w:fill="FFFFFF"/>
        <w:adjustRightInd w:val="0"/>
        <w:snapToGrid w:val="0"/>
        <w:spacing w:line="360" w:lineRule="auto"/>
        <w:ind w:firstLine="640"/>
        <w:rPr>
          <w:rFonts w:hint="eastAsia" w:ascii="宋体" w:hAnsi="宋体" w:eastAsia="宋体" w:cs="宋体"/>
          <w:bCs/>
          <w:sz w:val="21"/>
          <w:szCs w:val="21"/>
        </w:rPr>
      </w:pPr>
      <w:r>
        <w:rPr>
          <w:rFonts w:hint="eastAsia" w:ascii="宋体" w:hAnsi="宋体" w:eastAsia="宋体" w:cs="宋体"/>
          <w:bCs/>
          <w:sz w:val="21"/>
          <w:szCs w:val="21"/>
        </w:rPr>
        <w:t>5.加密电子响应文件的提交</w:t>
      </w:r>
    </w:p>
    <w:p w14:paraId="49FB20D5">
      <w:pPr>
        <w:shd w:val="clear" w:color="auto" w:fill="FFFFFF"/>
        <w:adjustRightInd w:val="0"/>
        <w:snapToGrid w:val="0"/>
        <w:spacing w:line="360" w:lineRule="auto"/>
        <w:ind w:firstLine="640"/>
        <w:rPr>
          <w:rFonts w:hint="eastAsia" w:ascii="宋体" w:hAnsi="宋体" w:eastAsia="宋体" w:cs="宋体"/>
          <w:bCs/>
          <w:sz w:val="21"/>
          <w:szCs w:val="21"/>
        </w:rPr>
      </w:pPr>
      <w:r>
        <w:rPr>
          <w:rFonts w:hint="eastAsia" w:ascii="宋体" w:hAnsi="宋体" w:eastAsia="宋体" w:cs="宋体"/>
          <w:bCs/>
          <w:sz w:val="21"/>
          <w:szCs w:val="21"/>
        </w:rPr>
        <w:t>5.1加密电子响应文件应在磋商文件规定的投标截止时间（开标时间）之前成功提交至《全国公共资源交易平台(河南省▪平顶山市)》公共资源交易系统（http://221.176.192.166:8080/ggzy/）。</w:t>
      </w:r>
    </w:p>
    <w:p w14:paraId="1C53519A">
      <w:pPr>
        <w:shd w:val="clear" w:color="auto" w:fill="FFFFFF"/>
        <w:adjustRightInd w:val="0"/>
        <w:snapToGrid w:val="0"/>
        <w:spacing w:line="360" w:lineRule="auto"/>
        <w:ind w:firstLine="640"/>
        <w:rPr>
          <w:rFonts w:hint="eastAsia" w:ascii="宋体" w:hAnsi="宋体" w:eastAsia="宋体" w:cs="宋体"/>
          <w:bCs/>
          <w:sz w:val="21"/>
          <w:szCs w:val="21"/>
        </w:rPr>
      </w:pPr>
      <w:r>
        <w:rPr>
          <w:rFonts w:hint="eastAsia" w:ascii="宋体" w:hAnsi="宋体" w:eastAsia="宋体" w:cs="宋体"/>
          <w:bCs/>
          <w:sz w:val="21"/>
          <w:szCs w:val="21"/>
        </w:rPr>
        <w:t>供应商应充分考虑并预留技术处理和上传数据所需时间。</w:t>
      </w:r>
    </w:p>
    <w:p w14:paraId="6EB7012C">
      <w:pPr>
        <w:shd w:val="clear" w:color="auto" w:fill="FFFFFF"/>
        <w:adjustRightInd w:val="0"/>
        <w:snapToGrid w:val="0"/>
        <w:spacing w:line="360" w:lineRule="auto"/>
        <w:ind w:firstLine="640"/>
        <w:rPr>
          <w:rFonts w:hint="eastAsia" w:ascii="宋体" w:hAnsi="宋体" w:eastAsia="宋体" w:cs="宋体"/>
          <w:bCs/>
          <w:sz w:val="21"/>
          <w:szCs w:val="21"/>
        </w:rPr>
      </w:pPr>
      <w:r>
        <w:rPr>
          <w:rFonts w:hint="eastAsia" w:ascii="宋体" w:hAnsi="宋体" w:eastAsia="宋体" w:cs="宋体"/>
          <w:bCs/>
          <w:sz w:val="21"/>
          <w:szCs w:val="21"/>
        </w:rPr>
        <w:t>5.2供应商对同一项目多个标段进行投标的，加密电子响应文件应按标段分别提交。</w:t>
      </w:r>
    </w:p>
    <w:p w14:paraId="20FE83CF">
      <w:pPr>
        <w:widowControl/>
        <w:spacing w:line="360" w:lineRule="auto"/>
        <w:jc w:val="left"/>
        <w:rPr>
          <w:rFonts w:hint="eastAsia" w:ascii="宋体" w:hAnsi="宋体" w:eastAsia="宋体" w:cs="宋体"/>
          <w:sz w:val="21"/>
          <w:szCs w:val="21"/>
        </w:rPr>
      </w:pPr>
      <w:r>
        <w:rPr>
          <w:rFonts w:hint="eastAsia" w:ascii="宋体" w:hAnsi="宋体" w:eastAsia="宋体" w:cs="宋体"/>
          <w:sz w:val="21"/>
          <w:szCs w:val="21"/>
        </w:rPr>
        <w:br w:type="page"/>
      </w:r>
    </w:p>
    <w:p w14:paraId="250EAB9D">
      <w:pPr>
        <w:jc w:val="center"/>
        <w:outlineLvl w:val="0"/>
        <w:rPr>
          <w:rFonts w:hint="eastAsia" w:ascii="宋体" w:hAnsi="宋体" w:eastAsia="宋体" w:cs="宋体"/>
          <w:b/>
          <w:sz w:val="32"/>
        </w:rPr>
      </w:pPr>
      <w:bookmarkStart w:id="4" w:name="_Toc45177802"/>
      <w:bookmarkStart w:id="5" w:name="_Toc3556"/>
      <w:bookmarkStart w:id="6" w:name="_Toc5871"/>
      <w:r>
        <w:rPr>
          <w:rFonts w:hint="eastAsia" w:ascii="宋体" w:hAnsi="宋体" w:eastAsia="宋体" w:cs="宋体"/>
          <w:b/>
          <w:sz w:val="32"/>
        </w:rPr>
        <w:t>第二章  供应商须知</w:t>
      </w:r>
      <w:bookmarkEnd w:id="4"/>
      <w:bookmarkEnd w:id="5"/>
      <w:bookmarkEnd w:id="6"/>
    </w:p>
    <w:p w14:paraId="264718AD">
      <w:pPr>
        <w:jc w:val="center"/>
        <w:rPr>
          <w:rFonts w:hint="eastAsia" w:ascii="宋体" w:hAnsi="宋体" w:eastAsia="宋体" w:cs="宋体"/>
        </w:rPr>
      </w:pPr>
      <w:r>
        <w:rPr>
          <w:rFonts w:hint="eastAsia" w:ascii="宋体" w:hAnsi="宋体" w:eastAsia="宋体" w:cs="宋体"/>
        </w:rPr>
        <w:t>供应商须知前附表</w:t>
      </w:r>
    </w:p>
    <w:tbl>
      <w:tblPr>
        <w:tblStyle w:val="32"/>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47"/>
        <w:gridCol w:w="1389"/>
        <w:gridCol w:w="137"/>
        <w:gridCol w:w="7589"/>
      </w:tblGrid>
      <w:tr w14:paraId="75D325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25" w:type="pct"/>
            <w:vAlign w:val="center"/>
          </w:tcPr>
          <w:p w14:paraId="3FA3EA37">
            <w:pPr>
              <w:spacing w:line="360" w:lineRule="auto"/>
              <w:jc w:val="center"/>
              <w:rPr>
                <w:rFonts w:hint="eastAsia" w:ascii="宋体" w:hAnsi="宋体" w:eastAsia="宋体" w:cs="宋体"/>
                <w:sz w:val="21"/>
                <w:szCs w:val="21"/>
              </w:rPr>
            </w:pPr>
            <w:r>
              <w:rPr>
                <w:rFonts w:hint="eastAsia" w:ascii="宋体" w:hAnsi="宋体" w:eastAsia="宋体" w:cs="宋体"/>
                <w:sz w:val="21"/>
                <w:szCs w:val="21"/>
              </w:rPr>
              <w:t>条款号</w:t>
            </w:r>
          </w:p>
        </w:tc>
        <w:tc>
          <w:tcPr>
            <w:tcW w:w="766" w:type="pct"/>
            <w:gridSpan w:val="2"/>
            <w:vAlign w:val="center"/>
          </w:tcPr>
          <w:p w14:paraId="1B7095B7">
            <w:pPr>
              <w:spacing w:line="360" w:lineRule="auto"/>
              <w:jc w:val="center"/>
              <w:rPr>
                <w:rFonts w:hint="eastAsia" w:ascii="宋体" w:hAnsi="宋体" w:eastAsia="宋体" w:cs="宋体"/>
                <w:sz w:val="21"/>
                <w:szCs w:val="21"/>
              </w:rPr>
            </w:pPr>
            <w:r>
              <w:rPr>
                <w:rFonts w:hint="eastAsia" w:ascii="宋体" w:hAnsi="宋体" w:eastAsia="宋体" w:cs="宋体"/>
                <w:sz w:val="21"/>
                <w:szCs w:val="21"/>
              </w:rPr>
              <w:t>条款名称</w:t>
            </w:r>
          </w:p>
        </w:tc>
        <w:tc>
          <w:tcPr>
            <w:tcW w:w="3807" w:type="pct"/>
            <w:vAlign w:val="center"/>
          </w:tcPr>
          <w:p w14:paraId="498163A4">
            <w:pPr>
              <w:spacing w:line="360" w:lineRule="auto"/>
              <w:jc w:val="center"/>
              <w:rPr>
                <w:rFonts w:hint="eastAsia" w:ascii="宋体" w:hAnsi="宋体" w:eastAsia="宋体" w:cs="宋体"/>
                <w:sz w:val="21"/>
                <w:szCs w:val="21"/>
              </w:rPr>
            </w:pPr>
            <w:r>
              <w:rPr>
                <w:rFonts w:hint="eastAsia" w:ascii="宋体" w:hAnsi="宋体" w:eastAsia="宋体" w:cs="宋体"/>
                <w:sz w:val="21"/>
                <w:szCs w:val="21"/>
              </w:rPr>
              <w:t>编列内容</w:t>
            </w:r>
          </w:p>
        </w:tc>
      </w:tr>
      <w:tr w14:paraId="0A0F6384">
        <w:tblPrEx>
          <w:tblCellMar>
            <w:top w:w="0" w:type="dxa"/>
            <w:left w:w="108" w:type="dxa"/>
            <w:bottom w:w="0" w:type="dxa"/>
            <w:right w:w="108" w:type="dxa"/>
          </w:tblCellMar>
        </w:tblPrEx>
        <w:trPr>
          <w:trHeight w:val="454" w:hRule="atLeast"/>
          <w:jc w:val="center"/>
        </w:trPr>
        <w:tc>
          <w:tcPr>
            <w:tcW w:w="425" w:type="pct"/>
            <w:vAlign w:val="center"/>
          </w:tcPr>
          <w:p w14:paraId="21955B9A">
            <w:pPr>
              <w:spacing w:line="360" w:lineRule="auto"/>
              <w:jc w:val="center"/>
              <w:rPr>
                <w:rFonts w:hint="eastAsia" w:ascii="宋体" w:hAnsi="宋体" w:eastAsia="宋体" w:cs="宋体"/>
                <w:sz w:val="21"/>
                <w:szCs w:val="21"/>
              </w:rPr>
            </w:pPr>
            <w:r>
              <w:rPr>
                <w:rFonts w:hint="eastAsia" w:ascii="宋体" w:hAnsi="宋体" w:eastAsia="宋体" w:cs="宋体"/>
                <w:sz w:val="21"/>
                <w:szCs w:val="21"/>
              </w:rPr>
              <w:t>1.1.2</w:t>
            </w:r>
          </w:p>
        </w:tc>
        <w:tc>
          <w:tcPr>
            <w:tcW w:w="766" w:type="pct"/>
            <w:gridSpan w:val="2"/>
            <w:vAlign w:val="center"/>
          </w:tcPr>
          <w:p w14:paraId="50250A99">
            <w:pPr>
              <w:spacing w:line="360" w:lineRule="auto"/>
              <w:jc w:val="center"/>
              <w:rPr>
                <w:rFonts w:hint="eastAsia" w:ascii="宋体" w:hAnsi="宋体" w:eastAsia="宋体" w:cs="宋体"/>
                <w:sz w:val="21"/>
                <w:szCs w:val="21"/>
              </w:rPr>
            </w:pPr>
            <w:r>
              <w:rPr>
                <w:rFonts w:hint="eastAsia" w:ascii="宋体" w:hAnsi="宋体" w:eastAsia="宋体" w:cs="宋体"/>
                <w:sz w:val="21"/>
                <w:szCs w:val="21"/>
              </w:rPr>
              <w:t>采购人</w:t>
            </w:r>
          </w:p>
        </w:tc>
        <w:tc>
          <w:tcPr>
            <w:tcW w:w="3807" w:type="pct"/>
            <w:vAlign w:val="center"/>
          </w:tcPr>
          <w:p w14:paraId="413D88EC">
            <w:pPr>
              <w:spacing w:line="500" w:lineRule="exact"/>
              <w:rPr>
                <w:rFonts w:hint="eastAsia" w:ascii="宋体" w:hAnsi="宋体" w:eastAsia="宋体" w:cs="宋体"/>
                <w:sz w:val="21"/>
                <w:szCs w:val="21"/>
              </w:rPr>
            </w:pPr>
            <w:r>
              <w:rPr>
                <w:rFonts w:hint="eastAsia" w:ascii="宋体" w:hAnsi="宋体" w:eastAsia="宋体" w:cs="宋体"/>
                <w:sz w:val="21"/>
                <w:szCs w:val="21"/>
              </w:rPr>
              <w:t>名称：中共平顶山市新华区委政法委员会</w:t>
            </w:r>
          </w:p>
          <w:p w14:paraId="2953DFF2">
            <w:pPr>
              <w:spacing w:line="500" w:lineRule="exact"/>
              <w:rPr>
                <w:rFonts w:hint="eastAsia" w:ascii="宋体" w:hAnsi="宋体" w:eastAsia="宋体" w:cs="宋体"/>
                <w:color w:val="auto"/>
                <w:sz w:val="21"/>
                <w:szCs w:val="21"/>
              </w:rPr>
            </w:pPr>
            <w:r>
              <w:rPr>
                <w:rFonts w:hint="eastAsia" w:ascii="宋体" w:hAnsi="宋体" w:eastAsia="宋体" w:cs="宋体"/>
                <w:sz w:val="21"/>
                <w:szCs w:val="21"/>
              </w:rPr>
              <w:t>地址</w:t>
            </w:r>
            <w:r>
              <w:rPr>
                <w:rFonts w:hint="eastAsia" w:ascii="宋体" w:hAnsi="宋体" w:eastAsia="宋体" w:cs="宋体"/>
                <w:color w:val="auto"/>
                <w:sz w:val="21"/>
                <w:szCs w:val="21"/>
              </w:rPr>
              <w:t>：河南省平顶山市建设路西段277号院内</w:t>
            </w:r>
          </w:p>
          <w:p w14:paraId="5425A6AB">
            <w:pPr>
              <w:spacing w:line="500" w:lineRule="exact"/>
              <w:rPr>
                <w:rFonts w:hint="eastAsia" w:ascii="宋体" w:hAnsi="宋体" w:eastAsia="宋体" w:cs="宋体"/>
                <w:color w:val="auto"/>
                <w:sz w:val="21"/>
                <w:szCs w:val="21"/>
              </w:rPr>
            </w:pPr>
            <w:r>
              <w:rPr>
                <w:rFonts w:hint="eastAsia" w:ascii="宋体" w:hAnsi="宋体" w:eastAsia="宋体" w:cs="宋体"/>
                <w:color w:val="auto"/>
                <w:sz w:val="21"/>
                <w:szCs w:val="21"/>
              </w:rPr>
              <w:t>联系人：吕先生</w:t>
            </w:r>
          </w:p>
          <w:p w14:paraId="661CDD12">
            <w:pPr>
              <w:spacing w:line="500" w:lineRule="exact"/>
              <w:rPr>
                <w:rFonts w:hint="eastAsia" w:ascii="宋体" w:hAnsi="宋体" w:eastAsia="宋体" w:cs="宋体"/>
                <w:sz w:val="21"/>
                <w:szCs w:val="21"/>
              </w:rPr>
            </w:pPr>
            <w:r>
              <w:rPr>
                <w:rFonts w:hint="eastAsia" w:ascii="宋体" w:hAnsi="宋体" w:eastAsia="宋体" w:cs="宋体"/>
                <w:color w:val="auto"/>
                <w:sz w:val="21"/>
                <w:szCs w:val="21"/>
              </w:rPr>
              <w:t>联系方式：17703756001</w:t>
            </w:r>
          </w:p>
        </w:tc>
      </w:tr>
      <w:tr w14:paraId="78D499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25" w:type="pct"/>
            <w:vAlign w:val="center"/>
          </w:tcPr>
          <w:p w14:paraId="6A258374">
            <w:pPr>
              <w:spacing w:line="360" w:lineRule="auto"/>
              <w:jc w:val="center"/>
              <w:rPr>
                <w:rFonts w:hint="eastAsia" w:ascii="宋体" w:hAnsi="宋体" w:eastAsia="宋体" w:cs="宋体"/>
                <w:sz w:val="21"/>
                <w:szCs w:val="21"/>
              </w:rPr>
            </w:pPr>
            <w:r>
              <w:rPr>
                <w:rFonts w:hint="eastAsia" w:ascii="宋体" w:hAnsi="宋体" w:eastAsia="宋体" w:cs="宋体"/>
                <w:sz w:val="21"/>
                <w:szCs w:val="21"/>
              </w:rPr>
              <w:t>1.1.3</w:t>
            </w:r>
          </w:p>
        </w:tc>
        <w:tc>
          <w:tcPr>
            <w:tcW w:w="766" w:type="pct"/>
            <w:gridSpan w:val="2"/>
            <w:vAlign w:val="center"/>
          </w:tcPr>
          <w:p w14:paraId="0038E59B">
            <w:pPr>
              <w:spacing w:line="360" w:lineRule="auto"/>
              <w:jc w:val="center"/>
              <w:rPr>
                <w:rFonts w:hint="eastAsia" w:ascii="宋体" w:hAnsi="宋体" w:eastAsia="宋体" w:cs="宋体"/>
                <w:sz w:val="21"/>
                <w:szCs w:val="21"/>
              </w:rPr>
            </w:pPr>
            <w:r>
              <w:rPr>
                <w:rFonts w:hint="eastAsia" w:ascii="宋体" w:hAnsi="宋体" w:eastAsia="宋体" w:cs="宋体"/>
                <w:sz w:val="21"/>
                <w:szCs w:val="21"/>
              </w:rPr>
              <w:t>采购代理机构</w:t>
            </w:r>
          </w:p>
        </w:tc>
        <w:tc>
          <w:tcPr>
            <w:tcW w:w="3807" w:type="pct"/>
            <w:vAlign w:val="center"/>
          </w:tcPr>
          <w:p w14:paraId="52147050">
            <w:pPr>
              <w:spacing w:line="360" w:lineRule="auto"/>
              <w:jc w:val="left"/>
              <w:rPr>
                <w:rFonts w:hint="eastAsia" w:ascii="宋体" w:hAnsi="宋体" w:eastAsia="宋体" w:cs="宋体"/>
                <w:sz w:val="21"/>
                <w:szCs w:val="21"/>
              </w:rPr>
            </w:pPr>
            <w:r>
              <w:rPr>
                <w:rFonts w:hint="eastAsia" w:ascii="宋体" w:hAnsi="宋体" w:eastAsia="宋体" w:cs="宋体"/>
                <w:sz w:val="21"/>
                <w:szCs w:val="21"/>
              </w:rPr>
              <w:t>名称：河南易采工程管理有限公司</w:t>
            </w:r>
          </w:p>
          <w:p w14:paraId="4B15A29D">
            <w:pPr>
              <w:spacing w:line="360" w:lineRule="auto"/>
              <w:jc w:val="left"/>
              <w:rPr>
                <w:rFonts w:hint="eastAsia" w:ascii="宋体" w:hAnsi="宋体" w:eastAsia="宋体" w:cs="宋体"/>
                <w:sz w:val="21"/>
                <w:szCs w:val="21"/>
              </w:rPr>
            </w:pPr>
            <w:r>
              <w:rPr>
                <w:rFonts w:hint="eastAsia" w:ascii="宋体" w:hAnsi="宋体" w:eastAsia="宋体" w:cs="宋体"/>
                <w:sz w:val="21"/>
                <w:szCs w:val="21"/>
              </w:rPr>
              <w:t>地址：河南省平顶山市未来路中段中梁鹰城壹号院</w:t>
            </w:r>
          </w:p>
          <w:p w14:paraId="7E912DBA">
            <w:pPr>
              <w:spacing w:line="360" w:lineRule="auto"/>
              <w:jc w:val="left"/>
              <w:rPr>
                <w:rFonts w:hint="eastAsia" w:ascii="宋体" w:hAnsi="宋体" w:eastAsia="宋体" w:cs="宋体"/>
                <w:sz w:val="21"/>
                <w:szCs w:val="21"/>
              </w:rPr>
            </w:pPr>
            <w:r>
              <w:rPr>
                <w:rFonts w:hint="eastAsia" w:ascii="宋体" w:hAnsi="宋体" w:eastAsia="宋体" w:cs="宋体"/>
                <w:sz w:val="21"/>
                <w:szCs w:val="21"/>
              </w:rPr>
              <w:t>联系人：吴女士</w:t>
            </w:r>
          </w:p>
          <w:p w14:paraId="3A3A8F10">
            <w:pPr>
              <w:spacing w:line="360" w:lineRule="auto"/>
              <w:jc w:val="left"/>
              <w:rPr>
                <w:rFonts w:hint="eastAsia" w:ascii="宋体" w:hAnsi="宋体" w:eastAsia="宋体" w:cs="宋体"/>
                <w:sz w:val="21"/>
                <w:szCs w:val="21"/>
              </w:rPr>
            </w:pPr>
            <w:r>
              <w:rPr>
                <w:rFonts w:hint="eastAsia" w:ascii="宋体" w:hAnsi="宋体" w:eastAsia="宋体" w:cs="宋体"/>
                <w:sz w:val="21"/>
                <w:szCs w:val="21"/>
              </w:rPr>
              <w:t>联系方式：0375-2555998、19939030802</w:t>
            </w:r>
          </w:p>
        </w:tc>
      </w:tr>
      <w:tr w14:paraId="2C9DE5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25" w:type="pct"/>
            <w:vAlign w:val="center"/>
          </w:tcPr>
          <w:p w14:paraId="1A9C892C">
            <w:pPr>
              <w:spacing w:line="360" w:lineRule="auto"/>
              <w:jc w:val="center"/>
              <w:rPr>
                <w:rFonts w:hint="eastAsia" w:ascii="宋体" w:hAnsi="宋体" w:eastAsia="宋体" w:cs="宋体"/>
                <w:sz w:val="21"/>
                <w:szCs w:val="21"/>
              </w:rPr>
            </w:pPr>
            <w:r>
              <w:rPr>
                <w:rFonts w:hint="eastAsia" w:ascii="宋体" w:hAnsi="宋体" w:eastAsia="宋体" w:cs="宋体"/>
                <w:sz w:val="21"/>
                <w:szCs w:val="21"/>
              </w:rPr>
              <w:t>1.1.4</w:t>
            </w:r>
          </w:p>
        </w:tc>
        <w:tc>
          <w:tcPr>
            <w:tcW w:w="766" w:type="pct"/>
            <w:gridSpan w:val="2"/>
            <w:vAlign w:val="center"/>
          </w:tcPr>
          <w:p w14:paraId="118421E7">
            <w:pPr>
              <w:spacing w:line="360" w:lineRule="auto"/>
              <w:jc w:val="center"/>
              <w:rPr>
                <w:rFonts w:hint="eastAsia" w:ascii="宋体" w:hAnsi="宋体" w:eastAsia="宋体" w:cs="宋体"/>
                <w:sz w:val="21"/>
                <w:szCs w:val="21"/>
              </w:rPr>
            </w:pPr>
            <w:r>
              <w:rPr>
                <w:rFonts w:hint="eastAsia" w:ascii="宋体" w:hAnsi="宋体" w:eastAsia="宋体" w:cs="宋体"/>
                <w:sz w:val="21"/>
                <w:szCs w:val="21"/>
              </w:rPr>
              <w:t>项目名称</w:t>
            </w:r>
          </w:p>
        </w:tc>
        <w:tc>
          <w:tcPr>
            <w:tcW w:w="3807" w:type="pct"/>
            <w:vAlign w:val="center"/>
          </w:tcPr>
          <w:p w14:paraId="3243401E">
            <w:pPr>
              <w:spacing w:line="360" w:lineRule="auto"/>
              <w:jc w:val="center"/>
              <w:rPr>
                <w:rFonts w:hint="eastAsia" w:ascii="宋体" w:hAnsi="宋体" w:eastAsia="宋体" w:cs="宋体"/>
                <w:sz w:val="21"/>
                <w:szCs w:val="21"/>
                <w:lang w:eastAsia="zh-CN"/>
              </w:rPr>
            </w:pPr>
            <w:r>
              <w:rPr>
                <w:rFonts w:hint="eastAsia" w:ascii="宋体" w:hAnsi="宋体" w:eastAsia="宋体" w:cs="宋体"/>
                <w:sz w:val="21"/>
                <w:szCs w:val="21"/>
                <w:lang w:eastAsia="zh-CN"/>
              </w:rPr>
              <w:t>中共平顶山市新华区委政法委员会2026年新华区社会管理创新中心项目视频监控维保项目</w:t>
            </w:r>
          </w:p>
        </w:tc>
      </w:tr>
      <w:tr w14:paraId="40EE0D3B">
        <w:tblPrEx>
          <w:tblCellMar>
            <w:top w:w="0" w:type="dxa"/>
            <w:left w:w="108" w:type="dxa"/>
            <w:bottom w:w="0" w:type="dxa"/>
            <w:right w:w="108" w:type="dxa"/>
          </w:tblCellMar>
        </w:tblPrEx>
        <w:trPr>
          <w:trHeight w:val="454" w:hRule="atLeast"/>
          <w:jc w:val="center"/>
        </w:trPr>
        <w:tc>
          <w:tcPr>
            <w:tcW w:w="425" w:type="pct"/>
            <w:vAlign w:val="center"/>
          </w:tcPr>
          <w:p w14:paraId="076B217F">
            <w:pPr>
              <w:spacing w:line="360" w:lineRule="auto"/>
              <w:jc w:val="center"/>
              <w:rPr>
                <w:rFonts w:hint="eastAsia" w:ascii="宋体" w:hAnsi="宋体" w:eastAsia="宋体" w:cs="宋体"/>
                <w:sz w:val="21"/>
                <w:szCs w:val="21"/>
              </w:rPr>
            </w:pPr>
            <w:r>
              <w:rPr>
                <w:rFonts w:hint="eastAsia" w:ascii="宋体" w:hAnsi="宋体" w:eastAsia="宋体" w:cs="宋体"/>
                <w:sz w:val="21"/>
                <w:szCs w:val="21"/>
              </w:rPr>
              <w:t>1.1.5</w:t>
            </w:r>
          </w:p>
        </w:tc>
        <w:tc>
          <w:tcPr>
            <w:tcW w:w="766" w:type="pct"/>
            <w:gridSpan w:val="2"/>
            <w:vAlign w:val="center"/>
          </w:tcPr>
          <w:p w14:paraId="17768A56">
            <w:pPr>
              <w:spacing w:line="360" w:lineRule="auto"/>
              <w:jc w:val="center"/>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项目地点</w:t>
            </w:r>
          </w:p>
        </w:tc>
        <w:tc>
          <w:tcPr>
            <w:tcW w:w="3807" w:type="pct"/>
            <w:vAlign w:val="center"/>
          </w:tcPr>
          <w:p w14:paraId="45CD20DA">
            <w:pPr>
              <w:spacing w:line="360" w:lineRule="auto"/>
              <w:jc w:val="center"/>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新华区</w:t>
            </w:r>
          </w:p>
        </w:tc>
      </w:tr>
      <w:tr w14:paraId="76A8FF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25" w:type="pct"/>
            <w:vAlign w:val="center"/>
          </w:tcPr>
          <w:p w14:paraId="73C7B0DB">
            <w:pPr>
              <w:spacing w:line="360" w:lineRule="auto"/>
              <w:jc w:val="center"/>
              <w:rPr>
                <w:rFonts w:hint="eastAsia" w:ascii="宋体" w:hAnsi="宋体" w:eastAsia="宋体" w:cs="宋体"/>
                <w:sz w:val="21"/>
                <w:szCs w:val="21"/>
              </w:rPr>
            </w:pPr>
            <w:r>
              <w:rPr>
                <w:rFonts w:hint="eastAsia" w:ascii="宋体" w:hAnsi="宋体" w:eastAsia="宋体" w:cs="宋体"/>
                <w:sz w:val="21"/>
                <w:szCs w:val="21"/>
              </w:rPr>
              <w:t>1.2.1</w:t>
            </w:r>
          </w:p>
        </w:tc>
        <w:tc>
          <w:tcPr>
            <w:tcW w:w="766" w:type="pct"/>
            <w:gridSpan w:val="2"/>
            <w:vAlign w:val="center"/>
          </w:tcPr>
          <w:p w14:paraId="5714116F">
            <w:pPr>
              <w:spacing w:line="360" w:lineRule="auto"/>
              <w:jc w:val="center"/>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资金来源</w:t>
            </w:r>
          </w:p>
        </w:tc>
        <w:tc>
          <w:tcPr>
            <w:tcW w:w="3807" w:type="pct"/>
          </w:tcPr>
          <w:p w14:paraId="0B0CC466">
            <w:pPr>
              <w:spacing w:line="360" w:lineRule="auto"/>
              <w:jc w:val="center"/>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财政资金</w:t>
            </w:r>
          </w:p>
        </w:tc>
      </w:tr>
      <w:tr w14:paraId="44341E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25" w:type="pct"/>
            <w:vAlign w:val="center"/>
          </w:tcPr>
          <w:p w14:paraId="138D2E26">
            <w:pPr>
              <w:spacing w:line="360" w:lineRule="auto"/>
              <w:jc w:val="center"/>
              <w:rPr>
                <w:rFonts w:hint="eastAsia" w:ascii="宋体" w:hAnsi="宋体" w:eastAsia="宋体" w:cs="宋体"/>
                <w:sz w:val="21"/>
                <w:szCs w:val="21"/>
              </w:rPr>
            </w:pPr>
            <w:r>
              <w:rPr>
                <w:rFonts w:hint="eastAsia" w:ascii="宋体" w:hAnsi="宋体" w:eastAsia="宋体" w:cs="宋体"/>
                <w:sz w:val="21"/>
                <w:szCs w:val="21"/>
              </w:rPr>
              <w:t>1.2.2</w:t>
            </w:r>
          </w:p>
        </w:tc>
        <w:tc>
          <w:tcPr>
            <w:tcW w:w="766" w:type="pct"/>
            <w:gridSpan w:val="2"/>
            <w:vAlign w:val="center"/>
          </w:tcPr>
          <w:p w14:paraId="0CE6C5C5">
            <w:pPr>
              <w:spacing w:line="360" w:lineRule="auto"/>
              <w:jc w:val="center"/>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出资比例</w:t>
            </w:r>
          </w:p>
        </w:tc>
        <w:tc>
          <w:tcPr>
            <w:tcW w:w="3807" w:type="pct"/>
          </w:tcPr>
          <w:p w14:paraId="56E14325">
            <w:pPr>
              <w:spacing w:line="360" w:lineRule="auto"/>
              <w:jc w:val="center"/>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100%</w:t>
            </w:r>
          </w:p>
        </w:tc>
      </w:tr>
      <w:tr w14:paraId="290CEB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25" w:type="pct"/>
            <w:vAlign w:val="center"/>
          </w:tcPr>
          <w:p w14:paraId="06348B6D">
            <w:pPr>
              <w:spacing w:line="360" w:lineRule="auto"/>
              <w:jc w:val="center"/>
              <w:rPr>
                <w:rFonts w:hint="eastAsia" w:ascii="宋体" w:hAnsi="宋体" w:eastAsia="宋体" w:cs="宋体"/>
                <w:sz w:val="21"/>
                <w:szCs w:val="21"/>
              </w:rPr>
            </w:pPr>
            <w:r>
              <w:rPr>
                <w:rFonts w:hint="eastAsia" w:ascii="宋体" w:hAnsi="宋体" w:eastAsia="宋体" w:cs="宋体"/>
                <w:sz w:val="21"/>
                <w:szCs w:val="21"/>
              </w:rPr>
              <w:t>1.2.3</w:t>
            </w:r>
          </w:p>
        </w:tc>
        <w:tc>
          <w:tcPr>
            <w:tcW w:w="766" w:type="pct"/>
            <w:gridSpan w:val="2"/>
            <w:vAlign w:val="center"/>
          </w:tcPr>
          <w:p w14:paraId="32CD9CFF">
            <w:pPr>
              <w:spacing w:line="360" w:lineRule="auto"/>
              <w:jc w:val="center"/>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资金落实情况</w:t>
            </w:r>
          </w:p>
        </w:tc>
        <w:tc>
          <w:tcPr>
            <w:tcW w:w="3807" w:type="pct"/>
            <w:vAlign w:val="center"/>
          </w:tcPr>
          <w:p w14:paraId="20F406FD">
            <w:pPr>
              <w:spacing w:line="360" w:lineRule="auto"/>
              <w:jc w:val="center"/>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已落实</w:t>
            </w:r>
          </w:p>
        </w:tc>
      </w:tr>
      <w:tr w14:paraId="15EAE3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25" w:type="pct"/>
            <w:vAlign w:val="center"/>
          </w:tcPr>
          <w:p w14:paraId="5DCD8328">
            <w:pPr>
              <w:spacing w:line="360" w:lineRule="auto"/>
              <w:jc w:val="center"/>
              <w:rPr>
                <w:rFonts w:hint="eastAsia" w:ascii="宋体" w:hAnsi="宋体" w:eastAsia="宋体" w:cs="宋体"/>
                <w:sz w:val="21"/>
                <w:szCs w:val="21"/>
              </w:rPr>
            </w:pPr>
            <w:r>
              <w:rPr>
                <w:rFonts w:hint="eastAsia" w:ascii="宋体" w:hAnsi="宋体" w:eastAsia="宋体" w:cs="宋体"/>
                <w:sz w:val="21"/>
                <w:szCs w:val="21"/>
              </w:rPr>
              <w:t>1.3.1</w:t>
            </w:r>
          </w:p>
        </w:tc>
        <w:tc>
          <w:tcPr>
            <w:tcW w:w="766" w:type="pct"/>
            <w:gridSpan w:val="2"/>
            <w:vAlign w:val="center"/>
          </w:tcPr>
          <w:p w14:paraId="28B95406">
            <w:pPr>
              <w:spacing w:line="360" w:lineRule="auto"/>
              <w:jc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服务内容</w:t>
            </w:r>
          </w:p>
        </w:tc>
        <w:tc>
          <w:tcPr>
            <w:tcW w:w="3807" w:type="pct"/>
            <w:vAlign w:val="center"/>
          </w:tcPr>
          <w:p w14:paraId="1567AA33">
            <w:pPr>
              <w:keepNext w:val="0"/>
              <w:keepLines w:val="0"/>
              <w:pageBreakBefore w:val="0"/>
              <w:kinsoku/>
              <w:wordWrap/>
              <w:overflowPunct/>
              <w:topLinePunct w:val="0"/>
              <w:autoSpaceDE/>
              <w:autoSpaceDN/>
              <w:bidi w:val="0"/>
              <w:adjustRightInd/>
              <w:spacing w:line="500" w:lineRule="exact"/>
              <w:ind w:firstLine="420" w:firstLineChars="200"/>
              <w:textAlignment w:val="auto"/>
              <w:rPr>
                <w:rFonts w:hint="eastAsia" w:ascii="宋体" w:hAnsi="宋体" w:eastAsia="宋体" w:cs="宋体"/>
                <w:color w:val="000000" w:themeColor="text1"/>
                <w:sz w:val="21"/>
                <w:szCs w:val="21"/>
                <w:highlight w:val="none"/>
              </w:rPr>
            </w:pPr>
            <w:r>
              <w:rPr>
                <w:rFonts w:hint="default" w:ascii="宋体" w:hAnsi="宋体" w:eastAsia="宋体" w:cs="宋体"/>
                <w:b w:val="0"/>
                <w:bCs w:val="0"/>
                <w:color w:val="000000" w:themeColor="text1"/>
                <w:kern w:val="0"/>
                <w:sz w:val="21"/>
                <w:szCs w:val="21"/>
                <w:highlight w:val="none"/>
                <w:lang w:val="en-US" w:eastAsia="zh-CN"/>
              </w:rPr>
              <w:t>维保区域为光明路以东、平安大道以南、开源路以西、湛北路以北区域内共计246个前端摄像头。保证视频监控机房硬件、软件以及配套设施、平台日常使用和运维；前端线路和设备故障及时修复（无法取电点位加装太阳能供电）；设备丢失或损坏且无法修复及时加装、更换（设备更换率不低于10%）；以及前端246个摄像头使用中所产生的电费，配合采购单位对更换固定资产进行保管、移交、处置等。</w:t>
            </w:r>
          </w:p>
        </w:tc>
      </w:tr>
      <w:tr w14:paraId="14F61D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25" w:type="pct"/>
            <w:vAlign w:val="center"/>
          </w:tcPr>
          <w:p w14:paraId="37CC0BE8">
            <w:pPr>
              <w:spacing w:line="360" w:lineRule="auto"/>
              <w:jc w:val="center"/>
              <w:rPr>
                <w:rFonts w:hint="eastAsia" w:ascii="宋体" w:hAnsi="宋体" w:eastAsia="宋体" w:cs="宋体"/>
                <w:sz w:val="21"/>
                <w:szCs w:val="21"/>
              </w:rPr>
            </w:pPr>
            <w:r>
              <w:rPr>
                <w:rFonts w:hint="eastAsia" w:ascii="宋体" w:hAnsi="宋体" w:eastAsia="宋体" w:cs="宋体"/>
                <w:sz w:val="21"/>
                <w:szCs w:val="21"/>
              </w:rPr>
              <w:t>1.3.2</w:t>
            </w:r>
          </w:p>
        </w:tc>
        <w:tc>
          <w:tcPr>
            <w:tcW w:w="766" w:type="pct"/>
            <w:gridSpan w:val="2"/>
            <w:vAlign w:val="center"/>
          </w:tcPr>
          <w:p w14:paraId="072A486C">
            <w:pPr>
              <w:spacing w:line="360" w:lineRule="auto"/>
              <w:jc w:val="center"/>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服务期限</w:t>
            </w:r>
          </w:p>
        </w:tc>
        <w:tc>
          <w:tcPr>
            <w:tcW w:w="3807" w:type="pct"/>
            <w:vAlign w:val="center"/>
          </w:tcPr>
          <w:p w14:paraId="091A600A">
            <w:pPr>
              <w:spacing w:line="360" w:lineRule="auto"/>
              <w:jc w:val="center"/>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1年</w:t>
            </w:r>
          </w:p>
        </w:tc>
      </w:tr>
      <w:tr w14:paraId="5F4F9E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25" w:type="pct"/>
            <w:vAlign w:val="center"/>
          </w:tcPr>
          <w:p w14:paraId="0A179182">
            <w:pPr>
              <w:spacing w:line="360" w:lineRule="auto"/>
              <w:jc w:val="center"/>
              <w:rPr>
                <w:rFonts w:hint="eastAsia" w:ascii="宋体" w:hAnsi="宋体" w:eastAsia="宋体" w:cs="宋体"/>
                <w:sz w:val="21"/>
                <w:szCs w:val="21"/>
              </w:rPr>
            </w:pPr>
            <w:r>
              <w:rPr>
                <w:rFonts w:hint="eastAsia" w:ascii="宋体" w:hAnsi="宋体" w:eastAsia="宋体" w:cs="宋体"/>
                <w:sz w:val="21"/>
                <w:szCs w:val="21"/>
              </w:rPr>
              <w:t>1.3.3</w:t>
            </w:r>
          </w:p>
        </w:tc>
        <w:tc>
          <w:tcPr>
            <w:tcW w:w="766" w:type="pct"/>
            <w:gridSpan w:val="2"/>
            <w:vAlign w:val="center"/>
          </w:tcPr>
          <w:p w14:paraId="57493D7C">
            <w:pPr>
              <w:spacing w:line="360" w:lineRule="auto"/>
              <w:jc w:val="center"/>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质量要求</w:t>
            </w:r>
          </w:p>
        </w:tc>
        <w:tc>
          <w:tcPr>
            <w:tcW w:w="3807" w:type="pct"/>
            <w:vAlign w:val="center"/>
          </w:tcPr>
          <w:p w14:paraId="0E134032">
            <w:pPr>
              <w:spacing w:line="360" w:lineRule="auto"/>
              <w:jc w:val="center"/>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符合国家、行业有关标准、规范</w:t>
            </w:r>
          </w:p>
        </w:tc>
      </w:tr>
      <w:tr w14:paraId="2EB3E7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25" w:type="pct"/>
            <w:vAlign w:val="center"/>
          </w:tcPr>
          <w:p w14:paraId="27408663">
            <w:pPr>
              <w:spacing w:line="360" w:lineRule="auto"/>
              <w:jc w:val="center"/>
              <w:rPr>
                <w:rFonts w:hint="eastAsia" w:ascii="宋体" w:hAnsi="宋体" w:eastAsia="宋体" w:cs="宋体"/>
                <w:sz w:val="21"/>
                <w:szCs w:val="21"/>
              </w:rPr>
            </w:pPr>
            <w:r>
              <w:rPr>
                <w:rFonts w:hint="eastAsia" w:ascii="宋体" w:hAnsi="宋体" w:eastAsia="宋体" w:cs="宋体"/>
                <w:sz w:val="21"/>
                <w:szCs w:val="21"/>
              </w:rPr>
              <w:t>1.4.1</w:t>
            </w:r>
          </w:p>
        </w:tc>
        <w:tc>
          <w:tcPr>
            <w:tcW w:w="766" w:type="pct"/>
            <w:gridSpan w:val="2"/>
            <w:vAlign w:val="center"/>
          </w:tcPr>
          <w:p w14:paraId="6FCCFE5B">
            <w:pPr>
              <w:spacing w:line="360" w:lineRule="auto"/>
              <w:jc w:val="center"/>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供应商资质条件、能力和信誉</w:t>
            </w:r>
          </w:p>
        </w:tc>
        <w:tc>
          <w:tcPr>
            <w:tcW w:w="3807" w:type="pct"/>
            <w:vAlign w:val="center"/>
          </w:tcPr>
          <w:p w14:paraId="7D00F7CF">
            <w:pPr>
              <w:keepNext w:val="0"/>
              <w:keepLines w:val="0"/>
              <w:pageBreakBefore w:val="0"/>
              <w:kinsoku/>
              <w:wordWrap/>
              <w:overflowPunct/>
              <w:topLinePunct w:val="0"/>
              <w:autoSpaceDE/>
              <w:autoSpaceDN/>
              <w:bidi w:val="0"/>
              <w:adjustRightInd/>
              <w:spacing w:line="500" w:lineRule="exact"/>
              <w:ind w:firstLine="420" w:firstLineChars="200"/>
              <w:jc w:val="left"/>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1、满足《中华人民共和国政府采购法》第二十二条规定；</w:t>
            </w:r>
          </w:p>
          <w:p w14:paraId="419D2082">
            <w:pPr>
              <w:keepNext w:val="0"/>
              <w:keepLines w:val="0"/>
              <w:pageBreakBefore w:val="0"/>
              <w:kinsoku/>
              <w:wordWrap/>
              <w:overflowPunct/>
              <w:topLinePunct w:val="0"/>
              <w:autoSpaceDE/>
              <w:autoSpaceDN/>
              <w:bidi w:val="0"/>
              <w:adjustRightInd/>
              <w:spacing w:line="500" w:lineRule="exact"/>
              <w:ind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2、落实政府采购政策满足的资格要求：</w:t>
            </w:r>
            <w:r>
              <w:rPr>
                <w:rFonts w:hint="eastAsia" w:ascii="宋体" w:hAnsi="宋体" w:eastAsia="宋体" w:cs="宋体"/>
                <w:color w:val="auto"/>
                <w:sz w:val="21"/>
                <w:szCs w:val="21"/>
                <w:lang w:val="en-US" w:eastAsia="zh-CN"/>
              </w:rPr>
              <w:t>本项目非专门面向中小企业采购，供应商为小微企业、监狱企业、残疾人福利性单位，落实中小企业价格评审优惠政策； 中小企业划型标准请依据工信部联企业〔2011〕300号文件之规定。</w:t>
            </w:r>
          </w:p>
          <w:p w14:paraId="5A644176">
            <w:pPr>
              <w:keepNext w:val="0"/>
              <w:keepLines w:val="0"/>
              <w:pageBreakBefore w:val="0"/>
              <w:kinsoku/>
              <w:wordWrap/>
              <w:overflowPunct/>
              <w:topLinePunct w:val="0"/>
              <w:autoSpaceDE/>
              <w:autoSpaceDN/>
              <w:bidi w:val="0"/>
              <w:adjustRightInd/>
              <w:spacing w:line="500" w:lineRule="exact"/>
              <w:ind w:firstLine="420" w:firstLineChars="200"/>
              <w:jc w:val="left"/>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3、本项目的特定资格要求</w:t>
            </w:r>
          </w:p>
          <w:p w14:paraId="0D538A65">
            <w:pPr>
              <w:keepNext w:val="0"/>
              <w:keepLines w:val="0"/>
              <w:pageBreakBefore w:val="0"/>
              <w:widowControl w:val="0"/>
              <w:kinsoku/>
              <w:wordWrap/>
              <w:overflowPunct/>
              <w:topLinePunct w:val="0"/>
              <w:autoSpaceDE/>
              <w:autoSpaceDN/>
              <w:bidi w:val="0"/>
              <w:adjustRightInd/>
              <w:spacing w:line="500" w:lineRule="exact"/>
              <w:ind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3.1</w:t>
            </w:r>
            <w:r>
              <w:rPr>
                <w:rFonts w:hint="eastAsia" w:ascii="宋体" w:hAnsi="宋体" w:eastAsia="宋体" w:cs="宋体"/>
                <w:color w:val="auto"/>
                <w:sz w:val="21"/>
                <w:szCs w:val="21"/>
              </w:rPr>
              <w:t>具有独立承担民事责任的能力的法人或其他组织(如是分支机构，则须提供具备独立法人资格的上级机构授权证明)，须持有有效的营业执照（可提供扫描件或电子营业执照）；</w:t>
            </w:r>
          </w:p>
          <w:p w14:paraId="2DC9C9F0">
            <w:pPr>
              <w:keepNext w:val="0"/>
              <w:keepLines w:val="0"/>
              <w:pageBreakBefore w:val="0"/>
              <w:widowControl w:val="0"/>
              <w:kinsoku/>
              <w:wordWrap/>
              <w:overflowPunct/>
              <w:topLinePunct w:val="0"/>
              <w:autoSpaceDE/>
              <w:autoSpaceDN/>
              <w:bidi w:val="0"/>
              <w:adjustRightInd/>
              <w:spacing w:line="500" w:lineRule="exact"/>
              <w:ind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3.2</w:t>
            </w:r>
            <w:r>
              <w:rPr>
                <w:rFonts w:hint="eastAsia" w:ascii="宋体" w:hAnsi="宋体" w:eastAsia="宋体" w:cs="宋体"/>
                <w:color w:val="auto"/>
                <w:sz w:val="21"/>
                <w:szCs w:val="21"/>
              </w:rPr>
              <w:t>单位负责人为同一人或存在控股、管理关系的不同单位，不得同时参加本项目的投标（提供相关证明材料或提供承诺书）；</w:t>
            </w:r>
          </w:p>
          <w:p w14:paraId="0BB92413">
            <w:pPr>
              <w:keepNext w:val="0"/>
              <w:keepLines w:val="0"/>
              <w:pageBreakBefore w:val="0"/>
              <w:widowControl w:val="0"/>
              <w:kinsoku/>
              <w:wordWrap/>
              <w:overflowPunct/>
              <w:topLinePunct w:val="0"/>
              <w:autoSpaceDE/>
              <w:autoSpaceDN/>
              <w:bidi w:val="0"/>
              <w:adjustRightInd/>
              <w:spacing w:line="500" w:lineRule="exact"/>
              <w:ind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3.</w:t>
            </w:r>
            <w:r>
              <w:rPr>
                <w:rFonts w:hint="eastAsia" w:ascii="宋体" w:hAnsi="宋体" w:eastAsia="宋体" w:cs="宋体"/>
                <w:color w:val="auto"/>
                <w:sz w:val="21"/>
                <w:szCs w:val="21"/>
                <w:lang w:val="en-US" w:eastAsia="zh-CN"/>
              </w:rPr>
              <w:t>3</w:t>
            </w:r>
            <w:r>
              <w:rPr>
                <w:rFonts w:hint="eastAsia" w:ascii="宋体" w:hAnsi="宋体" w:eastAsia="宋体" w:cs="宋体"/>
                <w:color w:val="auto"/>
                <w:sz w:val="21"/>
                <w:szCs w:val="21"/>
              </w:rPr>
              <w:t>为贯彻落实《关于促进政府采购公平竞争优化营商环境的通知》（财库〔2019〕38号）和《关于全面推行证明事项和涉企经营许可事项告知承诺制的指导意见》（国办发〔2020〕42号），降低供应商参与政府采购活动的制度性交易成本，持续优化政府采购营商环境。在本次招标活动中，供应商只需</w:t>
            </w:r>
            <w:r>
              <w:rPr>
                <w:rFonts w:hint="eastAsia" w:ascii="宋体" w:hAnsi="宋体" w:eastAsia="宋体" w:cs="宋体"/>
                <w:color w:val="auto"/>
                <w:sz w:val="21"/>
                <w:szCs w:val="21"/>
                <w:lang w:val="en-US" w:eastAsia="zh-CN"/>
              </w:rPr>
              <w:t>提供</w:t>
            </w:r>
            <w:r>
              <w:rPr>
                <w:rFonts w:hint="eastAsia" w:ascii="宋体" w:hAnsi="宋体" w:eastAsia="宋体" w:cs="宋体"/>
                <w:color w:val="auto"/>
                <w:sz w:val="21"/>
                <w:szCs w:val="21"/>
              </w:rPr>
              <w:t>政府采购供应商信用承诺书</w:t>
            </w: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lang w:val="en-US" w:eastAsia="zh-CN"/>
              </w:rPr>
              <w:t>格式详见磋商文件</w:t>
            </w:r>
            <w:r>
              <w:rPr>
                <w:rFonts w:hint="eastAsia" w:ascii="宋体" w:hAnsi="宋体" w:eastAsia="宋体" w:cs="宋体"/>
                <w:color w:val="auto"/>
                <w:sz w:val="21"/>
                <w:szCs w:val="21"/>
              </w:rPr>
              <w:t>），不再需要提供以下证明材料：</w:t>
            </w:r>
          </w:p>
          <w:p w14:paraId="7F85BBA6">
            <w:pPr>
              <w:keepNext w:val="0"/>
              <w:keepLines w:val="0"/>
              <w:pageBreakBefore w:val="0"/>
              <w:widowControl w:val="0"/>
              <w:kinsoku/>
              <w:wordWrap/>
              <w:overflowPunct/>
              <w:topLinePunct w:val="0"/>
              <w:autoSpaceDE/>
              <w:autoSpaceDN/>
              <w:bidi w:val="0"/>
              <w:adjustRightInd/>
              <w:spacing w:line="500" w:lineRule="exact"/>
              <w:ind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（1）具有良好的商业信誉的证明材料；</w:t>
            </w:r>
          </w:p>
          <w:p w14:paraId="35A91A65">
            <w:pPr>
              <w:keepNext w:val="0"/>
              <w:keepLines w:val="0"/>
              <w:pageBreakBefore w:val="0"/>
              <w:widowControl w:val="0"/>
              <w:kinsoku/>
              <w:wordWrap/>
              <w:overflowPunct/>
              <w:topLinePunct w:val="0"/>
              <w:autoSpaceDE/>
              <w:autoSpaceDN/>
              <w:bidi w:val="0"/>
              <w:adjustRightInd/>
              <w:spacing w:line="500" w:lineRule="exact"/>
              <w:ind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（2）符合国家相关规定的财务状况报告；</w:t>
            </w:r>
          </w:p>
          <w:p w14:paraId="3943AEC5">
            <w:pPr>
              <w:keepNext w:val="0"/>
              <w:keepLines w:val="0"/>
              <w:pageBreakBefore w:val="0"/>
              <w:widowControl w:val="0"/>
              <w:kinsoku/>
              <w:wordWrap/>
              <w:overflowPunct/>
              <w:topLinePunct w:val="0"/>
              <w:autoSpaceDE/>
              <w:autoSpaceDN/>
              <w:bidi w:val="0"/>
              <w:adjustRightInd/>
              <w:spacing w:line="500" w:lineRule="exact"/>
              <w:ind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（3）具备履行政府采购合同所必需的设备和专业技术能力的证明材料；</w:t>
            </w:r>
          </w:p>
          <w:p w14:paraId="2EAD4BDC">
            <w:pPr>
              <w:keepNext w:val="0"/>
              <w:keepLines w:val="0"/>
              <w:pageBreakBefore w:val="0"/>
              <w:widowControl w:val="0"/>
              <w:kinsoku/>
              <w:wordWrap/>
              <w:overflowPunct/>
              <w:topLinePunct w:val="0"/>
              <w:autoSpaceDE/>
              <w:autoSpaceDN/>
              <w:bidi w:val="0"/>
              <w:adjustRightInd/>
              <w:spacing w:line="500" w:lineRule="exact"/>
              <w:ind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（4）依法缴纳税收和社会保障资金的证明材料；</w:t>
            </w:r>
          </w:p>
          <w:p w14:paraId="3AC0E3DC">
            <w:pPr>
              <w:keepNext w:val="0"/>
              <w:keepLines w:val="0"/>
              <w:pageBreakBefore w:val="0"/>
              <w:widowControl w:val="0"/>
              <w:kinsoku/>
              <w:wordWrap/>
              <w:overflowPunct/>
              <w:topLinePunct w:val="0"/>
              <w:autoSpaceDE/>
              <w:autoSpaceDN/>
              <w:bidi w:val="0"/>
              <w:adjustRightInd/>
              <w:spacing w:line="500" w:lineRule="exact"/>
              <w:ind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（5）参加政府采购活动前三年内在经营活动中没有重大违法记录的证明材料；</w:t>
            </w:r>
          </w:p>
          <w:p w14:paraId="3C04E827">
            <w:pPr>
              <w:keepNext w:val="0"/>
              <w:keepLines w:val="0"/>
              <w:pageBreakBefore w:val="0"/>
              <w:widowControl w:val="0"/>
              <w:kinsoku/>
              <w:wordWrap/>
              <w:overflowPunct/>
              <w:topLinePunct w:val="0"/>
              <w:autoSpaceDE/>
              <w:autoSpaceDN/>
              <w:bidi w:val="0"/>
              <w:adjustRightInd/>
              <w:spacing w:line="500" w:lineRule="exact"/>
              <w:ind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（6）未被列入失信被执行人、重大税收违法失信主体、政府采购严重违法失信行为记录名单的证明材料。</w:t>
            </w:r>
          </w:p>
          <w:p w14:paraId="421CE6C1">
            <w:pPr>
              <w:keepNext w:val="0"/>
              <w:keepLines w:val="0"/>
              <w:pageBreakBefore w:val="0"/>
              <w:widowControl w:val="0"/>
              <w:kinsoku/>
              <w:wordWrap/>
              <w:overflowPunct/>
              <w:topLinePunct w:val="0"/>
              <w:autoSpaceDE/>
              <w:autoSpaceDN/>
              <w:bidi w:val="0"/>
              <w:adjustRightInd/>
              <w:spacing w:line="500" w:lineRule="exact"/>
              <w:ind w:firstLine="420" w:firstLineChars="200"/>
              <w:textAlignment w:val="auto"/>
              <w:rPr>
                <w:rFonts w:hint="eastAsia" w:ascii="宋体" w:hAnsi="宋体" w:eastAsia="宋体" w:cs="宋体"/>
                <w:color w:val="auto"/>
                <w:sz w:val="21"/>
                <w:szCs w:val="21"/>
                <w:lang w:eastAsia="zh-CN"/>
              </w:rPr>
            </w:pPr>
            <w:r>
              <w:rPr>
                <w:rFonts w:hint="eastAsia" w:ascii="宋体" w:hAnsi="宋体" w:eastAsia="宋体" w:cs="宋体"/>
                <w:color w:val="auto"/>
                <w:sz w:val="21"/>
                <w:szCs w:val="21"/>
              </w:rPr>
              <w:t>注：</w:t>
            </w:r>
            <w:r>
              <w:rPr>
                <w:rFonts w:hint="eastAsia" w:ascii="宋体" w:hAnsi="宋体" w:eastAsia="宋体" w:cs="宋体"/>
                <w:color w:val="auto"/>
                <w:sz w:val="21"/>
                <w:szCs w:val="21"/>
                <w:lang w:val="en-US" w:eastAsia="zh-CN"/>
              </w:rPr>
              <w:t>根据</w:t>
            </w:r>
            <w:r>
              <w:rPr>
                <w:rFonts w:hint="eastAsia" w:ascii="宋体" w:hAnsi="宋体" w:eastAsia="宋体" w:cs="宋体"/>
                <w:color w:val="auto"/>
                <w:sz w:val="21"/>
                <w:szCs w:val="21"/>
              </w:rPr>
              <w:t>财库〔2016〕125号文，采购人、代理机构在开标时通过“信用中国”、“中国执行信息公开网”及“中国政府采购网”查询供应商信用情况，如有不良情况，按无效标处理</w:t>
            </w:r>
            <w:r>
              <w:rPr>
                <w:rFonts w:hint="eastAsia" w:ascii="宋体" w:hAnsi="宋体" w:eastAsia="宋体" w:cs="宋体"/>
                <w:color w:val="auto"/>
                <w:sz w:val="21"/>
                <w:szCs w:val="21"/>
                <w:lang w:eastAsia="zh-CN"/>
              </w:rPr>
              <w:t>；</w:t>
            </w:r>
          </w:p>
          <w:p w14:paraId="1390E6BC">
            <w:pPr>
              <w:keepNext w:val="0"/>
              <w:keepLines w:val="0"/>
              <w:pageBreakBefore w:val="0"/>
              <w:widowControl w:val="0"/>
              <w:kinsoku/>
              <w:wordWrap/>
              <w:overflowPunct/>
              <w:topLinePunct w:val="0"/>
              <w:autoSpaceDE/>
              <w:autoSpaceDN/>
              <w:bidi w:val="0"/>
              <w:adjustRightInd/>
              <w:spacing w:line="500" w:lineRule="exact"/>
              <w:ind w:firstLine="420" w:firstLineChars="200"/>
              <w:textAlignment w:val="auto"/>
              <w:rPr>
                <w:rFonts w:hint="eastAsia" w:ascii="宋体" w:hAnsi="宋体" w:eastAsia="宋体" w:cs="宋体"/>
                <w:color w:val="auto"/>
                <w:sz w:val="21"/>
                <w:szCs w:val="21"/>
                <w:lang w:eastAsia="zh-CN"/>
              </w:rPr>
            </w:pPr>
            <w:r>
              <w:rPr>
                <w:rFonts w:hint="eastAsia" w:ascii="宋体" w:hAnsi="宋体" w:eastAsia="宋体" w:cs="宋体"/>
                <w:color w:val="auto"/>
                <w:sz w:val="21"/>
                <w:szCs w:val="21"/>
              </w:rPr>
              <w:t>3.</w:t>
            </w:r>
            <w:r>
              <w:rPr>
                <w:rFonts w:hint="eastAsia" w:ascii="宋体" w:hAnsi="宋体" w:eastAsia="宋体" w:cs="宋体"/>
                <w:color w:val="auto"/>
                <w:sz w:val="21"/>
                <w:szCs w:val="21"/>
                <w:lang w:val="en-US" w:eastAsia="zh-CN"/>
              </w:rPr>
              <w:t>4</w:t>
            </w:r>
            <w:r>
              <w:rPr>
                <w:rFonts w:hint="eastAsia" w:ascii="宋体" w:hAnsi="宋体" w:eastAsia="宋体" w:cs="宋体"/>
                <w:color w:val="auto"/>
                <w:sz w:val="21"/>
                <w:szCs w:val="21"/>
              </w:rPr>
              <w:t>供应商所提供资料必须真实有效并提供资料真实有效承诺书，并愿意承担因就提供虚假资料随时视为放弃中标资格并承担由此引起的一切不良和法律后果（提供承诺书，格式自拟）</w:t>
            </w:r>
            <w:r>
              <w:rPr>
                <w:rFonts w:hint="eastAsia" w:ascii="宋体" w:hAnsi="宋体" w:eastAsia="宋体" w:cs="宋体"/>
                <w:color w:val="auto"/>
                <w:sz w:val="21"/>
                <w:szCs w:val="21"/>
                <w:lang w:eastAsia="zh-CN"/>
              </w:rPr>
              <w:t>；</w:t>
            </w:r>
          </w:p>
          <w:p w14:paraId="29FB4C9D">
            <w:pPr>
              <w:keepNext w:val="0"/>
              <w:keepLines w:val="0"/>
              <w:pageBreakBefore w:val="0"/>
              <w:kinsoku/>
              <w:wordWrap/>
              <w:overflowPunct/>
              <w:topLinePunct w:val="0"/>
              <w:autoSpaceDE/>
              <w:autoSpaceDN/>
              <w:bidi w:val="0"/>
              <w:adjustRightInd/>
              <w:spacing w:line="500" w:lineRule="exact"/>
              <w:ind w:firstLine="420" w:firstLineChars="200"/>
              <w:textAlignment w:val="auto"/>
              <w:rPr>
                <w:rFonts w:hint="eastAsia" w:ascii="宋体" w:hAnsi="宋体" w:eastAsia="宋体" w:cs="宋体"/>
                <w:color w:val="000000" w:themeColor="text1"/>
                <w:sz w:val="21"/>
                <w:szCs w:val="21"/>
              </w:rPr>
            </w:pPr>
            <w:r>
              <w:rPr>
                <w:rFonts w:hint="eastAsia" w:ascii="宋体" w:hAnsi="宋体" w:eastAsia="宋体" w:cs="宋体"/>
                <w:color w:val="auto"/>
                <w:sz w:val="21"/>
                <w:szCs w:val="21"/>
              </w:rPr>
              <w:t>3.</w:t>
            </w:r>
            <w:r>
              <w:rPr>
                <w:rFonts w:hint="eastAsia" w:ascii="宋体" w:hAnsi="宋体" w:eastAsia="宋体" w:cs="宋体"/>
                <w:color w:val="auto"/>
                <w:sz w:val="21"/>
                <w:szCs w:val="21"/>
                <w:lang w:val="en-US" w:eastAsia="zh-CN"/>
              </w:rPr>
              <w:t>5</w:t>
            </w:r>
            <w:r>
              <w:rPr>
                <w:rFonts w:hint="eastAsia" w:ascii="宋体" w:hAnsi="宋体" w:eastAsia="宋体" w:cs="宋体"/>
                <w:color w:val="auto"/>
                <w:sz w:val="21"/>
                <w:szCs w:val="21"/>
              </w:rPr>
              <w:t>本次采购采用资格后审，不接受联合体投标</w:t>
            </w:r>
            <w:r>
              <w:rPr>
                <w:rFonts w:hint="eastAsia" w:ascii="宋体" w:hAnsi="宋体" w:eastAsia="宋体" w:cs="宋体"/>
                <w:color w:val="auto"/>
                <w:sz w:val="21"/>
                <w:szCs w:val="21"/>
                <w:lang w:eastAsia="zh-CN"/>
              </w:rPr>
              <w:t>。</w:t>
            </w:r>
          </w:p>
        </w:tc>
      </w:tr>
      <w:tr w14:paraId="2E4254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25" w:type="pct"/>
            <w:vAlign w:val="center"/>
          </w:tcPr>
          <w:p w14:paraId="436B8669">
            <w:pPr>
              <w:spacing w:line="360" w:lineRule="auto"/>
              <w:jc w:val="center"/>
              <w:rPr>
                <w:rFonts w:hint="eastAsia" w:ascii="宋体" w:hAnsi="宋体" w:eastAsia="宋体" w:cs="宋体"/>
                <w:sz w:val="21"/>
                <w:szCs w:val="21"/>
              </w:rPr>
            </w:pPr>
            <w:r>
              <w:rPr>
                <w:rFonts w:hint="eastAsia" w:ascii="宋体" w:hAnsi="宋体" w:eastAsia="宋体" w:cs="宋体"/>
                <w:sz w:val="21"/>
                <w:szCs w:val="21"/>
              </w:rPr>
              <w:t>1.4.2</w:t>
            </w:r>
          </w:p>
        </w:tc>
        <w:tc>
          <w:tcPr>
            <w:tcW w:w="766" w:type="pct"/>
            <w:gridSpan w:val="2"/>
            <w:vAlign w:val="center"/>
          </w:tcPr>
          <w:p w14:paraId="1D0BCF89">
            <w:pPr>
              <w:spacing w:line="360" w:lineRule="auto"/>
              <w:jc w:val="center"/>
              <w:rPr>
                <w:rFonts w:hint="eastAsia" w:ascii="宋体" w:hAnsi="宋体" w:eastAsia="宋体" w:cs="宋体"/>
                <w:sz w:val="21"/>
                <w:szCs w:val="21"/>
              </w:rPr>
            </w:pPr>
            <w:r>
              <w:rPr>
                <w:rFonts w:hint="eastAsia" w:ascii="宋体" w:hAnsi="宋体" w:eastAsia="宋体" w:cs="宋体"/>
                <w:sz w:val="21"/>
                <w:szCs w:val="21"/>
              </w:rPr>
              <w:t>是否接受联合体投标</w:t>
            </w:r>
          </w:p>
        </w:tc>
        <w:tc>
          <w:tcPr>
            <w:tcW w:w="3807" w:type="pct"/>
            <w:vAlign w:val="center"/>
          </w:tcPr>
          <w:p w14:paraId="14C970F5">
            <w:pPr>
              <w:spacing w:line="360" w:lineRule="auto"/>
              <w:jc w:val="center"/>
              <w:rPr>
                <w:rFonts w:hint="eastAsia" w:ascii="宋体" w:hAnsi="宋体" w:eastAsia="宋体" w:cs="宋体"/>
                <w:sz w:val="21"/>
                <w:szCs w:val="21"/>
              </w:rPr>
            </w:pPr>
            <w:r>
              <w:rPr>
                <w:rFonts w:hint="eastAsia" w:ascii="宋体" w:hAnsi="宋体" w:eastAsia="宋体" w:cs="宋体"/>
                <w:sz w:val="21"/>
                <w:szCs w:val="21"/>
              </w:rPr>
              <w:t>不接受</w:t>
            </w:r>
          </w:p>
        </w:tc>
      </w:tr>
      <w:tr w14:paraId="71A81C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25" w:type="pct"/>
            <w:vAlign w:val="center"/>
          </w:tcPr>
          <w:p w14:paraId="2C500A58">
            <w:pPr>
              <w:spacing w:line="360" w:lineRule="auto"/>
              <w:jc w:val="center"/>
              <w:rPr>
                <w:rFonts w:hint="eastAsia" w:ascii="宋体" w:hAnsi="宋体" w:eastAsia="宋体" w:cs="宋体"/>
                <w:sz w:val="21"/>
                <w:szCs w:val="21"/>
              </w:rPr>
            </w:pPr>
            <w:r>
              <w:rPr>
                <w:rFonts w:hint="eastAsia" w:ascii="宋体" w:hAnsi="宋体" w:eastAsia="宋体" w:cs="宋体"/>
                <w:sz w:val="21"/>
                <w:szCs w:val="21"/>
              </w:rPr>
              <w:t>1.9.1</w:t>
            </w:r>
          </w:p>
        </w:tc>
        <w:tc>
          <w:tcPr>
            <w:tcW w:w="766" w:type="pct"/>
            <w:gridSpan w:val="2"/>
            <w:vAlign w:val="center"/>
          </w:tcPr>
          <w:p w14:paraId="0D8D9B3C">
            <w:pPr>
              <w:spacing w:line="360" w:lineRule="auto"/>
              <w:jc w:val="center"/>
              <w:rPr>
                <w:rFonts w:hint="eastAsia" w:ascii="宋体" w:hAnsi="宋体" w:eastAsia="宋体" w:cs="宋体"/>
                <w:sz w:val="21"/>
                <w:szCs w:val="21"/>
              </w:rPr>
            </w:pPr>
            <w:r>
              <w:rPr>
                <w:rFonts w:hint="eastAsia" w:ascii="宋体" w:hAnsi="宋体" w:eastAsia="宋体" w:cs="宋体"/>
                <w:sz w:val="21"/>
                <w:szCs w:val="21"/>
              </w:rPr>
              <w:t>踏勘现场</w:t>
            </w:r>
          </w:p>
        </w:tc>
        <w:tc>
          <w:tcPr>
            <w:tcW w:w="3807" w:type="pct"/>
            <w:vAlign w:val="center"/>
          </w:tcPr>
          <w:p w14:paraId="3452DA2B">
            <w:pPr>
              <w:spacing w:line="360" w:lineRule="auto"/>
              <w:jc w:val="center"/>
              <w:rPr>
                <w:rFonts w:hint="eastAsia" w:ascii="宋体" w:hAnsi="宋体" w:eastAsia="宋体" w:cs="宋体"/>
                <w:sz w:val="21"/>
                <w:szCs w:val="21"/>
              </w:rPr>
            </w:pPr>
            <w:r>
              <w:rPr>
                <w:rFonts w:hint="eastAsia" w:ascii="宋体" w:hAnsi="宋体" w:eastAsia="宋体" w:cs="宋体"/>
                <w:sz w:val="21"/>
                <w:szCs w:val="21"/>
              </w:rPr>
              <w:t>不组织，供应商自行踏勘现场。</w:t>
            </w:r>
          </w:p>
        </w:tc>
      </w:tr>
      <w:tr w14:paraId="7709FC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25" w:type="pct"/>
            <w:vAlign w:val="center"/>
          </w:tcPr>
          <w:p w14:paraId="0490469F">
            <w:pPr>
              <w:spacing w:line="360" w:lineRule="auto"/>
              <w:jc w:val="center"/>
              <w:rPr>
                <w:rFonts w:hint="eastAsia" w:ascii="宋体" w:hAnsi="宋体" w:eastAsia="宋体" w:cs="宋体"/>
                <w:sz w:val="21"/>
                <w:szCs w:val="21"/>
              </w:rPr>
            </w:pPr>
            <w:r>
              <w:rPr>
                <w:rFonts w:hint="eastAsia" w:ascii="宋体" w:hAnsi="宋体" w:eastAsia="宋体" w:cs="宋体"/>
                <w:sz w:val="21"/>
                <w:szCs w:val="21"/>
              </w:rPr>
              <w:t>1.10.1</w:t>
            </w:r>
          </w:p>
        </w:tc>
        <w:tc>
          <w:tcPr>
            <w:tcW w:w="766" w:type="pct"/>
            <w:gridSpan w:val="2"/>
            <w:vAlign w:val="center"/>
          </w:tcPr>
          <w:p w14:paraId="06BC7083">
            <w:pPr>
              <w:spacing w:line="360" w:lineRule="auto"/>
              <w:jc w:val="center"/>
              <w:rPr>
                <w:rFonts w:hint="eastAsia" w:ascii="宋体" w:hAnsi="宋体" w:eastAsia="宋体" w:cs="宋体"/>
                <w:sz w:val="21"/>
                <w:szCs w:val="21"/>
              </w:rPr>
            </w:pPr>
            <w:r>
              <w:rPr>
                <w:rFonts w:hint="eastAsia" w:ascii="宋体" w:hAnsi="宋体" w:eastAsia="宋体" w:cs="宋体"/>
                <w:sz w:val="21"/>
                <w:szCs w:val="21"/>
              </w:rPr>
              <w:t>投标预备会</w:t>
            </w:r>
          </w:p>
        </w:tc>
        <w:tc>
          <w:tcPr>
            <w:tcW w:w="3807" w:type="pct"/>
            <w:vAlign w:val="center"/>
          </w:tcPr>
          <w:p w14:paraId="5F90E0A9">
            <w:pPr>
              <w:spacing w:line="360" w:lineRule="auto"/>
              <w:jc w:val="center"/>
              <w:rPr>
                <w:rFonts w:hint="eastAsia" w:ascii="宋体" w:hAnsi="宋体" w:eastAsia="宋体" w:cs="宋体"/>
                <w:sz w:val="21"/>
                <w:szCs w:val="21"/>
              </w:rPr>
            </w:pPr>
            <w:r>
              <w:rPr>
                <w:rFonts w:hint="eastAsia" w:ascii="宋体" w:hAnsi="宋体" w:eastAsia="宋体" w:cs="宋体"/>
                <w:sz w:val="21"/>
                <w:szCs w:val="21"/>
              </w:rPr>
              <w:t>不召开</w:t>
            </w:r>
          </w:p>
        </w:tc>
      </w:tr>
      <w:tr w14:paraId="0A679F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25" w:type="pct"/>
            <w:vAlign w:val="center"/>
          </w:tcPr>
          <w:p w14:paraId="4AF17E2B">
            <w:pPr>
              <w:spacing w:line="360" w:lineRule="auto"/>
              <w:jc w:val="center"/>
              <w:rPr>
                <w:rFonts w:hint="eastAsia" w:ascii="宋体" w:hAnsi="宋体" w:eastAsia="宋体" w:cs="宋体"/>
                <w:sz w:val="21"/>
                <w:szCs w:val="21"/>
              </w:rPr>
            </w:pPr>
            <w:r>
              <w:rPr>
                <w:rFonts w:hint="eastAsia" w:ascii="宋体" w:hAnsi="宋体" w:eastAsia="宋体" w:cs="宋体"/>
                <w:sz w:val="21"/>
                <w:szCs w:val="21"/>
              </w:rPr>
              <w:t>1.10.2</w:t>
            </w:r>
          </w:p>
        </w:tc>
        <w:tc>
          <w:tcPr>
            <w:tcW w:w="766" w:type="pct"/>
            <w:gridSpan w:val="2"/>
            <w:vAlign w:val="center"/>
          </w:tcPr>
          <w:p w14:paraId="7004DD16">
            <w:pPr>
              <w:spacing w:line="360" w:lineRule="auto"/>
              <w:ind w:right="-122" w:rightChars="-51"/>
              <w:jc w:val="center"/>
              <w:rPr>
                <w:rFonts w:hint="eastAsia" w:ascii="宋体" w:hAnsi="宋体" w:eastAsia="宋体" w:cs="宋体"/>
                <w:sz w:val="21"/>
                <w:szCs w:val="21"/>
              </w:rPr>
            </w:pPr>
            <w:r>
              <w:rPr>
                <w:rFonts w:hint="eastAsia" w:ascii="宋体" w:hAnsi="宋体" w:eastAsia="宋体" w:cs="宋体"/>
                <w:sz w:val="21"/>
                <w:szCs w:val="21"/>
              </w:rPr>
              <w:t>供应商提出问题的截止时间</w:t>
            </w:r>
          </w:p>
        </w:tc>
        <w:tc>
          <w:tcPr>
            <w:tcW w:w="3807" w:type="pct"/>
            <w:vAlign w:val="center"/>
          </w:tcPr>
          <w:p w14:paraId="0D45E37A">
            <w:pPr>
              <w:autoSpaceDE w:val="0"/>
              <w:autoSpaceDN w:val="0"/>
              <w:adjustRightInd w:val="0"/>
              <w:spacing w:line="360" w:lineRule="auto"/>
              <w:jc w:val="center"/>
              <w:rPr>
                <w:rFonts w:hint="eastAsia" w:ascii="宋体" w:hAnsi="宋体" w:eastAsia="宋体" w:cs="宋体"/>
                <w:kern w:val="0"/>
                <w:sz w:val="21"/>
                <w:szCs w:val="21"/>
              </w:rPr>
            </w:pPr>
            <w:r>
              <w:rPr>
                <w:rFonts w:hint="eastAsia" w:ascii="宋体" w:hAnsi="宋体" w:eastAsia="宋体" w:cs="宋体"/>
                <w:sz w:val="21"/>
                <w:szCs w:val="21"/>
              </w:rPr>
              <w:t>递交响应文件的截止之日5日前</w:t>
            </w:r>
          </w:p>
        </w:tc>
      </w:tr>
      <w:tr w14:paraId="1BC43D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25" w:type="pct"/>
            <w:vAlign w:val="center"/>
          </w:tcPr>
          <w:p w14:paraId="6EFB2464">
            <w:pPr>
              <w:spacing w:line="360" w:lineRule="auto"/>
              <w:jc w:val="center"/>
              <w:rPr>
                <w:rFonts w:hint="eastAsia" w:ascii="宋体" w:hAnsi="宋体" w:eastAsia="宋体" w:cs="宋体"/>
                <w:sz w:val="21"/>
                <w:szCs w:val="21"/>
              </w:rPr>
            </w:pPr>
            <w:r>
              <w:rPr>
                <w:rFonts w:hint="eastAsia" w:ascii="宋体" w:hAnsi="宋体" w:eastAsia="宋体" w:cs="宋体"/>
                <w:sz w:val="21"/>
                <w:szCs w:val="21"/>
              </w:rPr>
              <w:t>1.10.3</w:t>
            </w:r>
          </w:p>
        </w:tc>
        <w:tc>
          <w:tcPr>
            <w:tcW w:w="766" w:type="pct"/>
            <w:gridSpan w:val="2"/>
            <w:vAlign w:val="center"/>
          </w:tcPr>
          <w:p w14:paraId="2B23098D">
            <w:pPr>
              <w:spacing w:line="360" w:lineRule="auto"/>
              <w:jc w:val="center"/>
              <w:rPr>
                <w:rFonts w:hint="eastAsia" w:ascii="宋体" w:hAnsi="宋体" w:eastAsia="宋体" w:cs="宋体"/>
                <w:sz w:val="21"/>
                <w:szCs w:val="21"/>
              </w:rPr>
            </w:pPr>
            <w:r>
              <w:rPr>
                <w:rFonts w:hint="eastAsia" w:ascii="宋体" w:hAnsi="宋体" w:eastAsia="宋体" w:cs="宋体"/>
                <w:sz w:val="21"/>
                <w:szCs w:val="21"/>
              </w:rPr>
              <w:t>采购人书面澄清的时间</w:t>
            </w:r>
          </w:p>
        </w:tc>
        <w:tc>
          <w:tcPr>
            <w:tcW w:w="3807" w:type="pct"/>
            <w:vAlign w:val="center"/>
          </w:tcPr>
          <w:p w14:paraId="461D56BF">
            <w:pPr>
              <w:autoSpaceDE w:val="0"/>
              <w:autoSpaceDN w:val="0"/>
              <w:adjustRightInd w:val="0"/>
              <w:spacing w:line="360" w:lineRule="auto"/>
              <w:jc w:val="center"/>
              <w:rPr>
                <w:rFonts w:hint="eastAsia" w:ascii="宋体" w:hAnsi="宋体" w:eastAsia="宋体" w:cs="宋体"/>
                <w:kern w:val="0"/>
                <w:sz w:val="21"/>
                <w:szCs w:val="21"/>
              </w:rPr>
            </w:pPr>
            <w:r>
              <w:rPr>
                <w:rFonts w:hint="eastAsia" w:ascii="宋体" w:hAnsi="宋体" w:eastAsia="宋体" w:cs="宋体"/>
                <w:sz w:val="21"/>
                <w:szCs w:val="21"/>
              </w:rPr>
              <w:t>递交响应文件的截止之日5日前</w:t>
            </w:r>
          </w:p>
        </w:tc>
      </w:tr>
      <w:tr w14:paraId="5D5289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25" w:type="pct"/>
            <w:vAlign w:val="center"/>
          </w:tcPr>
          <w:p w14:paraId="1998284D">
            <w:pPr>
              <w:spacing w:line="360" w:lineRule="auto"/>
              <w:jc w:val="center"/>
              <w:rPr>
                <w:rFonts w:hint="eastAsia" w:ascii="宋体" w:hAnsi="宋体" w:eastAsia="宋体" w:cs="宋体"/>
                <w:sz w:val="21"/>
                <w:szCs w:val="21"/>
              </w:rPr>
            </w:pPr>
            <w:r>
              <w:rPr>
                <w:rFonts w:hint="eastAsia" w:ascii="宋体" w:hAnsi="宋体" w:eastAsia="宋体" w:cs="宋体"/>
                <w:sz w:val="21"/>
                <w:szCs w:val="21"/>
              </w:rPr>
              <w:t>1.11</w:t>
            </w:r>
          </w:p>
        </w:tc>
        <w:tc>
          <w:tcPr>
            <w:tcW w:w="766" w:type="pct"/>
            <w:gridSpan w:val="2"/>
            <w:vAlign w:val="center"/>
          </w:tcPr>
          <w:p w14:paraId="2809C244">
            <w:pPr>
              <w:spacing w:line="360" w:lineRule="auto"/>
              <w:jc w:val="center"/>
              <w:rPr>
                <w:rFonts w:hint="eastAsia" w:ascii="宋体" w:hAnsi="宋体" w:eastAsia="宋体" w:cs="宋体"/>
                <w:sz w:val="21"/>
                <w:szCs w:val="21"/>
              </w:rPr>
            </w:pPr>
            <w:r>
              <w:rPr>
                <w:rFonts w:hint="eastAsia" w:ascii="宋体" w:hAnsi="宋体" w:eastAsia="宋体" w:cs="宋体"/>
                <w:sz w:val="21"/>
                <w:szCs w:val="21"/>
              </w:rPr>
              <w:t>分  包</w:t>
            </w:r>
          </w:p>
        </w:tc>
        <w:tc>
          <w:tcPr>
            <w:tcW w:w="3807" w:type="pct"/>
            <w:vAlign w:val="center"/>
          </w:tcPr>
          <w:p w14:paraId="6D02404A">
            <w:pPr>
              <w:spacing w:line="360" w:lineRule="auto"/>
              <w:jc w:val="center"/>
              <w:rPr>
                <w:rFonts w:hint="eastAsia" w:ascii="宋体" w:hAnsi="宋体" w:eastAsia="宋体" w:cs="宋体"/>
                <w:sz w:val="21"/>
                <w:szCs w:val="21"/>
              </w:rPr>
            </w:pPr>
            <w:r>
              <w:rPr>
                <w:rFonts w:hint="eastAsia" w:ascii="宋体" w:hAnsi="宋体" w:eastAsia="宋体" w:cs="宋体"/>
                <w:sz w:val="21"/>
                <w:szCs w:val="21"/>
              </w:rPr>
              <w:t>不允许</w:t>
            </w:r>
          </w:p>
        </w:tc>
      </w:tr>
      <w:tr w14:paraId="36574B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25" w:type="pct"/>
            <w:vAlign w:val="center"/>
          </w:tcPr>
          <w:p w14:paraId="0D4C2935">
            <w:pPr>
              <w:spacing w:line="360" w:lineRule="auto"/>
              <w:jc w:val="center"/>
              <w:rPr>
                <w:rFonts w:hint="eastAsia" w:ascii="宋体" w:hAnsi="宋体" w:eastAsia="宋体" w:cs="宋体"/>
                <w:sz w:val="21"/>
                <w:szCs w:val="21"/>
              </w:rPr>
            </w:pPr>
            <w:r>
              <w:rPr>
                <w:rFonts w:hint="eastAsia" w:ascii="宋体" w:hAnsi="宋体" w:eastAsia="宋体" w:cs="宋体"/>
                <w:sz w:val="21"/>
                <w:szCs w:val="21"/>
              </w:rPr>
              <w:t>1.12</w:t>
            </w:r>
          </w:p>
        </w:tc>
        <w:tc>
          <w:tcPr>
            <w:tcW w:w="766" w:type="pct"/>
            <w:gridSpan w:val="2"/>
            <w:vAlign w:val="center"/>
          </w:tcPr>
          <w:p w14:paraId="15917C2F">
            <w:pPr>
              <w:spacing w:line="360" w:lineRule="auto"/>
              <w:jc w:val="center"/>
              <w:rPr>
                <w:rFonts w:hint="eastAsia" w:ascii="宋体" w:hAnsi="宋体" w:eastAsia="宋体" w:cs="宋体"/>
                <w:sz w:val="21"/>
                <w:szCs w:val="21"/>
              </w:rPr>
            </w:pPr>
            <w:r>
              <w:rPr>
                <w:rFonts w:hint="eastAsia" w:ascii="宋体" w:hAnsi="宋体" w:eastAsia="宋体" w:cs="宋体"/>
                <w:sz w:val="21"/>
                <w:szCs w:val="21"/>
              </w:rPr>
              <w:t>偏  离</w:t>
            </w:r>
          </w:p>
        </w:tc>
        <w:tc>
          <w:tcPr>
            <w:tcW w:w="3807" w:type="pct"/>
            <w:vAlign w:val="center"/>
          </w:tcPr>
          <w:p w14:paraId="1E8D3CA5">
            <w:pPr>
              <w:spacing w:line="360" w:lineRule="auto"/>
              <w:jc w:val="center"/>
              <w:rPr>
                <w:rFonts w:hint="eastAsia" w:ascii="宋体" w:hAnsi="宋体" w:eastAsia="宋体" w:cs="宋体"/>
                <w:sz w:val="21"/>
                <w:szCs w:val="21"/>
              </w:rPr>
            </w:pPr>
            <w:r>
              <w:rPr>
                <w:rFonts w:hint="eastAsia" w:ascii="宋体" w:hAnsi="宋体" w:eastAsia="宋体" w:cs="宋体"/>
                <w:sz w:val="21"/>
                <w:szCs w:val="21"/>
              </w:rPr>
              <w:t>不允许</w:t>
            </w:r>
          </w:p>
        </w:tc>
      </w:tr>
      <w:tr w14:paraId="799D0F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25" w:type="pct"/>
            <w:vAlign w:val="center"/>
          </w:tcPr>
          <w:p w14:paraId="69A5821A">
            <w:pPr>
              <w:spacing w:line="360" w:lineRule="auto"/>
              <w:jc w:val="center"/>
              <w:rPr>
                <w:rFonts w:hint="eastAsia" w:ascii="宋体" w:hAnsi="宋体" w:eastAsia="宋体" w:cs="宋体"/>
                <w:sz w:val="21"/>
                <w:szCs w:val="21"/>
              </w:rPr>
            </w:pPr>
            <w:r>
              <w:rPr>
                <w:rFonts w:hint="eastAsia" w:ascii="宋体" w:hAnsi="宋体" w:eastAsia="宋体" w:cs="宋体"/>
                <w:sz w:val="21"/>
                <w:szCs w:val="21"/>
              </w:rPr>
              <w:t>2.1</w:t>
            </w:r>
          </w:p>
        </w:tc>
        <w:tc>
          <w:tcPr>
            <w:tcW w:w="766" w:type="pct"/>
            <w:gridSpan w:val="2"/>
            <w:vAlign w:val="center"/>
          </w:tcPr>
          <w:p w14:paraId="08030546">
            <w:pPr>
              <w:spacing w:line="360" w:lineRule="auto"/>
              <w:jc w:val="center"/>
              <w:rPr>
                <w:rFonts w:hint="eastAsia" w:ascii="宋体" w:hAnsi="宋体" w:eastAsia="宋体" w:cs="宋体"/>
                <w:sz w:val="21"/>
                <w:szCs w:val="21"/>
              </w:rPr>
            </w:pPr>
            <w:r>
              <w:rPr>
                <w:rFonts w:hint="eastAsia" w:ascii="宋体" w:hAnsi="宋体" w:eastAsia="宋体" w:cs="宋体"/>
                <w:sz w:val="21"/>
                <w:szCs w:val="21"/>
              </w:rPr>
              <w:t>构成磋商文件的其他材料</w:t>
            </w:r>
          </w:p>
        </w:tc>
        <w:tc>
          <w:tcPr>
            <w:tcW w:w="3807" w:type="pct"/>
            <w:vAlign w:val="center"/>
          </w:tcPr>
          <w:p w14:paraId="47818C27">
            <w:pPr>
              <w:spacing w:line="360" w:lineRule="auto"/>
              <w:jc w:val="center"/>
              <w:rPr>
                <w:rFonts w:hint="eastAsia" w:ascii="宋体" w:hAnsi="宋体" w:eastAsia="宋体" w:cs="宋体"/>
                <w:sz w:val="21"/>
                <w:szCs w:val="21"/>
              </w:rPr>
            </w:pPr>
            <w:r>
              <w:rPr>
                <w:rFonts w:hint="eastAsia" w:ascii="宋体" w:hAnsi="宋体" w:eastAsia="宋体" w:cs="宋体"/>
                <w:sz w:val="21"/>
                <w:szCs w:val="21"/>
              </w:rPr>
              <w:t>答疑、设计变更、磋商文件补充材料等。</w:t>
            </w:r>
          </w:p>
        </w:tc>
      </w:tr>
      <w:tr w14:paraId="4373B7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25" w:type="pct"/>
            <w:vAlign w:val="center"/>
          </w:tcPr>
          <w:p w14:paraId="3D9BF2C5">
            <w:pPr>
              <w:spacing w:line="360" w:lineRule="auto"/>
              <w:jc w:val="center"/>
              <w:rPr>
                <w:rFonts w:hint="eastAsia" w:ascii="宋体" w:hAnsi="宋体" w:eastAsia="宋体" w:cs="宋体"/>
                <w:sz w:val="21"/>
                <w:szCs w:val="21"/>
              </w:rPr>
            </w:pPr>
            <w:r>
              <w:rPr>
                <w:rFonts w:hint="eastAsia" w:ascii="宋体" w:hAnsi="宋体" w:eastAsia="宋体" w:cs="宋体"/>
                <w:sz w:val="21"/>
                <w:szCs w:val="21"/>
              </w:rPr>
              <w:t>2.2.1</w:t>
            </w:r>
          </w:p>
        </w:tc>
        <w:tc>
          <w:tcPr>
            <w:tcW w:w="766" w:type="pct"/>
            <w:gridSpan w:val="2"/>
            <w:vAlign w:val="center"/>
          </w:tcPr>
          <w:p w14:paraId="179C6412">
            <w:pPr>
              <w:spacing w:line="360" w:lineRule="auto"/>
              <w:jc w:val="center"/>
              <w:rPr>
                <w:rFonts w:hint="eastAsia" w:ascii="宋体" w:hAnsi="宋体" w:eastAsia="宋体" w:cs="宋体"/>
                <w:sz w:val="21"/>
                <w:szCs w:val="21"/>
              </w:rPr>
            </w:pPr>
            <w:r>
              <w:rPr>
                <w:rFonts w:hint="eastAsia" w:ascii="宋体" w:hAnsi="宋体" w:eastAsia="宋体" w:cs="宋体"/>
                <w:sz w:val="21"/>
                <w:szCs w:val="21"/>
              </w:rPr>
              <w:t>供应商要求澄清磋商文件的截止时间</w:t>
            </w:r>
          </w:p>
        </w:tc>
        <w:tc>
          <w:tcPr>
            <w:tcW w:w="3807" w:type="pct"/>
            <w:vAlign w:val="center"/>
          </w:tcPr>
          <w:p w14:paraId="003A5FE0">
            <w:pPr>
              <w:spacing w:line="360" w:lineRule="auto"/>
              <w:jc w:val="center"/>
              <w:rPr>
                <w:rFonts w:hint="eastAsia" w:ascii="宋体" w:hAnsi="宋体" w:eastAsia="宋体" w:cs="宋体"/>
                <w:sz w:val="21"/>
                <w:szCs w:val="21"/>
              </w:rPr>
            </w:pPr>
            <w:r>
              <w:rPr>
                <w:rFonts w:hint="eastAsia" w:ascii="宋体" w:hAnsi="宋体" w:eastAsia="宋体" w:cs="宋体"/>
                <w:sz w:val="21"/>
                <w:szCs w:val="21"/>
              </w:rPr>
              <w:t>递交响应文件的截止之日5日前</w:t>
            </w:r>
          </w:p>
        </w:tc>
      </w:tr>
      <w:tr w14:paraId="54F17C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25" w:type="pct"/>
            <w:vAlign w:val="center"/>
          </w:tcPr>
          <w:p w14:paraId="2E4E930C">
            <w:pPr>
              <w:spacing w:line="360" w:lineRule="auto"/>
              <w:jc w:val="center"/>
              <w:rPr>
                <w:rFonts w:hint="eastAsia" w:ascii="宋体" w:hAnsi="宋体" w:eastAsia="宋体" w:cs="宋体"/>
                <w:sz w:val="21"/>
                <w:szCs w:val="21"/>
              </w:rPr>
            </w:pPr>
            <w:r>
              <w:rPr>
                <w:rFonts w:hint="eastAsia" w:ascii="宋体" w:hAnsi="宋体" w:eastAsia="宋体" w:cs="宋体"/>
                <w:sz w:val="21"/>
                <w:szCs w:val="21"/>
              </w:rPr>
              <w:t>2.2.2</w:t>
            </w:r>
          </w:p>
        </w:tc>
        <w:tc>
          <w:tcPr>
            <w:tcW w:w="766" w:type="pct"/>
            <w:gridSpan w:val="2"/>
            <w:vAlign w:val="center"/>
          </w:tcPr>
          <w:p w14:paraId="48995633">
            <w:pPr>
              <w:spacing w:line="360" w:lineRule="auto"/>
              <w:jc w:val="center"/>
              <w:rPr>
                <w:rFonts w:hint="eastAsia" w:ascii="宋体" w:hAnsi="宋体" w:eastAsia="宋体" w:cs="宋体"/>
                <w:sz w:val="21"/>
                <w:szCs w:val="21"/>
              </w:rPr>
            </w:pPr>
            <w:r>
              <w:rPr>
                <w:rFonts w:hint="eastAsia" w:ascii="宋体" w:hAnsi="宋体" w:eastAsia="宋体" w:cs="宋体"/>
                <w:sz w:val="21"/>
                <w:szCs w:val="21"/>
              </w:rPr>
              <w:t>投标截止时间</w:t>
            </w:r>
          </w:p>
        </w:tc>
        <w:tc>
          <w:tcPr>
            <w:tcW w:w="3807" w:type="pct"/>
            <w:vAlign w:val="center"/>
          </w:tcPr>
          <w:p w14:paraId="32199C7D">
            <w:pPr>
              <w:spacing w:line="360" w:lineRule="auto"/>
              <w:jc w:val="center"/>
              <w:rPr>
                <w:rFonts w:hint="eastAsia" w:ascii="宋体" w:hAnsi="宋体" w:eastAsia="宋体" w:cs="宋体"/>
                <w:color w:val="FF0000"/>
                <w:sz w:val="21"/>
                <w:szCs w:val="21"/>
              </w:rPr>
            </w:pPr>
            <w:r>
              <w:rPr>
                <w:rFonts w:hint="eastAsia" w:ascii="宋体" w:hAnsi="宋体" w:eastAsia="宋体" w:cs="宋体"/>
                <w:bCs/>
                <w:sz w:val="21"/>
                <w:szCs w:val="21"/>
              </w:rPr>
              <w:t>202</w:t>
            </w:r>
            <w:r>
              <w:rPr>
                <w:rFonts w:hint="eastAsia" w:ascii="宋体" w:hAnsi="宋体" w:eastAsia="宋体" w:cs="宋体"/>
                <w:bCs/>
                <w:sz w:val="21"/>
                <w:szCs w:val="21"/>
                <w:lang w:val="en-US" w:eastAsia="zh-CN"/>
              </w:rPr>
              <w:t>6</w:t>
            </w:r>
            <w:r>
              <w:rPr>
                <w:rFonts w:hint="eastAsia" w:ascii="宋体" w:hAnsi="宋体" w:eastAsia="宋体" w:cs="宋体"/>
                <w:bCs/>
                <w:sz w:val="21"/>
                <w:szCs w:val="21"/>
              </w:rPr>
              <w:t>年</w:t>
            </w:r>
            <w:r>
              <w:rPr>
                <w:rFonts w:hint="eastAsia" w:ascii="宋体" w:hAnsi="宋体" w:eastAsia="宋体" w:cs="宋体"/>
                <w:bCs/>
                <w:sz w:val="21"/>
                <w:szCs w:val="21"/>
                <w:lang w:val="en-US" w:eastAsia="zh-CN"/>
              </w:rPr>
              <w:t>9</w:t>
            </w:r>
            <w:r>
              <w:rPr>
                <w:rFonts w:hint="eastAsia" w:ascii="宋体" w:hAnsi="宋体" w:eastAsia="宋体" w:cs="宋体"/>
                <w:bCs/>
                <w:sz w:val="21"/>
                <w:szCs w:val="21"/>
              </w:rPr>
              <w:t>月</w:t>
            </w:r>
            <w:r>
              <w:rPr>
                <w:rFonts w:hint="eastAsia" w:ascii="宋体" w:hAnsi="宋体" w:eastAsia="宋体" w:cs="宋体"/>
                <w:bCs/>
                <w:sz w:val="21"/>
                <w:szCs w:val="21"/>
                <w:lang w:val="en-US" w:eastAsia="zh-CN"/>
              </w:rPr>
              <w:t>8</w:t>
            </w:r>
            <w:r>
              <w:rPr>
                <w:rFonts w:hint="eastAsia" w:ascii="宋体" w:hAnsi="宋体" w:eastAsia="宋体" w:cs="宋体"/>
                <w:bCs/>
                <w:sz w:val="21"/>
                <w:szCs w:val="21"/>
              </w:rPr>
              <w:t>日</w:t>
            </w:r>
            <w:r>
              <w:rPr>
                <w:rFonts w:hint="eastAsia" w:ascii="宋体" w:hAnsi="宋体" w:eastAsia="宋体" w:cs="宋体"/>
                <w:bCs/>
                <w:sz w:val="21"/>
                <w:szCs w:val="21"/>
                <w:lang w:val="en-US" w:eastAsia="zh-CN"/>
              </w:rPr>
              <w:t>9</w:t>
            </w:r>
            <w:r>
              <w:rPr>
                <w:rFonts w:hint="eastAsia" w:ascii="宋体" w:hAnsi="宋体" w:eastAsia="宋体" w:cs="宋体"/>
                <w:bCs/>
                <w:sz w:val="21"/>
                <w:szCs w:val="21"/>
              </w:rPr>
              <w:t>时</w:t>
            </w:r>
            <w:r>
              <w:rPr>
                <w:rFonts w:hint="eastAsia" w:ascii="宋体" w:hAnsi="宋体" w:eastAsia="宋体" w:cs="宋体"/>
                <w:bCs/>
                <w:sz w:val="21"/>
                <w:szCs w:val="21"/>
                <w:lang w:val="en-US" w:eastAsia="zh-CN"/>
              </w:rPr>
              <w:t>00</w:t>
            </w:r>
            <w:r>
              <w:rPr>
                <w:rFonts w:hint="eastAsia" w:ascii="宋体" w:hAnsi="宋体" w:eastAsia="宋体" w:cs="宋体"/>
                <w:bCs/>
                <w:sz w:val="21"/>
                <w:szCs w:val="21"/>
              </w:rPr>
              <w:t>分</w:t>
            </w:r>
          </w:p>
        </w:tc>
      </w:tr>
      <w:tr w14:paraId="4C7676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25" w:type="pct"/>
            <w:vAlign w:val="center"/>
          </w:tcPr>
          <w:p w14:paraId="60470E3F">
            <w:pPr>
              <w:spacing w:line="360" w:lineRule="auto"/>
              <w:jc w:val="center"/>
              <w:rPr>
                <w:rFonts w:hint="eastAsia" w:ascii="宋体" w:hAnsi="宋体" w:eastAsia="宋体" w:cs="宋体"/>
                <w:sz w:val="21"/>
                <w:szCs w:val="21"/>
              </w:rPr>
            </w:pPr>
            <w:r>
              <w:rPr>
                <w:rFonts w:hint="eastAsia" w:ascii="宋体" w:hAnsi="宋体" w:eastAsia="宋体" w:cs="宋体"/>
                <w:sz w:val="21"/>
                <w:szCs w:val="21"/>
              </w:rPr>
              <w:t>3.1.1</w:t>
            </w:r>
          </w:p>
        </w:tc>
        <w:tc>
          <w:tcPr>
            <w:tcW w:w="766" w:type="pct"/>
            <w:gridSpan w:val="2"/>
            <w:vAlign w:val="center"/>
          </w:tcPr>
          <w:p w14:paraId="2A1FD3BB">
            <w:pPr>
              <w:spacing w:line="360" w:lineRule="auto"/>
              <w:jc w:val="center"/>
              <w:rPr>
                <w:rFonts w:hint="eastAsia" w:ascii="宋体" w:hAnsi="宋体" w:eastAsia="宋体" w:cs="宋体"/>
                <w:sz w:val="21"/>
                <w:szCs w:val="21"/>
              </w:rPr>
            </w:pPr>
            <w:r>
              <w:rPr>
                <w:rFonts w:hint="eastAsia" w:ascii="宋体" w:hAnsi="宋体" w:eastAsia="宋体" w:cs="宋体"/>
                <w:sz w:val="21"/>
                <w:szCs w:val="21"/>
              </w:rPr>
              <w:t>构成响应文件的其他材料</w:t>
            </w:r>
          </w:p>
        </w:tc>
        <w:tc>
          <w:tcPr>
            <w:tcW w:w="3807" w:type="pct"/>
            <w:vAlign w:val="center"/>
          </w:tcPr>
          <w:p w14:paraId="0D874531">
            <w:pPr>
              <w:spacing w:line="360" w:lineRule="auto"/>
              <w:jc w:val="center"/>
              <w:rPr>
                <w:rFonts w:hint="eastAsia" w:ascii="宋体" w:hAnsi="宋体" w:eastAsia="宋体" w:cs="宋体"/>
                <w:sz w:val="21"/>
                <w:szCs w:val="21"/>
              </w:rPr>
            </w:pPr>
            <w:r>
              <w:rPr>
                <w:rFonts w:hint="eastAsia" w:ascii="宋体" w:hAnsi="宋体" w:eastAsia="宋体" w:cs="宋体"/>
                <w:sz w:val="21"/>
                <w:szCs w:val="21"/>
              </w:rPr>
              <w:t>无</w:t>
            </w:r>
          </w:p>
        </w:tc>
      </w:tr>
      <w:tr w14:paraId="6BF488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25" w:type="pct"/>
            <w:vAlign w:val="center"/>
          </w:tcPr>
          <w:p w14:paraId="39A7A4BA">
            <w:pPr>
              <w:spacing w:line="360" w:lineRule="auto"/>
              <w:jc w:val="center"/>
              <w:rPr>
                <w:rFonts w:hint="eastAsia" w:ascii="宋体" w:hAnsi="宋体" w:eastAsia="宋体" w:cs="宋体"/>
                <w:sz w:val="21"/>
                <w:szCs w:val="21"/>
              </w:rPr>
            </w:pPr>
            <w:r>
              <w:rPr>
                <w:rFonts w:hint="eastAsia" w:ascii="宋体" w:hAnsi="宋体" w:eastAsia="宋体" w:cs="宋体"/>
                <w:sz w:val="21"/>
                <w:szCs w:val="21"/>
              </w:rPr>
              <w:t>3.3.1</w:t>
            </w:r>
          </w:p>
        </w:tc>
        <w:tc>
          <w:tcPr>
            <w:tcW w:w="766" w:type="pct"/>
            <w:gridSpan w:val="2"/>
            <w:vAlign w:val="center"/>
          </w:tcPr>
          <w:p w14:paraId="33C31AEA">
            <w:pPr>
              <w:spacing w:line="360" w:lineRule="auto"/>
              <w:jc w:val="center"/>
              <w:rPr>
                <w:rFonts w:hint="eastAsia" w:ascii="宋体" w:hAnsi="宋体" w:eastAsia="宋体" w:cs="宋体"/>
                <w:sz w:val="21"/>
                <w:szCs w:val="21"/>
              </w:rPr>
            </w:pPr>
            <w:r>
              <w:rPr>
                <w:rFonts w:hint="eastAsia" w:ascii="宋体" w:hAnsi="宋体" w:eastAsia="宋体" w:cs="宋体"/>
                <w:sz w:val="21"/>
                <w:szCs w:val="21"/>
              </w:rPr>
              <w:t>投标有效期</w:t>
            </w:r>
          </w:p>
        </w:tc>
        <w:tc>
          <w:tcPr>
            <w:tcW w:w="3807" w:type="pct"/>
            <w:vAlign w:val="center"/>
          </w:tcPr>
          <w:p w14:paraId="598E302C">
            <w:pPr>
              <w:spacing w:line="360" w:lineRule="auto"/>
              <w:jc w:val="center"/>
              <w:rPr>
                <w:rFonts w:hint="eastAsia" w:ascii="宋体" w:hAnsi="宋体" w:eastAsia="宋体" w:cs="宋体"/>
                <w:sz w:val="21"/>
                <w:szCs w:val="21"/>
              </w:rPr>
            </w:pPr>
            <w:r>
              <w:rPr>
                <w:rFonts w:hint="eastAsia" w:ascii="宋体" w:hAnsi="宋体" w:eastAsia="宋体" w:cs="宋体"/>
                <w:sz w:val="21"/>
                <w:szCs w:val="21"/>
              </w:rPr>
              <w:t>60日历天</w:t>
            </w:r>
          </w:p>
        </w:tc>
      </w:tr>
      <w:tr w14:paraId="1527CC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25" w:type="pct"/>
            <w:vAlign w:val="center"/>
          </w:tcPr>
          <w:p w14:paraId="354371E1">
            <w:pPr>
              <w:spacing w:line="360" w:lineRule="auto"/>
              <w:jc w:val="center"/>
              <w:rPr>
                <w:rFonts w:hint="eastAsia" w:ascii="宋体" w:hAnsi="宋体" w:eastAsia="宋体" w:cs="宋体"/>
                <w:sz w:val="21"/>
                <w:szCs w:val="21"/>
              </w:rPr>
            </w:pPr>
            <w:r>
              <w:rPr>
                <w:rFonts w:hint="eastAsia" w:ascii="宋体" w:hAnsi="宋体" w:eastAsia="宋体" w:cs="宋体"/>
                <w:sz w:val="21"/>
                <w:szCs w:val="21"/>
              </w:rPr>
              <w:t>3.6</w:t>
            </w:r>
          </w:p>
        </w:tc>
        <w:tc>
          <w:tcPr>
            <w:tcW w:w="766" w:type="pct"/>
            <w:gridSpan w:val="2"/>
            <w:vAlign w:val="center"/>
          </w:tcPr>
          <w:p w14:paraId="6101C81D">
            <w:pPr>
              <w:spacing w:line="360" w:lineRule="auto"/>
              <w:jc w:val="center"/>
              <w:rPr>
                <w:rFonts w:hint="eastAsia" w:ascii="宋体" w:hAnsi="宋体" w:eastAsia="宋体" w:cs="宋体"/>
                <w:sz w:val="21"/>
                <w:szCs w:val="21"/>
              </w:rPr>
            </w:pPr>
            <w:r>
              <w:rPr>
                <w:rFonts w:hint="eastAsia" w:ascii="宋体" w:hAnsi="宋体" w:eastAsia="宋体" w:cs="宋体"/>
                <w:sz w:val="21"/>
                <w:szCs w:val="21"/>
              </w:rPr>
              <w:t>是否允许递交备选投标方案</w:t>
            </w:r>
          </w:p>
        </w:tc>
        <w:tc>
          <w:tcPr>
            <w:tcW w:w="3807" w:type="pct"/>
            <w:vAlign w:val="center"/>
          </w:tcPr>
          <w:p w14:paraId="393DCED9">
            <w:pPr>
              <w:spacing w:line="360" w:lineRule="auto"/>
              <w:jc w:val="center"/>
              <w:rPr>
                <w:rFonts w:hint="eastAsia" w:ascii="宋体" w:hAnsi="宋体" w:eastAsia="宋体" w:cs="宋体"/>
                <w:sz w:val="21"/>
                <w:szCs w:val="21"/>
              </w:rPr>
            </w:pPr>
            <w:r>
              <w:rPr>
                <w:rFonts w:hint="eastAsia" w:ascii="宋体" w:hAnsi="宋体" w:eastAsia="宋体" w:cs="宋体"/>
                <w:sz w:val="21"/>
                <w:szCs w:val="21"/>
              </w:rPr>
              <w:t>不允许</w:t>
            </w:r>
          </w:p>
        </w:tc>
      </w:tr>
      <w:tr w14:paraId="35ED35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25" w:type="pct"/>
            <w:vAlign w:val="center"/>
          </w:tcPr>
          <w:p w14:paraId="4F5A76C9">
            <w:pPr>
              <w:spacing w:line="360" w:lineRule="auto"/>
              <w:jc w:val="center"/>
              <w:rPr>
                <w:rFonts w:hint="eastAsia" w:ascii="宋体" w:hAnsi="宋体" w:eastAsia="宋体" w:cs="宋体"/>
                <w:sz w:val="21"/>
                <w:szCs w:val="21"/>
              </w:rPr>
            </w:pPr>
            <w:r>
              <w:rPr>
                <w:rFonts w:hint="eastAsia" w:ascii="宋体" w:hAnsi="宋体" w:eastAsia="宋体" w:cs="宋体"/>
                <w:sz w:val="21"/>
                <w:szCs w:val="21"/>
              </w:rPr>
              <w:t>3.7.3</w:t>
            </w:r>
          </w:p>
        </w:tc>
        <w:tc>
          <w:tcPr>
            <w:tcW w:w="766" w:type="pct"/>
            <w:gridSpan w:val="2"/>
            <w:vAlign w:val="center"/>
          </w:tcPr>
          <w:p w14:paraId="414C96F6">
            <w:pPr>
              <w:spacing w:line="360" w:lineRule="auto"/>
              <w:jc w:val="center"/>
              <w:rPr>
                <w:rFonts w:hint="eastAsia" w:ascii="宋体" w:hAnsi="宋体" w:eastAsia="宋体" w:cs="宋体"/>
                <w:sz w:val="21"/>
                <w:szCs w:val="21"/>
              </w:rPr>
            </w:pPr>
            <w:r>
              <w:rPr>
                <w:rFonts w:hint="eastAsia" w:ascii="宋体" w:hAnsi="宋体" w:eastAsia="宋体" w:cs="宋体"/>
                <w:sz w:val="21"/>
                <w:szCs w:val="21"/>
              </w:rPr>
              <w:t>电子化响应文件的签章</w:t>
            </w:r>
          </w:p>
        </w:tc>
        <w:tc>
          <w:tcPr>
            <w:tcW w:w="3807" w:type="pct"/>
            <w:vAlign w:val="center"/>
          </w:tcPr>
          <w:p w14:paraId="00015DFF">
            <w:pPr>
              <w:spacing w:line="360" w:lineRule="auto"/>
              <w:jc w:val="left"/>
              <w:rPr>
                <w:rFonts w:hint="eastAsia" w:ascii="宋体" w:hAnsi="宋体" w:eastAsia="宋体" w:cs="宋体"/>
                <w:sz w:val="21"/>
                <w:szCs w:val="21"/>
              </w:rPr>
            </w:pPr>
            <w:r>
              <w:rPr>
                <w:rFonts w:hint="eastAsia" w:ascii="宋体" w:hAnsi="宋体" w:eastAsia="宋体" w:cs="宋体"/>
                <w:sz w:val="21"/>
                <w:szCs w:val="21"/>
              </w:rPr>
              <w:t>供应商在生成电子化响应文件后，应对电子化响应文件进行签章，未进行签章的视为无效投标。</w:t>
            </w:r>
          </w:p>
        </w:tc>
      </w:tr>
      <w:tr w14:paraId="7FAD5C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25" w:type="pct"/>
            <w:vAlign w:val="center"/>
          </w:tcPr>
          <w:p w14:paraId="18D637CA">
            <w:pPr>
              <w:spacing w:line="360" w:lineRule="auto"/>
              <w:jc w:val="center"/>
              <w:rPr>
                <w:rFonts w:hint="eastAsia" w:ascii="宋体" w:hAnsi="宋体" w:eastAsia="宋体" w:cs="宋体"/>
                <w:sz w:val="21"/>
                <w:szCs w:val="21"/>
              </w:rPr>
            </w:pPr>
            <w:r>
              <w:rPr>
                <w:rFonts w:hint="eastAsia" w:ascii="宋体" w:hAnsi="宋体" w:eastAsia="宋体" w:cs="宋体"/>
                <w:sz w:val="21"/>
                <w:szCs w:val="21"/>
              </w:rPr>
              <w:t>3.7.4</w:t>
            </w:r>
          </w:p>
        </w:tc>
        <w:tc>
          <w:tcPr>
            <w:tcW w:w="766" w:type="pct"/>
            <w:gridSpan w:val="2"/>
            <w:vAlign w:val="center"/>
          </w:tcPr>
          <w:p w14:paraId="13D404B2">
            <w:pPr>
              <w:spacing w:line="360" w:lineRule="auto"/>
              <w:jc w:val="center"/>
              <w:rPr>
                <w:rFonts w:hint="eastAsia" w:ascii="宋体" w:hAnsi="宋体" w:eastAsia="宋体" w:cs="宋体"/>
                <w:sz w:val="21"/>
                <w:szCs w:val="21"/>
              </w:rPr>
            </w:pPr>
            <w:r>
              <w:rPr>
                <w:rFonts w:hint="eastAsia" w:ascii="宋体" w:hAnsi="宋体" w:eastAsia="宋体" w:cs="宋体"/>
                <w:sz w:val="21"/>
                <w:szCs w:val="21"/>
              </w:rPr>
              <w:t>投标文件份数</w:t>
            </w:r>
          </w:p>
        </w:tc>
        <w:tc>
          <w:tcPr>
            <w:tcW w:w="3807" w:type="pct"/>
            <w:vAlign w:val="center"/>
          </w:tcPr>
          <w:p w14:paraId="0EA7B4BD">
            <w:pPr>
              <w:spacing w:line="360" w:lineRule="auto"/>
              <w:rPr>
                <w:rFonts w:hint="eastAsia" w:ascii="宋体" w:hAnsi="宋体" w:eastAsia="宋体" w:cs="宋体"/>
                <w:sz w:val="21"/>
                <w:szCs w:val="21"/>
              </w:rPr>
            </w:pPr>
            <w:r>
              <w:rPr>
                <w:rFonts w:hint="eastAsia" w:ascii="宋体" w:hAnsi="宋体" w:eastAsia="宋体" w:cs="宋体"/>
                <w:sz w:val="21"/>
                <w:szCs w:val="21"/>
              </w:rPr>
              <w:t>加密电子投标文件一份，加密电子投标文件应在招标文件规定的投标截止时间（开标时间）之前成功提交至《全国公共资源交易平台(河南省▪ 平顶山市) 》公共资源交易系统</w:t>
            </w:r>
          </w:p>
        </w:tc>
      </w:tr>
      <w:tr w14:paraId="71C4EC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25" w:type="pct"/>
            <w:vAlign w:val="center"/>
          </w:tcPr>
          <w:p w14:paraId="3F5EC64F">
            <w:pPr>
              <w:spacing w:line="360" w:lineRule="auto"/>
              <w:jc w:val="center"/>
              <w:rPr>
                <w:rFonts w:hint="eastAsia" w:ascii="宋体" w:hAnsi="宋体" w:eastAsia="宋体" w:cs="宋体"/>
                <w:sz w:val="21"/>
                <w:szCs w:val="21"/>
              </w:rPr>
            </w:pPr>
            <w:r>
              <w:rPr>
                <w:rFonts w:hint="eastAsia" w:ascii="宋体" w:hAnsi="宋体" w:eastAsia="宋体" w:cs="宋体"/>
                <w:sz w:val="21"/>
                <w:szCs w:val="21"/>
              </w:rPr>
              <w:t>4.1</w:t>
            </w:r>
          </w:p>
        </w:tc>
        <w:tc>
          <w:tcPr>
            <w:tcW w:w="766" w:type="pct"/>
            <w:gridSpan w:val="2"/>
            <w:vAlign w:val="center"/>
          </w:tcPr>
          <w:p w14:paraId="5974CE5E">
            <w:pPr>
              <w:spacing w:line="360" w:lineRule="auto"/>
              <w:jc w:val="center"/>
              <w:rPr>
                <w:rFonts w:hint="eastAsia" w:ascii="宋体" w:hAnsi="宋体" w:eastAsia="宋体" w:cs="宋体"/>
                <w:sz w:val="21"/>
                <w:szCs w:val="21"/>
              </w:rPr>
            </w:pPr>
            <w:r>
              <w:rPr>
                <w:rFonts w:hint="eastAsia" w:ascii="宋体" w:hAnsi="宋体" w:eastAsia="宋体" w:cs="宋体"/>
                <w:sz w:val="21"/>
                <w:szCs w:val="21"/>
              </w:rPr>
              <w:t>递交响应文件电子版地点</w:t>
            </w:r>
          </w:p>
        </w:tc>
        <w:tc>
          <w:tcPr>
            <w:tcW w:w="3807" w:type="pct"/>
            <w:vAlign w:val="center"/>
          </w:tcPr>
          <w:p w14:paraId="12FCC7D2">
            <w:pPr>
              <w:spacing w:before="163" w:beforeLines="50" w:line="360" w:lineRule="auto"/>
              <w:rPr>
                <w:rFonts w:hint="eastAsia" w:ascii="宋体" w:hAnsi="宋体" w:eastAsia="宋体" w:cs="宋体"/>
                <w:sz w:val="21"/>
                <w:szCs w:val="21"/>
              </w:rPr>
            </w:pPr>
            <w:r>
              <w:rPr>
                <w:rFonts w:hint="eastAsia" w:ascii="宋体" w:hAnsi="宋体" w:eastAsia="宋体" w:cs="宋体"/>
                <w:sz w:val="21"/>
                <w:szCs w:val="21"/>
              </w:rPr>
              <w:t>平顶山市公共资源交易中心网上开标大厅，未按要求上传加密电子响应文件的，采购人不予受理。</w:t>
            </w:r>
          </w:p>
        </w:tc>
      </w:tr>
      <w:tr w14:paraId="721836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25" w:type="pct"/>
            <w:vAlign w:val="center"/>
          </w:tcPr>
          <w:p w14:paraId="6A085D55">
            <w:pPr>
              <w:spacing w:line="360" w:lineRule="auto"/>
              <w:jc w:val="center"/>
              <w:rPr>
                <w:rFonts w:hint="eastAsia" w:ascii="宋体" w:hAnsi="宋体" w:eastAsia="宋体" w:cs="宋体"/>
                <w:sz w:val="21"/>
                <w:szCs w:val="21"/>
              </w:rPr>
            </w:pPr>
            <w:r>
              <w:rPr>
                <w:rFonts w:hint="eastAsia" w:ascii="宋体" w:hAnsi="宋体" w:eastAsia="宋体" w:cs="宋体"/>
                <w:sz w:val="21"/>
                <w:szCs w:val="21"/>
              </w:rPr>
              <w:t>5.1</w:t>
            </w:r>
          </w:p>
        </w:tc>
        <w:tc>
          <w:tcPr>
            <w:tcW w:w="766" w:type="pct"/>
            <w:gridSpan w:val="2"/>
            <w:vAlign w:val="center"/>
          </w:tcPr>
          <w:p w14:paraId="18E1E372">
            <w:pPr>
              <w:spacing w:line="360" w:lineRule="auto"/>
              <w:jc w:val="center"/>
              <w:rPr>
                <w:rFonts w:hint="eastAsia" w:ascii="宋体" w:hAnsi="宋体" w:eastAsia="宋体" w:cs="宋体"/>
                <w:sz w:val="21"/>
                <w:szCs w:val="21"/>
              </w:rPr>
            </w:pPr>
            <w:r>
              <w:rPr>
                <w:rFonts w:hint="eastAsia" w:ascii="宋体" w:hAnsi="宋体" w:eastAsia="宋体" w:cs="宋体"/>
                <w:sz w:val="21"/>
                <w:szCs w:val="21"/>
              </w:rPr>
              <w:t>开标时间和地点</w:t>
            </w:r>
          </w:p>
        </w:tc>
        <w:tc>
          <w:tcPr>
            <w:tcW w:w="3807" w:type="pct"/>
            <w:vAlign w:val="center"/>
          </w:tcPr>
          <w:p w14:paraId="3ACB74B4">
            <w:pPr>
              <w:spacing w:line="360" w:lineRule="auto"/>
              <w:rPr>
                <w:rFonts w:hint="eastAsia" w:ascii="宋体" w:hAnsi="宋体" w:eastAsia="宋体" w:cs="宋体"/>
                <w:sz w:val="21"/>
                <w:szCs w:val="21"/>
              </w:rPr>
            </w:pPr>
            <w:r>
              <w:rPr>
                <w:rFonts w:hint="eastAsia" w:ascii="宋体" w:hAnsi="宋体" w:eastAsia="宋体" w:cs="宋体"/>
                <w:b/>
                <w:sz w:val="21"/>
                <w:szCs w:val="21"/>
              </w:rPr>
              <w:t>开标时间：</w:t>
            </w:r>
            <w:r>
              <w:rPr>
                <w:rFonts w:hint="eastAsia" w:ascii="宋体" w:hAnsi="宋体" w:eastAsia="宋体" w:cs="宋体"/>
                <w:bCs/>
                <w:sz w:val="21"/>
                <w:szCs w:val="21"/>
              </w:rPr>
              <w:t>202</w:t>
            </w:r>
            <w:r>
              <w:rPr>
                <w:rFonts w:hint="eastAsia" w:ascii="宋体" w:hAnsi="宋体" w:eastAsia="宋体" w:cs="宋体"/>
                <w:bCs/>
                <w:sz w:val="21"/>
                <w:szCs w:val="21"/>
                <w:lang w:val="en-US" w:eastAsia="zh-CN"/>
              </w:rPr>
              <w:t>6</w:t>
            </w:r>
            <w:r>
              <w:rPr>
                <w:rFonts w:hint="eastAsia" w:ascii="宋体" w:hAnsi="宋体" w:eastAsia="宋体" w:cs="宋体"/>
                <w:bCs/>
                <w:sz w:val="21"/>
                <w:szCs w:val="21"/>
              </w:rPr>
              <w:t>年</w:t>
            </w:r>
            <w:r>
              <w:rPr>
                <w:rFonts w:hint="eastAsia" w:ascii="宋体" w:hAnsi="宋体" w:eastAsia="宋体" w:cs="宋体"/>
                <w:bCs/>
                <w:sz w:val="21"/>
                <w:szCs w:val="21"/>
                <w:lang w:val="en-US" w:eastAsia="zh-CN"/>
              </w:rPr>
              <w:t>9</w:t>
            </w:r>
            <w:r>
              <w:rPr>
                <w:rFonts w:hint="eastAsia" w:ascii="宋体" w:hAnsi="宋体" w:eastAsia="宋体" w:cs="宋体"/>
                <w:bCs/>
                <w:sz w:val="21"/>
                <w:szCs w:val="21"/>
              </w:rPr>
              <w:t>月</w:t>
            </w:r>
            <w:r>
              <w:rPr>
                <w:rFonts w:hint="eastAsia" w:ascii="宋体" w:hAnsi="宋体" w:eastAsia="宋体" w:cs="宋体"/>
                <w:bCs/>
                <w:sz w:val="21"/>
                <w:szCs w:val="21"/>
                <w:lang w:val="en-US" w:eastAsia="zh-CN"/>
              </w:rPr>
              <w:t>8</w:t>
            </w:r>
            <w:r>
              <w:rPr>
                <w:rFonts w:hint="eastAsia" w:ascii="宋体" w:hAnsi="宋体" w:eastAsia="宋体" w:cs="宋体"/>
                <w:bCs/>
                <w:sz w:val="21"/>
                <w:szCs w:val="21"/>
              </w:rPr>
              <w:t>日</w:t>
            </w:r>
            <w:r>
              <w:rPr>
                <w:rFonts w:hint="eastAsia" w:ascii="宋体" w:hAnsi="宋体" w:eastAsia="宋体" w:cs="宋体"/>
                <w:bCs/>
                <w:sz w:val="21"/>
                <w:szCs w:val="21"/>
                <w:lang w:val="en-US" w:eastAsia="zh-CN"/>
              </w:rPr>
              <w:t>9</w:t>
            </w:r>
            <w:r>
              <w:rPr>
                <w:rFonts w:hint="eastAsia" w:ascii="宋体" w:hAnsi="宋体" w:eastAsia="宋体" w:cs="宋体"/>
                <w:bCs/>
                <w:sz w:val="21"/>
                <w:szCs w:val="21"/>
              </w:rPr>
              <w:t>时</w:t>
            </w:r>
            <w:r>
              <w:rPr>
                <w:rFonts w:hint="eastAsia" w:ascii="宋体" w:hAnsi="宋体" w:eastAsia="宋体" w:cs="宋体"/>
                <w:bCs/>
                <w:sz w:val="21"/>
                <w:szCs w:val="21"/>
                <w:lang w:val="en-US" w:eastAsia="zh-CN"/>
              </w:rPr>
              <w:t>00</w:t>
            </w:r>
            <w:r>
              <w:rPr>
                <w:rFonts w:hint="eastAsia" w:ascii="宋体" w:hAnsi="宋体" w:eastAsia="宋体" w:cs="宋体"/>
                <w:bCs/>
                <w:sz w:val="21"/>
                <w:szCs w:val="21"/>
              </w:rPr>
              <w:t>分</w:t>
            </w:r>
          </w:p>
          <w:p w14:paraId="35DFC40F">
            <w:pPr>
              <w:spacing w:line="360" w:lineRule="auto"/>
              <w:rPr>
                <w:rFonts w:hint="eastAsia" w:ascii="宋体" w:hAnsi="宋体" w:eastAsia="宋体" w:cs="宋体"/>
                <w:sz w:val="21"/>
                <w:szCs w:val="21"/>
              </w:rPr>
            </w:pPr>
            <w:r>
              <w:rPr>
                <w:rFonts w:hint="eastAsia" w:ascii="宋体" w:hAnsi="宋体" w:eastAsia="宋体" w:cs="宋体"/>
                <w:b/>
                <w:sz w:val="21"/>
                <w:szCs w:val="21"/>
              </w:rPr>
              <w:t>开标地点：</w:t>
            </w:r>
            <w:r>
              <w:rPr>
                <w:rFonts w:hint="eastAsia" w:ascii="宋体" w:hAnsi="宋体" w:eastAsia="宋体" w:cs="宋体"/>
                <w:sz w:val="21"/>
                <w:szCs w:val="21"/>
              </w:rPr>
              <w:t>平顶山市公共资源交易中心网上开标大厅</w:t>
            </w:r>
          </w:p>
          <w:p w14:paraId="344D56A7">
            <w:pPr>
              <w:spacing w:line="360" w:lineRule="auto"/>
              <w:rPr>
                <w:rFonts w:hint="eastAsia" w:ascii="宋体" w:hAnsi="宋体" w:eastAsia="宋体" w:cs="宋体"/>
                <w:b/>
                <w:sz w:val="21"/>
                <w:szCs w:val="21"/>
              </w:rPr>
            </w:pPr>
            <w:r>
              <w:rPr>
                <w:rFonts w:hint="eastAsia" w:ascii="宋体" w:hAnsi="宋体" w:eastAsia="宋体" w:cs="宋体"/>
                <w:b/>
                <w:sz w:val="21"/>
                <w:szCs w:val="21"/>
              </w:rPr>
              <w:t>注：全面实行在线“不见面”开标，投标人远程在线解密投标文件，不再到开标现场，投标人开标前应仔细阅读《“不见面”开标注意事项及操作流程》。</w:t>
            </w:r>
          </w:p>
        </w:tc>
      </w:tr>
      <w:tr w14:paraId="02A007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25" w:type="pct"/>
            <w:vAlign w:val="center"/>
          </w:tcPr>
          <w:p w14:paraId="446E4E3D">
            <w:pPr>
              <w:spacing w:line="360" w:lineRule="auto"/>
              <w:jc w:val="center"/>
              <w:rPr>
                <w:rFonts w:hint="eastAsia" w:ascii="宋体" w:hAnsi="宋体" w:eastAsia="宋体" w:cs="宋体"/>
                <w:sz w:val="21"/>
                <w:szCs w:val="21"/>
              </w:rPr>
            </w:pPr>
            <w:r>
              <w:rPr>
                <w:rFonts w:hint="eastAsia" w:ascii="宋体" w:hAnsi="宋体" w:eastAsia="宋体" w:cs="宋体"/>
                <w:sz w:val="21"/>
                <w:szCs w:val="21"/>
              </w:rPr>
              <w:t>5.2</w:t>
            </w:r>
          </w:p>
        </w:tc>
        <w:tc>
          <w:tcPr>
            <w:tcW w:w="766" w:type="pct"/>
            <w:gridSpan w:val="2"/>
            <w:vAlign w:val="center"/>
          </w:tcPr>
          <w:p w14:paraId="4CC4984F">
            <w:pPr>
              <w:spacing w:line="360" w:lineRule="auto"/>
              <w:jc w:val="center"/>
              <w:rPr>
                <w:rFonts w:hint="eastAsia" w:ascii="宋体" w:hAnsi="宋体" w:eastAsia="宋体" w:cs="宋体"/>
                <w:sz w:val="21"/>
                <w:szCs w:val="21"/>
              </w:rPr>
            </w:pPr>
            <w:r>
              <w:rPr>
                <w:rFonts w:hint="eastAsia" w:ascii="宋体" w:hAnsi="宋体" w:eastAsia="宋体" w:cs="宋体"/>
                <w:sz w:val="21"/>
                <w:szCs w:val="21"/>
              </w:rPr>
              <w:t>电子化项目开标、解密、唱标、评标</w:t>
            </w:r>
          </w:p>
        </w:tc>
        <w:tc>
          <w:tcPr>
            <w:tcW w:w="3807" w:type="pct"/>
            <w:vAlign w:val="center"/>
          </w:tcPr>
          <w:p w14:paraId="78A6C549">
            <w:pPr>
              <w:spacing w:line="360" w:lineRule="auto"/>
              <w:jc w:val="left"/>
              <w:rPr>
                <w:rFonts w:hint="eastAsia" w:ascii="宋体" w:hAnsi="宋体" w:eastAsia="宋体" w:cs="宋体"/>
                <w:sz w:val="21"/>
                <w:szCs w:val="21"/>
              </w:rPr>
            </w:pPr>
            <w:r>
              <w:rPr>
                <w:rFonts w:hint="eastAsia" w:ascii="宋体" w:hAnsi="宋体" w:eastAsia="宋体" w:cs="宋体"/>
                <w:sz w:val="21"/>
                <w:szCs w:val="21"/>
              </w:rPr>
              <w:t>（1）电子化响应文件采用双重加密方式。开标时，首先由供应商使用CA证书，在规定时间内对其电子化响应文件进行首次解密，供应商解密完成后，再由中介服务机构使用CA证书对响应文件进行再次解密。</w:t>
            </w:r>
          </w:p>
          <w:p w14:paraId="6C5B82E6">
            <w:pPr>
              <w:spacing w:line="360" w:lineRule="auto"/>
              <w:jc w:val="left"/>
              <w:rPr>
                <w:rFonts w:hint="eastAsia" w:ascii="宋体" w:hAnsi="宋体" w:eastAsia="宋体" w:cs="宋体"/>
                <w:sz w:val="21"/>
                <w:szCs w:val="21"/>
              </w:rPr>
            </w:pPr>
            <w:r>
              <w:rPr>
                <w:rFonts w:hint="eastAsia" w:ascii="宋体" w:hAnsi="宋体" w:eastAsia="宋体" w:cs="宋体"/>
                <w:sz w:val="21"/>
                <w:szCs w:val="21"/>
              </w:rPr>
              <w:t>（2）待所有投标人投标文件解密完成后，由中介服务机构操作，对所有已解密投标文件进行唱标。</w:t>
            </w:r>
          </w:p>
        </w:tc>
      </w:tr>
      <w:tr w14:paraId="7AAAB9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25" w:type="pct"/>
            <w:vAlign w:val="center"/>
          </w:tcPr>
          <w:p w14:paraId="53ABFD8C">
            <w:pPr>
              <w:spacing w:line="360" w:lineRule="auto"/>
              <w:jc w:val="center"/>
              <w:rPr>
                <w:rFonts w:hint="eastAsia" w:ascii="宋体" w:hAnsi="宋体" w:eastAsia="宋体" w:cs="宋体"/>
                <w:sz w:val="21"/>
                <w:szCs w:val="21"/>
              </w:rPr>
            </w:pPr>
            <w:r>
              <w:rPr>
                <w:rFonts w:hint="eastAsia" w:ascii="宋体" w:hAnsi="宋体" w:eastAsia="宋体" w:cs="宋体"/>
                <w:sz w:val="21"/>
                <w:szCs w:val="21"/>
              </w:rPr>
              <w:t>6.1.1</w:t>
            </w:r>
          </w:p>
        </w:tc>
        <w:tc>
          <w:tcPr>
            <w:tcW w:w="766" w:type="pct"/>
            <w:gridSpan w:val="2"/>
            <w:vAlign w:val="center"/>
          </w:tcPr>
          <w:p w14:paraId="251EC37B">
            <w:pPr>
              <w:spacing w:line="360" w:lineRule="auto"/>
              <w:jc w:val="center"/>
              <w:rPr>
                <w:rFonts w:hint="eastAsia" w:ascii="宋体" w:hAnsi="宋体" w:eastAsia="宋体" w:cs="宋体"/>
                <w:sz w:val="21"/>
                <w:szCs w:val="21"/>
              </w:rPr>
            </w:pPr>
            <w:r>
              <w:rPr>
                <w:rFonts w:hint="eastAsia" w:ascii="宋体" w:hAnsi="宋体" w:eastAsia="宋体" w:cs="宋体"/>
                <w:sz w:val="21"/>
                <w:szCs w:val="21"/>
              </w:rPr>
              <w:t>磋商小组的组建</w:t>
            </w:r>
          </w:p>
        </w:tc>
        <w:tc>
          <w:tcPr>
            <w:tcW w:w="3807" w:type="pct"/>
            <w:vAlign w:val="center"/>
          </w:tcPr>
          <w:p w14:paraId="2F8F5F35">
            <w:pPr>
              <w:spacing w:line="360" w:lineRule="auto"/>
              <w:rPr>
                <w:rFonts w:hint="eastAsia" w:ascii="宋体" w:hAnsi="宋体" w:eastAsia="宋体" w:cs="宋体"/>
                <w:sz w:val="21"/>
                <w:szCs w:val="21"/>
              </w:rPr>
            </w:pPr>
            <w:r>
              <w:rPr>
                <w:rFonts w:hint="eastAsia" w:ascii="宋体" w:hAnsi="宋体" w:eastAsia="宋体" w:cs="宋体"/>
                <w:sz w:val="21"/>
                <w:szCs w:val="21"/>
              </w:rPr>
              <w:t>磋商小组由采购人代表和评审专家共3人以上单数组成，其中评审专家人数不得少于磋商小组成员总数的2/3，评审专家在相关专家库中随机抽取。</w:t>
            </w:r>
          </w:p>
          <w:p w14:paraId="572DA407">
            <w:pPr>
              <w:spacing w:line="360" w:lineRule="auto"/>
              <w:rPr>
                <w:rFonts w:hint="eastAsia" w:ascii="宋体" w:hAnsi="宋体" w:eastAsia="宋体" w:cs="宋体"/>
                <w:sz w:val="21"/>
                <w:szCs w:val="21"/>
              </w:rPr>
            </w:pPr>
            <w:r>
              <w:rPr>
                <w:rFonts w:hint="eastAsia" w:ascii="宋体" w:hAnsi="宋体" w:eastAsia="宋体" w:cs="宋体"/>
                <w:sz w:val="21"/>
                <w:szCs w:val="21"/>
              </w:rPr>
              <w:t>（</w:t>
            </w:r>
            <w:r>
              <w:rPr>
                <w:rFonts w:hint="eastAsia" w:ascii="宋体" w:hAnsi="宋体" w:eastAsia="宋体" w:cs="宋体"/>
                <w:b/>
                <w:sz w:val="21"/>
                <w:szCs w:val="21"/>
              </w:rPr>
              <w:t>上述规定为一组评标专家组成方式，根据项目标段数量和评标工作量，可由多组专家完成评审，但一个标段只能由一组专家评审）</w:t>
            </w:r>
            <w:r>
              <w:rPr>
                <w:rFonts w:hint="eastAsia" w:ascii="宋体" w:hAnsi="宋体" w:eastAsia="宋体" w:cs="宋体"/>
                <w:sz w:val="21"/>
                <w:szCs w:val="21"/>
              </w:rPr>
              <w:t>。</w:t>
            </w:r>
          </w:p>
        </w:tc>
      </w:tr>
      <w:tr w14:paraId="62811D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25" w:type="pct"/>
            <w:vAlign w:val="center"/>
          </w:tcPr>
          <w:p w14:paraId="55140598">
            <w:pPr>
              <w:spacing w:line="360" w:lineRule="auto"/>
              <w:jc w:val="center"/>
              <w:rPr>
                <w:rFonts w:hint="eastAsia" w:ascii="宋体" w:hAnsi="宋体" w:eastAsia="宋体" w:cs="宋体"/>
                <w:sz w:val="21"/>
                <w:szCs w:val="21"/>
              </w:rPr>
            </w:pPr>
            <w:r>
              <w:rPr>
                <w:rFonts w:hint="eastAsia" w:ascii="宋体" w:hAnsi="宋体" w:eastAsia="宋体" w:cs="宋体"/>
                <w:sz w:val="21"/>
                <w:szCs w:val="21"/>
              </w:rPr>
              <w:t>7.1</w:t>
            </w:r>
          </w:p>
        </w:tc>
        <w:tc>
          <w:tcPr>
            <w:tcW w:w="766" w:type="pct"/>
            <w:gridSpan w:val="2"/>
            <w:vAlign w:val="center"/>
          </w:tcPr>
          <w:p w14:paraId="75464CE6">
            <w:pPr>
              <w:spacing w:line="360" w:lineRule="auto"/>
              <w:jc w:val="center"/>
              <w:rPr>
                <w:rFonts w:hint="eastAsia" w:ascii="宋体" w:hAnsi="宋体" w:eastAsia="宋体" w:cs="宋体"/>
                <w:sz w:val="21"/>
                <w:szCs w:val="21"/>
              </w:rPr>
            </w:pPr>
            <w:r>
              <w:rPr>
                <w:rFonts w:hint="eastAsia" w:ascii="宋体" w:hAnsi="宋体" w:eastAsia="宋体" w:cs="宋体"/>
                <w:sz w:val="21"/>
                <w:szCs w:val="21"/>
              </w:rPr>
              <w:t>是否授权磋商小组确定成交人</w:t>
            </w:r>
          </w:p>
        </w:tc>
        <w:tc>
          <w:tcPr>
            <w:tcW w:w="3807" w:type="pct"/>
            <w:vAlign w:val="center"/>
          </w:tcPr>
          <w:p w14:paraId="57D0FD3D">
            <w:pPr>
              <w:spacing w:line="360" w:lineRule="auto"/>
              <w:rPr>
                <w:rFonts w:hint="eastAsia" w:ascii="宋体" w:hAnsi="宋体" w:eastAsia="宋体" w:cs="宋体"/>
                <w:sz w:val="21"/>
                <w:szCs w:val="21"/>
              </w:rPr>
            </w:pPr>
            <w:r>
              <w:rPr>
                <w:rFonts w:hint="eastAsia" w:ascii="宋体" w:hAnsi="宋体" w:eastAsia="宋体" w:cs="宋体"/>
                <w:sz w:val="21"/>
                <w:szCs w:val="21"/>
              </w:rPr>
              <w:t>否，推荐的成交候选人数：</w:t>
            </w:r>
            <w:r>
              <w:rPr>
                <w:rFonts w:hint="eastAsia" w:ascii="宋体" w:hAnsi="宋体" w:eastAsia="宋体" w:cs="宋体"/>
                <w:sz w:val="21"/>
                <w:szCs w:val="21"/>
                <w:u w:val="single"/>
              </w:rPr>
              <w:t xml:space="preserve">  3名    </w:t>
            </w:r>
          </w:p>
        </w:tc>
      </w:tr>
      <w:tr w14:paraId="5C1FD9AE">
        <w:tblPrEx>
          <w:tblCellMar>
            <w:top w:w="0" w:type="dxa"/>
            <w:left w:w="108" w:type="dxa"/>
            <w:bottom w:w="0" w:type="dxa"/>
            <w:right w:w="108" w:type="dxa"/>
          </w:tblCellMar>
        </w:tblPrEx>
        <w:trPr>
          <w:trHeight w:val="454" w:hRule="atLeast"/>
          <w:jc w:val="center"/>
        </w:trPr>
        <w:tc>
          <w:tcPr>
            <w:tcW w:w="425" w:type="pct"/>
            <w:vAlign w:val="center"/>
          </w:tcPr>
          <w:p w14:paraId="7F99B3A7">
            <w:pPr>
              <w:spacing w:line="360" w:lineRule="auto"/>
              <w:jc w:val="center"/>
              <w:rPr>
                <w:rFonts w:hint="eastAsia" w:ascii="宋体" w:hAnsi="宋体" w:eastAsia="宋体" w:cs="宋体"/>
                <w:sz w:val="21"/>
                <w:szCs w:val="21"/>
              </w:rPr>
            </w:pPr>
            <w:r>
              <w:rPr>
                <w:rFonts w:hint="eastAsia" w:ascii="宋体" w:hAnsi="宋体" w:eastAsia="宋体" w:cs="宋体"/>
                <w:sz w:val="21"/>
                <w:szCs w:val="21"/>
              </w:rPr>
              <w:t>7.3.1</w:t>
            </w:r>
          </w:p>
        </w:tc>
        <w:tc>
          <w:tcPr>
            <w:tcW w:w="766" w:type="pct"/>
            <w:gridSpan w:val="2"/>
            <w:vAlign w:val="center"/>
          </w:tcPr>
          <w:p w14:paraId="27CE813D">
            <w:pPr>
              <w:spacing w:line="360" w:lineRule="auto"/>
              <w:jc w:val="center"/>
              <w:rPr>
                <w:rFonts w:hint="eastAsia" w:ascii="宋体" w:hAnsi="宋体" w:eastAsia="宋体" w:cs="宋体"/>
                <w:sz w:val="21"/>
                <w:szCs w:val="21"/>
              </w:rPr>
            </w:pPr>
            <w:r>
              <w:rPr>
                <w:rFonts w:hint="eastAsia" w:ascii="宋体" w:hAnsi="宋体" w:eastAsia="宋体" w:cs="宋体"/>
                <w:sz w:val="21"/>
                <w:szCs w:val="21"/>
              </w:rPr>
              <w:t>履约担保</w:t>
            </w:r>
          </w:p>
        </w:tc>
        <w:tc>
          <w:tcPr>
            <w:tcW w:w="3807" w:type="pct"/>
            <w:vAlign w:val="center"/>
          </w:tcPr>
          <w:p w14:paraId="4AC9F638">
            <w:pPr>
              <w:spacing w:line="360" w:lineRule="auto"/>
              <w:rPr>
                <w:rFonts w:hint="eastAsia" w:ascii="宋体" w:hAnsi="宋体" w:eastAsia="宋体" w:cs="宋体"/>
                <w:sz w:val="21"/>
                <w:szCs w:val="21"/>
              </w:rPr>
            </w:pPr>
            <w:r>
              <w:rPr>
                <w:rFonts w:hint="eastAsia" w:ascii="宋体" w:hAnsi="宋体" w:eastAsia="宋体" w:cs="宋体"/>
                <w:sz w:val="21"/>
                <w:szCs w:val="21"/>
              </w:rPr>
              <w:t>履约担保的形式：/</w:t>
            </w:r>
          </w:p>
          <w:p w14:paraId="621F6FAD">
            <w:pPr>
              <w:pStyle w:val="2"/>
              <w:spacing w:line="360" w:lineRule="auto"/>
              <w:ind w:left="0" w:leftChars="0"/>
              <w:rPr>
                <w:rFonts w:hint="eastAsia" w:ascii="宋体" w:hAnsi="宋体" w:eastAsia="宋体" w:cs="宋体"/>
                <w:sz w:val="21"/>
                <w:szCs w:val="21"/>
              </w:rPr>
            </w:pPr>
            <w:r>
              <w:rPr>
                <w:rFonts w:hint="eastAsia" w:ascii="宋体" w:hAnsi="宋体" w:eastAsia="宋体" w:cs="宋体"/>
                <w:sz w:val="21"/>
                <w:szCs w:val="21"/>
              </w:rPr>
              <w:t>履约担保的金额：/</w:t>
            </w:r>
          </w:p>
        </w:tc>
      </w:tr>
      <w:tr w14:paraId="43915E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000" w:type="pct"/>
            <w:gridSpan w:val="4"/>
            <w:vAlign w:val="center"/>
          </w:tcPr>
          <w:p w14:paraId="100EADB6">
            <w:pPr>
              <w:spacing w:line="360" w:lineRule="auto"/>
              <w:rPr>
                <w:rFonts w:hint="eastAsia" w:ascii="宋体" w:hAnsi="宋体" w:eastAsia="宋体" w:cs="宋体"/>
                <w:sz w:val="21"/>
                <w:szCs w:val="21"/>
              </w:rPr>
            </w:pPr>
            <w:r>
              <w:rPr>
                <w:rFonts w:hint="eastAsia" w:ascii="宋体" w:hAnsi="宋体" w:eastAsia="宋体" w:cs="宋体"/>
                <w:sz w:val="21"/>
                <w:szCs w:val="21"/>
              </w:rPr>
              <w:t>10.  需要补充的其他内容</w:t>
            </w:r>
          </w:p>
        </w:tc>
      </w:tr>
      <w:tr w14:paraId="0D4BBE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000" w:type="pct"/>
            <w:gridSpan w:val="4"/>
            <w:vAlign w:val="center"/>
          </w:tcPr>
          <w:p w14:paraId="4C9AC17E">
            <w:pPr>
              <w:spacing w:line="360" w:lineRule="auto"/>
              <w:rPr>
                <w:rFonts w:hint="eastAsia" w:ascii="宋体" w:hAnsi="宋体" w:eastAsia="宋体" w:cs="宋体"/>
                <w:sz w:val="21"/>
                <w:szCs w:val="21"/>
              </w:rPr>
            </w:pPr>
            <w:r>
              <w:rPr>
                <w:rFonts w:hint="eastAsia" w:ascii="宋体" w:hAnsi="宋体" w:eastAsia="宋体" w:cs="宋体"/>
                <w:sz w:val="21"/>
                <w:szCs w:val="21"/>
              </w:rPr>
              <w:t>10.1 词语定义</w:t>
            </w:r>
          </w:p>
        </w:tc>
      </w:tr>
      <w:tr w14:paraId="29E774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25" w:type="pct"/>
            <w:vAlign w:val="center"/>
          </w:tcPr>
          <w:p w14:paraId="38760C5B">
            <w:pPr>
              <w:spacing w:line="360" w:lineRule="auto"/>
              <w:jc w:val="center"/>
              <w:rPr>
                <w:rFonts w:hint="eastAsia" w:ascii="宋体" w:hAnsi="宋体" w:eastAsia="宋体" w:cs="宋体"/>
                <w:sz w:val="21"/>
                <w:szCs w:val="21"/>
              </w:rPr>
            </w:pPr>
            <w:r>
              <w:rPr>
                <w:rFonts w:hint="eastAsia" w:ascii="宋体" w:hAnsi="宋体" w:eastAsia="宋体" w:cs="宋体"/>
                <w:sz w:val="21"/>
                <w:szCs w:val="21"/>
              </w:rPr>
              <w:t>10.1.1</w:t>
            </w:r>
          </w:p>
        </w:tc>
        <w:tc>
          <w:tcPr>
            <w:tcW w:w="697" w:type="pct"/>
            <w:vAlign w:val="center"/>
          </w:tcPr>
          <w:p w14:paraId="7767146F">
            <w:pPr>
              <w:spacing w:line="360" w:lineRule="auto"/>
              <w:jc w:val="center"/>
              <w:rPr>
                <w:rFonts w:hint="eastAsia" w:ascii="宋体" w:hAnsi="宋体" w:eastAsia="宋体" w:cs="宋体"/>
                <w:sz w:val="21"/>
                <w:szCs w:val="21"/>
              </w:rPr>
            </w:pPr>
            <w:r>
              <w:rPr>
                <w:rFonts w:hint="eastAsia" w:ascii="宋体" w:hAnsi="宋体" w:eastAsia="宋体" w:cs="宋体"/>
                <w:sz w:val="21"/>
                <w:szCs w:val="21"/>
              </w:rPr>
              <w:t>类似项目</w:t>
            </w:r>
          </w:p>
        </w:tc>
        <w:tc>
          <w:tcPr>
            <w:tcW w:w="3877" w:type="pct"/>
            <w:gridSpan w:val="2"/>
            <w:vAlign w:val="center"/>
          </w:tcPr>
          <w:p w14:paraId="19ED117C">
            <w:pPr>
              <w:spacing w:line="360" w:lineRule="auto"/>
              <w:jc w:val="center"/>
              <w:rPr>
                <w:rFonts w:hint="eastAsia" w:ascii="宋体" w:hAnsi="宋体" w:eastAsia="宋体" w:cs="宋体"/>
                <w:sz w:val="21"/>
                <w:szCs w:val="21"/>
              </w:rPr>
            </w:pPr>
            <w:r>
              <w:rPr>
                <w:rFonts w:hint="eastAsia" w:ascii="宋体" w:hAnsi="宋体" w:eastAsia="宋体" w:cs="宋体"/>
                <w:sz w:val="21"/>
                <w:szCs w:val="21"/>
              </w:rPr>
              <w:t>/</w:t>
            </w:r>
          </w:p>
        </w:tc>
      </w:tr>
      <w:tr w14:paraId="127993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25" w:type="pct"/>
          </w:tcPr>
          <w:p w14:paraId="49A62DD8">
            <w:pPr>
              <w:spacing w:line="360" w:lineRule="auto"/>
              <w:jc w:val="center"/>
              <w:rPr>
                <w:rFonts w:hint="eastAsia" w:ascii="宋体" w:hAnsi="宋体" w:eastAsia="宋体" w:cs="宋体"/>
                <w:sz w:val="21"/>
                <w:szCs w:val="21"/>
              </w:rPr>
            </w:pPr>
            <w:r>
              <w:rPr>
                <w:rFonts w:hint="eastAsia" w:ascii="宋体" w:hAnsi="宋体" w:eastAsia="宋体" w:cs="宋体"/>
                <w:sz w:val="21"/>
                <w:szCs w:val="21"/>
              </w:rPr>
              <w:t>10.1.2</w:t>
            </w:r>
          </w:p>
        </w:tc>
        <w:tc>
          <w:tcPr>
            <w:tcW w:w="697" w:type="pct"/>
            <w:vAlign w:val="center"/>
          </w:tcPr>
          <w:p w14:paraId="01EF9702">
            <w:pPr>
              <w:spacing w:line="360" w:lineRule="auto"/>
              <w:jc w:val="center"/>
              <w:rPr>
                <w:rFonts w:hint="eastAsia" w:ascii="宋体" w:hAnsi="宋体" w:eastAsia="宋体" w:cs="宋体"/>
                <w:sz w:val="21"/>
                <w:szCs w:val="21"/>
              </w:rPr>
            </w:pPr>
            <w:r>
              <w:rPr>
                <w:rFonts w:hint="eastAsia" w:ascii="宋体" w:hAnsi="宋体" w:eastAsia="宋体" w:cs="宋体"/>
                <w:sz w:val="21"/>
                <w:szCs w:val="21"/>
              </w:rPr>
              <w:t>不良行为记录</w:t>
            </w:r>
          </w:p>
        </w:tc>
        <w:tc>
          <w:tcPr>
            <w:tcW w:w="3877" w:type="pct"/>
            <w:gridSpan w:val="2"/>
            <w:vAlign w:val="center"/>
          </w:tcPr>
          <w:p w14:paraId="2492AF13">
            <w:pPr>
              <w:spacing w:line="360" w:lineRule="auto"/>
              <w:rPr>
                <w:rFonts w:hint="eastAsia" w:ascii="宋体" w:hAnsi="宋体" w:eastAsia="宋体" w:cs="宋体"/>
                <w:sz w:val="21"/>
                <w:szCs w:val="21"/>
              </w:rPr>
            </w:pPr>
            <w:r>
              <w:rPr>
                <w:rFonts w:hint="eastAsia" w:ascii="宋体" w:hAnsi="宋体" w:eastAsia="宋体" w:cs="宋体"/>
                <w:sz w:val="21"/>
                <w:szCs w:val="21"/>
              </w:rPr>
              <w:t>列入“信用中国”网站的“失信被执行人”和“重大税收违法案件当事人名单”，“ 中国政府采购网” 网站的“政府采购严重违法失信行为名单”。</w:t>
            </w:r>
          </w:p>
        </w:tc>
      </w:tr>
      <w:tr w14:paraId="6C40CF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25" w:type="pct"/>
            <w:vAlign w:val="center"/>
          </w:tcPr>
          <w:p w14:paraId="03C731E1">
            <w:pPr>
              <w:spacing w:line="360" w:lineRule="auto"/>
              <w:jc w:val="center"/>
              <w:rPr>
                <w:rFonts w:hint="eastAsia" w:ascii="宋体" w:hAnsi="宋体" w:eastAsia="宋体" w:cs="宋体"/>
                <w:sz w:val="21"/>
                <w:szCs w:val="21"/>
              </w:rPr>
            </w:pPr>
            <w:r>
              <w:rPr>
                <w:rFonts w:hint="eastAsia" w:ascii="宋体" w:hAnsi="宋体" w:eastAsia="宋体" w:cs="宋体"/>
                <w:sz w:val="21"/>
                <w:szCs w:val="21"/>
              </w:rPr>
              <w:t>10.2</w:t>
            </w:r>
          </w:p>
        </w:tc>
        <w:tc>
          <w:tcPr>
            <w:tcW w:w="697" w:type="pct"/>
            <w:vAlign w:val="center"/>
          </w:tcPr>
          <w:p w14:paraId="0BD2CDD3">
            <w:pPr>
              <w:spacing w:line="360" w:lineRule="auto"/>
              <w:jc w:val="center"/>
              <w:rPr>
                <w:rFonts w:hint="eastAsia" w:ascii="宋体" w:hAnsi="宋体" w:eastAsia="宋体" w:cs="宋体"/>
                <w:color w:val="auto"/>
                <w:sz w:val="21"/>
                <w:szCs w:val="21"/>
                <w:lang w:eastAsia="zh-CN"/>
              </w:rPr>
            </w:pPr>
            <w:r>
              <w:rPr>
                <w:rFonts w:hint="eastAsia" w:ascii="宋体" w:hAnsi="宋体" w:eastAsia="宋体" w:cs="宋体"/>
                <w:color w:val="auto"/>
                <w:sz w:val="21"/>
                <w:szCs w:val="21"/>
                <w:lang w:val="en-US" w:eastAsia="zh-CN"/>
              </w:rPr>
              <w:t>最高限价</w:t>
            </w:r>
          </w:p>
        </w:tc>
        <w:tc>
          <w:tcPr>
            <w:tcW w:w="3877" w:type="pct"/>
            <w:gridSpan w:val="2"/>
            <w:vAlign w:val="center"/>
          </w:tcPr>
          <w:p w14:paraId="324DE075">
            <w:pPr>
              <w:spacing w:line="360" w:lineRule="auto"/>
              <w:rPr>
                <w:rFonts w:hint="eastAsia" w:ascii="宋体" w:hAnsi="宋体" w:eastAsia="宋体" w:cs="宋体"/>
                <w:b/>
                <w:color w:val="auto"/>
                <w:sz w:val="21"/>
                <w:szCs w:val="21"/>
              </w:rPr>
            </w:pPr>
            <w:r>
              <w:rPr>
                <w:rFonts w:hint="eastAsia" w:ascii="宋体" w:hAnsi="宋体" w:eastAsia="宋体" w:cs="宋体"/>
                <w:b/>
                <w:bCs/>
                <w:color w:val="auto"/>
                <w:sz w:val="21"/>
                <w:szCs w:val="21"/>
                <w:lang w:val="en-US" w:eastAsia="zh-CN"/>
              </w:rPr>
              <w:t>最高限价</w:t>
            </w:r>
            <w:r>
              <w:rPr>
                <w:rFonts w:hint="eastAsia" w:ascii="宋体" w:hAnsi="宋体" w:eastAsia="宋体" w:cs="宋体"/>
                <w:b/>
                <w:bCs/>
                <w:color w:val="auto"/>
                <w:sz w:val="21"/>
                <w:szCs w:val="21"/>
              </w:rPr>
              <w:t>为：</w:t>
            </w:r>
            <w:r>
              <w:rPr>
                <w:rFonts w:hint="eastAsia" w:ascii="宋体" w:hAnsi="宋体" w:eastAsia="宋体" w:cs="宋体"/>
                <w:b/>
                <w:color w:val="auto"/>
                <w:sz w:val="21"/>
                <w:szCs w:val="21"/>
              </w:rPr>
              <w:t>570000.00元；</w:t>
            </w:r>
          </w:p>
          <w:p w14:paraId="4135E40D">
            <w:pP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供应商的投标总报价不得高于</w:t>
            </w:r>
            <w:r>
              <w:rPr>
                <w:rFonts w:hint="eastAsia" w:ascii="宋体" w:hAnsi="宋体" w:eastAsia="宋体" w:cs="宋体"/>
                <w:color w:val="auto"/>
                <w:sz w:val="21"/>
                <w:szCs w:val="21"/>
                <w:lang w:val="en-US" w:eastAsia="zh-CN"/>
              </w:rPr>
              <w:t>最高限价</w:t>
            </w:r>
            <w:r>
              <w:rPr>
                <w:rFonts w:hint="eastAsia" w:ascii="宋体" w:hAnsi="宋体" w:eastAsia="宋体" w:cs="宋体"/>
                <w:color w:val="auto"/>
                <w:sz w:val="21"/>
                <w:szCs w:val="21"/>
              </w:rPr>
              <w:t>，否则按无效标处理；</w:t>
            </w:r>
          </w:p>
        </w:tc>
      </w:tr>
      <w:tr w14:paraId="46593F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25" w:type="pct"/>
            <w:vAlign w:val="center"/>
          </w:tcPr>
          <w:p w14:paraId="6651313F">
            <w:pPr>
              <w:spacing w:line="360" w:lineRule="auto"/>
              <w:jc w:val="center"/>
              <w:rPr>
                <w:rFonts w:hint="eastAsia" w:ascii="宋体" w:hAnsi="宋体" w:eastAsia="宋体" w:cs="宋体"/>
                <w:sz w:val="21"/>
                <w:szCs w:val="21"/>
              </w:rPr>
            </w:pPr>
            <w:r>
              <w:rPr>
                <w:rFonts w:hint="eastAsia" w:ascii="宋体" w:hAnsi="宋体" w:eastAsia="宋体" w:cs="宋体"/>
                <w:sz w:val="21"/>
                <w:szCs w:val="21"/>
              </w:rPr>
              <w:t>10.3</w:t>
            </w:r>
          </w:p>
        </w:tc>
        <w:tc>
          <w:tcPr>
            <w:tcW w:w="697" w:type="pct"/>
            <w:vAlign w:val="center"/>
          </w:tcPr>
          <w:p w14:paraId="7196416A">
            <w:pPr>
              <w:spacing w:line="360" w:lineRule="auto"/>
              <w:jc w:val="center"/>
              <w:rPr>
                <w:rFonts w:hint="eastAsia" w:ascii="宋体" w:hAnsi="宋体" w:eastAsia="宋体" w:cs="宋体"/>
                <w:sz w:val="21"/>
                <w:szCs w:val="21"/>
              </w:rPr>
            </w:pPr>
            <w:r>
              <w:rPr>
                <w:rFonts w:hint="eastAsia" w:ascii="宋体" w:hAnsi="宋体" w:eastAsia="宋体" w:cs="宋体"/>
                <w:sz w:val="21"/>
                <w:szCs w:val="21"/>
              </w:rPr>
              <w:t>供应商代表出席开标会议</w:t>
            </w:r>
          </w:p>
        </w:tc>
        <w:tc>
          <w:tcPr>
            <w:tcW w:w="3877" w:type="pct"/>
            <w:gridSpan w:val="2"/>
            <w:vAlign w:val="center"/>
          </w:tcPr>
          <w:p w14:paraId="146212C9">
            <w:pPr>
              <w:spacing w:line="360" w:lineRule="auto"/>
              <w:rPr>
                <w:rFonts w:hint="eastAsia" w:ascii="宋体" w:hAnsi="宋体" w:eastAsia="宋体" w:cs="宋体"/>
                <w:sz w:val="21"/>
                <w:szCs w:val="21"/>
              </w:rPr>
            </w:pPr>
            <w:r>
              <w:rPr>
                <w:rFonts w:hint="eastAsia" w:ascii="宋体" w:hAnsi="宋体" w:eastAsia="宋体" w:cs="宋体"/>
                <w:sz w:val="21"/>
                <w:szCs w:val="21"/>
              </w:rPr>
              <w:t>全面实行在线“不见面”开标，投标人远程在线解密投标文件，不再到开标现场。</w:t>
            </w:r>
          </w:p>
        </w:tc>
      </w:tr>
      <w:tr w14:paraId="159EF1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25" w:type="pct"/>
            <w:vAlign w:val="center"/>
          </w:tcPr>
          <w:p w14:paraId="418D81AA">
            <w:pPr>
              <w:spacing w:line="360" w:lineRule="auto"/>
              <w:jc w:val="center"/>
              <w:rPr>
                <w:rFonts w:hint="eastAsia" w:ascii="宋体" w:hAnsi="宋体" w:eastAsia="宋体" w:cs="宋体"/>
                <w:sz w:val="21"/>
                <w:szCs w:val="21"/>
              </w:rPr>
            </w:pPr>
            <w:r>
              <w:rPr>
                <w:rFonts w:hint="eastAsia" w:ascii="宋体" w:hAnsi="宋体" w:eastAsia="宋体" w:cs="宋体"/>
                <w:sz w:val="21"/>
                <w:szCs w:val="21"/>
              </w:rPr>
              <w:t>10.4</w:t>
            </w:r>
          </w:p>
        </w:tc>
        <w:tc>
          <w:tcPr>
            <w:tcW w:w="697" w:type="pct"/>
            <w:vAlign w:val="center"/>
          </w:tcPr>
          <w:p w14:paraId="73438A41">
            <w:pPr>
              <w:spacing w:line="360" w:lineRule="auto"/>
              <w:jc w:val="center"/>
              <w:rPr>
                <w:rFonts w:hint="eastAsia" w:ascii="宋体" w:hAnsi="宋体" w:eastAsia="宋体" w:cs="宋体"/>
                <w:sz w:val="21"/>
                <w:szCs w:val="21"/>
              </w:rPr>
            </w:pPr>
            <w:r>
              <w:rPr>
                <w:rFonts w:hint="eastAsia" w:ascii="宋体" w:hAnsi="宋体" w:eastAsia="宋体" w:cs="宋体"/>
                <w:sz w:val="21"/>
                <w:szCs w:val="21"/>
              </w:rPr>
              <w:t>成交结果公示</w:t>
            </w:r>
          </w:p>
        </w:tc>
        <w:tc>
          <w:tcPr>
            <w:tcW w:w="3877" w:type="pct"/>
            <w:gridSpan w:val="2"/>
            <w:vAlign w:val="center"/>
          </w:tcPr>
          <w:p w14:paraId="449D99B4">
            <w:pPr>
              <w:spacing w:line="360" w:lineRule="auto"/>
              <w:rPr>
                <w:rFonts w:hint="eastAsia" w:ascii="宋体" w:hAnsi="宋体" w:eastAsia="宋体" w:cs="宋体"/>
                <w:sz w:val="21"/>
                <w:szCs w:val="21"/>
              </w:rPr>
            </w:pPr>
            <w:r>
              <w:rPr>
                <w:rFonts w:hint="eastAsia" w:ascii="宋体" w:hAnsi="宋体" w:eastAsia="宋体" w:cs="宋体"/>
                <w:sz w:val="21"/>
                <w:szCs w:val="21"/>
              </w:rPr>
              <w:t>成交结果发布媒体同竞争性磋商公告发布媒体。</w:t>
            </w:r>
          </w:p>
        </w:tc>
      </w:tr>
      <w:tr w14:paraId="5627AB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25" w:type="pct"/>
            <w:vAlign w:val="center"/>
          </w:tcPr>
          <w:p w14:paraId="2CFE39C9">
            <w:pPr>
              <w:spacing w:line="360" w:lineRule="auto"/>
              <w:jc w:val="center"/>
              <w:rPr>
                <w:rFonts w:hint="eastAsia" w:ascii="宋体" w:hAnsi="宋体" w:eastAsia="宋体" w:cs="宋体"/>
                <w:sz w:val="21"/>
                <w:szCs w:val="21"/>
              </w:rPr>
            </w:pPr>
            <w:r>
              <w:rPr>
                <w:rFonts w:hint="eastAsia" w:ascii="宋体" w:hAnsi="宋体" w:eastAsia="宋体" w:cs="宋体"/>
                <w:sz w:val="21"/>
                <w:szCs w:val="21"/>
              </w:rPr>
              <w:t>10.5</w:t>
            </w:r>
          </w:p>
        </w:tc>
        <w:tc>
          <w:tcPr>
            <w:tcW w:w="697" w:type="pct"/>
            <w:vAlign w:val="center"/>
          </w:tcPr>
          <w:p w14:paraId="74AFE099">
            <w:pPr>
              <w:spacing w:line="360" w:lineRule="auto"/>
              <w:jc w:val="center"/>
              <w:rPr>
                <w:rFonts w:hint="eastAsia" w:ascii="宋体" w:hAnsi="宋体" w:eastAsia="宋体" w:cs="宋体"/>
                <w:sz w:val="21"/>
                <w:szCs w:val="21"/>
              </w:rPr>
            </w:pPr>
            <w:r>
              <w:rPr>
                <w:rFonts w:hint="eastAsia" w:ascii="宋体" w:hAnsi="宋体" w:eastAsia="宋体" w:cs="宋体"/>
                <w:sz w:val="21"/>
                <w:szCs w:val="21"/>
              </w:rPr>
              <w:t>知识产权</w:t>
            </w:r>
          </w:p>
        </w:tc>
        <w:tc>
          <w:tcPr>
            <w:tcW w:w="3877" w:type="pct"/>
            <w:gridSpan w:val="2"/>
            <w:vAlign w:val="center"/>
          </w:tcPr>
          <w:p w14:paraId="7EF3C304">
            <w:pPr>
              <w:spacing w:line="360" w:lineRule="auto"/>
              <w:rPr>
                <w:rFonts w:hint="eastAsia" w:ascii="宋体" w:hAnsi="宋体" w:eastAsia="宋体" w:cs="宋体"/>
                <w:sz w:val="21"/>
                <w:szCs w:val="21"/>
              </w:rPr>
            </w:pPr>
            <w:r>
              <w:rPr>
                <w:rFonts w:hint="eastAsia" w:ascii="宋体" w:hAnsi="宋体" w:eastAsia="宋体" w:cs="宋体"/>
                <w:sz w:val="21"/>
                <w:szCs w:val="21"/>
              </w:rPr>
              <w:t>构成本磋商文件各个组成部分的文件，未经采购人书面同意，供应商不得擅自复印和用于非本招标项目所需的其他目的。采购人全部或者部分使用未成交人响应文件中的技术成果或技术方案时，需征得其书面同意，并不得擅自复印或提供给第三人。</w:t>
            </w:r>
          </w:p>
        </w:tc>
      </w:tr>
      <w:tr w14:paraId="6E4722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25" w:type="pct"/>
            <w:vAlign w:val="center"/>
          </w:tcPr>
          <w:p w14:paraId="38915ABB">
            <w:pPr>
              <w:spacing w:line="360" w:lineRule="auto"/>
              <w:jc w:val="center"/>
              <w:rPr>
                <w:rFonts w:hint="eastAsia" w:ascii="宋体" w:hAnsi="宋体" w:eastAsia="宋体" w:cs="宋体"/>
                <w:sz w:val="21"/>
                <w:szCs w:val="21"/>
              </w:rPr>
            </w:pPr>
            <w:r>
              <w:rPr>
                <w:rFonts w:hint="eastAsia" w:ascii="宋体" w:hAnsi="宋体" w:eastAsia="宋体" w:cs="宋体"/>
                <w:sz w:val="21"/>
                <w:szCs w:val="21"/>
              </w:rPr>
              <w:t>10.6</w:t>
            </w:r>
          </w:p>
        </w:tc>
        <w:tc>
          <w:tcPr>
            <w:tcW w:w="697" w:type="pct"/>
            <w:vAlign w:val="center"/>
          </w:tcPr>
          <w:p w14:paraId="2CFA1781">
            <w:pPr>
              <w:spacing w:line="360" w:lineRule="auto"/>
              <w:jc w:val="center"/>
              <w:rPr>
                <w:rFonts w:hint="eastAsia" w:ascii="宋体" w:hAnsi="宋体" w:eastAsia="宋体" w:cs="宋体"/>
                <w:sz w:val="21"/>
                <w:szCs w:val="21"/>
              </w:rPr>
            </w:pPr>
            <w:r>
              <w:rPr>
                <w:rFonts w:hint="eastAsia" w:ascii="宋体" w:hAnsi="宋体" w:eastAsia="宋体" w:cs="宋体"/>
                <w:sz w:val="21"/>
                <w:szCs w:val="21"/>
              </w:rPr>
              <w:t>重新招标的其他情形</w:t>
            </w:r>
          </w:p>
        </w:tc>
        <w:tc>
          <w:tcPr>
            <w:tcW w:w="3877" w:type="pct"/>
            <w:gridSpan w:val="2"/>
            <w:vAlign w:val="center"/>
          </w:tcPr>
          <w:p w14:paraId="57D203E0">
            <w:pPr>
              <w:spacing w:line="360" w:lineRule="auto"/>
              <w:rPr>
                <w:rFonts w:hint="eastAsia" w:ascii="宋体" w:hAnsi="宋体" w:eastAsia="宋体" w:cs="宋体"/>
                <w:sz w:val="21"/>
                <w:szCs w:val="21"/>
              </w:rPr>
            </w:pPr>
            <w:r>
              <w:rPr>
                <w:rFonts w:hint="eastAsia" w:ascii="宋体" w:hAnsi="宋体" w:eastAsia="宋体" w:cs="宋体"/>
                <w:sz w:val="21"/>
                <w:szCs w:val="21"/>
              </w:rPr>
              <w:t>除供应商须知正文第8条规定的情形外，除非已经产生中标候选人，在投标有效期内同意延长投标有效期的供应商少于三个的，采购人应当依法重新招标。</w:t>
            </w:r>
          </w:p>
        </w:tc>
      </w:tr>
      <w:tr w14:paraId="31B177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25" w:type="pct"/>
            <w:vAlign w:val="center"/>
          </w:tcPr>
          <w:p w14:paraId="3B36567C">
            <w:pPr>
              <w:spacing w:line="360" w:lineRule="auto"/>
              <w:jc w:val="center"/>
              <w:rPr>
                <w:rFonts w:hint="eastAsia" w:ascii="宋体" w:hAnsi="宋体" w:eastAsia="宋体" w:cs="宋体"/>
                <w:sz w:val="21"/>
                <w:szCs w:val="21"/>
              </w:rPr>
            </w:pPr>
            <w:r>
              <w:rPr>
                <w:rFonts w:hint="eastAsia" w:ascii="宋体" w:hAnsi="宋体" w:eastAsia="宋体" w:cs="宋体"/>
                <w:sz w:val="21"/>
                <w:szCs w:val="21"/>
              </w:rPr>
              <w:t>10.7</w:t>
            </w:r>
          </w:p>
        </w:tc>
        <w:tc>
          <w:tcPr>
            <w:tcW w:w="697" w:type="pct"/>
            <w:vAlign w:val="center"/>
          </w:tcPr>
          <w:p w14:paraId="5CF2E85D">
            <w:pPr>
              <w:spacing w:line="360" w:lineRule="auto"/>
              <w:jc w:val="center"/>
              <w:rPr>
                <w:rFonts w:hint="eastAsia" w:ascii="宋体" w:hAnsi="宋体" w:eastAsia="宋体" w:cs="宋体"/>
                <w:sz w:val="21"/>
                <w:szCs w:val="21"/>
              </w:rPr>
            </w:pPr>
            <w:r>
              <w:rPr>
                <w:rFonts w:hint="eastAsia" w:ascii="宋体" w:hAnsi="宋体" w:eastAsia="宋体" w:cs="宋体"/>
                <w:sz w:val="21"/>
                <w:szCs w:val="21"/>
              </w:rPr>
              <w:t>解释权</w:t>
            </w:r>
          </w:p>
        </w:tc>
        <w:tc>
          <w:tcPr>
            <w:tcW w:w="3877" w:type="pct"/>
            <w:gridSpan w:val="2"/>
            <w:vAlign w:val="center"/>
          </w:tcPr>
          <w:p w14:paraId="7C174CC5">
            <w:pPr>
              <w:spacing w:line="360" w:lineRule="auto"/>
              <w:rPr>
                <w:rFonts w:hint="eastAsia" w:ascii="宋体" w:hAnsi="宋体" w:eastAsia="宋体" w:cs="宋体"/>
                <w:sz w:val="21"/>
                <w:szCs w:val="21"/>
              </w:rPr>
            </w:pPr>
            <w:r>
              <w:rPr>
                <w:rFonts w:hint="eastAsia" w:ascii="宋体" w:hAnsi="宋体" w:eastAsia="宋体" w:cs="宋体"/>
                <w:sz w:val="21"/>
                <w:szCs w:val="21"/>
              </w:rPr>
              <w:t>构成本磋商文件的各个组成文件应互为解释，互为说明；如有不明确或不一致，构成合同文件组成内容的，以合同文件约定内容为准，且以专用合同条款约定的合同文件优先顺序解释；除磋商文件中有特别规定外，仅适用于招标投标阶段的规定，按磋商公告（投标邀请书）、供应商须知、评标办法、响应文件格式的先后顺序解释；同一组成文件中就同一事项的规定或约定不一致的，以编排顺序在后者为准；同一组成文件不同版本之间有不一致的，以形成时间在后者为准。按本款前述规定仍不能形成结论的，由采购人负责解释。</w:t>
            </w:r>
          </w:p>
        </w:tc>
      </w:tr>
      <w:tr w14:paraId="148FC3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25" w:type="pct"/>
            <w:vAlign w:val="center"/>
          </w:tcPr>
          <w:p w14:paraId="221D5489">
            <w:pPr>
              <w:spacing w:line="360" w:lineRule="auto"/>
              <w:jc w:val="center"/>
              <w:rPr>
                <w:rFonts w:hint="eastAsia" w:ascii="宋体" w:hAnsi="宋体" w:eastAsia="宋体" w:cs="宋体"/>
                <w:sz w:val="21"/>
                <w:szCs w:val="21"/>
              </w:rPr>
            </w:pPr>
            <w:r>
              <w:rPr>
                <w:rFonts w:hint="eastAsia" w:ascii="宋体" w:hAnsi="宋体" w:eastAsia="宋体" w:cs="宋体"/>
                <w:sz w:val="21"/>
                <w:szCs w:val="21"/>
              </w:rPr>
              <w:t>10.8</w:t>
            </w:r>
          </w:p>
        </w:tc>
        <w:tc>
          <w:tcPr>
            <w:tcW w:w="697" w:type="pct"/>
            <w:vAlign w:val="center"/>
          </w:tcPr>
          <w:p w14:paraId="2F7C0ABE">
            <w:pPr>
              <w:spacing w:line="360" w:lineRule="auto"/>
              <w:jc w:val="center"/>
              <w:rPr>
                <w:rFonts w:hint="eastAsia" w:ascii="宋体" w:hAnsi="宋体" w:eastAsia="宋体" w:cs="宋体"/>
                <w:sz w:val="21"/>
                <w:szCs w:val="21"/>
              </w:rPr>
            </w:pPr>
            <w:r>
              <w:rPr>
                <w:rFonts w:hint="eastAsia" w:ascii="宋体" w:hAnsi="宋体" w:eastAsia="宋体" w:cs="宋体"/>
                <w:sz w:val="21"/>
                <w:szCs w:val="21"/>
              </w:rPr>
              <w:t>代理服务费</w:t>
            </w:r>
          </w:p>
        </w:tc>
        <w:tc>
          <w:tcPr>
            <w:tcW w:w="3877" w:type="pct"/>
            <w:gridSpan w:val="2"/>
            <w:vAlign w:val="center"/>
          </w:tcPr>
          <w:p w14:paraId="56E844B6">
            <w:pPr>
              <w:spacing w:line="360" w:lineRule="auto"/>
              <w:rPr>
                <w:rFonts w:hint="eastAsia" w:ascii="宋体" w:hAnsi="宋体" w:eastAsia="宋体" w:cs="宋体"/>
                <w:sz w:val="21"/>
                <w:szCs w:val="21"/>
              </w:rPr>
            </w:pPr>
            <w:r>
              <w:rPr>
                <w:rFonts w:hint="eastAsia" w:ascii="宋体" w:hAnsi="宋体" w:eastAsia="宋体" w:cs="宋体"/>
                <w:sz w:val="21"/>
                <w:szCs w:val="21"/>
              </w:rPr>
              <w:t>代理服务费参照豫招协【2023】002号文和发改价格【2015】299号的规定，</w:t>
            </w:r>
            <w:r>
              <w:rPr>
                <w:rFonts w:hint="eastAsia" w:ascii="宋体" w:hAnsi="宋体" w:eastAsia="宋体" w:cs="宋体"/>
                <w:sz w:val="21"/>
                <w:szCs w:val="21"/>
                <w:lang w:val="en-US" w:eastAsia="zh-CN"/>
              </w:rPr>
              <w:t>100万以下按1.7%收取，不足1万元的按1万元收取。本项目招标代理服务费</w:t>
            </w:r>
            <w:r>
              <w:rPr>
                <w:rFonts w:hint="eastAsia" w:ascii="宋体" w:hAnsi="宋体" w:eastAsia="宋体" w:cs="宋体"/>
                <w:sz w:val="21"/>
                <w:szCs w:val="21"/>
              </w:rPr>
              <w:t>由中标人或成交人在成交结果公示后向招标代理机构全额交纳10000.00元，此项费用由投标人综合考虑到投标报价中，不单独列项报价。</w:t>
            </w:r>
          </w:p>
        </w:tc>
      </w:tr>
      <w:tr w14:paraId="10B49A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25" w:type="pct"/>
            <w:vAlign w:val="center"/>
          </w:tcPr>
          <w:p w14:paraId="04DE10EC">
            <w:pPr>
              <w:spacing w:line="360" w:lineRule="auto"/>
              <w:jc w:val="center"/>
              <w:rPr>
                <w:rFonts w:hint="eastAsia" w:ascii="宋体" w:hAnsi="宋体" w:eastAsia="宋体" w:cs="宋体"/>
                <w:sz w:val="21"/>
                <w:szCs w:val="21"/>
              </w:rPr>
            </w:pPr>
            <w:r>
              <w:rPr>
                <w:rFonts w:hint="eastAsia" w:ascii="宋体" w:hAnsi="宋体" w:eastAsia="宋体" w:cs="宋体"/>
                <w:sz w:val="21"/>
                <w:szCs w:val="21"/>
              </w:rPr>
              <w:t>10.9</w:t>
            </w:r>
          </w:p>
        </w:tc>
        <w:tc>
          <w:tcPr>
            <w:tcW w:w="697" w:type="pct"/>
            <w:vAlign w:val="center"/>
          </w:tcPr>
          <w:p w14:paraId="130B483B">
            <w:pPr>
              <w:spacing w:line="400" w:lineRule="exact"/>
              <w:jc w:val="center"/>
              <w:rPr>
                <w:rFonts w:hint="eastAsia" w:ascii="宋体" w:hAnsi="宋体" w:eastAsia="宋体" w:cs="宋体"/>
                <w:color w:val="auto"/>
                <w:sz w:val="21"/>
                <w:szCs w:val="21"/>
              </w:rPr>
            </w:pPr>
            <w:r>
              <w:rPr>
                <w:rFonts w:hint="eastAsia" w:ascii="宋体" w:hAnsi="宋体" w:eastAsia="宋体" w:cs="宋体"/>
                <w:color w:val="auto"/>
                <w:sz w:val="21"/>
                <w:szCs w:val="21"/>
              </w:rPr>
              <w:t>接收质疑函的方式和联系方式</w:t>
            </w:r>
          </w:p>
        </w:tc>
        <w:tc>
          <w:tcPr>
            <w:tcW w:w="3877" w:type="pct"/>
            <w:gridSpan w:val="2"/>
          </w:tcPr>
          <w:p w14:paraId="1080D744">
            <w:pPr>
              <w:spacing w:line="360" w:lineRule="auto"/>
              <w:jc w:val="left"/>
              <w:rPr>
                <w:rFonts w:hint="eastAsia" w:ascii="宋体" w:hAnsi="宋体" w:cs="宋体"/>
                <w:color w:val="auto"/>
                <w:sz w:val="21"/>
                <w:szCs w:val="21"/>
              </w:rPr>
            </w:pPr>
            <w:r>
              <w:rPr>
                <w:rFonts w:hint="eastAsia" w:ascii="宋体" w:hAnsi="宋体" w:cs="宋体"/>
                <w:color w:val="auto"/>
                <w:sz w:val="21"/>
                <w:szCs w:val="21"/>
              </w:rPr>
              <w:t>（1）投标人认为采购文件、采购过程和中标或成交结果使自己的权益受到损害的, 可以在知道或者应知其权益受到损害之日起七个工作日内，按中华人民共和国财政部令第94号《政府采购质疑和投诉办法》的相关规定，以书面形式同时向采购人和采购代理机构提出质疑(加盖单位公章且法定代表人签字)，由其授权代表携带法人授权书及本人身份证件提交(邮寄、传真件不予受理)。逾期未提交或未按照要求提交的质疑函将不予受理。</w:t>
            </w:r>
          </w:p>
          <w:p w14:paraId="65A1FC7A">
            <w:pPr>
              <w:spacing w:line="360" w:lineRule="auto"/>
              <w:jc w:val="left"/>
              <w:rPr>
                <w:rFonts w:hint="eastAsia" w:ascii="宋体" w:hAnsi="宋体" w:cs="宋体"/>
                <w:color w:val="auto"/>
                <w:sz w:val="21"/>
                <w:szCs w:val="21"/>
              </w:rPr>
            </w:pPr>
            <w:r>
              <w:rPr>
                <w:rFonts w:hint="eastAsia" w:ascii="宋体" w:hAnsi="宋体" w:cs="宋体"/>
                <w:color w:val="auto"/>
                <w:sz w:val="21"/>
                <w:szCs w:val="21"/>
              </w:rPr>
              <w:t>若有投诉，可按照相关规定以书面形式向监督部门进行投诉。</w:t>
            </w:r>
          </w:p>
          <w:p w14:paraId="29345724">
            <w:pPr>
              <w:spacing w:line="360" w:lineRule="auto"/>
              <w:jc w:val="left"/>
              <w:rPr>
                <w:rFonts w:hint="eastAsia" w:ascii="宋体" w:hAnsi="宋体" w:cs="宋体"/>
                <w:color w:val="auto"/>
                <w:sz w:val="21"/>
                <w:szCs w:val="21"/>
              </w:rPr>
            </w:pPr>
            <w:r>
              <w:rPr>
                <w:rFonts w:hint="eastAsia" w:ascii="宋体" w:hAnsi="宋体" w:cs="宋体"/>
                <w:color w:val="auto"/>
                <w:sz w:val="21"/>
                <w:szCs w:val="21"/>
              </w:rPr>
              <w:t>（2）质疑函的内容、格式：应符合《政府采购质疑和投诉办法》（财政部第94号令）相关规定和财政部门制定的《政府采购质疑函范本》格式。</w:t>
            </w:r>
          </w:p>
          <w:p w14:paraId="3FC1E835">
            <w:pPr>
              <w:spacing w:line="360" w:lineRule="auto"/>
              <w:jc w:val="left"/>
              <w:rPr>
                <w:rFonts w:hint="eastAsia" w:ascii="宋体" w:hAnsi="宋体" w:cs="宋体"/>
                <w:color w:val="auto"/>
                <w:sz w:val="21"/>
                <w:szCs w:val="21"/>
              </w:rPr>
            </w:pPr>
            <w:r>
              <w:rPr>
                <w:rFonts w:hint="eastAsia" w:ascii="宋体" w:hAnsi="宋体" w:cs="宋体"/>
                <w:color w:val="auto"/>
                <w:sz w:val="21"/>
                <w:szCs w:val="21"/>
              </w:rPr>
              <w:t>（3）投标人应在法定质疑期内一次性提出针对同一采购程序环节的质疑。</w:t>
            </w:r>
          </w:p>
          <w:p w14:paraId="636DA3AA">
            <w:pPr>
              <w:spacing w:line="360" w:lineRule="auto"/>
              <w:jc w:val="left"/>
              <w:rPr>
                <w:rFonts w:hint="eastAsia" w:ascii="宋体" w:hAnsi="宋体" w:cs="宋体"/>
                <w:color w:val="auto"/>
                <w:sz w:val="21"/>
                <w:szCs w:val="21"/>
              </w:rPr>
            </w:pPr>
            <w:r>
              <w:rPr>
                <w:rFonts w:hint="eastAsia" w:ascii="宋体" w:hAnsi="宋体" w:cs="宋体"/>
                <w:color w:val="auto"/>
                <w:sz w:val="21"/>
                <w:szCs w:val="21"/>
              </w:rPr>
              <w:t>（4）接收质疑函联系方式：</w:t>
            </w:r>
          </w:p>
          <w:p w14:paraId="4330121E">
            <w:pPr>
              <w:spacing w:line="360" w:lineRule="auto"/>
              <w:jc w:val="left"/>
              <w:rPr>
                <w:rFonts w:hint="eastAsia" w:ascii="宋体" w:hAnsi="宋体" w:cs="宋体"/>
                <w:color w:val="auto"/>
                <w:sz w:val="21"/>
                <w:szCs w:val="21"/>
              </w:rPr>
            </w:pPr>
            <w:r>
              <w:rPr>
                <w:rFonts w:hint="eastAsia" w:ascii="宋体" w:hAnsi="宋体" w:cs="宋体"/>
                <w:b/>
                <w:bCs/>
                <w:color w:val="auto"/>
                <w:sz w:val="21"/>
                <w:szCs w:val="21"/>
              </w:rPr>
              <w:t>采 购 人：</w:t>
            </w:r>
          </w:p>
          <w:p w14:paraId="1B6C5098">
            <w:pPr>
              <w:spacing w:line="500" w:lineRule="exact"/>
              <w:rPr>
                <w:rFonts w:hint="eastAsia" w:ascii="宋体" w:hAnsi="宋体" w:eastAsia="宋体" w:cs="宋体"/>
                <w:color w:val="auto"/>
                <w:sz w:val="21"/>
                <w:szCs w:val="21"/>
              </w:rPr>
            </w:pPr>
            <w:r>
              <w:rPr>
                <w:rFonts w:hint="eastAsia" w:ascii="宋体" w:hAnsi="宋体" w:eastAsia="宋体" w:cs="宋体"/>
                <w:color w:val="auto"/>
                <w:sz w:val="21"/>
                <w:szCs w:val="21"/>
              </w:rPr>
              <w:t>采购人：中共平顶山市新华区委政法委员会</w:t>
            </w:r>
          </w:p>
          <w:p w14:paraId="0AFC3B95">
            <w:pPr>
              <w:spacing w:line="500" w:lineRule="exact"/>
              <w:rPr>
                <w:rFonts w:hint="eastAsia" w:ascii="宋体" w:hAnsi="宋体" w:eastAsia="宋体" w:cs="宋体"/>
                <w:color w:val="auto"/>
                <w:sz w:val="21"/>
                <w:szCs w:val="21"/>
              </w:rPr>
            </w:pPr>
            <w:r>
              <w:rPr>
                <w:rFonts w:hint="eastAsia" w:ascii="宋体" w:hAnsi="宋体" w:eastAsia="宋体" w:cs="宋体"/>
                <w:color w:val="auto"/>
                <w:sz w:val="21"/>
                <w:szCs w:val="21"/>
              </w:rPr>
              <w:t>地址：河南省平顶山市建设路西段277号院内</w:t>
            </w:r>
          </w:p>
          <w:p w14:paraId="586443F2">
            <w:pPr>
              <w:spacing w:line="500" w:lineRule="exact"/>
              <w:rPr>
                <w:rFonts w:hint="eastAsia" w:ascii="宋体" w:hAnsi="宋体" w:eastAsia="宋体" w:cs="宋体"/>
                <w:color w:val="auto"/>
                <w:sz w:val="21"/>
                <w:szCs w:val="21"/>
              </w:rPr>
            </w:pPr>
            <w:r>
              <w:rPr>
                <w:rFonts w:hint="eastAsia" w:ascii="宋体" w:hAnsi="宋体" w:eastAsia="宋体" w:cs="宋体"/>
                <w:color w:val="auto"/>
                <w:sz w:val="21"/>
                <w:szCs w:val="21"/>
              </w:rPr>
              <w:t>联系人：吕先生</w:t>
            </w:r>
          </w:p>
          <w:p w14:paraId="62570B46">
            <w:pPr>
              <w:spacing w:line="500" w:lineRule="exact"/>
              <w:rPr>
                <w:rFonts w:hint="eastAsia" w:ascii="宋体" w:hAnsi="宋体" w:eastAsia="宋体" w:cs="宋体"/>
                <w:color w:val="auto"/>
                <w:sz w:val="21"/>
                <w:szCs w:val="21"/>
              </w:rPr>
            </w:pPr>
            <w:r>
              <w:rPr>
                <w:rFonts w:hint="eastAsia" w:ascii="宋体" w:hAnsi="宋体" w:eastAsia="宋体" w:cs="宋体"/>
                <w:color w:val="auto"/>
                <w:sz w:val="21"/>
                <w:szCs w:val="21"/>
              </w:rPr>
              <w:t>联系方式：17703756001</w:t>
            </w:r>
          </w:p>
          <w:p w14:paraId="318E7634">
            <w:pPr>
              <w:spacing w:line="360" w:lineRule="auto"/>
              <w:jc w:val="left"/>
              <w:rPr>
                <w:rFonts w:hint="eastAsia" w:ascii="宋体" w:hAnsi="宋体" w:cs="宋体"/>
                <w:b/>
                <w:bCs/>
                <w:color w:val="auto"/>
                <w:sz w:val="21"/>
                <w:szCs w:val="21"/>
              </w:rPr>
            </w:pPr>
            <w:r>
              <w:rPr>
                <w:rFonts w:hint="eastAsia" w:ascii="宋体" w:hAnsi="宋体" w:cs="宋体"/>
                <w:b/>
                <w:bCs/>
                <w:color w:val="auto"/>
                <w:sz w:val="21"/>
                <w:szCs w:val="21"/>
              </w:rPr>
              <w:t>采购代理机构信息</w:t>
            </w:r>
          </w:p>
          <w:p w14:paraId="23BAE393">
            <w:pPr>
              <w:spacing w:line="360" w:lineRule="auto"/>
              <w:jc w:val="left"/>
              <w:rPr>
                <w:rFonts w:hint="eastAsia" w:ascii="宋体" w:hAnsi="宋体" w:eastAsia="宋体" w:cs="宋体"/>
                <w:color w:val="auto"/>
                <w:sz w:val="21"/>
                <w:szCs w:val="21"/>
              </w:rPr>
            </w:pPr>
            <w:r>
              <w:rPr>
                <w:rFonts w:hint="eastAsia" w:ascii="宋体" w:hAnsi="宋体" w:cs="宋体"/>
                <w:color w:val="auto"/>
                <w:sz w:val="21"/>
                <w:szCs w:val="21"/>
              </w:rPr>
              <w:t>名称：</w:t>
            </w:r>
            <w:r>
              <w:rPr>
                <w:rFonts w:hint="eastAsia" w:ascii="宋体" w:hAnsi="宋体" w:eastAsia="宋体" w:cs="宋体"/>
                <w:color w:val="auto"/>
                <w:sz w:val="21"/>
                <w:szCs w:val="21"/>
              </w:rPr>
              <w:t>河南易采工程管理有限公司</w:t>
            </w:r>
          </w:p>
          <w:p w14:paraId="2780FC8D">
            <w:pPr>
              <w:spacing w:line="360" w:lineRule="auto"/>
              <w:jc w:val="left"/>
              <w:rPr>
                <w:rFonts w:hint="eastAsia" w:ascii="宋体" w:hAnsi="宋体" w:cs="宋体"/>
                <w:color w:val="auto"/>
                <w:sz w:val="21"/>
                <w:szCs w:val="21"/>
              </w:rPr>
            </w:pPr>
            <w:r>
              <w:rPr>
                <w:rFonts w:hint="eastAsia" w:ascii="宋体" w:hAnsi="宋体" w:cs="宋体"/>
                <w:color w:val="auto"/>
                <w:sz w:val="21"/>
                <w:szCs w:val="21"/>
              </w:rPr>
              <w:t xml:space="preserve">地  址：河南省平顶山市未来路中段中梁壹号院   </w:t>
            </w:r>
          </w:p>
          <w:p w14:paraId="43120AB6">
            <w:pPr>
              <w:spacing w:line="360" w:lineRule="auto"/>
              <w:jc w:val="left"/>
              <w:rPr>
                <w:rFonts w:hint="eastAsia" w:ascii="宋体" w:hAnsi="宋体" w:cs="宋体"/>
                <w:color w:val="auto"/>
                <w:sz w:val="21"/>
                <w:szCs w:val="21"/>
              </w:rPr>
            </w:pPr>
            <w:r>
              <w:rPr>
                <w:rFonts w:hint="eastAsia" w:ascii="宋体" w:hAnsi="宋体" w:cs="宋体"/>
                <w:color w:val="auto"/>
                <w:sz w:val="21"/>
                <w:szCs w:val="21"/>
              </w:rPr>
              <w:t>联系人：吴女士</w:t>
            </w:r>
          </w:p>
          <w:p w14:paraId="40EF4F11">
            <w:pPr>
              <w:spacing w:line="360" w:lineRule="auto"/>
              <w:jc w:val="left"/>
              <w:rPr>
                <w:rFonts w:hint="eastAsia" w:ascii="宋体" w:hAnsi="宋体" w:cs="宋体"/>
                <w:color w:val="auto"/>
                <w:sz w:val="21"/>
                <w:szCs w:val="21"/>
              </w:rPr>
            </w:pPr>
            <w:r>
              <w:rPr>
                <w:rFonts w:hint="eastAsia" w:ascii="宋体" w:hAnsi="宋体" w:cs="宋体"/>
                <w:color w:val="auto"/>
                <w:sz w:val="21"/>
                <w:szCs w:val="21"/>
              </w:rPr>
              <w:t>联系方式：0375-2555998、19939030802</w:t>
            </w:r>
          </w:p>
          <w:p w14:paraId="047008B6">
            <w:pPr>
              <w:pStyle w:val="12"/>
              <w:spacing w:line="360" w:lineRule="auto"/>
              <w:rPr>
                <w:rFonts w:hint="eastAsia" w:ascii="宋体" w:hAnsi="宋体" w:eastAsia="宋体" w:cs="宋体"/>
                <w:color w:val="auto"/>
                <w:sz w:val="21"/>
                <w:szCs w:val="21"/>
              </w:rPr>
            </w:pPr>
            <w:r>
              <w:rPr>
                <w:rFonts w:hint="eastAsia" w:ascii="宋体" w:hAnsi="宋体" w:cs="宋体"/>
                <w:color w:val="auto"/>
                <w:sz w:val="21"/>
                <w:szCs w:val="21"/>
              </w:rPr>
              <w:t>对供应商提出的质疑，采购人、采购代理机构应当依法及时答复和处理，不得推诿扯皮故意刁难，须进行实质性回应。</w:t>
            </w:r>
          </w:p>
        </w:tc>
      </w:tr>
      <w:tr w14:paraId="41A365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25" w:type="pct"/>
            <w:vAlign w:val="center"/>
          </w:tcPr>
          <w:p w14:paraId="1E1AD302">
            <w:pPr>
              <w:spacing w:line="360" w:lineRule="auto"/>
              <w:jc w:val="center"/>
              <w:rPr>
                <w:rFonts w:hint="eastAsia" w:ascii="宋体" w:hAnsi="宋体" w:eastAsia="宋体" w:cs="宋体"/>
                <w:sz w:val="21"/>
                <w:szCs w:val="21"/>
              </w:rPr>
            </w:pPr>
            <w:r>
              <w:rPr>
                <w:rFonts w:hint="eastAsia" w:ascii="宋体" w:hAnsi="宋体" w:eastAsia="宋体" w:cs="宋体"/>
                <w:sz w:val="21"/>
                <w:szCs w:val="21"/>
              </w:rPr>
              <w:t>10.10</w:t>
            </w:r>
          </w:p>
        </w:tc>
        <w:tc>
          <w:tcPr>
            <w:tcW w:w="697" w:type="pct"/>
            <w:vAlign w:val="center"/>
          </w:tcPr>
          <w:p w14:paraId="5CD3D64A">
            <w:pPr>
              <w:spacing w:line="360" w:lineRule="auto"/>
              <w:jc w:val="center"/>
              <w:rPr>
                <w:rFonts w:hint="eastAsia" w:ascii="宋体" w:hAnsi="宋体" w:eastAsia="宋体" w:cs="宋体"/>
                <w:sz w:val="21"/>
                <w:szCs w:val="21"/>
              </w:rPr>
            </w:pPr>
            <w:r>
              <w:rPr>
                <w:rFonts w:hint="eastAsia" w:ascii="宋体" w:hAnsi="宋体" w:eastAsia="宋体" w:cs="宋体"/>
                <w:kern w:val="0"/>
                <w:sz w:val="21"/>
                <w:szCs w:val="21"/>
              </w:rPr>
              <w:t>落实政策</w:t>
            </w:r>
          </w:p>
        </w:tc>
        <w:tc>
          <w:tcPr>
            <w:tcW w:w="3877" w:type="pct"/>
            <w:gridSpan w:val="2"/>
            <w:vAlign w:val="center"/>
          </w:tcPr>
          <w:p w14:paraId="43682AA2">
            <w:pPr>
              <w:spacing w:line="360" w:lineRule="auto"/>
              <w:jc w:val="left"/>
              <w:rPr>
                <w:rFonts w:hint="eastAsia" w:ascii="宋体" w:hAnsi="宋体" w:eastAsia="宋体" w:cs="宋体"/>
                <w:b/>
                <w:sz w:val="21"/>
                <w:szCs w:val="21"/>
              </w:rPr>
            </w:pPr>
            <w:r>
              <w:rPr>
                <w:rFonts w:hint="eastAsia" w:ascii="宋体" w:hAnsi="宋体" w:eastAsia="宋体" w:cs="宋体"/>
                <w:b/>
                <w:sz w:val="21"/>
                <w:szCs w:val="21"/>
                <w:lang w:val="en-US" w:eastAsia="zh-CN"/>
              </w:rPr>
              <w:t>一</w:t>
            </w:r>
            <w:r>
              <w:rPr>
                <w:rFonts w:hint="eastAsia" w:ascii="宋体" w:hAnsi="宋体" w:eastAsia="宋体" w:cs="宋体"/>
                <w:b/>
                <w:sz w:val="21"/>
                <w:szCs w:val="21"/>
              </w:rPr>
              <w:t>、维护企业在政府采购活动中的知情权</w:t>
            </w:r>
          </w:p>
          <w:p w14:paraId="7CE74756">
            <w:pPr>
              <w:spacing w:line="360" w:lineRule="auto"/>
              <w:ind w:firstLine="420" w:firstLineChars="200"/>
              <w:jc w:val="left"/>
              <w:rPr>
                <w:rFonts w:hint="eastAsia" w:ascii="宋体" w:hAnsi="宋体" w:eastAsia="宋体" w:cs="宋体"/>
                <w:sz w:val="21"/>
                <w:szCs w:val="21"/>
              </w:rPr>
            </w:pPr>
            <w:r>
              <w:rPr>
                <w:rFonts w:hint="eastAsia" w:ascii="宋体" w:hAnsi="宋体" w:eastAsia="宋体" w:cs="宋体"/>
                <w:sz w:val="21"/>
                <w:szCs w:val="21"/>
              </w:rPr>
              <w:t>采用公开招标采购方式的政府采购项目，在公告中标结果的同时，对未通过资格审查的投标人，采购人或者采购代理机构应告知其未通过的原因；采用综合评分法评审的，还应当告知未中标人本人的评审得分与排序。采用竞争性谈判、竞争性磋商、询价、单一来源采购方式的政府采购项目，对供应商未实质性响应的文件按无效响应处理的，采购人或者采购代理机构应当告知供应商原因。</w:t>
            </w:r>
          </w:p>
          <w:p w14:paraId="14CE1852">
            <w:pPr>
              <w:spacing w:line="360" w:lineRule="auto"/>
              <w:jc w:val="left"/>
              <w:rPr>
                <w:rFonts w:hint="eastAsia" w:ascii="宋体" w:hAnsi="宋体" w:eastAsia="宋体" w:cs="宋体"/>
                <w:b/>
                <w:sz w:val="21"/>
                <w:szCs w:val="21"/>
              </w:rPr>
            </w:pPr>
            <w:r>
              <w:rPr>
                <w:rFonts w:hint="eastAsia" w:ascii="宋体" w:hAnsi="宋体" w:eastAsia="宋体" w:cs="宋体"/>
                <w:b/>
                <w:sz w:val="21"/>
                <w:szCs w:val="21"/>
                <w:lang w:val="en-US" w:eastAsia="zh-CN"/>
              </w:rPr>
              <w:t>二</w:t>
            </w:r>
            <w:r>
              <w:rPr>
                <w:rFonts w:hint="eastAsia" w:ascii="宋体" w:hAnsi="宋体" w:eastAsia="宋体" w:cs="宋体"/>
                <w:b/>
                <w:sz w:val="21"/>
                <w:szCs w:val="21"/>
              </w:rPr>
              <w:t>、提供中小企业声明函格式</w:t>
            </w:r>
          </w:p>
          <w:p w14:paraId="68A15B08">
            <w:pPr>
              <w:spacing w:line="360" w:lineRule="auto"/>
              <w:ind w:firstLine="420" w:firstLineChars="200"/>
              <w:jc w:val="left"/>
              <w:rPr>
                <w:rFonts w:hint="eastAsia" w:ascii="宋体" w:hAnsi="宋体" w:eastAsia="宋体" w:cs="宋体"/>
                <w:sz w:val="21"/>
                <w:szCs w:val="21"/>
              </w:rPr>
            </w:pPr>
            <w:r>
              <w:rPr>
                <w:rFonts w:hint="eastAsia" w:ascii="宋体" w:hAnsi="宋体" w:eastAsia="宋体" w:cs="宋体"/>
                <w:sz w:val="21"/>
                <w:szCs w:val="21"/>
              </w:rPr>
              <w:t>已在采购文件中按照财政部、工信部印发的《政府采购促进中小企业发展管理办法》的通知精神（财库〔2020〕46号）提供中小企业声明函格式。</w:t>
            </w:r>
          </w:p>
          <w:p w14:paraId="6255C0D5">
            <w:pPr>
              <w:spacing w:line="360" w:lineRule="auto"/>
              <w:jc w:val="left"/>
              <w:rPr>
                <w:rFonts w:hint="eastAsia" w:ascii="宋体" w:hAnsi="宋体" w:eastAsia="宋体" w:cs="宋体"/>
                <w:b/>
                <w:sz w:val="21"/>
                <w:szCs w:val="21"/>
              </w:rPr>
            </w:pPr>
            <w:r>
              <w:rPr>
                <w:rFonts w:hint="eastAsia" w:ascii="宋体" w:hAnsi="宋体" w:eastAsia="宋体" w:cs="宋体"/>
                <w:b/>
                <w:sz w:val="21"/>
                <w:szCs w:val="21"/>
                <w:lang w:val="en-US" w:eastAsia="zh-CN"/>
              </w:rPr>
              <w:t>三</w:t>
            </w:r>
            <w:r>
              <w:rPr>
                <w:rFonts w:hint="eastAsia" w:ascii="宋体" w:hAnsi="宋体" w:eastAsia="宋体" w:cs="宋体"/>
                <w:b/>
                <w:sz w:val="21"/>
                <w:szCs w:val="21"/>
              </w:rPr>
              <w:t>、推广政府采购合同融资</w:t>
            </w:r>
          </w:p>
          <w:p w14:paraId="149D4810">
            <w:pPr>
              <w:spacing w:line="360" w:lineRule="auto"/>
              <w:ind w:firstLine="420" w:firstLineChars="200"/>
              <w:jc w:val="left"/>
              <w:rPr>
                <w:rFonts w:hint="eastAsia" w:ascii="宋体" w:hAnsi="宋体" w:eastAsia="宋体" w:cs="宋体"/>
                <w:sz w:val="21"/>
                <w:szCs w:val="21"/>
              </w:rPr>
            </w:pPr>
            <w:r>
              <w:rPr>
                <w:rFonts w:hint="eastAsia" w:ascii="宋体" w:hAnsi="宋体" w:eastAsia="宋体" w:cs="宋体"/>
                <w:sz w:val="21"/>
                <w:szCs w:val="21"/>
              </w:rPr>
              <w:t>“政府采购合同融资告知函”见招标文件附件，鼓励中标供应商凭借采购合同申请贷款，助力解决中小企业融资难、融资贵的问题。</w:t>
            </w:r>
          </w:p>
          <w:p w14:paraId="33BDE8A3">
            <w:pPr>
              <w:spacing w:line="360" w:lineRule="auto"/>
              <w:jc w:val="left"/>
              <w:rPr>
                <w:rFonts w:hint="eastAsia" w:ascii="宋体" w:hAnsi="宋体" w:cs="宋体"/>
                <w:b/>
                <w:sz w:val="21"/>
                <w:szCs w:val="21"/>
              </w:rPr>
            </w:pPr>
            <w:r>
              <w:rPr>
                <w:rFonts w:hint="eastAsia" w:ascii="宋体" w:hAnsi="宋体" w:cs="宋体"/>
                <w:b/>
                <w:sz w:val="21"/>
                <w:szCs w:val="21"/>
                <w:lang w:val="en-US" w:eastAsia="zh-CN"/>
              </w:rPr>
              <w:t>四</w:t>
            </w:r>
            <w:r>
              <w:rPr>
                <w:rFonts w:hint="eastAsia" w:ascii="宋体" w:hAnsi="宋体" w:cs="宋体"/>
                <w:b/>
                <w:sz w:val="21"/>
                <w:szCs w:val="21"/>
              </w:rPr>
              <w:t>、落实预留采购份额</w:t>
            </w:r>
          </w:p>
          <w:p w14:paraId="49F97CC7">
            <w:pPr>
              <w:spacing w:line="360" w:lineRule="auto"/>
              <w:ind w:firstLine="420" w:firstLineChars="200"/>
              <w:jc w:val="left"/>
              <w:rPr>
                <w:rFonts w:hint="eastAsia" w:ascii="宋体" w:hAnsi="宋体" w:eastAsia="宋体" w:cs="宋体"/>
                <w:b/>
                <w:sz w:val="21"/>
                <w:szCs w:val="21"/>
              </w:rPr>
            </w:pPr>
            <w:r>
              <w:rPr>
                <w:rFonts w:hint="eastAsia" w:ascii="宋体" w:hAnsi="宋体" w:cs="宋体"/>
                <w:sz w:val="21"/>
                <w:szCs w:val="21"/>
              </w:rPr>
              <w:t>采购人应当按照财政部、工信部印发的《政府采购促进中小企业发展管理办法》的通知精神（财库〔2020〕46号）组织评估本部门及所属单位政府采购项目，统筹制定面向中小企业预留采购份额的具体方案，对适宜由中小企业提供的采购项目和采购包，预留采购份额专门面向中小企业采购，并在政府采购预算中单独列示。采购限额标准以上，200万元以下的货物和服务采购项目、400万元以下的工程采购项目，适宜由中小企业提供的，采购单位应当专门面向中小企业采购。超过200万元的货物和服务采购项目、超过400 万元的工程采购项目中适宜由中小企业提供的，预留该部分采购项目预算总额的30%以上专门面向中小企业采购，其中预留给小微企业的比例不低于60%。确实不适宜由中小企业提供的，应当参照《政府采购促进中小企业发展管理办法》第六条在采购文件中说明理由。按照平顶山市财政局出台的《平顶山市财政局关于进一步加大政府采购支持中小企业力度的通知》（平财购〔2022〕8号）的规定：超过400万元的工程采购项目中适宜由中小企业提供的，采购人在坚持公开公正、公平竞争原则和统一质量标准的前提下，2022年下半年面向中小企业的预留份额由30%以上阶段性提高至40%以上，其中预留给小微企业的比例不低于60%。部印发的《政府采购促进中小企业发展管理办法》的通知精神（财库〔2020〕46号）提供中小企业声明函格式。详见“政府采购政策：中小企业声明函”。</w:t>
            </w:r>
          </w:p>
          <w:p w14:paraId="402483CB">
            <w:pPr>
              <w:spacing w:line="360" w:lineRule="auto"/>
              <w:jc w:val="left"/>
              <w:rPr>
                <w:rFonts w:hint="eastAsia" w:ascii="宋体" w:hAnsi="宋体" w:eastAsia="宋体" w:cs="宋体"/>
                <w:b/>
                <w:sz w:val="21"/>
                <w:szCs w:val="21"/>
              </w:rPr>
            </w:pPr>
            <w:r>
              <w:rPr>
                <w:rFonts w:hint="eastAsia" w:ascii="宋体" w:hAnsi="宋体" w:eastAsia="宋体" w:cs="宋体"/>
                <w:b/>
                <w:sz w:val="21"/>
                <w:szCs w:val="21"/>
                <w:lang w:val="en-US" w:eastAsia="zh-CN"/>
              </w:rPr>
              <w:t>五</w:t>
            </w:r>
            <w:r>
              <w:rPr>
                <w:rFonts w:hint="eastAsia" w:ascii="宋体" w:hAnsi="宋体" w:eastAsia="宋体" w:cs="宋体"/>
                <w:b/>
                <w:sz w:val="21"/>
                <w:szCs w:val="21"/>
              </w:rPr>
              <w:t>、落实价格评审优惠政策</w:t>
            </w:r>
          </w:p>
          <w:p w14:paraId="72450C76">
            <w:pPr>
              <w:spacing w:line="360" w:lineRule="auto"/>
              <w:rPr>
                <w:rFonts w:hint="eastAsia" w:ascii="宋体" w:hAnsi="宋体" w:eastAsia="宋体" w:cs="宋体"/>
                <w:color w:val="FF0000"/>
                <w:sz w:val="21"/>
                <w:szCs w:val="21"/>
              </w:rPr>
            </w:pPr>
            <w:r>
              <w:rPr>
                <w:rFonts w:hint="eastAsia" w:ascii="宋体" w:hAnsi="宋体" w:eastAsia="宋体" w:cs="宋体"/>
                <w:sz w:val="21"/>
                <w:szCs w:val="21"/>
              </w:rPr>
              <w:t>（1）执行财政部、工业和信息化部关于印发《政府采购促进中小企业发展暂行办法》的通知（财库〔2020〕46号），</w:t>
            </w:r>
            <w:r>
              <w:rPr>
                <w:rFonts w:hint="eastAsia" w:asciiTheme="minorEastAsia" w:hAnsiTheme="minorEastAsia" w:cstheme="minorEastAsia"/>
                <w:b/>
                <w:color w:val="FF0000"/>
                <w:sz w:val="21"/>
                <w:szCs w:val="21"/>
              </w:rPr>
              <w:t>本项目执行价格评审优惠政策，对小型和微型企业给予20%的价格扣除，用扣除后的价格参与报价评审</w:t>
            </w:r>
            <w:r>
              <w:rPr>
                <w:rFonts w:hint="eastAsia" w:ascii="宋体" w:hAnsi="宋体" w:eastAsia="宋体" w:cs="宋体"/>
                <w:b/>
                <w:color w:val="FF0000"/>
                <w:sz w:val="21"/>
                <w:szCs w:val="21"/>
              </w:rPr>
              <w:t>。</w:t>
            </w:r>
          </w:p>
          <w:p w14:paraId="2F70EC50">
            <w:pPr>
              <w:spacing w:line="360" w:lineRule="auto"/>
              <w:rPr>
                <w:rFonts w:hint="eastAsia" w:ascii="宋体" w:hAnsi="宋体" w:eastAsia="宋体" w:cs="宋体"/>
                <w:sz w:val="21"/>
                <w:szCs w:val="21"/>
              </w:rPr>
            </w:pPr>
            <w:r>
              <w:rPr>
                <w:rFonts w:hint="eastAsia" w:ascii="宋体" w:hAnsi="宋体" w:eastAsia="宋体" w:cs="宋体"/>
                <w:sz w:val="21"/>
                <w:szCs w:val="21"/>
              </w:rPr>
              <w:t>（2）根据财政部、司法部《关于政府采购支持监狱企业发展有关问题》的通知（财库〔2014〕68号），监狱企业参加本项目投标时，应当提供由省级以上监狱管理局、戒毒管理局（新疆生产建设兵团）出具的属于监狱企业的证明文件。</w:t>
            </w:r>
            <w:r>
              <w:rPr>
                <w:rFonts w:hint="eastAsia" w:ascii="宋体" w:hAnsi="宋体" w:eastAsia="宋体" w:cs="宋体"/>
                <w:b/>
                <w:sz w:val="21"/>
                <w:szCs w:val="21"/>
              </w:rPr>
              <w:t>监狱企业视同小型、微型企业。</w:t>
            </w:r>
          </w:p>
          <w:p w14:paraId="7610827E">
            <w:pPr>
              <w:spacing w:line="360" w:lineRule="auto"/>
              <w:rPr>
                <w:rFonts w:hint="eastAsia" w:ascii="宋体" w:hAnsi="宋体" w:eastAsia="宋体" w:cs="宋体"/>
                <w:sz w:val="21"/>
                <w:szCs w:val="21"/>
              </w:rPr>
            </w:pPr>
            <w:r>
              <w:rPr>
                <w:rFonts w:hint="eastAsia" w:ascii="宋体" w:hAnsi="宋体" w:eastAsia="宋体" w:cs="宋体"/>
                <w:sz w:val="21"/>
                <w:szCs w:val="21"/>
              </w:rPr>
              <w:t>（3）根据财政部、民政部、中国残疾人联合会《关于促进残疾人就业政府采购政策的通知》（财库〔2017〕141号），在政府采购活动中，</w:t>
            </w:r>
            <w:r>
              <w:rPr>
                <w:rFonts w:hint="eastAsia" w:ascii="宋体" w:hAnsi="宋体" w:eastAsia="宋体" w:cs="宋体"/>
                <w:b/>
                <w:sz w:val="21"/>
                <w:szCs w:val="21"/>
              </w:rPr>
              <w:t>残疾人福利性单位视同小型、微型企业。</w:t>
            </w:r>
            <w:r>
              <w:rPr>
                <w:rFonts w:hint="eastAsia" w:ascii="宋体" w:hAnsi="宋体" w:eastAsia="宋体" w:cs="宋体"/>
                <w:sz w:val="21"/>
                <w:szCs w:val="21"/>
              </w:rPr>
              <w:t>投标人属于残疾人福利性单位的，按照招标文件格式提供《残疾人福利性单位声明函》。</w:t>
            </w:r>
          </w:p>
          <w:p w14:paraId="53D1BDBF">
            <w:pPr>
              <w:spacing w:line="360" w:lineRule="auto"/>
              <w:jc w:val="left"/>
              <w:rPr>
                <w:rFonts w:hint="eastAsia" w:ascii="宋体" w:hAnsi="宋体" w:eastAsia="宋体" w:cs="宋体"/>
                <w:sz w:val="21"/>
                <w:szCs w:val="21"/>
              </w:rPr>
            </w:pPr>
            <w:r>
              <w:rPr>
                <w:rFonts w:hint="eastAsia" w:ascii="宋体" w:hAnsi="宋体" w:eastAsia="宋体" w:cs="宋体"/>
                <w:b/>
                <w:sz w:val="21"/>
                <w:szCs w:val="21"/>
              </w:rPr>
              <w:t>说明：不符合上述适用情形的投标人无须提供上述声明函件。</w:t>
            </w:r>
          </w:p>
        </w:tc>
      </w:tr>
      <w:tr w14:paraId="28B8EA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25" w:type="pct"/>
            <w:vAlign w:val="center"/>
          </w:tcPr>
          <w:p w14:paraId="3CA6EC17">
            <w:pPr>
              <w:spacing w:line="360" w:lineRule="auto"/>
              <w:jc w:val="center"/>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10.11</w:t>
            </w:r>
          </w:p>
        </w:tc>
        <w:tc>
          <w:tcPr>
            <w:tcW w:w="697" w:type="pct"/>
            <w:vAlign w:val="center"/>
          </w:tcPr>
          <w:p w14:paraId="52861B2D">
            <w:pPr>
              <w:jc w:val="center"/>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付款方式</w:t>
            </w:r>
          </w:p>
        </w:tc>
        <w:tc>
          <w:tcPr>
            <w:tcW w:w="3877" w:type="pct"/>
            <w:gridSpan w:val="2"/>
          </w:tcPr>
          <w:p w14:paraId="6650FE8D">
            <w:pPr>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lang w:val="en-US" w:eastAsia="zh-CN"/>
              </w:rPr>
              <w:t>服务期满半年支付合同金额的50%，项目服务期满，服务质量达到</w:t>
            </w:r>
            <w:r>
              <w:rPr>
                <w:rFonts w:hint="eastAsia" w:ascii="宋体" w:hAnsi="宋体" w:eastAsia="宋体" w:cs="宋体"/>
                <w:color w:val="000000" w:themeColor="text1"/>
                <w:sz w:val="21"/>
                <w:szCs w:val="21"/>
              </w:rPr>
              <w:t>合同</w:t>
            </w:r>
            <w:r>
              <w:rPr>
                <w:rFonts w:hint="eastAsia" w:ascii="宋体" w:hAnsi="宋体" w:eastAsia="宋体" w:cs="宋体"/>
                <w:color w:val="000000" w:themeColor="text1"/>
                <w:sz w:val="21"/>
                <w:szCs w:val="21"/>
                <w:lang w:val="en-US" w:eastAsia="zh-CN"/>
              </w:rPr>
              <w:t>规定质量标准，一次性支付剩余合同款项。（具体以合同签订为准）</w:t>
            </w:r>
          </w:p>
        </w:tc>
      </w:tr>
      <w:tr w14:paraId="7B8620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25" w:type="pct"/>
            <w:vAlign w:val="center"/>
          </w:tcPr>
          <w:p w14:paraId="132310C6">
            <w:pPr>
              <w:spacing w:line="360" w:lineRule="auto"/>
              <w:jc w:val="center"/>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10.12</w:t>
            </w:r>
          </w:p>
        </w:tc>
        <w:tc>
          <w:tcPr>
            <w:tcW w:w="697" w:type="pct"/>
            <w:vAlign w:val="center"/>
          </w:tcPr>
          <w:p w14:paraId="68682F7C">
            <w:pPr>
              <w:spacing w:line="360" w:lineRule="auto"/>
              <w:jc w:val="center"/>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履约保证金</w:t>
            </w:r>
          </w:p>
        </w:tc>
        <w:tc>
          <w:tcPr>
            <w:tcW w:w="3877" w:type="pct"/>
            <w:gridSpan w:val="2"/>
            <w:vAlign w:val="center"/>
          </w:tcPr>
          <w:p w14:paraId="611BD819">
            <w:pPr>
              <w:spacing w:line="360" w:lineRule="auto"/>
              <w:jc w:val="left"/>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根据河南省财政厅关于优化政府采购营商环境有关问题的通知（豫财购【2019】4号文），落实其文件精神，降低供应商参与政府采购活动交易成本，本项目不收取履约保证金。</w:t>
            </w:r>
          </w:p>
        </w:tc>
      </w:tr>
      <w:tr w14:paraId="1628E1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25" w:type="pct"/>
            <w:vAlign w:val="center"/>
          </w:tcPr>
          <w:p w14:paraId="2DB1535C">
            <w:pPr>
              <w:spacing w:line="360" w:lineRule="auto"/>
              <w:jc w:val="center"/>
              <w:rPr>
                <w:rFonts w:hint="eastAsia" w:ascii="宋体" w:hAnsi="宋体" w:eastAsia="宋体" w:cs="宋体"/>
                <w:sz w:val="21"/>
                <w:szCs w:val="21"/>
              </w:rPr>
            </w:pPr>
            <w:r>
              <w:rPr>
                <w:rFonts w:hint="eastAsia" w:ascii="宋体" w:hAnsi="宋体" w:eastAsia="宋体" w:cs="宋体"/>
                <w:sz w:val="21"/>
                <w:szCs w:val="21"/>
              </w:rPr>
              <w:t>10.13</w:t>
            </w:r>
          </w:p>
        </w:tc>
        <w:tc>
          <w:tcPr>
            <w:tcW w:w="697" w:type="pct"/>
            <w:vAlign w:val="center"/>
          </w:tcPr>
          <w:p w14:paraId="5DFDDD61">
            <w:pPr>
              <w:spacing w:line="400" w:lineRule="exact"/>
              <w:jc w:val="center"/>
              <w:rPr>
                <w:rFonts w:hint="eastAsia" w:ascii="宋体" w:hAnsi="宋体" w:eastAsia="宋体" w:cs="宋体"/>
                <w:sz w:val="21"/>
                <w:szCs w:val="21"/>
              </w:rPr>
            </w:pPr>
            <w:r>
              <w:rPr>
                <w:rFonts w:hint="eastAsia" w:ascii="宋体" w:hAnsi="宋体" w:eastAsia="宋体" w:cs="宋体"/>
                <w:sz w:val="21"/>
                <w:szCs w:val="21"/>
              </w:rPr>
              <w:t>磋商文件费</w:t>
            </w:r>
          </w:p>
        </w:tc>
        <w:tc>
          <w:tcPr>
            <w:tcW w:w="3877" w:type="pct"/>
            <w:gridSpan w:val="2"/>
            <w:vAlign w:val="center"/>
          </w:tcPr>
          <w:p w14:paraId="6F51E4B0">
            <w:pPr>
              <w:spacing w:line="400" w:lineRule="exact"/>
              <w:jc w:val="center"/>
              <w:rPr>
                <w:rFonts w:hint="eastAsia" w:ascii="宋体" w:hAnsi="宋体" w:eastAsia="宋体" w:cs="宋体"/>
                <w:sz w:val="21"/>
                <w:szCs w:val="21"/>
              </w:rPr>
            </w:pPr>
            <w:r>
              <w:rPr>
                <w:rFonts w:hint="eastAsia" w:ascii="宋体" w:hAnsi="宋体" w:eastAsia="宋体" w:cs="宋体"/>
                <w:sz w:val="21"/>
                <w:szCs w:val="21"/>
              </w:rPr>
              <w:t>不收取</w:t>
            </w:r>
          </w:p>
        </w:tc>
      </w:tr>
      <w:tr w14:paraId="689610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25" w:type="pct"/>
            <w:vAlign w:val="center"/>
          </w:tcPr>
          <w:p w14:paraId="3C01361B">
            <w:pPr>
              <w:spacing w:line="360" w:lineRule="auto"/>
              <w:jc w:val="center"/>
              <w:rPr>
                <w:rFonts w:hint="eastAsia" w:ascii="宋体" w:hAnsi="宋体" w:eastAsia="宋体" w:cs="宋体"/>
                <w:sz w:val="21"/>
                <w:szCs w:val="21"/>
              </w:rPr>
            </w:pPr>
            <w:r>
              <w:rPr>
                <w:rFonts w:hint="eastAsia" w:ascii="宋体" w:hAnsi="宋体" w:eastAsia="宋体" w:cs="宋体"/>
                <w:sz w:val="21"/>
                <w:szCs w:val="21"/>
              </w:rPr>
              <w:t>10.14</w:t>
            </w:r>
          </w:p>
        </w:tc>
        <w:tc>
          <w:tcPr>
            <w:tcW w:w="697" w:type="pct"/>
            <w:vAlign w:val="center"/>
          </w:tcPr>
          <w:p w14:paraId="5A8BDCE9">
            <w:pPr>
              <w:spacing w:line="400" w:lineRule="exact"/>
              <w:jc w:val="center"/>
              <w:rPr>
                <w:rFonts w:hint="eastAsia" w:ascii="宋体" w:hAnsi="宋体" w:eastAsia="宋体" w:cs="宋体"/>
                <w:sz w:val="21"/>
                <w:szCs w:val="21"/>
              </w:rPr>
            </w:pPr>
            <w:r>
              <w:rPr>
                <w:rFonts w:hint="eastAsia" w:ascii="宋体" w:hAnsi="宋体" w:eastAsia="宋体" w:cs="宋体"/>
                <w:sz w:val="21"/>
                <w:szCs w:val="21"/>
              </w:rPr>
              <w:t>磋商保证金</w:t>
            </w:r>
          </w:p>
        </w:tc>
        <w:tc>
          <w:tcPr>
            <w:tcW w:w="3877" w:type="pct"/>
            <w:gridSpan w:val="2"/>
            <w:vAlign w:val="center"/>
          </w:tcPr>
          <w:p w14:paraId="27282247">
            <w:pPr>
              <w:spacing w:line="400" w:lineRule="exact"/>
              <w:jc w:val="center"/>
              <w:rPr>
                <w:rFonts w:hint="eastAsia" w:ascii="宋体" w:hAnsi="宋体" w:eastAsia="宋体" w:cs="宋体"/>
                <w:sz w:val="21"/>
                <w:szCs w:val="21"/>
              </w:rPr>
            </w:pPr>
            <w:r>
              <w:rPr>
                <w:rFonts w:hint="eastAsia" w:ascii="宋体" w:hAnsi="宋体" w:eastAsia="宋体" w:cs="宋体"/>
                <w:sz w:val="21"/>
                <w:szCs w:val="21"/>
              </w:rPr>
              <w:t>不收取</w:t>
            </w:r>
          </w:p>
        </w:tc>
      </w:tr>
      <w:tr w14:paraId="5D0FE2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25" w:type="pct"/>
            <w:vAlign w:val="center"/>
          </w:tcPr>
          <w:p w14:paraId="22998897">
            <w:pPr>
              <w:spacing w:line="360" w:lineRule="auto"/>
              <w:jc w:val="center"/>
              <w:rPr>
                <w:rFonts w:hint="eastAsia" w:ascii="宋体" w:hAnsi="宋体" w:eastAsia="宋体" w:cs="宋体"/>
                <w:sz w:val="21"/>
                <w:szCs w:val="21"/>
              </w:rPr>
            </w:pPr>
            <w:r>
              <w:rPr>
                <w:rFonts w:hint="eastAsia" w:ascii="宋体" w:hAnsi="宋体" w:eastAsia="宋体" w:cs="宋体"/>
                <w:sz w:val="21"/>
                <w:szCs w:val="21"/>
              </w:rPr>
              <w:t>10.14</w:t>
            </w:r>
          </w:p>
        </w:tc>
        <w:tc>
          <w:tcPr>
            <w:tcW w:w="697" w:type="pct"/>
            <w:vAlign w:val="center"/>
          </w:tcPr>
          <w:p w14:paraId="0B68B2A0">
            <w:pPr>
              <w:spacing w:line="400" w:lineRule="exact"/>
              <w:jc w:val="center"/>
              <w:rPr>
                <w:rFonts w:hint="eastAsia" w:ascii="宋体" w:hAnsi="宋体" w:eastAsia="宋体" w:cs="宋体"/>
                <w:sz w:val="21"/>
                <w:szCs w:val="21"/>
              </w:rPr>
            </w:pPr>
            <w:r>
              <w:rPr>
                <w:rFonts w:hint="eastAsia" w:ascii="宋体" w:hAnsi="宋体" w:eastAsia="宋体" w:cs="宋体"/>
                <w:sz w:val="21"/>
                <w:szCs w:val="21"/>
              </w:rPr>
              <w:t>质保金</w:t>
            </w:r>
          </w:p>
        </w:tc>
        <w:tc>
          <w:tcPr>
            <w:tcW w:w="3877" w:type="pct"/>
            <w:gridSpan w:val="2"/>
            <w:vAlign w:val="center"/>
          </w:tcPr>
          <w:p w14:paraId="4515502E">
            <w:pPr>
              <w:spacing w:line="400" w:lineRule="exact"/>
              <w:jc w:val="center"/>
              <w:rPr>
                <w:rFonts w:hint="eastAsia" w:ascii="宋体" w:hAnsi="宋体" w:eastAsia="宋体" w:cs="宋体"/>
                <w:b/>
                <w:sz w:val="21"/>
                <w:szCs w:val="21"/>
              </w:rPr>
            </w:pPr>
            <w:r>
              <w:rPr>
                <w:rFonts w:hint="eastAsia" w:ascii="宋体" w:hAnsi="宋体" w:eastAsia="宋体" w:cs="宋体"/>
                <w:sz w:val="21"/>
                <w:szCs w:val="21"/>
              </w:rPr>
              <w:t>不收取</w:t>
            </w:r>
          </w:p>
        </w:tc>
      </w:tr>
      <w:tr w14:paraId="37AF18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25" w:type="pct"/>
            <w:vAlign w:val="center"/>
          </w:tcPr>
          <w:p w14:paraId="42907E81">
            <w:pPr>
              <w:spacing w:line="360" w:lineRule="auto"/>
              <w:jc w:val="center"/>
              <w:rPr>
                <w:rFonts w:hint="eastAsia" w:ascii="宋体" w:hAnsi="宋体" w:eastAsia="宋体" w:cs="宋体"/>
                <w:sz w:val="21"/>
                <w:szCs w:val="21"/>
              </w:rPr>
            </w:pPr>
            <w:r>
              <w:rPr>
                <w:rFonts w:hint="eastAsia" w:ascii="宋体" w:hAnsi="宋体" w:eastAsia="宋体" w:cs="宋体"/>
                <w:sz w:val="21"/>
                <w:szCs w:val="21"/>
              </w:rPr>
              <w:t>10.15</w:t>
            </w:r>
          </w:p>
        </w:tc>
        <w:tc>
          <w:tcPr>
            <w:tcW w:w="697" w:type="pct"/>
            <w:vAlign w:val="center"/>
          </w:tcPr>
          <w:p w14:paraId="3CFDEC69">
            <w:pPr>
              <w:spacing w:line="400" w:lineRule="exact"/>
              <w:jc w:val="center"/>
              <w:rPr>
                <w:rFonts w:hint="eastAsia" w:ascii="宋体" w:hAnsi="宋体" w:eastAsia="宋体" w:cs="宋体"/>
                <w:color w:val="auto"/>
                <w:sz w:val="21"/>
                <w:szCs w:val="21"/>
              </w:rPr>
            </w:pPr>
            <w:r>
              <w:rPr>
                <w:rFonts w:hint="eastAsia" w:ascii="宋体" w:hAnsi="宋体" w:eastAsia="宋体" w:cs="宋体"/>
                <w:color w:val="auto"/>
                <w:sz w:val="21"/>
                <w:szCs w:val="21"/>
              </w:rPr>
              <w:t>本项目所属行业</w:t>
            </w:r>
          </w:p>
        </w:tc>
        <w:tc>
          <w:tcPr>
            <w:tcW w:w="3877" w:type="pct"/>
            <w:gridSpan w:val="2"/>
            <w:vAlign w:val="center"/>
          </w:tcPr>
          <w:p w14:paraId="69E7CA4D">
            <w:pPr>
              <w:spacing w:line="400" w:lineRule="exact"/>
              <w:jc w:val="left"/>
              <w:rPr>
                <w:rFonts w:hint="eastAsia" w:ascii="宋体" w:hAnsi="宋体" w:eastAsia="宋体" w:cs="宋体"/>
                <w:color w:val="auto"/>
                <w:sz w:val="21"/>
                <w:szCs w:val="21"/>
              </w:rPr>
            </w:pPr>
            <w:r>
              <w:rPr>
                <w:rFonts w:hint="eastAsia" w:ascii="宋体" w:hAnsi="宋体" w:eastAsia="宋体" w:cs="宋体"/>
                <w:color w:val="auto"/>
                <w:sz w:val="21"/>
                <w:szCs w:val="21"/>
              </w:rPr>
              <w:t>所属行业：</w:t>
            </w:r>
            <w:r>
              <w:rPr>
                <w:rFonts w:hint="eastAsia" w:ascii="宋体" w:hAnsi="宋体" w:eastAsia="宋体" w:cs="宋体"/>
                <w:color w:val="auto"/>
                <w:kern w:val="0"/>
                <w:sz w:val="21"/>
                <w:szCs w:val="21"/>
                <w:lang w:val="en-US" w:eastAsia="zh-CN"/>
              </w:rPr>
              <w:t>其他未列明行业</w:t>
            </w:r>
            <w:r>
              <w:rPr>
                <w:rFonts w:hint="eastAsia" w:ascii="宋体" w:hAnsi="宋体" w:eastAsia="宋体" w:cs="宋体"/>
                <w:color w:val="auto"/>
                <w:sz w:val="21"/>
                <w:szCs w:val="21"/>
              </w:rPr>
              <w:t>。</w:t>
            </w:r>
          </w:p>
          <w:p w14:paraId="36EDA0C8">
            <w:pPr>
              <w:spacing w:line="400" w:lineRule="exact"/>
              <w:jc w:val="left"/>
              <w:rPr>
                <w:rFonts w:hint="eastAsia" w:ascii="宋体" w:hAnsi="宋体" w:eastAsia="宋体" w:cs="宋体"/>
                <w:color w:val="auto"/>
                <w:sz w:val="21"/>
                <w:szCs w:val="21"/>
              </w:rPr>
            </w:pPr>
            <w:r>
              <w:rPr>
                <w:rFonts w:hint="eastAsia" w:ascii="宋体" w:hAnsi="宋体" w:eastAsia="宋体" w:cs="宋体"/>
                <w:color w:val="auto"/>
                <w:sz w:val="21"/>
                <w:szCs w:val="21"/>
              </w:rPr>
              <w:t>划定标准为：中小微企业划分按照《国家统计局关于印发&lt;统计上大中小微型企业划分办法（2017）&gt;的通知》国统字【2017】213号文件及《工业和信息化部、国家统计局、国家发展和改革委员会、财政部关于印发&lt;中小企业划型标准规定&gt;（工信部联企业〔2011〕300号）规定的划分标准为依据。（见附件）</w:t>
            </w:r>
          </w:p>
        </w:tc>
      </w:tr>
      <w:tr w14:paraId="436945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25" w:type="pct"/>
            <w:vAlign w:val="center"/>
          </w:tcPr>
          <w:p w14:paraId="3D5028A7">
            <w:pPr>
              <w:spacing w:line="360" w:lineRule="auto"/>
              <w:jc w:val="center"/>
              <w:rPr>
                <w:rFonts w:hint="eastAsia" w:ascii="宋体" w:hAnsi="宋体" w:eastAsia="宋体" w:cs="宋体"/>
                <w:sz w:val="21"/>
                <w:szCs w:val="21"/>
              </w:rPr>
            </w:pPr>
            <w:r>
              <w:rPr>
                <w:rFonts w:hint="eastAsia" w:ascii="宋体" w:hAnsi="宋体" w:eastAsia="宋体" w:cs="宋体"/>
                <w:sz w:val="21"/>
                <w:szCs w:val="21"/>
              </w:rPr>
              <w:t>10.16</w:t>
            </w:r>
          </w:p>
        </w:tc>
        <w:tc>
          <w:tcPr>
            <w:tcW w:w="697" w:type="pct"/>
            <w:vAlign w:val="center"/>
          </w:tcPr>
          <w:p w14:paraId="32461B4B">
            <w:pPr>
              <w:spacing w:line="360" w:lineRule="auto"/>
              <w:jc w:val="center"/>
              <w:rPr>
                <w:rFonts w:hint="eastAsia" w:ascii="宋体" w:hAnsi="宋体" w:eastAsia="宋体" w:cs="宋体"/>
                <w:sz w:val="21"/>
                <w:szCs w:val="21"/>
              </w:rPr>
            </w:pPr>
            <w:r>
              <w:rPr>
                <w:rFonts w:hint="eastAsia" w:ascii="宋体" w:hAnsi="宋体" w:eastAsia="宋体" w:cs="宋体"/>
                <w:b/>
                <w:sz w:val="21"/>
                <w:szCs w:val="21"/>
              </w:rPr>
              <w:t>四方评价</w:t>
            </w:r>
          </w:p>
        </w:tc>
        <w:tc>
          <w:tcPr>
            <w:tcW w:w="3877" w:type="pct"/>
            <w:gridSpan w:val="2"/>
            <w:vAlign w:val="center"/>
          </w:tcPr>
          <w:p w14:paraId="2AA4D1B6">
            <w:pPr>
              <w:spacing w:line="360" w:lineRule="auto"/>
              <w:jc w:val="left"/>
              <w:rPr>
                <w:rFonts w:hint="eastAsia" w:ascii="宋体" w:hAnsi="宋体" w:eastAsia="宋体" w:cs="宋体"/>
                <w:b/>
                <w:sz w:val="21"/>
                <w:szCs w:val="21"/>
              </w:rPr>
            </w:pPr>
            <w:r>
              <w:rPr>
                <w:rFonts w:hint="eastAsia" w:ascii="宋体" w:hAnsi="宋体" w:eastAsia="宋体" w:cs="宋体"/>
                <w:b/>
                <w:sz w:val="21"/>
                <w:szCs w:val="21"/>
              </w:rPr>
              <w:t xml:space="preserve">   </w:t>
            </w:r>
            <w:r>
              <w:rPr>
                <w:rFonts w:hint="eastAsia" w:ascii="宋体" w:hAnsi="宋体" w:eastAsia="宋体" w:cs="宋体"/>
                <w:bCs/>
                <w:sz w:val="21"/>
                <w:szCs w:val="21"/>
              </w:rPr>
              <w:t>根据《平顶山市财政局关于实行政府采购项目四方评价的通知》要求，自2023年起，我市所有政府采购项目实行信用评价。采购人、采购代理机构、评审专家、供应商在“评标结束”、“履约验收”后通过平顶山市政府采购网-评价管理-信用评价模块进行评价，供应商应在合同备案前注册政府采购网账号。</w:t>
            </w:r>
          </w:p>
          <w:p w14:paraId="352BDE3B">
            <w:pPr>
              <w:spacing w:line="360" w:lineRule="auto"/>
              <w:jc w:val="center"/>
              <w:rPr>
                <w:rFonts w:hint="eastAsia" w:ascii="宋体" w:hAnsi="宋体" w:eastAsia="宋体" w:cs="宋体"/>
                <w:b/>
                <w:sz w:val="21"/>
                <w:szCs w:val="21"/>
              </w:rPr>
            </w:pPr>
            <w:r>
              <w:rPr>
                <w:rFonts w:hint="eastAsia" w:ascii="宋体" w:hAnsi="宋体" w:eastAsia="宋体" w:cs="宋体"/>
                <w:b/>
                <w:sz w:val="21"/>
                <w:szCs w:val="21"/>
              </w:rPr>
              <w:t>各相关单位及个人须按照下表时间节点，及时在政府采购网上进行评价：</w:t>
            </w:r>
          </w:p>
          <w:tbl>
            <w:tblPr>
              <w:tblStyle w:val="32"/>
              <w:tblW w:w="7820" w:type="dxa"/>
              <w:tblInd w:w="0" w:type="dxa"/>
              <w:tblLayout w:type="fixed"/>
              <w:tblCellMar>
                <w:top w:w="0" w:type="dxa"/>
                <w:left w:w="108" w:type="dxa"/>
                <w:bottom w:w="0" w:type="dxa"/>
                <w:right w:w="108" w:type="dxa"/>
              </w:tblCellMar>
            </w:tblPr>
            <w:tblGrid>
              <w:gridCol w:w="1741"/>
              <w:gridCol w:w="2167"/>
              <w:gridCol w:w="1741"/>
              <w:gridCol w:w="2171"/>
            </w:tblGrid>
            <w:tr w14:paraId="7D85A45B">
              <w:tblPrEx>
                <w:tblCellMar>
                  <w:top w:w="0" w:type="dxa"/>
                  <w:left w:w="108" w:type="dxa"/>
                  <w:bottom w:w="0" w:type="dxa"/>
                  <w:right w:w="108" w:type="dxa"/>
                </w:tblCellMar>
              </w:tblPrEx>
              <w:trPr>
                <w:trHeight w:val="567" w:hRule="atLeast"/>
              </w:trPr>
              <w:tc>
                <w:tcPr>
                  <w:tcW w:w="7820" w:type="dxa"/>
                  <w:gridSpan w:val="4"/>
                  <w:tcBorders>
                    <w:top w:val="nil"/>
                    <w:left w:val="nil"/>
                    <w:bottom w:val="single" w:color="auto" w:sz="4" w:space="0"/>
                    <w:right w:val="nil"/>
                  </w:tcBorders>
                  <w:noWrap/>
                  <w:vAlign w:val="center"/>
                </w:tcPr>
                <w:p w14:paraId="450C63D2">
                  <w:pPr>
                    <w:widowControl/>
                    <w:jc w:val="center"/>
                    <w:rPr>
                      <w:rFonts w:hint="eastAsia" w:ascii="宋体" w:hAnsi="宋体" w:eastAsia="宋体" w:cs="宋体"/>
                      <w:b/>
                      <w:bCs/>
                      <w:kern w:val="0"/>
                      <w:sz w:val="21"/>
                      <w:szCs w:val="21"/>
                    </w:rPr>
                  </w:pPr>
                  <w:r>
                    <w:rPr>
                      <w:rFonts w:hint="eastAsia" w:ascii="宋体" w:hAnsi="宋体" w:eastAsia="宋体" w:cs="宋体"/>
                      <w:b/>
                      <w:bCs/>
                      <w:kern w:val="0"/>
                      <w:sz w:val="21"/>
                      <w:szCs w:val="21"/>
                    </w:rPr>
                    <w:t>四方评价时间节点</w:t>
                  </w:r>
                </w:p>
              </w:tc>
            </w:tr>
            <w:tr w14:paraId="2702232D">
              <w:tblPrEx>
                <w:tblCellMar>
                  <w:top w:w="0" w:type="dxa"/>
                  <w:left w:w="108" w:type="dxa"/>
                  <w:bottom w:w="0" w:type="dxa"/>
                  <w:right w:w="108" w:type="dxa"/>
                </w:tblCellMar>
              </w:tblPrEx>
              <w:trPr>
                <w:trHeight w:val="567" w:hRule="atLeast"/>
              </w:trPr>
              <w:tc>
                <w:tcPr>
                  <w:tcW w:w="1741" w:type="dxa"/>
                  <w:tcBorders>
                    <w:top w:val="nil"/>
                    <w:left w:val="single" w:color="auto" w:sz="4" w:space="0"/>
                    <w:bottom w:val="single" w:color="auto" w:sz="4" w:space="0"/>
                    <w:right w:val="single" w:color="auto" w:sz="4" w:space="0"/>
                  </w:tcBorders>
                  <w:noWrap/>
                  <w:vAlign w:val="center"/>
                </w:tcPr>
                <w:p w14:paraId="468FCE20">
                  <w:pPr>
                    <w:widowControl/>
                    <w:jc w:val="center"/>
                    <w:rPr>
                      <w:rFonts w:hint="eastAsia" w:ascii="宋体" w:hAnsi="宋体" w:eastAsia="宋体" w:cs="宋体"/>
                      <w:b/>
                      <w:bCs/>
                      <w:kern w:val="0"/>
                      <w:sz w:val="21"/>
                      <w:szCs w:val="21"/>
                    </w:rPr>
                  </w:pPr>
                  <w:r>
                    <w:rPr>
                      <w:rFonts w:hint="eastAsia" w:ascii="宋体" w:hAnsi="宋体" w:eastAsia="宋体" w:cs="宋体"/>
                      <w:b/>
                      <w:bCs/>
                      <w:kern w:val="0"/>
                      <w:sz w:val="21"/>
                      <w:szCs w:val="21"/>
                    </w:rPr>
                    <w:t>评价主体</w:t>
                  </w:r>
                </w:p>
              </w:tc>
              <w:tc>
                <w:tcPr>
                  <w:tcW w:w="2167" w:type="dxa"/>
                  <w:tcBorders>
                    <w:top w:val="nil"/>
                    <w:left w:val="nil"/>
                    <w:bottom w:val="single" w:color="auto" w:sz="4" w:space="0"/>
                    <w:right w:val="single" w:color="auto" w:sz="4" w:space="0"/>
                  </w:tcBorders>
                  <w:noWrap/>
                  <w:vAlign w:val="center"/>
                </w:tcPr>
                <w:p w14:paraId="1DF12360">
                  <w:pPr>
                    <w:widowControl/>
                    <w:jc w:val="center"/>
                    <w:rPr>
                      <w:rFonts w:hint="eastAsia" w:ascii="宋体" w:hAnsi="宋体" w:eastAsia="宋体" w:cs="宋体"/>
                      <w:b/>
                      <w:bCs/>
                      <w:kern w:val="0"/>
                      <w:sz w:val="21"/>
                      <w:szCs w:val="21"/>
                    </w:rPr>
                  </w:pPr>
                  <w:r>
                    <w:rPr>
                      <w:rFonts w:hint="eastAsia" w:ascii="宋体" w:hAnsi="宋体" w:eastAsia="宋体" w:cs="宋体"/>
                      <w:b/>
                      <w:bCs/>
                      <w:kern w:val="0"/>
                      <w:sz w:val="21"/>
                      <w:szCs w:val="21"/>
                    </w:rPr>
                    <w:t>被评价主体</w:t>
                  </w:r>
                </w:p>
              </w:tc>
              <w:tc>
                <w:tcPr>
                  <w:tcW w:w="1741" w:type="dxa"/>
                  <w:tcBorders>
                    <w:top w:val="nil"/>
                    <w:left w:val="nil"/>
                    <w:bottom w:val="single" w:color="auto" w:sz="4" w:space="0"/>
                    <w:right w:val="single" w:color="auto" w:sz="4" w:space="0"/>
                  </w:tcBorders>
                  <w:noWrap/>
                  <w:vAlign w:val="center"/>
                </w:tcPr>
                <w:p w14:paraId="20A9748E">
                  <w:pPr>
                    <w:widowControl/>
                    <w:jc w:val="center"/>
                    <w:rPr>
                      <w:rFonts w:hint="eastAsia" w:ascii="宋体" w:hAnsi="宋体" w:eastAsia="宋体" w:cs="宋体"/>
                      <w:b/>
                      <w:bCs/>
                      <w:kern w:val="0"/>
                      <w:sz w:val="21"/>
                      <w:szCs w:val="21"/>
                    </w:rPr>
                  </w:pPr>
                  <w:r>
                    <w:rPr>
                      <w:rFonts w:hint="eastAsia" w:ascii="宋体" w:hAnsi="宋体" w:eastAsia="宋体" w:cs="宋体"/>
                      <w:b/>
                      <w:bCs/>
                      <w:kern w:val="0"/>
                      <w:sz w:val="21"/>
                      <w:szCs w:val="21"/>
                    </w:rPr>
                    <w:t>评价环节</w:t>
                  </w:r>
                </w:p>
              </w:tc>
              <w:tc>
                <w:tcPr>
                  <w:tcW w:w="2171" w:type="dxa"/>
                  <w:tcBorders>
                    <w:top w:val="nil"/>
                    <w:left w:val="nil"/>
                    <w:bottom w:val="single" w:color="auto" w:sz="4" w:space="0"/>
                    <w:right w:val="single" w:color="auto" w:sz="4" w:space="0"/>
                  </w:tcBorders>
                  <w:noWrap/>
                  <w:vAlign w:val="center"/>
                </w:tcPr>
                <w:p w14:paraId="1CEAFF73">
                  <w:pPr>
                    <w:widowControl/>
                    <w:jc w:val="center"/>
                    <w:rPr>
                      <w:rFonts w:hint="eastAsia" w:ascii="宋体" w:hAnsi="宋体" w:eastAsia="宋体" w:cs="宋体"/>
                      <w:b/>
                      <w:bCs/>
                      <w:kern w:val="0"/>
                      <w:sz w:val="21"/>
                      <w:szCs w:val="21"/>
                    </w:rPr>
                  </w:pPr>
                  <w:r>
                    <w:rPr>
                      <w:rFonts w:hint="eastAsia" w:ascii="宋体" w:hAnsi="宋体" w:eastAsia="宋体" w:cs="宋体"/>
                      <w:b/>
                      <w:bCs/>
                      <w:kern w:val="0"/>
                      <w:sz w:val="21"/>
                      <w:szCs w:val="21"/>
                    </w:rPr>
                    <w:t>评价节点</w:t>
                  </w:r>
                </w:p>
              </w:tc>
            </w:tr>
            <w:tr w14:paraId="7366EE7D">
              <w:tblPrEx>
                <w:tblCellMar>
                  <w:top w:w="0" w:type="dxa"/>
                  <w:left w:w="108" w:type="dxa"/>
                  <w:bottom w:w="0" w:type="dxa"/>
                  <w:right w:w="108" w:type="dxa"/>
                </w:tblCellMar>
              </w:tblPrEx>
              <w:trPr>
                <w:trHeight w:val="567" w:hRule="atLeast"/>
              </w:trPr>
              <w:tc>
                <w:tcPr>
                  <w:tcW w:w="1741" w:type="dxa"/>
                  <w:vMerge w:val="restart"/>
                  <w:tcBorders>
                    <w:top w:val="nil"/>
                    <w:left w:val="single" w:color="auto" w:sz="4" w:space="0"/>
                    <w:bottom w:val="single" w:color="auto" w:sz="4" w:space="0"/>
                    <w:right w:val="single" w:color="auto" w:sz="4" w:space="0"/>
                  </w:tcBorders>
                  <w:noWrap/>
                  <w:vAlign w:val="center"/>
                </w:tcPr>
                <w:p w14:paraId="17A54785">
                  <w:pPr>
                    <w:widowControl/>
                    <w:jc w:val="center"/>
                    <w:rPr>
                      <w:rFonts w:hint="eastAsia" w:ascii="宋体" w:hAnsi="宋体" w:eastAsia="宋体" w:cs="宋体"/>
                      <w:kern w:val="0"/>
                      <w:sz w:val="21"/>
                      <w:szCs w:val="21"/>
                    </w:rPr>
                  </w:pPr>
                  <w:r>
                    <w:rPr>
                      <w:rFonts w:hint="eastAsia" w:ascii="宋体" w:hAnsi="宋体" w:eastAsia="宋体" w:cs="宋体"/>
                      <w:kern w:val="0"/>
                      <w:sz w:val="21"/>
                      <w:szCs w:val="21"/>
                    </w:rPr>
                    <w:t>采购人</w:t>
                  </w:r>
                </w:p>
              </w:tc>
              <w:tc>
                <w:tcPr>
                  <w:tcW w:w="2167" w:type="dxa"/>
                  <w:tcBorders>
                    <w:top w:val="nil"/>
                    <w:left w:val="nil"/>
                    <w:bottom w:val="single" w:color="auto" w:sz="4" w:space="0"/>
                    <w:right w:val="single" w:color="auto" w:sz="4" w:space="0"/>
                  </w:tcBorders>
                  <w:noWrap/>
                  <w:vAlign w:val="center"/>
                </w:tcPr>
                <w:p w14:paraId="4016D3A8">
                  <w:pPr>
                    <w:widowControl/>
                    <w:jc w:val="center"/>
                    <w:rPr>
                      <w:rFonts w:hint="eastAsia" w:ascii="宋体" w:hAnsi="宋体" w:eastAsia="宋体" w:cs="宋体"/>
                      <w:kern w:val="0"/>
                      <w:sz w:val="21"/>
                      <w:szCs w:val="21"/>
                    </w:rPr>
                  </w:pPr>
                  <w:r>
                    <w:rPr>
                      <w:rFonts w:hint="eastAsia" w:ascii="宋体" w:hAnsi="宋体" w:eastAsia="宋体" w:cs="宋体"/>
                      <w:kern w:val="0"/>
                      <w:sz w:val="21"/>
                      <w:szCs w:val="21"/>
                    </w:rPr>
                    <w:t>供应商</w:t>
                  </w:r>
                </w:p>
              </w:tc>
              <w:tc>
                <w:tcPr>
                  <w:tcW w:w="1741" w:type="dxa"/>
                  <w:tcBorders>
                    <w:top w:val="nil"/>
                    <w:left w:val="nil"/>
                    <w:bottom w:val="single" w:color="auto" w:sz="4" w:space="0"/>
                    <w:right w:val="single" w:color="auto" w:sz="4" w:space="0"/>
                  </w:tcBorders>
                  <w:noWrap/>
                  <w:vAlign w:val="center"/>
                </w:tcPr>
                <w:p w14:paraId="14052B51">
                  <w:pPr>
                    <w:widowControl/>
                    <w:jc w:val="center"/>
                    <w:rPr>
                      <w:rFonts w:hint="eastAsia" w:ascii="宋体" w:hAnsi="宋体" w:eastAsia="宋体" w:cs="宋体"/>
                      <w:kern w:val="0"/>
                      <w:sz w:val="21"/>
                      <w:szCs w:val="21"/>
                    </w:rPr>
                  </w:pPr>
                  <w:r>
                    <w:rPr>
                      <w:rFonts w:hint="eastAsia" w:ascii="宋体" w:hAnsi="宋体" w:eastAsia="宋体" w:cs="宋体"/>
                      <w:kern w:val="0"/>
                      <w:sz w:val="21"/>
                      <w:szCs w:val="21"/>
                    </w:rPr>
                    <w:t>履约验收</w:t>
                  </w:r>
                </w:p>
              </w:tc>
              <w:tc>
                <w:tcPr>
                  <w:tcW w:w="2171" w:type="dxa"/>
                  <w:tcBorders>
                    <w:top w:val="nil"/>
                    <w:left w:val="nil"/>
                    <w:bottom w:val="single" w:color="auto" w:sz="4" w:space="0"/>
                    <w:right w:val="single" w:color="auto" w:sz="4" w:space="0"/>
                  </w:tcBorders>
                  <w:noWrap/>
                  <w:vAlign w:val="center"/>
                </w:tcPr>
                <w:p w14:paraId="69586D22">
                  <w:pPr>
                    <w:widowControl/>
                    <w:jc w:val="center"/>
                    <w:rPr>
                      <w:rFonts w:hint="eastAsia" w:ascii="宋体" w:hAnsi="宋体" w:eastAsia="宋体" w:cs="宋体"/>
                      <w:kern w:val="0"/>
                      <w:sz w:val="21"/>
                      <w:szCs w:val="21"/>
                    </w:rPr>
                  </w:pPr>
                  <w:r>
                    <w:rPr>
                      <w:rFonts w:hint="eastAsia" w:ascii="宋体" w:hAnsi="宋体" w:eastAsia="宋体" w:cs="宋体"/>
                      <w:kern w:val="0"/>
                      <w:sz w:val="21"/>
                      <w:szCs w:val="21"/>
                    </w:rPr>
                    <w:t>5个工作日内</w:t>
                  </w:r>
                </w:p>
              </w:tc>
            </w:tr>
            <w:tr w14:paraId="7DF1B315">
              <w:tblPrEx>
                <w:tblCellMar>
                  <w:top w:w="0" w:type="dxa"/>
                  <w:left w:w="108" w:type="dxa"/>
                  <w:bottom w:w="0" w:type="dxa"/>
                  <w:right w:w="108" w:type="dxa"/>
                </w:tblCellMar>
              </w:tblPrEx>
              <w:trPr>
                <w:trHeight w:val="567" w:hRule="atLeast"/>
              </w:trPr>
              <w:tc>
                <w:tcPr>
                  <w:tcW w:w="1741" w:type="dxa"/>
                  <w:vMerge w:val="continue"/>
                  <w:tcBorders>
                    <w:top w:val="nil"/>
                    <w:left w:val="single" w:color="auto" w:sz="4" w:space="0"/>
                    <w:bottom w:val="single" w:color="auto" w:sz="4" w:space="0"/>
                    <w:right w:val="single" w:color="auto" w:sz="4" w:space="0"/>
                  </w:tcBorders>
                  <w:vAlign w:val="center"/>
                </w:tcPr>
                <w:p w14:paraId="7F1A81A9">
                  <w:pPr>
                    <w:widowControl/>
                    <w:jc w:val="left"/>
                    <w:rPr>
                      <w:rFonts w:hint="eastAsia" w:ascii="宋体" w:hAnsi="宋体" w:eastAsia="宋体" w:cs="宋体"/>
                      <w:kern w:val="0"/>
                      <w:sz w:val="21"/>
                      <w:szCs w:val="21"/>
                    </w:rPr>
                  </w:pPr>
                </w:p>
              </w:tc>
              <w:tc>
                <w:tcPr>
                  <w:tcW w:w="2167" w:type="dxa"/>
                  <w:tcBorders>
                    <w:top w:val="nil"/>
                    <w:left w:val="nil"/>
                    <w:bottom w:val="single" w:color="auto" w:sz="4" w:space="0"/>
                    <w:right w:val="single" w:color="auto" w:sz="4" w:space="0"/>
                  </w:tcBorders>
                  <w:noWrap/>
                  <w:vAlign w:val="center"/>
                </w:tcPr>
                <w:p w14:paraId="262C28B6">
                  <w:pPr>
                    <w:widowControl/>
                    <w:jc w:val="center"/>
                    <w:rPr>
                      <w:rFonts w:hint="eastAsia" w:ascii="宋体" w:hAnsi="宋体" w:eastAsia="宋体" w:cs="宋体"/>
                      <w:kern w:val="0"/>
                      <w:sz w:val="21"/>
                      <w:szCs w:val="21"/>
                    </w:rPr>
                  </w:pPr>
                  <w:r>
                    <w:rPr>
                      <w:rFonts w:hint="eastAsia" w:ascii="宋体" w:hAnsi="宋体" w:eastAsia="宋体" w:cs="宋体"/>
                      <w:kern w:val="0"/>
                      <w:sz w:val="21"/>
                      <w:szCs w:val="21"/>
                    </w:rPr>
                    <w:t>评审专家</w:t>
                  </w:r>
                </w:p>
              </w:tc>
              <w:tc>
                <w:tcPr>
                  <w:tcW w:w="1741" w:type="dxa"/>
                  <w:tcBorders>
                    <w:top w:val="nil"/>
                    <w:left w:val="nil"/>
                    <w:bottom w:val="single" w:color="auto" w:sz="4" w:space="0"/>
                    <w:right w:val="single" w:color="auto" w:sz="4" w:space="0"/>
                  </w:tcBorders>
                  <w:noWrap/>
                  <w:vAlign w:val="center"/>
                </w:tcPr>
                <w:p w14:paraId="1A0C2DFF">
                  <w:pPr>
                    <w:widowControl/>
                    <w:jc w:val="center"/>
                    <w:rPr>
                      <w:rFonts w:hint="eastAsia" w:ascii="宋体" w:hAnsi="宋体" w:eastAsia="宋体" w:cs="宋体"/>
                      <w:kern w:val="0"/>
                      <w:sz w:val="21"/>
                      <w:szCs w:val="21"/>
                    </w:rPr>
                  </w:pPr>
                  <w:r>
                    <w:rPr>
                      <w:rFonts w:hint="eastAsia" w:ascii="宋体" w:hAnsi="宋体" w:eastAsia="宋体" w:cs="宋体"/>
                      <w:kern w:val="0"/>
                      <w:sz w:val="21"/>
                      <w:szCs w:val="21"/>
                    </w:rPr>
                    <w:t>评标结束</w:t>
                  </w:r>
                </w:p>
              </w:tc>
              <w:tc>
                <w:tcPr>
                  <w:tcW w:w="2171" w:type="dxa"/>
                  <w:tcBorders>
                    <w:top w:val="nil"/>
                    <w:left w:val="nil"/>
                    <w:bottom w:val="single" w:color="auto" w:sz="4" w:space="0"/>
                    <w:right w:val="single" w:color="auto" w:sz="4" w:space="0"/>
                  </w:tcBorders>
                  <w:noWrap/>
                  <w:vAlign w:val="center"/>
                </w:tcPr>
                <w:p w14:paraId="1EC80B76">
                  <w:pPr>
                    <w:widowControl/>
                    <w:jc w:val="center"/>
                    <w:rPr>
                      <w:rFonts w:hint="eastAsia" w:ascii="宋体" w:hAnsi="宋体" w:eastAsia="宋体" w:cs="宋体"/>
                      <w:kern w:val="0"/>
                      <w:sz w:val="21"/>
                      <w:szCs w:val="21"/>
                    </w:rPr>
                  </w:pPr>
                  <w:r>
                    <w:rPr>
                      <w:rFonts w:hint="eastAsia" w:ascii="宋体" w:hAnsi="宋体" w:eastAsia="宋体" w:cs="宋体"/>
                      <w:kern w:val="0"/>
                      <w:sz w:val="21"/>
                      <w:szCs w:val="21"/>
                    </w:rPr>
                    <w:t>5个工作日内</w:t>
                  </w:r>
                </w:p>
              </w:tc>
            </w:tr>
            <w:tr w14:paraId="4F7A81BF">
              <w:tblPrEx>
                <w:tblCellMar>
                  <w:top w:w="0" w:type="dxa"/>
                  <w:left w:w="108" w:type="dxa"/>
                  <w:bottom w:w="0" w:type="dxa"/>
                  <w:right w:w="108" w:type="dxa"/>
                </w:tblCellMar>
              </w:tblPrEx>
              <w:trPr>
                <w:trHeight w:val="567" w:hRule="atLeast"/>
              </w:trPr>
              <w:tc>
                <w:tcPr>
                  <w:tcW w:w="1741" w:type="dxa"/>
                  <w:vMerge w:val="continue"/>
                  <w:tcBorders>
                    <w:top w:val="nil"/>
                    <w:left w:val="single" w:color="auto" w:sz="4" w:space="0"/>
                    <w:bottom w:val="single" w:color="auto" w:sz="4" w:space="0"/>
                    <w:right w:val="single" w:color="auto" w:sz="4" w:space="0"/>
                  </w:tcBorders>
                  <w:vAlign w:val="center"/>
                </w:tcPr>
                <w:p w14:paraId="2322D269">
                  <w:pPr>
                    <w:widowControl/>
                    <w:jc w:val="left"/>
                    <w:rPr>
                      <w:rFonts w:hint="eastAsia" w:ascii="宋体" w:hAnsi="宋体" w:eastAsia="宋体" w:cs="宋体"/>
                      <w:kern w:val="0"/>
                      <w:sz w:val="21"/>
                      <w:szCs w:val="21"/>
                    </w:rPr>
                  </w:pPr>
                </w:p>
              </w:tc>
              <w:tc>
                <w:tcPr>
                  <w:tcW w:w="2167" w:type="dxa"/>
                  <w:tcBorders>
                    <w:top w:val="nil"/>
                    <w:left w:val="nil"/>
                    <w:bottom w:val="single" w:color="auto" w:sz="4" w:space="0"/>
                    <w:right w:val="single" w:color="auto" w:sz="4" w:space="0"/>
                  </w:tcBorders>
                  <w:noWrap/>
                  <w:vAlign w:val="center"/>
                </w:tcPr>
                <w:p w14:paraId="6FE56600">
                  <w:pPr>
                    <w:widowControl/>
                    <w:jc w:val="center"/>
                    <w:rPr>
                      <w:rFonts w:hint="eastAsia" w:ascii="宋体" w:hAnsi="宋体" w:eastAsia="宋体" w:cs="宋体"/>
                      <w:kern w:val="0"/>
                      <w:sz w:val="21"/>
                      <w:szCs w:val="21"/>
                    </w:rPr>
                  </w:pPr>
                  <w:r>
                    <w:rPr>
                      <w:rFonts w:hint="eastAsia" w:ascii="宋体" w:hAnsi="宋体" w:eastAsia="宋体" w:cs="宋体"/>
                      <w:kern w:val="0"/>
                      <w:sz w:val="21"/>
                      <w:szCs w:val="21"/>
                    </w:rPr>
                    <w:t>代理机构</w:t>
                  </w:r>
                </w:p>
              </w:tc>
              <w:tc>
                <w:tcPr>
                  <w:tcW w:w="1741" w:type="dxa"/>
                  <w:tcBorders>
                    <w:top w:val="nil"/>
                    <w:left w:val="nil"/>
                    <w:bottom w:val="single" w:color="auto" w:sz="4" w:space="0"/>
                    <w:right w:val="single" w:color="auto" w:sz="4" w:space="0"/>
                  </w:tcBorders>
                  <w:noWrap/>
                  <w:vAlign w:val="center"/>
                </w:tcPr>
                <w:p w14:paraId="285B98E3">
                  <w:pPr>
                    <w:widowControl/>
                    <w:jc w:val="center"/>
                    <w:rPr>
                      <w:rFonts w:hint="eastAsia" w:ascii="宋体" w:hAnsi="宋体" w:eastAsia="宋体" w:cs="宋体"/>
                      <w:kern w:val="0"/>
                      <w:sz w:val="21"/>
                      <w:szCs w:val="21"/>
                    </w:rPr>
                  </w:pPr>
                  <w:r>
                    <w:rPr>
                      <w:rFonts w:hint="eastAsia" w:ascii="宋体" w:hAnsi="宋体" w:eastAsia="宋体" w:cs="宋体"/>
                      <w:kern w:val="0"/>
                      <w:sz w:val="21"/>
                      <w:szCs w:val="21"/>
                    </w:rPr>
                    <w:t>评标结束</w:t>
                  </w:r>
                </w:p>
              </w:tc>
              <w:tc>
                <w:tcPr>
                  <w:tcW w:w="2171" w:type="dxa"/>
                  <w:tcBorders>
                    <w:top w:val="nil"/>
                    <w:left w:val="nil"/>
                    <w:bottom w:val="single" w:color="auto" w:sz="4" w:space="0"/>
                    <w:right w:val="single" w:color="auto" w:sz="4" w:space="0"/>
                  </w:tcBorders>
                  <w:noWrap/>
                  <w:vAlign w:val="center"/>
                </w:tcPr>
                <w:p w14:paraId="39906409">
                  <w:pPr>
                    <w:widowControl/>
                    <w:jc w:val="center"/>
                    <w:rPr>
                      <w:rFonts w:hint="eastAsia" w:ascii="宋体" w:hAnsi="宋体" w:eastAsia="宋体" w:cs="宋体"/>
                      <w:kern w:val="0"/>
                      <w:sz w:val="21"/>
                      <w:szCs w:val="21"/>
                    </w:rPr>
                  </w:pPr>
                  <w:r>
                    <w:rPr>
                      <w:rFonts w:hint="eastAsia" w:ascii="宋体" w:hAnsi="宋体" w:eastAsia="宋体" w:cs="宋体"/>
                      <w:kern w:val="0"/>
                      <w:sz w:val="21"/>
                      <w:szCs w:val="21"/>
                    </w:rPr>
                    <w:t>5个工作日内</w:t>
                  </w:r>
                </w:p>
              </w:tc>
            </w:tr>
            <w:tr w14:paraId="1BE747AE">
              <w:tblPrEx>
                <w:tblCellMar>
                  <w:top w:w="0" w:type="dxa"/>
                  <w:left w:w="108" w:type="dxa"/>
                  <w:bottom w:w="0" w:type="dxa"/>
                  <w:right w:w="108" w:type="dxa"/>
                </w:tblCellMar>
              </w:tblPrEx>
              <w:trPr>
                <w:trHeight w:val="567" w:hRule="atLeast"/>
              </w:trPr>
              <w:tc>
                <w:tcPr>
                  <w:tcW w:w="1741" w:type="dxa"/>
                  <w:vMerge w:val="restart"/>
                  <w:tcBorders>
                    <w:top w:val="nil"/>
                    <w:left w:val="single" w:color="auto" w:sz="4" w:space="0"/>
                    <w:bottom w:val="single" w:color="auto" w:sz="4" w:space="0"/>
                    <w:right w:val="single" w:color="auto" w:sz="4" w:space="0"/>
                  </w:tcBorders>
                  <w:noWrap/>
                  <w:vAlign w:val="center"/>
                </w:tcPr>
                <w:p w14:paraId="67F5BBD1">
                  <w:pPr>
                    <w:widowControl/>
                    <w:jc w:val="center"/>
                    <w:rPr>
                      <w:rFonts w:hint="eastAsia" w:ascii="宋体" w:hAnsi="宋体" w:eastAsia="宋体" w:cs="宋体"/>
                      <w:kern w:val="0"/>
                      <w:sz w:val="21"/>
                      <w:szCs w:val="21"/>
                    </w:rPr>
                  </w:pPr>
                  <w:r>
                    <w:rPr>
                      <w:rFonts w:hint="eastAsia" w:ascii="宋体" w:hAnsi="宋体" w:eastAsia="宋体" w:cs="宋体"/>
                      <w:kern w:val="0"/>
                      <w:sz w:val="21"/>
                      <w:szCs w:val="21"/>
                    </w:rPr>
                    <w:t>供应商</w:t>
                  </w:r>
                </w:p>
              </w:tc>
              <w:tc>
                <w:tcPr>
                  <w:tcW w:w="2167" w:type="dxa"/>
                  <w:tcBorders>
                    <w:top w:val="nil"/>
                    <w:left w:val="nil"/>
                    <w:bottom w:val="single" w:color="auto" w:sz="4" w:space="0"/>
                    <w:right w:val="single" w:color="auto" w:sz="4" w:space="0"/>
                  </w:tcBorders>
                  <w:noWrap/>
                  <w:vAlign w:val="center"/>
                </w:tcPr>
                <w:p w14:paraId="0E76DE64">
                  <w:pPr>
                    <w:widowControl/>
                    <w:jc w:val="center"/>
                    <w:rPr>
                      <w:rFonts w:hint="eastAsia" w:ascii="宋体" w:hAnsi="宋体" w:eastAsia="宋体" w:cs="宋体"/>
                      <w:kern w:val="0"/>
                      <w:sz w:val="21"/>
                      <w:szCs w:val="21"/>
                    </w:rPr>
                  </w:pPr>
                  <w:r>
                    <w:rPr>
                      <w:rFonts w:hint="eastAsia" w:ascii="宋体" w:hAnsi="宋体" w:eastAsia="宋体" w:cs="宋体"/>
                      <w:kern w:val="0"/>
                      <w:sz w:val="21"/>
                      <w:szCs w:val="21"/>
                    </w:rPr>
                    <w:t>采购人</w:t>
                  </w:r>
                </w:p>
              </w:tc>
              <w:tc>
                <w:tcPr>
                  <w:tcW w:w="1741" w:type="dxa"/>
                  <w:tcBorders>
                    <w:top w:val="nil"/>
                    <w:left w:val="nil"/>
                    <w:bottom w:val="single" w:color="auto" w:sz="4" w:space="0"/>
                    <w:right w:val="single" w:color="auto" w:sz="4" w:space="0"/>
                  </w:tcBorders>
                  <w:noWrap/>
                  <w:vAlign w:val="center"/>
                </w:tcPr>
                <w:p w14:paraId="6EC4E641">
                  <w:pPr>
                    <w:widowControl/>
                    <w:jc w:val="center"/>
                    <w:rPr>
                      <w:rFonts w:hint="eastAsia" w:ascii="宋体" w:hAnsi="宋体" w:eastAsia="宋体" w:cs="宋体"/>
                      <w:kern w:val="0"/>
                      <w:sz w:val="21"/>
                      <w:szCs w:val="21"/>
                    </w:rPr>
                  </w:pPr>
                  <w:r>
                    <w:rPr>
                      <w:rFonts w:hint="eastAsia" w:ascii="宋体" w:hAnsi="宋体" w:eastAsia="宋体" w:cs="宋体"/>
                      <w:kern w:val="0"/>
                      <w:sz w:val="21"/>
                      <w:szCs w:val="21"/>
                    </w:rPr>
                    <w:t>履约验收</w:t>
                  </w:r>
                </w:p>
              </w:tc>
              <w:tc>
                <w:tcPr>
                  <w:tcW w:w="2171" w:type="dxa"/>
                  <w:tcBorders>
                    <w:top w:val="nil"/>
                    <w:left w:val="nil"/>
                    <w:bottom w:val="single" w:color="auto" w:sz="4" w:space="0"/>
                    <w:right w:val="single" w:color="auto" w:sz="4" w:space="0"/>
                  </w:tcBorders>
                  <w:noWrap/>
                  <w:vAlign w:val="center"/>
                </w:tcPr>
                <w:p w14:paraId="26D5F7AE">
                  <w:pPr>
                    <w:widowControl/>
                    <w:jc w:val="center"/>
                    <w:rPr>
                      <w:rFonts w:hint="eastAsia" w:ascii="宋体" w:hAnsi="宋体" w:eastAsia="宋体" w:cs="宋体"/>
                      <w:kern w:val="0"/>
                      <w:sz w:val="21"/>
                      <w:szCs w:val="21"/>
                    </w:rPr>
                  </w:pPr>
                  <w:r>
                    <w:rPr>
                      <w:rFonts w:hint="eastAsia" w:ascii="宋体" w:hAnsi="宋体" w:eastAsia="宋体" w:cs="宋体"/>
                      <w:kern w:val="0"/>
                      <w:sz w:val="21"/>
                      <w:szCs w:val="21"/>
                    </w:rPr>
                    <w:t>5个工作日内</w:t>
                  </w:r>
                </w:p>
              </w:tc>
            </w:tr>
            <w:tr w14:paraId="01BB185B">
              <w:tblPrEx>
                <w:tblCellMar>
                  <w:top w:w="0" w:type="dxa"/>
                  <w:left w:w="108" w:type="dxa"/>
                  <w:bottom w:w="0" w:type="dxa"/>
                  <w:right w:w="108" w:type="dxa"/>
                </w:tblCellMar>
              </w:tblPrEx>
              <w:trPr>
                <w:trHeight w:val="567" w:hRule="atLeast"/>
              </w:trPr>
              <w:tc>
                <w:tcPr>
                  <w:tcW w:w="1741" w:type="dxa"/>
                  <w:vMerge w:val="continue"/>
                  <w:tcBorders>
                    <w:top w:val="nil"/>
                    <w:left w:val="single" w:color="auto" w:sz="4" w:space="0"/>
                    <w:bottom w:val="single" w:color="auto" w:sz="4" w:space="0"/>
                    <w:right w:val="single" w:color="auto" w:sz="4" w:space="0"/>
                  </w:tcBorders>
                  <w:vAlign w:val="center"/>
                </w:tcPr>
                <w:p w14:paraId="3D173510">
                  <w:pPr>
                    <w:widowControl/>
                    <w:jc w:val="left"/>
                    <w:rPr>
                      <w:rFonts w:hint="eastAsia" w:ascii="宋体" w:hAnsi="宋体" w:eastAsia="宋体" w:cs="宋体"/>
                      <w:kern w:val="0"/>
                      <w:sz w:val="21"/>
                      <w:szCs w:val="21"/>
                    </w:rPr>
                  </w:pPr>
                </w:p>
              </w:tc>
              <w:tc>
                <w:tcPr>
                  <w:tcW w:w="2167" w:type="dxa"/>
                  <w:tcBorders>
                    <w:top w:val="nil"/>
                    <w:left w:val="nil"/>
                    <w:bottom w:val="single" w:color="auto" w:sz="4" w:space="0"/>
                    <w:right w:val="single" w:color="auto" w:sz="4" w:space="0"/>
                  </w:tcBorders>
                  <w:noWrap/>
                  <w:vAlign w:val="center"/>
                </w:tcPr>
                <w:p w14:paraId="43EC290D">
                  <w:pPr>
                    <w:widowControl/>
                    <w:jc w:val="center"/>
                    <w:rPr>
                      <w:rFonts w:hint="eastAsia" w:ascii="宋体" w:hAnsi="宋体" w:eastAsia="宋体" w:cs="宋体"/>
                      <w:kern w:val="0"/>
                      <w:sz w:val="21"/>
                      <w:szCs w:val="21"/>
                    </w:rPr>
                  </w:pPr>
                  <w:r>
                    <w:rPr>
                      <w:rFonts w:hint="eastAsia" w:ascii="宋体" w:hAnsi="宋体" w:eastAsia="宋体" w:cs="宋体"/>
                      <w:kern w:val="0"/>
                      <w:sz w:val="21"/>
                      <w:szCs w:val="21"/>
                    </w:rPr>
                    <w:t>代理机构</w:t>
                  </w:r>
                </w:p>
              </w:tc>
              <w:tc>
                <w:tcPr>
                  <w:tcW w:w="1741" w:type="dxa"/>
                  <w:tcBorders>
                    <w:top w:val="nil"/>
                    <w:left w:val="nil"/>
                    <w:bottom w:val="single" w:color="auto" w:sz="4" w:space="0"/>
                    <w:right w:val="single" w:color="auto" w:sz="4" w:space="0"/>
                  </w:tcBorders>
                  <w:noWrap/>
                  <w:vAlign w:val="center"/>
                </w:tcPr>
                <w:p w14:paraId="28738D67">
                  <w:pPr>
                    <w:widowControl/>
                    <w:jc w:val="center"/>
                    <w:rPr>
                      <w:rFonts w:hint="eastAsia" w:ascii="宋体" w:hAnsi="宋体" w:eastAsia="宋体" w:cs="宋体"/>
                      <w:kern w:val="0"/>
                      <w:sz w:val="21"/>
                      <w:szCs w:val="21"/>
                    </w:rPr>
                  </w:pPr>
                  <w:r>
                    <w:rPr>
                      <w:rFonts w:hint="eastAsia" w:ascii="宋体" w:hAnsi="宋体" w:eastAsia="宋体" w:cs="宋体"/>
                      <w:kern w:val="0"/>
                      <w:sz w:val="21"/>
                      <w:szCs w:val="21"/>
                    </w:rPr>
                    <w:t>履约验收</w:t>
                  </w:r>
                </w:p>
              </w:tc>
              <w:tc>
                <w:tcPr>
                  <w:tcW w:w="2171" w:type="dxa"/>
                  <w:tcBorders>
                    <w:top w:val="nil"/>
                    <w:left w:val="nil"/>
                    <w:bottom w:val="single" w:color="auto" w:sz="4" w:space="0"/>
                    <w:right w:val="single" w:color="auto" w:sz="4" w:space="0"/>
                  </w:tcBorders>
                  <w:noWrap/>
                  <w:vAlign w:val="center"/>
                </w:tcPr>
                <w:p w14:paraId="00D7B6EB">
                  <w:pPr>
                    <w:widowControl/>
                    <w:jc w:val="center"/>
                    <w:rPr>
                      <w:rFonts w:hint="eastAsia" w:ascii="宋体" w:hAnsi="宋体" w:eastAsia="宋体" w:cs="宋体"/>
                      <w:kern w:val="0"/>
                      <w:sz w:val="21"/>
                      <w:szCs w:val="21"/>
                    </w:rPr>
                  </w:pPr>
                  <w:r>
                    <w:rPr>
                      <w:rFonts w:hint="eastAsia" w:ascii="宋体" w:hAnsi="宋体" w:eastAsia="宋体" w:cs="宋体"/>
                      <w:kern w:val="0"/>
                      <w:sz w:val="21"/>
                      <w:szCs w:val="21"/>
                    </w:rPr>
                    <w:t>5个工作日内</w:t>
                  </w:r>
                </w:p>
              </w:tc>
            </w:tr>
            <w:tr w14:paraId="1EF16D44">
              <w:tblPrEx>
                <w:tblCellMar>
                  <w:top w:w="0" w:type="dxa"/>
                  <w:left w:w="108" w:type="dxa"/>
                  <w:bottom w:w="0" w:type="dxa"/>
                  <w:right w:w="108" w:type="dxa"/>
                </w:tblCellMar>
              </w:tblPrEx>
              <w:trPr>
                <w:trHeight w:val="567" w:hRule="atLeast"/>
              </w:trPr>
              <w:tc>
                <w:tcPr>
                  <w:tcW w:w="1741" w:type="dxa"/>
                  <w:tcBorders>
                    <w:top w:val="nil"/>
                    <w:left w:val="single" w:color="auto" w:sz="4" w:space="0"/>
                    <w:bottom w:val="single" w:color="auto" w:sz="4" w:space="0"/>
                    <w:right w:val="single" w:color="auto" w:sz="4" w:space="0"/>
                  </w:tcBorders>
                  <w:noWrap/>
                  <w:vAlign w:val="center"/>
                </w:tcPr>
                <w:p w14:paraId="590C4765">
                  <w:pPr>
                    <w:widowControl/>
                    <w:jc w:val="center"/>
                    <w:rPr>
                      <w:rFonts w:hint="eastAsia" w:ascii="宋体" w:hAnsi="宋体" w:eastAsia="宋体" w:cs="宋体"/>
                      <w:kern w:val="0"/>
                      <w:sz w:val="21"/>
                      <w:szCs w:val="21"/>
                    </w:rPr>
                  </w:pPr>
                  <w:r>
                    <w:rPr>
                      <w:rFonts w:hint="eastAsia" w:ascii="宋体" w:hAnsi="宋体" w:eastAsia="宋体" w:cs="宋体"/>
                      <w:kern w:val="0"/>
                      <w:sz w:val="21"/>
                      <w:szCs w:val="21"/>
                    </w:rPr>
                    <w:t>代理机构</w:t>
                  </w:r>
                </w:p>
              </w:tc>
              <w:tc>
                <w:tcPr>
                  <w:tcW w:w="2167" w:type="dxa"/>
                  <w:tcBorders>
                    <w:top w:val="nil"/>
                    <w:left w:val="nil"/>
                    <w:bottom w:val="single" w:color="auto" w:sz="4" w:space="0"/>
                    <w:right w:val="single" w:color="auto" w:sz="4" w:space="0"/>
                  </w:tcBorders>
                  <w:noWrap/>
                  <w:vAlign w:val="center"/>
                </w:tcPr>
                <w:p w14:paraId="0C21BDD1">
                  <w:pPr>
                    <w:widowControl/>
                    <w:jc w:val="center"/>
                    <w:rPr>
                      <w:rFonts w:hint="eastAsia" w:ascii="宋体" w:hAnsi="宋体" w:eastAsia="宋体" w:cs="宋体"/>
                      <w:kern w:val="0"/>
                      <w:sz w:val="21"/>
                      <w:szCs w:val="21"/>
                    </w:rPr>
                  </w:pPr>
                  <w:r>
                    <w:rPr>
                      <w:rFonts w:hint="eastAsia" w:ascii="宋体" w:hAnsi="宋体" w:eastAsia="宋体" w:cs="宋体"/>
                      <w:kern w:val="0"/>
                      <w:sz w:val="21"/>
                      <w:szCs w:val="21"/>
                    </w:rPr>
                    <w:t>评审专家</w:t>
                  </w:r>
                </w:p>
              </w:tc>
              <w:tc>
                <w:tcPr>
                  <w:tcW w:w="1741" w:type="dxa"/>
                  <w:tcBorders>
                    <w:top w:val="nil"/>
                    <w:left w:val="nil"/>
                    <w:bottom w:val="single" w:color="auto" w:sz="4" w:space="0"/>
                    <w:right w:val="single" w:color="auto" w:sz="4" w:space="0"/>
                  </w:tcBorders>
                  <w:noWrap/>
                  <w:vAlign w:val="center"/>
                </w:tcPr>
                <w:p w14:paraId="2F5219C5">
                  <w:pPr>
                    <w:widowControl/>
                    <w:jc w:val="center"/>
                    <w:rPr>
                      <w:rFonts w:hint="eastAsia" w:ascii="宋体" w:hAnsi="宋体" w:eastAsia="宋体" w:cs="宋体"/>
                      <w:kern w:val="0"/>
                      <w:sz w:val="21"/>
                      <w:szCs w:val="21"/>
                    </w:rPr>
                  </w:pPr>
                  <w:r>
                    <w:rPr>
                      <w:rFonts w:hint="eastAsia" w:ascii="宋体" w:hAnsi="宋体" w:eastAsia="宋体" w:cs="宋体"/>
                      <w:kern w:val="0"/>
                      <w:sz w:val="21"/>
                      <w:szCs w:val="21"/>
                    </w:rPr>
                    <w:t>评标结束</w:t>
                  </w:r>
                </w:p>
              </w:tc>
              <w:tc>
                <w:tcPr>
                  <w:tcW w:w="2171" w:type="dxa"/>
                  <w:tcBorders>
                    <w:top w:val="nil"/>
                    <w:left w:val="nil"/>
                    <w:bottom w:val="single" w:color="auto" w:sz="4" w:space="0"/>
                    <w:right w:val="single" w:color="auto" w:sz="4" w:space="0"/>
                  </w:tcBorders>
                  <w:noWrap/>
                  <w:vAlign w:val="center"/>
                </w:tcPr>
                <w:p w14:paraId="7FEEAA4D">
                  <w:pPr>
                    <w:widowControl/>
                    <w:jc w:val="center"/>
                    <w:rPr>
                      <w:rFonts w:hint="eastAsia" w:ascii="宋体" w:hAnsi="宋体" w:eastAsia="宋体" w:cs="宋体"/>
                      <w:kern w:val="0"/>
                      <w:sz w:val="21"/>
                      <w:szCs w:val="21"/>
                    </w:rPr>
                  </w:pPr>
                  <w:r>
                    <w:rPr>
                      <w:rFonts w:hint="eastAsia" w:ascii="宋体" w:hAnsi="宋体" w:eastAsia="宋体" w:cs="宋体"/>
                      <w:kern w:val="0"/>
                      <w:sz w:val="21"/>
                      <w:szCs w:val="21"/>
                    </w:rPr>
                    <w:t>5个工作日内</w:t>
                  </w:r>
                </w:p>
              </w:tc>
            </w:tr>
            <w:tr w14:paraId="28B74859">
              <w:tblPrEx>
                <w:tblCellMar>
                  <w:top w:w="0" w:type="dxa"/>
                  <w:left w:w="108" w:type="dxa"/>
                  <w:bottom w:w="0" w:type="dxa"/>
                  <w:right w:w="108" w:type="dxa"/>
                </w:tblCellMar>
              </w:tblPrEx>
              <w:trPr>
                <w:trHeight w:val="567" w:hRule="atLeast"/>
              </w:trPr>
              <w:tc>
                <w:tcPr>
                  <w:tcW w:w="1741" w:type="dxa"/>
                  <w:tcBorders>
                    <w:top w:val="nil"/>
                    <w:left w:val="single" w:color="auto" w:sz="4" w:space="0"/>
                    <w:bottom w:val="single" w:color="auto" w:sz="4" w:space="0"/>
                    <w:right w:val="single" w:color="auto" w:sz="4" w:space="0"/>
                  </w:tcBorders>
                  <w:noWrap/>
                  <w:vAlign w:val="center"/>
                </w:tcPr>
                <w:p w14:paraId="25F39815">
                  <w:pPr>
                    <w:widowControl/>
                    <w:jc w:val="center"/>
                    <w:rPr>
                      <w:rFonts w:hint="eastAsia" w:ascii="宋体" w:hAnsi="宋体" w:eastAsia="宋体" w:cs="宋体"/>
                      <w:kern w:val="0"/>
                      <w:sz w:val="21"/>
                      <w:szCs w:val="21"/>
                    </w:rPr>
                  </w:pPr>
                  <w:r>
                    <w:rPr>
                      <w:rFonts w:hint="eastAsia" w:ascii="宋体" w:hAnsi="宋体" w:eastAsia="宋体" w:cs="宋体"/>
                      <w:kern w:val="0"/>
                      <w:sz w:val="21"/>
                      <w:szCs w:val="21"/>
                    </w:rPr>
                    <w:t>评审专家</w:t>
                  </w:r>
                </w:p>
              </w:tc>
              <w:tc>
                <w:tcPr>
                  <w:tcW w:w="2167" w:type="dxa"/>
                  <w:tcBorders>
                    <w:top w:val="nil"/>
                    <w:left w:val="nil"/>
                    <w:bottom w:val="single" w:color="auto" w:sz="4" w:space="0"/>
                    <w:right w:val="single" w:color="auto" w:sz="4" w:space="0"/>
                  </w:tcBorders>
                  <w:noWrap/>
                  <w:vAlign w:val="center"/>
                </w:tcPr>
                <w:p w14:paraId="02FB92C6">
                  <w:pPr>
                    <w:widowControl/>
                    <w:jc w:val="center"/>
                    <w:rPr>
                      <w:rFonts w:hint="eastAsia" w:ascii="宋体" w:hAnsi="宋体" w:eastAsia="宋体" w:cs="宋体"/>
                      <w:kern w:val="0"/>
                      <w:sz w:val="21"/>
                      <w:szCs w:val="21"/>
                    </w:rPr>
                  </w:pPr>
                  <w:r>
                    <w:rPr>
                      <w:rFonts w:hint="eastAsia" w:ascii="宋体" w:hAnsi="宋体" w:eastAsia="宋体" w:cs="宋体"/>
                      <w:kern w:val="0"/>
                      <w:sz w:val="21"/>
                      <w:szCs w:val="21"/>
                    </w:rPr>
                    <w:t>代理机构</w:t>
                  </w:r>
                </w:p>
              </w:tc>
              <w:tc>
                <w:tcPr>
                  <w:tcW w:w="1741" w:type="dxa"/>
                  <w:tcBorders>
                    <w:top w:val="nil"/>
                    <w:left w:val="nil"/>
                    <w:bottom w:val="single" w:color="auto" w:sz="4" w:space="0"/>
                    <w:right w:val="single" w:color="auto" w:sz="4" w:space="0"/>
                  </w:tcBorders>
                  <w:noWrap/>
                  <w:vAlign w:val="center"/>
                </w:tcPr>
                <w:p w14:paraId="09B39F17">
                  <w:pPr>
                    <w:widowControl/>
                    <w:jc w:val="center"/>
                    <w:rPr>
                      <w:rFonts w:hint="eastAsia" w:ascii="宋体" w:hAnsi="宋体" w:eastAsia="宋体" w:cs="宋体"/>
                      <w:kern w:val="0"/>
                      <w:sz w:val="21"/>
                      <w:szCs w:val="21"/>
                    </w:rPr>
                  </w:pPr>
                  <w:r>
                    <w:rPr>
                      <w:rFonts w:hint="eastAsia" w:ascii="宋体" w:hAnsi="宋体" w:eastAsia="宋体" w:cs="宋体"/>
                      <w:kern w:val="0"/>
                      <w:sz w:val="21"/>
                      <w:szCs w:val="21"/>
                    </w:rPr>
                    <w:t>评标结束</w:t>
                  </w:r>
                </w:p>
              </w:tc>
              <w:tc>
                <w:tcPr>
                  <w:tcW w:w="2171" w:type="dxa"/>
                  <w:tcBorders>
                    <w:top w:val="nil"/>
                    <w:left w:val="nil"/>
                    <w:bottom w:val="single" w:color="auto" w:sz="4" w:space="0"/>
                    <w:right w:val="single" w:color="auto" w:sz="4" w:space="0"/>
                  </w:tcBorders>
                  <w:noWrap/>
                  <w:vAlign w:val="center"/>
                </w:tcPr>
                <w:p w14:paraId="2CCF135C">
                  <w:pPr>
                    <w:widowControl/>
                    <w:jc w:val="center"/>
                    <w:rPr>
                      <w:rFonts w:hint="eastAsia" w:ascii="宋体" w:hAnsi="宋体" w:eastAsia="宋体" w:cs="宋体"/>
                      <w:kern w:val="0"/>
                      <w:sz w:val="21"/>
                      <w:szCs w:val="21"/>
                    </w:rPr>
                  </w:pPr>
                  <w:r>
                    <w:rPr>
                      <w:rFonts w:hint="eastAsia" w:ascii="宋体" w:hAnsi="宋体" w:eastAsia="宋体" w:cs="宋体"/>
                      <w:kern w:val="0"/>
                      <w:sz w:val="21"/>
                      <w:szCs w:val="21"/>
                    </w:rPr>
                    <w:t>5个工作日内</w:t>
                  </w:r>
                </w:p>
              </w:tc>
            </w:tr>
          </w:tbl>
          <w:p w14:paraId="616AC51D">
            <w:pPr>
              <w:pStyle w:val="71"/>
              <w:rPr>
                <w:rFonts w:hint="eastAsia" w:ascii="宋体" w:hAnsi="宋体" w:cs="宋体"/>
                <w:sz w:val="21"/>
                <w:szCs w:val="21"/>
              </w:rPr>
            </w:pPr>
          </w:p>
        </w:tc>
      </w:tr>
      <w:tr w14:paraId="3AB91E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jc w:val="center"/>
        </w:trPr>
        <w:tc>
          <w:tcPr>
            <w:tcW w:w="847" w:type="dxa"/>
            <w:vAlign w:val="center"/>
          </w:tcPr>
          <w:p w14:paraId="4F3A68EF">
            <w:pPr>
              <w:spacing w:line="360" w:lineRule="auto"/>
              <w:jc w:val="center"/>
              <w:rPr>
                <w:rFonts w:hint="eastAsia" w:ascii="宋体" w:hAnsi="宋体" w:eastAsia="宋体" w:cs="宋体"/>
                <w:sz w:val="21"/>
                <w:szCs w:val="21"/>
              </w:rPr>
            </w:pPr>
            <w:bookmarkStart w:id="7" w:name="_Toc179632546"/>
            <w:bookmarkStart w:id="8" w:name="_Toc144974497"/>
            <w:bookmarkStart w:id="9" w:name="_Toc152042305"/>
            <w:bookmarkStart w:id="10" w:name="_Toc152045529"/>
            <w:bookmarkStart w:id="11" w:name="_Toc382903902"/>
            <w:bookmarkStart w:id="12" w:name="_Toc23464"/>
            <w:r>
              <w:rPr>
                <w:rFonts w:hint="eastAsia" w:ascii="宋体" w:hAnsi="宋体" w:eastAsia="宋体" w:cs="宋体"/>
                <w:sz w:val="21"/>
                <w:szCs w:val="21"/>
                <w:lang w:val="en-US" w:eastAsia="zh-CN"/>
              </w:rPr>
              <w:t>10.17</w:t>
            </w:r>
          </w:p>
        </w:tc>
        <w:tc>
          <w:tcPr>
            <w:tcW w:w="1389" w:type="dxa"/>
            <w:vAlign w:val="center"/>
          </w:tcPr>
          <w:p w14:paraId="520C67F7">
            <w:pPr>
              <w:pStyle w:val="3"/>
              <w:jc w:val="center"/>
              <w:rPr>
                <w:rFonts w:hint="eastAsia" w:ascii="宋体" w:hAnsi="宋体" w:eastAsia="宋体" w:cs="宋体"/>
                <w:b/>
                <w:sz w:val="21"/>
                <w:szCs w:val="21"/>
              </w:rPr>
            </w:pPr>
            <w:r>
              <w:rPr>
                <w:rFonts w:hint="eastAsia" w:ascii="宋体" w:hAnsi="宋体"/>
                <w:b/>
                <w:color w:val="000000"/>
                <w:sz w:val="24"/>
                <w:szCs w:val="24"/>
              </w:rPr>
              <w:t>其他说明</w:t>
            </w:r>
          </w:p>
        </w:tc>
        <w:tc>
          <w:tcPr>
            <w:tcW w:w="7726" w:type="dxa"/>
            <w:gridSpan w:val="2"/>
            <w:vAlign w:val="center"/>
          </w:tcPr>
          <w:p w14:paraId="04DC1739">
            <w:pPr>
              <w:spacing w:line="360" w:lineRule="auto"/>
              <w:jc w:val="left"/>
              <w:rPr>
                <w:rFonts w:hint="eastAsia" w:ascii="宋体" w:hAnsi="宋体" w:eastAsia="宋体" w:cs="宋体"/>
                <w:bCs/>
                <w:sz w:val="21"/>
                <w:szCs w:val="21"/>
              </w:rPr>
            </w:pPr>
            <w:r>
              <w:rPr>
                <w:rFonts w:hint="eastAsia" w:ascii="宋体" w:hAnsi="宋体" w:eastAsia="宋体" w:cs="宋体"/>
                <w:bCs/>
                <w:sz w:val="21"/>
                <w:szCs w:val="21"/>
                <w:lang w:val="en-US" w:eastAsia="zh-CN"/>
              </w:rPr>
              <w:t>1.</w:t>
            </w:r>
            <w:r>
              <w:rPr>
                <w:rFonts w:hint="eastAsia" w:ascii="宋体" w:hAnsi="宋体" w:eastAsia="宋体" w:cs="宋体"/>
                <w:bCs/>
                <w:sz w:val="21"/>
                <w:szCs w:val="21"/>
              </w:rPr>
              <w:t>各供应商应在</w:t>
            </w:r>
            <w:r>
              <w:rPr>
                <w:rFonts w:hint="eastAsia" w:ascii="宋体" w:hAnsi="宋体" w:eastAsia="宋体" w:cs="宋体"/>
                <w:bCs/>
                <w:sz w:val="21"/>
                <w:szCs w:val="21"/>
                <w:lang w:val="en-US" w:eastAsia="zh-CN"/>
              </w:rPr>
              <w:t>采购</w:t>
            </w:r>
            <w:r>
              <w:rPr>
                <w:rFonts w:hint="eastAsia" w:ascii="宋体" w:hAnsi="宋体" w:eastAsia="宋体" w:cs="宋体"/>
                <w:bCs/>
                <w:sz w:val="21"/>
                <w:szCs w:val="21"/>
              </w:rPr>
              <w:t>文件规定的投标文件截止时间之前在《河南省政府采购网》上完成注册信息。</w:t>
            </w:r>
          </w:p>
          <w:p w14:paraId="1731D47E">
            <w:pPr>
              <w:spacing w:line="360" w:lineRule="auto"/>
              <w:jc w:val="left"/>
              <w:rPr>
                <w:rFonts w:hint="eastAsia" w:ascii="宋体" w:hAnsi="宋体" w:cs="宋体"/>
                <w:sz w:val="21"/>
                <w:szCs w:val="21"/>
              </w:rPr>
            </w:pPr>
            <w:r>
              <w:rPr>
                <w:rFonts w:hint="eastAsia" w:ascii="宋体" w:hAnsi="宋体" w:eastAsia="宋体" w:cs="宋体"/>
                <w:bCs/>
                <w:sz w:val="21"/>
                <w:szCs w:val="21"/>
                <w:lang w:val="en-US" w:eastAsia="zh-CN"/>
              </w:rPr>
              <w:t>2.供应商应在响应文件中提供准确、有效的联系方式及邮箱，以确保能及时接收采购人或代理机构发出的评审结果告知、成交通知书及其他与采购活动相关的书面通知；因供应商提供信息有误或未及时查收邮件而未能获知相关信息的，由供应商自行承担相应责任。</w:t>
            </w:r>
          </w:p>
        </w:tc>
      </w:tr>
    </w:tbl>
    <w:p w14:paraId="11323C28">
      <w:pPr>
        <w:widowControl/>
        <w:jc w:val="left"/>
        <w:rPr>
          <w:rFonts w:hint="eastAsia" w:ascii="宋体" w:hAnsi="宋体" w:eastAsia="宋体" w:cs="宋体"/>
          <w:b/>
          <w:bCs/>
          <w:sz w:val="21"/>
          <w:szCs w:val="21"/>
        </w:rPr>
      </w:pPr>
      <w:r>
        <w:rPr>
          <w:rFonts w:hint="eastAsia" w:ascii="宋体" w:hAnsi="宋体" w:eastAsia="宋体" w:cs="宋体"/>
          <w:b/>
          <w:bCs/>
          <w:sz w:val="21"/>
          <w:szCs w:val="21"/>
        </w:rPr>
        <w:br w:type="page"/>
      </w:r>
    </w:p>
    <w:p w14:paraId="1E052413">
      <w:pPr>
        <w:pStyle w:val="57"/>
        <w:spacing w:line="360" w:lineRule="auto"/>
        <w:rPr>
          <w:rFonts w:hint="eastAsia" w:ascii="宋体" w:hAnsi="宋体" w:eastAsia="宋体"/>
          <w:b/>
          <w:bCs/>
          <w:sz w:val="21"/>
          <w:szCs w:val="21"/>
        </w:rPr>
      </w:pPr>
      <w:bookmarkStart w:id="13" w:name="_Toc45177803"/>
      <w:bookmarkStart w:id="14" w:name="_Toc14216"/>
      <w:r>
        <w:rPr>
          <w:rFonts w:hint="eastAsia" w:ascii="宋体" w:hAnsi="宋体" w:eastAsia="宋体"/>
          <w:b/>
          <w:bCs/>
          <w:sz w:val="21"/>
          <w:szCs w:val="21"/>
        </w:rPr>
        <w:t>1</w:t>
      </w:r>
      <w:bookmarkEnd w:id="7"/>
      <w:bookmarkEnd w:id="8"/>
      <w:bookmarkEnd w:id="9"/>
      <w:bookmarkEnd w:id="10"/>
      <w:bookmarkEnd w:id="11"/>
      <w:r>
        <w:rPr>
          <w:rFonts w:hint="eastAsia" w:ascii="宋体" w:hAnsi="宋体" w:eastAsia="宋体"/>
          <w:b/>
          <w:bCs/>
          <w:sz w:val="21"/>
          <w:szCs w:val="21"/>
        </w:rPr>
        <w:t>. 总则</w:t>
      </w:r>
      <w:bookmarkEnd w:id="12"/>
      <w:bookmarkEnd w:id="13"/>
      <w:bookmarkEnd w:id="14"/>
    </w:p>
    <w:p w14:paraId="6DFCB6C0">
      <w:pPr>
        <w:pStyle w:val="58"/>
        <w:spacing w:line="360" w:lineRule="auto"/>
        <w:rPr>
          <w:rFonts w:hint="eastAsia" w:ascii="宋体" w:hAnsi="宋体" w:eastAsia="宋体"/>
          <w:sz w:val="21"/>
          <w:szCs w:val="21"/>
        </w:rPr>
      </w:pPr>
      <w:bookmarkStart w:id="15" w:name="_Toc18596"/>
      <w:bookmarkStart w:id="16" w:name="_Toc144974498"/>
      <w:bookmarkStart w:id="17" w:name="_Toc179632547"/>
      <w:bookmarkStart w:id="18" w:name="_Toc152042306"/>
      <w:bookmarkStart w:id="19" w:name="_Toc152045530"/>
      <w:bookmarkStart w:id="20" w:name="_Toc45177804"/>
      <w:r>
        <w:rPr>
          <w:rFonts w:hint="eastAsia" w:ascii="宋体" w:hAnsi="宋体" w:eastAsia="宋体"/>
          <w:sz w:val="21"/>
          <w:szCs w:val="21"/>
        </w:rPr>
        <w:t>1.1 项目概况</w:t>
      </w:r>
      <w:bookmarkEnd w:id="15"/>
      <w:bookmarkEnd w:id="16"/>
      <w:bookmarkEnd w:id="17"/>
      <w:bookmarkEnd w:id="18"/>
      <w:bookmarkEnd w:id="19"/>
      <w:bookmarkEnd w:id="20"/>
    </w:p>
    <w:p w14:paraId="294FE78C">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1.1.1根据有关法律、法规和规章的规定，本招标项目已具备招标条件，现对本项目进行招标。</w:t>
      </w:r>
    </w:p>
    <w:p w14:paraId="2C93BD05">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1.1.2 本招标项目采购人：见供应商须知前附表。</w:t>
      </w:r>
    </w:p>
    <w:p w14:paraId="7DD0D85A">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1.1.3 本招标项目采购代理机构：见供应商须知前附表。</w:t>
      </w:r>
    </w:p>
    <w:p w14:paraId="085F421E">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1.1.4 本招标项目名称：见供应商须知前附表。</w:t>
      </w:r>
    </w:p>
    <w:p w14:paraId="507CFCA6">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1.1.5 本项目项目地点：见供应商须知前附表。</w:t>
      </w:r>
    </w:p>
    <w:p w14:paraId="00338258">
      <w:pPr>
        <w:pStyle w:val="58"/>
        <w:spacing w:line="360" w:lineRule="auto"/>
        <w:rPr>
          <w:rFonts w:hint="eastAsia" w:ascii="宋体" w:hAnsi="宋体" w:eastAsia="宋体"/>
          <w:sz w:val="21"/>
          <w:szCs w:val="21"/>
        </w:rPr>
      </w:pPr>
      <w:bookmarkStart w:id="21" w:name="_Toc152045531"/>
      <w:bookmarkStart w:id="22" w:name="_Toc45177805"/>
      <w:bookmarkStart w:id="23" w:name="_Toc179632548"/>
      <w:bookmarkStart w:id="24" w:name="_Toc21004"/>
      <w:bookmarkStart w:id="25" w:name="_Toc144974499"/>
      <w:bookmarkStart w:id="26" w:name="_Toc152042307"/>
      <w:r>
        <w:rPr>
          <w:rFonts w:hint="eastAsia" w:ascii="宋体" w:hAnsi="宋体" w:eastAsia="宋体"/>
          <w:sz w:val="21"/>
          <w:szCs w:val="21"/>
        </w:rPr>
        <w:t>1.2 资金来源和落实情况</w:t>
      </w:r>
      <w:bookmarkEnd w:id="21"/>
      <w:bookmarkEnd w:id="22"/>
      <w:bookmarkEnd w:id="23"/>
      <w:bookmarkEnd w:id="24"/>
      <w:bookmarkEnd w:id="25"/>
      <w:bookmarkEnd w:id="26"/>
    </w:p>
    <w:p w14:paraId="4E156086">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1.2.1 本招标项目的资金来源：见供应商须知前附表。</w:t>
      </w:r>
    </w:p>
    <w:p w14:paraId="10850DAC">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1.2.2 本招标项目的出资比例：见供应商须知前附表。</w:t>
      </w:r>
    </w:p>
    <w:p w14:paraId="19C227A6">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1.2.3 本招标项目的资金落实情况：见供应商须知前附表。</w:t>
      </w:r>
    </w:p>
    <w:p w14:paraId="353C484E">
      <w:pPr>
        <w:pStyle w:val="58"/>
        <w:spacing w:line="360" w:lineRule="auto"/>
        <w:rPr>
          <w:rFonts w:hint="eastAsia" w:ascii="宋体" w:hAnsi="宋体" w:eastAsia="宋体"/>
          <w:sz w:val="21"/>
          <w:szCs w:val="21"/>
        </w:rPr>
      </w:pPr>
      <w:bookmarkStart w:id="27" w:name="_Toc179632549"/>
      <w:bookmarkStart w:id="28" w:name="_Toc32589"/>
      <w:bookmarkStart w:id="29" w:name="_Toc152042308"/>
      <w:bookmarkStart w:id="30" w:name="_Toc45177806"/>
      <w:bookmarkStart w:id="31" w:name="_Toc144974500"/>
      <w:bookmarkStart w:id="32" w:name="_Toc152045532"/>
      <w:r>
        <w:rPr>
          <w:rFonts w:hint="eastAsia" w:ascii="宋体" w:hAnsi="宋体" w:eastAsia="宋体"/>
          <w:sz w:val="21"/>
          <w:szCs w:val="21"/>
        </w:rPr>
        <w:t>1.3 招标范围、服务期限和质量要求</w:t>
      </w:r>
      <w:bookmarkEnd w:id="27"/>
      <w:bookmarkEnd w:id="28"/>
      <w:bookmarkEnd w:id="29"/>
      <w:bookmarkEnd w:id="30"/>
      <w:bookmarkEnd w:id="31"/>
      <w:bookmarkEnd w:id="32"/>
    </w:p>
    <w:p w14:paraId="493414DA">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1.3.1 本次招标范围：见供应商须知前附表。</w:t>
      </w:r>
    </w:p>
    <w:p w14:paraId="103F6D66">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1.3.2 本项目的服务期限：见供应商须知前附表。</w:t>
      </w:r>
    </w:p>
    <w:p w14:paraId="6FC2F847">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1.3.3 本项目的质量要求：见供应商须知前附表。</w:t>
      </w:r>
    </w:p>
    <w:p w14:paraId="1CF678BA">
      <w:pPr>
        <w:pStyle w:val="58"/>
        <w:spacing w:line="360" w:lineRule="auto"/>
        <w:rPr>
          <w:rFonts w:hint="eastAsia" w:ascii="宋体" w:hAnsi="宋体" w:eastAsia="宋体"/>
          <w:sz w:val="21"/>
          <w:szCs w:val="21"/>
        </w:rPr>
      </w:pPr>
      <w:bookmarkStart w:id="33" w:name="_Toc23560"/>
      <w:bookmarkStart w:id="34" w:name="_Toc144974502"/>
      <w:bookmarkStart w:id="35" w:name="_Toc152042310"/>
      <w:bookmarkStart w:id="36" w:name="_Toc179632551"/>
      <w:bookmarkStart w:id="37" w:name="_Toc45177807"/>
      <w:bookmarkStart w:id="38" w:name="_Toc152045534"/>
      <w:r>
        <w:rPr>
          <w:rFonts w:hint="eastAsia" w:ascii="宋体" w:hAnsi="宋体" w:eastAsia="宋体"/>
          <w:sz w:val="21"/>
          <w:szCs w:val="21"/>
        </w:rPr>
        <w:t>1.4 供应商资格要求</w:t>
      </w:r>
      <w:bookmarkEnd w:id="33"/>
      <w:bookmarkEnd w:id="34"/>
      <w:bookmarkEnd w:id="35"/>
      <w:bookmarkEnd w:id="36"/>
      <w:bookmarkEnd w:id="37"/>
      <w:bookmarkEnd w:id="38"/>
    </w:p>
    <w:p w14:paraId="098924BE">
      <w:pPr>
        <w:spacing w:line="360" w:lineRule="auto"/>
        <w:ind w:firstLine="420" w:firstLineChars="200"/>
        <w:rPr>
          <w:rFonts w:hint="eastAsia" w:ascii="宋体" w:hAnsi="宋体" w:eastAsia="宋体" w:cs="宋体"/>
          <w:sz w:val="21"/>
          <w:szCs w:val="21"/>
        </w:rPr>
      </w:pPr>
      <w:bookmarkStart w:id="39" w:name="_Toc45177808"/>
      <w:bookmarkStart w:id="40" w:name="_Toc144974503"/>
      <w:bookmarkStart w:id="41" w:name="_Toc152042311"/>
      <w:bookmarkStart w:id="42" w:name="_Toc152045535"/>
      <w:bookmarkStart w:id="43" w:name="_Toc179632552"/>
      <w:r>
        <w:rPr>
          <w:rFonts w:hint="eastAsia" w:ascii="宋体" w:hAnsi="宋体" w:eastAsia="宋体" w:cs="宋体"/>
          <w:sz w:val="21"/>
          <w:szCs w:val="21"/>
        </w:rPr>
        <w:t>见供应商须知前附表</w:t>
      </w:r>
    </w:p>
    <w:p w14:paraId="4068854C">
      <w:pPr>
        <w:pStyle w:val="58"/>
        <w:spacing w:line="360" w:lineRule="auto"/>
        <w:rPr>
          <w:rFonts w:hint="eastAsia" w:ascii="宋体" w:hAnsi="宋体" w:eastAsia="宋体"/>
          <w:sz w:val="21"/>
          <w:szCs w:val="21"/>
        </w:rPr>
      </w:pPr>
      <w:bookmarkStart w:id="44" w:name="_Toc5520"/>
      <w:r>
        <w:rPr>
          <w:rFonts w:hint="eastAsia" w:ascii="宋体" w:hAnsi="宋体" w:eastAsia="宋体"/>
          <w:sz w:val="21"/>
          <w:szCs w:val="21"/>
        </w:rPr>
        <w:t>1.5 费用承担</w:t>
      </w:r>
      <w:bookmarkEnd w:id="39"/>
      <w:bookmarkEnd w:id="40"/>
      <w:bookmarkEnd w:id="41"/>
      <w:bookmarkEnd w:id="42"/>
      <w:bookmarkEnd w:id="43"/>
      <w:bookmarkEnd w:id="44"/>
    </w:p>
    <w:p w14:paraId="73737172">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供应商准备和参加投标活动发生的费用自理。</w:t>
      </w:r>
    </w:p>
    <w:p w14:paraId="78C3DB51">
      <w:pPr>
        <w:pStyle w:val="58"/>
        <w:spacing w:line="360" w:lineRule="auto"/>
        <w:rPr>
          <w:rFonts w:hint="eastAsia" w:ascii="宋体" w:hAnsi="宋体" w:eastAsia="宋体"/>
          <w:sz w:val="21"/>
          <w:szCs w:val="21"/>
        </w:rPr>
      </w:pPr>
      <w:bookmarkStart w:id="45" w:name="_Toc16962"/>
      <w:bookmarkStart w:id="46" w:name="_Toc152045536"/>
      <w:bookmarkStart w:id="47" w:name="_Toc144974504"/>
      <w:bookmarkStart w:id="48" w:name="_Toc152042312"/>
      <w:bookmarkStart w:id="49" w:name="_Toc179632553"/>
      <w:bookmarkStart w:id="50" w:name="_Toc45177809"/>
      <w:r>
        <w:rPr>
          <w:rFonts w:hint="eastAsia" w:ascii="宋体" w:hAnsi="宋体" w:eastAsia="宋体"/>
          <w:sz w:val="21"/>
          <w:szCs w:val="21"/>
        </w:rPr>
        <w:t>1.6 保密</w:t>
      </w:r>
      <w:bookmarkEnd w:id="45"/>
      <w:bookmarkEnd w:id="46"/>
      <w:bookmarkEnd w:id="47"/>
      <w:bookmarkEnd w:id="48"/>
      <w:bookmarkEnd w:id="49"/>
      <w:bookmarkEnd w:id="50"/>
    </w:p>
    <w:p w14:paraId="469A0BD6">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 xml:space="preserve">参与招标投标活动的各方应对磋商文件和响应文件中的商业和技术等秘密保密，违者应对由此造成的后果承担法律责任。 </w:t>
      </w:r>
    </w:p>
    <w:p w14:paraId="2196845C">
      <w:pPr>
        <w:pStyle w:val="58"/>
        <w:spacing w:line="360" w:lineRule="auto"/>
        <w:rPr>
          <w:rFonts w:hint="eastAsia" w:ascii="宋体" w:hAnsi="宋体" w:eastAsia="宋体"/>
          <w:sz w:val="21"/>
          <w:szCs w:val="21"/>
        </w:rPr>
      </w:pPr>
      <w:bookmarkStart w:id="51" w:name="_Toc144974505"/>
      <w:bookmarkStart w:id="52" w:name="_Toc152042313"/>
      <w:bookmarkStart w:id="53" w:name="_Toc45177810"/>
      <w:bookmarkStart w:id="54" w:name="_Toc5887"/>
      <w:bookmarkStart w:id="55" w:name="_Toc179632554"/>
      <w:bookmarkStart w:id="56" w:name="_Toc152045537"/>
      <w:r>
        <w:rPr>
          <w:rFonts w:hint="eastAsia" w:ascii="宋体" w:hAnsi="宋体" w:eastAsia="宋体"/>
          <w:sz w:val="21"/>
          <w:szCs w:val="21"/>
        </w:rPr>
        <w:t>1.7 语言</w:t>
      </w:r>
      <w:bookmarkEnd w:id="51"/>
      <w:r>
        <w:rPr>
          <w:rFonts w:hint="eastAsia" w:ascii="宋体" w:hAnsi="宋体" w:eastAsia="宋体"/>
          <w:sz w:val="21"/>
          <w:szCs w:val="21"/>
        </w:rPr>
        <w:t>文字</w:t>
      </w:r>
      <w:bookmarkEnd w:id="52"/>
      <w:bookmarkEnd w:id="53"/>
      <w:bookmarkEnd w:id="54"/>
      <w:bookmarkEnd w:id="55"/>
      <w:bookmarkEnd w:id="56"/>
    </w:p>
    <w:p w14:paraId="7616CC7C">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除专用术语外，与招标投标有关的语言均使用中文。必要时专用术语应附有中文注释。</w:t>
      </w:r>
    </w:p>
    <w:p w14:paraId="3D581A9D">
      <w:pPr>
        <w:pStyle w:val="58"/>
        <w:spacing w:line="360" w:lineRule="auto"/>
        <w:rPr>
          <w:rFonts w:hint="eastAsia" w:ascii="宋体" w:hAnsi="宋体" w:eastAsia="宋体"/>
          <w:sz w:val="21"/>
          <w:szCs w:val="21"/>
        </w:rPr>
      </w:pPr>
      <w:bookmarkStart w:id="57" w:name="_Toc45177811"/>
      <w:bookmarkStart w:id="58" w:name="_Toc179632555"/>
      <w:bookmarkStart w:id="59" w:name="_Toc5185"/>
      <w:bookmarkStart w:id="60" w:name="_Toc144974506"/>
      <w:bookmarkStart w:id="61" w:name="_Toc152042314"/>
      <w:bookmarkStart w:id="62" w:name="_Toc152045538"/>
      <w:r>
        <w:rPr>
          <w:rFonts w:hint="eastAsia" w:ascii="宋体" w:hAnsi="宋体" w:eastAsia="宋体"/>
          <w:sz w:val="21"/>
          <w:szCs w:val="21"/>
        </w:rPr>
        <w:t>1.8 计量单位</w:t>
      </w:r>
      <w:bookmarkEnd w:id="57"/>
      <w:bookmarkEnd w:id="58"/>
      <w:bookmarkEnd w:id="59"/>
      <w:bookmarkEnd w:id="60"/>
      <w:bookmarkEnd w:id="61"/>
      <w:bookmarkEnd w:id="62"/>
    </w:p>
    <w:p w14:paraId="7C4FB98C">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所有计量均采用中华人民共和国法定计量单位。</w:t>
      </w:r>
    </w:p>
    <w:p w14:paraId="3940EB89">
      <w:pPr>
        <w:pStyle w:val="58"/>
        <w:spacing w:line="360" w:lineRule="auto"/>
        <w:rPr>
          <w:rFonts w:hint="eastAsia" w:ascii="宋体" w:hAnsi="宋体" w:eastAsia="宋体"/>
          <w:sz w:val="21"/>
          <w:szCs w:val="21"/>
        </w:rPr>
      </w:pPr>
      <w:bookmarkStart w:id="63" w:name="_Toc152045539"/>
      <w:bookmarkStart w:id="64" w:name="_Toc45177812"/>
      <w:bookmarkStart w:id="65" w:name="_Toc144974507"/>
      <w:bookmarkStart w:id="66" w:name="_Toc179632556"/>
      <w:bookmarkStart w:id="67" w:name="_Toc152042315"/>
      <w:bookmarkStart w:id="68" w:name="_Toc17983"/>
      <w:r>
        <w:rPr>
          <w:rFonts w:hint="eastAsia" w:ascii="宋体" w:hAnsi="宋体" w:eastAsia="宋体"/>
          <w:sz w:val="21"/>
          <w:szCs w:val="21"/>
        </w:rPr>
        <w:t>1.9 踏勘现场</w:t>
      </w:r>
      <w:bookmarkEnd w:id="63"/>
      <w:bookmarkEnd w:id="64"/>
      <w:bookmarkEnd w:id="65"/>
      <w:bookmarkEnd w:id="66"/>
      <w:bookmarkEnd w:id="67"/>
      <w:r>
        <w:rPr>
          <w:rFonts w:hint="eastAsia" w:ascii="宋体" w:hAnsi="宋体" w:eastAsia="宋体"/>
          <w:sz w:val="21"/>
          <w:szCs w:val="21"/>
        </w:rPr>
        <w:t>(本项目不适用)</w:t>
      </w:r>
      <w:bookmarkEnd w:id="68"/>
    </w:p>
    <w:p w14:paraId="3244B396">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 xml:space="preserve">1.9.1 供应商须知前附表规定组织踏勘现场的，采购人按供应商须知前附表规定的时间、地点组织供应商踏勘项目现场。 </w:t>
      </w:r>
    </w:p>
    <w:p w14:paraId="12EBB323">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1.9.2 供应商踏勘现场发生的费用自理。</w:t>
      </w:r>
    </w:p>
    <w:p w14:paraId="5D0CB63E">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1.9.3 除采购人的原因外，供应商自行负责在踏勘现场中所发生的人员伤亡和财产损失。</w:t>
      </w:r>
    </w:p>
    <w:p w14:paraId="0D25B55E">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1.9.4 采购人在踏勘现场中介绍的工程场地和相关的周边环境情况，供供应商在编制响应文件时参考，采购人不对供应商据此作出的判断和决策负责。</w:t>
      </w:r>
    </w:p>
    <w:p w14:paraId="3B65F0EA">
      <w:pPr>
        <w:pStyle w:val="58"/>
        <w:spacing w:line="360" w:lineRule="auto"/>
        <w:rPr>
          <w:rFonts w:hint="eastAsia" w:ascii="宋体" w:hAnsi="宋体" w:eastAsia="宋体"/>
          <w:sz w:val="21"/>
          <w:szCs w:val="21"/>
        </w:rPr>
      </w:pPr>
      <w:bookmarkStart w:id="69" w:name="_Toc152042316"/>
      <w:bookmarkStart w:id="70" w:name="_Toc179632557"/>
      <w:bookmarkStart w:id="71" w:name="_Toc144974508"/>
      <w:bookmarkStart w:id="72" w:name="_Toc152045540"/>
      <w:bookmarkStart w:id="73" w:name="_Toc45177813"/>
      <w:bookmarkStart w:id="74" w:name="_Toc7784"/>
      <w:r>
        <w:rPr>
          <w:rFonts w:hint="eastAsia" w:ascii="宋体" w:hAnsi="宋体" w:eastAsia="宋体"/>
          <w:sz w:val="21"/>
          <w:szCs w:val="21"/>
        </w:rPr>
        <w:t>1.10 投标预备会</w:t>
      </w:r>
      <w:bookmarkEnd w:id="69"/>
      <w:bookmarkEnd w:id="70"/>
      <w:bookmarkEnd w:id="71"/>
      <w:bookmarkEnd w:id="72"/>
      <w:r>
        <w:rPr>
          <w:rFonts w:hint="eastAsia" w:ascii="宋体" w:hAnsi="宋体" w:eastAsia="宋体"/>
          <w:b/>
          <w:sz w:val="21"/>
          <w:szCs w:val="21"/>
        </w:rPr>
        <w:t>(本项目不适用)</w:t>
      </w:r>
      <w:bookmarkEnd w:id="73"/>
      <w:bookmarkEnd w:id="74"/>
    </w:p>
    <w:p w14:paraId="12544E93">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1.10.1 供应商须知前附表规定召开投标预备会的，采购人按供应商须知前附表规定的时间和地点召开投标预备会，澄清供应商提出的问题。</w:t>
      </w:r>
    </w:p>
    <w:p w14:paraId="0EBAE51E">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1.10.2 供应商应在供应商须知前附表规定的时间前，以书面形式将提出的问题送达采购人，以便采购人在会议期间澄清。</w:t>
      </w:r>
    </w:p>
    <w:p w14:paraId="5626B8D4">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1.10.3 投标预备会后，采购人在供应商须知前附表规定的时间内，将对供应商所提问题的澄清，以书面方式通知所有购买磋商文件的供应商。该澄清内容为磋商文件的组成部分。</w:t>
      </w:r>
    </w:p>
    <w:p w14:paraId="28B0689A">
      <w:pPr>
        <w:pStyle w:val="58"/>
        <w:spacing w:line="360" w:lineRule="auto"/>
        <w:rPr>
          <w:rFonts w:hint="eastAsia" w:ascii="宋体" w:hAnsi="宋体" w:eastAsia="宋体"/>
          <w:sz w:val="21"/>
          <w:szCs w:val="21"/>
        </w:rPr>
      </w:pPr>
      <w:bookmarkStart w:id="75" w:name="_Toc144974509"/>
      <w:bookmarkStart w:id="76" w:name="_Toc152045541"/>
      <w:bookmarkStart w:id="77" w:name="_Toc18736"/>
      <w:bookmarkStart w:id="78" w:name="_Toc152042317"/>
      <w:bookmarkStart w:id="79" w:name="_Toc179632558"/>
      <w:bookmarkStart w:id="80" w:name="_Toc45177814"/>
      <w:r>
        <w:rPr>
          <w:rFonts w:hint="eastAsia" w:ascii="宋体" w:hAnsi="宋体" w:eastAsia="宋体"/>
          <w:sz w:val="21"/>
          <w:szCs w:val="21"/>
        </w:rPr>
        <w:t>1.11 分包</w:t>
      </w:r>
      <w:bookmarkEnd w:id="75"/>
      <w:bookmarkEnd w:id="76"/>
      <w:bookmarkEnd w:id="77"/>
      <w:bookmarkEnd w:id="78"/>
      <w:bookmarkEnd w:id="79"/>
      <w:bookmarkEnd w:id="80"/>
    </w:p>
    <w:p w14:paraId="159E7541">
      <w:pPr>
        <w:spacing w:line="360" w:lineRule="auto"/>
        <w:ind w:firstLine="422" w:firstLineChars="200"/>
        <w:rPr>
          <w:rFonts w:hint="eastAsia" w:ascii="宋体" w:hAnsi="宋体" w:eastAsia="宋体" w:cs="宋体"/>
          <w:b/>
          <w:sz w:val="21"/>
          <w:szCs w:val="21"/>
        </w:rPr>
      </w:pPr>
      <w:r>
        <w:rPr>
          <w:rFonts w:hint="eastAsia" w:ascii="宋体" w:hAnsi="宋体" w:eastAsia="宋体" w:cs="宋体"/>
          <w:b/>
          <w:sz w:val="21"/>
          <w:szCs w:val="21"/>
        </w:rPr>
        <w:t>成交人应按照合同约定履行义务完成中标项目，不得分包、转包，否则采购人有权取消其中标资格。</w:t>
      </w:r>
    </w:p>
    <w:p w14:paraId="1A7CDA5E">
      <w:pPr>
        <w:pStyle w:val="58"/>
        <w:spacing w:line="360" w:lineRule="auto"/>
        <w:rPr>
          <w:rFonts w:hint="eastAsia" w:ascii="宋体" w:hAnsi="宋体" w:eastAsia="宋体"/>
          <w:sz w:val="21"/>
          <w:szCs w:val="21"/>
        </w:rPr>
      </w:pPr>
      <w:bookmarkStart w:id="81" w:name="_Toc30202"/>
      <w:bookmarkStart w:id="82" w:name="_Toc45177815"/>
      <w:bookmarkStart w:id="83" w:name="_Toc179632559"/>
      <w:r>
        <w:rPr>
          <w:rFonts w:hint="eastAsia" w:ascii="宋体" w:hAnsi="宋体" w:eastAsia="宋体"/>
          <w:sz w:val="21"/>
          <w:szCs w:val="21"/>
        </w:rPr>
        <w:t>1.12 偏离</w:t>
      </w:r>
      <w:bookmarkEnd w:id="81"/>
      <w:bookmarkEnd w:id="82"/>
      <w:bookmarkEnd w:id="83"/>
    </w:p>
    <w:p w14:paraId="0C8339E1">
      <w:pPr>
        <w:spacing w:line="360" w:lineRule="auto"/>
        <w:ind w:firstLine="359" w:firstLineChars="171"/>
        <w:rPr>
          <w:rFonts w:hint="eastAsia" w:ascii="宋体" w:hAnsi="宋体" w:eastAsia="宋体" w:cs="宋体"/>
          <w:sz w:val="21"/>
          <w:szCs w:val="21"/>
        </w:rPr>
      </w:pPr>
      <w:r>
        <w:rPr>
          <w:rFonts w:hint="eastAsia" w:ascii="宋体" w:hAnsi="宋体" w:eastAsia="宋体" w:cs="宋体"/>
          <w:sz w:val="21"/>
          <w:szCs w:val="21"/>
        </w:rPr>
        <w:t>供应商须知前附表允许响应文件偏离磋商文件某些要求的，偏离应当符合磋商文件规定的偏离范围和幅度。</w:t>
      </w:r>
    </w:p>
    <w:p w14:paraId="082E6E41">
      <w:pPr>
        <w:pStyle w:val="57"/>
        <w:spacing w:line="360" w:lineRule="auto"/>
        <w:rPr>
          <w:rFonts w:hint="eastAsia" w:ascii="宋体" w:hAnsi="宋体" w:eastAsia="宋体"/>
          <w:b/>
          <w:bCs/>
          <w:sz w:val="21"/>
          <w:szCs w:val="21"/>
        </w:rPr>
      </w:pPr>
      <w:bookmarkStart w:id="84" w:name="_Toc144974510"/>
      <w:bookmarkStart w:id="85" w:name="_Toc179632560"/>
      <w:bookmarkStart w:id="86" w:name="_Toc45177816"/>
      <w:bookmarkStart w:id="87" w:name="_Toc21354"/>
      <w:bookmarkStart w:id="88" w:name="_Toc152045542"/>
      <w:bookmarkStart w:id="89" w:name="_Toc152042318"/>
      <w:bookmarkStart w:id="90" w:name="_Toc20024"/>
      <w:r>
        <w:rPr>
          <w:rFonts w:hint="eastAsia" w:ascii="宋体" w:hAnsi="宋体" w:eastAsia="宋体"/>
          <w:b/>
          <w:bCs/>
          <w:sz w:val="21"/>
          <w:szCs w:val="21"/>
        </w:rPr>
        <w:t>2. 磋商文件</w:t>
      </w:r>
      <w:bookmarkEnd w:id="84"/>
      <w:bookmarkEnd w:id="85"/>
      <w:bookmarkEnd w:id="86"/>
      <w:bookmarkEnd w:id="87"/>
      <w:bookmarkEnd w:id="88"/>
      <w:bookmarkEnd w:id="89"/>
      <w:bookmarkEnd w:id="90"/>
    </w:p>
    <w:p w14:paraId="74C49D86">
      <w:pPr>
        <w:pStyle w:val="58"/>
        <w:spacing w:line="360" w:lineRule="auto"/>
        <w:rPr>
          <w:rFonts w:hint="eastAsia" w:ascii="宋体" w:hAnsi="宋体" w:eastAsia="宋体"/>
          <w:sz w:val="21"/>
          <w:szCs w:val="21"/>
        </w:rPr>
      </w:pPr>
      <w:bookmarkStart w:id="91" w:name="_Toc152042319"/>
      <w:bookmarkStart w:id="92" w:name="_Toc179632561"/>
      <w:bookmarkStart w:id="93" w:name="_Toc152045543"/>
      <w:bookmarkStart w:id="94" w:name="_Toc144974511"/>
      <w:bookmarkStart w:id="95" w:name="_Toc3618"/>
      <w:bookmarkStart w:id="96" w:name="_Toc45177817"/>
      <w:r>
        <w:rPr>
          <w:rFonts w:hint="eastAsia" w:ascii="宋体" w:hAnsi="宋体" w:eastAsia="宋体"/>
          <w:sz w:val="21"/>
          <w:szCs w:val="21"/>
        </w:rPr>
        <w:t>2.1 磋商文件的组成</w:t>
      </w:r>
      <w:bookmarkEnd w:id="91"/>
      <w:bookmarkEnd w:id="92"/>
      <w:bookmarkEnd w:id="93"/>
      <w:bookmarkEnd w:id="94"/>
      <w:bookmarkEnd w:id="95"/>
      <w:bookmarkEnd w:id="96"/>
    </w:p>
    <w:p w14:paraId="27BDDFF6">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本磋商文件包括：</w:t>
      </w:r>
    </w:p>
    <w:p w14:paraId="4E5609D9">
      <w:pPr>
        <w:spacing w:line="360" w:lineRule="auto"/>
        <w:ind w:firstLine="359" w:firstLineChars="171"/>
        <w:rPr>
          <w:rFonts w:hint="eastAsia" w:ascii="宋体" w:hAnsi="宋体" w:eastAsia="宋体" w:cs="宋体"/>
          <w:sz w:val="21"/>
          <w:szCs w:val="21"/>
        </w:rPr>
      </w:pPr>
      <w:r>
        <w:rPr>
          <w:rFonts w:hint="eastAsia" w:ascii="宋体" w:hAnsi="宋体" w:eastAsia="宋体" w:cs="宋体"/>
          <w:sz w:val="21"/>
          <w:szCs w:val="21"/>
        </w:rPr>
        <w:t>（1）磋商公告；</w:t>
      </w:r>
    </w:p>
    <w:p w14:paraId="70E865E0">
      <w:pPr>
        <w:spacing w:line="360" w:lineRule="auto"/>
        <w:ind w:firstLine="359" w:firstLineChars="171"/>
        <w:rPr>
          <w:rFonts w:hint="eastAsia" w:ascii="宋体" w:hAnsi="宋体" w:eastAsia="宋体" w:cs="宋体"/>
          <w:sz w:val="21"/>
          <w:szCs w:val="21"/>
        </w:rPr>
      </w:pPr>
      <w:r>
        <w:rPr>
          <w:rFonts w:hint="eastAsia" w:ascii="宋体" w:hAnsi="宋体" w:eastAsia="宋体" w:cs="宋体"/>
          <w:sz w:val="21"/>
          <w:szCs w:val="21"/>
        </w:rPr>
        <w:t>（2）供应商须知；</w:t>
      </w:r>
    </w:p>
    <w:p w14:paraId="2991F556">
      <w:pPr>
        <w:spacing w:line="360" w:lineRule="auto"/>
        <w:ind w:firstLine="359" w:firstLineChars="171"/>
        <w:rPr>
          <w:rFonts w:hint="eastAsia" w:ascii="宋体" w:hAnsi="宋体" w:eastAsia="宋体" w:cs="宋体"/>
          <w:sz w:val="21"/>
          <w:szCs w:val="21"/>
        </w:rPr>
      </w:pPr>
      <w:r>
        <w:rPr>
          <w:rFonts w:hint="eastAsia" w:ascii="宋体" w:hAnsi="宋体" w:eastAsia="宋体" w:cs="宋体"/>
          <w:sz w:val="21"/>
          <w:szCs w:val="21"/>
        </w:rPr>
        <w:t>（3）评标办法；</w:t>
      </w:r>
    </w:p>
    <w:p w14:paraId="058EBDE1">
      <w:pPr>
        <w:spacing w:line="360" w:lineRule="auto"/>
        <w:ind w:firstLine="359" w:firstLineChars="171"/>
        <w:rPr>
          <w:rFonts w:hint="eastAsia" w:ascii="宋体" w:hAnsi="宋体" w:eastAsia="宋体" w:cs="宋体"/>
          <w:sz w:val="21"/>
          <w:szCs w:val="21"/>
        </w:rPr>
      </w:pPr>
      <w:r>
        <w:rPr>
          <w:rFonts w:hint="eastAsia" w:ascii="宋体" w:hAnsi="宋体" w:eastAsia="宋体" w:cs="宋体"/>
          <w:sz w:val="21"/>
          <w:szCs w:val="21"/>
        </w:rPr>
        <w:t>（4）合同条款及格式；</w:t>
      </w:r>
    </w:p>
    <w:p w14:paraId="1FE5F7AE">
      <w:pPr>
        <w:spacing w:line="360" w:lineRule="auto"/>
        <w:ind w:firstLine="359" w:firstLineChars="171"/>
        <w:rPr>
          <w:rFonts w:hint="default" w:ascii="宋体" w:hAnsi="宋体" w:eastAsia="宋体" w:cs="宋体"/>
          <w:sz w:val="21"/>
          <w:szCs w:val="21"/>
          <w:lang w:val="en-US" w:eastAsia="zh-CN"/>
        </w:rPr>
      </w:pP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5</w:t>
      </w: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采购需求；</w:t>
      </w:r>
    </w:p>
    <w:p w14:paraId="3EA91C78">
      <w:pPr>
        <w:spacing w:line="360" w:lineRule="auto"/>
        <w:ind w:firstLine="359" w:firstLineChars="171"/>
        <w:rPr>
          <w:rFonts w:hint="eastAsia" w:ascii="宋体" w:hAnsi="宋体" w:eastAsia="宋体" w:cs="宋体"/>
          <w:sz w:val="21"/>
          <w:szCs w:val="21"/>
        </w:rPr>
      </w:pPr>
      <w:r>
        <w:rPr>
          <w:rFonts w:hint="eastAsia" w:ascii="宋体" w:hAnsi="宋体" w:eastAsia="宋体" w:cs="宋体"/>
          <w:sz w:val="21"/>
          <w:szCs w:val="21"/>
        </w:rPr>
        <w:t>（6）响应文件格式；</w:t>
      </w:r>
    </w:p>
    <w:p w14:paraId="6CC722BF">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根据本章第1.10款、第2.2款和第2.3款对磋商文件所作的澄清、修改，构成磋商文件的组成部分。</w:t>
      </w:r>
    </w:p>
    <w:p w14:paraId="247DA0A5">
      <w:pPr>
        <w:pStyle w:val="58"/>
        <w:spacing w:line="360" w:lineRule="auto"/>
        <w:rPr>
          <w:rFonts w:hint="eastAsia" w:ascii="宋体" w:hAnsi="宋体" w:eastAsia="宋体"/>
          <w:sz w:val="21"/>
          <w:szCs w:val="21"/>
        </w:rPr>
      </w:pPr>
      <w:bookmarkStart w:id="97" w:name="_Toc45177818"/>
      <w:bookmarkStart w:id="98" w:name="_Toc10638"/>
      <w:bookmarkStart w:id="99" w:name="_Toc152042320"/>
      <w:bookmarkStart w:id="100" w:name="_Toc179632562"/>
      <w:bookmarkStart w:id="101" w:name="_Toc144974512"/>
      <w:bookmarkStart w:id="102" w:name="_Toc152045544"/>
      <w:r>
        <w:rPr>
          <w:rFonts w:hint="eastAsia" w:ascii="宋体" w:hAnsi="宋体" w:eastAsia="宋体"/>
          <w:sz w:val="21"/>
          <w:szCs w:val="21"/>
        </w:rPr>
        <w:t>2.2 磋商文件的澄清</w:t>
      </w:r>
      <w:bookmarkEnd w:id="97"/>
      <w:bookmarkEnd w:id="98"/>
      <w:bookmarkEnd w:id="99"/>
      <w:bookmarkEnd w:id="100"/>
      <w:bookmarkEnd w:id="101"/>
      <w:bookmarkEnd w:id="102"/>
    </w:p>
    <w:p w14:paraId="6FE9627B">
      <w:pPr>
        <w:spacing w:line="360" w:lineRule="auto"/>
        <w:ind w:firstLine="420" w:firstLineChars="200"/>
        <w:rPr>
          <w:rFonts w:hint="eastAsia" w:ascii="宋体" w:hAnsi="宋体" w:eastAsia="宋体" w:cs="宋体"/>
          <w:sz w:val="21"/>
          <w:szCs w:val="21"/>
        </w:rPr>
      </w:pPr>
      <w:bookmarkStart w:id="103" w:name="_Toc179632563"/>
      <w:bookmarkStart w:id="104" w:name="_Toc152045545"/>
      <w:bookmarkStart w:id="105" w:name="_Toc152042321"/>
      <w:bookmarkStart w:id="106" w:name="_Toc144974513"/>
      <w:r>
        <w:rPr>
          <w:rFonts w:hint="eastAsia" w:ascii="宋体" w:hAnsi="宋体" w:eastAsia="宋体" w:cs="宋体"/>
          <w:sz w:val="21"/>
          <w:szCs w:val="21"/>
        </w:rPr>
        <w:t>2.2.1供应商应仔细阅读和检查磋商文件的全部内容。如发现缺页或附件不全，应及时向采购人提出，以便补齐。如有疑问，应在供应商须知前附表规定的时间前通过平顶山市公共资源交易中心电子交易系统，要求采购人对磋商文件予以澄清。</w:t>
      </w:r>
    </w:p>
    <w:p w14:paraId="3AD74061">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2.2.2 磋商文件的澄清将在供应商须知前附表规定的投标截止时间5天前通过平顶山市公共资源交易中心电子交易系统发给所有购买磋商文件的供应商，但不指明澄清问题的来源。如果澄清发出的时间距投标截止时间不足5天，相应延长投标截止时间。</w:t>
      </w:r>
    </w:p>
    <w:p w14:paraId="120541E0">
      <w:pPr>
        <w:pStyle w:val="58"/>
        <w:spacing w:line="360" w:lineRule="auto"/>
        <w:rPr>
          <w:rFonts w:hint="eastAsia" w:ascii="宋体" w:hAnsi="宋体" w:eastAsia="宋体"/>
          <w:sz w:val="21"/>
          <w:szCs w:val="21"/>
        </w:rPr>
      </w:pPr>
      <w:bookmarkStart w:id="107" w:name="_Toc26239"/>
      <w:bookmarkStart w:id="108" w:name="_Toc45177819"/>
      <w:r>
        <w:rPr>
          <w:rFonts w:hint="eastAsia" w:ascii="宋体" w:hAnsi="宋体" w:eastAsia="宋体"/>
          <w:sz w:val="21"/>
          <w:szCs w:val="21"/>
        </w:rPr>
        <w:t>2.3 磋商文件的修改</w:t>
      </w:r>
      <w:bookmarkEnd w:id="103"/>
      <w:bookmarkEnd w:id="104"/>
      <w:bookmarkEnd w:id="105"/>
      <w:bookmarkEnd w:id="106"/>
      <w:bookmarkEnd w:id="107"/>
      <w:bookmarkEnd w:id="108"/>
    </w:p>
    <w:p w14:paraId="2D9571A1">
      <w:pPr>
        <w:spacing w:line="360" w:lineRule="auto"/>
        <w:ind w:firstLine="420" w:firstLineChars="200"/>
        <w:rPr>
          <w:rFonts w:hint="eastAsia" w:ascii="宋体" w:hAnsi="宋体" w:eastAsia="宋体" w:cs="宋体"/>
          <w:sz w:val="21"/>
          <w:szCs w:val="21"/>
        </w:rPr>
      </w:pPr>
      <w:bookmarkStart w:id="109" w:name="_Toc144974514"/>
      <w:bookmarkStart w:id="110" w:name="_Toc152042322"/>
      <w:bookmarkStart w:id="111" w:name="_Toc179632564"/>
      <w:bookmarkStart w:id="112" w:name="_Toc152045546"/>
      <w:r>
        <w:rPr>
          <w:rFonts w:hint="eastAsia" w:ascii="宋体" w:hAnsi="宋体" w:eastAsia="宋体" w:cs="宋体"/>
          <w:sz w:val="21"/>
          <w:szCs w:val="21"/>
        </w:rPr>
        <w:t xml:space="preserve">2.3.1 在投标截止时间5天前，采购人可以通过平顶山市公共资源交易中心电子交易系统修改磋商文件，并通知所有已购买磋商文件的供应商。如果修改磋商文件的时间距投标截止时间不足5天，相应延长投标截止时间。 </w:t>
      </w:r>
    </w:p>
    <w:p w14:paraId="4A657CFE">
      <w:pPr>
        <w:pStyle w:val="57"/>
        <w:spacing w:line="360" w:lineRule="auto"/>
        <w:rPr>
          <w:rFonts w:hint="eastAsia" w:ascii="宋体" w:hAnsi="宋体" w:eastAsia="宋体"/>
          <w:b/>
          <w:bCs/>
          <w:sz w:val="21"/>
          <w:szCs w:val="21"/>
        </w:rPr>
      </w:pPr>
      <w:bookmarkStart w:id="113" w:name="_Toc27709"/>
      <w:bookmarkStart w:id="114" w:name="_Toc45177820"/>
      <w:bookmarkStart w:id="115" w:name="_Toc1185"/>
      <w:r>
        <w:rPr>
          <w:rFonts w:hint="eastAsia" w:ascii="宋体" w:hAnsi="宋体" w:eastAsia="宋体"/>
          <w:b/>
          <w:bCs/>
          <w:sz w:val="21"/>
          <w:szCs w:val="21"/>
        </w:rPr>
        <w:t>3. 响应文件</w:t>
      </w:r>
      <w:bookmarkEnd w:id="109"/>
      <w:bookmarkEnd w:id="110"/>
      <w:bookmarkEnd w:id="111"/>
      <w:bookmarkEnd w:id="112"/>
      <w:bookmarkEnd w:id="113"/>
      <w:bookmarkEnd w:id="114"/>
      <w:bookmarkEnd w:id="115"/>
    </w:p>
    <w:p w14:paraId="1C4DF4C3">
      <w:pPr>
        <w:pStyle w:val="58"/>
        <w:spacing w:line="360" w:lineRule="auto"/>
        <w:rPr>
          <w:rFonts w:hint="eastAsia" w:ascii="宋体" w:hAnsi="宋体" w:eastAsia="宋体"/>
          <w:sz w:val="21"/>
          <w:szCs w:val="21"/>
        </w:rPr>
      </w:pPr>
      <w:bookmarkStart w:id="116" w:name="_Toc152045547"/>
      <w:bookmarkStart w:id="117" w:name="_Toc45177821"/>
      <w:bookmarkStart w:id="118" w:name="_Toc179632565"/>
      <w:bookmarkStart w:id="119" w:name="_Toc9920"/>
      <w:bookmarkStart w:id="120" w:name="_Toc144974515"/>
      <w:bookmarkStart w:id="121" w:name="_Toc152042323"/>
      <w:r>
        <w:rPr>
          <w:rFonts w:hint="eastAsia" w:ascii="宋体" w:hAnsi="宋体" w:eastAsia="宋体"/>
          <w:sz w:val="21"/>
          <w:szCs w:val="21"/>
        </w:rPr>
        <w:t>3.1 响应文件的组成</w:t>
      </w:r>
      <w:bookmarkEnd w:id="116"/>
      <w:bookmarkEnd w:id="117"/>
      <w:bookmarkEnd w:id="118"/>
      <w:bookmarkEnd w:id="119"/>
      <w:bookmarkEnd w:id="120"/>
      <w:bookmarkEnd w:id="121"/>
    </w:p>
    <w:p w14:paraId="441EC9B7">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3.1.1响应文件应包括下列内容：</w:t>
      </w:r>
    </w:p>
    <w:p w14:paraId="6A9A1339">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（1）磋商承诺书；</w:t>
      </w:r>
    </w:p>
    <w:p w14:paraId="5FFEF0B1">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（2）报价表；</w:t>
      </w:r>
    </w:p>
    <w:p w14:paraId="5DB3A030">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（3）法定代表人身份证明；</w:t>
      </w:r>
    </w:p>
    <w:p w14:paraId="53643E26">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（4）法定代表人授权委托书；</w:t>
      </w:r>
    </w:p>
    <w:p w14:paraId="42E8D17D">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（5）资格审查资料；</w:t>
      </w:r>
    </w:p>
    <w:p w14:paraId="7DFC29E6">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（6）技术部分；</w:t>
      </w:r>
    </w:p>
    <w:p w14:paraId="4CA7AEC6">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（7）其他材料。</w:t>
      </w:r>
    </w:p>
    <w:p w14:paraId="3100B3F3">
      <w:pPr>
        <w:spacing w:line="360" w:lineRule="auto"/>
        <w:ind w:firstLine="420" w:firstLineChars="200"/>
        <w:rPr>
          <w:rFonts w:hint="eastAsia" w:ascii="宋体" w:hAnsi="宋体" w:eastAsia="宋体" w:cs="宋体"/>
          <w:sz w:val="21"/>
          <w:szCs w:val="21"/>
        </w:rPr>
      </w:pPr>
      <w:bookmarkStart w:id="122" w:name="_Toc152042324"/>
      <w:bookmarkStart w:id="123" w:name="_Toc144974516"/>
      <w:bookmarkStart w:id="124" w:name="_Toc152045548"/>
      <w:bookmarkStart w:id="125" w:name="_Toc179632566"/>
      <w:r>
        <w:rPr>
          <w:rFonts w:hint="eastAsia" w:ascii="宋体" w:hAnsi="宋体" w:eastAsia="宋体" w:cs="宋体"/>
          <w:sz w:val="21"/>
          <w:szCs w:val="21"/>
        </w:rPr>
        <w:t>磋商供应商须对本项目要求的服务期限、质量、响应文件有效期作出实质性响应，必须保证其提供的相关资质证明文件的真实性、合法性、时效性，否则，磋商小组将不予推荐。报价部分是指磋商供应商响应采购项目要求而作出的书面报价明细。</w:t>
      </w:r>
    </w:p>
    <w:p w14:paraId="645797B8">
      <w:pPr>
        <w:pStyle w:val="58"/>
        <w:spacing w:line="360" w:lineRule="auto"/>
        <w:rPr>
          <w:rFonts w:hint="eastAsia" w:ascii="宋体" w:hAnsi="宋体" w:eastAsia="宋体"/>
          <w:sz w:val="21"/>
          <w:szCs w:val="21"/>
        </w:rPr>
      </w:pPr>
      <w:bookmarkStart w:id="126" w:name="_Toc20406"/>
      <w:bookmarkStart w:id="127" w:name="_Toc45177822"/>
      <w:r>
        <w:rPr>
          <w:rFonts w:hint="eastAsia" w:ascii="宋体" w:hAnsi="宋体" w:eastAsia="宋体"/>
          <w:sz w:val="21"/>
          <w:szCs w:val="21"/>
        </w:rPr>
        <w:t>3.2 投标报价</w:t>
      </w:r>
      <w:bookmarkEnd w:id="122"/>
      <w:bookmarkEnd w:id="123"/>
      <w:bookmarkEnd w:id="124"/>
      <w:bookmarkEnd w:id="125"/>
      <w:bookmarkEnd w:id="126"/>
      <w:bookmarkEnd w:id="127"/>
    </w:p>
    <w:p w14:paraId="54EFE145">
      <w:pPr>
        <w:spacing w:line="360" w:lineRule="auto"/>
        <w:ind w:firstLine="420" w:firstLineChars="200"/>
        <w:rPr>
          <w:rFonts w:hint="eastAsia" w:ascii="宋体" w:hAnsi="宋体" w:eastAsia="宋体" w:cs="宋体"/>
          <w:sz w:val="21"/>
          <w:szCs w:val="21"/>
        </w:rPr>
      </w:pPr>
      <w:bookmarkStart w:id="128" w:name="_Toc179632567"/>
      <w:bookmarkStart w:id="129" w:name="_Toc144974517"/>
      <w:bookmarkStart w:id="130" w:name="_Toc45177823"/>
      <w:bookmarkStart w:id="131" w:name="_Toc152042325"/>
      <w:bookmarkStart w:id="132" w:name="_Toc152045549"/>
      <w:r>
        <w:rPr>
          <w:rFonts w:hint="eastAsia" w:ascii="宋体" w:hAnsi="宋体" w:eastAsia="宋体" w:cs="宋体"/>
          <w:sz w:val="21"/>
          <w:szCs w:val="21"/>
        </w:rPr>
        <w:t>3.2.1本项目投标报价为完成采购内容的全部费用，本项目的投标报价为综合价格，所有招标文件中列出的及隐含的为完成合同所需要的一切责任和义务等费用都应在内，不再有报价以外的任何附加费用。未列入或者没有填写的项目费用视为已在相关项目的价格中。报价内容包括本次招标项目的所有成本、利润、税金、人员工资、食宿、交通、工具办公费、各种国家规定的保险费以及有关规定等一切相关费用。</w:t>
      </w:r>
    </w:p>
    <w:p w14:paraId="1374C72F">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3.2.2供应商所报的最终报价在合同执行过程中是固定不变的，不得以任何理由予以变更。任何包含价格调整的要求的投标，将被认为是非响应性投标而被拒绝。</w:t>
      </w:r>
    </w:p>
    <w:p w14:paraId="4AA626D3">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3.2.3供应商不得以低于成本的报价竞标，最低报价不作为中标的保证。</w:t>
      </w:r>
    </w:p>
    <w:p w14:paraId="3F095759">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3.2.4代理服务费：参照河南省招标投标协会关于印发《河南省招标代理服务收费指导意见》的通知豫招协[2023]002号文件为依据收取向中标人收取，由中标人在领取中标通知书时以现金或转账方式向采购代理机构缴纳。</w:t>
      </w:r>
    </w:p>
    <w:p w14:paraId="66FE9D49">
      <w:pPr>
        <w:pStyle w:val="58"/>
        <w:spacing w:line="360" w:lineRule="auto"/>
        <w:rPr>
          <w:rFonts w:hint="eastAsia" w:ascii="宋体" w:hAnsi="宋体" w:eastAsia="宋体"/>
          <w:sz w:val="21"/>
          <w:szCs w:val="21"/>
        </w:rPr>
      </w:pPr>
      <w:bookmarkStart w:id="133" w:name="_Toc22599"/>
      <w:r>
        <w:rPr>
          <w:rFonts w:hint="eastAsia" w:ascii="宋体" w:hAnsi="宋体" w:eastAsia="宋体"/>
          <w:sz w:val="21"/>
          <w:szCs w:val="21"/>
        </w:rPr>
        <w:t>3.3 投标有效期</w:t>
      </w:r>
      <w:bookmarkEnd w:id="128"/>
      <w:bookmarkEnd w:id="129"/>
      <w:bookmarkEnd w:id="130"/>
      <w:bookmarkEnd w:id="131"/>
      <w:bookmarkEnd w:id="132"/>
      <w:bookmarkEnd w:id="133"/>
    </w:p>
    <w:p w14:paraId="44CC1495">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3.3.1 在供应商须知前附表规定的投标有效期内，供应商不得要求撤销或修改其响应文件。</w:t>
      </w:r>
    </w:p>
    <w:p w14:paraId="31A719AB">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 xml:space="preserve">3.3.2出现特殊情况需要延长投标有效期的，采购人以书面形式通知所有供应商延长投标有效期。供应商同意延长的，应相应延长其投标保证金的有效期，但不得要求或被允许修改或撤销其响应文件；供应商拒绝延长的，其投标失效，但供应商有权收回其投标保证金。 </w:t>
      </w:r>
    </w:p>
    <w:p w14:paraId="0EE65C54">
      <w:pPr>
        <w:pStyle w:val="58"/>
        <w:spacing w:line="360" w:lineRule="auto"/>
        <w:rPr>
          <w:rFonts w:hint="eastAsia" w:ascii="宋体" w:hAnsi="宋体" w:eastAsia="宋体"/>
          <w:sz w:val="21"/>
          <w:szCs w:val="21"/>
        </w:rPr>
      </w:pPr>
      <w:bookmarkStart w:id="134" w:name="_Toc152042326"/>
      <w:bookmarkStart w:id="135" w:name="_Toc152045550"/>
      <w:bookmarkStart w:id="136" w:name="_Toc144974518"/>
      <w:bookmarkStart w:id="137" w:name="_Toc179632568"/>
      <w:bookmarkStart w:id="138" w:name="_Toc19813"/>
      <w:bookmarkStart w:id="139" w:name="_Toc45177824"/>
      <w:r>
        <w:rPr>
          <w:rFonts w:hint="eastAsia" w:ascii="宋体" w:hAnsi="宋体" w:eastAsia="宋体"/>
          <w:sz w:val="21"/>
          <w:szCs w:val="21"/>
        </w:rPr>
        <w:t>3.4 投标保证金</w:t>
      </w:r>
      <w:bookmarkEnd w:id="134"/>
      <w:bookmarkEnd w:id="135"/>
      <w:bookmarkEnd w:id="136"/>
      <w:bookmarkEnd w:id="137"/>
      <w:r>
        <w:rPr>
          <w:rFonts w:hint="eastAsia" w:ascii="宋体" w:hAnsi="宋体" w:eastAsia="宋体"/>
          <w:b/>
          <w:bCs/>
          <w:sz w:val="21"/>
          <w:szCs w:val="21"/>
        </w:rPr>
        <w:t>（本项目不适用）</w:t>
      </w:r>
      <w:bookmarkEnd w:id="138"/>
      <w:bookmarkEnd w:id="139"/>
    </w:p>
    <w:p w14:paraId="71DE6CE8">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本项目不收取。</w:t>
      </w:r>
    </w:p>
    <w:p w14:paraId="2215EF7D">
      <w:pPr>
        <w:pStyle w:val="58"/>
        <w:spacing w:line="360" w:lineRule="auto"/>
        <w:rPr>
          <w:rFonts w:hint="eastAsia" w:ascii="宋体" w:hAnsi="宋体" w:eastAsia="宋体"/>
          <w:sz w:val="21"/>
          <w:szCs w:val="21"/>
        </w:rPr>
      </w:pPr>
      <w:bookmarkStart w:id="140" w:name="_Toc45177825"/>
      <w:bookmarkStart w:id="141" w:name="_Toc179632570"/>
      <w:bookmarkStart w:id="142" w:name="_Toc152042328"/>
      <w:bookmarkStart w:id="143" w:name="_Toc152045552"/>
      <w:bookmarkStart w:id="144" w:name="_Toc144974520"/>
      <w:bookmarkStart w:id="145" w:name="_Toc13828"/>
      <w:r>
        <w:rPr>
          <w:rFonts w:hint="eastAsia" w:ascii="宋体" w:hAnsi="宋体" w:eastAsia="宋体"/>
          <w:sz w:val="21"/>
          <w:szCs w:val="21"/>
        </w:rPr>
        <w:t>3.5 资格审查资料</w:t>
      </w:r>
      <w:bookmarkEnd w:id="140"/>
      <w:bookmarkEnd w:id="141"/>
      <w:bookmarkEnd w:id="142"/>
      <w:bookmarkEnd w:id="143"/>
      <w:bookmarkEnd w:id="144"/>
      <w:bookmarkEnd w:id="145"/>
    </w:p>
    <w:p w14:paraId="6632F607">
      <w:pPr>
        <w:spacing w:line="360" w:lineRule="auto"/>
        <w:ind w:firstLine="420" w:firstLineChars="200"/>
        <w:rPr>
          <w:rFonts w:hint="eastAsia" w:ascii="宋体" w:hAnsi="宋体" w:eastAsia="宋体" w:cs="宋体"/>
          <w:sz w:val="21"/>
          <w:szCs w:val="21"/>
        </w:rPr>
      </w:pPr>
      <w:bookmarkStart w:id="146" w:name="_Toc144974521"/>
      <w:bookmarkStart w:id="147" w:name="_Toc179632571"/>
      <w:bookmarkStart w:id="148" w:name="_Toc152042329"/>
      <w:bookmarkStart w:id="149" w:name="_Toc152045553"/>
      <w:bookmarkStart w:id="150" w:name="_Toc45177826"/>
      <w:r>
        <w:rPr>
          <w:rFonts w:hint="eastAsia" w:ascii="宋体" w:hAnsi="宋体" w:eastAsia="宋体" w:cs="宋体"/>
          <w:sz w:val="21"/>
          <w:szCs w:val="21"/>
        </w:rPr>
        <w:t>见供应商须知前附表</w:t>
      </w:r>
    </w:p>
    <w:p w14:paraId="39E16D7C">
      <w:pPr>
        <w:pStyle w:val="58"/>
        <w:spacing w:line="360" w:lineRule="auto"/>
        <w:rPr>
          <w:rFonts w:hint="eastAsia" w:ascii="宋体" w:hAnsi="宋体" w:eastAsia="宋体"/>
          <w:sz w:val="21"/>
          <w:szCs w:val="21"/>
        </w:rPr>
      </w:pPr>
      <w:bookmarkStart w:id="151" w:name="_Toc1772"/>
      <w:r>
        <w:rPr>
          <w:rFonts w:hint="eastAsia" w:ascii="宋体" w:hAnsi="宋体" w:eastAsia="宋体"/>
          <w:sz w:val="21"/>
          <w:szCs w:val="21"/>
        </w:rPr>
        <w:t>3.6 备选投标方案</w:t>
      </w:r>
      <w:bookmarkEnd w:id="146"/>
      <w:bookmarkEnd w:id="147"/>
      <w:bookmarkEnd w:id="148"/>
      <w:bookmarkEnd w:id="149"/>
      <w:r>
        <w:rPr>
          <w:rFonts w:hint="eastAsia" w:ascii="宋体" w:hAnsi="宋体" w:eastAsia="宋体"/>
          <w:b/>
          <w:sz w:val="21"/>
          <w:szCs w:val="21"/>
        </w:rPr>
        <w:t>（本项目不适用）</w:t>
      </w:r>
      <w:bookmarkEnd w:id="150"/>
      <w:bookmarkEnd w:id="151"/>
    </w:p>
    <w:p w14:paraId="1B3ACED2">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除供应商须知前附表另有规定外，供应商不得递交备选投标方案。允许供应商递交备选投标方案的，只有成交人所递交的备选投标方案方可予以考虑。磋商小组认为成交人的备选投标方案优于其按照磋商文件要求编制的投标方案的，采购人可以接受该备选投标方案。</w:t>
      </w:r>
    </w:p>
    <w:p w14:paraId="68ED474E">
      <w:pPr>
        <w:pStyle w:val="58"/>
        <w:spacing w:line="360" w:lineRule="auto"/>
        <w:outlineLvl w:val="9"/>
        <w:rPr>
          <w:rFonts w:hint="eastAsia" w:ascii="宋体" w:hAnsi="宋体" w:eastAsia="宋体"/>
          <w:sz w:val="21"/>
          <w:szCs w:val="21"/>
        </w:rPr>
      </w:pPr>
      <w:bookmarkStart w:id="152" w:name="_Toc152042330"/>
      <w:bookmarkStart w:id="153" w:name="_Toc144974522"/>
      <w:bookmarkStart w:id="154" w:name="_Toc152045554"/>
      <w:bookmarkStart w:id="155" w:name="_Toc45177827"/>
      <w:bookmarkStart w:id="156" w:name="_Toc179632572"/>
      <w:r>
        <w:rPr>
          <w:rFonts w:hint="eastAsia" w:ascii="宋体" w:hAnsi="宋体" w:eastAsia="宋体"/>
          <w:sz w:val="21"/>
          <w:szCs w:val="21"/>
        </w:rPr>
        <w:t>3.7 响应文件的编制</w:t>
      </w:r>
      <w:bookmarkEnd w:id="152"/>
      <w:bookmarkEnd w:id="153"/>
      <w:bookmarkEnd w:id="154"/>
      <w:bookmarkEnd w:id="155"/>
      <w:bookmarkEnd w:id="156"/>
    </w:p>
    <w:p w14:paraId="41503B45">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3.7.1响应文件应按第六章“响应文件格式”进行编写，如有必要，可以增加附页，作为响应文件的组成部分。其中，投标函附录在满足磋商文件实质性要求的基础上，可以提出比磋商文件要求更有利于采购人的承诺。</w:t>
      </w:r>
    </w:p>
    <w:p w14:paraId="26474F33">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3.7.2 响应文件应当对磋商文件有关</w:t>
      </w:r>
      <w:r>
        <w:rPr>
          <w:rFonts w:hint="eastAsia" w:ascii="宋体" w:hAnsi="宋体" w:eastAsia="宋体" w:cs="宋体"/>
          <w:sz w:val="21"/>
          <w:szCs w:val="21"/>
          <w:lang w:val="en-US" w:eastAsia="zh-CN"/>
        </w:rPr>
        <w:t>服务期</w:t>
      </w:r>
      <w:r>
        <w:rPr>
          <w:rFonts w:hint="eastAsia" w:ascii="宋体" w:hAnsi="宋体" w:eastAsia="宋体" w:cs="宋体"/>
          <w:sz w:val="21"/>
          <w:szCs w:val="21"/>
        </w:rPr>
        <w:t>、投标有效期、质量要求等实质性内容作出响应，否则按无效标处理。</w:t>
      </w:r>
    </w:p>
    <w:p w14:paraId="20A14A32">
      <w:pPr>
        <w:spacing w:line="360" w:lineRule="auto"/>
        <w:ind w:firstLine="420" w:firstLineChars="200"/>
        <w:rPr>
          <w:rFonts w:hint="eastAsia" w:ascii="宋体" w:hAnsi="宋体" w:eastAsia="宋体" w:cs="宋体"/>
          <w:sz w:val="21"/>
          <w:szCs w:val="21"/>
        </w:rPr>
      </w:pPr>
      <w:bookmarkStart w:id="157" w:name="_Toc144974523"/>
      <w:bookmarkStart w:id="158" w:name="_Toc179632573"/>
      <w:bookmarkStart w:id="159" w:name="_Toc152045555"/>
      <w:bookmarkStart w:id="160" w:name="_Toc152042331"/>
      <w:r>
        <w:rPr>
          <w:rFonts w:hint="eastAsia" w:ascii="宋体" w:hAnsi="宋体" w:eastAsia="宋体" w:cs="宋体"/>
          <w:sz w:val="21"/>
          <w:szCs w:val="21"/>
        </w:rPr>
        <w:t>3.7.3供应商所上传的电子化响应文件，应是通过中心响应文件制作系统制作的，经过签章和加密后生成的电子版响应文件。生成的电子版响应文件包含用于响应文件上传的主文件（项目文件格式为：xxx公司_ 项目名称.file）和用于应急补救的响应文件备份文件（项目文件格式为：xxx公司_ 项目名称.bin），备份文件主要用于电子化开标出现技术问题后的补救，请供应商随身携带。</w:t>
      </w:r>
    </w:p>
    <w:p w14:paraId="1E92EF97">
      <w:pPr>
        <w:spacing w:line="360" w:lineRule="auto"/>
        <w:ind w:firstLine="420" w:firstLineChars="200"/>
        <w:rPr>
          <w:rFonts w:hint="eastAsia" w:ascii="宋体" w:hAnsi="宋体" w:eastAsia="宋体" w:cs="宋体"/>
          <w:b/>
          <w:bCs/>
          <w:sz w:val="21"/>
          <w:szCs w:val="21"/>
        </w:rPr>
      </w:pPr>
      <w:r>
        <w:rPr>
          <w:rFonts w:hint="eastAsia" w:ascii="宋体" w:hAnsi="宋体" w:eastAsia="宋体" w:cs="宋体"/>
          <w:sz w:val="21"/>
          <w:szCs w:val="21"/>
        </w:rPr>
        <w:t>注：（1）供应商投报多个标段的，根据标段制作各个标段的响应文件后上传。</w:t>
      </w:r>
      <w:r>
        <w:rPr>
          <w:rFonts w:hint="eastAsia" w:ascii="宋体" w:hAnsi="宋体" w:eastAsia="宋体" w:cs="宋体"/>
          <w:b/>
          <w:bCs/>
          <w:sz w:val="21"/>
          <w:szCs w:val="21"/>
        </w:rPr>
        <w:t>（本项目不适用）</w:t>
      </w:r>
    </w:p>
    <w:p w14:paraId="15654934">
      <w:pPr>
        <w:pStyle w:val="57"/>
        <w:spacing w:line="360" w:lineRule="auto"/>
        <w:rPr>
          <w:rFonts w:hint="eastAsia" w:ascii="宋体" w:hAnsi="宋体" w:eastAsia="宋体"/>
          <w:b/>
          <w:bCs/>
          <w:sz w:val="21"/>
          <w:szCs w:val="21"/>
        </w:rPr>
      </w:pPr>
      <w:bookmarkStart w:id="161" w:name="_Toc4617"/>
      <w:bookmarkStart w:id="162" w:name="_Toc45177828"/>
      <w:bookmarkStart w:id="163" w:name="_Toc3029"/>
      <w:r>
        <w:rPr>
          <w:rFonts w:hint="eastAsia" w:ascii="宋体" w:hAnsi="宋体" w:eastAsia="宋体"/>
          <w:b/>
          <w:bCs/>
          <w:sz w:val="21"/>
          <w:szCs w:val="21"/>
        </w:rPr>
        <w:t>4. 投标</w:t>
      </w:r>
      <w:bookmarkEnd w:id="157"/>
      <w:bookmarkEnd w:id="158"/>
      <w:bookmarkEnd w:id="159"/>
      <w:bookmarkEnd w:id="160"/>
      <w:bookmarkEnd w:id="161"/>
      <w:bookmarkEnd w:id="162"/>
      <w:bookmarkEnd w:id="163"/>
    </w:p>
    <w:p w14:paraId="29C50718">
      <w:pPr>
        <w:pStyle w:val="58"/>
        <w:spacing w:line="360" w:lineRule="auto"/>
        <w:rPr>
          <w:rFonts w:hint="eastAsia" w:ascii="宋体" w:hAnsi="宋体" w:eastAsia="宋体"/>
          <w:sz w:val="21"/>
          <w:szCs w:val="21"/>
        </w:rPr>
      </w:pPr>
      <w:bookmarkStart w:id="164" w:name="_Toc144974524"/>
      <w:bookmarkStart w:id="165" w:name="_Toc179632574"/>
      <w:bookmarkStart w:id="166" w:name="_Toc152042332"/>
      <w:bookmarkStart w:id="167" w:name="_Toc152045556"/>
      <w:bookmarkStart w:id="168" w:name="_Toc45177829"/>
      <w:bookmarkStart w:id="169" w:name="_Toc3691"/>
      <w:r>
        <w:rPr>
          <w:rFonts w:hint="eastAsia" w:ascii="宋体" w:hAnsi="宋体" w:eastAsia="宋体"/>
          <w:sz w:val="21"/>
          <w:szCs w:val="21"/>
        </w:rPr>
        <w:t>4.1 响应文件的</w:t>
      </w:r>
      <w:bookmarkEnd w:id="164"/>
      <w:bookmarkEnd w:id="165"/>
      <w:bookmarkEnd w:id="166"/>
      <w:bookmarkEnd w:id="167"/>
      <w:r>
        <w:rPr>
          <w:rFonts w:hint="eastAsia" w:ascii="宋体" w:hAnsi="宋体" w:eastAsia="宋体"/>
          <w:sz w:val="21"/>
          <w:szCs w:val="21"/>
        </w:rPr>
        <w:t>递交</w:t>
      </w:r>
      <w:bookmarkEnd w:id="168"/>
      <w:bookmarkEnd w:id="169"/>
    </w:p>
    <w:p w14:paraId="4290C366">
      <w:pPr>
        <w:spacing w:line="360" w:lineRule="auto"/>
        <w:ind w:firstLine="420" w:firstLineChars="200"/>
        <w:rPr>
          <w:rFonts w:hint="eastAsia" w:ascii="宋体" w:hAnsi="宋体" w:eastAsia="宋体" w:cs="宋体"/>
          <w:sz w:val="21"/>
          <w:szCs w:val="21"/>
        </w:rPr>
      </w:pPr>
      <w:bookmarkStart w:id="170" w:name="_Toc300834979"/>
      <w:bookmarkStart w:id="171" w:name="_Toc152045557"/>
      <w:bookmarkStart w:id="172" w:name="_Toc179632575"/>
      <w:bookmarkStart w:id="173" w:name="_Toc152042333"/>
      <w:bookmarkStart w:id="174" w:name="_Toc247513982"/>
      <w:bookmarkStart w:id="175" w:name="_Toc247527583"/>
      <w:bookmarkStart w:id="176" w:name="_Toc144974525"/>
      <w:r>
        <w:rPr>
          <w:rFonts w:hint="eastAsia" w:ascii="宋体" w:hAnsi="宋体" w:eastAsia="宋体" w:cs="宋体"/>
          <w:sz w:val="21"/>
          <w:szCs w:val="21"/>
        </w:rPr>
        <w:t>电子化响应文件应在投标截止时间前成功上传至平顶山市公共资源电子化交易系统。至投标截止时间止，仍未上传成功的电子化响应文件将不予接收。</w:t>
      </w:r>
    </w:p>
    <w:p w14:paraId="059810E5">
      <w:pPr>
        <w:spacing w:line="360" w:lineRule="auto"/>
        <w:ind w:firstLine="422" w:firstLineChars="200"/>
        <w:rPr>
          <w:rFonts w:hint="eastAsia" w:ascii="宋体" w:hAnsi="宋体" w:eastAsia="宋体" w:cs="宋体"/>
          <w:b/>
          <w:sz w:val="21"/>
          <w:szCs w:val="21"/>
        </w:rPr>
      </w:pPr>
      <w:r>
        <w:rPr>
          <w:rFonts w:hint="eastAsia" w:ascii="宋体" w:hAnsi="宋体" w:eastAsia="宋体" w:cs="宋体"/>
          <w:b/>
          <w:sz w:val="21"/>
          <w:szCs w:val="21"/>
        </w:rPr>
        <w:t>注：如按照电子化投标操作教材制作完成的电子化响应文件无法上传的，供应商应在投标截止时间前尽早的联系中心技术人员，以便有充分的时间进行处理。供应商应充分考虑到处理技术问题和上传数据等工作所需的时间问题，响应文件未在投标截止时间前成功上传的，其响应文件不予接收。</w:t>
      </w:r>
    </w:p>
    <w:bookmarkEnd w:id="170"/>
    <w:bookmarkEnd w:id="171"/>
    <w:bookmarkEnd w:id="172"/>
    <w:bookmarkEnd w:id="173"/>
    <w:bookmarkEnd w:id="174"/>
    <w:bookmarkEnd w:id="175"/>
    <w:bookmarkEnd w:id="176"/>
    <w:p w14:paraId="33E38B63">
      <w:pPr>
        <w:pStyle w:val="57"/>
        <w:spacing w:line="360" w:lineRule="auto"/>
        <w:rPr>
          <w:rFonts w:hint="eastAsia" w:ascii="宋体" w:hAnsi="宋体" w:eastAsia="宋体"/>
          <w:b/>
          <w:bCs/>
          <w:sz w:val="21"/>
          <w:szCs w:val="21"/>
        </w:rPr>
      </w:pPr>
      <w:bookmarkStart w:id="177" w:name="_Toc45177830"/>
      <w:bookmarkStart w:id="178" w:name="_Toc179632577"/>
      <w:bookmarkStart w:id="179" w:name="_Toc152042335"/>
      <w:bookmarkStart w:id="180" w:name="_Toc144974527"/>
      <w:bookmarkStart w:id="181" w:name="_Toc152045559"/>
      <w:bookmarkStart w:id="182" w:name="_Toc1819"/>
      <w:bookmarkStart w:id="183" w:name="_Toc10796"/>
      <w:r>
        <w:rPr>
          <w:rFonts w:hint="eastAsia" w:ascii="宋体" w:hAnsi="宋体" w:eastAsia="宋体"/>
          <w:b/>
          <w:bCs/>
          <w:sz w:val="21"/>
          <w:szCs w:val="21"/>
        </w:rPr>
        <w:t>5. 开标</w:t>
      </w:r>
      <w:bookmarkEnd w:id="177"/>
      <w:bookmarkEnd w:id="178"/>
      <w:bookmarkEnd w:id="179"/>
      <w:bookmarkEnd w:id="180"/>
      <w:bookmarkEnd w:id="181"/>
      <w:bookmarkEnd w:id="182"/>
      <w:bookmarkEnd w:id="183"/>
    </w:p>
    <w:p w14:paraId="13B8D2E9">
      <w:pPr>
        <w:pStyle w:val="58"/>
        <w:spacing w:line="360" w:lineRule="auto"/>
        <w:rPr>
          <w:rFonts w:hint="eastAsia" w:ascii="宋体" w:hAnsi="宋体" w:eastAsia="宋体"/>
          <w:sz w:val="21"/>
          <w:szCs w:val="21"/>
        </w:rPr>
      </w:pPr>
      <w:bookmarkStart w:id="184" w:name="_Toc179632578"/>
      <w:bookmarkStart w:id="185" w:name="_Toc144974528"/>
      <w:bookmarkStart w:id="186" w:name="_Toc152045560"/>
      <w:bookmarkStart w:id="187" w:name="_Toc45177831"/>
      <w:bookmarkStart w:id="188" w:name="_Toc9744"/>
      <w:bookmarkStart w:id="189" w:name="_Toc152042336"/>
      <w:r>
        <w:rPr>
          <w:rFonts w:hint="eastAsia" w:ascii="宋体" w:hAnsi="宋体" w:eastAsia="宋体"/>
          <w:sz w:val="21"/>
          <w:szCs w:val="21"/>
        </w:rPr>
        <w:t>5.1 开标时间和地点</w:t>
      </w:r>
      <w:bookmarkEnd w:id="184"/>
      <w:bookmarkEnd w:id="185"/>
      <w:bookmarkEnd w:id="186"/>
      <w:bookmarkEnd w:id="187"/>
      <w:bookmarkEnd w:id="188"/>
      <w:bookmarkEnd w:id="189"/>
    </w:p>
    <w:p w14:paraId="42DA0B6B">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采购人在本章前附表第2.2.2项规定的投标截止时间（开标时间）和供应商须知前附表规定的地点开标。（</w:t>
      </w:r>
      <w:r>
        <w:rPr>
          <w:rFonts w:hint="eastAsia" w:ascii="宋体" w:hAnsi="宋体" w:eastAsia="宋体" w:cs="宋体"/>
          <w:b/>
          <w:sz w:val="21"/>
          <w:szCs w:val="21"/>
        </w:rPr>
        <w:t>注：全面实行在线“不见面”开标，投标人远程在线解密投标文件，不再到开标现场，投标人开标前应仔细阅读《“不见面”开标注意事项及操作流程》。</w:t>
      </w:r>
      <w:r>
        <w:rPr>
          <w:rFonts w:hint="eastAsia" w:ascii="宋体" w:hAnsi="宋体" w:eastAsia="宋体" w:cs="宋体"/>
          <w:sz w:val="21"/>
          <w:szCs w:val="21"/>
        </w:rPr>
        <w:t>）</w:t>
      </w:r>
    </w:p>
    <w:p w14:paraId="6DA49519">
      <w:pPr>
        <w:pStyle w:val="58"/>
        <w:spacing w:line="360" w:lineRule="auto"/>
        <w:rPr>
          <w:rFonts w:hint="eastAsia" w:ascii="宋体" w:hAnsi="宋体" w:eastAsia="宋体"/>
          <w:sz w:val="21"/>
          <w:szCs w:val="21"/>
        </w:rPr>
      </w:pPr>
      <w:bookmarkStart w:id="190" w:name="_Toc22492"/>
      <w:bookmarkStart w:id="191" w:name="_Toc179632579"/>
      <w:bookmarkStart w:id="192" w:name="_Toc152042337"/>
      <w:bookmarkStart w:id="193" w:name="_Toc152045561"/>
      <w:bookmarkStart w:id="194" w:name="_Toc45177832"/>
      <w:bookmarkStart w:id="195" w:name="_Toc144974529"/>
      <w:r>
        <w:rPr>
          <w:rFonts w:hint="eastAsia" w:ascii="宋体" w:hAnsi="宋体" w:eastAsia="宋体"/>
          <w:sz w:val="21"/>
          <w:szCs w:val="21"/>
        </w:rPr>
        <w:t>5.2 开标程序</w:t>
      </w:r>
      <w:bookmarkEnd w:id="190"/>
      <w:bookmarkEnd w:id="191"/>
      <w:bookmarkEnd w:id="192"/>
      <w:bookmarkEnd w:id="193"/>
      <w:bookmarkEnd w:id="194"/>
      <w:bookmarkEnd w:id="195"/>
    </w:p>
    <w:p w14:paraId="0EF53B77">
      <w:pPr>
        <w:spacing w:line="360" w:lineRule="auto"/>
        <w:ind w:firstLine="420" w:firstLineChars="200"/>
        <w:rPr>
          <w:rFonts w:hint="eastAsia" w:ascii="宋体" w:hAnsi="宋体" w:eastAsia="宋体" w:cs="宋体"/>
          <w:sz w:val="21"/>
          <w:szCs w:val="21"/>
        </w:rPr>
      </w:pPr>
      <w:bookmarkStart w:id="196" w:name="_Toc144974530"/>
      <w:bookmarkStart w:id="197" w:name="_Toc152042338"/>
      <w:bookmarkStart w:id="198" w:name="_Toc179632580"/>
      <w:bookmarkStart w:id="199" w:name="_Toc152045562"/>
      <w:r>
        <w:rPr>
          <w:rFonts w:hint="eastAsia" w:ascii="宋体" w:hAnsi="宋体" w:eastAsia="宋体" w:cs="宋体"/>
          <w:sz w:val="21"/>
          <w:szCs w:val="21"/>
        </w:rPr>
        <w:t>电子化项目开标、解密、唱标、评标</w:t>
      </w:r>
    </w:p>
    <w:p w14:paraId="270A5D10">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5.2.1电子化响应文件采用双重加密方式。开标时，首先由供应商使用CA证书，在规定时间内对其电子化响应文件进行首次解密，供应商解密完成后，再由中介服务机构使用CA证书对响应文件进行再次解密。</w:t>
      </w:r>
    </w:p>
    <w:p w14:paraId="53DEF79E">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5.2.2电子化响应文件解密异常的处理</w:t>
      </w:r>
    </w:p>
    <w:p w14:paraId="7879298D">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如出现供应商的电子响应文件无法解密的情况，供应商应及时联系中介服务机构说明。响应文件解密异常，按以下步骤进行处理：</w:t>
      </w:r>
    </w:p>
    <w:p w14:paraId="17491219">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（1）首先由技术人员进行问题排查。</w:t>
      </w:r>
    </w:p>
    <w:p w14:paraId="714175C2">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（2）经技术人员排查后，是供应商文件自身问题导致响应文件无法解密的，该响应文件将不予接收、解密和唱标，开标会议继续进行。</w:t>
      </w:r>
    </w:p>
    <w:p w14:paraId="490538C1">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3）经技术人员排查后，如果是电子化交易系统问题造成响应文件无法解密的，将由技术人员对问题进行处理。如短时间内问题无法解决的，将由中介服务机构向监督部门申请，经监督部门同意后，暂停开标会议，待问题解决后继续开标。</w:t>
      </w:r>
    </w:p>
    <w:p w14:paraId="02BD4C89">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5.2.3待所有供应商响应文件解密完成后，由中介服务机构操作，对所有已解密响应文件进行唱标。</w:t>
      </w:r>
    </w:p>
    <w:p w14:paraId="2723E844">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5.2.4评标时，磋商小组对电子化响应文件有质疑的，将通过电子化交易系统对供应商发起质疑。质疑回复内容确认后，供应商的回复文件必须以经过供应商和其法定代表人签章的PDF格式文件为准，并通过电子化交易系统提交至磋商小组。</w:t>
      </w:r>
    </w:p>
    <w:p w14:paraId="11E19120">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5.2.5如磋商小组对需要回复的供应商回复内容有异议的，经过几次回复仍不清楚的，需在监督下进行免提电话进行质疑。</w:t>
      </w:r>
    </w:p>
    <w:p w14:paraId="20F987F7">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5.2.6评标时如因系统异常、停电、电脑病毒、网络堵塞等原因无法正常进行的，由技术人员排查解决，短时间无法解决的，经监督部门同意后，暂停评标活动，待问题解决后继续评标。</w:t>
      </w:r>
    </w:p>
    <w:p w14:paraId="337E4EBE">
      <w:pPr>
        <w:pStyle w:val="57"/>
        <w:spacing w:line="360" w:lineRule="auto"/>
        <w:rPr>
          <w:rFonts w:hint="eastAsia" w:ascii="宋体" w:hAnsi="宋体" w:eastAsia="宋体"/>
          <w:b/>
          <w:bCs/>
          <w:sz w:val="21"/>
          <w:szCs w:val="21"/>
        </w:rPr>
      </w:pPr>
      <w:bookmarkStart w:id="200" w:name="_Toc22848"/>
      <w:bookmarkStart w:id="201" w:name="_Toc629"/>
      <w:bookmarkStart w:id="202" w:name="_Toc45177833"/>
      <w:r>
        <w:rPr>
          <w:rFonts w:hint="eastAsia" w:ascii="宋体" w:hAnsi="宋体" w:eastAsia="宋体"/>
          <w:b/>
          <w:bCs/>
          <w:sz w:val="21"/>
          <w:szCs w:val="21"/>
        </w:rPr>
        <w:t>6. 评标</w:t>
      </w:r>
      <w:bookmarkEnd w:id="196"/>
      <w:bookmarkEnd w:id="197"/>
      <w:bookmarkEnd w:id="198"/>
      <w:bookmarkEnd w:id="199"/>
      <w:bookmarkEnd w:id="200"/>
      <w:bookmarkEnd w:id="201"/>
      <w:bookmarkEnd w:id="202"/>
    </w:p>
    <w:p w14:paraId="29A8F7B5">
      <w:pPr>
        <w:pStyle w:val="58"/>
        <w:spacing w:line="360" w:lineRule="auto"/>
        <w:rPr>
          <w:rFonts w:hint="eastAsia" w:ascii="宋体" w:hAnsi="宋体" w:eastAsia="宋体"/>
          <w:sz w:val="21"/>
          <w:szCs w:val="21"/>
        </w:rPr>
      </w:pPr>
      <w:bookmarkStart w:id="203" w:name="_Toc144974531"/>
      <w:bookmarkStart w:id="204" w:name="_Toc15148"/>
      <w:bookmarkStart w:id="205" w:name="_Toc45177834"/>
      <w:bookmarkStart w:id="206" w:name="_Toc152045563"/>
      <w:bookmarkStart w:id="207" w:name="_Toc152042339"/>
      <w:bookmarkStart w:id="208" w:name="_Toc179632581"/>
      <w:r>
        <w:rPr>
          <w:rFonts w:hint="eastAsia" w:ascii="宋体" w:hAnsi="宋体" w:eastAsia="宋体"/>
          <w:sz w:val="21"/>
          <w:szCs w:val="21"/>
        </w:rPr>
        <w:t>6.1 磋商小组</w:t>
      </w:r>
      <w:bookmarkEnd w:id="203"/>
      <w:bookmarkEnd w:id="204"/>
      <w:bookmarkEnd w:id="205"/>
      <w:bookmarkEnd w:id="206"/>
      <w:bookmarkEnd w:id="207"/>
      <w:bookmarkEnd w:id="208"/>
    </w:p>
    <w:p w14:paraId="46C45E10">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6.1.1磋商小组由采购人代表和评审专家共3人以上单数组成，其中评审专家人数不得少于磋商小组成员总数的2/3，评审专家在相关专家库中随机抽取。（</w:t>
      </w:r>
      <w:r>
        <w:rPr>
          <w:rFonts w:hint="eastAsia" w:ascii="宋体" w:hAnsi="宋体" w:eastAsia="宋体" w:cs="宋体"/>
          <w:b/>
          <w:sz w:val="21"/>
          <w:szCs w:val="21"/>
        </w:rPr>
        <w:t>上述规定为一组评标专家组成方式，根据项目标段数量和评标工作量，可由多组专家完成评审，但一个标段只能由一组专家评审）</w:t>
      </w:r>
      <w:r>
        <w:rPr>
          <w:rFonts w:hint="eastAsia" w:ascii="宋体" w:hAnsi="宋体" w:eastAsia="宋体" w:cs="宋体"/>
          <w:sz w:val="21"/>
          <w:szCs w:val="21"/>
        </w:rPr>
        <w:t>。</w:t>
      </w:r>
    </w:p>
    <w:p w14:paraId="491ECD61">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6.1.2 磋商小组成员有下列情形之一的，应当回避：</w:t>
      </w:r>
    </w:p>
    <w:p w14:paraId="2727644C">
      <w:pPr>
        <w:spacing w:line="360" w:lineRule="auto"/>
        <w:ind w:firstLine="718" w:firstLineChars="342"/>
        <w:rPr>
          <w:rFonts w:hint="eastAsia" w:ascii="宋体" w:hAnsi="宋体" w:eastAsia="宋体" w:cs="宋体"/>
          <w:sz w:val="21"/>
          <w:szCs w:val="21"/>
        </w:rPr>
      </w:pPr>
      <w:r>
        <w:rPr>
          <w:rFonts w:hint="eastAsia" w:ascii="宋体" w:hAnsi="宋体" w:eastAsia="宋体" w:cs="宋体"/>
          <w:sz w:val="21"/>
          <w:szCs w:val="21"/>
        </w:rPr>
        <w:t>（1）采购人或供应商的主要负责人的近亲属；</w:t>
      </w:r>
    </w:p>
    <w:p w14:paraId="6AA0D7C9">
      <w:pPr>
        <w:spacing w:line="360" w:lineRule="auto"/>
        <w:ind w:firstLine="718" w:firstLineChars="342"/>
        <w:rPr>
          <w:rFonts w:hint="eastAsia" w:ascii="宋体" w:hAnsi="宋体" w:eastAsia="宋体" w:cs="宋体"/>
          <w:sz w:val="21"/>
          <w:szCs w:val="21"/>
        </w:rPr>
      </w:pPr>
      <w:r>
        <w:rPr>
          <w:rFonts w:hint="eastAsia" w:ascii="宋体" w:hAnsi="宋体" w:eastAsia="宋体" w:cs="宋体"/>
          <w:sz w:val="21"/>
          <w:szCs w:val="21"/>
        </w:rPr>
        <w:t>（2）项目主管部门或者行政监督部门的人员；</w:t>
      </w:r>
    </w:p>
    <w:p w14:paraId="15DE2474">
      <w:pPr>
        <w:spacing w:line="360" w:lineRule="auto"/>
        <w:ind w:firstLine="718" w:firstLineChars="342"/>
        <w:rPr>
          <w:rFonts w:hint="eastAsia" w:ascii="宋体" w:hAnsi="宋体" w:eastAsia="宋体" w:cs="宋体"/>
          <w:sz w:val="21"/>
          <w:szCs w:val="21"/>
        </w:rPr>
      </w:pPr>
      <w:r>
        <w:rPr>
          <w:rFonts w:hint="eastAsia" w:ascii="宋体" w:hAnsi="宋体" w:eastAsia="宋体" w:cs="宋体"/>
          <w:sz w:val="21"/>
          <w:szCs w:val="21"/>
        </w:rPr>
        <w:t>（3）与供应商有经济利益关系，可能影响对投标公正评审的；</w:t>
      </w:r>
    </w:p>
    <w:p w14:paraId="70DEFCED">
      <w:pPr>
        <w:spacing w:line="360" w:lineRule="auto"/>
        <w:ind w:firstLine="718" w:firstLineChars="342"/>
        <w:rPr>
          <w:rFonts w:hint="eastAsia" w:ascii="宋体" w:hAnsi="宋体" w:eastAsia="宋体" w:cs="宋体"/>
          <w:sz w:val="21"/>
          <w:szCs w:val="21"/>
        </w:rPr>
      </w:pPr>
      <w:r>
        <w:rPr>
          <w:rFonts w:hint="eastAsia" w:ascii="宋体" w:hAnsi="宋体" w:eastAsia="宋体" w:cs="宋体"/>
          <w:sz w:val="21"/>
          <w:szCs w:val="21"/>
        </w:rPr>
        <w:t>（4）曾因在招标、评标以及其他与招标投标有关活动中从事违法行为而受过行政处罚或刑事处罚的。</w:t>
      </w:r>
    </w:p>
    <w:p w14:paraId="6F3459E5">
      <w:pPr>
        <w:pStyle w:val="58"/>
        <w:tabs>
          <w:tab w:val="left" w:pos="2620"/>
        </w:tabs>
        <w:spacing w:line="360" w:lineRule="auto"/>
        <w:rPr>
          <w:rFonts w:hint="eastAsia" w:ascii="宋体" w:hAnsi="宋体" w:eastAsia="宋体"/>
          <w:sz w:val="21"/>
          <w:szCs w:val="21"/>
        </w:rPr>
      </w:pPr>
      <w:bookmarkStart w:id="209" w:name="_Toc152045564"/>
      <w:bookmarkStart w:id="210" w:name="_Toc152042340"/>
      <w:bookmarkStart w:id="211" w:name="_Toc179632582"/>
      <w:bookmarkStart w:id="212" w:name="_Toc9165"/>
      <w:bookmarkStart w:id="213" w:name="_Toc144974532"/>
      <w:bookmarkStart w:id="214" w:name="_Toc45177835"/>
      <w:r>
        <w:rPr>
          <w:rFonts w:hint="eastAsia" w:ascii="宋体" w:hAnsi="宋体" w:eastAsia="宋体"/>
          <w:sz w:val="21"/>
          <w:szCs w:val="21"/>
        </w:rPr>
        <w:t>6.2 磋商原则</w:t>
      </w:r>
      <w:bookmarkEnd w:id="209"/>
      <w:bookmarkEnd w:id="210"/>
      <w:bookmarkEnd w:id="211"/>
      <w:bookmarkEnd w:id="212"/>
      <w:bookmarkEnd w:id="213"/>
      <w:bookmarkEnd w:id="214"/>
      <w:r>
        <w:rPr>
          <w:rFonts w:hint="eastAsia" w:ascii="宋体" w:hAnsi="宋体" w:eastAsia="宋体"/>
          <w:sz w:val="21"/>
          <w:szCs w:val="21"/>
        </w:rPr>
        <w:tab/>
      </w:r>
    </w:p>
    <w:p w14:paraId="3DA264F7">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6.2.1统一性原则：磋商小组将按照统一的磋商程序和磋商方法，用同一标准进行磋商；</w:t>
      </w:r>
    </w:p>
    <w:p w14:paraId="65443D72">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6.2.2独立性原则：磋商工作在磋商小组内部独立进行，不受外界任何因素的干扰和影响。磋商小组成员对出具的评审意见承担个人责任；</w:t>
      </w:r>
    </w:p>
    <w:p w14:paraId="197B5518">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6.2.3综合性原则：磋商小组将综合分析、评审磋商供应商的各项指标，磋商小组按照竞争性磋商文件规定的磋商办法和标准对各供应商进行综合评定；</w:t>
      </w:r>
    </w:p>
    <w:p w14:paraId="7953EAF4">
      <w:pPr>
        <w:spacing w:line="360" w:lineRule="auto"/>
        <w:ind w:firstLine="420" w:firstLineChars="200"/>
        <w:rPr>
          <w:rStyle w:val="79"/>
          <w:rFonts w:hint="eastAsia" w:hAnsi="宋体" w:eastAsia="宋体"/>
          <w:sz w:val="21"/>
          <w:szCs w:val="21"/>
        </w:rPr>
      </w:pPr>
      <w:r>
        <w:rPr>
          <w:rFonts w:hint="eastAsia" w:ascii="宋体" w:hAnsi="宋体" w:eastAsia="宋体" w:cs="宋体"/>
          <w:sz w:val="21"/>
          <w:szCs w:val="21"/>
        </w:rPr>
        <w:t>6.2.4保密性原则：采购人或采</w:t>
      </w:r>
      <w:r>
        <w:rPr>
          <w:rStyle w:val="79"/>
          <w:rFonts w:hint="eastAsia" w:hAnsi="宋体" w:eastAsia="宋体"/>
          <w:sz w:val="21"/>
          <w:szCs w:val="21"/>
        </w:rPr>
        <w:t>购代理机构将采取必要的措施，保证磋商在严格保密的情况下进行。</w:t>
      </w:r>
    </w:p>
    <w:p w14:paraId="48F69241">
      <w:pPr>
        <w:spacing w:line="360" w:lineRule="auto"/>
        <w:ind w:firstLine="420" w:firstLineChars="200"/>
        <w:rPr>
          <w:rStyle w:val="79"/>
          <w:rFonts w:hint="eastAsia" w:hAnsi="宋体" w:eastAsia="宋体"/>
          <w:sz w:val="21"/>
          <w:szCs w:val="21"/>
        </w:rPr>
      </w:pPr>
      <w:r>
        <w:rPr>
          <w:rStyle w:val="79"/>
          <w:rFonts w:hint="eastAsia" w:hAnsi="宋体" w:eastAsia="宋体"/>
          <w:sz w:val="21"/>
          <w:szCs w:val="21"/>
        </w:rPr>
        <w:t>6.2.5磋商小组成员应当按照客观、公正、审慎的原则，根据磋商文件规定的评审程序、评审方法和评审标准进行独立评审。未实质性响应磋商文件的响应文件按无效响应处理，磋商小组应当告知提交响应文件的供应商。磋商文件内容违反国家有关强制性规定的，磋商小组应当停止评审并向采购人或者采购代理机构说明情况。</w:t>
      </w:r>
    </w:p>
    <w:p w14:paraId="2B980ACE">
      <w:pPr>
        <w:spacing w:line="360" w:lineRule="auto"/>
        <w:rPr>
          <w:rFonts w:hint="eastAsia" w:ascii="宋体" w:hAnsi="宋体" w:eastAsia="宋体" w:cs="宋体"/>
          <w:b/>
          <w:bCs/>
          <w:sz w:val="21"/>
          <w:szCs w:val="21"/>
        </w:rPr>
      </w:pPr>
      <w:bookmarkStart w:id="215" w:name="bookmark25"/>
      <w:r>
        <w:rPr>
          <w:rStyle w:val="81"/>
          <w:rFonts w:hint="eastAsia" w:hAnsi="宋体" w:eastAsia="宋体"/>
          <w:b w:val="0"/>
          <w:bCs w:val="0"/>
          <w:sz w:val="21"/>
          <w:szCs w:val="21"/>
        </w:rPr>
        <w:t>6.3磋商程序、内容</w:t>
      </w:r>
      <w:bookmarkEnd w:id="215"/>
    </w:p>
    <w:p w14:paraId="2312291C">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6.3.1</w:t>
      </w:r>
      <w:r>
        <w:rPr>
          <w:rFonts w:hint="eastAsia" w:ascii="宋体" w:hAnsi="宋体" w:eastAsia="宋体" w:cs="宋体"/>
          <w:sz w:val="21"/>
          <w:szCs w:val="21"/>
          <w:lang w:val="en-US" w:eastAsia="zh-CN"/>
        </w:rPr>
        <w:t>二次磋商报价为网络报价，无需到达开标现场</w:t>
      </w:r>
      <w:r>
        <w:rPr>
          <w:rFonts w:hint="eastAsia" w:ascii="宋体" w:hAnsi="宋体" w:eastAsia="宋体" w:cs="宋体"/>
          <w:sz w:val="21"/>
          <w:szCs w:val="21"/>
        </w:rPr>
        <w:t>；</w:t>
      </w:r>
    </w:p>
    <w:p w14:paraId="09E4CB88">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6.3.2首次报价即响应文件中报价结束后，磋商小组要对各供应商的资格性、递交的响应文件的符合性进行审阅，以判定各供应商资格、响应文件的有效性，审阅结束后，确定进入最终报价磋商阶段的供应商名单；</w:t>
      </w:r>
    </w:p>
    <w:p w14:paraId="64AA839D">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p>
    <w:p w14:paraId="3AF78A9A">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磋商小组要求供应商澄清、说明或者更正响应文件应当以书面形式作出。供应商的澄清、说明或者更正应当由法定代表人或其授权代表签字或者加盖公章。由授权代表签字的，应当附法定代表人授权书。</w:t>
      </w:r>
    </w:p>
    <w:p w14:paraId="44247BB8">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6.3.3磋商小组所有成员应当集中与单一供应商分别进行磋商，并给予所有参加磋商的供应商平等的磋商机会；</w:t>
      </w:r>
    </w:p>
    <w:p w14:paraId="4ACC0AB5">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6.3.4在磋商过程中，磋商小组可以根据磋商文件和磋商情况实质性变动采购需求中的技术、服务要求以及合同草案条款，但不得变动磋商文件中的其他内容。实质性变动的内容，须经采购人代表确认。对磋商文件作出的实质性变动是磋商文件的有效组成部分，磋商小组应当及时以书面形式同时通知所有参加磋商的供应商。供应商应当按照磋商文件的变动情况和磋商小组的要求重新提交响应文件，并由其法定代表人或授权代表签字或者加盖公章，由授权代表签字的，应当附法定代表人授权书；</w:t>
      </w:r>
    </w:p>
    <w:p w14:paraId="450D1E23">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6.3.5磋商结束后，磋商小组应当要求所有实质性响应的供应商在规定时间内提交最后报价，提交最后报价的供应商不得少于3家，最后报价是供应商响应文件的有效组成部分;</w:t>
      </w:r>
    </w:p>
    <w:p w14:paraId="409EE457">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6.3.6已提交响应文件的供应商，在提交最后报价之前，可以根据磋商情况退出磋商。采购人、采购代理机构应当退还退出磋商的供应商的磋商保证金；</w:t>
      </w:r>
    </w:p>
    <w:p w14:paraId="61752FC6">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6.3.7经磋商确定最终采购需求和提交最后报价的供应商后，由磋商小组采用综合评分法对提交最后报价的供应商的响应文件和最后报价进行综合评分；</w:t>
      </w:r>
    </w:p>
    <w:p w14:paraId="08348916">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6.3.8磋商小组根据综合评分情况，按照评审得分由高到低顺序推荐3名成交候选供应商，并编写评审报告。评审得分相同的，按照最后报价由低到高的顺序推荐。评审得分且最后报价相同的，按照服务方案优劣顺序推荐；</w:t>
      </w:r>
    </w:p>
    <w:p w14:paraId="18AC9A28">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6.3.9由采购人向成交方签发成交结果通知书；</w:t>
      </w:r>
    </w:p>
    <w:p w14:paraId="699817A2">
      <w:pPr>
        <w:pStyle w:val="31"/>
        <w:spacing w:line="360" w:lineRule="auto"/>
        <w:ind w:left="0" w:leftChars="0"/>
        <w:rPr>
          <w:rFonts w:hint="eastAsia" w:ascii="宋体" w:hAnsi="宋体" w:cs="宋体"/>
          <w:szCs w:val="21"/>
        </w:rPr>
      </w:pPr>
      <w:r>
        <w:rPr>
          <w:rFonts w:hint="eastAsia" w:ascii="宋体" w:hAnsi="宋体" w:cs="宋体"/>
          <w:szCs w:val="21"/>
        </w:rPr>
        <w:t>6.3.10供需双方签订服务合同。</w:t>
      </w:r>
    </w:p>
    <w:p w14:paraId="255A1845">
      <w:pPr>
        <w:pStyle w:val="57"/>
        <w:spacing w:line="360" w:lineRule="auto"/>
        <w:rPr>
          <w:rFonts w:hint="eastAsia" w:ascii="宋体" w:hAnsi="宋体" w:eastAsia="宋体"/>
          <w:b/>
          <w:bCs/>
          <w:sz w:val="21"/>
          <w:szCs w:val="21"/>
        </w:rPr>
      </w:pPr>
      <w:bookmarkStart w:id="216" w:name="_Toc10592"/>
      <w:bookmarkStart w:id="217" w:name="_Toc152045566"/>
      <w:bookmarkStart w:id="218" w:name="_Toc45177836"/>
      <w:bookmarkStart w:id="219" w:name="_Toc15526"/>
      <w:bookmarkStart w:id="220" w:name="_Toc179632584"/>
      <w:bookmarkStart w:id="221" w:name="_Toc144974534"/>
      <w:bookmarkStart w:id="222" w:name="_Toc152042342"/>
      <w:r>
        <w:rPr>
          <w:rFonts w:hint="eastAsia" w:ascii="宋体" w:hAnsi="宋体" w:eastAsia="宋体"/>
          <w:b/>
          <w:bCs/>
          <w:sz w:val="21"/>
          <w:szCs w:val="21"/>
        </w:rPr>
        <w:t>7. 合同授予</w:t>
      </w:r>
      <w:bookmarkEnd w:id="216"/>
      <w:bookmarkEnd w:id="217"/>
      <w:bookmarkEnd w:id="218"/>
      <w:bookmarkEnd w:id="219"/>
      <w:bookmarkEnd w:id="220"/>
      <w:bookmarkEnd w:id="221"/>
      <w:bookmarkEnd w:id="222"/>
    </w:p>
    <w:p w14:paraId="4E720F3C">
      <w:pPr>
        <w:pStyle w:val="58"/>
        <w:spacing w:line="360" w:lineRule="auto"/>
        <w:rPr>
          <w:rFonts w:hint="eastAsia" w:ascii="宋体" w:hAnsi="宋体" w:eastAsia="宋体"/>
          <w:sz w:val="21"/>
          <w:szCs w:val="21"/>
        </w:rPr>
      </w:pPr>
      <w:bookmarkStart w:id="223" w:name="_Toc45177837"/>
      <w:bookmarkStart w:id="224" w:name="_Toc16409"/>
      <w:bookmarkStart w:id="225" w:name="_Toc144974535"/>
      <w:bookmarkStart w:id="226" w:name="_Toc179632585"/>
      <w:bookmarkStart w:id="227" w:name="_Toc152042343"/>
      <w:bookmarkStart w:id="228" w:name="_Toc152045567"/>
      <w:r>
        <w:rPr>
          <w:rFonts w:hint="eastAsia" w:ascii="宋体" w:hAnsi="宋体" w:eastAsia="宋体"/>
          <w:sz w:val="21"/>
          <w:szCs w:val="21"/>
        </w:rPr>
        <w:t>7.1 定标方式</w:t>
      </w:r>
      <w:bookmarkEnd w:id="223"/>
      <w:bookmarkEnd w:id="224"/>
      <w:bookmarkEnd w:id="225"/>
      <w:bookmarkEnd w:id="226"/>
      <w:bookmarkEnd w:id="227"/>
      <w:bookmarkEnd w:id="228"/>
    </w:p>
    <w:p w14:paraId="7D18CB25">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除供应商须知前附表规定磋商小组直接确定成交人外，采购人依据磋商小组推荐的成交候选人确定成交人，磋商小组推荐成交候选人的人数见供应商须知前附表。</w:t>
      </w:r>
    </w:p>
    <w:p w14:paraId="438E330E">
      <w:pPr>
        <w:pStyle w:val="58"/>
        <w:spacing w:line="360" w:lineRule="auto"/>
        <w:rPr>
          <w:rFonts w:hint="eastAsia" w:ascii="宋体" w:hAnsi="宋体" w:eastAsia="宋体"/>
          <w:sz w:val="21"/>
          <w:szCs w:val="21"/>
        </w:rPr>
      </w:pPr>
      <w:bookmarkStart w:id="229" w:name="_Toc179632586"/>
      <w:bookmarkStart w:id="230" w:name="_Toc14652"/>
      <w:bookmarkStart w:id="231" w:name="_Toc144974536"/>
      <w:bookmarkStart w:id="232" w:name="_Toc152045568"/>
      <w:bookmarkStart w:id="233" w:name="_Toc45177838"/>
      <w:bookmarkStart w:id="234" w:name="_Toc152042344"/>
      <w:r>
        <w:rPr>
          <w:rFonts w:hint="eastAsia" w:ascii="宋体" w:hAnsi="宋体" w:eastAsia="宋体"/>
          <w:sz w:val="21"/>
          <w:szCs w:val="21"/>
        </w:rPr>
        <w:t>7.2 中标通知</w:t>
      </w:r>
      <w:bookmarkEnd w:id="229"/>
      <w:bookmarkEnd w:id="230"/>
      <w:bookmarkEnd w:id="231"/>
      <w:bookmarkEnd w:id="232"/>
      <w:bookmarkEnd w:id="233"/>
      <w:bookmarkEnd w:id="234"/>
    </w:p>
    <w:p w14:paraId="2A7D30BB">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在本章第3.3款规定的投标有效期内，采购人以书面形式向成交人发出成交通知书，同时将成交结果通知未中标的供应商。</w:t>
      </w:r>
    </w:p>
    <w:p w14:paraId="59EAB670">
      <w:pPr>
        <w:pStyle w:val="58"/>
        <w:spacing w:line="360" w:lineRule="auto"/>
        <w:rPr>
          <w:rFonts w:hint="eastAsia" w:ascii="宋体" w:hAnsi="宋体" w:eastAsia="宋体"/>
          <w:sz w:val="21"/>
          <w:szCs w:val="21"/>
        </w:rPr>
      </w:pPr>
      <w:bookmarkStart w:id="235" w:name="_Toc152045569"/>
      <w:bookmarkStart w:id="236" w:name="_Toc144974537"/>
      <w:bookmarkStart w:id="237" w:name="_Toc152042345"/>
      <w:bookmarkStart w:id="238" w:name="_Toc179632587"/>
      <w:bookmarkStart w:id="239" w:name="_Toc45177839"/>
      <w:bookmarkStart w:id="240" w:name="_Toc15124"/>
      <w:r>
        <w:rPr>
          <w:rFonts w:hint="eastAsia" w:ascii="宋体" w:hAnsi="宋体" w:eastAsia="宋体"/>
          <w:sz w:val="21"/>
          <w:szCs w:val="21"/>
        </w:rPr>
        <w:t>7.3 履约担保</w:t>
      </w:r>
      <w:bookmarkEnd w:id="235"/>
      <w:bookmarkEnd w:id="236"/>
      <w:bookmarkEnd w:id="237"/>
      <w:bookmarkEnd w:id="238"/>
      <w:r>
        <w:rPr>
          <w:rFonts w:hint="eastAsia" w:ascii="宋体" w:hAnsi="宋体" w:eastAsia="宋体"/>
          <w:b/>
          <w:sz w:val="21"/>
          <w:szCs w:val="21"/>
        </w:rPr>
        <w:t>（本项目不适用）</w:t>
      </w:r>
      <w:bookmarkEnd w:id="239"/>
      <w:bookmarkEnd w:id="240"/>
    </w:p>
    <w:p w14:paraId="799F1692">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7.3.1在签订合同前，成交人应按供应商须知前附表规定的金额、担保形式和磋商文件第四章“合同条款及格式”规定的履约担保格式向采购人提交履约担保，工程竣工后如无拖欠农民工工资情况即行退还。</w:t>
      </w:r>
    </w:p>
    <w:p w14:paraId="22DCAC5D">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7.3.2 成交人不能按本章第7.3.1项要求提交履约担保的，视为放弃中标，其投标保证金不予退还。</w:t>
      </w:r>
    </w:p>
    <w:p w14:paraId="18A80BC8">
      <w:pPr>
        <w:pStyle w:val="58"/>
        <w:spacing w:line="360" w:lineRule="auto"/>
        <w:rPr>
          <w:rFonts w:hint="eastAsia" w:ascii="宋体" w:hAnsi="宋体" w:eastAsia="宋体"/>
          <w:sz w:val="21"/>
          <w:szCs w:val="21"/>
        </w:rPr>
      </w:pPr>
      <w:bookmarkStart w:id="241" w:name="_Toc152042346"/>
      <w:bookmarkStart w:id="242" w:name="_Toc179632588"/>
      <w:bookmarkStart w:id="243" w:name="_Toc45177840"/>
      <w:bookmarkStart w:id="244" w:name="_Toc152045570"/>
      <w:bookmarkStart w:id="245" w:name="_Toc18102"/>
      <w:bookmarkStart w:id="246" w:name="_Toc144974538"/>
      <w:r>
        <w:rPr>
          <w:rFonts w:hint="eastAsia" w:ascii="宋体" w:hAnsi="宋体" w:eastAsia="宋体"/>
          <w:sz w:val="21"/>
          <w:szCs w:val="21"/>
        </w:rPr>
        <w:t>7.4 签订合同</w:t>
      </w:r>
      <w:bookmarkEnd w:id="241"/>
      <w:bookmarkEnd w:id="242"/>
      <w:bookmarkEnd w:id="243"/>
      <w:bookmarkEnd w:id="244"/>
      <w:bookmarkEnd w:id="245"/>
      <w:bookmarkEnd w:id="246"/>
    </w:p>
    <w:p w14:paraId="1900B8F9">
      <w:pPr>
        <w:spacing w:line="360" w:lineRule="auto"/>
        <w:ind w:firstLine="420" w:firstLineChars="200"/>
        <w:rPr>
          <w:rFonts w:hint="eastAsia" w:ascii="宋体" w:hAnsi="宋体" w:eastAsia="宋体" w:cs="宋体"/>
          <w:b/>
          <w:sz w:val="21"/>
          <w:szCs w:val="21"/>
        </w:rPr>
      </w:pPr>
      <w:r>
        <w:rPr>
          <w:rFonts w:hint="eastAsia" w:ascii="宋体" w:hAnsi="宋体" w:eastAsia="宋体" w:cs="宋体"/>
          <w:sz w:val="21"/>
          <w:szCs w:val="21"/>
        </w:rPr>
        <w:t>7.4.1采购人和成交人应当自成交通知书发出之日起</w:t>
      </w:r>
      <w:r>
        <w:rPr>
          <w:rFonts w:hint="eastAsia" w:ascii="宋体" w:hAnsi="宋体" w:eastAsia="宋体" w:cs="宋体"/>
          <w:sz w:val="21"/>
          <w:szCs w:val="21"/>
          <w:lang w:val="en-US" w:eastAsia="zh-CN"/>
        </w:rPr>
        <w:t>30</w:t>
      </w:r>
      <w:r>
        <w:rPr>
          <w:rFonts w:hint="eastAsia" w:ascii="宋体" w:hAnsi="宋体" w:eastAsia="宋体" w:cs="宋体"/>
          <w:sz w:val="21"/>
          <w:szCs w:val="21"/>
        </w:rPr>
        <w:t>天内（有新政策文件的执行新政策文件），根据磋商文件和成交人的响应文件订立书面合同。成交人无正当理由拒签合同的，采购人有权取消其中标资格，其投标保证金不予退还。给采购人造成的损失超过投标保证金数额的，成交人还应当对超过部分予以赔偿。</w:t>
      </w:r>
      <w:r>
        <w:rPr>
          <w:rFonts w:hint="eastAsia" w:ascii="宋体" w:hAnsi="宋体" w:eastAsia="宋体" w:cs="宋体"/>
          <w:b/>
          <w:sz w:val="21"/>
          <w:szCs w:val="21"/>
        </w:rPr>
        <w:t>成交人拒绝签订合同，或在签订合同后不按约定时间实施本项目，采购人有权取消其中标资格，按照评标委员会推荐成交候选人顺序确定其他供应商作为成交人并签订政府采购合同，也可以重新开展采购活动。拒绝签订政府采购合同的成交人不得参加对该项目重新开展的采购活动</w:t>
      </w:r>
      <w:r>
        <w:rPr>
          <w:rFonts w:hint="eastAsia" w:ascii="宋体" w:hAnsi="宋体" w:eastAsia="宋体" w:cs="宋体"/>
          <w:sz w:val="21"/>
          <w:szCs w:val="21"/>
        </w:rPr>
        <w:t>。</w:t>
      </w:r>
    </w:p>
    <w:p w14:paraId="072EEE1E">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 xml:space="preserve">7.4.2 发出成交通知书后，采购人无正当理由拒签合同的，采购人向成交人退还投标保证金；给成交人造成损失的，还应当赔偿损失。 </w:t>
      </w:r>
    </w:p>
    <w:p w14:paraId="20563E7C">
      <w:pPr>
        <w:pStyle w:val="57"/>
        <w:spacing w:line="360" w:lineRule="auto"/>
        <w:rPr>
          <w:rFonts w:hint="eastAsia" w:ascii="宋体" w:hAnsi="宋体" w:eastAsia="宋体"/>
          <w:b/>
          <w:bCs/>
          <w:sz w:val="21"/>
          <w:szCs w:val="21"/>
        </w:rPr>
      </w:pPr>
      <w:bookmarkStart w:id="247" w:name="_Toc152042347"/>
      <w:bookmarkStart w:id="248" w:name="_Toc179632589"/>
      <w:bookmarkStart w:id="249" w:name="_Toc144974539"/>
      <w:bookmarkStart w:id="250" w:name="_Toc152045571"/>
      <w:bookmarkStart w:id="251" w:name="_Toc9596"/>
      <w:bookmarkStart w:id="252" w:name="_Toc12198"/>
      <w:bookmarkStart w:id="253" w:name="_Toc45177841"/>
      <w:r>
        <w:rPr>
          <w:rFonts w:hint="eastAsia" w:ascii="宋体" w:hAnsi="宋体" w:eastAsia="宋体"/>
          <w:b/>
          <w:bCs/>
          <w:sz w:val="21"/>
          <w:szCs w:val="21"/>
        </w:rPr>
        <w:t>8. 重新招标和不再招标</w:t>
      </w:r>
      <w:bookmarkEnd w:id="247"/>
      <w:bookmarkEnd w:id="248"/>
      <w:bookmarkEnd w:id="249"/>
      <w:bookmarkEnd w:id="250"/>
      <w:bookmarkEnd w:id="251"/>
      <w:bookmarkEnd w:id="252"/>
      <w:bookmarkEnd w:id="253"/>
    </w:p>
    <w:p w14:paraId="0E0F1314">
      <w:pPr>
        <w:pStyle w:val="58"/>
        <w:spacing w:line="360" w:lineRule="auto"/>
        <w:rPr>
          <w:rFonts w:hint="eastAsia" w:ascii="宋体" w:hAnsi="宋体" w:eastAsia="宋体"/>
          <w:sz w:val="21"/>
          <w:szCs w:val="21"/>
        </w:rPr>
      </w:pPr>
      <w:bookmarkStart w:id="254" w:name="_Toc9362"/>
      <w:bookmarkStart w:id="255" w:name="_Toc152045572"/>
      <w:bookmarkStart w:id="256" w:name="_Toc144974540"/>
      <w:bookmarkStart w:id="257" w:name="_Toc45177842"/>
      <w:bookmarkStart w:id="258" w:name="_Toc152042348"/>
      <w:bookmarkStart w:id="259" w:name="_Toc179632590"/>
      <w:r>
        <w:rPr>
          <w:rFonts w:hint="eastAsia" w:ascii="宋体" w:hAnsi="宋体" w:eastAsia="宋体"/>
          <w:sz w:val="21"/>
          <w:szCs w:val="21"/>
        </w:rPr>
        <w:t>8.1 重新招标</w:t>
      </w:r>
      <w:bookmarkEnd w:id="254"/>
      <w:bookmarkEnd w:id="255"/>
      <w:bookmarkEnd w:id="256"/>
      <w:bookmarkEnd w:id="257"/>
      <w:bookmarkEnd w:id="258"/>
      <w:bookmarkEnd w:id="259"/>
    </w:p>
    <w:p w14:paraId="303C46B9">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有下列情形之一的，采购人将重新招标：</w:t>
      </w:r>
    </w:p>
    <w:p w14:paraId="51D09C9C">
      <w:pPr>
        <w:spacing w:line="360" w:lineRule="auto"/>
        <w:ind w:firstLine="359" w:firstLineChars="171"/>
        <w:rPr>
          <w:rFonts w:hint="eastAsia" w:ascii="宋体" w:hAnsi="宋体" w:eastAsia="宋体" w:cs="宋体"/>
          <w:sz w:val="21"/>
          <w:szCs w:val="21"/>
        </w:rPr>
      </w:pPr>
      <w:r>
        <w:rPr>
          <w:rFonts w:hint="eastAsia" w:ascii="宋体" w:hAnsi="宋体" w:eastAsia="宋体" w:cs="宋体"/>
          <w:sz w:val="21"/>
          <w:szCs w:val="21"/>
        </w:rPr>
        <w:t>（1）投标截止时间止，供应商少于3个的；</w:t>
      </w:r>
    </w:p>
    <w:p w14:paraId="7EA4C5DE">
      <w:pPr>
        <w:spacing w:line="360" w:lineRule="auto"/>
        <w:ind w:firstLine="359" w:firstLineChars="171"/>
        <w:rPr>
          <w:rFonts w:hint="eastAsia" w:ascii="宋体" w:hAnsi="宋体" w:eastAsia="宋体" w:cs="宋体"/>
          <w:sz w:val="21"/>
          <w:szCs w:val="21"/>
        </w:rPr>
      </w:pPr>
      <w:r>
        <w:rPr>
          <w:rFonts w:hint="eastAsia" w:ascii="宋体" w:hAnsi="宋体" w:eastAsia="宋体" w:cs="宋体"/>
          <w:sz w:val="21"/>
          <w:szCs w:val="21"/>
        </w:rPr>
        <w:t>（2）经磋商小组评审后否决所有投标的。</w:t>
      </w:r>
    </w:p>
    <w:p w14:paraId="06276E60">
      <w:pPr>
        <w:pStyle w:val="58"/>
        <w:spacing w:line="360" w:lineRule="auto"/>
        <w:rPr>
          <w:rFonts w:hint="eastAsia" w:ascii="宋体" w:hAnsi="宋体" w:eastAsia="宋体"/>
          <w:sz w:val="21"/>
          <w:szCs w:val="21"/>
        </w:rPr>
      </w:pPr>
      <w:bookmarkStart w:id="260" w:name="_Toc13257"/>
      <w:bookmarkStart w:id="261" w:name="_Toc179632591"/>
      <w:bookmarkStart w:id="262" w:name="_Toc152042349"/>
      <w:bookmarkStart w:id="263" w:name="_Toc144974541"/>
      <w:bookmarkStart w:id="264" w:name="_Toc45177843"/>
      <w:bookmarkStart w:id="265" w:name="_Toc152045573"/>
      <w:r>
        <w:rPr>
          <w:rFonts w:hint="eastAsia" w:ascii="宋体" w:hAnsi="宋体" w:eastAsia="宋体"/>
          <w:sz w:val="21"/>
          <w:szCs w:val="21"/>
        </w:rPr>
        <w:t>8.2 不再招标</w:t>
      </w:r>
      <w:bookmarkEnd w:id="260"/>
      <w:bookmarkEnd w:id="261"/>
      <w:bookmarkEnd w:id="262"/>
      <w:bookmarkEnd w:id="263"/>
      <w:bookmarkEnd w:id="264"/>
      <w:bookmarkEnd w:id="265"/>
    </w:p>
    <w:p w14:paraId="1DAC4127">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重新招标后供应商仍少于3个或者所有投标被否决的。</w:t>
      </w:r>
    </w:p>
    <w:p w14:paraId="28EDBD88">
      <w:pPr>
        <w:pStyle w:val="57"/>
        <w:spacing w:line="360" w:lineRule="auto"/>
        <w:rPr>
          <w:rFonts w:hint="eastAsia" w:ascii="宋体" w:hAnsi="宋体" w:eastAsia="宋体"/>
          <w:b/>
          <w:bCs/>
          <w:sz w:val="21"/>
          <w:szCs w:val="21"/>
        </w:rPr>
      </w:pPr>
      <w:bookmarkStart w:id="266" w:name="_Toc45177844"/>
      <w:bookmarkStart w:id="267" w:name="_Toc1197"/>
      <w:bookmarkStart w:id="268" w:name="_Toc152045574"/>
      <w:bookmarkStart w:id="269" w:name="_Toc179632592"/>
      <w:bookmarkStart w:id="270" w:name="_Toc152042350"/>
      <w:bookmarkStart w:id="271" w:name="_Toc6642"/>
      <w:bookmarkStart w:id="272" w:name="_Toc144974542"/>
      <w:r>
        <w:rPr>
          <w:rFonts w:hint="eastAsia" w:ascii="宋体" w:hAnsi="宋体" w:eastAsia="宋体"/>
          <w:b/>
          <w:bCs/>
          <w:sz w:val="21"/>
          <w:szCs w:val="21"/>
        </w:rPr>
        <w:t>9. 纪律和监督</w:t>
      </w:r>
      <w:bookmarkEnd w:id="266"/>
      <w:bookmarkEnd w:id="267"/>
      <w:bookmarkEnd w:id="268"/>
      <w:bookmarkEnd w:id="269"/>
      <w:bookmarkEnd w:id="270"/>
      <w:bookmarkEnd w:id="271"/>
      <w:bookmarkEnd w:id="272"/>
    </w:p>
    <w:p w14:paraId="4A519079">
      <w:pPr>
        <w:pStyle w:val="58"/>
        <w:spacing w:line="360" w:lineRule="auto"/>
        <w:rPr>
          <w:rFonts w:hint="eastAsia" w:ascii="宋体" w:hAnsi="宋体" w:eastAsia="宋体"/>
          <w:sz w:val="21"/>
          <w:szCs w:val="21"/>
        </w:rPr>
      </w:pPr>
      <w:bookmarkStart w:id="273" w:name="_Toc27291"/>
      <w:bookmarkStart w:id="274" w:name="_Toc152045575"/>
      <w:bookmarkStart w:id="275" w:name="_Toc45177845"/>
      <w:bookmarkStart w:id="276" w:name="_Toc152042351"/>
      <w:bookmarkStart w:id="277" w:name="_Toc144974543"/>
      <w:bookmarkStart w:id="278" w:name="_Toc179632593"/>
      <w:r>
        <w:rPr>
          <w:rFonts w:hint="eastAsia" w:ascii="宋体" w:hAnsi="宋体" w:eastAsia="宋体"/>
          <w:sz w:val="21"/>
          <w:szCs w:val="21"/>
        </w:rPr>
        <w:t>9.1 对采购人的纪律要求</w:t>
      </w:r>
      <w:bookmarkEnd w:id="273"/>
      <w:bookmarkEnd w:id="274"/>
      <w:bookmarkEnd w:id="275"/>
      <w:bookmarkEnd w:id="276"/>
      <w:bookmarkEnd w:id="277"/>
      <w:bookmarkEnd w:id="278"/>
    </w:p>
    <w:p w14:paraId="63F824BB">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采购人不得泄漏招标投标活动中应当保密的情况和资料，不得与供应商串通损害国家利益、社会公共利益或者他人合法权益。</w:t>
      </w:r>
    </w:p>
    <w:p w14:paraId="3D4DB15E">
      <w:pPr>
        <w:pStyle w:val="58"/>
        <w:spacing w:line="360" w:lineRule="auto"/>
        <w:rPr>
          <w:rFonts w:hint="eastAsia" w:ascii="宋体" w:hAnsi="宋体" w:eastAsia="宋体"/>
          <w:sz w:val="21"/>
          <w:szCs w:val="21"/>
        </w:rPr>
      </w:pPr>
      <w:bookmarkStart w:id="279" w:name="_Toc152045576"/>
      <w:bookmarkStart w:id="280" w:name="_Toc152042352"/>
      <w:bookmarkStart w:id="281" w:name="_Toc29297"/>
      <w:bookmarkStart w:id="282" w:name="_Toc144974544"/>
      <w:bookmarkStart w:id="283" w:name="_Toc179632594"/>
      <w:bookmarkStart w:id="284" w:name="_Toc45177846"/>
      <w:r>
        <w:rPr>
          <w:rFonts w:hint="eastAsia" w:ascii="宋体" w:hAnsi="宋体" w:eastAsia="宋体"/>
          <w:sz w:val="21"/>
          <w:szCs w:val="21"/>
        </w:rPr>
        <w:t>9.2 对供应商的纪律要求</w:t>
      </w:r>
      <w:bookmarkEnd w:id="279"/>
      <w:bookmarkEnd w:id="280"/>
      <w:bookmarkEnd w:id="281"/>
      <w:bookmarkEnd w:id="282"/>
      <w:bookmarkEnd w:id="283"/>
      <w:bookmarkEnd w:id="284"/>
    </w:p>
    <w:p w14:paraId="542F025C">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供应商不得相互串通投标或者与采购人串通投标，不得向采购人或者磋商小组成员行贿谋取中标，不得以他人名义投标或者以其他方式弄虚作假骗取中标；供应商不得以任何方式干扰、影响评标工作。</w:t>
      </w:r>
    </w:p>
    <w:p w14:paraId="3396957B">
      <w:pPr>
        <w:pStyle w:val="58"/>
        <w:spacing w:line="360" w:lineRule="auto"/>
        <w:rPr>
          <w:rFonts w:hint="eastAsia" w:ascii="宋体" w:hAnsi="宋体" w:eastAsia="宋体"/>
          <w:sz w:val="21"/>
          <w:szCs w:val="21"/>
        </w:rPr>
      </w:pPr>
      <w:bookmarkStart w:id="285" w:name="_Toc152042353"/>
      <w:bookmarkStart w:id="286" w:name="_Toc9148"/>
      <w:bookmarkStart w:id="287" w:name="_Toc45177847"/>
      <w:bookmarkStart w:id="288" w:name="_Toc144974545"/>
      <w:bookmarkStart w:id="289" w:name="_Toc179632595"/>
      <w:bookmarkStart w:id="290" w:name="_Toc152045577"/>
      <w:r>
        <w:rPr>
          <w:rFonts w:hint="eastAsia" w:ascii="宋体" w:hAnsi="宋体" w:eastAsia="宋体"/>
          <w:sz w:val="21"/>
          <w:szCs w:val="21"/>
        </w:rPr>
        <w:t>9.3 对磋商小组成员的纪律要求</w:t>
      </w:r>
      <w:bookmarkEnd w:id="285"/>
      <w:bookmarkEnd w:id="286"/>
      <w:bookmarkEnd w:id="287"/>
      <w:bookmarkEnd w:id="288"/>
      <w:bookmarkEnd w:id="289"/>
      <w:bookmarkEnd w:id="290"/>
    </w:p>
    <w:p w14:paraId="3BDEAC32">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磋商小组成员不得收受他人的财物或者其他好处，不得向他人透漏对响应文件的评审和比较、中标候选人的推荐情况以及评标有关的其他情况。在评标活动中，磋商小组成员不得擅离职守，影响评标程序正常进行，不得使用第三章“评标办法”没有规定的评审因素和标准进行评标。</w:t>
      </w:r>
    </w:p>
    <w:p w14:paraId="6E8248B9">
      <w:pPr>
        <w:pStyle w:val="58"/>
        <w:spacing w:line="360" w:lineRule="auto"/>
        <w:rPr>
          <w:rFonts w:hint="eastAsia" w:ascii="宋体" w:hAnsi="宋体" w:eastAsia="宋体"/>
          <w:sz w:val="21"/>
          <w:szCs w:val="21"/>
        </w:rPr>
      </w:pPr>
      <w:bookmarkStart w:id="291" w:name="_Toc152042354"/>
      <w:bookmarkStart w:id="292" w:name="_Toc152045578"/>
      <w:bookmarkStart w:id="293" w:name="_Toc5226"/>
      <w:bookmarkStart w:id="294" w:name="_Toc179632596"/>
      <w:bookmarkStart w:id="295" w:name="_Toc45177848"/>
      <w:bookmarkStart w:id="296" w:name="_Toc144974546"/>
      <w:r>
        <w:rPr>
          <w:rFonts w:hint="eastAsia" w:ascii="宋体" w:hAnsi="宋体" w:eastAsia="宋体"/>
          <w:sz w:val="21"/>
          <w:szCs w:val="21"/>
        </w:rPr>
        <w:t>9.4 对与评标活动有关的工作人员的纪律要求</w:t>
      </w:r>
      <w:bookmarkEnd w:id="291"/>
      <w:bookmarkEnd w:id="292"/>
      <w:bookmarkEnd w:id="293"/>
      <w:bookmarkEnd w:id="294"/>
      <w:bookmarkEnd w:id="295"/>
    </w:p>
    <w:p w14:paraId="20C4EA5F">
      <w:pPr>
        <w:spacing w:line="360" w:lineRule="auto"/>
        <w:ind w:firstLine="420" w:firstLineChars="200"/>
        <w:rPr>
          <w:rFonts w:hint="eastAsia" w:ascii="宋体" w:hAnsi="宋体" w:eastAsia="宋体" w:cs="宋体"/>
          <w:sz w:val="21"/>
          <w:szCs w:val="21"/>
        </w:rPr>
      </w:pPr>
      <w:bookmarkStart w:id="297" w:name="_Toc152042355"/>
      <w:r>
        <w:rPr>
          <w:rFonts w:hint="eastAsia" w:ascii="宋体" w:hAnsi="宋体" w:eastAsia="宋体" w:cs="宋体"/>
          <w:sz w:val="21"/>
          <w:szCs w:val="21"/>
        </w:rPr>
        <w:t>与评标活动有关的工作人员不得收受他人的财物或者其他好处，不得向他人透漏对响应文件的评审和比较、中标候选人的推荐情况以及评标有关的其他情况。在评标活动中，与评标活动有关的工作人员不得擅离职守，影响评标程序正常进行。</w:t>
      </w:r>
      <w:bookmarkEnd w:id="297"/>
    </w:p>
    <w:p w14:paraId="3EA866DD">
      <w:pPr>
        <w:pStyle w:val="58"/>
        <w:spacing w:line="360" w:lineRule="auto"/>
        <w:rPr>
          <w:rFonts w:hint="eastAsia" w:ascii="宋体" w:hAnsi="宋体" w:eastAsia="宋体"/>
          <w:sz w:val="21"/>
          <w:szCs w:val="21"/>
        </w:rPr>
      </w:pPr>
      <w:bookmarkStart w:id="298" w:name="_Toc152042356"/>
      <w:bookmarkStart w:id="299" w:name="_Toc22498"/>
      <w:bookmarkStart w:id="300" w:name="_Toc152045579"/>
      <w:bookmarkStart w:id="301" w:name="_Toc45177849"/>
      <w:bookmarkStart w:id="302" w:name="_Toc179632597"/>
      <w:r>
        <w:rPr>
          <w:rFonts w:hint="eastAsia" w:ascii="宋体" w:hAnsi="宋体" w:eastAsia="宋体"/>
          <w:sz w:val="21"/>
          <w:szCs w:val="21"/>
        </w:rPr>
        <w:t>9.5 投诉</w:t>
      </w:r>
      <w:bookmarkEnd w:id="296"/>
      <w:bookmarkEnd w:id="298"/>
      <w:bookmarkEnd w:id="299"/>
      <w:bookmarkEnd w:id="300"/>
      <w:bookmarkEnd w:id="301"/>
      <w:bookmarkEnd w:id="302"/>
    </w:p>
    <w:p w14:paraId="5845C132">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供应商和其他利害关系人认为本次招标活动违反法律、法规和规章规定的，有权向有关行政监督部门投诉。</w:t>
      </w:r>
    </w:p>
    <w:p w14:paraId="031A2AC4">
      <w:pPr>
        <w:pStyle w:val="57"/>
        <w:spacing w:line="360" w:lineRule="auto"/>
        <w:rPr>
          <w:rFonts w:hint="eastAsia" w:ascii="宋体" w:hAnsi="宋体" w:eastAsia="宋体"/>
          <w:b/>
          <w:bCs/>
          <w:sz w:val="21"/>
          <w:szCs w:val="21"/>
        </w:rPr>
      </w:pPr>
      <w:bookmarkStart w:id="303" w:name="_Toc179632598"/>
      <w:bookmarkStart w:id="304" w:name="_Toc144974547"/>
      <w:bookmarkStart w:id="305" w:name="_Toc9058"/>
      <w:bookmarkStart w:id="306" w:name="_Toc152042357"/>
      <w:bookmarkStart w:id="307" w:name="_Toc152045580"/>
      <w:bookmarkStart w:id="308" w:name="_Toc22818"/>
      <w:bookmarkStart w:id="309" w:name="_Toc45177850"/>
      <w:r>
        <w:rPr>
          <w:rFonts w:hint="eastAsia" w:ascii="宋体" w:hAnsi="宋体" w:eastAsia="宋体"/>
          <w:b/>
          <w:bCs/>
          <w:sz w:val="21"/>
          <w:szCs w:val="21"/>
        </w:rPr>
        <w:t>10. 需要补充的其他内容</w:t>
      </w:r>
      <w:bookmarkEnd w:id="303"/>
      <w:bookmarkEnd w:id="304"/>
      <w:bookmarkEnd w:id="305"/>
      <w:bookmarkEnd w:id="306"/>
      <w:bookmarkEnd w:id="307"/>
      <w:bookmarkEnd w:id="308"/>
      <w:bookmarkEnd w:id="309"/>
    </w:p>
    <w:p w14:paraId="19302FC5">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需要补充的其他内容：见供应商须知前附表。</w:t>
      </w:r>
    </w:p>
    <w:p w14:paraId="0899DE95">
      <w:pPr>
        <w:rPr>
          <w:rFonts w:hint="eastAsia" w:ascii="宋体" w:hAnsi="宋体" w:eastAsia="宋体" w:cs="宋体"/>
          <w:sz w:val="21"/>
          <w:szCs w:val="21"/>
        </w:rPr>
      </w:pPr>
    </w:p>
    <w:p w14:paraId="0ACC7613">
      <w:pPr>
        <w:spacing w:line="400" w:lineRule="exact"/>
        <w:rPr>
          <w:rFonts w:hint="eastAsia" w:ascii="宋体" w:hAnsi="宋体" w:eastAsia="宋体" w:cs="宋体"/>
          <w:sz w:val="21"/>
          <w:szCs w:val="21"/>
        </w:rPr>
      </w:pPr>
      <w:r>
        <w:rPr>
          <w:rFonts w:hint="eastAsia" w:ascii="宋体" w:hAnsi="宋体" w:eastAsia="宋体" w:cs="宋体"/>
          <w:sz w:val="21"/>
          <w:szCs w:val="21"/>
        </w:rPr>
        <w:br w:type="page"/>
      </w:r>
    </w:p>
    <w:p w14:paraId="5F04339E">
      <w:pPr>
        <w:jc w:val="center"/>
        <w:outlineLvl w:val="0"/>
        <w:rPr>
          <w:rFonts w:hint="eastAsia" w:ascii="宋体" w:hAnsi="宋体" w:eastAsia="宋体" w:cs="宋体"/>
          <w:b/>
          <w:sz w:val="32"/>
        </w:rPr>
      </w:pPr>
      <w:bookmarkStart w:id="310" w:name="_Toc15322"/>
      <w:bookmarkStart w:id="311" w:name="_Toc263"/>
      <w:bookmarkStart w:id="312" w:name="_Toc45177851"/>
      <w:r>
        <w:rPr>
          <w:rFonts w:hint="eastAsia" w:ascii="宋体" w:hAnsi="宋体" w:eastAsia="宋体" w:cs="宋体"/>
          <w:b/>
          <w:sz w:val="32"/>
        </w:rPr>
        <w:t>第三章  评标办法（综合评估法）</w:t>
      </w:r>
      <w:bookmarkEnd w:id="310"/>
      <w:bookmarkEnd w:id="311"/>
      <w:bookmarkEnd w:id="312"/>
    </w:p>
    <w:p w14:paraId="3A3A2408">
      <w:pPr>
        <w:jc w:val="center"/>
        <w:rPr>
          <w:rFonts w:hint="eastAsia" w:ascii="宋体" w:hAnsi="宋体" w:eastAsia="宋体" w:cs="宋体"/>
        </w:rPr>
      </w:pPr>
      <w:bookmarkStart w:id="313" w:name="_Toc31213"/>
      <w:bookmarkStart w:id="314" w:name="_Toc45177852"/>
      <w:bookmarkStart w:id="315" w:name="_Toc382903916"/>
      <w:r>
        <w:rPr>
          <w:rFonts w:hint="eastAsia" w:ascii="宋体" w:hAnsi="宋体" w:eastAsia="宋体" w:cs="宋体"/>
        </w:rPr>
        <w:t>评标办法前附表</w:t>
      </w:r>
      <w:bookmarkEnd w:id="313"/>
      <w:bookmarkEnd w:id="314"/>
      <w:bookmarkEnd w:id="315"/>
    </w:p>
    <w:tbl>
      <w:tblPr>
        <w:tblStyle w:val="32"/>
        <w:tblW w:w="492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2"/>
        <w:gridCol w:w="900"/>
        <w:gridCol w:w="1110"/>
        <w:gridCol w:w="2613"/>
        <w:gridCol w:w="4334"/>
      </w:tblGrid>
      <w:tr w14:paraId="0CB0F2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5000" w:type="pct"/>
            <w:gridSpan w:val="5"/>
            <w:vAlign w:val="center"/>
          </w:tcPr>
          <w:p w14:paraId="54607FF5">
            <w:pPr>
              <w:spacing w:line="360" w:lineRule="auto"/>
              <w:jc w:val="center"/>
              <w:rPr>
                <w:rFonts w:hint="eastAsia" w:ascii="宋体" w:hAnsi="宋体" w:eastAsia="宋体" w:cs="宋体"/>
                <w:sz w:val="21"/>
                <w:szCs w:val="21"/>
              </w:rPr>
            </w:pPr>
            <w:r>
              <w:rPr>
                <w:rFonts w:hint="eastAsia" w:ascii="宋体" w:hAnsi="宋体" w:eastAsia="宋体" w:cs="宋体"/>
                <w:sz w:val="21"/>
                <w:szCs w:val="21"/>
              </w:rPr>
              <w:t>初步评审</w:t>
            </w:r>
          </w:p>
        </w:tc>
      </w:tr>
      <w:tr w14:paraId="7042B2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893" w:type="pct"/>
            <w:gridSpan w:val="2"/>
            <w:vAlign w:val="center"/>
          </w:tcPr>
          <w:p w14:paraId="08048627">
            <w:pPr>
              <w:spacing w:line="360" w:lineRule="auto"/>
              <w:ind w:firstLine="210" w:firstLineChars="100"/>
              <w:rPr>
                <w:rFonts w:hint="eastAsia" w:ascii="宋体" w:hAnsi="宋体" w:eastAsia="宋体" w:cs="宋体"/>
                <w:sz w:val="21"/>
                <w:szCs w:val="21"/>
              </w:rPr>
            </w:pPr>
            <w:r>
              <w:rPr>
                <w:rFonts w:hint="eastAsia" w:ascii="宋体" w:hAnsi="宋体" w:eastAsia="宋体" w:cs="宋体"/>
                <w:sz w:val="21"/>
                <w:szCs w:val="21"/>
              </w:rPr>
              <w:t>条款号</w:t>
            </w:r>
          </w:p>
        </w:tc>
        <w:tc>
          <w:tcPr>
            <w:tcW w:w="1897" w:type="pct"/>
            <w:gridSpan w:val="2"/>
            <w:vAlign w:val="center"/>
          </w:tcPr>
          <w:p w14:paraId="7B6B26BE">
            <w:pPr>
              <w:spacing w:line="360" w:lineRule="auto"/>
              <w:jc w:val="center"/>
              <w:rPr>
                <w:rFonts w:hint="eastAsia" w:ascii="宋体" w:hAnsi="宋体" w:eastAsia="宋体" w:cs="宋体"/>
                <w:sz w:val="21"/>
                <w:szCs w:val="21"/>
              </w:rPr>
            </w:pPr>
            <w:r>
              <w:rPr>
                <w:rFonts w:hint="eastAsia" w:ascii="宋体" w:hAnsi="宋体" w:eastAsia="宋体" w:cs="宋体"/>
                <w:sz w:val="21"/>
                <w:szCs w:val="21"/>
              </w:rPr>
              <w:t>评审因素</w:t>
            </w:r>
          </w:p>
        </w:tc>
        <w:tc>
          <w:tcPr>
            <w:tcW w:w="2209" w:type="pct"/>
            <w:vAlign w:val="center"/>
          </w:tcPr>
          <w:p w14:paraId="1624D228">
            <w:pPr>
              <w:spacing w:line="360" w:lineRule="auto"/>
              <w:ind w:firstLine="1995" w:firstLineChars="950"/>
              <w:rPr>
                <w:rFonts w:hint="eastAsia" w:ascii="宋体" w:hAnsi="宋体" w:eastAsia="宋体" w:cs="宋体"/>
                <w:sz w:val="21"/>
                <w:szCs w:val="21"/>
              </w:rPr>
            </w:pPr>
            <w:r>
              <w:rPr>
                <w:rFonts w:hint="eastAsia" w:ascii="宋体" w:hAnsi="宋体" w:eastAsia="宋体" w:cs="宋体"/>
                <w:sz w:val="21"/>
                <w:szCs w:val="21"/>
              </w:rPr>
              <w:t>评审标准</w:t>
            </w:r>
          </w:p>
        </w:tc>
      </w:tr>
      <w:tr w14:paraId="0BE4A8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434" w:type="pct"/>
            <w:vMerge w:val="restart"/>
            <w:vAlign w:val="center"/>
          </w:tcPr>
          <w:p w14:paraId="4F132504">
            <w:pPr>
              <w:spacing w:line="360" w:lineRule="auto"/>
              <w:jc w:val="center"/>
              <w:rPr>
                <w:rFonts w:hint="eastAsia" w:ascii="宋体" w:hAnsi="宋体" w:eastAsia="宋体" w:cs="宋体"/>
                <w:sz w:val="21"/>
                <w:szCs w:val="21"/>
              </w:rPr>
            </w:pPr>
            <w:r>
              <w:rPr>
                <w:rFonts w:hint="eastAsia" w:ascii="宋体" w:hAnsi="宋体" w:eastAsia="宋体" w:cs="宋体"/>
                <w:sz w:val="21"/>
                <w:szCs w:val="21"/>
              </w:rPr>
              <w:t>2.1.1</w:t>
            </w:r>
          </w:p>
        </w:tc>
        <w:tc>
          <w:tcPr>
            <w:tcW w:w="458" w:type="pct"/>
            <w:vMerge w:val="restart"/>
            <w:vAlign w:val="center"/>
          </w:tcPr>
          <w:p w14:paraId="4F5EFC01">
            <w:pPr>
              <w:spacing w:line="360" w:lineRule="auto"/>
              <w:jc w:val="center"/>
              <w:rPr>
                <w:rFonts w:hint="eastAsia" w:ascii="宋体" w:hAnsi="宋体" w:eastAsia="宋体" w:cs="宋体"/>
                <w:sz w:val="21"/>
                <w:szCs w:val="21"/>
              </w:rPr>
            </w:pPr>
            <w:r>
              <w:rPr>
                <w:rFonts w:hint="eastAsia" w:ascii="宋体" w:hAnsi="宋体" w:eastAsia="宋体" w:cs="宋体"/>
                <w:sz w:val="21"/>
                <w:szCs w:val="21"/>
              </w:rPr>
              <w:t>形式</w:t>
            </w:r>
          </w:p>
          <w:p w14:paraId="41FAE24F">
            <w:pPr>
              <w:spacing w:line="360" w:lineRule="auto"/>
              <w:jc w:val="center"/>
              <w:rPr>
                <w:rFonts w:hint="eastAsia" w:ascii="宋体" w:hAnsi="宋体" w:eastAsia="宋体" w:cs="宋体"/>
                <w:sz w:val="21"/>
                <w:szCs w:val="21"/>
              </w:rPr>
            </w:pPr>
            <w:r>
              <w:rPr>
                <w:rFonts w:hint="eastAsia" w:ascii="宋体" w:hAnsi="宋体" w:eastAsia="宋体" w:cs="宋体"/>
                <w:sz w:val="21"/>
                <w:szCs w:val="21"/>
              </w:rPr>
              <w:t>评审</w:t>
            </w:r>
          </w:p>
          <w:p w14:paraId="6C4A54B9">
            <w:pPr>
              <w:spacing w:line="360" w:lineRule="auto"/>
              <w:jc w:val="center"/>
              <w:rPr>
                <w:rFonts w:hint="eastAsia" w:ascii="宋体" w:hAnsi="宋体" w:eastAsia="宋体" w:cs="宋体"/>
                <w:sz w:val="21"/>
                <w:szCs w:val="21"/>
              </w:rPr>
            </w:pPr>
            <w:r>
              <w:rPr>
                <w:rFonts w:hint="eastAsia" w:ascii="宋体" w:hAnsi="宋体" w:eastAsia="宋体" w:cs="宋体"/>
                <w:sz w:val="21"/>
                <w:szCs w:val="21"/>
              </w:rPr>
              <w:t>标准</w:t>
            </w:r>
          </w:p>
        </w:tc>
        <w:tc>
          <w:tcPr>
            <w:tcW w:w="1897" w:type="pct"/>
            <w:gridSpan w:val="2"/>
            <w:vAlign w:val="center"/>
          </w:tcPr>
          <w:p w14:paraId="4B0EA487">
            <w:pPr>
              <w:spacing w:line="360" w:lineRule="auto"/>
              <w:jc w:val="center"/>
              <w:rPr>
                <w:rFonts w:hint="eastAsia" w:ascii="宋体" w:hAnsi="宋体" w:eastAsia="宋体" w:cs="宋体"/>
                <w:sz w:val="21"/>
                <w:szCs w:val="21"/>
              </w:rPr>
            </w:pPr>
            <w:r>
              <w:rPr>
                <w:rFonts w:hint="eastAsia" w:ascii="宋体" w:hAnsi="宋体" w:eastAsia="宋体" w:cs="宋体"/>
                <w:sz w:val="21"/>
                <w:szCs w:val="21"/>
              </w:rPr>
              <w:t>供应商名称</w:t>
            </w:r>
          </w:p>
        </w:tc>
        <w:tc>
          <w:tcPr>
            <w:tcW w:w="2209" w:type="pct"/>
            <w:vAlign w:val="center"/>
          </w:tcPr>
          <w:p w14:paraId="7A4911D4">
            <w:pPr>
              <w:spacing w:line="360" w:lineRule="auto"/>
              <w:jc w:val="center"/>
              <w:rPr>
                <w:rFonts w:hint="eastAsia" w:ascii="宋体" w:hAnsi="宋体" w:eastAsia="宋体" w:cs="宋体"/>
                <w:sz w:val="21"/>
                <w:szCs w:val="21"/>
              </w:rPr>
            </w:pPr>
            <w:r>
              <w:rPr>
                <w:rFonts w:hint="eastAsia" w:ascii="宋体" w:hAnsi="宋体" w:eastAsia="宋体" w:cs="宋体"/>
                <w:sz w:val="21"/>
                <w:szCs w:val="21"/>
              </w:rPr>
              <w:t>与营业执照一致</w:t>
            </w:r>
          </w:p>
        </w:tc>
      </w:tr>
      <w:tr w14:paraId="6CF1CB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434" w:type="pct"/>
            <w:vMerge w:val="continue"/>
            <w:vAlign w:val="center"/>
          </w:tcPr>
          <w:p w14:paraId="36A06600">
            <w:pPr>
              <w:spacing w:line="360" w:lineRule="auto"/>
              <w:jc w:val="center"/>
              <w:rPr>
                <w:rFonts w:hint="eastAsia" w:ascii="宋体" w:hAnsi="宋体" w:eastAsia="宋体" w:cs="宋体"/>
                <w:sz w:val="21"/>
                <w:szCs w:val="21"/>
              </w:rPr>
            </w:pPr>
          </w:p>
        </w:tc>
        <w:tc>
          <w:tcPr>
            <w:tcW w:w="458" w:type="pct"/>
            <w:vMerge w:val="continue"/>
            <w:vAlign w:val="center"/>
          </w:tcPr>
          <w:p w14:paraId="6AFA47A6">
            <w:pPr>
              <w:spacing w:line="360" w:lineRule="auto"/>
              <w:jc w:val="center"/>
              <w:rPr>
                <w:rFonts w:hint="eastAsia" w:ascii="宋体" w:hAnsi="宋体" w:eastAsia="宋体" w:cs="宋体"/>
                <w:sz w:val="21"/>
                <w:szCs w:val="21"/>
              </w:rPr>
            </w:pPr>
          </w:p>
        </w:tc>
        <w:tc>
          <w:tcPr>
            <w:tcW w:w="1897" w:type="pct"/>
            <w:gridSpan w:val="2"/>
            <w:vAlign w:val="center"/>
          </w:tcPr>
          <w:p w14:paraId="476CF6CF">
            <w:pPr>
              <w:spacing w:line="360" w:lineRule="auto"/>
              <w:jc w:val="center"/>
              <w:rPr>
                <w:rFonts w:hint="eastAsia" w:ascii="宋体" w:hAnsi="宋体" w:eastAsia="宋体" w:cs="宋体"/>
                <w:sz w:val="21"/>
                <w:szCs w:val="21"/>
              </w:rPr>
            </w:pPr>
            <w:r>
              <w:rPr>
                <w:rFonts w:hint="eastAsia" w:ascii="宋体" w:hAnsi="宋体" w:eastAsia="宋体" w:cs="宋体"/>
                <w:sz w:val="21"/>
                <w:szCs w:val="21"/>
              </w:rPr>
              <w:t>响应文件签字盖章</w:t>
            </w:r>
          </w:p>
        </w:tc>
        <w:tc>
          <w:tcPr>
            <w:tcW w:w="2209" w:type="pct"/>
            <w:vAlign w:val="center"/>
          </w:tcPr>
          <w:p w14:paraId="0132755C">
            <w:pPr>
              <w:spacing w:line="360" w:lineRule="auto"/>
              <w:jc w:val="center"/>
              <w:rPr>
                <w:rFonts w:hint="eastAsia" w:ascii="宋体" w:hAnsi="宋体" w:eastAsia="宋体" w:cs="宋体"/>
                <w:sz w:val="21"/>
                <w:szCs w:val="21"/>
              </w:rPr>
            </w:pPr>
            <w:r>
              <w:rPr>
                <w:rFonts w:hint="eastAsia" w:ascii="宋体" w:hAnsi="宋体" w:eastAsia="宋体" w:cs="宋体"/>
                <w:sz w:val="21"/>
                <w:szCs w:val="21"/>
              </w:rPr>
              <w:t>符合磋商文件要求</w:t>
            </w:r>
          </w:p>
        </w:tc>
      </w:tr>
      <w:tr w14:paraId="4CF477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434" w:type="pct"/>
            <w:vMerge w:val="continue"/>
            <w:vAlign w:val="center"/>
          </w:tcPr>
          <w:p w14:paraId="5E6F41E6">
            <w:pPr>
              <w:spacing w:line="360" w:lineRule="auto"/>
              <w:jc w:val="center"/>
              <w:rPr>
                <w:rFonts w:hint="eastAsia" w:ascii="宋体" w:hAnsi="宋体" w:eastAsia="宋体" w:cs="宋体"/>
                <w:sz w:val="21"/>
                <w:szCs w:val="21"/>
              </w:rPr>
            </w:pPr>
          </w:p>
        </w:tc>
        <w:tc>
          <w:tcPr>
            <w:tcW w:w="458" w:type="pct"/>
            <w:vMerge w:val="continue"/>
            <w:vAlign w:val="center"/>
          </w:tcPr>
          <w:p w14:paraId="76D9D120">
            <w:pPr>
              <w:spacing w:line="360" w:lineRule="auto"/>
              <w:jc w:val="center"/>
              <w:rPr>
                <w:rFonts w:hint="eastAsia" w:ascii="宋体" w:hAnsi="宋体" w:eastAsia="宋体" w:cs="宋体"/>
                <w:sz w:val="21"/>
                <w:szCs w:val="21"/>
              </w:rPr>
            </w:pPr>
          </w:p>
        </w:tc>
        <w:tc>
          <w:tcPr>
            <w:tcW w:w="1897" w:type="pct"/>
            <w:gridSpan w:val="2"/>
            <w:vAlign w:val="center"/>
          </w:tcPr>
          <w:p w14:paraId="0E54F16C">
            <w:pPr>
              <w:spacing w:line="360" w:lineRule="auto"/>
              <w:jc w:val="center"/>
              <w:rPr>
                <w:rFonts w:hint="eastAsia" w:ascii="宋体" w:hAnsi="宋体" w:eastAsia="宋体" w:cs="宋体"/>
                <w:sz w:val="21"/>
                <w:szCs w:val="21"/>
              </w:rPr>
            </w:pPr>
            <w:r>
              <w:rPr>
                <w:rFonts w:hint="eastAsia" w:ascii="宋体" w:hAnsi="宋体" w:eastAsia="宋体" w:cs="宋体"/>
                <w:sz w:val="21"/>
                <w:szCs w:val="21"/>
              </w:rPr>
              <w:t>响应文件格式</w:t>
            </w:r>
          </w:p>
        </w:tc>
        <w:tc>
          <w:tcPr>
            <w:tcW w:w="2209" w:type="pct"/>
            <w:vAlign w:val="center"/>
          </w:tcPr>
          <w:p w14:paraId="174B63C6">
            <w:pPr>
              <w:spacing w:line="360" w:lineRule="auto"/>
              <w:jc w:val="center"/>
              <w:rPr>
                <w:rFonts w:hint="eastAsia" w:ascii="宋体" w:hAnsi="宋体" w:eastAsia="宋体" w:cs="宋体"/>
                <w:sz w:val="21"/>
                <w:szCs w:val="21"/>
              </w:rPr>
            </w:pPr>
            <w:r>
              <w:rPr>
                <w:rFonts w:hint="eastAsia" w:ascii="宋体" w:hAnsi="宋体" w:eastAsia="宋体" w:cs="宋体"/>
                <w:sz w:val="21"/>
                <w:szCs w:val="21"/>
              </w:rPr>
              <w:t>符合第六章“响应文件格式”的要求</w:t>
            </w:r>
          </w:p>
        </w:tc>
      </w:tr>
      <w:tr w14:paraId="3CC517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434" w:type="pct"/>
            <w:vMerge w:val="continue"/>
            <w:vAlign w:val="center"/>
          </w:tcPr>
          <w:p w14:paraId="175DA462">
            <w:pPr>
              <w:spacing w:line="360" w:lineRule="auto"/>
              <w:jc w:val="center"/>
              <w:rPr>
                <w:rFonts w:hint="eastAsia" w:ascii="宋体" w:hAnsi="宋体" w:eastAsia="宋体" w:cs="宋体"/>
                <w:sz w:val="21"/>
                <w:szCs w:val="21"/>
              </w:rPr>
            </w:pPr>
          </w:p>
        </w:tc>
        <w:tc>
          <w:tcPr>
            <w:tcW w:w="458" w:type="pct"/>
            <w:vMerge w:val="continue"/>
            <w:vAlign w:val="center"/>
          </w:tcPr>
          <w:p w14:paraId="501DFD58">
            <w:pPr>
              <w:spacing w:line="360" w:lineRule="auto"/>
              <w:jc w:val="center"/>
              <w:rPr>
                <w:rFonts w:hint="eastAsia" w:ascii="宋体" w:hAnsi="宋体" w:eastAsia="宋体" w:cs="宋体"/>
                <w:sz w:val="21"/>
                <w:szCs w:val="21"/>
              </w:rPr>
            </w:pPr>
          </w:p>
        </w:tc>
        <w:tc>
          <w:tcPr>
            <w:tcW w:w="1897" w:type="pct"/>
            <w:gridSpan w:val="2"/>
            <w:vAlign w:val="center"/>
          </w:tcPr>
          <w:p w14:paraId="30FA864B">
            <w:pPr>
              <w:spacing w:line="360" w:lineRule="auto"/>
              <w:jc w:val="center"/>
              <w:rPr>
                <w:rFonts w:hint="eastAsia" w:ascii="宋体" w:hAnsi="宋体" w:eastAsia="宋体" w:cs="宋体"/>
                <w:sz w:val="21"/>
                <w:szCs w:val="21"/>
              </w:rPr>
            </w:pPr>
            <w:r>
              <w:rPr>
                <w:rFonts w:hint="eastAsia" w:ascii="宋体" w:hAnsi="宋体" w:eastAsia="宋体" w:cs="宋体"/>
                <w:sz w:val="21"/>
                <w:szCs w:val="21"/>
              </w:rPr>
              <w:t>首轮报价</w:t>
            </w:r>
          </w:p>
        </w:tc>
        <w:tc>
          <w:tcPr>
            <w:tcW w:w="2209" w:type="pct"/>
            <w:vAlign w:val="center"/>
          </w:tcPr>
          <w:p w14:paraId="4363CEF5">
            <w:pPr>
              <w:spacing w:line="360" w:lineRule="auto"/>
              <w:jc w:val="center"/>
              <w:rPr>
                <w:rFonts w:hint="eastAsia" w:ascii="宋体" w:hAnsi="宋体" w:eastAsia="宋体" w:cs="宋体"/>
                <w:sz w:val="21"/>
                <w:szCs w:val="21"/>
              </w:rPr>
            </w:pPr>
            <w:r>
              <w:rPr>
                <w:rFonts w:hint="eastAsia" w:ascii="宋体" w:hAnsi="宋体" w:eastAsia="宋体" w:cs="宋体"/>
                <w:sz w:val="21"/>
                <w:szCs w:val="21"/>
              </w:rPr>
              <w:t>首轮报价不能超过最高限价</w:t>
            </w:r>
          </w:p>
        </w:tc>
      </w:tr>
      <w:tr w14:paraId="6521E0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434" w:type="pct"/>
            <w:vMerge w:val="restart"/>
            <w:vAlign w:val="center"/>
          </w:tcPr>
          <w:p w14:paraId="40DCCE99">
            <w:pPr>
              <w:spacing w:line="360" w:lineRule="auto"/>
              <w:jc w:val="center"/>
              <w:rPr>
                <w:rFonts w:hint="eastAsia" w:ascii="宋体" w:hAnsi="宋体" w:eastAsia="宋体" w:cs="宋体"/>
                <w:sz w:val="21"/>
                <w:szCs w:val="21"/>
              </w:rPr>
            </w:pPr>
            <w:r>
              <w:rPr>
                <w:rFonts w:hint="eastAsia" w:ascii="宋体" w:hAnsi="宋体" w:eastAsia="宋体" w:cs="宋体"/>
                <w:sz w:val="21"/>
                <w:szCs w:val="21"/>
              </w:rPr>
              <w:t>2.1.2</w:t>
            </w:r>
          </w:p>
          <w:p w14:paraId="0AB57147">
            <w:pPr>
              <w:pStyle w:val="31"/>
              <w:spacing w:line="360" w:lineRule="auto"/>
              <w:ind w:left="480"/>
              <w:rPr>
                <w:rFonts w:hint="eastAsia" w:ascii="宋体" w:hAnsi="宋体" w:cs="宋体"/>
                <w:szCs w:val="21"/>
              </w:rPr>
            </w:pPr>
          </w:p>
        </w:tc>
        <w:tc>
          <w:tcPr>
            <w:tcW w:w="458" w:type="pct"/>
            <w:vMerge w:val="restart"/>
            <w:vAlign w:val="center"/>
          </w:tcPr>
          <w:p w14:paraId="373C50A0">
            <w:pPr>
              <w:spacing w:line="360" w:lineRule="auto"/>
              <w:jc w:val="center"/>
              <w:rPr>
                <w:rFonts w:hint="eastAsia" w:ascii="宋体" w:hAnsi="宋体" w:eastAsia="宋体" w:cs="宋体"/>
                <w:sz w:val="21"/>
                <w:szCs w:val="21"/>
              </w:rPr>
            </w:pPr>
            <w:r>
              <w:rPr>
                <w:rFonts w:hint="eastAsia" w:ascii="宋体" w:hAnsi="宋体" w:eastAsia="宋体" w:cs="宋体"/>
                <w:sz w:val="21"/>
                <w:szCs w:val="21"/>
              </w:rPr>
              <w:t>资格</w:t>
            </w:r>
          </w:p>
          <w:p w14:paraId="227A196F">
            <w:pPr>
              <w:spacing w:line="360" w:lineRule="auto"/>
              <w:jc w:val="center"/>
              <w:rPr>
                <w:rFonts w:hint="eastAsia" w:ascii="宋体" w:hAnsi="宋体" w:eastAsia="宋体" w:cs="宋体"/>
                <w:sz w:val="21"/>
                <w:szCs w:val="21"/>
              </w:rPr>
            </w:pPr>
            <w:r>
              <w:rPr>
                <w:rFonts w:hint="eastAsia" w:ascii="宋体" w:hAnsi="宋体" w:eastAsia="宋体" w:cs="宋体"/>
                <w:sz w:val="21"/>
                <w:szCs w:val="21"/>
              </w:rPr>
              <w:t>评审标准</w:t>
            </w:r>
          </w:p>
        </w:tc>
        <w:tc>
          <w:tcPr>
            <w:tcW w:w="1897" w:type="pct"/>
            <w:gridSpan w:val="2"/>
            <w:vAlign w:val="center"/>
          </w:tcPr>
          <w:p w14:paraId="2182C428">
            <w:pPr>
              <w:spacing w:line="360" w:lineRule="auto"/>
              <w:ind w:right="-2"/>
              <w:jc w:val="center"/>
              <w:rPr>
                <w:rFonts w:hint="eastAsia" w:ascii="宋体" w:hAnsi="宋体" w:eastAsia="宋体" w:cs="宋体"/>
                <w:bCs/>
                <w:color w:val="000000" w:themeColor="text1"/>
                <w:sz w:val="21"/>
                <w:szCs w:val="21"/>
              </w:rPr>
            </w:pPr>
            <w:r>
              <w:rPr>
                <w:rFonts w:hint="eastAsia" w:ascii="宋体" w:hAnsi="宋体" w:eastAsia="宋体" w:cs="宋体"/>
                <w:bCs/>
                <w:color w:val="000000" w:themeColor="text1"/>
                <w:sz w:val="21"/>
                <w:szCs w:val="21"/>
              </w:rPr>
              <w:t>营业执照</w:t>
            </w:r>
          </w:p>
        </w:tc>
        <w:tc>
          <w:tcPr>
            <w:tcW w:w="2209" w:type="pct"/>
            <w:vAlign w:val="center"/>
          </w:tcPr>
          <w:p w14:paraId="7FEE8636">
            <w:pPr>
              <w:spacing w:line="360" w:lineRule="auto"/>
              <w:jc w:val="center"/>
              <w:rPr>
                <w:rFonts w:hint="eastAsia" w:ascii="宋体" w:hAnsi="宋体" w:eastAsia="宋体" w:cs="宋体"/>
                <w:sz w:val="21"/>
                <w:szCs w:val="21"/>
              </w:rPr>
            </w:pPr>
            <w:r>
              <w:rPr>
                <w:rFonts w:hint="eastAsia" w:ascii="宋体" w:hAnsi="宋体" w:eastAsia="宋体" w:cs="宋体"/>
                <w:sz w:val="21"/>
                <w:szCs w:val="21"/>
              </w:rPr>
              <w:t>符合磋商文件要求</w:t>
            </w:r>
          </w:p>
        </w:tc>
      </w:tr>
      <w:tr w14:paraId="182B11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434" w:type="pct"/>
            <w:vMerge w:val="continue"/>
            <w:vAlign w:val="center"/>
          </w:tcPr>
          <w:p w14:paraId="5F11762B">
            <w:pPr>
              <w:spacing w:line="360" w:lineRule="auto"/>
              <w:jc w:val="center"/>
              <w:rPr>
                <w:rFonts w:hint="eastAsia" w:ascii="宋体" w:hAnsi="宋体" w:eastAsia="宋体" w:cs="宋体"/>
                <w:sz w:val="21"/>
                <w:szCs w:val="21"/>
              </w:rPr>
            </w:pPr>
          </w:p>
        </w:tc>
        <w:tc>
          <w:tcPr>
            <w:tcW w:w="458" w:type="pct"/>
            <w:vMerge w:val="continue"/>
            <w:vAlign w:val="center"/>
          </w:tcPr>
          <w:p w14:paraId="7D4B4399">
            <w:pPr>
              <w:spacing w:line="360" w:lineRule="auto"/>
              <w:jc w:val="center"/>
              <w:rPr>
                <w:rFonts w:hint="eastAsia" w:ascii="宋体" w:hAnsi="宋体" w:eastAsia="宋体" w:cs="宋体"/>
                <w:sz w:val="21"/>
                <w:szCs w:val="21"/>
              </w:rPr>
            </w:pPr>
          </w:p>
        </w:tc>
        <w:tc>
          <w:tcPr>
            <w:tcW w:w="1897" w:type="pct"/>
            <w:gridSpan w:val="2"/>
            <w:vAlign w:val="center"/>
          </w:tcPr>
          <w:p w14:paraId="43EA7A0B">
            <w:pPr>
              <w:adjustRightInd w:val="0"/>
              <w:spacing w:line="360" w:lineRule="auto"/>
              <w:jc w:val="center"/>
              <w:rPr>
                <w:rFonts w:hint="eastAsia" w:ascii="宋体" w:hAnsi="宋体" w:eastAsia="宋体" w:cs="宋体"/>
                <w:bCs/>
                <w:color w:val="000000" w:themeColor="text1"/>
                <w:sz w:val="21"/>
                <w:szCs w:val="21"/>
              </w:rPr>
            </w:pPr>
            <w:r>
              <w:rPr>
                <w:rFonts w:hint="eastAsia" w:ascii="宋体" w:hAnsi="宋体" w:eastAsia="宋体" w:cs="宋体"/>
                <w:bCs/>
                <w:color w:val="000000" w:themeColor="text1"/>
                <w:sz w:val="21"/>
                <w:szCs w:val="21"/>
              </w:rPr>
              <w:t>其他</w:t>
            </w:r>
          </w:p>
        </w:tc>
        <w:tc>
          <w:tcPr>
            <w:tcW w:w="2209" w:type="pct"/>
            <w:vAlign w:val="center"/>
          </w:tcPr>
          <w:p w14:paraId="07E6CBFA">
            <w:pPr>
              <w:spacing w:line="360" w:lineRule="auto"/>
              <w:jc w:val="center"/>
              <w:rPr>
                <w:rFonts w:hint="eastAsia" w:ascii="宋体" w:hAnsi="宋体" w:eastAsia="宋体" w:cs="宋体"/>
                <w:sz w:val="21"/>
                <w:szCs w:val="21"/>
              </w:rPr>
            </w:pPr>
            <w:r>
              <w:rPr>
                <w:rFonts w:hint="eastAsia" w:ascii="宋体" w:hAnsi="宋体" w:eastAsia="宋体" w:cs="宋体"/>
                <w:sz w:val="21"/>
                <w:szCs w:val="21"/>
              </w:rPr>
              <w:t>符合磋商文件要求</w:t>
            </w:r>
          </w:p>
        </w:tc>
      </w:tr>
      <w:tr w14:paraId="4C0140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434" w:type="pct"/>
            <w:vMerge w:val="restart"/>
            <w:vAlign w:val="center"/>
          </w:tcPr>
          <w:p w14:paraId="42256601">
            <w:pPr>
              <w:spacing w:line="360" w:lineRule="auto"/>
              <w:ind w:firstLine="105" w:firstLineChars="50"/>
              <w:jc w:val="center"/>
              <w:rPr>
                <w:rFonts w:hint="eastAsia" w:ascii="宋体" w:hAnsi="宋体" w:eastAsia="宋体" w:cs="宋体"/>
                <w:sz w:val="21"/>
                <w:szCs w:val="21"/>
              </w:rPr>
            </w:pPr>
            <w:r>
              <w:rPr>
                <w:rFonts w:hint="eastAsia" w:ascii="宋体" w:hAnsi="宋体" w:eastAsia="宋体" w:cs="宋体"/>
                <w:sz w:val="21"/>
                <w:szCs w:val="21"/>
              </w:rPr>
              <w:t>2.1.3</w:t>
            </w:r>
          </w:p>
        </w:tc>
        <w:tc>
          <w:tcPr>
            <w:tcW w:w="458" w:type="pct"/>
            <w:vMerge w:val="restart"/>
            <w:vAlign w:val="center"/>
          </w:tcPr>
          <w:p w14:paraId="1592F90D">
            <w:pPr>
              <w:spacing w:line="360" w:lineRule="auto"/>
              <w:ind w:firstLine="105" w:firstLineChars="50"/>
              <w:jc w:val="center"/>
              <w:rPr>
                <w:rFonts w:hint="eastAsia" w:ascii="宋体" w:hAnsi="宋体" w:eastAsia="宋体" w:cs="宋体"/>
                <w:sz w:val="21"/>
                <w:szCs w:val="21"/>
              </w:rPr>
            </w:pPr>
            <w:r>
              <w:rPr>
                <w:rFonts w:hint="eastAsia" w:ascii="宋体" w:hAnsi="宋体" w:eastAsia="宋体" w:cs="宋体"/>
                <w:sz w:val="21"/>
                <w:szCs w:val="21"/>
              </w:rPr>
              <w:t>响应性评审</w:t>
            </w:r>
          </w:p>
        </w:tc>
        <w:tc>
          <w:tcPr>
            <w:tcW w:w="1897" w:type="pct"/>
            <w:gridSpan w:val="2"/>
            <w:shd w:val="clear" w:color="auto" w:fill="FFFFFF"/>
            <w:vAlign w:val="center"/>
          </w:tcPr>
          <w:p w14:paraId="44ED87AD">
            <w:pPr>
              <w:adjustRightInd w:val="0"/>
              <w:spacing w:line="360" w:lineRule="auto"/>
              <w:jc w:val="center"/>
              <w:rPr>
                <w:rFonts w:hint="eastAsia" w:ascii="宋体" w:hAnsi="宋体" w:eastAsia="宋体" w:cs="宋体"/>
                <w:bCs/>
                <w:color w:val="000000" w:themeColor="text1"/>
                <w:sz w:val="21"/>
                <w:szCs w:val="21"/>
              </w:rPr>
            </w:pPr>
            <w:r>
              <w:rPr>
                <w:rFonts w:hint="eastAsia" w:ascii="宋体" w:hAnsi="宋体" w:eastAsia="宋体" w:cs="宋体"/>
                <w:bCs/>
                <w:color w:val="000000" w:themeColor="text1"/>
                <w:sz w:val="21"/>
                <w:szCs w:val="21"/>
              </w:rPr>
              <w:t>服务期限</w:t>
            </w:r>
          </w:p>
        </w:tc>
        <w:tc>
          <w:tcPr>
            <w:tcW w:w="2209" w:type="pct"/>
            <w:vAlign w:val="center"/>
          </w:tcPr>
          <w:p w14:paraId="61CD7657">
            <w:pPr>
              <w:spacing w:line="360" w:lineRule="auto"/>
              <w:jc w:val="center"/>
              <w:rPr>
                <w:rFonts w:hint="eastAsia" w:ascii="宋体" w:hAnsi="宋体" w:eastAsia="宋体" w:cs="宋体"/>
                <w:sz w:val="21"/>
                <w:szCs w:val="21"/>
              </w:rPr>
            </w:pPr>
            <w:r>
              <w:rPr>
                <w:rFonts w:hint="eastAsia" w:ascii="宋体" w:hAnsi="宋体" w:eastAsia="宋体" w:cs="宋体"/>
                <w:sz w:val="21"/>
                <w:szCs w:val="21"/>
              </w:rPr>
              <w:t>符合磋商文件要求</w:t>
            </w:r>
          </w:p>
        </w:tc>
      </w:tr>
      <w:tr w14:paraId="3682DF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434" w:type="pct"/>
            <w:vMerge w:val="continue"/>
            <w:vAlign w:val="center"/>
          </w:tcPr>
          <w:p w14:paraId="301B58EE">
            <w:pPr>
              <w:spacing w:line="360" w:lineRule="auto"/>
              <w:ind w:firstLine="105" w:firstLineChars="50"/>
              <w:jc w:val="center"/>
              <w:rPr>
                <w:rFonts w:hint="eastAsia" w:ascii="宋体" w:hAnsi="宋体" w:eastAsia="宋体" w:cs="宋体"/>
                <w:sz w:val="21"/>
                <w:szCs w:val="21"/>
              </w:rPr>
            </w:pPr>
          </w:p>
        </w:tc>
        <w:tc>
          <w:tcPr>
            <w:tcW w:w="458" w:type="pct"/>
            <w:vMerge w:val="continue"/>
            <w:vAlign w:val="center"/>
          </w:tcPr>
          <w:p w14:paraId="6414A74E">
            <w:pPr>
              <w:spacing w:line="360" w:lineRule="auto"/>
              <w:ind w:firstLine="105" w:firstLineChars="50"/>
              <w:jc w:val="center"/>
              <w:rPr>
                <w:rFonts w:hint="eastAsia" w:ascii="宋体" w:hAnsi="宋体" w:eastAsia="宋体" w:cs="宋体"/>
                <w:sz w:val="21"/>
                <w:szCs w:val="21"/>
              </w:rPr>
            </w:pPr>
          </w:p>
        </w:tc>
        <w:tc>
          <w:tcPr>
            <w:tcW w:w="1897" w:type="pct"/>
            <w:gridSpan w:val="2"/>
            <w:shd w:val="clear" w:color="auto" w:fill="FFFFFF"/>
            <w:vAlign w:val="center"/>
          </w:tcPr>
          <w:p w14:paraId="25C3972F">
            <w:pPr>
              <w:adjustRightInd w:val="0"/>
              <w:spacing w:line="360" w:lineRule="auto"/>
              <w:jc w:val="center"/>
              <w:rPr>
                <w:rFonts w:hint="eastAsia" w:ascii="宋体" w:hAnsi="宋体" w:eastAsia="宋体" w:cs="宋体"/>
                <w:bCs/>
                <w:color w:val="000000" w:themeColor="text1"/>
                <w:sz w:val="21"/>
                <w:szCs w:val="21"/>
              </w:rPr>
            </w:pPr>
            <w:r>
              <w:rPr>
                <w:rFonts w:hint="eastAsia" w:ascii="宋体" w:hAnsi="宋体" w:eastAsia="宋体" w:cs="宋体"/>
                <w:bCs/>
                <w:color w:val="000000" w:themeColor="text1"/>
                <w:sz w:val="21"/>
                <w:szCs w:val="21"/>
              </w:rPr>
              <w:t>质量要求</w:t>
            </w:r>
          </w:p>
        </w:tc>
        <w:tc>
          <w:tcPr>
            <w:tcW w:w="2209" w:type="pct"/>
            <w:vAlign w:val="center"/>
          </w:tcPr>
          <w:p w14:paraId="0038D4DD">
            <w:pPr>
              <w:spacing w:line="360" w:lineRule="auto"/>
              <w:jc w:val="center"/>
              <w:rPr>
                <w:rFonts w:hint="eastAsia" w:ascii="宋体" w:hAnsi="宋体" w:eastAsia="宋体" w:cs="宋体"/>
                <w:sz w:val="21"/>
                <w:szCs w:val="21"/>
              </w:rPr>
            </w:pPr>
            <w:r>
              <w:rPr>
                <w:rFonts w:hint="eastAsia" w:ascii="宋体" w:hAnsi="宋体" w:eastAsia="宋体" w:cs="宋体"/>
                <w:sz w:val="21"/>
                <w:szCs w:val="21"/>
              </w:rPr>
              <w:t>符合磋商文件要求</w:t>
            </w:r>
          </w:p>
        </w:tc>
      </w:tr>
      <w:tr w14:paraId="1B25AF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434" w:type="pct"/>
            <w:vMerge w:val="continue"/>
            <w:vAlign w:val="center"/>
          </w:tcPr>
          <w:p w14:paraId="13AD45BB">
            <w:pPr>
              <w:spacing w:line="360" w:lineRule="auto"/>
              <w:ind w:firstLine="105" w:firstLineChars="50"/>
              <w:jc w:val="center"/>
              <w:rPr>
                <w:rFonts w:hint="eastAsia" w:ascii="宋体" w:hAnsi="宋体" w:eastAsia="宋体" w:cs="宋体"/>
                <w:sz w:val="21"/>
                <w:szCs w:val="21"/>
              </w:rPr>
            </w:pPr>
          </w:p>
        </w:tc>
        <w:tc>
          <w:tcPr>
            <w:tcW w:w="458" w:type="pct"/>
            <w:vMerge w:val="continue"/>
            <w:vAlign w:val="center"/>
          </w:tcPr>
          <w:p w14:paraId="2DFEA850">
            <w:pPr>
              <w:spacing w:line="360" w:lineRule="auto"/>
              <w:ind w:firstLine="105" w:firstLineChars="50"/>
              <w:jc w:val="center"/>
              <w:rPr>
                <w:rFonts w:hint="eastAsia" w:ascii="宋体" w:hAnsi="宋体" w:eastAsia="宋体" w:cs="宋体"/>
                <w:sz w:val="21"/>
                <w:szCs w:val="21"/>
              </w:rPr>
            </w:pPr>
          </w:p>
        </w:tc>
        <w:tc>
          <w:tcPr>
            <w:tcW w:w="1897" w:type="pct"/>
            <w:gridSpan w:val="2"/>
            <w:shd w:val="clear" w:color="auto" w:fill="FFFFFF"/>
            <w:vAlign w:val="center"/>
          </w:tcPr>
          <w:p w14:paraId="2566252E">
            <w:pPr>
              <w:adjustRightInd w:val="0"/>
              <w:spacing w:line="360" w:lineRule="auto"/>
              <w:jc w:val="center"/>
              <w:rPr>
                <w:rFonts w:hint="eastAsia" w:ascii="宋体" w:hAnsi="宋体" w:eastAsia="宋体" w:cs="宋体"/>
                <w:bCs/>
                <w:color w:val="000000" w:themeColor="text1"/>
                <w:sz w:val="21"/>
                <w:szCs w:val="21"/>
              </w:rPr>
            </w:pPr>
            <w:r>
              <w:rPr>
                <w:rFonts w:hint="eastAsia" w:ascii="宋体" w:hAnsi="宋体" w:eastAsia="宋体" w:cs="宋体"/>
                <w:bCs/>
                <w:color w:val="000000" w:themeColor="text1"/>
                <w:sz w:val="21"/>
                <w:szCs w:val="21"/>
              </w:rPr>
              <w:t>服务内容</w:t>
            </w:r>
          </w:p>
        </w:tc>
        <w:tc>
          <w:tcPr>
            <w:tcW w:w="2209" w:type="pct"/>
            <w:vAlign w:val="center"/>
          </w:tcPr>
          <w:p w14:paraId="47B8E94A">
            <w:pPr>
              <w:spacing w:line="360" w:lineRule="auto"/>
              <w:jc w:val="center"/>
              <w:rPr>
                <w:rFonts w:hint="eastAsia" w:ascii="宋体" w:hAnsi="宋体" w:eastAsia="宋体" w:cs="宋体"/>
                <w:sz w:val="21"/>
                <w:szCs w:val="21"/>
              </w:rPr>
            </w:pPr>
            <w:r>
              <w:rPr>
                <w:rFonts w:hint="eastAsia" w:ascii="宋体" w:hAnsi="宋体" w:eastAsia="宋体" w:cs="宋体"/>
                <w:sz w:val="21"/>
                <w:szCs w:val="21"/>
              </w:rPr>
              <w:t>符合磋商文件要求</w:t>
            </w:r>
          </w:p>
        </w:tc>
      </w:tr>
      <w:tr w14:paraId="4291E8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434" w:type="pct"/>
            <w:vMerge w:val="continue"/>
            <w:vAlign w:val="center"/>
          </w:tcPr>
          <w:p w14:paraId="2263D8A4">
            <w:pPr>
              <w:spacing w:line="360" w:lineRule="auto"/>
              <w:ind w:firstLine="105" w:firstLineChars="50"/>
              <w:jc w:val="center"/>
              <w:rPr>
                <w:rFonts w:hint="eastAsia" w:ascii="宋体" w:hAnsi="宋体" w:eastAsia="宋体" w:cs="宋体"/>
                <w:sz w:val="21"/>
                <w:szCs w:val="21"/>
              </w:rPr>
            </w:pPr>
          </w:p>
        </w:tc>
        <w:tc>
          <w:tcPr>
            <w:tcW w:w="458" w:type="pct"/>
            <w:vMerge w:val="continue"/>
            <w:vAlign w:val="center"/>
          </w:tcPr>
          <w:p w14:paraId="57E41235">
            <w:pPr>
              <w:spacing w:line="360" w:lineRule="auto"/>
              <w:ind w:firstLine="105" w:firstLineChars="50"/>
              <w:jc w:val="center"/>
              <w:rPr>
                <w:rFonts w:hint="eastAsia" w:ascii="宋体" w:hAnsi="宋体" w:eastAsia="宋体" w:cs="宋体"/>
                <w:sz w:val="21"/>
                <w:szCs w:val="21"/>
              </w:rPr>
            </w:pPr>
          </w:p>
        </w:tc>
        <w:tc>
          <w:tcPr>
            <w:tcW w:w="1897" w:type="pct"/>
            <w:gridSpan w:val="2"/>
            <w:shd w:val="clear" w:color="auto" w:fill="FFFFFF"/>
            <w:vAlign w:val="center"/>
          </w:tcPr>
          <w:p w14:paraId="4CDFDA4B">
            <w:pPr>
              <w:adjustRightInd w:val="0"/>
              <w:spacing w:line="360" w:lineRule="auto"/>
              <w:jc w:val="center"/>
              <w:rPr>
                <w:rFonts w:hint="eastAsia" w:ascii="宋体" w:hAnsi="宋体" w:eastAsia="宋体" w:cs="宋体"/>
                <w:bCs/>
                <w:color w:val="000000" w:themeColor="text1"/>
                <w:sz w:val="21"/>
                <w:szCs w:val="21"/>
              </w:rPr>
            </w:pPr>
            <w:r>
              <w:rPr>
                <w:rFonts w:hint="eastAsia" w:ascii="宋体" w:hAnsi="宋体" w:eastAsia="宋体" w:cs="宋体"/>
                <w:bCs/>
                <w:color w:val="000000" w:themeColor="text1"/>
                <w:sz w:val="21"/>
                <w:szCs w:val="21"/>
              </w:rPr>
              <w:t>磋商有效期</w:t>
            </w:r>
          </w:p>
        </w:tc>
        <w:tc>
          <w:tcPr>
            <w:tcW w:w="2209" w:type="pct"/>
            <w:vAlign w:val="center"/>
          </w:tcPr>
          <w:p w14:paraId="4FB31E3D">
            <w:pPr>
              <w:spacing w:line="360" w:lineRule="auto"/>
              <w:jc w:val="center"/>
              <w:rPr>
                <w:rFonts w:hint="eastAsia" w:ascii="宋体" w:hAnsi="宋体" w:eastAsia="宋体" w:cs="宋体"/>
                <w:kern w:val="0"/>
                <w:sz w:val="21"/>
                <w:szCs w:val="21"/>
              </w:rPr>
            </w:pPr>
            <w:r>
              <w:rPr>
                <w:rFonts w:hint="eastAsia" w:ascii="宋体" w:hAnsi="宋体" w:eastAsia="宋体" w:cs="宋体"/>
                <w:sz w:val="21"/>
                <w:szCs w:val="21"/>
              </w:rPr>
              <w:t>符合磋商文件要求</w:t>
            </w:r>
          </w:p>
        </w:tc>
      </w:tr>
      <w:tr w14:paraId="4A695E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5000" w:type="pct"/>
            <w:gridSpan w:val="5"/>
            <w:vAlign w:val="center"/>
          </w:tcPr>
          <w:p w14:paraId="29DCA637">
            <w:pPr>
              <w:spacing w:line="360" w:lineRule="auto"/>
              <w:jc w:val="center"/>
              <w:rPr>
                <w:rFonts w:hint="eastAsia" w:ascii="宋体" w:hAnsi="宋体" w:eastAsia="宋体" w:cs="宋体"/>
                <w:color w:val="000000" w:themeColor="text1"/>
                <w:kern w:val="0"/>
                <w:sz w:val="21"/>
                <w:szCs w:val="21"/>
              </w:rPr>
            </w:pPr>
            <w:bookmarkStart w:id="316" w:name="_Toc45177853"/>
            <w:bookmarkStart w:id="317" w:name="_Toc6826"/>
            <w:bookmarkStart w:id="318" w:name="_Toc179632618"/>
            <w:bookmarkStart w:id="319" w:name="_Toc152045600"/>
            <w:bookmarkStart w:id="320" w:name="_Toc152042377"/>
            <w:bookmarkStart w:id="321" w:name="_Toc144974567"/>
            <w:r>
              <w:rPr>
                <w:rFonts w:hint="eastAsia" w:ascii="宋体" w:hAnsi="宋体" w:eastAsia="宋体" w:cs="宋体"/>
                <w:bCs/>
                <w:color w:val="000000" w:themeColor="text1"/>
                <w:sz w:val="21"/>
                <w:szCs w:val="21"/>
              </w:rPr>
              <w:t>评标办法</w:t>
            </w:r>
          </w:p>
        </w:tc>
      </w:tr>
      <w:tr w14:paraId="5C5704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893" w:type="pct"/>
            <w:gridSpan w:val="2"/>
            <w:vAlign w:val="center"/>
          </w:tcPr>
          <w:p w14:paraId="54A6319B">
            <w:pPr>
              <w:tabs>
                <w:tab w:val="center" w:pos="4153"/>
                <w:tab w:val="right" w:pos="8306"/>
              </w:tabs>
              <w:snapToGrid w:val="0"/>
              <w:spacing w:line="360" w:lineRule="auto"/>
              <w:jc w:val="center"/>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条款号</w:t>
            </w:r>
          </w:p>
        </w:tc>
        <w:tc>
          <w:tcPr>
            <w:tcW w:w="565" w:type="pct"/>
            <w:vAlign w:val="center"/>
          </w:tcPr>
          <w:p w14:paraId="05489F71">
            <w:pPr>
              <w:tabs>
                <w:tab w:val="center" w:pos="4153"/>
                <w:tab w:val="right" w:pos="8306"/>
              </w:tabs>
              <w:snapToGrid w:val="0"/>
              <w:spacing w:line="360" w:lineRule="auto"/>
              <w:jc w:val="center"/>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条款内容</w:t>
            </w:r>
          </w:p>
        </w:tc>
        <w:tc>
          <w:tcPr>
            <w:tcW w:w="3541" w:type="pct"/>
            <w:gridSpan w:val="2"/>
            <w:vAlign w:val="center"/>
          </w:tcPr>
          <w:p w14:paraId="1934B939">
            <w:pPr>
              <w:tabs>
                <w:tab w:val="center" w:pos="4153"/>
                <w:tab w:val="right" w:pos="8306"/>
              </w:tabs>
              <w:snapToGrid w:val="0"/>
              <w:spacing w:line="360" w:lineRule="auto"/>
              <w:jc w:val="center"/>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编列内容</w:t>
            </w:r>
          </w:p>
        </w:tc>
      </w:tr>
      <w:tr w14:paraId="2B5DFB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893" w:type="pct"/>
            <w:gridSpan w:val="2"/>
            <w:vAlign w:val="center"/>
          </w:tcPr>
          <w:p w14:paraId="6C2A2B6F">
            <w:pPr>
              <w:tabs>
                <w:tab w:val="center" w:pos="4153"/>
                <w:tab w:val="right" w:pos="8306"/>
              </w:tabs>
              <w:snapToGrid w:val="0"/>
              <w:spacing w:line="360" w:lineRule="auto"/>
              <w:jc w:val="center"/>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2.2.1</w:t>
            </w:r>
          </w:p>
        </w:tc>
        <w:tc>
          <w:tcPr>
            <w:tcW w:w="565" w:type="pct"/>
            <w:vAlign w:val="center"/>
          </w:tcPr>
          <w:p w14:paraId="2F5730B0">
            <w:pPr>
              <w:tabs>
                <w:tab w:val="center" w:pos="4153"/>
                <w:tab w:val="right" w:pos="8306"/>
              </w:tabs>
              <w:snapToGrid w:val="0"/>
              <w:spacing w:line="360" w:lineRule="auto"/>
              <w:jc w:val="center"/>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分值构成</w:t>
            </w:r>
          </w:p>
          <w:p w14:paraId="7E6B3AFC">
            <w:pPr>
              <w:tabs>
                <w:tab w:val="center" w:pos="4153"/>
                <w:tab w:val="right" w:pos="8306"/>
              </w:tabs>
              <w:snapToGrid w:val="0"/>
              <w:spacing w:line="360" w:lineRule="auto"/>
              <w:jc w:val="center"/>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（总分100分）</w:t>
            </w:r>
          </w:p>
        </w:tc>
        <w:tc>
          <w:tcPr>
            <w:tcW w:w="3541" w:type="pct"/>
            <w:gridSpan w:val="2"/>
            <w:vAlign w:val="center"/>
          </w:tcPr>
          <w:p w14:paraId="372CCC21">
            <w:pPr>
              <w:tabs>
                <w:tab w:val="center" w:pos="4153"/>
                <w:tab w:val="right" w:pos="8306"/>
              </w:tabs>
              <w:snapToGrid w:val="0"/>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磋商报价得分：</w:t>
            </w:r>
            <w:r>
              <w:rPr>
                <w:rFonts w:hint="eastAsia" w:ascii="宋体" w:hAnsi="宋体" w:eastAsia="宋体" w:cs="宋体"/>
                <w:color w:val="000000" w:themeColor="text1"/>
                <w:sz w:val="21"/>
                <w:szCs w:val="21"/>
                <w:u w:val="single"/>
              </w:rPr>
              <w:t xml:space="preserve"> 15 </w:t>
            </w:r>
            <w:r>
              <w:rPr>
                <w:rFonts w:hint="eastAsia" w:ascii="宋体" w:hAnsi="宋体" w:eastAsia="宋体" w:cs="宋体"/>
                <w:color w:val="000000" w:themeColor="text1"/>
                <w:sz w:val="21"/>
                <w:szCs w:val="21"/>
              </w:rPr>
              <w:t>分</w:t>
            </w:r>
          </w:p>
          <w:p w14:paraId="2F45AC94">
            <w:pPr>
              <w:tabs>
                <w:tab w:val="center" w:pos="4153"/>
                <w:tab w:val="right" w:pos="8306"/>
              </w:tabs>
              <w:snapToGrid w:val="0"/>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技术标得分：</w:t>
            </w:r>
            <w:r>
              <w:rPr>
                <w:rFonts w:hint="eastAsia" w:ascii="宋体" w:hAnsi="宋体" w:eastAsia="宋体" w:cs="宋体"/>
                <w:color w:val="000000" w:themeColor="text1"/>
                <w:sz w:val="21"/>
                <w:szCs w:val="21"/>
                <w:u w:val="single"/>
              </w:rPr>
              <w:t xml:space="preserve"> </w:t>
            </w:r>
            <w:r>
              <w:rPr>
                <w:rFonts w:hint="eastAsia" w:ascii="宋体" w:hAnsi="宋体" w:cs="宋体"/>
                <w:color w:val="000000" w:themeColor="text1"/>
                <w:sz w:val="21"/>
                <w:szCs w:val="21"/>
                <w:u w:val="single"/>
              </w:rPr>
              <w:t>70</w:t>
            </w:r>
            <w:r>
              <w:rPr>
                <w:rFonts w:hint="eastAsia" w:ascii="宋体" w:hAnsi="宋体" w:eastAsia="宋体" w:cs="宋体"/>
                <w:color w:val="000000" w:themeColor="text1"/>
                <w:sz w:val="21"/>
                <w:szCs w:val="21"/>
              </w:rPr>
              <w:t>分</w:t>
            </w:r>
          </w:p>
          <w:p w14:paraId="44F357BC">
            <w:pPr>
              <w:tabs>
                <w:tab w:val="center" w:pos="4153"/>
                <w:tab w:val="right" w:pos="8306"/>
              </w:tabs>
              <w:snapToGrid w:val="0"/>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综合标得分：</w:t>
            </w:r>
            <w:r>
              <w:rPr>
                <w:rFonts w:hint="eastAsia" w:ascii="宋体" w:hAnsi="宋体" w:eastAsia="宋体" w:cs="宋体"/>
                <w:color w:val="000000" w:themeColor="text1"/>
                <w:sz w:val="21"/>
                <w:szCs w:val="21"/>
                <w:u w:val="single"/>
              </w:rPr>
              <w:t xml:space="preserve">  </w:t>
            </w:r>
            <w:r>
              <w:rPr>
                <w:rFonts w:hint="eastAsia" w:ascii="宋体" w:hAnsi="宋体" w:cs="宋体"/>
                <w:color w:val="000000" w:themeColor="text1"/>
                <w:sz w:val="21"/>
                <w:szCs w:val="21"/>
                <w:u w:val="single"/>
              </w:rPr>
              <w:t>15</w:t>
            </w:r>
            <w:r>
              <w:rPr>
                <w:rFonts w:hint="eastAsia" w:ascii="宋体" w:hAnsi="宋体" w:eastAsia="宋体" w:cs="宋体"/>
                <w:color w:val="000000" w:themeColor="text1"/>
                <w:sz w:val="21"/>
                <w:szCs w:val="21"/>
              </w:rPr>
              <w:t>分</w:t>
            </w:r>
          </w:p>
        </w:tc>
      </w:tr>
      <w:tr w14:paraId="464081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893" w:type="pct"/>
            <w:gridSpan w:val="2"/>
            <w:vAlign w:val="center"/>
          </w:tcPr>
          <w:p w14:paraId="40366078">
            <w:pPr>
              <w:tabs>
                <w:tab w:val="center" w:pos="4153"/>
                <w:tab w:val="right" w:pos="8306"/>
              </w:tabs>
              <w:snapToGrid w:val="0"/>
              <w:spacing w:line="360" w:lineRule="auto"/>
              <w:jc w:val="center"/>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2.2.2</w:t>
            </w:r>
          </w:p>
        </w:tc>
        <w:tc>
          <w:tcPr>
            <w:tcW w:w="565" w:type="pct"/>
            <w:vAlign w:val="center"/>
          </w:tcPr>
          <w:p w14:paraId="1B73BDD5">
            <w:pPr>
              <w:spacing w:line="360" w:lineRule="auto"/>
              <w:ind w:firstLine="105" w:firstLineChars="50"/>
              <w:jc w:val="center"/>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评标基准价</w:t>
            </w:r>
          </w:p>
          <w:p w14:paraId="78F79866">
            <w:pPr>
              <w:spacing w:line="360" w:lineRule="auto"/>
              <w:ind w:firstLine="105" w:firstLineChars="50"/>
              <w:jc w:val="center"/>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计算方法</w:t>
            </w:r>
          </w:p>
        </w:tc>
        <w:tc>
          <w:tcPr>
            <w:tcW w:w="3541" w:type="pct"/>
            <w:gridSpan w:val="2"/>
            <w:vAlign w:val="center"/>
          </w:tcPr>
          <w:p w14:paraId="4D359548">
            <w:pPr>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有效报价：通过初步评审（形式评审、资格评审、响应性评审）的供应商经磋商后的最终报价。</w:t>
            </w:r>
          </w:p>
          <w:p w14:paraId="34B40FC9">
            <w:pPr>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磋商基准价=最终磋商报价最低的供应商价格</w:t>
            </w:r>
          </w:p>
        </w:tc>
      </w:tr>
      <w:tr w14:paraId="4B042A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893" w:type="pct"/>
            <w:gridSpan w:val="2"/>
            <w:vAlign w:val="center"/>
          </w:tcPr>
          <w:p w14:paraId="124F1E82">
            <w:pPr>
              <w:tabs>
                <w:tab w:val="center" w:pos="4153"/>
                <w:tab w:val="right" w:pos="8306"/>
              </w:tabs>
              <w:snapToGrid w:val="0"/>
              <w:spacing w:line="360" w:lineRule="auto"/>
              <w:jc w:val="center"/>
              <w:rPr>
                <w:rFonts w:hint="eastAsia" w:ascii="宋体" w:hAnsi="宋体" w:eastAsia="宋体" w:cs="宋体"/>
                <w:b/>
                <w:bCs/>
                <w:color w:val="000000" w:themeColor="text1"/>
                <w:sz w:val="21"/>
                <w:szCs w:val="21"/>
              </w:rPr>
            </w:pPr>
            <w:r>
              <w:rPr>
                <w:rFonts w:hint="eastAsia" w:ascii="宋体" w:hAnsi="宋体" w:eastAsia="宋体" w:cs="宋体"/>
                <w:b/>
                <w:bCs/>
                <w:color w:val="000000" w:themeColor="text1"/>
                <w:sz w:val="21"/>
                <w:szCs w:val="21"/>
              </w:rPr>
              <w:t>2.2.4（1）</w:t>
            </w:r>
          </w:p>
        </w:tc>
        <w:tc>
          <w:tcPr>
            <w:tcW w:w="565" w:type="pct"/>
            <w:vAlign w:val="center"/>
          </w:tcPr>
          <w:p w14:paraId="381085DE">
            <w:pPr>
              <w:spacing w:line="360" w:lineRule="auto"/>
              <w:jc w:val="center"/>
              <w:rPr>
                <w:rFonts w:hint="eastAsia" w:ascii="宋体" w:hAnsi="宋体" w:eastAsia="宋体" w:cs="宋体"/>
                <w:b/>
                <w:bCs/>
                <w:color w:val="000000" w:themeColor="text1"/>
                <w:szCs w:val="21"/>
              </w:rPr>
            </w:pPr>
            <w:r>
              <w:rPr>
                <w:rFonts w:hint="eastAsia" w:ascii="宋体" w:hAnsi="宋体" w:eastAsia="宋体" w:cs="宋体"/>
                <w:b/>
                <w:bCs/>
                <w:color w:val="000000" w:themeColor="text1"/>
                <w:sz w:val="21"/>
                <w:szCs w:val="21"/>
              </w:rPr>
              <w:t>磋商报价（1</w:t>
            </w:r>
            <w:r>
              <w:rPr>
                <w:rFonts w:hint="eastAsia" w:ascii="宋体" w:hAnsi="宋体" w:cs="宋体"/>
                <w:b/>
                <w:bCs/>
                <w:color w:val="000000" w:themeColor="text1"/>
                <w:sz w:val="21"/>
                <w:szCs w:val="21"/>
              </w:rPr>
              <w:t>5</w:t>
            </w:r>
            <w:r>
              <w:rPr>
                <w:rFonts w:hint="eastAsia" w:ascii="宋体" w:hAnsi="宋体" w:eastAsia="宋体" w:cs="宋体"/>
                <w:b/>
                <w:bCs/>
                <w:color w:val="000000" w:themeColor="text1"/>
                <w:sz w:val="21"/>
                <w:szCs w:val="21"/>
              </w:rPr>
              <w:t>分）</w:t>
            </w:r>
          </w:p>
        </w:tc>
        <w:tc>
          <w:tcPr>
            <w:tcW w:w="3541" w:type="pct"/>
            <w:gridSpan w:val="2"/>
            <w:vAlign w:val="center"/>
          </w:tcPr>
          <w:p w14:paraId="1A633237">
            <w:pPr>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kern w:val="0"/>
                <w:sz w:val="21"/>
                <w:szCs w:val="21"/>
              </w:rPr>
              <w:t>价格分应当采用低价优先法计算，即满足招标文件要求且投标价格最低的投标报价为评标基准价，其价格分为满分。</w:t>
            </w:r>
          </w:p>
          <w:p w14:paraId="289885FE">
            <w:pPr>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磋商报价得分=评标基准价/最终磋商报价×15分</w:t>
            </w:r>
          </w:p>
          <w:p w14:paraId="19F7A215">
            <w:pPr>
              <w:spacing w:line="360" w:lineRule="auto"/>
              <w:rPr>
                <w:rFonts w:hint="eastAsia" w:ascii="宋体" w:hAnsi="宋体" w:eastAsia="宋体" w:cs="宋体"/>
                <w:bCs/>
                <w:color w:val="000000" w:themeColor="text1"/>
                <w:sz w:val="21"/>
                <w:szCs w:val="21"/>
              </w:rPr>
            </w:pPr>
            <w:r>
              <w:rPr>
                <w:rFonts w:hint="eastAsia" w:ascii="宋体" w:hAnsi="宋体" w:eastAsia="宋体" w:cs="宋体"/>
                <w:color w:val="000000" w:themeColor="text1"/>
                <w:sz w:val="21"/>
                <w:szCs w:val="21"/>
              </w:rPr>
              <w:t>注：</w:t>
            </w:r>
          </w:p>
          <w:p w14:paraId="35100B90">
            <w:pPr>
              <w:numPr>
                <w:ilvl w:val="0"/>
                <w:numId w:val="0"/>
              </w:numPr>
              <w:spacing w:line="360" w:lineRule="auto"/>
              <w:rPr>
                <w:rFonts w:hint="eastAsia" w:ascii="宋体" w:hAnsi="宋体"/>
                <w:color w:val="000000" w:themeColor="text1"/>
                <w:kern w:val="0"/>
                <w:sz w:val="21"/>
                <w:szCs w:val="21"/>
              </w:rPr>
            </w:pPr>
            <w:r>
              <w:rPr>
                <w:rFonts w:hint="eastAsia" w:ascii="宋体" w:hAnsi="宋体"/>
                <w:color w:val="000000" w:themeColor="text1"/>
                <w:kern w:val="0"/>
                <w:sz w:val="21"/>
                <w:szCs w:val="21"/>
                <w:lang w:val="en-US" w:eastAsia="zh-CN"/>
              </w:rPr>
              <w:t>1、</w:t>
            </w:r>
            <w:r>
              <w:rPr>
                <w:rFonts w:ascii="宋体" w:hAnsi="宋体"/>
                <w:color w:val="000000" w:themeColor="text1"/>
                <w:kern w:val="0"/>
                <w:sz w:val="21"/>
                <w:szCs w:val="21"/>
              </w:rPr>
              <w:t>落实政府采购政策进行价格调整的，以调整后的价格计算评标基准价和投标报价。</w:t>
            </w:r>
          </w:p>
          <w:p w14:paraId="04806F73">
            <w:pPr>
              <w:numPr>
                <w:ilvl w:val="0"/>
                <w:numId w:val="0"/>
              </w:numPr>
              <w:autoSpaceDE w:val="0"/>
              <w:autoSpaceDN w:val="0"/>
              <w:spacing w:line="360" w:lineRule="auto"/>
              <w:ind w:left="0" w:leftChars="0" w:firstLine="0" w:firstLineChars="0"/>
              <w:rPr>
                <w:rFonts w:ascii="宋体" w:hAnsi="宋体"/>
                <w:color w:val="000000" w:themeColor="text1"/>
                <w:kern w:val="0"/>
                <w:sz w:val="21"/>
                <w:szCs w:val="21"/>
              </w:rPr>
            </w:pPr>
            <w:r>
              <w:rPr>
                <w:rFonts w:hint="eastAsia" w:ascii="宋体" w:hAnsi="宋体" w:cs="Times New Roman"/>
                <w:color w:val="000000" w:themeColor="text1"/>
                <w:kern w:val="0"/>
                <w:sz w:val="21"/>
                <w:szCs w:val="21"/>
                <w:lang w:val="en-US" w:eastAsia="zh-CN" w:bidi="ar-SA"/>
              </w:rPr>
              <w:t>2</w:t>
            </w:r>
            <w:r>
              <w:rPr>
                <w:rFonts w:ascii="宋体" w:hAnsi="宋体" w:eastAsia="宋体" w:cs="Times New Roman"/>
                <w:color w:val="000000" w:themeColor="text1"/>
                <w:kern w:val="0"/>
                <w:sz w:val="21"/>
                <w:szCs w:val="21"/>
                <w:lang w:val="en-US" w:eastAsia="zh-CN" w:bidi="ar-SA"/>
              </w:rPr>
              <w:t>、</w:t>
            </w:r>
            <w:r>
              <w:rPr>
                <w:rFonts w:ascii="宋体" w:hAnsi="宋体"/>
                <w:color w:val="000000" w:themeColor="text1"/>
                <w:kern w:val="0"/>
                <w:sz w:val="21"/>
                <w:szCs w:val="21"/>
              </w:rPr>
              <w:t>为了促进中小企业发展，根据《中华人民共和国政府采购法实施条例》第六条和</w:t>
            </w:r>
            <w:r>
              <w:rPr>
                <w:rFonts w:hint="eastAsia" w:ascii="宋体" w:hAnsi="宋体"/>
                <w:color w:val="000000" w:themeColor="text1"/>
                <w:kern w:val="0"/>
                <w:sz w:val="21"/>
                <w:szCs w:val="21"/>
              </w:rPr>
              <w:t>财库〔2020〕46号</w:t>
            </w:r>
            <w:r>
              <w:rPr>
                <w:rFonts w:ascii="宋体" w:hAnsi="宋体"/>
                <w:color w:val="000000" w:themeColor="text1"/>
                <w:kern w:val="0"/>
                <w:sz w:val="21"/>
                <w:szCs w:val="21"/>
              </w:rPr>
              <w:t>规定，给予小型或微型企业价格</w:t>
            </w:r>
            <w:r>
              <w:rPr>
                <w:rFonts w:hint="eastAsia" w:ascii="宋体" w:hAnsi="宋体"/>
                <w:color w:val="000000" w:themeColor="text1"/>
                <w:kern w:val="0"/>
                <w:sz w:val="21"/>
                <w:szCs w:val="21"/>
              </w:rPr>
              <w:t>20</w:t>
            </w:r>
            <w:r>
              <w:rPr>
                <w:rFonts w:ascii="宋体" w:hAnsi="宋体"/>
                <w:color w:val="000000" w:themeColor="text1"/>
                <w:kern w:val="0"/>
                <w:sz w:val="21"/>
                <w:szCs w:val="21"/>
              </w:rPr>
              <w:t>%的扣除，用扣除后的价格参与评审。即所投中小微企业产品报价=所投中小微企业产品报价合计×（1-</w:t>
            </w:r>
            <w:r>
              <w:rPr>
                <w:rFonts w:hint="eastAsia" w:ascii="宋体" w:hAnsi="宋体"/>
                <w:color w:val="000000" w:themeColor="text1"/>
                <w:kern w:val="0"/>
                <w:sz w:val="21"/>
                <w:szCs w:val="21"/>
              </w:rPr>
              <w:t>20</w:t>
            </w:r>
            <w:r>
              <w:rPr>
                <w:rFonts w:ascii="宋体" w:hAnsi="宋体"/>
                <w:color w:val="000000" w:themeColor="text1"/>
                <w:kern w:val="0"/>
                <w:sz w:val="21"/>
                <w:szCs w:val="21"/>
              </w:rPr>
              <w:t>%）。</w:t>
            </w:r>
          </w:p>
          <w:p w14:paraId="7E952AA3">
            <w:pPr>
              <w:autoSpaceDE w:val="0"/>
              <w:autoSpaceDN w:val="0"/>
              <w:spacing w:line="360" w:lineRule="auto"/>
              <w:rPr>
                <w:rFonts w:hint="eastAsia" w:ascii="宋体" w:hAnsi="宋体"/>
                <w:color w:val="000000" w:themeColor="text1"/>
                <w:kern w:val="0"/>
                <w:sz w:val="21"/>
                <w:szCs w:val="21"/>
              </w:rPr>
            </w:pPr>
            <w:r>
              <w:rPr>
                <w:rFonts w:hint="eastAsia" w:ascii="宋体" w:hAnsi="宋体" w:cs="Times New Roman"/>
                <w:color w:val="000000" w:themeColor="text1"/>
                <w:kern w:val="0"/>
                <w:sz w:val="21"/>
                <w:szCs w:val="21"/>
                <w:lang w:val="en-US" w:eastAsia="zh-CN" w:bidi="ar-SA"/>
              </w:rPr>
              <w:t>3</w:t>
            </w:r>
            <w:r>
              <w:rPr>
                <w:rFonts w:hint="eastAsia" w:ascii="宋体" w:hAnsi="宋体" w:eastAsia="宋体" w:cs="Times New Roman"/>
                <w:color w:val="000000" w:themeColor="text1"/>
                <w:kern w:val="0"/>
                <w:sz w:val="21"/>
                <w:szCs w:val="21"/>
                <w:lang w:val="en-US" w:eastAsia="zh-CN" w:bidi="ar-SA"/>
              </w:rPr>
              <w:t>、</w:t>
            </w:r>
            <w:r>
              <w:rPr>
                <w:rFonts w:hint="eastAsia" w:ascii="宋体" w:hAnsi="宋体" w:cs="宋体"/>
                <w:b w:val="0"/>
                <w:bCs w:val="0"/>
                <w:color w:val="000000" w:themeColor="text1"/>
                <w:kern w:val="2"/>
                <w:sz w:val="21"/>
                <w:szCs w:val="21"/>
                <w:highlight w:val="none"/>
                <w:lang w:val="en-US" w:eastAsia="zh-CN" w:bidi="ar-SA"/>
              </w:rPr>
              <w:t>异常低价问题的处理</w:t>
            </w:r>
            <w:r>
              <w:rPr>
                <w:rFonts w:hint="eastAsia" w:ascii="宋体" w:hAnsi="宋体"/>
                <w:b w:val="0"/>
                <w:bCs w:val="0"/>
                <w:color w:val="000000" w:themeColor="text1"/>
                <w:kern w:val="0"/>
                <w:sz w:val="21"/>
                <w:szCs w:val="21"/>
                <w:highlight w:val="none"/>
                <w:lang w:val="en-US" w:eastAsia="zh-CN"/>
              </w:rPr>
              <w:t>执行《</w:t>
            </w:r>
            <w:r>
              <w:rPr>
                <w:rFonts w:hint="eastAsia" w:ascii="宋体" w:hAnsi="宋体"/>
                <w:b w:val="0"/>
                <w:bCs w:val="0"/>
                <w:color w:val="000000" w:themeColor="text1"/>
                <w:kern w:val="0"/>
                <w:sz w:val="21"/>
                <w:szCs w:val="21"/>
                <w:highlight w:val="none"/>
                <w:lang w:eastAsia="zh-CN"/>
              </w:rPr>
              <w:t>关于推动解决政府采购异常低价问题的通知</w:t>
            </w:r>
            <w:r>
              <w:rPr>
                <w:rFonts w:hint="eastAsia" w:ascii="宋体" w:hAnsi="宋体"/>
                <w:b w:val="0"/>
                <w:bCs w:val="0"/>
                <w:color w:val="000000" w:themeColor="text1"/>
                <w:kern w:val="0"/>
                <w:sz w:val="21"/>
                <w:szCs w:val="21"/>
                <w:highlight w:val="none"/>
                <w:lang w:val="en-US" w:eastAsia="zh-CN"/>
              </w:rPr>
              <w:t>》（</w:t>
            </w:r>
            <w:r>
              <w:rPr>
                <w:rFonts w:hint="eastAsia" w:ascii="宋体" w:hAnsi="宋体"/>
                <w:b w:val="0"/>
                <w:bCs w:val="0"/>
                <w:color w:val="000000" w:themeColor="text1"/>
                <w:kern w:val="0"/>
                <w:sz w:val="21"/>
                <w:szCs w:val="21"/>
                <w:highlight w:val="none"/>
                <w:lang w:eastAsia="zh-CN"/>
              </w:rPr>
              <w:t>财库〔2026〕2号</w:t>
            </w:r>
            <w:r>
              <w:rPr>
                <w:rFonts w:hint="eastAsia" w:ascii="宋体" w:hAnsi="宋体"/>
                <w:b w:val="0"/>
                <w:bCs w:val="0"/>
                <w:color w:val="000000" w:themeColor="text1"/>
                <w:kern w:val="0"/>
                <w:sz w:val="21"/>
                <w:szCs w:val="21"/>
                <w:highlight w:val="none"/>
                <w:lang w:val="en-US" w:eastAsia="zh-CN"/>
              </w:rPr>
              <w:t>）（详见附件6）。</w:t>
            </w:r>
            <w:r>
              <w:rPr>
                <w:rFonts w:ascii="宋体" w:hAnsi="宋体"/>
                <w:color w:val="000000" w:themeColor="text1"/>
                <w:kern w:val="0"/>
                <w:sz w:val="21"/>
                <w:szCs w:val="21"/>
                <w:highlight w:val="none"/>
              </w:rPr>
              <w:t>投标报价应是在保证采购要求和服务质量的基础上投报的全费用价格。评标委员</w:t>
            </w:r>
            <w:r>
              <w:rPr>
                <w:rFonts w:ascii="宋体" w:hAnsi="宋体"/>
                <w:color w:val="000000" w:themeColor="text1"/>
                <w:kern w:val="0"/>
                <w:sz w:val="21"/>
                <w:szCs w:val="21"/>
              </w:rPr>
              <w:t>会发现</w:t>
            </w:r>
            <w:r>
              <w:rPr>
                <w:rFonts w:hint="eastAsia" w:ascii="宋体" w:hAnsi="宋体"/>
                <w:color w:val="000000" w:themeColor="text1"/>
                <w:kern w:val="0"/>
                <w:sz w:val="21"/>
                <w:szCs w:val="21"/>
                <w:lang w:eastAsia="zh-CN"/>
              </w:rPr>
              <w:t>供应商</w:t>
            </w:r>
            <w:r>
              <w:rPr>
                <w:rFonts w:ascii="宋体" w:hAnsi="宋体"/>
                <w:color w:val="000000" w:themeColor="text1"/>
                <w:kern w:val="0"/>
                <w:sz w:val="21"/>
                <w:szCs w:val="21"/>
              </w:rPr>
              <w:t>的报价明显低于其他</w:t>
            </w:r>
            <w:r>
              <w:rPr>
                <w:rFonts w:hint="eastAsia" w:ascii="宋体" w:hAnsi="宋体"/>
                <w:color w:val="000000" w:themeColor="text1"/>
                <w:kern w:val="0"/>
                <w:sz w:val="21"/>
                <w:szCs w:val="21"/>
                <w:lang w:eastAsia="zh-CN"/>
              </w:rPr>
              <w:t>供应商</w:t>
            </w:r>
            <w:r>
              <w:rPr>
                <w:rFonts w:ascii="宋体" w:hAnsi="宋体"/>
                <w:color w:val="000000" w:themeColor="text1"/>
                <w:kern w:val="0"/>
                <w:sz w:val="21"/>
                <w:szCs w:val="21"/>
              </w:rPr>
              <w:t>，使得其投标报价可能低于其个别成本的，应当要求</w:t>
            </w:r>
            <w:r>
              <w:rPr>
                <w:rFonts w:hint="eastAsia" w:ascii="宋体" w:hAnsi="宋体"/>
                <w:color w:val="000000" w:themeColor="text1"/>
                <w:kern w:val="0"/>
                <w:sz w:val="21"/>
                <w:szCs w:val="21"/>
                <w:lang w:eastAsia="zh-CN"/>
              </w:rPr>
              <w:t>供应商</w:t>
            </w:r>
            <w:r>
              <w:rPr>
                <w:rFonts w:ascii="宋体" w:hAnsi="宋体"/>
                <w:color w:val="000000" w:themeColor="text1"/>
                <w:kern w:val="0"/>
                <w:sz w:val="21"/>
                <w:szCs w:val="21"/>
              </w:rPr>
              <w:t>于投标现场1小时内作出书面说明并提供相关证明材料。</w:t>
            </w:r>
            <w:r>
              <w:rPr>
                <w:rFonts w:hint="eastAsia" w:ascii="宋体" w:hAnsi="宋体"/>
                <w:color w:val="000000" w:themeColor="text1"/>
                <w:kern w:val="0"/>
                <w:sz w:val="21"/>
                <w:szCs w:val="21"/>
                <w:lang w:eastAsia="zh-CN"/>
              </w:rPr>
              <w:t>供应商</w:t>
            </w:r>
            <w:r>
              <w:rPr>
                <w:rFonts w:ascii="宋体" w:hAnsi="宋体"/>
                <w:color w:val="000000" w:themeColor="text1"/>
                <w:kern w:val="0"/>
                <w:sz w:val="21"/>
                <w:szCs w:val="21"/>
              </w:rPr>
              <w:t>不能合理说明或者不能提供相关证明材料的，由评标委员会认定该</w:t>
            </w:r>
            <w:r>
              <w:rPr>
                <w:rFonts w:hint="eastAsia" w:ascii="宋体" w:hAnsi="宋体"/>
                <w:color w:val="000000" w:themeColor="text1"/>
                <w:kern w:val="0"/>
                <w:sz w:val="21"/>
                <w:szCs w:val="21"/>
                <w:lang w:eastAsia="zh-CN"/>
              </w:rPr>
              <w:t>供应商</w:t>
            </w:r>
            <w:r>
              <w:rPr>
                <w:rFonts w:ascii="宋体" w:hAnsi="宋体"/>
                <w:color w:val="000000" w:themeColor="text1"/>
                <w:kern w:val="0"/>
                <w:sz w:val="21"/>
                <w:szCs w:val="21"/>
              </w:rPr>
              <w:t>以低于成本报价竞标，其投标作为无效标处理。</w:t>
            </w:r>
          </w:p>
        </w:tc>
      </w:tr>
      <w:tr w14:paraId="477756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5000" w:type="pct"/>
            <w:gridSpan w:val="5"/>
            <w:vAlign w:val="center"/>
          </w:tcPr>
          <w:p w14:paraId="2CFE9D78">
            <w:pPr>
              <w:spacing w:line="360" w:lineRule="auto"/>
              <w:jc w:val="center"/>
              <w:rPr>
                <w:rFonts w:hint="eastAsia" w:ascii="宋体" w:hAnsi="宋体" w:eastAsia="宋体" w:cs="宋体"/>
                <w:color w:val="000000" w:themeColor="text1"/>
                <w:sz w:val="21"/>
                <w:szCs w:val="21"/>
              </w:rPr>
            </w:pPr>
            <w:r>
              <w:rPr>
                <w:rFonts w:hint="eastAsia" w:ascii="宋体" w:hAnsi="宋体" w:eastAsia="宋体" w:cs="宋体"/>
                <w:b/>
                <w:bCs/>
                <w:color w:val="000000" w:themeColor="text1"/>
                <w:sz w:val="21"/>
                <w:szCs w:val="21"/>
              </w:rPr>
              <w:t>2.2.4（2）技术标评分标准（</w:t>
            </w:r>
            <w:r>
              <w:rPr>
                <w:rFonts w:hint="eastAsia" w:ascii="宋体" w:hAnsi="宋体" w:cs="宋体"/>
                <w:b/>
                <w:bCs/>
                <w:color w:val="000000" w:themeColor="text1"/>
                <w:sz w:val="21"/>
                <w:szCs w:val="21"/>
              </w:rPr>
              <w:t>70</w:t>
            </w:r>
            <w:r>
              <w:rPr>
                <w:rFonts w:hint="eastAsia" w:ascii="宋体" w:hAnsi="宋体" w:eastAsia="宋体" w:cs="宋体"/>
                <w:b/>
                <w:bCs/>
                <w:color w:val="000000" w:themeColor="text1"/>
                <w:sz w:val="21"/>
                <w:szCs w:val="21"/>
              </w:rPr>
              <w:t>分）</w:t>
            </w:r>
          </w:p>
        </w:tc>
      </w:tr>
      <w:tr w14:paraId="0AF0EB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893" w:type="pct"/>
            <w:gridSpan w:val="2"/>
            <w:vAlign w:val="center"/>
          </w:tcPr>
          <w:p w14:paraId="1057F60E">
            <w:pPr>
              <w:spacing w:line="360" w:lineRule="auto"/>
              <w:jc w:val="center"/>
              <w:rPr>
                <w:rFonts w:hint="eastAsia" w:ascii="宋体" w:hAnsi="宋体" w:eastAsia="宋体" w:cs="宋体"/>
                <w:bCs/>
                <w:color w:val="000000" w:themeColor="text1"/>
                <w:sz w:val="21"/>
                <w:szCs w:val="21"/>
              </w:rPr>
            </w:pPr>
            <w:r>
              <w:rPr>
                <w:rFonts w:hint="eastAsia" w:ascii="宋体" w:hAnsi="宋体" w:eastAsia="宋体" w:cs="宋体"/>
                <w:bCs/>
                <w:color w:val="000000" w:themeColor="text1"/>
                <w:sz w:val="21"/>
                <w:szCs w:val="21"/>
              </w:rPr>
              <w:t>内容</w:t>
            </w:r>
          </w:p>
        </w:tc>
        <w:tc>
          <w:tcPr>
            <w:tcW w:w="565" w:type="pct"/>
            <w:vAlign w:val="center"/>
          </w:tcPr>
          <w:p w14:paraId="1805C01C">
            <w:pPr>
              <w:spacing w:line="360" w:lineRule="auto"/>
              <w:jc w:val="center"/>
              <w:rPr>
                <w:rFonts w:hint="eastAsia" w:ascii="宋体" w:hAnsi="宋体" w:eastAsia="宋体" w:cs="宋体"/>
                <w:bCs/>
                <w:color w:val="000000" w:themeColor="text1"/>
                <w:sz w:val="21"/>
                <w:szCs w:val="21"/>
              </w:rPr>
            </w:pPr>
            <w:r>
              <w:rPr>
                <w:rFonts w:hint="eastAsia" w:ascii="宋体" w:hAnsi="宋体" w:eastAsia="宋体" w:cs="宋体"/>
                <w:bCs/>
                <w:color w:val="000000" w:themeColor="text1"/>
                <w:sz w:val="21"/>
                <w:szCs w:val="21"/>
              </w:rPr>
              <w:t>分值</w:t>
            </w:r>
          </w:p>
        </w:tc>
        <w:tc>
          <w:tcPr>
            <w:tcW w:w="3541" w:type="pct"/>
            <w:gridSpan w:val="2"/>
            <w:vAlign w:val="center"/>
          </w:tcPr>
          <w:p w14:paraId="1D82D981">
            <w:pPr>
              <w:spacing w:line="360" w:lineRule="auto"/>
              <w:jc w:val="center"/>
              <w:rPr>
                <w:rFonts w:hint="eastAsia" w:ascii="宋体" w:hAnsi="宋体" w:eastAsia="宋体" w:cs="宋体"/>
                <w:bCs/>
                <w:color w:val="000000" w:themeColor="text1"/>
                <w:sz w:val="21"/>
                <w:szCs w:val="21"/>
              </w:rPr>
            </w:pPr>
            <w:r>
              <w:rPr>
                <w:rFonts w:hint="eastAsia" w:ascii="宋体" w:hAnsi="宋体" w:eastAsia="宋体" w:cs="宋体"/>
                <w:bCs/>
                <w:color w:val="000000" w:themeColor="text1"/>
                <w:sz w:val="21"/>
                <w:szCs w:val="21"/>
              </w:rPr>
              <w:t>评审标准</w:t>
            </w:r>
          </w:p>
        </w:tc>
      </w:tr>
      <w:tr w14:paraId="0FE677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893" w:type="pct"/>
            <w:gridSpan w:val="2"/>
            <w:vAlign w:val="center"/>
          </w:tcPr>
          <w:p w14:paraId="1A05B0B6">
            <w:pPr>
              <w:spacing w:line="360" w:lineRule="auto"/>
              <w:jc w:val="center"/>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1.整体运营维护方案</w:t>
            </w:r>
          </w:p>
        </w:tc>
        <w:tc>
          <w:tcPr>
            <w:tcW w:w="565" w:type="pct"/>
            <w:vAlign w:val="center"/>
          </w:tcPr>
          <w:p w14:paraId="06F65065">
            <w:pPr>
              <w:spacing w:line="360" w:lineRule="auto"/>
              <w:jc w:val="center"/>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0-</w:t>
            </w:r>
            <w:r>
              <w:rPr>
                <w:rFonts w:hint="eastAsia" w:ascii="宋体" w:hAnsi="宋体" w:cs="宋体"/>
                <w:color w:val="000000" w:themeColor="text1"/>
                <w:sz w:val="21"/>
                <w:szCs w:val="21"/>
              </w:rPr>
              <w:t>10</w:t>
            </w:r>
          </w:p>
        </w:tc>
        <w:tc>
          <w:tcPr>
            <w:tcW w:w="3541" w:type="pct"/>
            <w:gridSpan w:val="2"/>
            <w:vAlign w:val="center"/>
          </w:tcPr>
          <w:p w14:paraId="5B336847">
            <w:pPr>
              <w:spacing w:line="360" w:lineRule="auto"/>
              <w:rPr>
                <w:rFonts w:hint="eastAsia" w:ascii="宋体" w:hAnsi="宋体" w:eastAsia="宋体" w:cs="宋体"/>
                <w:bCs/>
                <w:color w:val="000000" w:themeColor="text1"/>
                <w:sz w:val="21"/>
                <w:szCs w:val="21"/>
              </w:rPr>
            </w:pPr>
            <w:r>
              <w:rPr>
                <w:rFonts w:hint="eastAsia" w:ascii="宋体" w:hAnsi="宋体" w:eastAsia="宋体" w:cs="宋体"/>
                <w:bCs/>
                <w:color w:val="000000" w:themeColor="text1"/>
                <w:sz w:val="21"/>
                <w:szCs w:val="21"/>
              </w:rPr>
              <w:t>根据本项目情况提供整体运行维护保障服务方案，如维保服务内容、服务体系、车辆及工具配备、备品备件、服务响应方式、电力供应保障措施、传输网络保障措施、在线率保障措施、本地化保障体系等内容。</w:t>
            </w:r>
          </w:p>
          <w:p w14:paraId="5AD97F1A">
            <w:pPr>
              <w:spacing w:line="360" w:lineRule="auto"/>
              <w:rPr>
                <w:rFonts w:hint="eastAsia" w:ascii="宋体" w:hAnsi="宋体" w:eastAsia="宋体" w:cs="宋体"/>
                <w:bCs/>
                <w:color w:val="000000" w:themeColor="text1"/>
                <w:sz w:val="21"/>
                <w:szCs w:val="21"/>
              </w:rPr>
            </w:pPr>
            <w:r>
              <w:rPr>
                <w:rFonts w:hint="eastAsia" w:ascii="宋体" w:hAnsi="宋体" w:eastAsia="宋体" w:cs="宋体"/>
                <w:color w:val="000000" w:themeColor="text1"/>
                <w:sz w:val="21"/>
                <w:szCs w:val="21"/>
              </w:rPr>
              <w:t>整体运营维护</w:t>
            </w:r>
            <w:r>
              <w:rPr>
                <w:rFonts w:hint="eastAsia" w:ascii="宋体" w:hAnsi="宋体" w:eastAsia="宋体" w:cs="宋体"/>
                <w:bCs/>
                <w:color w:val="000000" w:themeColor="text1"/>
                <w:sz w:val="21"/>
                <w:szCs w:val="21"/>
              </w:rPr>
              <w:t xml:space="preserve">方案整体科学合理、详细完整、清晰可行，得 </w:t>
            </w:r>
            <w:r>
              <w:rPr>
                <w:rFonts w:ascii="宋体" w:hAnsi="宋体" w:eastAsia="宋体" w:cs="宋体"/>
                <w:bCs/>
                <w:color w:val="000000" w:themeColor="text1"/>
                <w:sz w:val="21"/>
                <w:szCs w:val="21"/>
              </w:rPr>
              <w:t xml:space="preserve">10 </w:t>
            </w:r>
            <w:r>
              <w:rPr>
                <w:rFonts w:hint="eastAsia" w:ascii="宋体" w:hAnsi="宋体" w:eastAsia="宋体" w:cs="宋体"/>
                <w:bCs/>
                <w:color w:val="000000" w:themeColor="text1"/>
                <w:sz w:val="21"/>
                <w:szCs w:val="21"/>
              </w:rPr>
              <w:t xml:space="preserve">分； </w:t>
            </w:r>
          </w:p>
          <w:p w14:paraId="391F8DB3">
            <w:pPr>
              <w:spacing w:line="360" w:lineRule="auto"/>
              <w:rPr>
                <w:rFonts w:hint="eastAsia" w:ascii="宋体" w:hAnsi="宋体" w:eastAsia="宋体" w:cs="宋体"/>
                <w:bCs/>
                <w:color w:val="000000" w:themeColor="text1"/>
                <w:sz w:val="21"/>
                <w:szCs w:val="21"/>
              </w:rPr>
            </w:pPr>
            <w:r>
              <w:rPr>
                <w:rFonts w:hint="eastAsia" w:ascii="宋体" w:hAnsi="宋体" w:eastAsia="宋体" w:cs="宋体"/>
                <w:color w:val="000000" w:themeColor="text1"/>
                <w:sz w:val="21"/>
                <w:szCs w:val="21"/>
              </w:rPr>
              <w:t>整体运营维护</w:t>
            </w:r>
            <w:r>
              <w:rPr>
                <w:rFonts w:hint="eastAsia" w:ascii="宋体" w:hAnsi="宋体" w:eastAsia="宋体" w:cs="宋体"/>
                <w:bCs/>
                <w:color w:val="000000" w:themeColor="text1"/>
                <w:sz w:val="21"/>
                <w:szCs w:val="21"/>
              </w:rPr>
              <w:t>方案较为详细完整、可行性较强，得</w:t>
            </w:r>
            <w:r>
              <w:rPr>
                <w:rFonts w:ascii="宋体" w:hAnsi="宋体" w:eastAsia="宋体" w:cs="宋体"/>
                <w:bCs/>
                <w:color w:val="000000" w:themeColor="text1"/>
                <w:sz w:val="21"/>
                <w:szCs w:val="21"/>
              </w:rPr>
              <w:t>7</w:t>
            </w:r>
            <w:r>
              <w:rPr>
                <w:rFonts w:hint="eastAsia" w:ascii="宋体" w:hAnsi="宋体" w:eastAsia="宋体" w:cs="宋体"/>
                <w:bCs/>
                <w:color w:val="000000" w:themeColor="text1"/>
                <w:sz w:val="21"/>
                <w:szCs w:val="21"/>
              </w:rPr>
              <w:t xml:space="preserve">分； </w:t>
            </w:r>
          </w:p>
          <w:p w14:paraId="55F8AA6E">
            <w:pPr>
              <w:spacing w:line="360" w:lineRule="auto"/>
              <w:rPr>
                <w:rFonts w:hint="eastAsia" w:ascii="宋体" w:hAnsi="宋体" w:eastAsia="宋体" w:cs="宋体"/>
                <w:bCs/>
                <w:color w:val="000000" w:themeColor="text1"/>
                <w:sz w:val="21"/>
                <w:szCs w:val="21"/>
              </w:rPr>
            </w:pPr>
            <w:r>
              <w:rPr>
                <w:rFonts w:hint="eastAsia" w:ascii="宋体" w:hAnsi="宋体" w:eastAsia="宋体" w:cs="宋体"/>
                <w:color w:val="000000" w:themeColor="text1"/>
                <w:sz w:val="21"/>
                <w:szCs w:val="21"/>
              </w:rPr>
              <w:t>整体运营维护</w:t>
            </w:r>
            <w:r>
              <w:rPr>
                <w:rFonts w:hint="eastAsia" w:ascii="宋体" w:hAnsi="宋体" w:eastAsia="宋体" w:cs="宋体"/>
                <w:bCs/>
                <w:color w:val="000000" w:themeColor="text1"/>
                <w:sz w:val="21"/>
                <w:szCs w:val="21"/>
              </w:rPr>
              <w:t xml:space="preserve">方案内容不够详细，笼统，可行性较差、存在一定缺陷的得 </w:t>
            </w:r>
            <w:r>
              <w:rPr>
                <w:rFonts w:ascii="宋体" w:hAnsi="宋体" w:eastAsia="宋体" w:cs="宋体"/>
                <w:bCs/>
                <w:color w:val="000000" w:themeColor="text1"/>
                <w:sz w:val="21"/>
                <w:szCs w:val="21"/>
              </w:rPr>
              <w:t xml:space="preserve">3 </w:t>
            </w:r>
            <w:r>
              <w:rPr>
                <w:rFonts w:hint="eastAsia" w:ascii="宋体" w:hAnsi="宋体" w:eastAsia="宋体" w:cs="宋体"/>
                <w:bCs/>
                <w:color w:val="000000" w:themeColor="text1"/>
                <w:sz w:val="21"/>
                <w:szCs w:val="21"/>
              </w:rPr>
              <w:t>分；</w:t>
            </w:r>
          </w:p>
          <w:p w14:paraId="0A3E556C">
            <w:pPr>
              <w:spacing w:line="360" w:lineRule="auto"/>
              <w:rPr>
                <w:rFonts w:hint="eastAsia" w:ascii="宋体" w:hAnsi="宋体" w:eastAsia="宋体" w:cs="宋体"/>
                <w:bCs/>
                <w:color w:val="000000" w:themeColor="text1"/>
                <w:sz w:val="21"/>
                <w:szCs w:val="21"/>
              </w:rPr>
            </w:pPr>
            <w:r>
              <w:rPr>
                <w:rFonts w:hint="eastAsia" w:ascii="宋体" w:hAnsi="宋体" w:eastAsia="宋体" w:cs="宋体"/>
                <w:bCs/>
                <w:color w:val="000000" w:themeColor="text1"/>
                <w:sz w:val="21"/>
                <w:szCs w:val="21"/>
              </w:rPr>
              <w:t>缺项该项</w:t>
            </w:r>
            <w:r>
              <w:rPr>
                <w:rFonts w:hint="eastAsia" w:ascii="宋体" w:hAnsi="宋体" w:cs="宋体"/>
                <w:bCs/>
                <w:color w:val="000000" w:themeColor="text1"/>
                <w:sz w:val="21"/>
                <w:szCs w:val="21"/>
              </w:rPr>
              <w:t>得0分</w:t>
            </w:r>
            <w:r>
              <w:rPr>
                <w:rFonts w:hint="eastAsia" w:ascii="宋体" w:hAnsi="宋体" w:eastAsia="宋体" w:cs="宋体"/>
                <w:bCs/>
                <w:color w:val="000000" w:themeColor="text1"/>
                <w:sz w:val="21"/>
                <w:szCs w:val="21"/>
              </w:rPr>
              <w:t>。</w:t>
            </w:r>
          </w:p>
        </w:tc>
      </w:tr>
      <w:tr w14:paraId="287BA7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893" w:type="pct"/>
            <w:gridSpan w:val="2"/>
            <w:vAlign w:val="center"/>
          </w:tcPr>
          <w:p w14:paraId="3E73872A">
            <w:pPr>
              <w:spacing w:line="360" w:lineRule="auto"/>
              <w:jc w:val="center"/>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2.项目质量管理方案</w:t>
            </w:r>
          </w:p>
        </w:tc>
        <w:tc>
          <w:tcPr>
            <w:tcW w:w="565" w:type="pct"/>
            <w:vAlign w:val="center"/>
          </w:tcPr>
          <w:p w14:paraId="4CD22DA0">
            <w:pPr>
              <w:spacing w:line="360" w:lineRule="auto"/>
              <w:jc w:val="center"/>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0-</w:t>
            </w:r>
            <w:r>
              <w:rPr>
                <w:rFonts w:hint="eastAsia" w:ascii="宋体" w:hAnsi="宋体" w:cs="宋体"/>
                <w:color w:val="000000" w:themeColor="text1"/>
                <w:sz w:val="21"/>
                <w:szCs w:val="21"/>
              </w:rPr>
              <w:t>10</w:t>
            </w:r>
          </w:p>
        </w:tc>
        <w:tc>
          <w:tcPr>
            <w:tcW w:w="3541" w:type="pct"/>
            <w:gridSpan w:val="2"/>
            <w:vAlign w:val="center"/>
          </w:tcPr>
          <w:p w14:paraId="6C515B68">
            <w:pPr>
              <w:spacing w:line="360" w:lineRule="auto"/>
              <w:rPr>
                <w:rFonts w:hint="eastAsia" w:ascii="宋体" w:hAnsi="宋体" w:eastAsia="宋体" w:cs="宋体"/>
                <w:bCs/>
                <w:color w:val="000000" w:themeColor="text1"/>
                <w:sz w:val="21"/>
                <w:szCs w:val="21"/>
              </w:rPr>
            </w:pPr>
            <w:r>
              <w:rPr>
                <w:rFonts w:hint="eastAsia" w:ascii="宋体" w:hAnsi="宋体" w:eastAsia="宋体" w:cs="宋体"/>
                <w:color w:val="000000" w:themeColor="text1"/>
                <w:sz w:val="21"/>
                <w:szCs w:val="21"/>
              </w:rPr>
              <w:t>项目质量管理</w:t>
            </w:r>
            <w:r>
              <w:rPr>
                <w:rFonts w:hint="eastAsia" w:ascii="宋体" w:hAnsi="宋体" w:eastAsia="宋体" w:cs="宋体"/>
                <w:bCs/>
                <w:color w:val="000000" w:themeColor="text1"/>
                <w:sz w:val="21"/>
                <w:szCs w:val="21"/>
              </w:rPr>
              <w:t>方案科学合理、完整详细、切实可行，得10分；</w:t>
            </w:r>
          </w:p>
          <w:p w14:paraId="2E0A1191">
            <w:pPr>
              <w:spacing w:line="360" w:lineRule="auto"/>
              <w:rPr>
                <w:rFonts w:hint="eastAsia" w:ascii="宋体" w:hAnsi="宋体" w:eastAsia="宋体" w:cs="宋体"/>
                <w:bCs/>
                <w:color w:val="000000" w:themeColor="text1"/>
                <w:sz w:val="21"/>
                <w:szCs w:val="21"/>
              </w:rPr>
            </w:pPr>
            <w:r>
              <w:rPr>
                <w:rFonts w:hint="eastAsia" w:ascii="宋体" w:hAnsi="宋体" w:eastAsia="宋体" w:cs="宋体"/>
                <w:color w:val="000000" w:themeColor="text1"/>
                <w:sz w:val="21"/>
                <w:szCs w:val="21"/>
              </w:rPr>
              <w:t>项目质量管理</w:t>
            </w:r>
            <w:r>
              <w:rPr>
                <w:rFonts w:hint="eastAsia" w:ascii="宋体" w:hAnsi="宋体" w:eastAsia="宋体" w:cs="宋体"/>
                <w:bCs/>
                <w:color w:val="000000" w:themeColor="text1"/>
                <w:sz w:val="21"/>
                <w:szCs w:val="21"/>
              </w:rPr>
              <w:t>方案较为详细完整，可行性较强的，得7分；</w:t>
            </w:r>
          </w:p>
          <w:p w14:paraId="2585BAC9">
            <w:pPr>
              <w:spacing w:line="360" w:lineRule="auto"/>
              <w:rPr>
                <w:rFonts w:hint="eastAsia" w:ascii="宋体" w:hAnsi="宋体" w:eastAsia="宋体" w:cs="宋体"/>
                <w:bCs/>
                <w:color w:val="000000" w:themeColor="text1"/>
                <w:sz w:val="21"/>
                <w:szCs w:val="21"/>
              </w:rPr>
            </w:pPr>
            <w:r>
              <w:rPr>
                <w:rFonts w:hint="eastAsia" w:ascii="宋体" w:hAnsi="宋体" w:eastAsia="宋体" w:cs="宋体"/>
                <w:color w:val="000000" w:themeColor="text1"/>
                <w:sz w:val="21"/>
                <w:szCs w:val="21"/>
              </w:rPr>
              <w:t>项目质量管理</w:t>
            </w:r>
            <w:r>
              <w:rPr>
                <w:rFonts w:hint="eastAsia" w:ascii="宋体" w:hAnsi="宋体" w:eastAsia="宋体" w:cs="宋体"/>
                <w:bCs/>
                <w:color w:val="000000" w:themeColor="text1"/>
                <w:sz w:val="21"/>
                <w:szCs w:val="21"/>
              </w:rPr>
              <w:t xml:space="preserve">方案内容不够详细，笼统，可行性较差、存在一定缺陷的得 </w:t>
            </w:r>
            <w:r>
              <w:rPr>
                <w:rFonts w:ascii="宋体" w:hAnsi="宋体" w:eastAsia="宋体" w:cs="宋体"/>
                <w:bCs/>
                <w:color w:val="000000" w:themeColor="text1"/>
                <w:sz w:val="21"/>
                <w:szCs w:val="21"/>
              </w:rPr>
              <w:t xml:space="preserve">3 </w:t>
            </w:r>
            <w:r>
              <w:rPr>
                <w:rFonts w:hint="eastAsia" w:ascii="宋体" w:hAnsi="宋体" w:eastAsia="宋体" w:cs="宋体"/>
                <w:bCs/>
                <w:color w:val="000000" w:themeColor="text1"/>
                <w:sz w:val="21"/>
                <w:szCs w:val="21"/>
              </w:rPr>
              <w:t>分；</w:t>
            </w:r>
          </w:p>
          <w:p w14:paraId="75E5A3E2">
            <w:pPr>
              <w:spacing w:line="360" w:lineRule="auto"/>
              <w:rPr>
                <w:rFonts w:hint="eastAsia" w:ascii="宋体" w:hAnsi="宋体" w:eastAsia="宋体" w:cs="宋体"/>
                <w:bCs/>
                <w:color w:val="000000" w:themeColor="text1"/>
                <w:sz w:val="21"/>
                <w:szCs w:val="21"/>
              </w:rPr>
            </w:pPr>
            <w:r>
              <w:rPr>
                <w:rFonts w:hint="eastAsia" w:ascii="宋体" w:hAnsi="宋体" w:eastAsia="宋体" w:cs="宋体"/>
                <w:bCs/>
                <w:color w:val="000000" w:themeColor="text1"/>
                <w:sz w:val="21"/>
                <w:szCs w:val="21"/>
              </w:rPr>
              <w:t>缺项该项</w:t>
            </w:r>
            <w:r>
              <w:rPr>
                <w:rFonts w:hint="eastAsia" w:ascii="宋体" w:hAnsi="宋体" w:cs="宋体"/>
                <w:bCs/>
                <w:color w:val="000000" w:themeColor="text1"/>
                <w:sz w:val="21"/>
                <w:szCs w:val="21"/>
              </w:rPr>
              <w:t>得0分</w:t>
            </w:r>
            <w:r>
              <w:rPr>
                <w:rFonts w:hint="eastAsia" w:ascii="宋体" w:hAnsi="宋体" w:eastAsia="宋体" w:cs="宋体"/>
                <w:bCs/>
                <w:color w:val="000000" w:themeColor="text1"/>
                <w:sz w:val="21"/>
                <w:szCs w:val="21"/>
              </w:rPr>
              <w:t>。</w:t>
            </w:r>
          </w:p>
        </w:tc>
      </w:tr>
      <w:tr w14:paraId="02214B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893" w:type="pct"/>
            <w:gridSpan w:val="2"/>
            <w:vAlign w:val="center"/>
          </w:tcPr>
          <w:p w14:paraId="5DBA2D78">
            <w:pPr>
              <w:spacing w:line="360" w:lineRule="auto"/>
              <w:jc w:val="center"/>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3.人员配置方案</w:t>
            </w:r>
          </w:p>
        </w:tc>
        <w:tc>
          <w:tcPr>
            <w:tcW w:w="565" w:type="pct"/>
            <w:vAlign w:val="center"/>
          </w:tcPr>
          <w:p w14:paraId="25CC7D90">
            <w:pPr>
              <w:spacing w:line="360" w:lineRule="auto"/>
              <w:jc w:val="center"/>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0-10</w:t>
            </w:r>
          </w:p>
        </w:tc>
        <w:tc>
          <w:tcPr>
            <w:tcW w:w="3541" w:type="pct"/>
            <w:gridSpan w:val="2"/>
            <w:vAlign w:val="center"/>
          </w:tcPr>
          <w:p w14:paraId="711081FF">
            <w:pPr>
              <w:spacing w:line="360" w:lineRule="auto"/>
              <w:rPr>
                <w:rFonts w:hint="eastAsia" w:ascii="宋体" w:hAnsi="宋体" w:eastAsia="宋体" w:cs="宋体"/>
                <w:bCs/>
                <w:color w:val="000000" w:themeColor="text1"/>
                <w:sz w:val="21"/>
                <w:szCs w:val="21"/>
              </w:rPr>
            </w:pPr>
            <w:r>
              <w:rPr>
                <w:rFonts w:hint="eastAsia" w:ascii="宋体" w:hAnsi="宋体" w:eastAsia="宋体" w:cs="宋体"/>
                <w:bCs/>
                <w:color w:val="000000" w:themeColor="text1"/>
                <w:sz w:val="21"/>
                <w:szCs w:val="21"/>
              </w:rPr>
              <w:t>人员配置方案全面、科学合理、完整详细、切实可行，得10分；</w:t>
            </w:r>
          </w:p>
          <w:p w14:paraId="302C73FD">
            <w:pPr>
              <w:spacing w:line="360" w:lineRule="auto"/>
              <w:rPr>
                <w:rFonts w:hint="eastAsia" w:ascii="宋体" w:hAnsi="宋体" w:eastAsia="宋体" w:cs="宋体"/>
                <w:bCs/>
                <w:color w:val="000000" w:themeColor="text1"/>
                <w:sz w:val="21"/>
                <w:szCs w:val="21"/>
              </w:rPr>
            </w:pPr>
            <w:r>
              <w:rPr>
                <w:rFonts w:hint="eastAsia" w:ascii="宋体" w:hAnsi="宋体" w:eastAsia="宋体" w:cs="宋体"/>
                <w:bCs/>
                <w:color w:val="000000" w:themeColor="text1"/>
                <w:sz w:val="21"/>
                <w:szCs w:val="21"/>
              </w:rPr>
              <w:t>人员配置方案较为完整、合理，可行性较强的，得7分；</w:t>
            </w:r>
          </w:p>
          <w:p w14:paraId="1A8AEE6C">
            <w:pPr>
              <w:spacing w:line="360" w:lineRule="auto"/>
              <w:rPr>
                <w:rFonts w:hint="eastAsia" w:ascii="宋体" w:hAnsi="宋体" w:eastAsia="宋体" w:cs="宋体"/>
                <w:bCs/>
                <w:color w:val="000000" w:themeColor="text1"/>
                <w:sz w:val="21"/>
                <w:szCs w:val="21"/>
              </w:rPr>
            </w:pPr>
            <w:r>
              <w:rPr>
                <w:rFonts w:hint="eastAsia" w:ascii="宋体" w:hAnsi="宋体" w:eastAsia="宋体" w:cs="宋体"/>
                <w:bCs/>
                <w:color w:val="000000" w:themeColor="text1"/>
                <w:sz w:val="21"/>
                <w:szCs w:val="21"/>
              </w:rPr>
              <w:t xml:space="preserve">人员配置方案不够详细，笼统，可行性较差、存在一定缺陷的得 </w:t>
            </w:r>
            <w:r>
              <w:rPr>
                <w:rFonts w:ascii="宋体" w:hAnsi="宋体" w:eastAsia="宋体" w:cs="宋体"/>
                <w:bCs/>
                <w:color w:val="000000" w:themeColor="text1"/>
                <w:sz w:val="21"/>
                <w:szCs w:val="21"/>
              </w:rPr>
              <w:t xml:space="preserve">3 </w:t>
            </w:r>
            <w:r>
              <w:rPr>
                <w:rFonts w:hint="eastAsia" w:ascii="宋体" w:hAnsi="宋体" w:eastAsia="宋体" w:cs="宋体"/>
                <w:bCs/>
                <w:color w:val="000000" w:themeColor="text1"/>
                <w:sz w:val="21"/>
                <w:szCs w:val="21"/>
              </w:rPr>
              <w:t>分；</w:t>
            </w:r>
          </w:p>
          <w:p w14:paraId="5840814B">
            <w:pPr>
              <w:spacing w:line="360" w:lineRule="auto"/>
              <w:rPr>
                <w:rFonts w:hint="eastAsia" w:ascii="宋体" w:hAnsi="宋体" w:eastAsia="宋体" w:cs="宋体"/>
                <w:bCs/>
                <w:color w:val="000000" w:themeColor="text1"/>
                <w:sz w:val="21"/>
                <w:szCs w:val="21"/>
              </w:rPr>
            </w:pPr>
            <w:r>
              <w:rPr>
                <w:rFonts w:hint="eastAsia" w:ascii="宋体" w:hAnsi="宋体" w:eastAsia="宋体" w:cs="宋体"/>
                <w:bCs/>
                <w:color w:val="000000" w:themeColor="text1"/>
                <w:sz w:val="21"/>
                <w:szCs w:val="21"/>
              </w:rPr>
              <w:t>缺项该项</w:t>
            </w:r>
            <w:r>
              <w:rPr>
                <w:rFonts w:hint="eastAsia" w:ascii="宋体" w:hAnsi="宋体" w:cs="宋体"/>
                <w:bCs/>
                <w:color w:val="000000" w:themeColor="text1"/>
                <w:sz w:val="21"/>
                <w:szCs w:val="21"/>
              </w:rPr>
              <w:t>得0分</w:t>
            </w:r>
            <w:r>
              <w:rPr>
                <w:rFonts w:hint="eastAsia" w:ascii="宋体" w:hAnsi="宋体" w:eastAsia="宋体" w:cs="宋体"/>
                <w:bCs/>
                <w:color w:val="000000" w:themeColor="text1"/>
                <w:sz w:val="21"/>
                <w:szCs w:val="21"/>
              </w:rPr>
              <w:t>。</w:t>
            </w:r>
          </w:p>
        </w:tc>
      </w:tr>
      <w:tr w14:paraId="745CD0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893" w:type="pct"/>
            <w:gridSpan w:val="2"/>
            <w:vAlign w:val="center"/>
          </w:tcPr>
          <w:p w14:paraId="42CC3303">
            <w:pPr>
              <w:ind w:left="80" w:right="65" w:firstLine="1"/>
              <w:jc w:val="center"/>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4.安全技术管理方案</w:t>
            </w:r>
          </w:p>
        </w:tc>
        <w:tc>
          <w:tcPr>
            <w:tcW w:w="565" w:type="pct"/>
            <w:vAlign w:val="center"/>
          </w:tcPr>
          <w:p w14:paraId="34A3E0BF">
            <w:pPr>
              <w:jc w:val="center"/>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0-10</w:t>
            </w:r>
          </w:p>
        </w:tc>
        <w:tc>
          <w:tcPr>
            <w:tcW w:w="3541" w:type="pct"/>
            <w:gridSpan w:val="2"/>
            <w:vAlign w:val="center"/>
          </w:tcPr>
          <w:p w14:paraId="45481C7A">
            <w:pPr>
              <w:spacing w:line="360" w:lineRule="auto"/>
              <w:rPr>
                <w:rFonts w:hint="eastAsia" w:ascii="宋体" w:hAnsi="宋体" w:eastAsia="宋体" w:cs="宋体"/>
                <w:bCs/>
                <w:color w:val="000000" w:themeColor="text1"/>
                <w:sz w:val="21"/>
                <w:szCs w:val="21"/>
              </w:rPr>
            </w:pPr>
            <w:r>
              <w:rPr>
                <w:rFonts w:hint="eastAsia" w:ascii="宋体" w:hAnsi="宋体" w:eastAsia="宋体" w:cs="宋体"/>
                <w:color w:val="000000" w:themeColor="text1"/>
                <w:sz w:val="21"/>
                <w:szCs w:val="21"/>
              </w:rPr>
              <w:t>安全技术管理方案</w:t>
            </w:r>
            <w:r>
              <w:rPr>
                <w:rFonts w:hint="eastAsia" w:ascii="宋体" w:hAnsi="宋体" w:eastAsia="宋体" w:cs="宋体"/>
                <w:bCs/>
                <w:color w:val="000000" w:themeColor="text1"/>
                <w:sz w:val="21"/>
                <w:szCs w:val="21"/>
              </w:rPr>
              <w:t>全面、科学合理、完整详细、切实可行，得10分；</w:t>
            </w:r>
          </w:p>
          <w:p w14:paraId="55B86D3B">
            <w:pPr>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安全技术管理方案</w:t>
            </w:r>
            <w:r>
              <w:rPr>
                <w:rFonts w:hint="eastAsia" w:ascii="宋体" w:hAnsi="宋体" w:eastAsia="宋体" w:cs="宋体"/>
                <w:bCs/>
                <w:color w:val="000000" w:themeColor="text1"/>
                <w:sz w:val="21"/>
                <w:szCs w:val="21"/>
              </w:rPr>
              <w:t>详细完整、可行性较强，得</w:t>
            </w:r>
            <w:r>
              <w:rPr>
                <w:rFonts w:ascii="宋体" w:hAnsi="宋体" w:eastAsia="宋体" w:cs="宋体"/>
                <w:bCs/>
                <w:color w:val="000000" w:themeColor="text1"/>
                <w:sz w:val="21"/>
                <w:szCs w:val="21"/>
              </w:rPr>
              <w:t>7</w:t>
            </w:r>
            <w:r>
              <w:rPr>
                <w:rFonts w:hint="eastAsia" w:ascii="宋体" w:hAnsi="宋体" w:eastAsia="宋体" w:cs="宋体"/>
                <w:bCs/>
                <w:color w:val="000000" w:themeColor="text1"/>
                <w:sz w:val="21"/>
                <w:szCs w:val="21"/>
              </w:rPr>
              <w:t>分</w:t>
            </w:r>
            <w:r>
              <w:rPr>
                <w:rFonts w:hint="eastAsia" w:ascii="宋体" w:hAnsi="宋体" w:eastAsia="宋体" w:cs="宋体"/>
                <w:color w:val="000000" w:themeColor="text1"/>
                <w:sz w:val="21"/>
                <w:szCs w:val="21"/>
              </w:rPr>
              <w:t>；</w:t>
            </w:r>
          </w:p>
          <w:p w14:paraId="23C371DB">
            <w:pPr>
              <w:spacing w:line="360" w:lineRule="auto"/>
              <w:rPr>
                <w:rFonts w:hint="eastAsia" w:ascii="宋体" w:hAnsi="宋体" w:eastAsia="宋体" w:cs="宋体"/>
                <w:bCs/>
                <w:color w:val="000000" w:themeColor="text1"/>
                <w:sz w:val="21"/>
                <w:szCs w:val="21"/>
              </w:rPr>
            </w:pPr>
            <w:r>
              <w:rPr>
                <w:rFonts w:hint="eastAsia" w:ascii="宋体" w:hAnsi="宋体" w:eastAsia="宋体" w:cs="宋体"/>
                <w:color w:val="000000" w:themeColor="text1"/>
                <w:sz w:val="21"/>
                <w:szCs w:val="21"/>
              </w:rPr>
              <w:t>安全技术管理方案</w:t>
            </w:r>
            <w:r>
              <w:rPr>
                <w:rFonts w:hint="eastAsia" w:ascii="宋体" w:hAnsi="宋体" w:eastAsia="宋体" w:cs="宋体"/>
                <w:bCs/>
                <w:color w:val="000000" w:themeColor="text1"/>
                <w:sz w:val="21"/>
                <w:szCs w:val="21"/>
              </w:rPr>
              <w:t xml:space="preserve">不够详细，笼统，可行性较差、存在一定缺陷的得 </w:t>
            </w:r>
            <w:r>
              <w:rPr>
                <w:rFonts w:ascii="宋体" w:hAnsi="宋体" w:eastAsia="宋体" w:cs="宋体"/>
                <w:bCs/>
                <w:color w:val="000000" w:themeColor="text1"/>
                <w:sz w:val="21"/>
                <w:szCs w:val="21"/>
              </w:rPr>
              <w:t xml:space="preserve">3 </w:t>
            </w:r>
            <w:r>
              <w:rPr>
                <w:rFonts w:hint="eastAsia" w:ascii="宋体" w:hAnsi="宋体" w:eastAsia="宋体" w:cs="宋体"/>
                <w:bCs/>
                <w:color w:val="000000" w:themeColor="text1"/>
                <w:sz w:val="21"/>
                <w:szCs w:val="21"/>
              </w:rPr>
              <w:t>分；</w:t>
            </w:r>
          </w:p>
          <w:p w14:paraId="0CFBF447">
            <w:pPr>
              <w:rPr>
                <w:rFonts w:hint="eastAsia" w:ascii="宋体" w:hAnsi="宋体" w:eastAsia="宋体" w:cs="宋体"/>
                <w:bCs/>
                <w:color w:val="000000" w:themeColor="text1"/>
                <w:sz w:val="21"/>
                <w:szCs w:val="21"/>
              </w:rPr>
            </w:pPr>
            <w:r>
              <w:rPr>
                <w:rFonts w:hint="eastAsia" w:ascii="宋体" w:hAnsi="宋体" w:eastAsia="宋体" w:cs="宋体"/>
                <w:bCs/>
                <w:color w:val="000000" w:themeColor="text1"/>
                <w:sz w:val="21"/>
                <w:szCs w:val="21"/>
              </w:rPr>
              <w:t>缺项该项</w:t>
            </w:r>
            <w:r>
              <w:rPr>
                <w:rFonts w:hint="eastAsia" w:ascii="宋体" w:hAnsi="宋体" w:cs="宋体"/>
                <w:bCs/>
                <w:color w:val="000000" w:themeColor="text1"/>
                <w:sz w:val="21"/>
                <w:szCs w:val="21"/>
              </w:rPr>
              <w:t>得0分</w:t>
            </w:r>
            <w:r>
              <w:rPr>
                <w:rFonts w:hint="eastAsia" w:ascii="宋体" w:hAnsi="宋体" w:eastAsia="宋体" w:cs="宋体"/>
                <w:bCs/>
                <w:color w:val="000000" w:themeColor="text1"/>
                <w:sz w:val="21"/>
                <w:szCs w:val="21"/>
              </w:rPr>
              <w:t>。</w:t>
            </w:r>
          </w:p>
        </w:tc>
      </w:tr>
      <w:tr w14:paraId="0D482D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jc w:val="center"/>
        </w:trPr>
        <w:tc>
          <w:tcPr>
            <w:tcW w:w="893" w:type="pct"/>
            <w:gridSpan w:val="2"/>
            <w:vAlign w:val="center"/>
          </w:tcPr>
          <w:p w14:paraId="2094EE0C">
            <w:pPr>
              <w:ind w:left="80" w:right="65" w:firstLine="1"/>
              <w:jc w:val="center"/>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5.应急方案</w:t>
            </w:r>
          </w:p>
        </w:tc>
        <w:tc>
          <w:tcPr>
            <w:tcW w:w="565" w:type="pct"/>
            <w:vAlign w:val="center"/>
          </w:tcPr>
          <w:p w14:paraId="7E43D466">
            <w:pPr>
              <w:spacing w:line="360" w:lineRule="auto"/>
              <w:jc w:val="center"/>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0-10</w:t>
            </w:r>
          </w:p>
        </w:tc>
        <w:tc>
          <w:tcPr>
            <w:tcW w:w="3541" w:type="pct"/>
            <w:gridSpan w:val="2"/>
            <w:vAlign w:val="center"/>
          </w:tcPr>
          <w:p w14:paraId="35CF67CC">
            <w:pPr>
              <w:spacing w:line="360" w:lineRule="auto"/>
              <w:rPr>
                <w:rFonts w:hint="eastAsia" w:ascii="宋体" w:hAnsi="宋体" w:eastAsia="宋体" w:cs="宋体"/>
                <w:bCs/>
                <w:color w:val="000000" w:themeColor="text1"/>
                <w:sz w:val="21"/>
                <w:szCs w:val="21"/>
              </w:rPr>
            </w:pPr>
            <w:r>
              <w:rPr>
                <w:rFonts w:hint="eastAsia" w:ascii="宋体" w:hAnsi="宋体" w:eastAsia="宋体" w:cs="宋体"/>
                <w:color w:val="000000" w:themeColor="text1"/>
                <w:sz w:val="21"/>
                <w:szCs w:val="21"/>
              </w:rPr>
              <w:t>应急方案考虑全面、应对各类故障、突发情况反应迅速、方案</w:t>
            </w:r>
            <w:r>
              <w:rPr>
                <w:rFonts w:hint="eastAsia" w:ascii="宋体" w:hAnsi="宋体" w:eastAsia="宋体" w:cs="宋体"/>
                <w:bCs/>
                <w:color w:val="000000" w:themeColor="text1"/>
                <w:sz w:val="21"/>
                <w:szCs w:val="21"/>
              </w:rPr>
              <w:t>科学合理、完整详细、切实可行，得10分；</w:t>
            </w:r>
          </w:p>
          <w:p w14:paraId="141D4975">
            <w:pPr>
              <w:spacing w:line="360" w:lineRule="auto"/>
              <w:rPr>
                <w:rFonts w:hint="eastAsia" w:ascii="宋体" w:hAnsi="宋体" w:eastAsia="宋体" w:cs="宋体"/>
                <w:bCs/>
                <w:color w:val="000000" w:themeColor="text1"/>
                <w:sz w:val="21"/>
                <w:szCs w:val="21"/>
              </w:rPr>
            </w:pPr>
            <w:r>
              <w:rPr>
                <w:rFonts w:hint="eastAsia" w:ascii="宋体" w:hAnsi="宋体" w:eastAsia="宋体" w:cs="宋体"/>
                <w:color w:val="000000" w:themeColor="text1"/>
                <w:sz w:val="21"/>
                <w:szCs w:val="21"/>
              </w:rPr>
              <w:t>应急方案较为完整、</w:t>
            </w:r>
            <w:r>
              <w:rPr>
                <w:rFonts w:hint="eastAsia" w:ascii="宋体" w:hAnsi="宋体" w:eastAsia="宋体" w:cs="宋体"/>
                <w:bCs/>
                <w:color w:val="000000" w:themeColor="text1"/>
                <w:sz w:val="21"/>
                <w:szCs w:val="21"/>
              </w:rPr>
              <w:t>合理、详细、可行，得7分；</w:t>
            </w:r>
          </w:p>
          <w:p w14:paraId="4C6207A3">
            <w:pPr>
              <w:spacing w:line="360" w:lineRule="auto"/>
              <w:rPr>
                <w:rFonts w:hint="eastAsia" w:ascii="宋体" w:hAnsi="宋体" w:eastAsia="宋体" w:cs="宋体"/>
                <w:bCs/>
                <w:color w:val="000000" w:themeColor="text1"/>
                <w:sz w:val="21"/>
                <w:szCs w:val="21"/>
              </w:rPr>
            </w:pPr>
            <w:r>
              <w:rPr>
                <w:rFonts w:hint="eastAsia" w:ascii="宋体" w:hAnsi="宋体" w:eastAsia="宋体" w:cs="宋体"/>
                <w:color w:val="000000" w:themeColor="text1"/>
                <w:sz w:val="21"/>
                <w:szCs w:val="21"/>
              </w:rPr>
              <w:t>应急方案</w:t>
            </w:r>
            <w:r>
              <w:rPr>
                <w:rFonts w:hint="eastAsia" w:ascii="宋体" w:hAnsi="宋体" w:eastAsia="宋体" w:cs="宋体"/>
                <w:bCs/>
                <w:color w:val="000000" w:themeColor="text1"/>
                <w:sz w:val="21"/>
                <w:szCs w:val="21"/>
              </w:rPr>
              <w:t xml:space="preserve">不够详细，笼统，可行性较差、存在一定缺陷的得 </w:t>
            </w:r>
            <w:r>
              <w:rPr>
                <w:rFonts w:ascii="宋体" w:hAnsi="宋体" w:eastAsia="宋体" w:cs="宋体"/>
                <w:bCs/>
                <w:color w:val="000000" w:themeColor="text1"/>
                <w:sz w:val="21"/>
                <w:szCs w:val="21"/>
              </w:rPr>
              <w:t xml:space="preserve">3 </w:t>
            </w:r>
            <w:r>
              <w:rPr>
                <w:rFonts w:hint="eastAsia" w:ascii="宋体" w:hAnsi="宋体" w:eastAsia="宋体" w:cs="宋体"/>
                <w:bCs/>
                <w:color w:val="000000" w:themeColor="text1"/>
                <w:sz w:val="21"/>
                <w:szCs w:val="21"/>
              </w:rPr>
              <w:t>分；</w:t>
            </w:r>
          </w:p>
          <w:p w14:paraId="17EF1FAA">
            <w:pPr>
              <w:spacing w:line="360" w:lineRule="auto"/>
              <w:rPr>
                <w:rFonts w:hint="eastAsia" w:ascii="宋体" w:hAnsi="宋体" w:eastAsia="宋体" w:cs="宋体"/>
                <w:color w:val="000000" w:themeColor="text1"/>
                <w:sz w:val="21"/>
                <w:szCs w:val="21"/>
              </w:rPr>
            </w:pPr>
            <w:r>
              <w:rPr>
                <w:rFonts w:hint="eastAsia" w:ascii="宋体" w:hAnsi="宋体" w:eastAsia="宋体" w:cs="宋体"/>
                <w:bCs/>
                <w:color w:val="000000" w:themeColor="text1"/>
                <w:sz w:val="21"/>
                <w:szCs w:val="21"/>
              </w:rPr>
              <w:t>缺项该项</w:t>
            </w:r>
            <w:r>
              <w:rPr>
                <w:rFonts w:hint="eastAsia" w:ascii="宋体" w:hAnsi="宋体" w:cs="宋体"/>
                <w:bCs/>
                <w:color w:val="000000" w:themeColor="text1"/>
                <w:sz w:val="21"/>
                <w:szCs w:val="21"/>
              </w:rPr>
              <w:t>得0分</w:t>
            </w:r>
            <w:r>
              <w:rPr>
                <w:rFonts w:hint="eastAsia" w:ascii="宋体" w:hAnsi="宋体" w:eastAsia="宋体" w:cs="宋体"/>
                <w:bCs/>
                <w:color w:val="000000" w:themeColor="text1"/>
                <w:sz w:val="21"/>
                <w:szCs w:val="21"/>
              </w:rPr>
              <w:t>。</w:t>
            </w:r>
          </w:p>
        </w:tc>
      </w:tr>
      <w:tr w14:paraId="50E553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6" w:hRule="atLeast"/>
          <w:jc w:val="center"/>
        </w:trPr>
        <w:tc>
          <w:tcPr>
            <w:tcW w:w="893" w:type="pct"/>
            <w:gridSpan w:val="2"/>
            <w:vAlign w:val="center"/>
          </w:tcPr>
          <w:p w14:paraId="20199EB2">
            <w:pPr>
              <w:ind w:left="80" w:right="65" w:firstLine="1"/>
              <w:jc w:val="center"/>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6.保密措施方案</w:t>
            </w:r>
          </w:p>
        </w:tc>
        <w:tc>
          <w:tcPr>
            <w:tcW w:w="565" w:type="pct"/>
            <w:vAlign w:val="center"/>
          </w:tcPr>
          <w:p w14:paraId="1B6B5AD1">
            <w:pPr>
              <w:spacing w:line="360" w:lineRule="auto"/>
              <w:jc w:val="center"/>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0-10</w:t>
            </w:r>
          </w:p>
        </w:tc>
        <w:tc>
          <w:tcPr>
            <w:tcW w:w="3541" w:type="pct"/>
            <w:gridSpan w:val="2"/>
            <w:vAlign w:val="center"/>
          </w:tcPr>
          <w:p w14:paraId="08EF55B1">
            <w:pPr>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针对服务期限内所接触到的纸质、电子的数据等资料，保密措施方案详细完整、合理、可行的，得10分；</w:t>
            </w:r>
          </w:p>
          <w:p w14:paraId="43683497">
            <w:pPr>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保密措施基本完整、合理、可行的，得7分；</w:t>
            </w:r>
          </w:p>
          <w:p w14:paraId="19D835EA">
            <w:pPr>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保密措施方案笼统、可行性差的，得3分；</w:t>
            </w:r>
          </w:p>
          <w:p w14:paraId="09C82B0F">
            <w:pPr>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缺项得0分。</w:t>
            </w:r>
          </w:p>
        </w:tc>
      </w:tr>
      <w:tr w14:paraId="6E8787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16" w:hRule="atLeast"/>
          <w:jc w:val="center"/>
        </w:trPr>
        <w:tc>
          <w:tcPr>
            <w:tcW w:w="893" w:type="pct"/>
            <w:gridSpan w:val="2"/>
            <w:vAlign w:val="center"/>
          </w:tcPr>
          <w:p w14:paraId="60FD8872">
            <w:pPr>
              <w:ind w:left="80" w:right="65" w:firstLine="1"/>
              <w:jc w:val="center"/>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7.技术培训方案</w:t>
            </w:r>
          </w:p>
        </w:tc>
        <w:tc>
          <w:tcPr>
            <w:tcW w:w="565" w:type="pct"/>
            <w:vAlign w:val="center"/>
          </w:tcPr>
          <w:p w14:paraId="6A415831">
            <w:pPr>
              <w:spacing w:line="360" w:lineRule="auto"/>
              <w:jc w:val="center"/>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0-10</w:t>
            </w:r>
          </w:p>
        </w:tc>
        <w:tc>
          <w:tcPr>
            <w:tcW w:w="3541" w:type="pct"/>
            <w:gridSpan w:val="2"/>
            <w:vAlign w:val="center"/>
          </w:tcPr>
          <w:p w14:paraId="4FEC73C9">
            <w:pPr>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技术培训方案包含但不限于培训方式、培训课程设置、培训时间规划、培训质量控制等内容。</w:t>
            </w:r>
          </w:p>
          <w:p w14:paraId="44AD24D5">
            <w:pPr>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技术培训方案内容详细完整、科学合理、切实可行的，得10分；</w:t>
            </w:r>
          </w:p>
          <w:p w14:paraId="0E491D89">
            <w:pPr>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技术培训方案内容比较完整、基本合理可行的，得7分；</w:t>
            </w:r>
          </w:p>
          <w:p w14:paraId="72427B7C">
            <w:pPr>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技术培训方案笼统、可行性差的，得3分；</w:t>
            </w:r>
          </w:p>
          <w:p w14:paraId="17EC7A01">
            <w:pPr>
              <w:spacing w:line="360" w:lineRule="auto"/>
              <w:rPr>
                <w:rFonts w:hint="eastAsia" w:ascii="宋体" w:hAnsi="宋体" w:eastAsia="宋体" w:cs="宋体"/>
                <w:bCs/>
                <w:color w:val="000000" w:themeColor="text1"/>
                <w:sz w:val="21"/>
                <w:szCs w:val="21"/>
              </w:rPr>
            </w:pPr>
            <w:r>
              <w:rPr>
                <w:rFonts w:hint="eastAsia" w:ascii="宋体" w:hAnsi="宋体" w:eastAsia="宋体" w:cs="宋体"/>
                <w:bCs/>
                <w:color w:val="000000" w:themeColor="text1"/>
                <w:sz w:val="21"/>
                <w:szCs w:val="21"/>
              </w:rPr>
              <w:t>缺项该项</w:t>
            </w:r>
            <w:r>
              <w:rPr>
                <w:rFonts w:hint="eastAsia" w:ascii="宋体" w:hAnsi="宋体" w:cs="宋体"/>
                <w:bCs/>
                <w:color w:val="000000" w:themeColor="text1"/>
                <w:sz w:val="21"/>
                <w:szCs w:val="21"/>
              </w:rPr>
              <w:t>得0分</w:t>
            </w:r>
            <w:r>
              <w:rPr>
                <w:rFonts w:hint="eastAsia" w:ascii="宋体" w:hAnsi="宋体" w:eastAsia="宋体" w:cs="宋体"/>
                <w:bCs/>
                <w:color w:val="000000" w:themeColor="text1"/>
                <w:sz w:val="21"/>
                <w:szCs w:val="21"/>
              </w:rPr>
              <w:t>。</w:t>
            </w:r>
          </w:p>
        </w:tc>
      </w:tr>
      <w:tr w14:paraId="7338BC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1" w:hRule="atLeast"/>
          <w:jc w:val="center"/>
        </w:trPr>
        <w:tc>
          <w:tcPr>
            <w:tcW w:w="5000" w:type="pct"/>
            <w:gridSpan w:val="5"/>
            <w:vAlign w:val="center"/>
          </w:tcPr>
          <w:p w14:paraId="2C4D909C">
            <w:pPr>
              <w:spacing w:line="360" w:lineRule="auto"/>
              <w:jc w:val="center"/>
              <w:rPr>
                <w:rFonts w:hint="eastAsia" w:ascii="宋体" w:hAnsi="宋体" w:eastAsia="宋体" w:cs="宋体"/>
                <w:bCs/>
                <w:color w:val="000000" w:themeColor="text1"/>
                <w:sz w:val="21"/>
                <w:szCs w:val="21"/>
              </w:rPr>
            </w:pPr>
            <w:r>
              <w:rPr>
                <w:rFonts w:hint="eastAsia" w:ascii="宋体" w:hAnsi="宋体" w:eastAsia="宋体" w:cs="宋体"/>
                <w:b/>
                <w:bCs/>
                <w:color w:val="000000" w:themeColor="text1"/>
                <w:sz w:val="21"/>
                <w:szCs w:val="21"/>
              </w:rPr>
              <w:t>2.2.4（3）综合标评分标准（15分）</w:t>
            </w:r>
          </w:p>
        </w:tc>
      </w:tr>
      <w:tr w14:paraId="1A3A6E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jc w:val="center"/>
        </w:trPr>
        <w:tc>
          <w:tcPr>
            <w:tcW w:w="893" w:type="pct"/>
            <w:gridSpan w:val="2"/>
            <w:vAlign w:val="center"/>
          </w:tcPr>
          <w:p w14:paraId="49264604">
            <w:pPr>
              <w:spacing w:line="360" w:lineRule="auto"/>
              <w:jc w:val="center"/>
              <w:rPr>
                <w:rFonts w:hint="eastAsia" w:ascii="宋体" w:hAnsi="宋体" w:eastAsia="宋体" w:cs="宋体"/>
                <w:color w:val="000000" w:themeColor="text1"/>
                <w:sz w:val="21"/>
                <w:szCs w:val="21"/>
              </w:rPr>
            </w:pPr>
            <w:r>
              <w:rPr>
                <w:rFonts w:hint="eastAsia" w:ascii="宋体" w:hAnsi="宋体" w:eastAsia="宋体" w:cs="宋体"/>
                <w:bCs/>
                <w:color w:val="000000" w:themeColor="text1"/>
                <w:sz w:val="21"/>
                <w:szCs w:val="21"/>
              </w:rPr>
              <w:t>评审内容</w:t>
            </w:r>
          </w:p>
        </w:tc>
        <w:tc>
          <w:tcPr>
            <w:tcW w:w="565" w:type="pct"/>
            <w:vAlign w:val="center"/>
          </w:tcPr>
          <w:p w14:paraId="725F8837">
            <w:pPr>
              <w:spacing w:line="360" w:lineRule="auto"/>
              <w:jc w:val="center"/>
              <w:rPr>
                <w:rFonts w:hint="eastAsia" w:ascii="宋体" w:hAnsi="宋体" w:eastAsia="宋体" w:cs="宋体"/>
                <w:color w:val="000000" w:themeColor="text1"/>
                <w:sz w:val="21"/>
                <w:szCs w:val="21"/>
              </w:rPr>
            </w:pPr>
            <w:r>
              <w:rPr>
                <w:rFonts w:hint="eastAsia" w:ascii="宋体" w:hAnsi="宋体" w:eastAsia="宋体" w:cs="宋体"/>
                <w:bCs/>
                <w:color w:val="000000" w:themeColor="text1"/>
                <w:sz w:val="21"/>
                <w:szCs w:val="21"/>
              </w:rPr>
              <w:t>分值</w:t>
            </w:r>
          </w:p>
        </w:tc>
        <w:tc>
          <w:tcPr>
            <w:tcW w:w="3541" w:type="pct"/>
            <w:gridSpan w:val="2"/>
            <w:vAlign w:val="center"/>
          </w:tcPr>
          <w:p w14:paraId="3E6EA184">
            <w:pPr>
              <w:spacing w:line="360" w:lineRule="auto"/>
              <w:jc w:val="center"/>
              <w:rPr>
                <w:rFonts w:hint="eastAsia" w:ascii="宋体" w:hAnsi="宋体" w:eastAsia="宋体" w:cs="宋体"/>
                <w:bCs/>
                <w:color w:val="000000" w:themeColor="text1"/>
                <w:sz w:val="21"/>
                <w:szCs w:val="21"/>
              </w:rPr>
            </w:pPr>
            <w:r>
              <w:rPr>
                <w:rFonts w:hint="eastAsia" w:ascii="宋体" w:hAnsi="宋体" w:eastAsia="宋体" w:cs="宋体"/>
                <w:bCs/>
                <w:color w:val="000000" w:themeColor="text1"/>
                <w:sz w:val="21"/>
                <w:szCs w:val="21"/>
              </w:rPr>
              <w:t>评审标准</w:t>
            </w:r>
          </w:p>
        </w:tc>
      </w:tr>
      <w:tr w14:paraId="48A74A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41" w:hRule="atLeast"/>
          <w:jc w:val="center"/>
        </w:trPr>
        <w:tc>
          <w:tcPr>
            <w:tcW w:w="893" w:type="pct"/>
            <w:gridSpan w:val="2"/>
            <w:vAlign w:val="center"/>
          </w:tcPr>
          <w:p w14:paraId="342EA6F8">
            <w:pPr>
              <w:spacing w:line="360" w:lineRule="auto"/>
              <w:jc w:val="center"/>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1.企业业绩</w:t>
            </w:r>
          </w:p>
        </w:tc>
        <w:tc>
          <w:tcPr>
            <w:tcW w:w="565" w:type="pct"/>
            <w:vAlign w:val="center"/>
          </w:tcPr>
          <w:p w14:paraId="080604DF">
            <w:pPr>
              <w:spacing w:line="360" w:lineRule="auto"/>
              <w:jc w:val="center"/>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0-4</w:t>
            </w:r>
          </w:p>
        </w:tc>
        <w:tc>
          <w:tcPr>
            <w:tcW w:w="3541" w:type="pct"/>
            <w:gridSpan w:val="2"/>
            <w:vAlign w:val="center"/>
          </w:tcPr>
          <w:p w14:paraId="32418671">
            <w:pPr>
              <w:spacing w:line="360" w:lineRule="auto"/>
              <w:rPr>
                <w:rFonts w:hint="eastAsia" w:ascii="宋体" w:hAnsi="宋体" w:eastAsia="宋体" w:cs="宋体"/>
                <w:bCs/>
                <w:color w:val="000000" w:themeColor="text1"/>
                <w:sz w:val="21"/>
                <w:szCs w:val="21"/>
              </w:rPr>
            </w:pPr>
            <w:r>
              <w:rPr>
                <w:rFonts w:hint="eastAsia" w:ascii="宋体" w:hAnsi="宋体" w:eastAsia="宋体" w:cs="宋体"/>
                <w:color w:val="000000" w:themeColor="text1"/>
                <w:sz w:val="21"/>
                <w:szCs w:val="21"/>
              </w:rPr>
              <w:t>供应商每提供一份202</w:t>
            </w:r>
            <w:r>
              <w:rPr>
                <w:rFonts w:hint="eastAsia" w:ascii="宋体" w:hAnsi="宋体" w:eastAsia="宋体" w:cs="宋体"/>
                <w:color w:val="000000" w:themeColor="text1"/>
                <w:sz w:val="21"/>
                <w:szCs w:val="21"/>
                <w:lang w:val="en-US" w:eastAsia="zh-CN"/>
              </w:rPr>
              <w:t>3</w:t>
            </w:r>
            <w:r>
              <w:rPr>
                <w:rFonts w:hint="eastAsia" w:ascii="宋体" w:hAnsi="宋体" w:eastAsia="宋体" w:cs="宋体"/>
                <w:color w:val="000000" w:themeColor="text1"/>
                <w:sz w:val="21"/>
                <w:szCs w:val="21"/>
              </w:rPr>
              <w:t>年1月1日以来承担的类似项目业绩得2分，本项最多得4分。（响应文件中附合同扫描件，以合同签订日期为准。）</w:t>
            </w:r>
          </w:p>
        </w:tc>
      </w:tr>
      <w:tr w14:paraId="3B98D6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1" w:hRule="atLeast"/>
          <w:jc w:val="center"/>
        </w:trPr>
        <w:tc>
          <w:tcPr>
            <w:tcW w:w="893" w:type="pct"/>
            <w:gridSpan w:val="2"/>
            <w:vAlign w:val="center"/>
          </w:tcPr>
          <w:p w14:paraId="1B542979">
            <w:pPr>
              <w:spacing w:line="360" w:lineRule="auto"/>
              <w:jc w:val="center"/>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2.服务承诺</w:t>
            </w:r>
          </w:p>
        </w:tc>
        <w:tc>
          <w:tcPr>
            <w:tcW w:w="565" w:type="pct"/>
            <w:vAlign w:val="center"/>
          </w:tcPr>
          <w:p w14:paraId="16C19DED">
            <w:pPr>
              <w:spacing w:line="360" w:lineRule="auto"/>
              <w:jc w:val="center"/>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0-4</w:t>
            </w:r>
          </w:p>
        </w:tc>
        <w:tc>
          <w:tcPr>
            <w:tcW w:w="3541" w:type="pct"/>
            <w:gridSpan w:val="2"/>
            <w:vAlign w:val="center"/>
          </w:tcPr>
          <w:p w14:paraId="774B3486">
            <w:pPr>
              <w:rPr>
                <w:rFonts w:hint="eastAsia" w:ascii="宋体" w:hAnsi="宋体" w:eastAsia="宋体" w:cs="宋体"/>
                <w:bCs/>
                <w:color w:val="000000" w:themeColor="text1"/>
                <w:sz w:val="21"/>
                <w:szCs w:val="21"/>
              </w:rPr>
            </w:pPr>
            <w:r>
              <w:rPr>
                <w:rFonts w:hint="eastAsia"/>
                <w:color w:val="000000" w:themeColor="text1"/>
                <w:sz w:val="21"/>
                <w:szCs w:val="21"/>
              </w:rPr>
              <w:t>供应商承诺本项目区域内视频监控设备在线率不低于90%，得4分。</w:t>
            </w:r>
            <w:r>
              <w:rPr>
                <w:rFonts w:hint="eastAsia" w:ascii="宋体" w:hAnsi="宋体" w:eastAsia="宋体" w:cs="宋体"/>
                <w:bCs/>
                <w:color w:val="000000" w:themeColor="text1"/>
                <w:sz w:val="21"/>
                <w:szCs w:val="21"/>
              </w:rPr>
              <w:t>无承诺得0分。</w:t>
            </w:r>
          </w:p>
        </w:tc>
      </w:tr>
      <w:tr w14:paraId="02E06A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16" w:hRule="atLeast"/>
          <w:jc w:val="center"/>
        </w:trPr>
        <w:tc>
          <w:tcPr>
            <w:tcW w:w="893" w:type="pct"/>
            <w:gridSpan w:val="2"/>
            <w:vAlign w:val="center"/>
          </w:tcPr>
          <w:p w14:paraId="002BE5C4">
            <w:pPr>
              <w:spacing w:line="360" w:lineRule="auto"/>
              <w:jc w:val="center"/>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3.售后服务</w:t>
            </w:r>
          </w:p>
        </w:tc>
        <w:tc>
          <w:tcPr>
            <w:tcW w:w="565" w:type="pct"/>
            <w:vAlign w:val="center"/>
          </w:tcPr>
          <w:p w14:paraId="378300D3">
            <w:pPr>
              <w:spacing w:line="360" w:lineRule="auto"/>
              <w:jc w:val="center"/>
              <w:rPr>
                <w:rFonts w:hint="eastAsia" w:ascii="宋体" w:hAnsi="宋体" w:eastAsia="宋体" w:cs="宋体"/>
                <w:color w:val="000000" w:themeColor="text1"/>
                <w:sz w:val="21"/>
                <w:szCs w:val="21"/>
              </w:rPr>
            </w:pPr>
            <w:r>
              <w:rPr>
                <w:rFonts w:hint="eastAsia" w:ascii="宋体" w:hAnsi="宋体" w:eastAsia="宋体" w:cs="宋体"/>
                <w:bCs/>
                <w:color w:val="000000" w:themeColor="text1"/>
                <w:sz w:val="21"/>
                <w:szCs w:val="21"/>
              </w:rPr>
              <w:t>0-7</w:t>
            </w:r>
          </w:p>
        </w:tc>
        <w:tc>
          <w:tcPr>
            <w:tcW w:w="3541" w:type="pct"/>
            <w:gridSpan w:val="2"/>
            <w:vAlign w:val="center"/>
          </w:tcPr>
          <w:p w14:paraId="206DD7E3">
            <w:pPr>
              <w:spacing w:line="360" w:lineRule="auto"/>
              <w:rPr>
                <w:rFonts w:hint="eastAsia" w:ascii="宋体" w:hAnsi="宋体" w:eastAsia="宋体" w:cs="宋体"/>
                <w:bCs/>
                <w:color w:val="000000" w:themeColor="text1"/>
                <w:sz w:val="21"/>
                <w:szCs w:val="21"/>
              </w:rPr>
            </w:pPr>
            <w:r>
              <w:rPr>
                <w:rFonts w:hint="eastAsia" w:ascii="宋体" w:hAnsi="宋体" w:eastAsia="宋体" w:cs="宋体"/>
                <w:bCs/>
                <w:color w:val="000000" w:themeColor="text1"/>
                <w:sz w:val="21"/>
                <w:szCs w:val="21"/>
              </w:rPr>
              <w:t>根据供应商提供的售后服务方案，如服务体系、响应方式及响应时间、服务质量承诺、快速服务能力等售后服务方案，酌情打分。</w:t>
            </w:r>
          </w:p>
          <w:p w14:paraId="0809C4FF">
            <w:pPr>
              <w:spacing w:line="360" w:lineRule="auto"/>
              <w:rPr>
                <w:color w:val="000000" w:themeColor="text1"/>
              </w:rPr>
            </w:pPr>
            <w:r>
              <w:rPr>
                <w:rFonts w:hint="eastAsia" w:ascii="宋体" w:hAnsi="宋体" w:eastAsia="宋体" w:cs="宋体"/>
                <w:bCs/>
                <w:color w:val="000000" w:themeColor="text1"/>
                <w:sz w:val="21"/>
                <w:szCs w:val="21"/>
              </w:rPr>
              <w:t>售后服务方案内容详实，方案科学、合理、考虑周全、可行性强、措施到位，针对性强，完全能够满足采购需要的，得 7分；</w:t>
            </w:r>
          </w:p>
          <w:p w14:paraId="46649EBE">
            <w:pPr>
              <w:spacing w:line="360" w:lineRule="auto"/>
              <w:rPr>
                <w:rFonts w:hint="eastAsia" w:ascii="宋体" w:hAnsi="宋体" w:eastAsia="宋体" w:cs="宋体"/>
                <w:bCs/>
                <w:color w:val="000000" w:themeColor="text1"/>
                <w:sz w:val="21"/>
                <w:szCs w:val="21"/>
              </w:rPr>
            </w:pPr>
            <w:r>
              <w:rPr>
                <w:rFonts w:hint="eastAsia" w:ascii="宋体" w:hAnsi="宋体" w:eastAsia="宋体" w:cs="宋体"/>
                <w:bCs/>
                <w:color w:val="000000" w:themeColor="text1"/>
                <w:sz w:val="21"/>
                <w:szCs w:val="21"/>
              </w:rPr>
              <w:t>售后服务方案内容较为完整，方案比较科学合理，考虑基本周全，措施基本到位，针对性较强，基本满足采购需要，得4 分；</w:t>
            </w:r>
          </w:p>
          <w:p w14:paraId="5BC1EC73">
            <w:pPr>
              <w:spacing w:line="360" w:lineRule="auto"/>
              <w:rPr>
                <w:rFonts w:hint="eastAsia" w:ascii="宋体" w:hAnsi="宋体" w:eastAsia="宋体" w:cs="宋体"/>
                <w:bCs/>
                <w:color w:val="000000" w:themeColor="text1"/>
                <w:sz w:val="21"/>
                <w:szCs w:val="21"/>
              </w:rPr>
            </w:pPr>
            <w:r>
              <w:rPr>
                <w:rFonts w:hint="eastAsia" w:ascii="宋体" w:hAnsi="宋体" w:eastAsia="宋体" w:cs="宋体"/>
                <w:bCs/>
                <w:color w:val="000000" w:themeColor="text1"/>
                <w:sz w:val="21"/>
                <w:szCs w:val="21"/>
              </w:rPr>
              <w:t>售后服务方案内容基本完整，方案在科学、合理、安全性方面一般，考虑不周，措施不够到位，针对性不强，得 2 分。</w:t>
            </w:r>
          </w:p>
          <w:p w14:paraId="1D36B385">
            <w:pPr>
              <w:spacing w:line="360" w:lineRule="auto"/>
              <w:rPr>
                <w:rFonts w:hint="eastAsia" w:ascii="宋体" w:hAnsi="宋体" w:eastAsia="宋体" w:cs="宋体"/>
                <w:bCs/>
                <w:color w:val="000000" w:themeColor="text1"/>
                <w:sz w:val="21"/>
                <w:szCs w:val="21"/>
              </w:rPr>
            </w:pPr>
            <w:r>
              <w:rPr>
                <w:rFonts w:hint="eastAsia" w:ascii="宋体" w:hAnsi="宋体" w:eastAsia="宋体" w:cs="宋体"/>
                <w:bCs/>
                <w:color w:val="000000" w:themeColor="text1"/>
                <w:sz w:val="21"/>
                <w:szCs w:val="21"/>
              </w:rPr>
              <w:t>未提供或售后服务完全不满足得0分。</w:t>
            </w:r>
          </w:p>
        </w:tc>
      </w:tr>
    </w:tbl>
    <w:p w14:paraId="7E024DDF">
      <w:pPr>
        <w:pStyle w:val="57"/>
        <w:spacing w:line="360" w:lineRule="auto"/>
        <w:rPr>
          <w:rFonts w:hint="eastAsia" w:ascii="宋体" w:hAnsi="宋体" w:eastAsia="宋体"/>
          <w:color w:val="000000" w:themeColor="text1"/>
          <w:sz w:val="21"/>
          <w:szCs w:val="21"/>
        </w:rPr>
      </w:pPr>
      <w:bookmarkStart w:id="322" w:name="_Toc2933"/>
      <w:r>
        <w:rPr>
          <w:rFonts w:hint="eastAsia" w:ascii="宋体" w:hAnsi="宋体" w:eastAsia="宋体"/>
          <w:color w:val="000000" w:themeColor="text1"/>
          <w:sz w:val="21"/>
          <w:szCs w:val="21"/>
        </w:rPr>
        <w:t>1. 评标方法</w:t>
      </w:r>
      <w:bookmarkEnd w:id="316"/>
      <w:bookmarkEnd w:id="317"/>
      <w:bookmarkEnd w:id="318"/>
      <w:bookmarkEnd w:id="319"/>
      <w:bookmarkEnd w:id="320"/>
      <w:bookmarkEnd w:id="321"/>
      <w:bookmarkEnd w:id="322"/>
    </w:p>
    <w:p w14:paraId="2D6B3DB9">
      <w:pPr>
        <w:spacing w:line="360" w:lineRule="auto"/>
        <w:ind w:firstLine="420" w:firstLineChars="200"/>
        <w:rPr>
          <w:rFonts w:hint="eastAsia" w:ascii="宋体" w:hAnsi="宋体" w:eastAsia="宋体" w:cs="宋体"/>
          <w:sz w:val="21"/>
          <w:szCs w:val="21"/>
        </w:rPr>
      </w:pPr>
      <w:r>
        <w:rPr>
          <w:rFonts w:hint="eastAsia" w:ascii="宋体" w:hAnsi="宋体" w:eastAsia="宋体" w:cs="宋体"/>
          <w:color w:val="000000" w:themeColor="text1"/>
          <w:sz w:val="21"/>
          <w:szCs w:val="21"/>
        </w:rPr>
        <w:t>本次评标采用综合评估法。磋商小组对满足磋商文件实质性要求的响应文件，按照本章第2.2款规定的评分标准进行打分，并按得分由高到低顺序推荐中标候选人，但投标报价低于其成本的除外。综合评分相等时，以投标报价</w:t>
      </w:r>
      <w:r>
        <w:rPr>
          <w:rFonts w:hint="eastAsia" w:ascii="宋体" w:hAnsi="宋体" w:eastAsia="宋体" w:cs="宋体"/>
          <w:sz w:val="21"/>
          <w:szCs w:val="21"/>
        </w:rPr>
        <w:t>低的优先；投标报价也相等的，由采购人自行确定。</w:t>
      </w:r>
    </w:p>
    <w:p w14:paraId="4359F6BA">
      <w:pPr>
        <w:pStyle w:val="57"/>
        <w:spacing w:line="360" w:lineRule="auto"/>
        <w:rPr>
          <w:rFonts w:hint="eastAsia" w:ascii="宋体" w:hAnsi="宋体" w:eastAsia="宋体"/>
          <w:sz w:val="21"/>
          <w:szCs w:val="21"/>
        </w:rPr>
      </w:pPr>
      <w:bookmarkStart w:id="323" w:name="_Toc45177854"/>
      <w:bookmarkStart w:id="324" w:name="_Toc179632619"/>
      <w:bookmarkStart w:id="325" w:name="_Toc29644"/>
      <w:bookmarkStart w:id="326" w:name="_Toc16020"/>
      <w:bookmarkStart w:id="327" w:name="_Toc152042378"/>
      <w:bookmarkStart w:id="328" w:name="_Toc144974568"/>
      <w:bookmarkStart w:id="329" w:name="_Toc152045601"/>
      <w:r>
        <w:rPr>
          <w:rFonts w:hint="eastAsia" w:ascii="宋体" w:hAnsi="宋体" w:eastAsia="宋体"/>
          <w:sz w:val="21"/>
          <w:szCs w:val="21"/>
        </w:rPr>
        <w:t>2. 评审标准</w:t>
      </w:r>
      <w:bookmarkEnd w:id="323"/>
      <w:bookmarkEnd w:id="324"/>
      <w:bookmarkEnd w:id="325"/>
      <w:bookmarkEnd w:id="326"/>
      <w:bookmarkEnd w:id="327"/>
      <w:bookmarkEnd w:id="328"/>
      <w:bookmarkEnd w:id="329"/>
    </w:p>
    <w:p w14:paraId="045AE7E8">
      <w:pPr>
        <w:pStyle w:val="58"/>
        <w:spacing w:line="360" w:lineRule="auto"/>
        <w:rPr>
          <w:rFonts w:hint="eastAsia" w:ascii="宋体" w:hAnsi="宋体" w:eastAsia="宋体"/>
          <w:sz w:val="21"/>
          <w:szCs w:val="21"/>
        </w:rPr>
      </w:pPr>
      <w:bookmarkStart w:id="330" w:name="_Toc152042379"/>
      <w:bookmarkStart w:id="331" w:name="_Toc144974569"/>
      <w:bookmarkStart w:id="332" w:name="_Toc179632620"/>
      <w:bookmarkStart w:id="333" w:name="_Toc152045602"/>
      <w:bookmarkStart w:id="334" w:name="_Toc45177855"/>
      <w:bookmarkStart w:id="335" w:name="_Toc3778"/>
      <w:r>
        <w:rPr>
          <w:rFonts w:hint="eastAsia" w:ascii="宋体" w:hAnsi="宋体" w:eastAsia="宋体"/>
          <w:sz w:val="21"/>
          <w:szCs w:val="21"/>
        </w:rPr>
        <w:t>2.1 初步评审标准</w:t>
      </w:r>
      <w:bookmarkEnd w:id="330"/>
      <w:bookmarkEnd w:id="331"/>
      <w:bookmarkEnd w:id="332"/>
      <w:bookmarkEnd w:id="333"/>
      <w:bookmarkEnd w:id="334"/>
      <w:bookmarkEnd w:id="335"/>
    </w:p>
    <w:p w14:paraId="0FA55C62">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2.1.1 形式评审标准：见评标办法前附表。</w:t>
      </w:r>
    </w:p>
    <w:p w14:paraId="72295EAD">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2.1.2资格评审标准：见评标办法前附表。</w:t>
      </w:r>
    </w:p>
    <w:p w14:paraId="77F81335">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2.1.3响应性评审标准：见评标办法前附表。</w:t>
      </w:r>
    </w:p>
    <w:p w14:paraId="0C6C0F1A">
      <w:pPr>
        <w:pStyle w:val="58"/>
        <w:spacing w:line="360" w:lineRule="auto"/>
        <w:rPr>
          <w:rFonts w:hint="eastAsia" w:ascii="宋体" w:hAnsi="宋体" w:eastAsia="宋体"/>
          <w:sz w:val="21"/>
          <w:szCs w:val="21"/>
        </w:rPr>
      </w:pPr>
      <w:bookmarkStart w:id="336" w:name="_Toc45177856"/>
      <w:bookmarkStart w:id="337" w:name="_Toc152042380"/>
      <w:bookmarkStart w:id="338" w:name="_Toc30117"/>
      <w:bookmarkStart w:id="339" w:name="_Toc152045603"/>
      <w:bookmarkStart w:id="340" w:name="_Toc144974570"/>
      <w:bookmarkStart w:id="341" w:name="_Toc179632621"/>
      <w:r>
        <w:rPr>
          <w:rFonts w:hint="eastAsia" w:ascii="宋体" w:hAnsi="宋体" w:eastAsia="宋体"/>
          <w:sz w:val="21"/>
          <w:szCs w:val="21"/>
        </w:rPr>
        <w:t>2.2 分值构成与评分标准</w:t>
      </w:r>
      <w:bookmarkEnd w:id="336"/>
      <w:bookmarkEnd w:id="337"/>
      <w:bookmarkEnd w:id="338"/>
      <w:bookmarkEnd w:id="339"/>
      <w:bookmarkEnd w:id="340"/>
      <w:bookmarkEnd w:id="341"/>
    </w:p>
    <w:p w14:paraId="499FDCF8">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2.2.1 分值构成</w:t>
      </w:r>
    </w:p>
    <w:p w14:paraId="7108F59A">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 xml:space="preserve">（1）商务标：见评标办法前附表； </w:t>
      </w:r>
    </w:p>
    <w:p w14:paraId="754B78FD">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（2）技术标：见评标办法前附表；</w:t>
      </w:r>
    </w:p>
    <w:p w14:paraId="6E0D7764">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 xml:space="preserve">（3）综合标：见评标办法前附表。 </w:t>
      </w:r>
    </w:p>
    <w:p w14:paraId="6214903B">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2.2.2 评标基准价计算</w:t>
      </w:r>
    </w:p>
    <w:p w14:paraId="1170031A">
      <w:pPr>
        <w:spacing w:line="360" w:lineRule="auto"/>
        <w:ind w:firstLine="840" w:firstLineChars="400"/>
        <w:rPr>
          <w:rFonts w:hint="eastAsia" w:ascii="宋体" w:hAnsi="宋体" w:eastAsia="宋体" w:cs="宋体"/>
          <w:sz w:val="21"/>
          <w:szCs w:val="21"/>
        </w:rPr>
      </w:pPr>
      <w:r>
        <w:rPr>
          <w:rFonts w:hint="eastAsia" w:ascii="宋体" w:hAnsi="宋体" w:eastAsia="宋体" w:cs="宋体"/>
          <w:sz w:val="21"/>
          <w:szCs w:val="21"/>
        </w:rPr>
        <w:t>评标基准价计算方法：见评标办法前附表。</w:t>
      </w:r>
    </w:p>
    <w:p w14:paraId="59442AE5">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2.2.3 投标报价的偏差率计算（本项目不适用）</w:t>
      </w:r>
    </w:p>
    <w:p w14:paraId="6B262D51">
      <w:pPr>
        <w:spacing w:line="360" w:lineRule="auto"/>
        <w:ind w:firstLine="840" w:firstLineChars="400"/>
        <w:rPr>
          <w:rFonts w:hint="eastAsia" w:ascii="宋体" w:hAnsi="宋体" w:eastAsia="宋体" w:cs="宋体"/>
          <w:sz w:val="21"/>
          <w:szCs w:val="21"/>
        </w:rPr>
      </w:pPr>
      <w:r>
        <w:rPr>
          <w:rFonts w:hint="eastAsia" w:ascii="宋体" w:hAnsi="宋体" w:eastAsia="宋体" w:cs="宋体"/>
          <w:sz w:val="21"/>
          <w:szCs w:val="21"/>
        </w:rPr>
        <w:t>投标报价的偏差率计算公式：见评标办法前附表。</w:t>
      </w:r>
    </w:p>
    <w:p w14:paraId="39105705">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2.2.4 评分标准</w:t>
      </w:r>
    </w:p>
    <w:p w14:paraId="4FD28B9E">
      <w:pPr>
        <w:spacing w:line="360" w:lineRule="auto"/>
        <w:ind w:firstLine="718" w:firstLineChars="342"/>
        <w:rPr>
          <w:rFonts w:hint="eastAsia" w:ascii="宋体" w:hAnsi="宋体" w:eastAsia="宋体" w:cs="宋体"/>
          <w:sz w:val="21"/>
          <w:szCs w:val="21"/>
        </w:rPr>
      </w:pPr>
      <w:r>
        <w:rPr>
          <w:rFonts w:hint="eastAsia" w:ascii="宋体" w:hAnsi="宋体" w:eastAsia="宋体" w:cs="宋体"/>
          <w:sz w:val="21"/>
          <w:szCs w:val="21"/>
        </w:rPr>
        <w:t>（1）商务标评分标准：见评标办法前附表；</w:t>
      </w:r>
    </w:p>
    <w:p w14:paraId="58900719">
      <w:pPr>
        <w:spacing w:line="360" w:lineRule="auto"/>
        <w:ind w:firstLine="718" w:firstLineChars="342"/>
        <w:rPr>
          <w:rFonts w:hint="eastAsia" w:ascii="宋体" w:hAnsi="宋体" w:eastAsia="宋体" w:cs="宋体"/>
          <w:sz w:val="21"/>
          <w:szCs w:val="21"/>
        </w:rPr>
      </w:pPr>
      <w:r>
        <w:rPr>
          <w:rFonts w:hint="eastAsia" w:ascii="宋体" w:hAnsi="宋体" w:eastAsia="宋体" w:cs="宋体"/>
          <w:sz w:val="21"/>
          <w:szCs w:val="21"/>
        </w:rPr>
        <w:t>（2）技术标评分标准：见评标办法前附表；</w:t>
      </w:r>
    </w:p>
    <w:p w14:paraId="2D5AD691">
      <w:pPr>
        <w:spacing w:line="360" w:lineRule="auto"/>
        <w:ind w:firstLine="718" w:firstLineChars="342"/>
        <w:rPr>
          <w:rFonts w:hint="eastAsia" w:ascii="宋体" w:hAnsi="宋体" w:eastAsia="宋体" w:cs="宋体"/>
          <w:sz w:val="21"/>
          <w:szCs w:val="21"/>
        </w:rPr>
      </w:pPr>
      <w:r>
        <w:rPr>
          <w:rFonts w:hint="eastAsia" w:ascii="宋体" w:hAnsi="宋体" w:eastAsia="宋体" w:cs="宋体"/>
          <w:sz w:val="21"/>
          <w:szCs w:val="21"/>
        </w:rPr>
        <w:t>（3）综合标评分标准：见评标办法前附表。</w:t>
      </w:r>
    </w:p>
    <w:p w14:paraId="5D58CE12">
      <w:pPr>
        <w:pStyle w:val="58"/>
        <w:spacing w:line="360" w:lineRule="auto"/>
        <w:rPr>
          <w:rFonts w:hint="eastAsia" w:ascii="宋体" w:hAnsi="宋体" w:eastAsia="宋体"/>
          <w:sz w:val="21"/>
          <w:szCs w:val="21"/>
        </w:rPr>
      </w:pPr>
      <w:bookmarkStart w:id="342" w:name="_Toc152045605"/>
      <w:bookmarkStart w:id="343" w:name="_Toc45177857"/>
      <w:bookmarkStart w:id="344" w:name="_Toc144974572"/>
      <w:bookmarkStart w:id="345" w:name="_Toc152042382"/>
      <w:bookmarkStart w:id="346" w:name="_Toc16030"/>
      <w:bookmarkStart w:id="347" w:name="_Toc179632623"/>
      <w:r>
        <w:rPr>
          <w:rFonts w:hint="eastAsia" w:ascii="宋体" w:hAnsi="宋体" w:eastAsia="宋体"/>
          <w:sz w:val="21"/>
          <w:szCs w:val="21"/>
        </w:rPr>
        <w:t>3.1 初步评审</w:t>
      </w:r>
      <w:bookmarkEnd w:id="342"/>
      <w:bookmarkEnd w:id="343"/>
      <w:bookmarkEnd w:id="344"/>
      <w:bookmarkEnd w:id="345"/>
      <w:bookmarkEnd w:id="346"/>
      <w:bookmarkEnd w:id="347"/>
    </w:p>
    <w:p w14:paraId="03B0AD11">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3.1.1磋商小组依据本章第2.1款规定的标准对响应文件进行初步评审。有一项不符合评审标准的，否决其投标。</w:t>
      </w:r>
    </w:p>
    <w:p w14:paraId="75C2AFA5">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3.1.2 供应商有以下情形之一的，否决其投标：</w:t>
      </w:r>
    </w:p>
    <w:p w14:paraId="6C227A22">
      <w:pPr>
        <w:spacing w:line="360" w:lineRule="auto"/>
        <w:ind w:firstLine="718" w:firstLineChars="342"/>
        <w:rPr>
          <w:rFonts w:hint="eastAsia" w:ascii="宋体" w:hAnsi="宋体" w:eastAsia="宋体" w:cs="宋体"/>
          <w:sz w:val="21"/>
          <w:szCs w:val="21"/>
        </w:rPr>
      </w:pPr>
      <w:r>
        <w:rPr>
          <w:rFonts w:hint="eastAsia" w:ascii="宋体" w:hAnsi="宋体" w:eastAsia="宋体" w:cs="宋体"/>
          <w:sz w:val="21"/>
          <w:szCs w:val="21"/>
        </w:rPr>
        <w:t>（1）第二章“供应商须知”第1.4.3项规定的任何一种情形的；</w:t>
      </w:r>
    </w:p>
    <w:p w14:paraId="1D890FBB">
      <w:pPr>
        <w:spacing w:line="360" w:lineRule="auto"/>
        <w:ind w:firstLine="718" w:firstLineChars="342"/>
        <w:rPr>
          <w:rFonts w:hint="eastAsia" w:ascii="宋体" w:hAnsi="宋体" w:eastAsia="宋体" w:cs="宋体"/>
          <w:sz w:val="21"/>
          <w:szCs w:val="21"/>
        </w:rPr>
      </w:pPr>
      <w:r>
        <w:rPr>
          <w:rFonts w:hint="eastAsia" w:ascii="宋体" w:hAnsi="宋体" w:eastAsia="宋体" w:cs="宋体"/>
          <w:sz w:val="21"/>
          <w:szCs w:val="21"/>
        </w:rPr>
        <w:t>（2）串通投标或弄虚作假或有其他违法行为的；</w:t>
      </w:r>
    </w:p>
    <w:p w14:paraId="1D22BCD1">
      <w:pPr>
        <w:spacing w:line="360" w:lineRule="auto"/>
        <w:ind w:firstLine="718" w:firstLineChars="342"/>
        <w:rPr>
          <w:rFonts w:hint="eastAsia" w:ascii="宋体" w:hAnsi="宋体" w:eastAsia="宋体" w:cs="宋体"/>
          <w:sz w:val="21"/>
          <w:szCs w:val="21"/>
        </w:rPr>
      </w:pPr>
      <w:r>
        <w:rPr>
          <w:rFonts w:hint="eastAsia" w:ascii="宋体" w:hAnsi="宋体" w:eastAsia="宋体" w:cs="宋体"/>
          <w:sz w:val="21"/>
          <w:szCs w:val="21"/>
        </w:rPr>
        <w:t>（3）不按磋商小组要求澄清、说明或补正的。</w:t>
      </w:r>
    </w:p>
    <w:p w14:paraId="4F4F7913">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3.1.3投标报价有算术错误的，磋商小组按以下原则对投标报价进行修正，修正的价格经供应商书面确认后具有约束力。供应商不接受修正价格的，否决其投标。</w:t>
      </w:r>
    </w:p>
    <w:p w14:paraId="14F2F25B">
      <w:pPr>
        <w:spacing w:line="360" w:lineRule="auto"/>
        <w:ind w:firstLine="718" w:firstLineChars="342"/>
        <w:rPr>
          <w:rFonts w:hint="eastAsia" w:ascii="宋体" w:hAnsi="宋体" w:eastAsia="宋体" w:cs="宋体"/>
          <w:sz w:val="21"/>
          <w:szCs w:val="21"/>
        </w:rPr>
      </w:pPr>
      <w:bookmarkStart w:id="348" w:name="_Toc152042383"/>
      <w:r>
        <w:rPr>
          <w:rFonts w:hint="eastAsia" w:ascii="宋体" w:hAnsi="宋体" w:eastAsia="宋体" w:cs="宋体"/>
          <w:sz w:val="21"/>
          <w:szCs w:val="21"/>
        </w:rPr>
        <w:t>（1）响应文件中的大写金额与小写金额不一致的，以大写金额为准；</w:t>
      </w:r>
      <w:bookmarkEnd w:id="348"/>
    </w:p>
    <w:p w14:paraId="41AD1111">
      <w:pPr>
        <w:spacing w:line="360" w:lineRule="auto"/>
        <w:ind w:firstLine="718" w:firstLineChars="342"/>
        <w:rPr>
          <w:rFonts w:hint="eastAsia" w:ascii="宋体" w:hAnsi="宋体" w:eastAsia="宋体" w:cs="宋体"/>
          <w:sz w:val="21"/>
          <w:szCs w:val="21"/>
        </w:rPr>
      </w:pPr>
      <w:r>
        <w:rPr>
          <w:rFonts w:hint="eastAsia" w:ascii="宋体" w:hAnsi="宋体" w:eastAsia="宋体" w:cs="宋体"/>
          <w:sz w:val="21"/>
          <w:szCs w:val="21"/>
        </w:rPr>
        <w:t>（2）总价金额与依据单价计算出的结果不一致的，以单价金额为准修正总价，但单价金额小数点有明显错误的除外。</w:t>
      </w:r>
    </w:p>
    <w:p w14:paraId="6D49DA4B">
      <w:pPr>
        <w:pStyle w:val="58"/>
        <w:spacing w:line="360" w:lineRule="auto"/>
        <w:rPr>
          <w:rFonts w:hint="eastAsia" w:ascii="宋体" w:hAnsi="宋体" w:eastAsia="宋体"/>
          <w:sz w:val="21"/>
          <w:szCs w:val="21"/>
        </w:rPr>
      </w:pPr>
      <w:bookmarkStart w:id="349" w:name="_Toc144974573"/>
      <w:bookmarkStart w:id="350" w:name="_Toc15354"/>
      <w:bookmarkStart w:id="351" w:name="_Toc179632624"/>
      <w:bookmarkStart w:id="352" w:name="_Toc152045606"/>
      <w:bookmarkStart w:id="353" w:name="_Toc45177858"/>
      <w:bookmarkStart w:id="354" w:name="_Toc152042384"/>
      <w:r>
        <w:rPr>
          <w:rFonts w:hint="eastAsia" w:ascii="宋体" w:hAnsi="宋体" w:eastAsia="宋体"/>
          <w:sz w:val="21"/>
          <w:szCs w:val="21"/>
        </w:rPr>
        <w:t>3.2 详细评审</w:t>
      </w:r>
      <w:bookmarkEnd w:id="349"/>
      <w:bookmarkEnd w:id="350"/>
      <w:bookmarkEnd w:id="351"/>
      <w:bookmarkEnd w:id="352"/>
      <w:bookmarkEnd w:id="353"/>
      <w:bookmarkEnd w:id="354"/>
    </w:p>
    <w:p w14:paraId="2C0685A3">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3.2.1 磋商小组按本章第2.2款规定的量化因素和分值进行打分，并计算出综合评估得分。</w:t>
      </w:r>
    </w:p>
    <w:p w14:paraId="49E80821">
      <w:pPr>
        <w:spacing w:line="360" w:lineRule="auto"/>
        <w:ind w:firstLine="718" w:firstLineChars="342"/>
        <w:rPr>
          <w:rFonts w:hint="eastAsia" w:ascii="宋体" w:hAnsi="宋体" w:eastAsia="宋体" w:cs="宋体"/>
          <w:sz w:val="21"/>
          <w:szCs w:val="21"/>
        </w:rPr>
      </w:pPr>
      <w:r>
        <w:rPr>
          <w:rFonts w:hint="eastAsia" w:ascii="宋体" w:hAnsi="宋体" w:eastAsia="宋体" w:cs="宋体"/>
          <w:sz w:val="21"/>
          <w:szCs w:val="21"/>
        </w:rPr>
        <w:t>（1）按本章第2.2.4（1）目规定的评审因素和分值对商务标计算出得分A；</w:t>
      </w:r>
    </w:p>
    <w:p w14:paraId="0B9A4B8D">
      <w:pPr>
        <w:spacing w:line="360" w:lineRule="auto"/>
        <w:ind w:firstLine="718" w:firstLineChars="342"/>
        <w:rPr>
          <w:rFonts w:hint="eastAsia" w:ascii="宋体" w:hAnsi="宋体" w:eastAsia="宋体" w:cs="宋体"/>
          <w:sz w:val="21"/>
          <w:szCs w:val="21"/>
        </w:rPr>
      </w:pPr>
      <w:r>
        <w:rPr>
          <w:rFonts w:hint="eastAsia" w:ascii="宋体" w:hAnsi="宋体" w:eastAsia="宋体" w:cs="宋体"/>
          <w:sz w:val="21"/>
          <w:szCs w:val="21"/>
        </w:rPr>
        <w:t>（2）按本章第2.2.4（2）目规定的评审因素和分值对技术标计算出得分B；</w:t>
      </w:r>
    </w:p>
    <w:p w14:paraId="71235083">
      <w:pPr>
        <w:spacing w:line="360" w:lineRule="auto"/>
        <w:ind w:firstLine="718" w:firstLineChars="342"/>
        <w:rPr>
          <w:rFonts w:hint="eastAsia" w:ascii="宋体" w:hAnsi="宋体" w:eastAsia="宋体" w:cs="宋体"/>
          <w:sz w:val="21"/>
          <w:szCs w:val="21"/>
        </w:rPr>
      </w:pPr>
      <w:r>
        <w:rPr>
          <w:rFonts w:hint="eastAsia" w:ascii="宋体" w:hAnsi="宋体" w:eastAsia="宋体" w:cs="宋体"/>
          <w:sz w:val="21"/>
          <w:szCs w:val="21"/>
        </w:rPr>
        <w:t>（3）按本章第2.2.4（3）目规定的评审因素和分值对综合标计算出得分C。</w:t>
      </w:r>
    </w:p>
    <w:p w14:paraId="4D5D8EDC">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3.2.2 评分分值计算保留小数点后两位，小数点后第三位“四舍五入”。</w:t>
      </w:r>
    </w:p>
    <w:p w14:paraId="2C6010A5">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3.2.3 供应商得分=技术标得分+商务标得分+综合标得分。</w:t>
      </w:r>
    </w:p>
    <w:p w14:paraId="49294EE0">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供应商最终得分=各磋商小组打分之和的算数平均值。</w:t>
      </w:r>
    </w:p>
    <w:p w14:paraId="7AE1EF50">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3.2.4 磋商小组发现供应商的报价明显低于其他投标报价，或者在设有标底时明显低于标底，使得其投标报价可能低于其个别成本的，应当要求该供应商作出书面说明并提供相应的证明材料。供应商不能合理说明或者不能提供相应证明材料的，由磋商小组认定该供应商以低于成本报价竞标，否决其投标。</w:t>
      </w:r>
    </w:p>
    <w:p w14:paraId="6854D1B8">
      <w:pPr>
        <w:pStyle w:val="58"/>
        <w:spacing w:line="360" w:lineRule="auto"/>
        <w:rPr>
          <w:rFonts w:hint="eastAsia" w:ascii="宋体" w:hAnsi="宋体" w:eastAsia="宋体"/>
          <w:sz w:val="21"/>
          <w:szCs w:val="21"/>
        </w:rPr>
      </w:pPr>
      <w:bookmarkStart w:id="355" w:name="_Toc144974575"/>
      <w:bookmarkStart w:id="356" w:name="_Toc179632625"/>
      <w:bookmarkStart w:id="357" w:name="_Toc152042385"/>
      <w:bookmarkStart w:id="358" w:name="_Toc1916"/>
      <w:bookmarkStart w:id="359" w:name="_Toc152045607"/>
      <w:bookmarkStart w:id="360" w:name="_Toc45177859"/>
      <w:r>
        <w:rPr>
          <w:rFonts w:hint="eastAsia" w:ascii="宋体" w:hAnsi="宋体" w:eastAsia="宋体"/>
          <w:sz w:val="21"/>
          <w:szCs w:val="21"/>
        </w:rPr>
        <w:t>3.3 响应文件的澄清</w:t>
      </w:r>
      <w:bookmarkEnd w:id="355"/>
      <w:r>
        <w:rPr>
          <w:rFonts w:hint="eastAsia" w:ascii="宋体" w:hAnsi="宋体" w:eastAsia="宋体"/>
          <w:sz w:val="21"/>
          <w:szCs w:val="21"/>
        </w:rPr>
        <w:t>和补正</w:t>
      </w:r>
      <w:bookmarkEnd w:id="356"/>
      <w:bookmarkEnd w:id="357"/>
      <w:bookmarkEnd w:id="358"/>
      <w:bookmarkEnd w:id="359"/>
      <w:bookmarkEnd w:id="360"/>
    </w:p>
    <w:p w14:paraId="17C46D74">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3.3.1在评标过程中，磋商小组可以书面形式要求供应商对所提交响应文件中不明确的内容进行书面澄清或说明，或者对细微偏差进行补正。磋商小组不接受供应商主动提出的澄清、说明或补正。</w:t>
      </w:r>
    </w:p>
    <w:p w14:paraId="560D9234">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3.3.2 澄清、说明和补正不得改变响应文件的实质性内容（算术性错误修正的除外）。供应商的书面澄清、说明和补正属于响应文件的组成部分。</w:t>
      </w:r>
    </w:p>
    <w:p w14:paraId="17675831">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3.3.3 磋商小组对供应商提交的澄清、说明或补正有疑问的，可以要求供应商进一步澄清、说明或补正，直至满足磋商小组的要求。</w:t>
      </w:r>
    </w:p>
    <w:p w14:paraId="565DBDBC">
      <w:pPr>
        <w:pStyle w:val="58"/>
        <w:spacing w:line="360" w:lineRule="auto"/>
        <w:rPr>
          <w:rFonts w:hint="eastAsia" w:ascii="宋体" w:hAnsi="宋体" w:eastAsia="宋体"/>
          <w:sz w:val="21"/>
          <w:szCs w:val="21"/>
        </w:rPr>
      </w:pPr>
      <w:bookmarkStart w:id="361" w:name="_Toc13537"/>
      <w:bookmarkStart w:id="362" w:name="_Toc152045608"/>
      <w:bookmarkStart w:id="363" w:name="_Toc45177860"/>
      <w:bookmarkStart w:id="364" w:name="_Toc144974576"/>
      <w:bookmarkStart w:id="365" w:name="_Toc152042386"/>
      <w:bookmarkStart w:id="366" w:name="_Toc179632626"/>
      <w:r>
        <w:rPr>
          <w:rFonts w:hint="eastAsia" w:ascii="宋体" w:hAnsi="宋体" w:eastAsia="宋体"/>
          <w:sz w:val="21"/>
          <w:szCs w:val="21"/>
        </w:rPr>
        <w:t>3.4 评标结果</w:t>
      </w:r>
      <w:bookmarkEnd w:id="361"/>
      <w:bookmarkEnd w:id="362"/>
      <w:bookmarkEnd w:id="363"/>
      <w:bookmarkEnd w:id="364"/>
      <w:bookmarkEnd w:id="365"/>
      <w:bookmarkEnd w:id="366"/>
    </w:p>
    <w:p w14:paraId="5C462130">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3.4.1除第二章“供应商须知”前附表授权直接确定成交人外，磋商小组按照得分由高到低的顺序推荐中标候选人。</w:t>
      </w:r>
    </w:p>
    <w:p w14:paraId="09FD6F6F">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3.4.2 磋商小组完成评标后，应当向采购人提交书面评标报告。</w:t>
      </w:r>
    </w:p>
    <w:p w14:paraId="7B39A269">
      <w:pPr>
        <w:pStyle w:val="57"/>
        <w:spacing w:line="360" w:lineRule="auto"/>
        <w:rPr>
          <w:rFonts w:hint="eastAsia" w:ascii="宋体" w:hAnsi="宋体" w:eastAsia="宋体"/>
          <w:sz w:val="21"/>
          <w:szCs w:val="21"/>
        </w:rPr>
      </w:pPr>
      <w:bookmarkStart w:id="367" w:name="_Toc45177861"/>
      <w:bookmarkStart w:id="368" w:name="_Toc1825"/>
      <w:bookmarkStart w:id="369" w:name="_Toc11489"/>
      <w:r>
        <w:rPr>
          <w:rFonts w:hint="eastAsia" w:ascii="宋体" w:hAnsi="宋体" w:eastAsia="宋体"/>
          <w:sz w:val="21"/>
          <w:szCs w:val="21"/>
        </w:rPr>
        <w:t>4. 无效标条件</w:t>
      </w:r>
      <w:bookmarkEnd w:id="367"/>
      <w:bookmarkEnd w:id="368"/>
      <w:bookmarkEnd w:id="369"/>
    </w:p>
    <w:p w14:paraId="1F170B89">
      <w:pPr>
        <w:pStyle w:val="30"/>
        <w:spacing w:line="360" w:lineRule="auto"/>
        <w:ind w:firstLine="210"/>
        <w:rPr>
          <w:rFonts w:hint="eastAsia" w:ascii="宋体" w:hAnsi="宋体" w:eastAsia="宋体" w:cs="宋体"/>
          <w:szCs w:val="21"/>
        </w:rPr>
      </w:pPr>
      <w:r>
        <w:rPr>
          <w:rFonts w:hint="eastAsia" w:ascii="宋体" w:hAnsi="宋体" w:eastAsia="宋体" w:cs="宋体"/>
          <w:szCs w:val="21"/>
        </w:rPr>
        <w:t>供应商或其响应文件有下列情形之一的，其投标作无效标处理：</w:t>
      </w:r>
    </w:p>
    <w:p w14:paraId="1B5D83FD">
      <w:pPr>
        <w:pStyle w:val="30"/>
        <w:spacing w:line="360" w:lineRule="auto"/>
        <w:ind w:firstLine="210"/>
        <w:rPr>
          <w:rFonts w:hint="eastAsia" w:ascii="宋体" w:hAnsi="宋体" w:eastAsia="宋体" w:cs="宋体"/>
          <w:szCs w:val="21"/>
        </w:rPr>
      </w:pPr>
      <w:r>
        <w:rPr>
          <w:rFonts w:hint="eastAsia" w:ascii="宋体" w:hAnsi="宋体" w:eastAsia="宋体" w:cs="宋体"/>
          <w:szCs w:val="21"/>
        </w:rPr>
        <w:t>4.1 有第二章“供应商须知”第1.4.3项规定的任何一种情形的。</w:t>
      </w:r>
    </w:p>
    <w:p w14:paraId="4AD640DF">
      <w:pPr>
        <w:pStyle w:val="30"/>
        <w:spacing w:line="360" w:lineRule="auto"/>
        <w:ind w:firstLine="210"/>
        <w:rPr>
          <w:rFonts w:hint="eastAsia" w:ascii="宋体" w:hAnsi="宋体" w:eastAsia="宋体" w:cs="宋体"/>
          <w:szCs w:val="21"/>
        </w:rPr>
      </w:pPr>
      <w:r>
        <w:rPr>
          <w:rFonts w:hint="eastAsia" w:ascii="宋体" w:hAnsi="宋体" w:eastAsia="宋体" w:cs="宋体"/>
          <w:szCs w:val="21"/>
        </w:rPr>
        <w:t>4.2 有串通投标或弄虚作假或有其他违法行为的。</w:t>
      </w:r>
    </w:p>
    <w:p w14:paraId="75C2B428">
      <w:pPr>
        <w:pStyle w:val="30"/>
        <w:spacing w:line="360" w:lineRule="auto"/>
        <w:ind w:firstLine="210"/>
        <w:rPr>
          <w:rFonts w:hint="eastAsia" w:ascii="宋体" w:hAnsi="宋体" w:eastAsia="宋体" w:cs="宋体"/>
          <w:szCs w:val="21"/>
        </w:rPr>
      </w:pPr>
      <w:r>
        <w:rPr>
          <w:rFonts w:hint="eastAsia" w:ascii="宋体" w:hAnsi="宋体" w:eastAsia="宋体" w:cs="宋体"/>
          <w:szCs w:val="21"/>
        </w:rPr>
        <w:t>4.3 不按磋商小组要求澄清、说明或补正的。</w:t>
      </w:r>
    </w:p>
    <w:p w14:paraId="67D4CC05">
      <w:pPr>
        <w:pStyle w:val="30"/>
        <w:spacing w:line="360" w:lineRule="auto"/>
        <w:ind w:firstLine="210"/>
        <w:rPr>
          <w:rFonts w:hint="eastAsia" w:ascii="宋体" w:hAnsi="宋体" w:eastAsia="宋体" w:cs="宋体"/>
          <w:szCs w:val="21"/>
        </w:rPr>
      </w:pPr>
      <w:r>
        <w:rPr>
          <w:rFonts w:hint="eastAsia" w:ascii="宋体" w:hAnsi="宋体" w:eastAsia="宋体" w:cs="宋体"/>
          <w:szCs w:val="21"/>
        </w:rPr>
        <w:t>4.4 在形式评审、资格评审、响应性评审中，磋商小组认定供应商的响应文件不符合评标办法前附表中规定的任何一项评审标准的。</w:t>
      </w:r>
    </w:p>
    <w:p w14:paraId="38547F65">
      <w:pPr>
        <w:pStyle w:val="30"/>
        <w:spacing w:line="360" w:lineRule="auto"/>
        <w:ind w:firstLine="210"/>
        <w:rPr>
          <w:rFonts w:hint="eastAsia" w:ascii="宋体" w:hAnsi="宋体" w:eastAsia="宋体" w:cs="宋体"/>
          <w:szCs w:val="21"/>
        </w:rPr>
      </w:pPr>
      <w:r>
        <w:rPr>
          <w:rFonts w:hint="eastAsia" w:ascii="宋体" w:hAnsi="宋体" w:eastAsia="宋体" w:cs="宋体"/>
          <w:szCs w:val="21"/>
        </w:rPr>
        <w:t>4.5 磋商小组认定供应商以低于成本报价竞标的。</w:t>
      </w:r>
    </w:p>
    <w:p w14:paraId="1FB5C98D">
      <w:pPr>
        <w:rPr>
          <w:rFonts w:hint="eastAsia" w:ascii="宋体" w:hAnsi="宋体" w:eastAsia="宋体" w:cs="宋体"/>
          <w:b/>
          <w:sz w:val="32"/>
        </w:rPr>
      </w:pPr>
      <w:bookmarkStart w:id="370" w:name="_Toc31883"/>
      <w:bookmarkStart w:id="371" w:name="_Toc45177862"/>
      <w:r>
        <w:rPr>
          <w:rFonts w:hint="eastAsia" w:ascii="宋体" w:hAnsi="宋体" w:eastAsia="宋体" w:cs="宋体"/>
          <w:b/>
          <w:sz w:val="32"/>
        </w:rPr>
        <w:br w:type="page"/>
      </w:r>
    </w:p>
    <w:p w14:paraId="77761206">
      <w:pPr>
        <w:jc w:val="center"/>
        <w:outlineLvl w:val="0"/>
        <w:rPr>
          <w:rFonts w:hint="eastAsia" w:ascii="宋体" w:hAnsi="宋体" w:eastAsia="宋体" w:cs="宋体"/>
          <w:b/>
          <w:sz w:val="32"/>
        </w:rPr>
      </w:pPr>
      <w:bookmarkStart w:id="372" w:name="_Toc29830"/>
      <w:r>
        <w:rPr>
          <w:rFonts w:hint="eastAsia" w:ascii="宋体" w:hAnsi="宋体" w:eastAsia="宋体" w:cs="宋体"/>
          <w:b/>
          <w:sz w:val="32"/>
        </w:rPr>
        <w:t>第四章  合同条款及格式</w:t>
      </w:r>
      <w:bookmarkEnd w:id="370"/>
      <w:bookmarkEnd w:id="371"/>
      <w:bookmarkEnd w:id="372"/>
    </w:p>
    <w:p w14:paraId="72AAD793">
      <w:pPr>
        <w:adjustRightInd w:val="0"/>
        <w:snapToGrid w:val="0"/>
        <w:spacing w:line="420" w:lineRule="exact"/>
        <w:ind w:firstLine="485" w:firstLineChars="230"/>
        <w:jc w:val="center"/>
        <w:rPr>
          <w:rFonts w:hint="eastAsia" w:ascii="宋体" w:hAnsi="宋体" w:eastAsia="宋体" w:cs="宋体"/>
          <w:b/>
          <w:sz w:val="21"/>
          <w:szCs w:val="21"/>
        </w:rPr>
      </w:pPr>
      <w:bookmarkStart w:id="373" w:name="_Toc6896247"/>
      <w:r>
        <w:rPr>
          <w:rFonts w:hint="eastAsia" w:ascii="宋体" w:hAnsi="宋体" w:eastAsia="宋体" w:cs="宋体"/>
          <w:b/>
          <w:sz w:val="21"/>
          <w:szCs w:val="21"/>
        </w:rPr>
        <w:t>（仅供参考，以实际签订为准）</w:t>
      </w:r>
    </w:p>
    <w:p w14:paraId="6F8CEBC9">
      <w:pPr>
        <w:pStyle w:val="31"/>
        <w:ind w:left="480"/>
        <w:rPr>
          <w:rFonts w:hint="eastAsia" w:ascii="宋体" w:hAnsi="宋体" w:cs="宋体"/>
        </w:rPr>
      </w:pPr>
    </w:p>
    <w:p w14:paraId="6EB0BE7A">
      <w:pPr>
        <w:spacing w:line="360" w:lineRule="auto"/>
        <w:ind w:firstLine="420"/>
        <w:rPr>
          <w:rFonts w:hint="eastAsia" w:ascii="宋体" w:hAnsi="宋体" w:eastAsia="宋体" w:cs="宋体"/>
          <w:sz w:val="21"/>
          <w:szCs w:val="21"/>
          <w:u w:val="single"/>
        </w:rPr>
      </w:pPr>
      <w:r>
        <w:rPr>
          <w:rFonts w:hint="eastAsia" w:ascii="宋体" w:hAnsi="宋体" w:eastAsia="宋体" w:cs="宋体"/>
          <w:sz w:val="21"/>
          <w:szCs w:val="21"/>
        </w:rPr>
        <w:t>采购人（甲方）：</w:t>
      </w:r>
      <w:r>
        <w:rPr>
          <w:rFonts w:hint="eastAsia" w:ascii="宋体" w:hAnsi="宋体" w:eastAsia="宋体" w:cs="宋体"/>
          <w:sz w:val="21"/>
          <w:szCs w:val="21"/>
          <w:u w:val="single"/>
        </w:rPr>
        <w:t xml:space="preserve">                            </w:t>
      </w:r>
    </w:p>
    <w:p w14:paraId="46A21A29">
      <w:pPr>
        <w:spacing w:line="360" w:lineRule="auto"/>
        <w:ind w:firstLine="420"/>
        <w:rPr>
          <w:rFonts w:hint="eastAsia" w:ascii="宋体" w:hAnsi="宋体" w:eastAsia="宋体" w:cs="宋体"/>
          <w:sz w:val="21"/>
          <w:szCs w:val="21"/>
        </w:rPr>
      </w:pPr>
      <w:r>
        <w:rPr>
          <w:rFonts w:hint="eastAsia" w:ascii="宋体" w:hAnsi="宋体" w:eastAsia="宋体" w:cs="宋体"/>
          <w:sz w:val="21"/>
          <w:szCs w:val="21"/>
        </w:rPr>
        <w:t>供应商（乙方）：</w:t>
      </w:r>
      <w:r>
        <w:rPr>
          <w:rFonts w:hint="eastAsia" w:ascii="宋体" w:hAnsi="宋体" w:eastAsia="宋体" w:cs="宋体"/>
          <w:sz w:val="21"/>
          <w:szCs w:val="21"/>
          <w:u w:val="single"/>
        </w:rPr>
        <w:t xml:space="preserve">                            </w:t>
      </w:r>
    </w:p>
    <w:p w14:paraId="203BD84D">
      <w:pPr>
        <w:spacing w:line="360" w:lineRule="auto"/>
        <w:ind w:firstLine="420"/>
        <w:rPr>
          <w:rFonts w:hint="eastAsia" w:ascii="宋体" w:hAnsi="宋体" w:eastAsia="宋体" w:cs="宋体"/>
          <w:sz w:val="21"/>
          <w:szCs w:val="21"/>
        </w:rPr>
      </w:pPr>
      <w:r>
        <w:rPr>
          <w:rFonts w:hint="eastAsia" w:ascii="宋体" w:hAnsi="宋体" w:eastAsia="宋体" w:cs="宋体"/>
          <w:sz w:val="21"/>
          <w:szCs w:val="21"/>
        </w:rPr>
        <w:t xml:space="preserve"> </w:t>
      </w:r>
    </w:p>
    <w:p w14:paraId="297128C8">
      <w:pPr>
        <w:spacing w:line="360" w:lineRule="auto"/>
        <w:ind w:firstLine="420"/>
        <w:rPr>
          <w:rFonts w:hint="eastAsia" w:ascii="宋体" w:hAnsi="宋体" w:eastAsia="宋体" w:cs="宋体"/>
          <w:sz w:val="21"/>
          <w:szCs w:val="21"/>
        </w:rPr>
      </w:pPr>
      <w:r>
        <w:rPr>
          <w:rFonts w:hint="eastAsia" w:ascii="宋体" w:hAnsi="宋体" w:eastAsia="宋体" w:cs="宋体"/>
          <w:sz w:val="21"/>
          <w:szCs w:val="21"/>
        </w:rPr>
        <w:t>依照《中华人民共和国民法典合同编》《中华人民共和国政府采购法》及国家的有关法律、行政法规，遵循平等、自愿、公平和诚实信用的原则，按照现行有关法律、法规，双方协商一致，订立本合同。</w:t>
      </w:r>
    </w:p>
    <w:p w14:paraId="2EC22F62">
      <w:pPr>
        <w:spacing w:line="360" w:lineRule="auto"/>
        <w:ind w:firstLine="420"/>
        <w:rPr>
          <w:rFonts w:hint="eastAsia" w:ascii="宋体" w:hAnsi="宋体" w:eastAsia="宋体" w:cs="宋体"/>
          <w:sz w:val="21"/>
          <w:szCs w:val="21"/>
        </w:rPr>
      </w:pPr>
      <w:r>
        <w:rPr>
          <w:rFonts w:hint="eastAsia" w:ascii="宋体" w:hAnsi="宋体" w:eastAsia="宋体" w:cs="宋体"/>
          <w:sz w:val="21"/>
          <w:szCs w:val="21"/>
        </w:rPr>
        <w:t>一、本合同名称：</w:t>
      </w:r>
      <w:r>
        <w:rPr>
          <w:rFonts w:hint="eastAsia" w:ascii="宋体" w:hAnsi="宋体" w:eastAsia="宋体" w:cs="宋体"/>
          <w:sz w:val="21"/>
          <w:szCs w:val="21"/>
          <w:u w:val="single"/>
        </w:rPr>
        <w:t xml:space="preserve">                                      </w:t>
      </w:r>
    </w:p>
    <w:p w14:paraId="6B868D21">
      <w:pPr>
        <w:spacing w:line="360" w:lineRule="auto"/>
        <w:ind w:firstLine="420"/>
        <w:rPr>
          <w:rFonts w:hint="eastAsia" w:ascii="宋体" w:hAnsi="宋体" w:eastAsia="宋体" w:cs="宋体"/>
          <w:sz w:val="21"/>
          <w:szCs w:val="21"/>
        </w:rPr>
      </w:pPr>
      <w:r>
        <w:rPr>
          <w:rFonts w:hint="eastAsia" w:ascii="宋体" w:hAnsi="宋体" w:eastAsia="宋体" w:cs="宋体"/>
          <w:sz w:val="21"/>
          <w:szCs w:val="21"/>
        </w:rPr>
        <w:t>二、本合同总价：</w:t>
      </w:r>
      <w:r>
        <w:rPr>
          <w:rFonts w:hint="eastAsia" w:ascii="宋体" w:hAnsi="宋体" w:eastAsia="宋体" w:cs="宋体"/>
          <w:sz w:val="21"/>
          <w:szCs w:val="21"/>
          <w:u w:val="single"/>
        </w:rPr>
        <w:t xml:space="preserve">                                      </w:t>
      </w:r>
    </w:p>
    <w:p w14:paraId="5A235A1D">
      <w:pPr>
        <w:spacing w:line="360" w:lineRule="auto"/>
        <w:ind w:firstLine="420"/>
        <w:rPr>
          <w:rFonts w:hint="eastAsia" w:ascii="宋体" w:hAnsi="宋体" w:eastAsia="宋体" w:cs="宋体"/>
          <w:sz w:val="21"/>
          <w:szCs w:val="21"/>
        </w:rPr>
      </w:pPr>
      <w:r>
        <w:rPr>
          <w:rFonts w:hint="eastAsia" w:ascii="宋体" w:hAnsi="宋体" w:eastAsia="宋体" w:cs="宋体"/>
          <w:sz w:val="21"/>
          <w:szCs w:val="21"/>
        </w:rPr>
        <w:t>三、服务标准：</w:t>
      </w:r>
      <w:r>
        <w:rPr>
          <w:rFonts w:hint="eastAsia" w:ascii="宋体" w:hAnsi="宋体" w:eastAsia="宋体" w:cs="宋体"/>
          <w:sz w:val="21"/>
          <w:szCs w:val="21"/>
          <w:u w:val="single"/>
        </w:rPr>
        <w:t xml:space="preserve">                                       </w:t>
      </w:r>
    </w:p>
    <w:p w14:paraId="5187CA94">
      <w:pPr>
        <w:spacing w:line="360" w:lineRule="auto"/>
        <w:ind w:firstLine="420"/>
        <w:rPr>
          <w:rFonts w:hint="eastAsia" w:ascii="宋体" w:hAnsi="宋体" w:eastAsia="宋体" w:cs="宋体"/>
          <w:sz w:val="21"/>
          <w:szCs w:val="21"/>
        </w:rPr>
      </w:pPr>
      <w:r>
        <w:rPr>
          <w:rFonts w:hint="eastAsia" w:ascii="宋体" w:hAnsi="宋体" w:eastAsia="宋体" w:cs="宋体"/>
          <w:sz w:val="21"/>
          <w:szCs w:val="21"/>
        </w:rPr>
        <w:t>四、服务期限：</w:t>
      </w:r>
      <w:r>
        <w:rPr>
          <w:rFonts w:hint="eastAsia" w:ascii="宋体" w:hAnsi="宋体" w:eastAsia="宋体" w:cs="宋体"/>
          <w:sz w:val="21"/>
          <w:szCs w:val="21"/>
          <w:u w:val="single"/>
        </w:rPr>
        <w:t xml:space="preserve">                                       </w:t>
      </w:r>
    </w:p>
    <w:p w14:paraId="7B8B0124">
      <w:pPr>
        <w:spacing w:line="360" w:lineRule="auto"/>
        <w:ind w:firstLine="420"/>
        <w:rPr>
          <w:rFonts w:hint="eastAsia" w:ascii="宋体" w:hAnsi="宋体" w:eastAsia="宋体" w:cs="宋体"/>
          <w:sz w:val="21"/>
          <w:szCs w:val="21"/>
        </w:rPr>
      </w:pPr>
      <w:r>
        <w:rPr>
          <w:rFonts w:hint="eastAsia" w:ascii="宋体" w:hAnsi="宋体" w:eastAsia="宋体" w:cs="宋体"/>
          <w:sz w:val="21"/>
          <w:szCs w:val="21"/>
        </w:rPr>
        <w:t>五、付款方式：</w:t>
      </w:r>
      <w:r>
        <w:rPr>
          <w:rFonts w:hint="eastAsia" w:ascii="宋体" w:hAnsi="宋体" w:eastAsia="宋体" w:cs="宋体"/>
          <w:sz w:val="21"/>
          <w:szCs w:val="21"/>
          <w:u w:val="single"/>
        </w:rPr>
        <w:t xml:space="preserve">                                       </w:t>
      </w:r>
    </w:p>
    <w:p w14:paraId="23614BC2">
      <w:pPr>
        <w:spacing w:line="360" w:lineRule="auto"/>
        <w:ind w:firstLine="420"/>
        <w:rPr>
          <w:rFonts w:hint="eastAsia" w:ascii="宋体" w:hAnsi="宋体" w:eastAsia="宋体" w:cs="宋体"/>
          <w:sz w:val="21"/>
          <w:szCs w:val="21"/>
        </w:rPr>
      </w:pPr>
      <w:r>
        <w:rPr>
          <w:rFonts w:hint="eastAsia" w:ascii="宋体" w:hAnsi="宋体" w:eastAsia="宋体" w:cs="宋体"/>
          <w:sz w:val="21"/>
          <w:szCs w:val="21"/>
        </w:rPr>
        <w:t>六、验收事项：</w:t>
      </w:r>
    </w:p>
    <w:p w14:paraId="28871F98">
      <w:pPr>
        <w:spacing w:line="360" w:lineRule="auto"/>
        <w:ind w:firstLine="420"/>
        <w:rPr>
          <w:rFonts w:hint="eastAsia" w:ascii="宋体" w:hAnsi="宋体" w:eastAsia="宋体" w:cs="宋体"/>
          <w:sz w:val="21"/>
          <w:szCs w:val="21"/>
        </w:rPr>
      </w:pPr>
      <w:r>
        <w:rPr>
          <w:rFonts w:hint="eastAsia" w:ascii="宋体" w:hAnsi="宋体" w:eastAsia="宋体" w:cs="宋体"/>
          <w:sz w:val="21"/>
          <w:szCs w:val="21"/>
        </w:rPr>
        <w:t>1、验收要求：</w:t>
      </w:r>
      <w:r>
        <w:rPr>
          <w:rFonts w:hint="eastAsia" w:ascii="宋体" w:hAnsi="宋体" w:eastAsia="宋体" w:cs="宋体"/>
          <w:sz w:val="21"/>
          <w:szCs w:val="21"/>
          <w:u w:val="single"/>
        </w:rPr>
        <w:t xml:space="preserve">                                            </w:t>
      </w:r>
      <w:r>
        <w:rPr>
          <w:rFonts w:hint="eastAsia" w:ascii="宋体" w:hAnsi="宋体" w:eastAsia="宋体" w:cs="宋体"/>
          <w:sz w:val="21"/>
          <w:szCs w:val="21"/>
        </w:rPr>
        <w:t>。</w:t>
      </w:r>
    </w:p>
    <w:p w14:paraId="039C3A78">
      <w:pPr>
        <w:spacing w:line="360" w:lineRule="auto"/>
        <w:ind w:firstLine="420"/>
        <w:rPr>
          <w:rFonts w:hint="eastAsia" w:ascii="宋体" w:hAnsi="宋体" w:eastAsia="宋体" w:cs="宋体"/>
          <w:sz w:val="21"/>
          <w:szCs w:val="21"/>
        </w:rPr>
      </w:pPr>
      <w:r>
        <w:rPr>
          <w:rFonts w:hint="eastAsia" w:ascii="宋体" w:hAnsi="宋体" w:eastAsia="宋体" w:cs="宋体"/>
          <w:sz w:val="21"/>
          <w:szCs w:val="21"/>
        </w:rPr>
        <w:t>2、验收结果确认：</w:t>
      </w:r>
      <w:r>
        <w:rPr>
          <w:rFonts w:hint="eastAsia" w:ascii="宋体" w:hAnsi="宋体" w:eastAsia="宋体" w:cs="宋体"/>
          <w:sz w:val="21"/>
          <w:szCs w:val="21"/>
          <w:u w:val="single"/>
        </w:rPr>
        <w:t xml:space="preserve">                                        </w:t>
      </w:r>
      <w:r>
        <w:rPr>
          <w:rFonts w:hint="eastAsia" w:ascii="宋体" w:hAnsi="宋体" w:eastAsia="宋体" w:cs="宋体"/>
          <w:sz w:val="21"/>
          <w:szCs w:val="21"/>
        </w:rPr>
        <w:t>。</w:t>
      </w:r>
    </w:p>
    <w:p w14:paraId="3E67C779">
      <w:pPr>
        <w:spacing w:line="360" w:lineRule="auto"/>
        <w:ind w:firstLine="420"/>
        <w:rPr>
          <w:rFonts w:hint="eastAsia" w:ascii="宋体" w:hAnsi="宋体" w:eastAsia="宋体" w:cs="宋体"/>
          <w:sz w:val="21"/>
          <w:szCs w:val="21"/>
        </w:rPr>
      </w:pPr>
      <w:r>
        <w:rPr>
          <w:rFonts w:hint="eastAsia" w:ascii="宋体" w:hAnsi="宋体" w:eastAsia="宋体" w:cs="宋体"/>
          <w:sz w:val="21"/>
          <w:szCs w:val="21"/>
        </w:rPr>
        <w:t>3、验收标准和方法：</w:t>
      </w:r>
      <w:r>
        <w:rPr>
          <w:rFonts w:hint="eastAsia" w:ascii="宋体" w:hAnsi="宋体" w:eastAsia="宋体" w:cs="宋体"/>
          <w:sz w:val="21"/>
          <w:szCs w:val="21"/>
          <w:u w:val="single"/>
        </w:rPr>
        <w:t xml:space="preserve">                                      </w:t>
      </w:r>
      <w:r>
        <w:rPr>
          <w:rFonts w:hint="eastAsia" w:ascii="宋体" w:hAnsi="宋体" w:eastAsia="宋体" w:cs="宋体"/>
          <w:sz w:val="21"/>
          <w:szCs w:val="21"/>
        </w:rPr>
        <w:t>。</w:t>
      </w:r>
    </w:p>
    <w:p w14:paraId="1794D9A2">
      <w:pPr>
        <w:spacing w:line="360" w:lineRule="auto"/>
        <w:ind w:firstLine="420"/>
        <w:rPr>
          <w:rFonts w:hint="eastAsia" w:ascii="宋体" w:hAnsi="宋体" w:eastAsia="宋体" w:cs="宋体"/>
          <w:sz w:val="21"/>
          <w:szCs w:val="21"/>
        </w:rPr>
      </w:pPr>
      <w:r>
        <w:rPr>
          <w:rFonts w:hint="eastAsia" w:ascii="宋体" w:hAnsi="宋体" w:eastAsia="宋体" w:cs="宋体"/>
          <w:sz w:val="21"/>
          <w:szCs w:val="21"/>
        </w:rPr>
        <w:t>七、双方权利义务</w:t>
      </w:r>
    </w:p>
    <w:p w14:paraId="5ABA5086">
      <w:pPr>
        <w:spacing w:line="360" w:lineRule="auto"/>
        <w:ind w:firstLine="420"/>
        <w:rPr>
          <w:rFonts w:hint="eastAsia" w:ascii="宋体" w:hAnsi="宋体" w:eastAsia="宋体" w:cs="宋体"/>
          <w:sz w:val="21"/>
          <w:szCs w:val="21"/>
        </w:rPr>
      </w:pPr>
      <w:r>
        <w:rPr>
          <w:rFonts w:hint="eastAsia" w:ascii="宋体" w:hAnsi="宋体" w:eastAsia="宋体" w:cs="宋体"/>
          <w:sz w:val="21"/>
          <w:szCs w:val="21"/>
        </w:rPr>
        <w:t>1、甲方权利义务：</w:t>
      </w:r>
    </w:p>
    <w:p w14:paraId="7FC9BC7C">
      <w:pPr>
        <w:spacing w:line="360" w:lineRule="auto"/>
        <w:ind w:firstLine="420"/>
        <w:rPr>
          <w:rFonts w:hint="eastAsia" w:ascii="宋体" w:hAnsi="宋体" w:eastAsia="宋体" w:cs="宋体"/>
          <w:sz w:val="21"/>
          <w:szCs w:val="21"/>
        </w:rPr>
      </w:pPr>
      <w:r>
        <w:rPr>
          <w:rFonts w:hint="eastAsia" w:ascii="宋体" w:hAnsi="宋体" w:eastAsia="宋体" w:cs="宋体"/>
          <w:sz w:val="21"/>
          <w:szCs w:val="21"/>
        </w:rPr>
        <w:t>1.1甲方负责项目全面管理。</w:t>
      </w:r>
    </w:p>
    <w:p w14:paraId="4D0139E8">
      <w:pPr>
        <w:spacing w:line="360" w:lineRule="auto"/>
        <w:ind w:firstLine="420"/>
        <w:rPr>
          <w:rFonts w:hint="eastAsia" w:ascii="宋体" w:hAnsi="宋体" w:eastAsia="宋体" w:cs="宋体"/>
          <w:sz w:val="21"/>
          <w:szCs w:val="21"/>
        </w:rPr>
      </w:pPr>
      <w:r>
        <w:rPr>
          <w:rFonts w:hint="eastAsia" w:ascii="宋体" w:hAnsi="宋体" w:eastAsia="宋体" w:cs="宋体"/>
          <w:sz w:val="21"/>
          <w:szCs w:val="21"/>
        </w:rPr>
        <w:t>1.2甲方按合同约定支付合同价款。</w:t>
      </w:r>
    </w:p>
    <w:p w14:paraId="05A257E1">
      <w:pPr>
        <w:spacing w:line="360" w:lineRule="auto"/>
        <w:ind w:firstLine="420"/>
        <w:rPr>
          <w:rFonts w:hint="eastAsia" w:ascii="宋体" w:hAnsi="宋体" w:eastAsia="宋体" w:cs="宋体"/>
          <w:sz w:val="21"/>
          <w:szCs w:val="21"/>
        </w:rPr>
      </w:pPr>
      <w:r>
        <w:rPr>
          <w:rFonts w:hint="eastAsia" w:ascii="宋体" w:hAnsi="宋体" w:eastAsia="宋体" w:cs="宋体"/>
          <w:sz w:val="21"/>
          <w:szCs w:val="21"/>
        </w:rPr>
        <w:t>1.3甲方负责监督本项目的服务相关事项。</w:t>
      </w:r>
    </w:p>
    <w:p w14:paraId="1633DBDE">
      <w:pPr>
        <w:spacing w:line="360" w:lineRule="auto"/>
        <w:ind w:firstLine="420"/>
        <w:rPr>
          <w:rFonts w:hint="eastAsia" w:ascii="宋体" w:hAnsi="宋体" w:eastAsia="宋体" w:cs="宋体"/>
          <w:sz w:val="21"/>
          <w:szCs w:val="21"/>
        </w:rPr>
      </w:pPr>
      <w:r>
        <w:rPr>
          <w:rFonts w:hint="eastAsia" w:ascii="宋体" w:hAnsi="宋体" w:eastAsia="宋体" w:cs="宋体"/>
          <w:sz w:val="21"/>
          <w:szCs w:val="21"/>
        </w:rPr>
        <w:t>2、乙方权利义务：</w:t>
      </w:r>
    </w:p>
    <w:p w14:paraId="10E4C53B">
      <w:pPr>
        <w:spacing w:line="360" w:lineRule="auto"/>
        <w:ind w:firstLine="420"/>
        <w:rPr>
          <w:rFonts w:hint="eastAsia" w:ascii="宋体" w:hAnsi="宋体" w:eastAsia="宋体" w:cs="宋体"/>
          <w:sz w:val="21"/>
          <w:szCs w:val="21"/>
        </w:rPr>
      </w:pPr>
      <w:r>
        <w:rPr>
          <w:rFonts w:hint="eastAsia" w:ascii="宋体" w:hAnsi="宋体" w:eastAsia="宋体" w:cs="宋体"/>
          <w:sz w:val="21"/>
          <w:szCs w:val="21"/>
        </w:rPr>
        <w:t>2.1乙方在合同履行过程中，应严格按照本项目服务要求和国家现行的相关要求以及响应文件内容提供服务事项，接受甲方（或甲方指定的第三方）的监督、管理和抽查，并在任何时候都应接受甲方关于本项目的相关咨询。</w:t>
      </w:r>
    </w:p>
    <w:p w14:paraId="4689CF6F">
      <w:pPr>
        <w:spacing w:line="360" w:lineRule="auto"/>
        <w:ind w:firstLine="420"/>
        <w:rPr>
          <w:rFonts w:hint="eastAsia" w:ascii="宋体" w:hAnsi="宋体" w:eastAsia="宋体" w:cs="宋体"/>
          <w:sz w:val="21"/>
          <w:szCs w:val="21"/>
        </w:rPr>
      </w:pPr>
      <w:r>
        <w:rPr>
          <w:rFonts w:hint="eastAsia" w:ascii="宋体" w:hAnsi="宋体" w:eastAsia="宋体" w:cs="宋体"/>
          <w:sz w:val="21"/>
          <w:szCs w:val="21"/>
        </w:rPr>
        <w:t>2.2乙方在合同履行过程中，应根据甲方指令，安排相关服务进度。</w:t>
      </w:r>
    </w:p>
    <w:p w14:paraId="124EFC19">
      <w:pPr>
        <w:spacing w:line="360" w:lineRule="auto"/>
        <w:ind w:firstLine="420"/>
        <w:rPr>
          <w:rFonts w:hint="eastAsia" w:ascii="宋体" w:hAnsi="宋体" w:eastAsia="宋体" w:cs="宋体"/>
          <w:sz w:val="21"/>
          <w:szCs w:val="21"/>
        </w:rPr>
      </w:pPr>
      <w:r>
        <w:rPr>
          <w:rFonts w:hint="eastAsia" w:ascii="宋体" w:hAnsi="宋体" w:eastAsia="宋体" w:cs="宋体"/>
          <w:sz w:val="21"/>
          <w:szCs w:val="21"/>
        </w:rPr>
        <w:t>2.3乙方在合同履行过程中，应加强服务人员的安全教育，做好相应的安全保障，确保安全。在服务过程中发生的由于乙方的原因造成的一切安全事故责任，一律由乙方负责，并承担相应的经济责任。</w:t>
      </w:r>
    </w:p>
    <w:p w14:paraId="7AFBA1FD">
      <w:pPr>
        <w:spacing w:line="360" w:lineRule="auto"/>
        <w:ind w:firstLine="420"/>
        <w:rPr>
          <w:rFonts w:hint="eastAsia" w:ascii="宋体" w:hAnsi="宋体" w:eastAsia="宋体" w:cs="宋体"/>
          <w:sz w:val="21"/>
          <w:szCs w:val="21"/>
        </w:rPr>
      </w:pPr>
      <w:r>
        <w:rPr>
          <w:rFonts w:hint="eastAsia" w:ascii="宋体" w:hAnsi="宋体" w:eastAsia="宋体" w:cs="宋体"/>
          <w:sz w:val="21"/>
          <w:szCs w:val="21"/>
        </w:rPr>
        <w:t>八、违约责任：乙方所交付的服务成果未符合本合同规定或未按要求履行合同义务时，甲方有权拒绝验收，乙方在得到甲方通知之日起2个工作日内采取补救措施，逾期仍未采取有效措施的，甲方有权要求乙方赔偿因此造成的损失。</w:t>
      </w:r>
    </w:p>
    <w:p w14:paraId="68074ADD">
      <w:pPr>
        <w:spacing w:line="360" w:lineRule="auto"/>
        <w:ind w:firstLine="420"/>
        <w:rPr>
          <w:rFonts w:hint="eastAsia" w:ascii="宋体" w:hAnsi="宋体" w:eastAsia="宋体" w:cs="宋体"/>
          <w:sz w:val="21"/>
          <w:szCs w:val="21"/>
        </w:rPr>
      </w:pPr>
      <w:r>
        <w:rPr>
          <w:rFonts w:hint="eastAsia" w:ascii="宋体" w:hAnsi="宋体" w:eastAsia="宋体" w:cs="宋体"/>
          <w:sz w:val="21"/>
          <w:szCs w:val="21"/>
        </w:rPr>
        <w:t>九、双方应严格遵守采购文件要求，如有违反，按采购文件的规定处理。</w:t>
      </w:r>
    </w:p>
    <w:p w14:paraId="16525D8B">
      <w:pPr>
        <w:spacing w:line="360" w:lineRule="auto"/>
        <w:ind w:firstLine="420"/>
        <w:rPr>
          <w:rFonts w:hint="eastAsia" w:ascii="宋体" w:hAnsi="宋体" w:eastAsia="宋体" w:cs="宋体"/>
          <w:sz w:val="21"/>
          <w:szCs w:val="21"/>
        </w:rPr>
      </w:pPr>
      <w:r>
        <w:rPr>
          <w:rFonts w:hint="eastAsia" w:ascii="宋体" w:hAnsi="宋体" w:eastAsia="宋体" w:cs="宋体"/>
          <w:sz w:val="21"/>
          <w:szCs w:val="21"/>
        </w:rPr>
        <w:t>十、本合同签订和履行适用中华人民共和国法律，因履行合同发生的争议，由双方友好协商解决，如协商不成的，任何一方均可向签订合同地人民法院提起诉讼。</w:t>
      </w:r>
    </w:p>
    <w:p w14:paraId="4B49C8C6">
      <w:pPr>
        <w:spacing w:line="360" w:lineRule="auto"/>
        <w:ind w:firstLine="420"/>
        <w:rPr>
          <w:rFonts w:hint="eastAsia" w:ascii="宋体" w:hAnsi="宋体" w:eastAsia="宋体" w:cs="宋体"/>
          <w:sz w:val="21"/>
          <w:szCs w:val="21"/>
        </w:rPr>
      </w:pPr>
      <w:r>
        <w:rPr>
          <w:rFonts w:hint="eastAsia" w:ascii="宋体" w:hAnsi="宋体" w:eastAsia="宋体" w:cs="宋体"/>
          <w:sz w:val="21"/>
          <w:szCs w:val="21"/>
        </w:rPr>
        <w:t>十一、本合同未尽事宜，双方可签订补充协议，与本合同具有同等法律效力。</w:t>
      </w:r>
    </w:p>
    <w:p w14:paraId="70831CCD">
      <w:pPr>
        <w:spacing w:line="360" w:lineRule="auto"/>
        <w:ind w:firstLine="420"/>
        <w:rPr>
          <w:rFonts w:hint="eastAsia" w:ascii="宋体" w:hAnsi="宋体" w:eastAsia="宋体" w:cs="宋体"/>
          <w:sz w:val="21"/>
          <w:szCs w:val="21"/>
        </w:rPr>
      </w:pPr>
      <w:r>
        <w:rPr>
          <w:rFonts w:hint="eastAsia" w:ascii="宋体" w:hAnsi="宋体" w:eastAsia="宋体" w:cs="宋体"/>
          <w:sz w:val="21"/>
          <w:szCs w:val="21"/>
        </w:rPr>
        <w:t>十二、合同生效、备案及其它</w:t>
      </w:r>
    </w:p>
    <w:p w14:paraId="5FF66679">
      <w:pPr>
        <w:spacing w:line="360" w:lineRule="auto"/>
        <w:ind w:firstLine="420"/>
        <w:rPr>
          <w:rFonts w:hint="eastAsia" w:ascii="宋体" w:hAnsi="宋体" w:eastAsia="宋体" w:cs="宋体"/>
          <w:sz w:val="21"/>
          <w:szCs w:val="21"/>
        </w:rPr>
      </w:pPr>
      <w:r>
        <w:rPr>
          <w:rFonts w:hint="eastAsia" w:ascii="宋体" w:hAnsi="宋体" w:eastAsia="宋体" w:cs="宋体"/>
          <w:sz w:val="21"/>
          <w:szCs w:val="21"/>
        </w:rPr>
        <w:t>1、本合同经双方代表签字并加盖公章后生效。</w:t>
      </w:r>
    </w:p>
    <w:p w14:paraId="57C40180">
      <w:pPr>
        <w:spacing w:line="360" w:lineRule="auto"/>
        <w:ind w:firstLine="420"/>
        <w:rPr>
          <w:rFonts w:hint="eastAsia" w:ascii="宋体" w:hAnsi="宋体" w:eastAsia="宋体" w:cs="宋体"/>
          <w:sz w:val="21"/>
          <w:szCs w:val="21"/>
        </w:rPr>
      </w:pPr>
      <w:r>
        <w:rPr>
          <w:rFonts w:hint="eastAsia" w:ascii="宋体" w:hAnsi="宋体" w:eastAsia="宋体" w:cs="宋体"/>
          <w:sz w:val="21"/>
          <w:szCs w:val="21"/>
        </w:rPr>
        <w:t>2、甲方应在本合同签订后三个工作日内向监督部门进行备案。</w:t>
      </w:r>
    </w:p>
    <w:p w14:paraId="5941C18A">
      <w:pPr>
        <w:spacing w:line="360" w:lineRule="auto"/>
        <w:ind w:firstLine="600"/>
        <w:rPr>
          <w:rFonts w:hint="eastAsia" w:ascii="宋体" w:hAnsi="宋体" w:eastAsia="宋体" w:cs="宋体"/>
          <w:sz w:val="21"/>
          <w:szCs w:val="21"/>
        </w:rPr>
      </w:pPr>
      <w:r>
        <w:rPr>
          <w:rFonts w:hint="eastAsia" w:ascii="宋体" w:hAnsi="宋体" w:eastAsia="宋体" w:cs="宋体"/>
          <w:sz w:val="21"/>
          <w:szCs w:val="21"/>
        </w:rPr>
        <w:t xml:space="preserve"> </w:t>
      </w:r>
    </w:p>
    <w:p w14:paraId="42F47675">
      <w:pPr>
        <w:pStyle w:val="70"/>
        <w:spacing w:line="360" w:lineRule="auto"/>
        <w:rPr>
          <w:rFonts w:hint="eastAsia" w:ascii="宋体" w:hAnsi="宋体" w:cs="宋体"/>
          <w:bCs/>
        </w:rPr>
      </w:pPr>
      <w:r>
        <w:rPr>
          <w:rFonts w:hint="eastAsia" w:ascii="宋体" w:hAnsi="宋体" w:cs="宋体"/>
          <w:bCs/>
        </w:rPr>
        <w:t xml:space="preserve"> </w:t>
      </w:r>
    </w:p>
    <w:p w14:paraId="4AE20C63">
      <w:pPr>
        <w:spacing w:line="360" w:lineRule="auto"/>
        <w:ind w:firstLine="420"/>
        <w:rPr>
          <w:rFonts w:hint="eastAsia" w:ascii="宋体" w:hAnsi="宋体" w:eastAsia="宋体" w:cs="宋体"/>
          <w:sz w:val="21"/>
          <w:szCs w:val="21"/>
        </w:rPr>
      </w:pPr>
      <w:r>
        <w:rPr>
          <w:rFonts w:hint="eastAsia" w:ascii="宋体" w:hAnsi="宋体" w:eastAsia="宋体" w:cs="宋体"/>
          <w:sz w:val="21"/>
          <w:szCs w:val="21"/>
        </w:rPr>
        <w:t>甲方（公章）：                            乙方（公章）：</w:t>
      </w:r>
    </w:p>
    <w:p w14:paraId="103F2053">
      <w:pPr>
        <w:spacing w:line="360" w:lineRule="auto"/>
        <w:ind w:firstLine="420"/>
        <w:rPr>
          <w:rFonts w:hint="eastAsia" w:ascii="宋体" w:hAnsi="宋体" w:eastAsia="宋体" w:cs="宋体"/>
          <w:sz w:val="21"/>
          <w:szCs w:val="21"/>
        </w:rPr>
      </w:pPr>
      <w:r>
        <w:rPr>
          <w:rFonts w:hint="eastAsia" w:ascii="宋体" w:hAnsi="宋体" w:eastAsia="宋体" w:cs="宋体"/>
          <w:sz w:val="21"/>
          <w:szCs w:val="21"/>
        </w:rPr>
        <w:t>地址：                                    地址：</w:t>
      </w:r>
    </w:p>
    <w:p w14:paraId="5A8D5965">
      <w:pPr>
        <w:spacing w:line="360" w:lineRule="auto"/>
        <w:ind w:firstLine="420"/>
        <w:rPr>
          <w:rFonts w:hint="eastAsia" w:ascii="宋体" w:hAnsi="宋体" w:eastAsia="宋体" w:cs="宋体"/>
          <w:sz w:val="21"/>
          <w:szCs w:val="21"/>
        </w:rPr>
      </w:pPr>
      <w:r>
        <w:rPr>
          <w:rFonts w:hint="eastAsia" w:ascii="宋体" w:hAnsi="宋体" w:eastAsia="宋体" w:cs="宋体"/>
          <w:sz w:val="21"/>
          <w:szCs w:val="21"/>
        </w:rPr>
        <w:t>法定代表人（或负责人）或                  法定代表人（或负责人）或</w:t>
      </w:r>
    </w:p>
    <w:p w14:paraId="7480C7D1">
      <w:pPr>
        <w:spacing w:line="360" w:lineRule="auto"/>
        <w:ind w:firstLine="420"/>
        <w:rPr>
          <w:rFonts w:hint="eastAsia" w:ascii="宋体" w:hAnsi="宋体" w:eastAsia="宋体" w:cs="宋体"/>
          <w:sz w:val="21"/>
          <w:szCs w:val="21"/>
        </w:rPr>
      </w:pPr>
      <w:r>
        <w:rPr>
          <w:rFonts w:hint="eastAsia" w:ascii="宋体" w:hAnsi="宋体" w:eastAsia="宋体" w:cs="宋体"/>
          <w:sz w:val="21"/>
          <w:szCs w:val="21"/>
        </w:rPr>
        <w:t>委托代理人（签字）：                      委托代理人（签字）：</w:t>
      </w:r>
    </w:p>
    <w:p w14:paraId="4EAFAF55">
      <w:pPr>
        <w:spacing w:line="360" w:lineRule="auto"/>
        <w:ind w:firstLine="420"/>
        <w:rPr>
          <w:rFonts w:hint="eastAsia" w:ascii="宋体" w:hAnsi="宋体" w:eastAsia="宋体" w:cs="宋体"/>
          <w:sz w:val="21"/>
          <w:szCs w:val="21"/>
        </w:rPr>
      </w:pPr>
      <w:r>
        <w:rPr>
          <w:rFonts w:hint="eastAsia" w:ascii="宋体" w:hAnsi="宋体" w:eastAsia="宋体" w:cs="宋体"/>
          <w:sz w:val="21"/>
          <w:szCs w:val="21"/>
        </w:rPr>
        <w:t>电话：                                    电话：</w:t>
      </w:r>
    </w:p>
    <w:p w14:paraId="71C8220A">
      <w:pPr>
        <w:spacing w:line="360" w:lineRule="auto"/>
        <w:ind w:firstLine="420"/>
        <w:rPr>
          <w:rFonts w:hint="eastAsia" w:ascii="宋体" w:hAnsi="宋体" w:eastAsia="宋体" w:cs="宋体"/>
          <w:sz w:val="21"/>
          <w:szCs w:val="21"/>
        </w:rPr>
      </w:pPr>
      <w:r>
        <w:rPr>
          <w:rFonts w:hint="eastAsia" w:ascii="宋体" w:hAnsi="宋体" w:eastAsia="宋体" w:cs="宋体"/>
          <w:sz w:val="21"/>
          <w:szCs w:val="21"/>
        </w:rPr>
        <w:t>开户银行：                                开户银行：</w:t>
      </w:r>
    </w:p>
    <w:p w14:paraId="41F5DEBE">
      <w:pPr>
        <w:spacing w:line="360" w:lineRule="auto"/>
        <w:ind w:firstLine="420"/>
        <w:rPr>
          <w:rFonts w:hint="eastAsia" w:ascii="宋体" w:hAnsi="宋体" w:eastAsia="宋体" w:cs="宋体"/>
          <w:sz w:val="21"/>
          <w:szCs w:val="21"/>
        </w:rPr>
      </w:pPr>
      <w:r>
        <w:rPr>
          <w:rFonts w:hint="eastAsia" w:ascii="宋体" w:hAnsi="宋体" w:eastAsia="宋体" w:cs="宋体"/>
          <w:sz w:val="21"/>
          <w:szCs w:val="21"/>
        </w:rPr>
        <w:t>账号：                                    账号：</w:t>
      </w:r>
    </w:p>
    <w:p w14:paraId="205423F2">
      <w:pPr>
        <w:pStyle w:val="138"/>
        <w:spacing w:line="360" w:lineRule="auto"/>
        <w:rPr>
          <w:rFonts w:hint="eastAsia" w:ascii="宋体" w:hAnsi="宋体" w:eastAsia="宋体" w:cs="宋体"/>
          <w:sz w:val="21"/>
          <w:szCs w:val="21"/>
        </w:rPr>
      </w:pPr>
      <w:r>
        <w:rPr>
          <w:rFonts w:hint="eastAsia" w:ascii="宋体" w:hAnsi="宋体" w:eastAsia="宋体" w:cs="宋体"/>
          <w:sz w:val="21"/>
          <w:szCs w:val="21"/>
        </w:rPr>
        <w:t>签订时间：     年   月   日               签订时间：     年   月   日</w:t>
      </w:r>
    </w:p>
    <w:p w14:paraId="631267E2">
      <w:pPr>
        <w:spacing w:line="360" w:lineRule="auto"/>
        <w:rPr>
          <w:rFonts w:hint="eastAsia" w:ascii="宋体" w:hAnsi="宋体" w:eastAsia="宋体" w:cs="宋体"/>
          <w:b/>
          <w:szCs w:val="21"/>
        </w:rPr>
      </w:pPr>
    </w:p>
    <w:p w14:paraId="785A669D">
      <w:pPr>
        <w:pStyle w:val="31"/>
        <w:ind w:left="480"/>
        <w:rPr>
          <w:rFonts w:hint="eastAsia" w:ascii="宋体" w:hAnsi="宋体" w:cs="宋体"/>
        </w:rPr>
      </w:pPr>
      <w:bookmarkStart w:id="374" w:name="page36"/>
      <w:bookmarkEnd w:id="374"/>
    </w:p>
    <w:bookmarkEnd w:id="373"/>
    <w:p w14:paraId="13F3EEE1">
      <w:pPr>
        <w:widowControl/>
        <w:jc w:val="left"/>
        <w:rPr>
          <w:rFonts w:hint="eastAsia" w:ascii="宋体" w:hAnsi="宋体" w:eastAsia="宋体" w:cs="宋体"/>
          <w:b/>
          <w:sz w:val="32"/>
        </w:rPr>
      </w:pPr>
      <w:bookmarkStart w:id="375" w:name="_Toc45177863"/>
      <w:bookmarkStart w:id="376" w:name="_Toc11081"/>
      <w:r>
        <w:rPr>
          <w:rFonts w:hint="eastAsia" w:ascii="宋体" w:hAnsi="宋体" w:eastAsia="宋体" w:cs="宋体"/>
          <w:b/>
          <w:sz w:val="32"/>
        </w:rPr>
        <w:br w:type="page"/>
      </w:r>
    </w:p>
    <w:p w14:paraId="10AE857B">
      <w:pPr>
        <w:jc w:val="center"/>
        <w:outlineLvl w:val="0"/>
        <w:rPr>
          <w:rFonts w:hint="eastAsia" w:ascii="宋体" w:hAnsi="宋体" w:eastAsia="宋体" w:cs="宋体"/>
          <w:b/>
          <w:color w:val="000000" w:themeColor="text1"/>
          <w:sz w:val="32"/>
          <w:highlight w:val="none"/>
        </w:rPr>
      </w:pPr>
      <w:bookmarkStart w:id="377" w:name="_Toc15896"/>
      <w:r>
        <w:rPr>
          <w:rFonts w:hint="eastAsia" w:ascii="宋体" w:hAnsi="宋体" w:eastAsia="宋体" w:cs="宋体"/>
          <w:b/>
          <w:color w:val="000000" w:themeColor="text1"/>
          <w:sz w:val="32"/>
          <w:highlight w:val="none"/>
        </w:rPr>
        <w:t xml:space="preserve">第五章  </w:t>
      </w:r>
      <w:bookmarkEnd w:id="375"/>
      <w:bookmarkEnd w:id="376"/>
      <w:r>
        <w:rPr>
          <w:rFonts w:hint="eastAsia" w:ascii="宋体" w:hAnsi="宋体" w:eastAsia="宋体" w:cs="宋体"/>
          <w:b/>
          <w:color w:val="000000" w:themeColor="text1"/>
          <w:sz w:val="32"/>
          <w:highlight w:val="none"/>
        </w:rPr>
        <w:t>采购需求</w:t>
      </w:r>
      <w:bookmarkEnd w:id="377"/>
    </w:p>
    <w:p w14:paraId="3B9864F6">
      <w:pPr>
        <w:widowControl/>
        <w:spacing w:line="360" w:lineRule="auto"/>
        <w:ind w:left="691" w:leftChars="200" w:hanging="211" w:hangingChars="100"/>
        <w:jc w:val="left"/>
        <w:rPr>
          <w:rFonts w:hint="eastAsia" w:ascii="宋体" w:hAnsi="宋体" w:eastAsia="宋体" w:cs="宋体"/>
          <w:b/>
          <w:bCs/>
          <w:color w:val="000000" w:themeColor="text1"/>
          <w:sz w:val="21"/>
          <w:szCs w:val="21"/>
          <w:highlight w:val="none"/>
        </w:rPr>
      </w:pPr>
      <w:bookmarkStart w:id="378" w:name="_Toc18128"/>
      <w:bookmarkStart w:id="379" w:name="_Toc45177866"/>
      <w:r>
        <w:rPr>
          <w:rFonts w:hint="eastAsia" w:ascii="宋体" w:hAnsi="宋体" w:eastAsia="宋体" w:cs="宋体"/>
          <w:b/>
          <w:bCs/>
          <w:color w:val="000000" w:themeColor="text1"/>
          <w:sz w:val="21"/>
          <w:szCs w:val="21"/>
          <w:highlight w:val="none"/>
        </w:rPr>
        <w:t>一、项目基本情况</w:t>
      </w:r>
    </w:p>
    <w:p w14:paraId="0D337DE1">
      <w:pPr>
        <w:keepNext w:val="0"/>
        <w:keepLines w:val="0"/>
        <w:pageBreakBefore w:val="0"/>
        <w:kinsoku/>
        <w:wordWrap/>
        <w:overflowPunct/>
        <w:topLinePunct w:val="0"/>
        <w:autoSpaceDE/>
        <w:autoSpaceDN/>
        <w:bidi w:val="0"/>
        <w:adjustRightInd/>
        <w:spacing w:line="500" w:lineRule="exact"/>
        <w:ind w:firstLine="420" w:firstLineChars="200"/>
        <w:textAlignment w:val="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项目概况：</w:t>
      </w:r>
      <w:r>
        <w:rPr>
          <w:rFonts w:hint="eastAsia" w:ascii="宋体" w:hAnsi="宋体" w:eastAsia="宋体" w:cs="宋体"/>
          <w:b w:val="0"/>
          <w:bCs w:val="0"/>
          <w:color w:val="000000" w:themeColor="text1"/>
          <w:kern w:val="0"/>
          <w:sz w:val="21"/>
          <w:szCs w:val="21"/>
          <w:highlight w:val="none"/>
        </w:rPr>
        <w:t>中共平顶山市新华区委政法委员会2026年新华区社会管理创新中心项目视频监控维保项目</w:t>
      </w:r>
      <w:r>
        <w:rPr>
          <w:rFonts w:hint="eastAsia" w:ascii="宋体" w:hAnsi="宋体" w:eastAsia="宋体" w:cs="宋体"/>
          <w:color w:val="000000" w:themeColor="text1"/>
          <w:sz w:val="21"/>
          <w:szCs w:val="21"/>
          <w:highlight w:val="none"/>
        </w:rPr>
        <w:t>，</w:t>
      </w:r>
      <w:r>
        <w:rPr>
          <w:rFonts w:hint="default" w:ascii="宋体" w:hAnsi="宋体" w:eastAsia="宋体" w:cs="宋体"/>
          <w:b w:val="0"/>
          <w:bCs w:val="0"/>
          <w:color w:val="000000" w:themeColor="text1"/>
          <w:kern w:val="0"/>
          <w:sz w:val="21"/>
          <w:szCs w:val="21"/>
          <w:highlight w:val="none"/>
          <w:lang w:val="en-US" w:eastAsia="zh-CN"/>
        </w:rPr>
        <w:t>维保区域为光明路以东、平安大道以南、开源路以西、湛北路以北区域内共计246个前端摄像头。保证视频监控机房硬件、软件以及配套设施、平台日常使用和运维；前端线路和设备故障及时修复（无法取电点位加装太阳能供电）；设备丢失或损坏且无法修复及时加装、更换（设备更换率不低于10%）；以及前端246个摄像头使用中所产生的电费，配合采购单位对更换固定资产进行保管、移交、处置等</w:t>
      </w:r>
      <w:r>
        <w:rPr>
          <w:rFonts w:hint="eastAsia" w:ascii="宋体" w:hAnsi="宋体" w:eastAsia="宋体" w:cs="宋体"/>
          <w:color w:val="000000" w:themeColor="text1"/>
          <w:sz w:val="21"/>
          <w:szCs w:val="21"/>
          <w:highlight w:val="none"/>
        </w:rPr>
        <w:t>。</w:t>
      </w:r>
    </w:p>
    <w:p w14:paraId="76DDD941">
      <w:pPr>
        <w:widowControl/>
        <w:spacing w:line="360" w:lineRule="auto"/>
        <w:ind w:firstLine="420" w:firstLineChars="200"/>
        <w:jc w:val="left"/>
        <w:rPr>
          <w:rFonts w:hint="eastAsia" w:ascii="宋体" w:hAnsi="宋体" w:eastAsia="宋体" w:cs="宋体"/>
          <w:b/>
          <w:bCs/>
          <w:color w:val="000000" w:themeColor="text1"/>
          <w:kern w:val="44"/>
          <w:sz w:val="21"/>
          <w:szCs w:val="21"/>
          <w:highlight w:val="none"/>
        </w:rPr>
      </w:pPr>
      <w:r>
        <w:rPr>
          <w:rFonts w:hint="eastAsia" w:ascii="宋体" w:hAnsi="宋体" w:eastAsia="宋体" w:cs="宋体"/>
          <w:color w:val="000000" w:themeColor="text1"/>
          <w:sz w:val="21"/>
          <w:szCs w:val="21"/>
          <w:highlight w:val="none"/>
        </w:rPr>
        <w:t>服务期限：1年。</w:t>
      </w:r>
    </w:p>
    <w:p w14:paraId="69E2E4D7">
      <w:pPr>
        <w:spacing w:line="360" w:lineRule="auto"/>
        <w:ind w:firstLine="420" w:firstLineChars="200"/>
        <w:rPr>
          <w:rFonts w:hint="eastAsia" w:ascii="宋体" w:hAnsi="宋体" w:eastAsia="宋体" w:cs="宋体"/>
          <w:color w:val="000000" w:themeColor="text1"/>
          <w:sz w:val="21"/>
          <w:szCs w:val="21"/>
          <w:highlight w:val="none"/>
        </w:rPr>
      </w:pPr>
      <w:bookmarkStart w:id="380" w:name="_Toc21581"/>
      <w:bookmarkEnd w:id="380"/>
      <w:r>
        <w:rPr>
          <w:rFonts w:hint="eastAsia" w:ascii="宋体" w:hAnsi="宋体" w:eastAsia="宋体" w:cs="宋体"/>
          <w:color w:val="000000" w:themeColor="text1"/>
          <w:sz w:val="21"/>
          <w:szCs w:val="21"/>
          <w:highlight w:val="none"/>
        </w:rPr>
        <w:t>质量标准：符合国家、行业有关标准、规范。</w:t>
      </w:r>
    </w:p>
    <w:p w14:paraId="108BFBA3">
      <w:pPr>
        <w:spacing w:line="360" w:lineRule="auto"/>
        <w:ind w:firstLine="422" w:firstLineChars="200"/>
        <w:rPr>
          <w:rFonts w:hint="eastAsia" w:ascii="宋体" w:hAnsi="宋体" w:eastAsia="宋体" w:cs="宋体"/>
          <w:b/>
          <w:bCs/>
          <w:color w:val="000000" w:themeColor="text1"/>
          <w:sz w:val="21"/>
          <w:szCs w:val="21"/>
          <w:highlight w:val="none"/>
        </w:rPr>
      </w:pPr>
      <w:r>
        <w:rPr>
          <w:rFonts w:hint="eastAsia" w:ascii="宋体" w:hAnsi="宋体" w:eastAsia="宋体" w:cs="宋体"/>
          <w:b/>
          <w:bCs/>
          <w:color w:val="000000" w:themeColor="text1"/>
          <w:sz w:val="21"/>
          <w:szCs w:val="21"/>
          <w:highlight w:val="none"/>
        </w:rPr>
        <w:t>二、服务要求：（包含但不限于以下内容）</w:t>
      </w:r>
    </w:p>
    <w:p w14:paraId="29610AE0">
      <w:pPr>
        <w:widowControl/>
        <w:spacing w:line="360" w:lineRule="auto"/>
        <w:ind w:firstLine="420" w:firstLineChars="200"/>
        <w:jc w:val="lef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1、新华区社会管理创新中心项目前端摄像机现有246台，机房存储服务器7台，视频服务器12台、视频解码器1台等：</w:t>
      </w:r>
    </w:p>
    <w:p w14:paraId="1D7CF4C3">
      <w:pPr>
        <w:widowControl/>
        <w:spacing w:line="360" w:lineRule="auto"/>
        <w:ind w:left="480" w:leftChars="200"/>
        <w:jc w:val="lef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2</w:t>
      </w:r>
      <w:r>
        <w:rPr>
          <w:rFonts w:hint="eastAsia" w:ascii="宋体" w:hAnsi="宋体" w:eastAsia="宋体" w:cs="宋体"/>
          <w:b/>
          <w:bCs/>
          <w:color w:val="000000" w:themeColor="text1"/>
          <w:sz w:val="21"/>
          <w:szCs w:val="21"/>
          <w:highlight w:val="none"/>
        </w:rPr>
        <w:t>、</w:t>
      </w:r>
      <w:r>
        <w:rPr>
          <w:rFonts w:hint="eastAsia" w:ascii="宋体" w:hAnsi="宋体" w:eastAsia="宋体" w:cs="宋体"/>
          <w:color w:val="000000" w:themeColor="text1"/>
          <w:sz w:val="21"/>
          <w:szCs w:val="21"/>
          <w:highlight w:val="none"/>
        </w:rPr>
        <w:t>保证视频监控机房硬件、软件以及配套设施、平台日常使用和运维。</w:t>
      </w:r>
    </w:p>
    <w:p w14:paraId="53D368BC">
      <w:pPr>
        <w:widowControl/>
        <w:spacing w:line="360" w:lineRule="auto"/>
        <w:ind w:firstLine="420" w:firstLineChars="200"/>
        <w:jc w:val="lef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3、前端线路和设备故障及时修复（无法取电点位加装太阳能供电）。</w:t>
      </w:r>
    </w:p>
    <w:p w14:paraId="3AF772CE">
      <w:pPr>
        <w:widowControl/>
        <w:spacing w:line="360" w:lineRule="auto"/>
        <w:ind w:firstLine="420" w:firstLineChars="200"/>
        <w:jc w:val="lef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4、设备丢失或损坏且无法修复及时加装、更换（设备更换率不低于10%）。</w:t>
      </w:r>
    </w:p>
    <w:p w14:paraId="239E64B0">
      <w:pPr>
        <w:widowControl/>
        <w:spacing w:line="360" w:lineRule="auto"/>
        <w:ind w:firstLine="420" w:firstLineChars="200"/>
        <w:jc w:val="left"/>
        <w:rPr>
          <w:rFonts w:hint="eastAsia" w:ascii="宋体" w:hAnsi="宋体" w:eastAsia="宋体" w:cs="宋体"/>
          <w:b/>
          <w:bCs/>
          <w:i/>
          <w:iCs/>
          <w:color w:val="000000" w:themeColor="text1"/>
          <w:sz w:val="21"/>
          <w:szCs w:val="21"/>
          <w:highlight w:val="none"/>
        </w:rPr>
      </w:pPr>
      <w:r>
        <w:rPr>
          <w:rFonts w:hint="eastAsia" w:ascii="宋体" w:hAnsi="宋体" w:eastAsia="宋体" w:cs="宋体"/>
          <w:color w:val="000000" w:themeColor="text1"/>
          <w:sz w:val="21"/>
          <w:szCs w:val="21"/>
          <w:highlight w:val="none"/>
        </w:rPr>
        <w:t>5、前端246个摄像头使用中所产生的电费由成交供应商承担。</w:t>
      </w:r>
    </w:p>
    <w:p w14:paraId="57F4E9E4">
      <w:pPr>
        <w:widowControl/>
        <w:spacing w:line="360" w:lineRule="auto"/>
        <w:ind w:firstLine="422" w:firstLineChars="200"/>
        <w:jc w:val="left"/>
        <w:rPr>
          <w:rFonts w:hint="eastAsia" w:ascii="宋体" w:hAnsi="宋体" w:eastAsia="宋体" w:cs="宋体"/>
          <w:color w:val="000000" w:themeColor="text1"/>
          <w:sz w:val="21"/>
          <w:szCs w:val="21"/>
          <w:highlight w:val="none"/>
        </w:rPr>
      </w:pPr>
      <w:r>
        <w:rPr>
          <w:rFonts w:hint="eastAsia" w:ascii="宋体" w:hAnsi="宋体" w:eastAsia="宋体" w:cs="宋体"/>
          <w:b/>
          <w:bCs/>
          <w:color w:val="000000" w:themeColor="text1"/>
          <w:sz w:val="21"/>
          <w:szCs w:val="21"/>
          <w:highlight w:val="none"/>
        </w:rPr>
        <w:t>摄像头点位表如下：</w:t>
      </w:r>
    </w:p>
    <w:tbl>
      <w:tblPr>
        <w:tblStyle w:val="33"/>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11"/>
        <w:gridCol w:w="1349"/>
        <w:gridCol w:w="5375"/>
        <w:gridCol w:w="2423"/>
      </w:tblGrid>
      <w:tr w14:paraId="28807F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407" w:type="pct"/>
            <w:vAlign w:val="center"/>
          </w:tcPr>
          <w:p w14:paraId="585333A0">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序号</w:t>
            </w:r>
          </w:p>
        </w:tc>
        <w:tc>
          <w:tcPr>
            <w:tcW w:w="677" w:type="pct"/>
            <w:vAlign w:val="center"/>
          </w:tcPr>
          <w:p w14:paraId="029C715A">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点位序号</w:t>
            </w:r>
          </w:p>
        </w:tc>
        <w:tc>
          <w:tcPr>
            <w:tcW w:w="2698" w:type="pct"/>
            <w:vAlign w:val="center"/>
          </w:tcPr>
          <w:p w14:paraId="691EEB9E">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点位名称</w:t>
            </w:r>
          </w:p>
        </w:tc>
        <w:tc>
          <w:tcPr>
            <w:tcW w:w="1216" w:type="pct"/>
            <w:vAlign w:val="center"/>
          </w:tcPr>
          <w:p w14:paraId="28D7CA5C">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路段</w:t>
            </w:r>
          </w:p>
        </w:tc>
      </w:tr>
      <w:tr w14:paraId="62C1DD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7" w:hRule="atLeast"/>
          <w:jc w:val="center"/>
        </w:trPr>
        <w:tc>
          <w:tcPr>
            <w:tcW w:w="407" w:type="pct"/>
            <w:vAlign w:val="center"/>
          </w:tcPr>
          <w:p w14:paraId="36495D13">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1</w:t>
            </w:r>
          </w:p>
        </w:tc>
        <w:tc>
          <w:tcPr>
            <w:tcW w:w="677" w:type="pct"/>
            <w:vAlign w:val="center"/>
          </w:tcPr>
          <w:p w14:paraId="0EEC2F95">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12</w:t>
            </w:r>
          </w:p>
        </w:tc>
        <w:tc>
          <w:tcPr>
            <w:tcW w:w="2698" w:type="pct"/>
            <w:vAlign w:val="center"/>
          </w:tcPr>
          <w:p w14:paraId="47EDB21A">
            <w:pPr>
              <w:widowControl/>
              <w:spacing w:line="360" w:lineRule="auto"/>
              <w:jc w:val="left"/>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012 体育联盟路口3</w:t>
            </w:r>
          </w:p>
        </w:tc>
        <w:tc>
          <w:tcPr>
            <w:tcW w:w="1216" w:type="pct"/>
            <w:vAlign w:val="center"/>
          </w:tcPr>
          <w:p w14:paraId="5F757CBF">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新华区-&gt;体育路</w:t>
            </w:r>
          </w:p>
        </w:tc>
      </w:tr>
      <w:tr w14:paraId="6A0595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7" w:type="pct"/>
            <w:vAlign w:val="center"/>
          </w:tcPr>
          <w:p w14:paraId="59572F72">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2</w:t>
            </w:r>
          </w:p>
        </w:tc>
        <w:tc>
          <w:tcPr>
            <w:tcW w:w="677" w:type="pct"/>
            <w:vAlign w:val="center"/>
          </w:tcPr>
          <w:p w14:paraId="2B571075">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258</w:t>
            </w:r>
          </w:p>
        </w:tc>
        <w:tc>
          <w:tcPr>
            <w:tcW w:w="2698" w:type="pct"/>
            <w:vAlign w:val="center"/>
          </w:tcPr>
          <w:p w14:paraId="4CDA2D4F">
            <w:pPr>
              <w:widowControl/>
              <w:spacing w:line="360" w:lineRule="auto"/>
              <w:jc w:val="left"/>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258 光明路曙光街口农信门口</w:t>
            </w:r>
          </w:p>
        </w:tc>
        <w:tc>
          <w:tcPr>
            <w:tcW w:w="1216" w:type="pct"/>
            <w:vAlign w:val="center"/>
          </w:tcPr>
          <w:p w14:paraId="15C81891">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新华区-&gt;光明路</w:t>
            </w:r>
          </w:p>
        </w:tc>
      </w:tr>
      <w:tr w14:paraId="7E0DCD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7" w:type="pct"/>
            <w:vAlign w:val="center"/>
          </w:tcPr>
          <w:p w14:paraId="526E1BE4">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3</w:t>
            </w:r>
          </w:p>
        </w:tc>
        <w:tc>
          <w:tcPr>
            <w:tcW w:w="677" w:type="pct"/>
            <w:vAlign w:val="center"/>
          </w:tcPr>
          <w:p w14:paraId="55780D47">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148</w:t>
            </w:r>
          </w:p>
        </w:tc>
        <w:tc>
          <w:tcPr>
            <w:tcW w:w="2698" w:type="pct"/>
            <w:vAlign w:val="center"/>
          </w:tcPr>
          <w:p w14:paraId="390E5475">
            <w:pPr>
              <w:widowControl/>
              <w:spacing w:line="360" w:lineRule="auto"/>
              <w:jc w:val="left"/>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148 中兴路佳美口腔门口</w:t>
            </w:r>
          </w:p>
        </w:tc>
        <w:tc>
          <w:tcPr>
            <w:tcW w:w="1216" w:type="pct"/>
            <w:vAlign w:val="center"/>
          </w:tcPr>
          <w:p w14:paraId="42275504">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新华区-&gt;中兴路</w:t>
            </w:r>
          </w:p>
        </w:tc>
      </w:tr>
      <w:tr w14:paraId="49FA48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7" w:type="pct"/>
            <w:vAlign w:val="center"/>
          </w:tcPr>
          <w:p w14:paraId="32F603D4">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4</w:t>
            </w:r>
          </w:p>
        </w:tc>
        <w:tc>
          <w:tcPr>
            <w:tcW w:w="677" w:type="pct"/>
            <w:vAlign w:val="center"/>
          </w:tcPr>
          <w:p w14:paraId="4ABAE5A1">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98</w:t>
            </w:r>
          </w:p>
        </w:tc>
        <w:tc>
          <w:tcPr>
            <w:tcW w:w="2698" w:type="pct"/>
            <w:vAlign w:val="center"/>
          </w:tcPr>
          <w:p w14:paraId="285BD4EE">
            <w:pPr>
              <w:widowControl/>
              <w:spacing w:line="360" w:lineRule="auto"/>
              <w:jc w:val="left"/>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098 中兴路优越路工商银行南</w:t>
            </w:r>
          </w:p>
        </w:tc>
        <w:tc>
          <w:tcPr>
            <w:tcW w:w="1216" w:type="pct"/>
            <w:vAlign w:val="center"/>
          </w:tcPr>
          <w:p w14:paraId="0D77A12A">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新华区-&gt;中兴路</w:t>
            </w:r>
          </w:p>
        </w:tc>
      </w:tr>
      <w:tr w14:paraId="76D2BE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7" w:type="pct"/>
            <w:vAlign w:val="center"/>
          </w:tcPr>
          <w:p w14:paraId="223980A6">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5</w:t>
            </w:r>
          </w:p>
        </w:tc>
        <w:tc>
          <w:tcPr>
            <w:tcW w:w="677" w:type="pct"/>
            <w:vAlign w:val="center"/>
          </w:tcPr>
          <w:p w14:paraId="5DC6A592">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124</w:t>
            </w:r>
          </w:p>
        </w:tc>
        <w:tc>
          <w:tcPr>
            <w:tcW w:w="2698" w:type="pct"/>
            <w:vAlign w:val="center"/>
          </w:tcPr>
          <w:p w14:paraId="686F1754">
            <w:pPr>
              <w:widowControl/>
              <w:spacing w:line="360" w:lineRule="auto"/>
              <w:jc w:val="left"/>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124 中兴路建设路微卡口2</w:t>
            </w:r>
          </w:p>
        </w:tc>
        <w:tc>
          <w:tcPr>
            <w:tcW w:w="1216" w:type="pct"/>
            <w:vAlign w:val="center"/>
          </w:tcPr>
          <w:p w14:paraId="67BE037D">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新华区-&gt;中兴路</w:t>
            </w:r>
          </w:p>
        </w:tc>
      </w:tr>
      <w:tr w14:paraId="045A25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7" w:type="pct"/>
            <w:vAlign w:val="center"/>
          </w:tcPr>
          <w:p w14:paraId="4B077464">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6</w:t>
            </w:r>
          </w:p>
        </w:tc>
        <w:tc>
          <w:tcPr>
            <w:tcW w:w="677" w:type="pct"/>
            <w:vAlign w:val="center"/>
          </w:tcPr>
          <w:p w14:paraId="3FE36BAD">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118</w:t>
            </w:r>
          </w:p>
        </w:tc>
        <w:tc>
          <w:tcPr>
            <w:tcW w:w="2698" w:type="pct"/>
            <w:vAlign w:val="center"/>
          </w:tcPr>
          <w:p w14:paraId="6B4EAEDA">
            <w:pPr>
              <w:widowControl/>
              <w:spacing w:line="360" w:lineRule="auto"/>
              <w:jc w:val="left"/>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118 中兴路商业大楼南</w:t>
            </w:r>
          </w:p>
        </w:tc>
        <w:tc>
          <w:tcPr>
            <w:tcW w:w="1216" w:type="pct"/>
            <w:vAlign w:val="center"/>
          </w:tcPr>
          <w:p w14:paraId="5614ADE3">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新华区-&gt;中兴路</w:t>
            </w:r>
          </w:p>
        </w:tc>
      </w:tr>
      <w:tr w14:paraId="3069FB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7" w:type="pct"/>
            <w:vAlign w:val="center"/>
          </w:tcPr>
          <w:p w14:paraId="19564BB6">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7</w:t>
            </w:r>
          </w:p>
        </w:tc>
        <w:tc>
          <w:tcPr>
            <w:tcW w:w="677" w:type="pct"/>
            <w:vAlign w:val="center"/>
          </w:tcPr>
          <w:p w14:paraId="77EA08C2">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111</w:t>
            </w:r>
          </w:p>
        </w:tc>
        <w:tc>
          <w:tcPr>
            <w:tcW w:w="2698" w:type="pct"/>
            <w:vAlign w:val="center"/>
          </w:tcPr>
          <w:p w14:paraId="1605E525">
            <w:pPr>
              <w:widowControl/>
              <w:spacing w:line="360" w:lineRule="auto"/>
              <w:jc w:val="left"/>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111 中兴路基泰东口</w:t>
            </w:r>
          </w:p>
        </w:tc>
        <w:tc>
          <w:tcPr>
            <w:tcW w:w="1216" w:type="pct"/>
            <w:vAlign w:val="center"/>
          </w:tcPr>
          <w:p w14:paraId="4E2C9BD5">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新华区-&gt;中兴路</w:t>
            </w:r>
          </w:p>
        </w:tc>
      </w:tr>
      <w:tr w14:paraId="1195CC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7" w:type="pct"/>
            <w:vAlign w:val="center"/>
          </w:tcPr>
          <w:p w14:paraId="2F884D27">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8</w:t>
            </w:r>
          </w:p>
        </w:tc>
        <w:tc>
          <w:tcPr>
            <w:tcW w:w="677" w:type="pct"/>
            <w:vAlign w:val="center"/>
          </w:tcPr>
          <w:p w14:paraId="78F3CA27">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92</w:t>
            </w:r>
          </w:p>
        </w:tc>
        <w:tc>
          <w:tcPr>
            <w:tcW w:w="2698" w:type="pct"/>
            <w:vAlign w:val="center"/>
          </w:tcPr>
          <w:p w14:paraId="7012CF41">
            <w:pPr>
              <w:widowControl/>
              <w:spacing w:line="360" w:lineRule="auto"/>
              <w:jc w:val="left"/>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092 中兴路万家北</w:t>
            </w:r>
          </w:p>
        </w:tc>
        <w:tc>
          <w:tcPr>
            <w:tcW w:w="1216" w:type="pct"/>
            <w:vAlign w:val="center"/>
          </w:tcPr>
          <w:p w14:paraId="522CEF02">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新华区-&gt;中兴路</w:t>
            </w:r>
          </w:p>
        </w:tc>
      </w:tr>
      <w:tr w14:paraId="3B119F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7" w:type="pct"/>
            <w:vAlign w:val="center"/>
          </w:tcPr>
          <w:p w14:paraId="71BFACB7">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9</w:t>
            </w:r>
          </w:p>
        </w:tc>
        <w:tc>
          <w:tcPr>
            <w:tcW w:w="677" w:type="pct"/>
            <w:vAlign w:val="center"/>
          </w:tcPr>
          <w:p w14:paraId="219D71EB">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103</w:t>
            </w:r>
          </w:p>
        </w:tc>
        <w:tc>
          <w:tcPr>
            <w:tcW w:w="2698" w:type="pct"/>
            <w:vAlign w:val="center"/>
          </w:tcPr>
          <w:p w14:paraId="5ADE179F">
            <w:pPr>
              <w:widowControl/>
              <w:spacing w:line="360" w:lineRule="auto"/>
              <w:jc w:val="left"/>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103 优越路粥之源门口</w:t>
            </w:r>
          </w:p>
        </w:tc>
        <w:tc>
          <w:tcPr>
            <w:tcW w:w="1216" w:type="pct"/>
            <w:vAlign w:val="center"/>
          </w:tcPr>
          <w:p w14:paraId="165DCDE6">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新华区-&gt;优越路</w:t>
            </w:r>
          </w:p>
        </w:tc>
      </w:tr>
      <w:tr w14:paraId="08D4E7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7" w:type="pct"/>
            <w:vAlign w:val="center"/>
          </w:tcPr>
          <w:p w14:paraId="1BA656E2">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10</w:t>
            </w:r>
          </w:p>
        </w:tc>
        <w:tc>
          <w:tcPr>
            <w:tcW w:w="677" w:type="pct"/>
            <w:vAlign w:val="center"/>
          </w:tcPr>
          <w:p w14:paraId="080B519D">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135</w:t>
            </w:r>
          </w:p>
        </w:tc>
        <w:tc>
          <w:tcPr>
            <w:tcW w:w="2698" w:type="pct"/>
            <w:vAlign w:val="center"/>
          </w:tcPr>
          <w:p w14:paraId="41F24120">
            <w:pPr>
              <w:widowControl/>
              <w:spacing w:line="360" w:lineRule="auto"/>
              <w:jc w:val="left"/>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135 曙光街金健医院门口</w:t>
            </w:r>
          </w:p>
        </w:tc>
        <w:tc>
          <w:tcPr>
            <w:tcW w:w="1216" w:type="pct"/>
            <w:vAlign w:val="center"/>
          </w:tcPr>
          <w:p w14:paraId="474DB796">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新华区-&gt;曙光街</w:t>
            </w:r>
          </w:p>
        </w:tc>
      </w:tr>
      <w:tr w14:paraId="3FF9CA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7" w:type="pct"/>
            <w:vAlign w:val="center"/>
          </w:tcPr>
          <w:p w14:paraId="73838C85">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11</w:t>
            </w:r>
          </w:p>
        </w:tc>
        <w:tc>
          <w:tcPr>
            <w:tcW w:w="677" w:type="pct"/>
            <w:vAlign w:val="center"/>
          </w:tcPr>
          <w:p w14:paraId="11B4D470">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138</w:t>
            </w:r>
          </w:p>
        </w:tc>
        <w:tc>
          <w:tcPr>
            <w:tcW w:w="2698" w:type="pct"/>
            <w:vAlign w:val="center"/>
          </w:tcPr>
          <w:p w14:paraId="2E4D502B">
            <w:pPr>
              <w:widowControl/>
              <w:spacing w:line="360" w:lineRule="auto"/>
              <w:jc w:val="left"/>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138 曙光街体育路口东微卡口</w:t>
            </w:r>
          </w:p>
        </w:tc>
        <w:tc>
          <w:tcPr>
            <w:tcW w:w="1216" w:type="pct"/>
            <w:vAlign w:val="center"/>
          </w:tcPr>
          <w:p w14:paraId="0CD4A2F2">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新华区-&gt;曙光街</w:t>
            </w:r>
          </w:p>
        </w:tc>
      </w:tr>
      <w:tr w14:paraId="5E7488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7" w:type="pct"/>
            <w:vAlign w:val="center"/>
          </w:tcPr>
          <w:p w14:paraId="2575BEFE">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12</w:t>
            </w:r>
          </w:p>
        </w:tc>
        <w:tc>
          <w:tcPr>
            <w:tcW w:w="677" w:type="pct"/>
            <w:vAlign w:val="center"/>
          </w:tcPr>
          <w:p w14:paraId="0C7C7724">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139</w:t>
            </w:r>
          </w:p>
        </w:tc>
        <w:tc>
          <w:tcPr>
            <w:tcW w:w="2698" w:type="pct"/>
            <w:vAlign w:val="center"/>
          </w:tcPr>
          <w:p w14:paraId="111A0D4B">
            <w:pPr>
              <w:widowControl/>
              <w:spacing w:line="360" w:lineRule="auto"/>
              <w:jc w:val="left"/>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139曙光街公园北街口西路北</w:t>
            </w:r>
          </w:p>
        </w:tc>
        <w:tc>
          <w:tcPr>
            <w:tcW w:w="1216" w:type="pct"/>
            <w:vAlign w:val="center"/>
          </w:tcPr>
          <w:p w14:paraId="03925E8E">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新华区-&gt;曙光街</w:t>
            </w:r>
          </w:p>
        </w:tc>
      </w:tr>
      <w:tr w14:paraId="4BEBFE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7" w:type="pct"/>
            <w:vAlign w:val="center"/>
          </w:tcPr>
          <w:p w14:paraId="2FF141F0">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13</w:t>
            </w:r>
          </w:p>
        </w:tc>
        <w:tc>
          <w:tcPr>
            <w:tcW w:w="677" w:type="pct"/>
            <w:vAlign w:val="center"/>
          </w:tcPr>
          <w:p w14:paraId="6BE16CFF">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232</w:t>
            </w:r>
          </w:p>
        </w:tc>
        <w:tc>
          <w:tcPr>
            <w:tcW w:w="2698" w:type="pct"/>
            <w:vAlign w:val="center"/>
          </w:tcPr>
          <w:p w14:paraId="558EC0E2">
            <w:pPr>
              <w:widowControl/>
              <w:spacing w:line="360" w:lineRule="auto"/>
              <w:jc w:val="left"/>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232 朝阳路嘉盛商贸门口</w:t>
            </w:r>
          </w:p>
        </w:tc>
        <w:tc>
          <w:tcPr>
            <w:tcW w:w="1216" w:type="pct"/>
            <w:vAlign w:val="center"/>
          </w:tcPr>
          <w:p w14:paraId="2C6BD9A4">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新华区-&gt;朝阳路</w:t>
            </w:r>
          </w:p>
        </w:tc>
      </w:tr>
      <w:tr w14:paraId="2DE36F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7" w:type="pct"/>
            <w:vAlign w:val="center"/>
          </w:tcPr>
          <w:p w14:paraId="55767A25">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14</w:t>
            </w:r>
          </w:p>
        </w:tc>
        <w:tc>
          <w:tcPr>
            <w:tcW w:w="677" w:type="pct"/>
            <w:vAlign w:val="center"/>
          </w:tcPr>
          <w:p w14:paraId="15210F9A">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5</w:t>
            </w:r>
          </w:p>
        </w:tc>
        <w:tc>
          <w:tcPr>
            <w:tcW w:w="2698" w:type="pct"/>
            <w:vAlign w:val="center"/>
          </w:tcPr>
          <w:p w14:paraId="5AA08578">
            <w:pPr>
              <w:widowControl/>
              <w:spacing w:line="360" w:lineRule="auto"/>
              <w:jc w:val="left"/>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005 联盟路魏家凉皮门口</w:t>
            </w:r>
          </w:p>
        </w:tc>
        <w:tc>
          <w:tcPr>
            <w:tcW w:w="1216" w:type="pct"/>
            <w:vAlign w:val="center"/>
          </w:tcPr>
          <w:p w14:paraId="7887FD32">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新华区-&gt;联盟路</w:t>
            </w:r>
          </w:p>
        </w:tc>
      </w:tr>
      <w:tr w14:paraId="78A72C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7" w:type="pct"/>
            <w:vAlign w:val="center"/>
          </w:tcPr>
          <w:p w14:paraId="53FEA54C">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15</w:t>
            </w:r>
          </w:p>
        </w:tc>
        <w:tc>
          <w:tcPr>
            <w:tcW w:w="677" w:type="pct"/>
            <w:vAlign w:val="center"/>
          </w:tcPr>
          <w:p w14:paraId="324DD9CD">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4</w:t>
            </w:r>
          </w:p>
        </w:tc>
        <w:tc>
          <w:tcPr>
            <w:tcW w:w="2698" w:type="pct"/>
            <w:vAlign w:val="center"/>
          </w:tcPr>
          <w:p w14:paraId="372AA403">
            <w:pPr>
              <w:widowControl/>
              <w:spacing w:line="360" w:lineRule="auto"/>
              <w:jc w:val="left"/>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004 联盟路春光金世纪小区门口</w:t>
            </w:r>
          </w:p>
        </w:tc>
        <w:tc>
          <w:tcPr>
            <w:tcW w:w="1216" w:type="pct"/>
            <w:vAlign w:val="center"/>
          </w:tcPr>
          <w:p w14:paraId="5F366D11">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新华区-&gt;联盟路</w:t>
            </w:r>
          </w:p>
        </w:tc>
      </w:tr>
      <w:tr w14:paraId="66518B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7" w:type="pct"/>
            <w:vAlign w:val="center"/>
          </w:tcPr>
          <w:p w14:paraId="0EC86AE9">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16</w:t>
            </w:r>
          </w:p>
        </w:tc>
        <w:tc>
          <w:tcPr>
            <w:tcW w:w="677" w:type="pct"/>
            <w:vAlign w:val="center"/>
          </w:tcPr>
          <w:p w14:paraId="4725633D">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6</w:t>
            </w:r>
          </w:p>
        </w:tc>
        <w:tc>
          <w:tcPr>
            <w:tcW w:w="2698" w:type="pct"/>
            <w:vAlign w:val="center"/>
          </w:tcPr>
          <w:p w14:paraId="235ECF73">
            <w:pPr>
              <w:widowControl/>
              <w:spacing w:line="360" w:lineRule="auto"/>
              <w:jc w:val="left"/>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006 联盟路德信泉广场西</w:t>
            </w:r>
          </w:p>
        </w:tc>
        <w:tc>
          <w:tcPr>
            <w:tcW w:w="1216" w:type="pct"/>
            <w:vAlign w:val="center"/>
          </w:tcPr>
          <w:p w14:paraId="0FAEE972">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新华区-&gt;联盟路</w:t>
            </w:r>
          </w:p>
        </w:tc>
      </w:tr>
      <w:tr w14:paraId="0FF3C9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7" w:type="pct"/>
            <w:vAlign w:val="center"/>
          </w:tcPr>
          <w:p w14:paraId="4349D353">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17</w:t>
            </w:r>
          </w:p>
        </w:tc>
        <w:tc>
          <w:tcPr>
            <w:tcW w:w="677" w:type="pct"/>
            <w:vAlign w:val="center"/>
          </w:tcPr>
          <w:p w14:paraId="400E26E2">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9</w:t>
            </w:r>
          </w:p>
        </w:tc>
        <w:tc>
          <w:tcPr>
            <w:tcW w:w="2698" w:type="pct"/>
            <w:vAlign w:val="center"/>
          </w:tcPr>
          <w:p w14:paraId="61353D8C">
            <w:pPr>
              <w:widowControl/>
              <w:spacing w:line="360" w:lineRule="auto"/>
              <w:jc w:val="left"/>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009 联盟路圣罗兰门口</w:t>
            </w:r>
          </w:p>
        </w:tc>
        <w:tc>
          <w:tcPr>
            <w:tcW w:w="1216" w:type="pct"/>
            <w:vAlign w:val="center"/>
          </w:tcPr>
          <w:p w14:paraId="769426A0">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新华区-&gt;联盟路</w:t>
            </w:r>
          </w:p>
        </w:tc>
      </w:tr>
      <w:tr w14:paraId="409EF2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7" w:type="pct"/>
            <w:vAlign w:val="center"/>
          </w:tcPr>
          <w:p w14:paraId="57D1AD79">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18</w:t>
            </w:r>
          </w:p>
        </w:tc>
        <w:tc>
          <w:tcPr>
            <w:tcW w:w="677" w:type="pct"/>
            <w:vAlign w:val="center"/>
          </w:tcPr>
          <w:p w14:paraId="773FF55D">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8</w:t>
            </w:r>
          </w:p>
        </w:tc>
        <w:tc>
          <w:tcPr>
            <w:tcW w:w="2698" w:type="pct"/>
            <w:vAlign w:val="center"/>
          </w:tcPr>
          <w:p w14:paraId="34365386">
            <w:pPr>
              <w:widowControl/>
              <w:spacing w:line="360" w:lineRule="auto"/>
              <w:jc w:val="left"/>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008 联盟路圣罗兰对面路口</w:t>
            </w:r>
          </w:p>
        </w:tc>
        <w:tc>
          <w:tcPr>
            <w:tcW w:w="1216" w:type="pct"/>
            <w:vAlign w:val="center"/>
          </w:tcPr>
          <w:p w14:paraId="08216E26">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新华区-&gt;联盟路</w:t>
            </w:r>
          </w:p>
        </w:tc>
      </w:tr>
      <w:tr w14:paraId="0E16EA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7" w:type="pct"/>
            <w:vAlign w:val="center"/>
          </w:tcPr>
          <w:p w14:paraId="171D74BC">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19</w:t>
            </w:r>
          </w:p>
        </w:tc>
        <w:tc>
          <w:tcPr>
            <w:tcW w:w="677" w:type="pct"/>
            <w:vAlign w:val="center"/>
          </w:tcPr>
          <w:p w14:paraId="59EB1779">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3</w:t>
            </w:r>
          </w:p>
        </w:tc>
        <w:tc>
          <w:tcPr>
            <w:tcW w:w="2698" w:type="pct"/>
            <w:vAlign w:val="center"/>
          </w:tcPr>
          <w:p w14:paraId="7D6340B6">
            <w:pPr>
              <w:widowControl/>
              <w:spacing w:line="360" w:lineRule="auto"/>
              <w:jc w:val="left"/>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003 联盟路国大药房对面</w:t>
            </w:r>
          </w:p>
        </w:tc>
        <w:tc>
          <w:tcPr>
            <w:tcW w:w="1216" w:type="pct"/>
            <w:vAlign w:val="center"/>
          </w:tcPr>
          <w:p w14:paraId="0573ED89">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新华区-&gt;联盟路</w:t>
            </w:r>
          </w:p>
        </w:tc>
      </w:tr>
      <w:tr w14:paraId="7E3C2A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7" w:type="pct"/>
            <w:vAlign w:val="center"/>
          </w:tcPr>
          <w:p w14:paraId="0C34D3B8">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20</w:t>
            </w:r>
          </w:p>
        </w:tc>
        <w:tc>
          <w:tcPr>
            <w:tcW w:w="677" w:type="pct"/>
            <w:vAlign w:val="center"/>
          </w:tcPr>
          <w:p w14:paraId="0303E314">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249</w:t>
            </w:r>
          </w:p>
        </w:tc>
        <w:tc>
          <w:tcPr>
            <w:tcW w:w="2698" w:type="pct"/>
            <w:vAlign w:val="center"/>
          </w:tcPr>
          <w:p w14:paraId="5A90C9E2">
            <w:pPr>
              <w:widowControl/>
              <w:spacing w:line="360" w:lineRule="auto"/>
              <w:jc w:val="left"/>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249 联盟路西段陈中实验学校西侧</w:t>
            </w:r>
          </w:p>
        </w:tc>
        <w:tc>
          <w:tcPr>
            <w:tcW w:w="1216" w:type="pct"/>
            <w:vAlign w:val="center"/>
          </w:tcPr>
          <w:p w14:paraId="50DBE183">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新华区-&gt;联盟路</w:t>
            </w:r>
          </w:p>
        </w:tc>
      </w:tr>
      <w:tr w14:paraId="309BEE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7" w:type="pct"/>
            <w:vAlign w:val="center"/>
          </w:tcPr>
          <w:p w14:paraId="2659F5AE">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21</w:t>
            </w:r>
          </w:p>
        </w:tc>
        <w:tc>
          <w:tcPr>
            <w:tcW w:w="677" w:type="pct"/>
            <w:vAlign w:val="center"/>
          </w:tcPr>
          <w:p w14:paraId="265C67C2">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28</w:t>
            </w:r>
          </w:p>
        </w:tc>
        <w:tc>
          <w:tcPr>
            <w:tcW w:w="2698" w:type="pct"/>
            <w:vAlign w:val="center"/>
          </w:tcPr>
          <w:p w14:paraId="2B3CA19C">
            <w:pPr>
              <w:widowControl/>
              <w:spacing w:line="360" w:lineRule="auto"/>
              <w:jc w:val="left"/>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028 联盟鑫城正义巷东</w:t>
            </w:r>
          </w:p>
        </w:tc>
        <w:tc>
          <w:tcPr>
            <w:tcW w:w="1216" w:type="pct"/>
            <w:vAlign w:val="center"/>
          </w:tcPr>
          <w:p w14:paraId="63233CC7">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新华区-&gt;联盟路</w:t>
            </w:r>
          </w:p>
        </w:tc>
      </w:tr>
      <w:tr w14:paraId="7098A3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7" w:type="pct"/>
            <w:vAlign w:val="center"/>
          </w:tcPr>
          <w:p w14:paraId="4F6F8C14">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22</w:t>
            </w:r>
          </w:p>
        </w:tc>
        <w:tc>
          <w:tcPr>
            <w:tcW w:w="677" w:type="pct"/>
            <w:vAlign w:val="center"/>
          </w:tcPr>
          <w:p w14:paraId="7E1332AD">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1</w:t>
            </w:r>
          </w:p>
        </w:tc>
        <w:tc>
          <w:tcPr>
            <w:tcW w:w="2698" w:type="pct"/>
            <w:vAlign w:val="center"/>
          </w:tcPr>
          <w:p w14:paraId="22B81388">
            <w:pPr>
              <w:widowControl/>
              <w:spacing w:line="360" w:lineRule="auto"/>
              <w:jc w:val="left"/>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001 联盟路与朝阳路路口1</w:t>
            </w:r>
          </w:p>
        </w:tc>
        <w:tc>
          <w:tcPr>
            <w:tcW w:w="1216" w:type="pct"/>
            <w:vAlign w:val="center"/>
          </w:tcPr>
          <w:p w14:paraId="2EA02301">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新华区-&gt;联盟路</w:t>
            </w:r>
          </w:p>
        </w:tc>
      </w:tr>
      <w:tr w14:paraId="66667E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7" w:type="pct"/>
            <w:vAlign w:val="center"/>
          </w:tcPr>
          <w:p w14:paraId="1CA047FA">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23</w:t>
            </w:r>
          </w:p>
        </w:tc>
        <w:tc>
          <w:tcPr>
            <w:tcW w:w="677" w:type="pct"/>
            <w:vAlign w:val="center"/>
          </w:tcPr>
          <w:p w14:paraId="6BAEE7FB">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2</w:t>
            </w:r>
          </w:p>
        </w:tc>
        <w:tc>
          <w:tcPr>
            <w:tcW w:w="2698" w:type="pct"/>
            <w:vAlign w:val="center"/>
          </w:tcPr>
          <w:p w14:paraId="646C799B">
            <w:pPr>
              <w:widowControl/>
              <w:spacing w:line="360" w:lineRule="auto"/>
              <w:jc w:val="left"/>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002 联盟路与朝阳路路口2</w:t>
            </w:r>
          </w:p>
        </w:tc>
        <w:tc>
          <w:tcPr>
            <w:tcW w:w="1216" w:type="pct"/>
            <w:vAlign w:val="center"/>
          </w:tcPr>
          <w:p w14:paraId="09485EE5">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新华区-&gt;联盟路</w:t>
            </w:r>
          </w:p>
        </w:tc>
      </w:tr>
      <w:tr w14:paraId="795014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7" w:type="pct"/>
            <w:vAlign w:val="center"/>
          </w:tcPr>
          <w:p w14:paraId="40EAA47A">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24</w:t>
            </w:r>
          </w:p>
        </w:tc>
        <w:tc>
          <w:tcPr>
            <w:tcW w:w="677" w:type="pct"/>
            <w:vAlign w:val="center"/>
          </w:tcPr>
          <w:p w14:paraId="57BB846A">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w:t>
            </w:r>
          </w:p>
        </w:tc>
        <w:tc>
          <w:tcPr>
            <w:tcW w:w="2698" w:type="pct"/>
            <w:vAlign w:val="center"/>
          </w:tcPr>
          <w:p w14:paraId="10CF3739">
            <w:pPr>
              <w:widowControl/>
              <w:spacing w:line="360" w:lineRule="auto"/>
              <w:jc w:val="left"/>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区政府楼顶-枪</w:t>
            </w:r>
          </w:p>
        </w:tc>
        <w:tc>
          <w:tcPr>
            <w:tcW w:w="1216" w:type="pct"/>
            <w:vAlign w:val="center"/>
          </w:tcPr>
          <w:p w14:paraId="30F5CC73">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新华区-&gt;联盟路</w:t>
            </w:r>
          </w:p>
        </w:tc>
      </w:tr>
      <w:tr w14:paraId="47F410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7" w:type="pct"/>
            <w:vAlign w:val="center"/>
          </w:tcPr>
          <w:p w14:paraId="6AE7BD16">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25</w:t>
            </w:r>
          </w:p>
        </w:tc>
        <w:tc>
          <w:tcPr>
            <w:tcW w:w="677" w:type="pct"/>
            <w:vAlign w:val="center"/>
          </w:tcPr>
          <w:p w14:paraId="32FE71C4">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7</w:t>
            </w:r>
          </w:p>
        </w:tc>
        <w:tc>
          <w:tcPr>
            <w:tcW w:w="2698" w:type="pct"/>
            <w:vAlign w:val="center"/>
          </w:tcPr>
          <w:p w14:paraId="2B4EDC12">
            <w:pPr>
              <w:widowControl/>
              <w:spacing w:line="360" w:lineRule="auto"/>
              <w:jc w:val="left"/>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007 联盟鑫城南门东</w:t>
            </w:r>
          </w:p>
        </w:tc>
        <w:tc>
          <w:tcPr>
            <w:tcW w:w="1216" w:type="pct"/>
            <w:vAlign w:val="center"/>
          </w:tcPr>
          <w:p w14:paraId="7EEA0C06">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新华区-&gt;联盟路</w:t>
            </w:r>
          </w:p>
        </w:tc>
      </w:tr>
      <w:tr w14:paraId="033CFE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7" w:type="pct"/>
            <w:vAlign w:val="center"/>
          </w:tcPr>
          <w:p w14:paraId="6226BA24">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26</w:t>
            </w:r>
          </w:p>
        </w:tc>
        <w:tc>
          <w:tcPr>
            <w:tcW w:w="677" w:type="pct"/>
            <w:vAlign w:val="center"/>
          </w:tcPr>
          <w:p w14:paraId="1E24B585">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w:t>
            </w:r>
          </w:p>
        </w:tc>
        <w:tc>
          <w:tcPr>
            <w:tcW w:w="2698" w:type="pct"/>
            <w:vAlign w:val="center"/>
          </w:tcPr>
          <w:p w14:paraId="161F971E">
            <w:pPr>
              <w:widowControl/>
              <w:spacing w:line="360" w:lineRule="auto"/>
              <w:jc w:val="left"/>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区政府楼顶-球</w:t>
            </w:r>
          </w:p>
        </w:tc>
        <w:tc>
          <w:tcPr>
            <w:tcW w:w="1216" w:type="pct"/>
            <w:vAlign w:val="center"/>
          </w:tcPr>
          <w:p w14:paraId="5F7C750E">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新华区-&gt;联盟路</w:t>
            </w:r>
          </w:p>
        </w:tc>
      </w:tr>
      <w:tr w14:paraId="4734F6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7" w:type="pct"/>
            <w:vAlign w:val="center"/>
          </w:tcPr>
          <w:p w14:paraId="1B9A4D14">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27</w:t>
            </w:r>
          </w:p>
        </w:tc>
        <w:tc>
          <w:tcPr>
            <w:tcW w:w="677" w:type="pct"/>
            <w:vAlign w:val="center"/>
          </w:tcPr>
          <w:p w14:paraId="6C672A6A">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w:t>
            </w:r>
          </w:p>
        </w:tc>
        <w:tc>
          <w:tcPr>
            <w:tcW w:w="2698" w:type="pct"/>
            <w:vAlign w:val="center"/>
          </w:tcPr>
          <w:p w14:paraId="454C85FE">
            <w:pPr>
              <w:widowControl/>
              <w:spacing w:line="360" w:lineRule="auto"/>
              <w:jc w:val="left"/>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迎宾路政法委门口-球</w:t>
            </w:r>
          </w:p>
        </w:tc>
        <w:tc>
          <w:tcPr>
            <w:tcW w:w="1216" w:type="pct"/>
            <w:vAlign w:val="center"/>
          </w:tcPr>
          <w:p w14:paraId="44D0E3E6">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新华区-&gt;联盟路</w:t>
            </w:r>
          </w:p>
        </w:tc>
      </w:tr>
      <w:tr w14:paraId="627196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7" w:type="pct"/>
            <w:vAlign w:val="center"/>
          </w:tcPr>
          <w:p w14:paraId="703FB040">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28</w:t>
            </w:r>
          </w:p>
        </w:tc>
        <w:tc>
          <w:tcPr>
            <w:tcW w:w="677" w:type="pct"/>
            <w:vAlign w:val="center"/>
          </w:tcPr>
          <w:p w14:paraId="3BA35C19">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w:t>
            </w:r>
          </w:p>
        </w:tc>
        <w:tc>
          <w:tcPr>
            <w:tcW w:w="2698" w:type="pct"/>
            <w:vAlign w:val="center"/>
          </w:tcPr>
          <w:p w14:paraId="4F43BD39">
            <w:pPr>
              <w:widowControl/>
              <w:spacing w:line="360" w:lineRule="auto"/>
              <w:jc w:val="left"/>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迎宾路政法委门口-枪</w:t>
            </w:r>
          </w:p>
        </w:tc>
        <w:tc>
          <w:tcPr>
            <w:tcW w:w="1216" w:type="pct"/>
            <w:vAlign w:val="center"/>
          </w:tcPr>
          <w:p w14:paraId="140E28D0">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新华区-&gt;联盟路</w:t>
            </w:r>
          </w:p>
        </w:tc>
      </w:tr>
      <w:tr w14:paraId="56F053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7" w:type="pct"/>
            <w:vAlign w:val="center"/>
          </w:tcPr>
          <w:p w14:paraId="0A9A446C">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29</w:t>
            </w:r>
          </w:p>
        </w:tc>
        <w:tc>
          <w:tcPr>
            <w:tcW w:w="677" w:type="pct"/>
            <w:vAlign w:val="center"/>
          </w:tcPr>
          <w:p w14:paraId="10625409">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w:t>
            </w:r>
          </w:p>
        </w:tc>
        <w:tc>
          <w:tcPr>
            <w:tcW w:w="2698" w:type="pct"/>
            <w:vAlign w:val="center"/>
          </w:tcPr>
          <w:p w14:paraId="7BF2B201">
            <w:pPr>
              <w:widowControl/>
              <w:spacing w:line="360" w:lineRule="auto"/>
              <w:jc w:val="left"/>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中原玉石城楼顶</w:t>
            </w:r>
          </w:p>
        </w:tc>
        <w:tc>
          <w:tcPr>
            <w:tcW w:w="1216" w:type="pct"/>
            <w:vAlign w:val="center"/>
          </w:tcPr>
          <w:p w14:paraId="45463360">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新华区-&gt;联盟路</w:t>
            </w:r>
          </w:p>
        </w:tc>
      </w:tr>
      <w:tr w14:paraId="6D7DFE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7" w:type="pct"/>
            <w:vAlign w:val="center"/>
          </w:tcPr>
          <w:p w14:paraId="594F814C">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30</w:t>
            </w:r>
          </w:p>
        </w:tc>
        <w:tc>
          <w:tcPr>
            <w:tcW w:w="677" w:type="pct"/>
            <w:vAlign w:val="center"/>
          </w:tcPr>
          <w:p w14:paraId="7F0EC30C">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w:t>
            </w:r>
          </w:p>
        </w:tc>
        <w:tc>
          <w:tcPr>
            <w:tcW w:w="2698" w:type="pct"/>
            <w:vAlign w:val="center"/>
          </w:tcPr>
          <w:p w14:paraId="62D3909F">
            <w:pPr>
              <w:widowControl/>
              <w:spacing w:line="360" w:lineRule="auto"/>
              <w:jc w:val="left"/>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体育路与联盟路口人脸识别2</w:t>
            </w:r>
          </w:p>
        </w:tc>
        <w:tc>
          <w:tcPr>
            <w:tcW w:w="1216" w:type="pct"/>
            <w:vAlign w:val="center"/>
          </w:tcPr>
          <w:p w14:paraId="5C5EDAE4">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新华区-&gt;联盟路</w:t>
            </w:r>
          </w:p>
        </w:tc>
      </w:tr>
      <w:tr w14:paraId="08C803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7" w:type="pct"/>
            <w:vAlign w:val="center"/>
          </w:tcPr>
          <w:p w14:paraId="7F4520EA">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31</w:t>
            </w:r>
          </w:p>
        </w:tc>
        <w:tc>
          <w:tcPr>
            <w:tcW w:w="677" w:type="pct"/>
            <w:vAlign w:val="center"/>
          </w:tcPr>
          <w:p w14:paraId="68A0CDB4">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w:t>
            </w:r>
          </w:p>
        </w:tc>
        <w:tc>
          <w:tcPr>
            <w:tcW w:w="2698" w:type="pct"/>
            <w:vAlign w:val="center"/>
          </w:tcPr>
          <w:p w14:paraId="7DDF4D33">
            <w:pPr>
              <w:widowControl/>
              <w:spacing w:line="360" w:lineRule="auto"/>
              <w:jc w:val="left"/>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体育路与联盟路口人脸识别1</w:t>
            </w:r>
          </w:p>
        </w:tc>
        <w:tc>
          <w:tcPr>
            <w:tcW w:w="1216" w:type="pct"/>
            <w:vAlign w:val="center"/>
          </w:tcPr>
          <w:p w14:paraId="16A4D381">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新华区-&gt;联盟路</w:t>
            </w:r>
          </w:p>
        </w:tc>
      </w:tr>
      <w:tr w14:paraId="7FA098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7" w:type="pct"/>
            <w:vAlign w:val="center"/>
          </w:tcPr>
          <w:p w14:paraId="0A16B026">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32</w:t>
            </w:r>
          </w:p>
        </w:tc>
        <w:tc>
          <w:tcPr>
            <w:tcW w:w="677" w:type="pct"/>
            <w:vAlign w:val="center"/>
          </w:tcPr>
          <w:p w14:paraId="4AD0CBAF">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77</w:t>
            </w:r>
          </w:p>
        </w:tc>
        <w:tc>
          <w:tcPr>
            <w:tcW w:w="2698" w:type="pct"/>
            <w:vAlign w:val="center"/>
          </w:tcPr>
          <w:p w14:paraId="00AABAEF">
            <w:pPr>
              <w:widowControl/>
              <w:spacing w:line="360" w:lineRule="auto"/>
              <w:jc w:val="left"/>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077 体育路和平路口微卡口2</w:t>
            </w:r>
          </w:p>
        </w:tc>
        <w:tc>
          <w:tcPr>
            <w:tcW w:w="1216" w:type="pct"/>
            <w:vAlign w:val="center"/>
          </w:tcPr>
          <w:p w14:paraId="0EAF2070">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新华区-&gt;体育路</w:t>
            </w:r>
          </w:p>
        </w:tc>
      </w:tr>
      <w:tr w14:paraId="6C6558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7" w:type="pct"/>
            <w:vAlign w:val="center"/>
          </w:tcPr>
          <w:p w14:paraId="477A6CEF">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33</w:t>
            </w:r>
          </w:p>
        </w:tc>
        <w:tc>
          <w:tcPr>
            <w:tcW w:w="677" w:type="pct"/>
            <w:vAlign w:val="center"/>
          </w:tcPr>
          <w:p w14:paraId="5DA8E430">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188</w:t>
            </w:r>
          </w:p>
        </w:tc>
        <w:tc>
          <w:tcPr>
            <w:tcW w:w="2698" w:type="pct"/>
            <w:vAlign w:val="center"/>
          </w:tcPr>
          <w:p w14:paraId="42EEFBA7">
            <w:pPr>
              <w:widowControl/>
              <w:spacing w:line="360" w:lineRule="auto"/>
              <w:jc w:val="left"/>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188 体育路金龙眼镜门口</w:t>
            </w:r>
          </w:p>
        </w:tc>
        <w:tc>
          <w:tcPr>
            <w:tcW w:w="1216" w:type="pct"/>
            <w:vAlign w:val="center"/>
          </w:tcPr>
          <w:p w14:paraId="4644C302">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新华区-&gt;体育路</w:t>
            </w:r>
          </w:p>
        </w:tc>
      </w:tr>
      <w:tr w14:paraId="72FE9D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7" w:type="pct"/>
            <w:vAlign w:val="center"/>
          </w:tcPr>
          <w:p w14:paraId="1D63C720">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34</w:t>
            </w:r>
          </w:p>
        </w:tc>
        <w:tc>
          <w:tcPr>
            <w:tcW w:w="677" w:type="pct"/>
            <w:vAlign w:val="center"/>
          </w:tcPr>
          <w:p w14:paraId="15EFB98E">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11</w:t>
            </w:r>
          </w:p>
        </w:tc>
        <w:tc>
          <w:tcPr>
            <w:tcW w:w="2698" w:type="pct"/>
            <w:vAlign w:val="center"/>
          </w:tcPr>
          <w:p w14:paraId="6DB10488">
            <w:pPr>
              <w:widowControl/>
              <w:spacing w:line="360" w:lineRule="auto"/>
              <w:jc w:val="left"/>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011 体育路联盟路路口2</w:t>
            </w:r>
          </w:p>
        </w:tc>
        <w:tc>
          <w:tcPr>
            <w:tcW w:w="1216" w:type="pct"/>
            <w:vAlign w:val="center"/>
          </w:tcPr>
          <w:p w14:paraId="7E00F493">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新华区-&gt;体育路</w:t>
            </w:r>
          </w:p>
        </w:tc>
      </w:tr>
      <w:tr w14:paraId="329F4B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7" w:type="pct"/>
            <w:vAlign w:val="center"/>
          </w:tcPr>
          <w:p w14:paraId="7AE9D17B">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35</w:t>
            </w:r>
          </w:p>
        </w:tc>
        <w:tc>
          <w:tcPr>
            <w:tcW w:w="677" w:type="pct"/>
            <w:vAlign w:val="center"/>
          </w:tcPr>
          <w:p w14:paraId="412F3CB0">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10</w:t>
            </w:r>
          </w:p>
        </w:tc>
        <w:tc>
          <w:tcPr>
            <w:tcW w:w="2698" w:type="pct"/>
            <w:vAlign w:val="center"/>
          </w:tcPr>
          <w:p w14:paraId="3EF22DE0">
            <w:pPr>
              <w:widowControl/>
              <w:spacing w:line="360" w:lineRule="auto"/>
              <w:jc w:val="left"/>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010 体育路联盟路路口1</w:t>
            </w:r>
          </w:p>
        </w:tc>
        <w:tc>
          <w:tcPr>
            <w:tcW w:w="1216" w:type="pct"/>
            <w:vAlign w:val="center"/>
          </w:tcPr>
          <w:p w14:paraId="1EC38A5C">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新华区-&gt;体育路</w:t>
            </w:r>
          </w:p>
        </w:tc>
      </w:tr>
      <w:tr w14:paraId="660FF6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7" w:type="pct"/>
            <w:vAlign w:val="center"/>
          </w:tcPr>
          <w:p w14:paraId="3DEDF263">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36</w:t>
            </w:r>
          </w:p>
        </w:tc>
        <w:tc>
          <w:tcPr>
            <w:tcW w:w="677" w:type="pct"/>
            <w:vAlign w:val="center"/>
          </w:tcPr>
          <w:p w14:paraId="45DD250D">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213</w:t>
            </w:r>
          </w:p>
        </w:tc>
        <w:tc>
          <w:tcPr>
            <w:tcW w:w="2698" w:type="pct"/>
            <w:vAlign w:val="center"/>
          </w:tcPr>
          <w:p w14:paraId="173E9907">
            <w:pPr>
              <w:widowControl/>
              <w:spacing w:line="360" w:lineRule="auto"/>
              <w:jc w:val="left"/>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213 体育路联盟路微卡口1</w:t>
            </w:r>
          </w:p>
        </w:tc>
        <w:tc>
          <w:tcPr>
            <w:tcW w:w="1216" w:type="pct"/>
            <w:vAlign w:val="center"/>
          </w:tcPr>
          <w:p w14:paraId="17035B3D">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新华区-&gt;体育路</w:t>
            </w:r>
          </w:p>
        </w:tc>
      </w:tr>
      <w:tr w14:paraId="72BB23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7" w:type="pct"/>
            <w:vAlign w:val="center"/>
          </w:tcPr>
          <w:p w14:paraId="2CDC8228">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37</w:t>
            </w:r>
          </w:p>
        </w:tc>
        <w:tc>
          <w:tcPr>
            <w:tcW w:w="677" w:type="pct"/>
            <w:vAlign w:val="center"/>
          </w:tcPr>
          <w:p w14:paraId="093FBDD0">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100</w:t>
            </w:r>
          </w:p>
        </w:tc>
        <w:tc>
          <w:tcPr>
            <w:tcW w:w="2698" w:type="pct"/>
            <w:vAlign w:val="center"/>
          </w:tcPr>
          <w:p w14:paraId="78E70F3D">
            <w:pPr>
              <w:widowControl/>
              <w:spacing w:line="360" w:lineRule="auto"/>
              <w:jc w:val="left"/>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100 体育路杏花楼斜对过</w:t>
            </w:r>
          </w:p>
        </w:tc>
        <w:tc>
          <w:tcPr>
            <w:tcW w:w="1216" w:type="pct"/>
            <w:vAlign w:val="center"/>
          </w:tcPr>
          <w:p w14:paraId="685318F5">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新华区-&gt;体育路</w:t>
            </w:r>
          </w:p>
        </w:tc>
      </w:tr>
      <w:tr w14:paraId="5DC87E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7" w:type="pct"/>
            <w:vAlign w:val="center"/>
          </w:tcPr>
          <w:p w14:paraId="1A8A3040">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38</w:t>
            </w:r>
          </w:p>
        </w:tc>
        <w:tc>
          <w:tcPr>
            <w:tcW w:w="677" w:type="pct"/>
            <w:vAlign w:val="center"/>
          </w:tcPr>
          <w:p w14:paraId="0376FCAA">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120</w:t>
            </w:r>
          </w:p>
        </w:tc>
        <w:tc>
          <w:tcPr>
            <w:tcW w:w="2698" w:type="pct"/>
            <w:vAlign w:val="center"/>
          </w:tcPr>
          <w:p w14:paraId="3D351C72">
            <w:pPr>
              <w:widowControl/>
              <w:spacing w:line="360" w:lineRule="auto"/>
              <w:jc w:val="left"/>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120 体育路曙光街口南电竞俱乐部对面</w:t>
            </w:r>
          </w:p>
        </w:tc>
        <w:tc>
          <w:tcPr>
            <w:tcW w:w="1216" w:type="pct"/>
            <w:vAlign w:val="center"/>
          </w:tcPr>
          <w:p w14:paraId="45C738B7">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新华区-&gt;体育路</w:t>
            </w:r>
          </w:p>
        </w:tc>
      </w:tr>
      <w:tr w14:paraId="60DDF7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7" w:type="pct"/>
            <w:vAlign w:val="center"/>
          </w:tcPr>
          <w:p w14:paraId="646E77A9">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39</w:t>
            </w:r>
          </w:p>
        </w:tc>
        <w:tc>
          <w:tcPr>
            <w:tcW w:w="677" w:type="pct"/>
            <w:vAlign w:val="center"/>
          </w:tcPr>
          <w:p w14:paraId="3BD2AF13">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29</w:t>
            </w:r>
          </w:p>
        </w:tc>
        <w:tc>
          <w:tcPr>
            <w:tcW w:w="2698" w:type="pct"/>
            <w:vAlign w:val="center"/>
          </w:tcPr>
          <w:p w14:paraId="381F29D5">
            <w:pPr>
              <w:widowControl/>
              <w:spacing w:line="360" w:lineRule="auto"/>
              <w:jc w:val="left"/>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029 体育路曙光街口南侧路西</w:t>
            </w:r>
          </w:p>
        </w:tc>
        <w:tc>
          <w:tcPr>
            <w:tcW w:w="1216" w:type="pct"/>
            <w:vAlign w:val="center"/>
          </w:tcPr>
          <w:p w14:paraId="61851C81">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新华区-&gt;体育路</w:t>
            </w:r>
          </w:p>
        </w:tc>
      </w:tr>
      <w:tr w14:paraId="055896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7" w:type="pct"/>
            <w:vAlign w:val="center"/>
          </w:tcPr>
          <w:p w14:paraId="2BEC6579">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40</w:t>
            </w:r>
          </w:p>
        </w:tc>
        <w:tc>
          <w:tcPr>
            <w:tcW w:w="677" w:type="pct"/>
            <w:vAlign w:val="center"/>
          </w:tcPr>
          <w:p w14:paraId="266E49D6">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79</w:t>
            </w:r>
          </w:p>
        </w:tc>
        <w:tc>
          <w:tcPr>
            <w:tcW w:w="2698" w:type="pct"/>
            <w:vAlign w:val="center"/>
          </w:tcPr>
          <w:p w14:paraId="5FE8284C">
            <w:pPr>
              <w:widowControl/>
              <w:spacing w:line="360" w:lineRule="auto"/>
              <w:jc w:val="left"/>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079 体育路小学门口微卡口1</w:t>
            </w:r>
          </w:p>
        </w:tc>
        <w:tc>
          <w:tcPr>
            <w:tcW w:w="1216" w:type="pct"/>
            <w:vAlign w:val="center"/>
          </w:tcPr>
          <w:p w14:paraId="5F75F9AB">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新华区-&gt;体育路</w:t>
            </w:r>
          </w:p>
        </w:tc>
      </w:tr>
      <w:tr w14:paraId="0F1D21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7" w:type="pct"/>
            <w:vAlign w:val="center"/>
          </w:tcPr>
          <w:p w14:paraId="307688B1">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41</w:t>
            </w:r>
          </w:p>
        </w:tc>
        <w:tc>
          <w:tcPr>
            <w:tcW w:w="677" w:type="pct"/>
            <w:vAlign w:val="center"/>
          </w:tcPr>
          <w:p w14:paraId="7E768DA8">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13</w:t>
            </w:r>
          </w:p>
        </w:tc>
        <w:tc>
          <w:tcPr>
            <w:tcW w:w="2698" w:type="pct"/>
            <w:vAlign w:val="center"/>
          </w:tcPr>
          <w:p w14:paraId="4FCC4B59">
            <w:pPr>
              <w:widowControl/>
              <w:spacing w:line="360" w:lineRule="auto"/>
              <w:jc w:val="left"/>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013 体育路小学门口对面微卡口</w:t>
            </w:r>
          </w:p>
        </w:tc>
        <w:tc>
          <w:tcPr>
            <w:tcW w:w="1216" w:type="pct"/>
            <w:vAlign w:val="center"/>
          </w:tcPr>
          <w:p w14:paraId="2CF47D94">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新华区-&gt;体育路</w:t>
            </w:r>
          </w:p>
        </w:tc>
      </w:tr>
      <w:tr w14:paraId="515964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7" w:type="pct"/>
            <w:vAlign w:val="center"/>
          </w:tcPr>
          <w:p w14:paraId="5493D788">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42</w:t>
            </w:r>
          </w:p>
        </w:tc>
        <w:tc>
          <w:tcPr>
            <w:tcW w:w="677" w:type="pct"/>
            <w:vAlign w:val="center"/>
          </w:tcPr>
          <w:p w14:paraId="0D298F3D">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74</w:t>
            </w:r>
          </w:p>
        </w:tc>
        <w:tc>
          <w:tcPr>
            <w:tcW w:w="2698" w:type="pct"/>
            <w:vAlign w:val="center"/>
          </w:tcPr>
          <w:p w14:paraId="0BD727DC">
            <w:pPr>
              <w:widowControl/>
              <w:spacing w:line="360" w:lineRule="auto"/>
              <w:jc w:val="left"/>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074 体育路和平路微卡口1</w:t>
            </w:r>
          </w:p>
        </w:tc>
        <w:tc>
          <w:tcPr>
            <w:tcW w:w="1216" w:type="pct"/>
            <w:vAlign w:val="center"/>
          </w:tcPr>
          <w:p w14:paraId="230B9809">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新华区-&gt;体育路</w:t>
            </w:r>
          </w:p>
        </w:tc>
      </w:tr>
      <w:tr w14:paraId="107303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7" w:type="pct"/>
            <w:vAlign w:val="center"/>
          </w:tcPr>
          <w:p w14:paraId="0CC98E56">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43</w:t>
            </w:r>
          </w:p>
        </w:tc>
        <w:tc>
          <w:tcPr>
            <w:tcW w:w="677" w:type="pct"/>
            <w:vAlign w:val="center"/>
          </w:tcPr>
          <w:p w14:paraId="68E126A8">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61</w:t>
            </w:r>
          </w:p>
        </w:tc>
        <w:tc>
          <w:tcPr>
            <w:tcW w:w="2698" w:type="pct"/>
            <w:vAlign w:val="center"/>
          </w:tcPr>
          <w:p w14:paraId="515BF8AD">
            <w:pPr>
              <w:widowControl/>
              <w:spacing w:line="360" w:lineRule="auto"/>
              <w:jc w:val="left"/>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061 体育路兴业银行对面</w:t>
            </w:r>
          </w:p>
        </w:tc>
        <w:tc>
          <w:tcPr>
            <w:tcW w:w="1216" w:type="pct"/>
            <w:vAlign w:val="center"/>
          </w:tcPr>
          <w:p w14:paraId="4E34AE23">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新华区-&gt;体育路</w:t>
            </w:r>
          </w:p>
        </w:tc>
      </w:tr>
      <w:tr w14:paraId="5136BC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7" w:type="pct"/>
            <w:vAlign w:val="center"/>
          </w:tcPr>
          <w:p w14:paraId="34788C3C">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44</w:t>
            </w:r>
          </w:p>
        </w:tc>
        <w:tc>
          <w:tcPr>
            <w:tcW w:w="677" w:type="pct"/>
            <w:vAlign w:val="center"/>
          </w:tcPr>
          <w:p w14:paraId="35E566F3">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233</w:t>
            </w:r>
          </w:p>
        </w:tc>
        <w:tc>
          <w:tcPr>
            <w:tcW w:w="2698" w:type="pct"/>
            <w:vAlign w:val="center"/>
          </w:tcPr>
          <w:p w14:paraId="30988018">
            <w:pPr>
              <w:widowControl/>
              <w:spacing w:line="360" w:lineRule="auto"/>
              <w:jc w:val="left"/>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233 体育路菜市场南段80号北向</w:t>
            </w:r>
          </w:p>
        </w:tc>
        <w:tc>
          <w:tcPr>
            <w:tcW w:w="1216" w:type="pct"/>
            <w:vAlign w:val="center"/>
          </w:tcPr>
          <w:p w14:paraId="5ACAC029">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新华区-&gt;体育路</w:t>
            </w:r>
          </w:p>
        </w:tc>
      </w:tr>
      <w:tr w14:paraId="58F414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7" w:type="pct"/>
            <w:vAlign w:val="center"/>
          </w:tcPr>
          <w:p w14:paraId="7AF6AF6B">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45</w:t>
            </w:r>
          </w:p>
        </w:tc>
        <w:tc>
          <w:tcPr>
            <w:tcW w:w="677" w:type="pct"/>
            <w:vAlign w:val="center"/>
          </w:tcPr>
          <w:p w14:paraId="48F4C850">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234</w:t>
            </w:r>
          </w:p>
        </w:tc>
        <w:tc>
          <w:tcPr>
            <w:tcW w:w="2698" w:type="pct"/>
            <w:vAlign w:val="center"/>
          </w:tcPr>
          <w:p w14:paraId="7C16DCA7">
            <w:pPr>
              <w:widowControl/>
              <w:spacing w:line="360" w:lineRule="auto"/>
              <w:jc w:val="left"/>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234 体育路菜市场军杰粮行门口北向</w:t>
            </w:r>
          </w:p>
        </w:tc>
        <w:tc>
          <w:tcPr>
            <w:tcW w:w="1216" w:type="pct"/>
            <w:vAlign w:val="center"/>
          </w:tcPr>
          <w:p w14:paraId="543A39D5">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新华区-&gt;体育路</w:t>
            </w:r>
          </w:p>
        </w:tc>
      </w:tr>
      <w:tr w14:paraId="7E3C09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7" w:type="pct"/>
            <w:vAlign w:val="center"/>
          </w:tcPr>
          <w:p w14:paraId="67327874">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46</w:t>
            </w:r>
          </w:p>
        </w:tc>
        <w:tc>
          <w:tcPr>
            <w:tcW w:w="677" w:type="pct"/>
            <w:vAlign w:val="center"/>
          </w:tcPr>
          <w:p w14:paraId="60099A73">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15</w:t>
            </w:r>
          </w:p>
        </w:tc>
        <w:tc>
          <w:tcPr>
            <w:tcW w:w="2698" w:type="pct"/>
            <w:vAlign w:val="center"/>
          </w:tcPr>
          <w:p w14:paraId="75AED110">
            <w:pPr>
              <w:widowControl/>
              <w:spacing w:line="360" w:lineRule="auto"/>
              <w:jc w:val="left"/>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015 体育路矿工路路口东南角</w:t>
            </w:r>
          </w:p>
        </w:tc>
        <w:tc>
          <w:tcPr>
            <w:tcW w:w="1216" w:type="pct"/>
            <w:vAlign w:val="center"/>
          </w:tcPr>
          <w:p w14:paraId="1333702E">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新华区-&gt;体育路</w:t>
            </w:r>
          </w:p>
        </w:tc>
      </w:tr>
      <w:tr w14:paraId="543908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7" w:type="pct"/>
            <w:vAlign w:val="center"/>
          </w:tcPr>
          <w:p w14:paraId="0E967D14">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47</w:t>
            </w:r>
          </w:p>
        </w:tc>
        <w:tc>
          <w:tcPr>
            <w:tcW w:w="677" w:type="pct"/>
            <w:vAlign w:val="center"/>
          </w:tcPr>
          <w:p w14:paraId="462F92AD">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201</w:t>
            </w:r>
          </w:p>
        </w:tc>
        <w:tc>
          <w:tcPr>
            <w:tcW w:w="2698" w:type="pct"/>
            <w:vAlign w:val="center"/>
          </w:tcPr>
          <w:p w14:paraId="1C50EDC6">
            <w:pPr>
              <w:widowControl/>
              <w:spacing w:line="360" w:lineRule="auto"/>
              <w:jc w:val="left"/>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201 体育路菜市场南段80号南向</w:t>
            </w:r>
          </w:p>
        </w:tc>
        <w:tc>
          <w:tcPr>
            <w:tcW w:w="1216" w:type="pct"/>
            <w:vAlign w:val="center"/>
          </w:tcPr>
          <w:p w14:paraId="24F65792">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新华区-&gt;体育路</w:t>
            </w:r>
          </w:p>
        </w:tc>
      </w:tr>
      <w:tr w14:paraId="07E461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7" w:type="pct"/>
            <w:vAlign w:val="center"/>
          </w:tcPr>
          <w:p w14:paraId="6EC99CC6">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48</w:t>
            </w:r>
          </w:p>
        </w:tc>
        <w:tc>
          <w:tcPr>
            <w:tcW w:w="677" w:type="pct"/>
            <w:vAlign w:val="center"/>
          </w:tcPr>
          <w:p w14:paraId="1C165188">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205</w:t>
            </w:r>
          </w:p>
        </w:tc>
        <w:tc>
          <w:tcPr>
            <w:tcW w:w="2698" w:type="pct"/>
            <w:vAlign w:val="center"/>
          </w:tcPr>
          <w:p w14:paraId="0C636F59">
            <w:pPr>
              <w:widowControl/>
              <w:spacing w:line="360" w:lineRule="auto"/>
              <w:jc w:val="left"/>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205 体育路菜市场军杰粮行门口南向</w:t>
            </w:r>
          </w:p>
        </w:tc>
        <w:tc>
          <w:tcPr>
            <w:tcW w:w="1216" w:type="pct"/>
            <w:vAlign w:val="center"/>
          </w:tcPr>
          <w:p w14:paraId="11181B85">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新华区-&gt;体育路</w:t>
            </w:r>
          </w:p>
        </w:tc>
      </w:tr>
      <w:tr w14:paraId="2B3A31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7" w:type="pct"/>
            <w:vAlign w:val="center"/>
          </w:tcPr>
          <w:p w14:paraId="6C7A2DD5">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49</w:t>
            </w:r>
          </w:p>
        </w:tc>
        <w:tc>
          <w:tcPr>
            <w:tcW w:w="677" w:type="pct"/>
            <w:vAlign w:val="center"/>
          </w:tcPr>
          <w:p w14:paraId="3D01CEA7">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70</w:t>
            </w:r>
          </w:p>
        </w:tc>
        <w:tc>
          <w:tcPr>
            <w:tcW w:w="2698" w:type="pct"/>
            <w:vAlign w:val="center"/>
          </w:tcPr>
          <w:p w14:paraId="00B44917">
            <w:pPr>
              <w:widowControl/>
              <w:spacing w:line="360" w:lineRule="auto"/>
              <w:jc w:val="left"/>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070 体育路和平路交叉口</w:t>
            </w:r>
          </w:p>
        </w:tc>
        <w:tc>
          <w:tcPr>
            <w:tcW w:w="1216" w:type="pct"/>
            <w:vAlign w:val="center"/>
          </w:tcPr>
          <w:p w14:paraId="04CD65B3">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新华区-&gt;体育路</w:t>
            </w:r>
          </w:p>
        </w:tc>
      </w:tr>
      <w:tr w14:paraId="4B1339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7" w:type="pct"/>
            <w:vAlign w:val="center"/>
          </w:tcPr>
          <w:p w14:paraId="429540F9">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50</w:t>
            </w:r>
          </w:p>
        </w:tc>
        <w:tc>
          <w:tcPr>
            <w:tcW w:w="677" w:type="pct"/>
            <w:vAlign w:val="center"/>
          </w:tcPr>
          <w:p w14:paraId="0DBCC5EA">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w:t>
            </w:r>
          </w:p>
        </w:tc>
        <w:tc>
          <w:tcPr>
            <w:tcW w:w="2698" w:type="pct"/>
            <w:vAlign w:val="center"/>
          </w:tcPr>
          <w:p w14:paraId="4D7F6610">
            <w:pPr>
              <w:widowControl/>
              <w:spacing w:line="360" w:lineRule="auto"/>
              <w:jc w:val="left"/>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文化馆东门枪球联动 枪</w:t>
            </w:r>
          </w:p>
        </w:tc>
        <w:tc>
          <w:tcPr>
            <w:tcW w:w="1216" w:type="pct"/>
            <w:vAlign w:val="center"/>
          </w:tcPr>
          <w:p w14:paraId="755C785C">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新华区-&gt;体育路</w:t>
            </w:r>
          </w:p>
        </w:tc>
      </w:tr>
      <w:tr w14:paraId="1DDE82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7" w:type="pct"/>
            <w:vAlign w:val="center"/>
          </w:tcPr>
          <w:p w14:paraId="58CD08E8">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51</w:t>
            </w:r>
          </w:p>
        </w:tc>
        <w:tc>
          <w:tcPr>
            <w:tcW w:w="677" w:type="pct"/>
            <w:vAlign w:val="center"/>
          </w:tcPr>
          <w:p w14:paraId="2843408B">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w:t>
            </w:r>
          </w:p>
        </w:tc>
        <w:tc>
          <w:tcPr>
            <w:tcW w:w="2698" w:type="pct"/>
            <w:vAlign w:val="center"/>
          </w:tcPr>
          <w:p w14:paraId="770BABFD">
            <w:pPr>
              <w:widowControl/>
              <w:spacing w:line="360" w:lineRule="auto"/>
              <w:jc w:val="left"/>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文化宫东门枪球联动 球</w:t>
            </w:r>
          </w:p>
        </w:tc>
        <w:tc>
          <w:tcPr>
            <w:tcW w:w="1216" w:type="pct"/>
            <w:vAlign w:val="center"/>
          </w:tcPr>
          <w:p w14:paraId="33DF7D4D">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新华区-&gt;体育路</w:t>
            </w:r>
          </w:p>
        </w:tc>
      </w:tr>
      <w:tr w14:paraId="1C7B22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7" w:type="pct"/>
            <w:vAlign w:val="center"/>
          </w:tcPr>
          <w:p w14:paraId="301BE494">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52</w:t>
            </w:r>
          </w:p>
        </w:tc>
        <w:tc>
          <w:tcPr>
            <w:tcW w:w="677" w:type="pct"/>
            <w:vAlign w:val="center"/>
          </w:tcPr>
          <w:p w14:paraId="635C4090">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20</w:t>
            </w:r>
          </w:p>
        </w:tc>
        <w:tc>
          <w:tcPr>
            <w:tcW w:w="2698" w:type="pct"/>
            <w:vAlign w:val="center"/>
          </w:tcPr>
          <w:p w14:paraId="38A6C12E">
            <w:pPr>
              <w:widowControl/>
              <w:spacing w:line="360" w:lineRule="auto"/>
              <w:jc w:val="left"/>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020 体育路杏花楼对面</w:t>
            </w:r>
          </w:p>
        </w:tc>
        <w:tc>
          <w:tcPr>
            <w:tcW w:w="1216" w:type="pct"/>
            <w:vAlign w:val="center"/>
          </w:tcPr>
          <w:p w14:paraId="1B539F50">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新华区-&gt;体育路</w:t>
            </w:r>
          </w:p>
        </w:tc>
      </w:tr>
      <w:tr w14:paraId="4801BA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7" w:type="pct"/>
            <w:vAlign w:val="center"/>
          </w:tcPr>
          <w:p w14:paraId="509E6442">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53</w:t>
            </w:r>
          </w:p>
        </w:tc>
        <w:tc>
          <w:tcPr>
            <w:tcW w:w="677" w:type="pct"/>
            <w:vAlign w:val="center"/>
          </w:tcPr>
          <w:p w14:paraId="4B5C622B">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269</w:t>
            </w:r>
          </w:p>
        </w:tc>
        <w:tc>
          <w:tcPr>
            <w:tcW w:w="2698" w:type="pct"/>
            <w:vAlign w:val="center"/>
          </w:tcPr>
          <w:p w14:paraId="35884230">
            <w:pPr>
              <w:widowControl/>
              <w:spacing w:line="360" w:lineRule="auto"/>
              <w:jc w:val="left"/>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269  体育路与启蒙路交叉口东南角向南</w:t>
            </w:r>
          </w:p>
        </w:tc>
        <w:tc>
          <w:tcPr>
            <w:tcW w:w="1216" w:type="pct"/>
            <w:vAlign w:val="center"/>
          </w:tcPr>
          <w:p w14:paraId="4FDDFF41">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新华区-&gt;体育路</w:t>
            </w:r>
          </w:p>
        </w:tc>
      </w:tr>
      <w:tr w14:paraId="290D35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7" w:type="pct"/>
            <w:vAlign w:val="center"/>
          </w:tcPr>
          <w:p w14:paraId="45F36251">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54</w:t>
            </w:r>
          </w:p>
        </w:tc>
        <w:tc>
          <w:tcPr>
            <w:tcW w:w="677" w:type="pct"/>
            <w:vAlign w:val="center"/>
          </w:tcPr>
          <w:p w14:paraId="7FACFF09">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270</w:t>
            </w:r>
          </w:p>
        </w:tc>
        <w:tc>
          <w:tcPr>
            <w:tcW w:w="2698" w:type="pct"/>
            <w:vAlign w:val="center"/>
          </w:tcPr>
          <w:p w14:paraId="7C9C73E3">
            <w:pPr>
              <w:widowControl/>
              <w:spacing w:line="360" w:lineRule="auto"/>
              <w:jc w:val="left"/>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270 体育路与启蒙路交叉口东南角向北</w:t>
            </w:r>
          </w:p>
        </w:tc>
        <w:tc>
          <w:tcPr>
            <w:tcW w:w="1216" w:type="pct"/>
            <w:vAlign w:val="center"/>
          </w:tcPr>
          <w:p w14:paraId="7ACB289C">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新华区-&gt;体育路</w:t>
            </w:r>
          </w:p>
        </w:tc>
      </w:tr>
      <w:tr w14:paraId="5DBDCE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7" w:type="pct"/>
            <w:vAlign w:val="center"/>
          </w:tcPr>
          <w:p w14:paraId="2B8476B2">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55</w:t>
            </w:r>
          </w:p>
        </w:tc>
        <w:tc>
          <w:tcPr>
            <w:tcW w:w="677" w:type="pct"/>
            <w:vAlign w:val="center"/>
          </w:tcPr>
          <w:p w14:paraId="66549F1D">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271</w:t>
            </w:r>
          </w:p>
        </w:tc>
        <w:tc>
          <w:tcPr>
            <w:tcW w:w="2698" w:type="pct"/>
            <w:vAlign w:val="center"/>
          </w:tcPr>
          <w:p w14:paraId="74E25ECB">
            <w:pPr>
              <w:widowControl/>
              <w:spacing w:line="360" w:lineRule="auto"/>
              <w:jc w:val="left"/>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271 体育路市场南 向北</w:t>
            </w:r>
          </w:p>
        </w:tc>
        <w:tc>
          <w:tcPr>
            <w:tcW w:w="1216" w:type="pct"/>
            <w:vAlign w:val="center"/>
          </w:tcPr>
          <w:p w14:paraId="53B8A71E">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新华区-&gt;体育路</w:t>
            </w:r>
          </w:p>
        </w:tc>
      </w:tr>
      <w:tr w14:paraId="430BA5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7" w:type="pct"/>
            <w:vAlign w:val="center"/>
          </w:tcPr>
          <w:p w14:paraId="2704DA96">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56</w:t>
            </w:r>
          </w:p>
        </w:tc>
        <w:tc>
          <w:tcPr>
            <w:tcW w:w="677" w:type="pct"/>
            <w:vAlign w:val="center"/>
          </w:tcPr>
          <w:p w14:paraId="420B7B49">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273</w:t>
            </w:r>
          </w:p>
        </w:tc>
        <w:tc>
          <w:tcPr>
            <w:tcW w:w="2698" w:type="pct"/>
            <w:vAlign w:val="center"/>
          </w:tcPr>
          <w:p w14:paraId="5929B5A6">
            <w:pPr>
              <w:widowControl/>
              <w:spacing w:line="360" w:lineRule="auto"/>
              <w:jc w:val="left"/>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273 体育路和启蒙路交叉口西南角 向东</w:t>
            </w:r>
          </w:p>
        </w:tc>
        <w:tc>
          <w:tcPr>
            <w:tcW w:w="1216" w:type="pct"/>
            <w:vAlign w:val="center"/>
          </w:tcPr>
          <w:p w14:paraId="3EF3AE53">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新华区-&gt;体育路</w:t>
            </w:r>
          </w:p>
        </w:tc>
      </w:tr>
      <w:tr w14:paraId="359F82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7" w:type="pct"/>
            <w:vAlign w:val="center"/>
          </w:tcPr>
          <w:p w14:paraId="5A28C79C">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57</w:t>
            </w:r>
          </w:p>
        </w:tc>
        <w:tc>
          <w:tcPr>
            <w:tcW w:w="677" w:type="pct"/>
            <w:vAlign w:val="center"/>
          </w:tcPr>
          <w:p w14:paraId="7DA13982">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274</w:t>
            </w:r>
          </w:p>
        </w:tc>
        <w:tc>
          <w:tcPr>
            <w:tcW w:w="2698" w:type="pct"/>
            <w:vAlign w:val="center"/>
          </w:tcPr>
          <w:p w14:paraId="1471CF78">
            <w:pPr>
              <w:widowControl/>
              <w:spacing w:line="360" w:lineRule="auto"/>
              <w:jc w:val="left"/>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274 体育路和启蒙路交叉口西南角 向北</w:t>
            </w:r>
          </w:p>
        </w:tc>
        <w:tc>
          <w:tcPr>
            <w:tcW w:w="1216" w:type="pct"/>
            <w:vAlign w:val="center"/>
          </w:tcPr>
          <w:p w14:paraId="1A3EDFE9">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新华区-&gt;体育路</w:t>
            </w:r>
          </w:p>
        </w:tc>
      </w:tr>
      <w:tr w14:paraId="2639A8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7" w:type="pct"/>
            <w:vAlign w:val="center"/>
          </w:tcPr>
          <w:p w14:paraId="0ACEEA70">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58</w:t>
            </w:r>
          </w:p>
        </w:tc>
        <w:tc>
          <w:tcPr>
            <w:tcW w:w="677" w:type="pct"/>
            <w:vAlign w:val="center"/>
          </w:tcPr>
          <w:p w14:paraId="41BE727D">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275</w:t>
            </w:r>
          </w:p>
        </w:tc>
        <w:tc>
          <w:tcPr>
            <w:tcW w:w="2698" w:type="pct"/>
            <w:vAlign w:val="center"/>
          </w:tcPr>
          <w:p w14:paraId="1DB403CE">
            <w:pPr>
              <w:widowControl/>
              <w:spacing w:line="360" w:lineRule="auto"/>
              <w:jc w:val="left"/>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275 体育路市场西侧 向北</w:t>
            </w:r>
          </w:p>
        </w:tc>
        <w:tc>
          <w:tcPr>
            <w:tcW w:w="1216" w:type="pct"/>
            <w:vAlign w:val="center"/>
          </w:tcPr>
          <w:p w14:paraId="0C89454D">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新华区-&gt;体育路</w:t>
            </w:r>
          </w:p>
        </w:tc>
      </w:tr>
      <w:tr w14:paraId="4F406E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7" w:type="pct"/>
            <w:vAlign w:val="center"/>
          </w:tcPr>
          <w:p w14:paraId="4DAFC7D8">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59</w:t>
            </w:r>
          </w:p>
        </w:tc>
        <w:tc>
          <w:tcPr>
            <w:tcW w:w="677" w:type="pct"/>
            <w:vAlign w:val="center"/>
          </w:tcPr>
          <w:p w14:paraId="324F9279">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276</w:t>
            </w:r>
          </w:p>
        </w:tc>
        <w:tc>
          <w:tcPr>
            <w:tcW w:w="2698" w:type="pct"/>
            <w:vAlign w:val="center"/>
          </w:tcPr>
          <w:p w14:paraId="2F31330D">
            <w:pPr>
              <w:widowControl/>
              <w:spacing w:line="360" w:lineRule="auto"/>
              <w:jc w:val="left"/>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276 体育路市场西侧 向南</w:t>
            </w:r>
          </w:p>
        </w:tc>
        <w:tc>
          <w:tcPr>
            <w:tcW w:w="1216" w:type="pct"/>
            <w:vAlign w:val="center"/>
          </w:tcPr>
          <w:p w14:paraId="7AECFAED">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新华区-&gt;体育路</w:t>
            </w:r>
          </w:p>
        </w:tc>
      </w:tr>
      <w:tr w14:paraId="4EDA31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7" w:type="pct"/>
            <w:vAlign w:val="center"/>
          </w:tcPr>
          <w:p w14:paraId="0DF62D3D">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60</w:t>
            </w:r>
          </w:p>
        </w:tc>
        <w:tc>
          <w:tcPr>
            <w:tcW w:w="677" w:type="pct"/>
            <w:vAlign w:val="center"/>
          </w:tcPr>
          <w:p w14:paraId="2FDADFC4">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278</w:t>
            </w:r>
          </w:p>
        </w:tc>
        <w:tc>
          <w:tcPr>
            <w:tcW w:w="2698" w:type="pct"/>
            <w:vAlign w:val="center"/>
          </w:tcPr>
          <w:p w14:paraId="060F395E">
            <w:pPr>
              <w:widowControl/>
              <w:spacing w:line="360" w:lineRule="auto"/>
              <w:jc w:val="left"/>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278 体育路市场东侧 向南</w:t>
            </w:r>
          </w:p>
        </w:tc>
        <w:tc>
          <w:tcPr>
            <w:tcW w:w="1216" w:type="pct"/>
            <w:vAlign w:val="center"/>
          </w:tcPr>
          <w:p w14:paraId="7C21B627">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新华区-&gt;体育路</w:t>
            </w:r>
          </w:p>
        </w:tc>
      </w:tr>
      <w:tr w14:paraId="79E44D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7" w:type="pct"/>
            <w:vAlign w:val="center"/>
          </w:tcPr>
          <w:p w14:paraId="3B234D06">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61</w:t>
            </w:r>
          </w:p>
        </w:tc>
        <w:tc>
          <w:tcPr>
            <w:tcW w:w="677" w:type="pct"/>
            <w:vAlign w:val="center"/>
          </w:tcPr>
          <w:p w14:paraId="214D0987">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67</w:t>
            </w:r>
          </w:p>
        </w:tc>
        <w:tc>
          <w:tcPr>
            <w:tcW w:w="2698" w:type="pct"/>
            <w:vAlign w:val="center"/>
          </w:tcPr>
          <w:p w14:paraId="700EE93C">
            <w:pPr>
              <w:widowControl/>
              <w:spacing w:line="360" w:lineRule="auto"/>
              <w:jc w:val="left"/>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067 建设路中兴路口佳田大厦东侧</w:t>
            </w:r>
          </w:p>
        </w:tc>
        <w:tc>
          <w:tcPr>
            <w:tcW w:w="1216" w:type="pct"/>
            <w:vAlign w:val="center"/>
          </w:tcPr>
          <w:p w14:paraId="399C805D">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新华区-&gt;建设路</w:t>
            </w:r>
          </w:p>
        </w:tc>
      </w:tr>
      <w:tr w14:paraId="78C4B0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7" w:type="pct"/>
            <w:vAlign w:val="center"/>
          </w:tcPr>
          <w:p w14:paraId="344B3E13">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62</w:t>
            </w:r>
          </w:p>
        </w:tc>
        <w:tc>
          <w:tcPr>
            <w:tcW w:w="677" w:type="pct"/>
            <w:vAlign w:val="center"/>
          </w:tcPr>
          <w:p w14:paraId="7A65FFD0">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164</w:t>
            </w:r>
          </w:p>
        </w:tc>
        <w:tc>
          <w:tcPr>
            <w:tcW w:w="2698" w:type="pct"/>
            <w:vAlign w:val="center"/>
          </w:tcPr>
          <w:p w14:paraId="25AFFD95">
            <w:pPr>
              <w:widowControl/>
              <w:spacing w:line="360" w:lineRule="auto"/>
              <w:jc w:val="left"/>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164 建设路哆来咪琴行门口</w:t>
            </w:r>
          </w:p>
        </w:tc>
        <w:tc>
          <w:tcPr>
            <w:tcW w:w="1216" w:type="pct"/>
            <w:vAlign w:val="center"/>
          </w:tcPr>
          <w:p w14:paraId="105AE59B">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新华区-&gt;建设路</w:t>
            </w:r>
          </w:p>
        </w:tc>
      </w:tr>
      <w:tr w14:paraId="185980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7" w:type="pct"/>
            <w:vAlign w:val="center"/>
          </w:tcPr>
          <w:p w14:paraId="07EFA371">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63</w:t>
            </w:r>
          </w:p>
        </w:tc>
        <w:tc>
          <w:tcPr>
            <w:tcW w:w="677" w:type="pct"/>
            <w:vAlign w:val="center"/>
          </w:tcPr>
          <w:p w14:paraId="158C29DC">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55</w:t>
            </w:r>
          </w:p>
        </w:tc>
        <w:tc>
          <w:tcPr>
            <w:tcW w:w="2698" w:type="pct"/>
            <w:vAlign w:val="center"/>
          </w:tcPr>
          <w:p w14:paraId="50090D27">
            <w:pPr>
              <w:widowControl/>
              <w:spacing w:line="360" w:lineRule="auto"/>
              <w:jc w:val="left"/>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055 建设路市卫生监督局北门西</w:t>
            </w:r>
          </w:p>
        </w:tc>
        <w:tc>
          <w:tcPr>
            <w:tcW w:w="1216" w:type="pct"/>
            <w:vAlign w:val="center"/>
          </w:tcPr>
          <w:p w14:paraId="4F3D69FF">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新华区-&gt;建设路</w:t>
            </w:r>
          </w:p>
        </w:tc>
      </w:tr>
      <w:tr w14:paraId="31B05C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7" w:type="pct"/>
            <w:vAlign w:val="center"/>
          </w:tcPr>
          <w:p w14:paraId="78FD0D06">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64</w:t>
            </w:r>
          </w:p>
        </w:tc>
        <w:tc>
          <w:tcPr>
            <w:tcW w:w="677" w:type="pct"/>
            <w:vAlign w:val="center"/>
          </w:tcPr>
          <w:p w14:paraId="1183B7A1">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w:t>
            </w:r>
          </w:p>
        </w:tc>
        <w:tc>
          <w:tcPr>
            <w:tcW w:w="2698" w:type="pct"/>
            <w:vAlign w:val="center"/>
          </w:tcPr>
          <w:p w14:paraId="7B6BFFEF">
            <w:pPr>
              <w:widowControl/>
              <w:spacing w:line="360" w:lineRule="auto"/>
              <w:jc w:val="left"/>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建设路建宏国际楼顶高空</w:t>
            </w:r>
          </w:p>
        </w:tc>
        <w:tc>
          <w:tcPr>
            <w:tcW w:w="1216" w:type="pct"/>
            <w:vAlign w:val="center"/>
          </w:tcPr>
          <w:p w14:paraId="6DB4D2BD">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新华区-&gt;建设路</w:t>
            </w:r>
          </w:p>
        </w:tc>
      </w:tr>
      <w:tr w14:paraId="5A1B8A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7" w:type="pct"/>
            <w:vAlign w:val="center"/>
          </w:tcPr>
          <w:p w14:paraId="239E14F5">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65</w:t>
            </w:r>
          </w:p>
        </w:tc>
        <w:tc>
          <w:tcPr>
            <w:tcW w:w="677" w:type="pct"/>
            <w:vAlign w:val="center"/>
          </w:tcPr>
          <w:p w14:paraId="786D0BE2">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54</w:t>
            </w:r>
          </w:p>
        </w:tc>
        <w:tc>
          <w:tcPr>
            <w:tcW w:w="2698" w:type="pct"/>
            <w:vAlign w:val="center"/>
          </w:tcPr>
          <w:p w14:paraId="740D5110">
            <w:pPr>
              <w:widowControl/>
              <w:spacing w:line="360" w:lineRule="auto"/>
              <w:jc w:val="left"/>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054 建设路公园北街路口西</w:t>
            </w:r>
          </w:p>
        </w:tc>
        <w:tc>
          <w:tcPr>
            <w:tcW w:w="1216" w:type="pct"/>
            <w:vAlign w:val="center"/>
          </w:tcPr>
          <w:p w14:paraId="6D3ED250">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新华区-&gt;建设路</w:t>
            </w:r>
          </w:p>
        </w:tc>
      </w:tr>
      <w:tr w14:paraId="20B4F8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7" w:type="pct"/>
            <w:vAlign w:val="center"/>
          </w:tcPr>
          <w:p w14:paraId="7CFC39E1">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66</w:t>
            </w:r>
          </w:p>
        </w:tc>
        <w:tc>
          <w:tcPr>
            <w:tcW w:w="677" w:type="pct"/>
            <w:vAlign w:val="center"/>
          </w:tcPr>
          <w:p w14:paraId="7109DB3E">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58</w:t>
            </w:r>
          </w:p>
        </w:tc>
        <w:tc>
          <w:tcPr>
            <w:tcW w:w="2698" w:type="pct"/>
            <w:vAlign w:val="center"/>
          </w:tcPr>
          <w:p w14:paraId="71DA4CE8">
            <w:pPr>
              <w:widowControl/>
              <w:spacing w:line="360" w:lineRule="auto"/>
              <w:jc w:val="left"/>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058 建设路体育路交叉口</w:t>
            </w:r>
          </w:p>
        </w:tc>
        <w:tc>
          <w:tcPr>
            <w:tcW w:w="1216" w:type="pct"/>
            <w:vAlign w:val="center"/>
          </w:tcPr>
          <w:p w14:paraId="02A04C74">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新华区-&gt;建设路</w:t>
            </w:r>
          </w:p>
        </w:tc>
      </w:tr>
      <w:tr w14:paraId="0A11AC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7" w:type="pct"/>
            <w:vAlign w:val="center"/>
          </w:tcPr>
          <w:p w14:paraId="6B05FF78">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67</w:t>
            </w:r>
          </w:p>
        </w:tc>
        <w:tc>
          <w:tcPr>
            <w:tcW w:w="677" w:type="pct"/>
            <w:vAlign w:val="center"/>
          </w:tcPr>
          <w:p w14:paraId="05BB0D73">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57</w:t>
            </w:r>
          </w:p>
        </w:tc>
        <w:tc>
          <w:tcPr>
            <w:tcW w:w="2698" w:type="pct"/>
            <w:vAlign w:val="center"/>
          </w:tcPr>
          <w:p w14:paraId="3023CCC6">
            <w:pPr>
              <w:widowControl/>
              <w:spacing w:line="360" w:lineRule="auto"/>
              <w:jc w:val="left"/>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057 建设路体育路口西微卡口</w:t>
            </w:r>
          </w:p>
        </w:tc>
        <w:tc>
          <w:tcPr>
            <w:tcW w:w="1216" w:type="pct"/>
            <w:vAlign w:val="center"/>
          </w:tcPr>
          <w:p w14:paraId="07F761D7">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新华区-&gt;建设路</w:t>
            </w:r>
          </w:p>
        </w:tc>
      </w:tr>
      <w:tr w14:paraId="4FE26A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7" w:type="pct"/>
            <w:vAlign w:val="center"/>
          </w:tcPr>
          <w:p w14:paraId="76C28769">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68</w:t>
            </w:r>
          </w:p>
        </w:tc>
        <w:tc>
          <w:tcPr>
            <w:tcW w:w="677" w:type="pct"/>
            <w:vAlign w:val="center"/>
          </w:tcPr>
          <w:p w14:paraId="1530D846">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56</w:t>
            </w:r>
          </w:p>
        </w:tc>
        <w:tc>
          <w:tcPr>
            <w:tcW w:w="2698" w:type="pct"/>
            <w:vAlign w:val="center"/>
          </w:tcPr>
          <w:p w14:paraId="312A66F5">
            <w:pPr>
              <w:widowControl/>
              <w:spacing w:line="360" w:lineRule="auto"/>
              <w:jc w:val="left"/>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056 建设路宏图书店公交站北</w:t>
            </w:r>
          </w:p>
        </w:tc>
        <w:tc>
          <w:tcPr>
            <w:tcW w:w="1216" w:type="pct"/>
            <w:vAlign w:val="center"/>
          </w:tcPr>
          <w:p w14:paraId="7FB14B81">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新华区-&gt;建设路</w:t>
            </w:r>
          </w:p>
        </w:tc>
      </w:tr>
      <w:tr w14:paraId="5DC62F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7" w:type="pct"/>
            <w:vAlign w:val="center"/>
          </w:tcPr>
          <w:p w14:paraId="49755A73">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69</w:t>
            </w:r>
          </w:p>
        </w:tc>
        <w:tc>
          <w:tcPr>
            <w:tcW w:w="677" w:type="pct"/>
            <w:vAlign w:val="center"/>
          </w:tcPr>
          <w:p w14:paraId="0A6AB450">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244</w:t>
            </w:r>
          </w:p>
        </w:tc>
        <w:tc>
          <w:tcPr>
            <w:tcW w:w="2698" w:type="pct"/>
            <w:vAlign w:val="center"/>
          </w:tcPr>
          <w:p w14:paraId="1A50B379">
            <w:pPr>
              <w:widowControl/>
              <w:spacing w:line="360" w:lineRule="auto"/>
              <w:jc w:val="left"/>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244 建设路公园北街东公交站</w:t>
            </w:r>
          </w:p>
        </w:tc>
        <w:tc>
          <w:tcPr>
            <w:tcW w:w="1216" w:type="pct"/>
            <w:vAlign w:val="center"/>
          </w:tcPr>
          <w:p w14:paraId="3CC0282E">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新华区-&gt;建设路</w:t>
            </w:r>
          </w:p>
        </w:tc>
      </w:tr>
      <w:tr w14:paraId="413DF6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7" w:type="pct"/>
            <w:vAlign w:val="center"/>
          </w:tcPr>
          <w:p w14:paraId="1EFFFD7F">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70</w:t>
            </w:r>
          </w:p>
        </w:tc>
        <w:tc>
          <w:tcPr>
            <w:tcW w:w="677" w:type="pct"/>
            <w:vAlign w:val="center"/>
          </w:tcPr>
          <w:p w14:paraId="0C8F81D3">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14</w:t>
            </w:r>
          </w:p>
        </w:tc>
        <w:tc>
          <w:tcPr>
            <w:tcW w:w="2698" w:type="pct"/>
            <w:vAlign w:val="center"/>
          </w:tcPr>
          <w:p w14:paraId="7F96DABC">
            <w:pPr>
              <w:widowControl/>
              <w:spacing w:line="360" w:lineRule="auto"/>
              <w:jc w:val="left"/>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014 建设路中兴路口西</w:t>
            </w:r>
          </w:p>
        </w:tc>
        <w:tc>
          <w:tcPr>
            <w:tcW w:w="1216" w:type="pct"/>
            <w:vAlign w:val="center"/>
          </w:tcPr>
          <w:p w14:paraId="51DB79E4">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新华区-&gt;建设路</w:t>
            </w:r>
          </w:p>
        </w:tc>
      </w:tr>
      <w:tr w14:paraId="35AB2F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7" w:type="pct"/>
            <w:vAlign w:val="center"/>
          </w:tcPr>
          <w:p w14:paraId="1FC390D0">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71</w:t>
            </w:r>
          </w:p>
        </w:tc>
        <w:tc>
          <w:tcPr>
            <w:tcW w:w="677" w:type="pct"/>
            <w:vAlign w:val="center"/>
          </w:tcPr>
          <w:p w14:paraId="0AC6BC66">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150</w:t>
            </w:r>
          </w:p>
        </w:tc>
        <w:tc>
          <w:tcPr>
            <w:tcW w:w="2698" w:type="pct"/>
            <w:vAlign w:val="center"/>
          </w:tcPr>
          <w:p w14:paraId="69152F20">
            <w:pPr>
              <w:widowControl/>
              <w:spacing w:line="360" w:lineRule="auto"/>
              <w:jc w:val="left"/>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150 建设路七彩虹幼儿园</w:t>
            </w:r>
          </w:p>
        </w:tc>
        <w:tc>
          <w:tcPr>
            <w:tcW w:w="1216" w:type="pct"/>
            <w:vAlign w:val="center"/>
          </w:tcPr>
          <w:p w14:paraId="5F135F37">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新华区-&gt;建设路</w:t>
            </w:r>
          </w:p>
        </w:tc>
      </w:tr>
      <w:tr w14:paraId="40BEEC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7" w:type="pct"/>
            <w:vAlign w:val="center"/>
          </w:tcPr>
          <w:p w14:paraId="4B525E67">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72</w:t>
            </w:r>
          </w:p>
        </w:tc>
        <w:tc>
          <w:tcPr>
            <w:tcW w:w="677" w:type="pct"/>
            <w:vAlign w:val="center"/>
          </w:tcPr>
          <w:p w14:paraId="04A37AE9">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162</w:t>
            </w:r>
          </w:p>
        </w:tc>
        <w:tc>
          <w:tcPr>
            <w:tcW w:w="2698" w:type="pct"/>
            <w:vAlign w:val="center"/>
          </w:tcPr>
          <w:p w14:paraId="2AFCE202">
            <w:pPr>
              <w:widowControl/>
              <w:spacing w:line="360" w:lineRule="auto"/>
              <w:jc w:val="left"/>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162 建设路珠江钢琴门口</w:t>
            </w:r>
          </w:p>
        </w:tc>
        <w:tc>
          <w:tcPr>
            <w:tcW w:w="1216" w:type="pct"/>
            <w:vAlign w:val="center"/>
          </w:tcPr>
          <w:p w14:paraId="04303648">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新华区-&gt;建设路</w:t>
            </w:r>
          </w:p>
        </w:tc>
      </w:tr>
      <w:tr w14:paraId="42C400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7" w:type="pct"/>
            <w:vAlign w:val="center"/>
          </w:tcPr>
          <w:p w14:paraId="6504CA58">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73</w:t>
            </w:r>
          </w:p>
        </w:tc>
        <w:tc>
          <w:tcPr>
            <w:tcW w:w="677" w:type="pct"/>
            <w:vAlign w:val="center"/>
          </w:tcPr>
          <w:p w14:paraId="63486B19">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161</w:t>
            </w:r>
          </w:p>
        </w:tc>
        <w:tc>
          <w:tcPr>
            <w:tcW w:w="2698" w:type="pct"/>
            <w:vAlign w:val="center"/>
          </w:tcPr>
          <w:p w14:paraId="0ECBFEA6">
            <w:pPr>
              <w:widowControl/>
              <w:spacing w:line="360" w:lineRule="auto"/>
              <w:jc w:val="left"/>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161 开源路建设路口西</w:t>
            </w:r>
          </w:p>
        </w:tc>
        <w:tc>
          <w:tcPr>
            <w:tcW w:w="1216" w:type="pct"/>
            <w:vAlign w:val="center"/>
          </w:tcPr>
          <w:p w14:paraId="2BA62DC5">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新华区-&gt;建设路</w:t>
            </w:r>
          </w:p>
        </w:tc>
      </w:tr>
      <w:tr w14:paraId="4DC39F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7" w:type="pct"/>
            <w:vAlign w:val="center"/>
          </w:tcPr>
          <w:p w14:paraId="48C42FE8">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74</w:t>
            </w:r>
          </w:p>
        </w:tc>
        <w:tc>
          <w:tcPr>
            <w:tcW w:w="677" w:type="pct"/>
            <w:vAlign w:val="center"/>
          </w:tcPr>
          <w:p w14:paraId="0DAA669D">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163</w:t>
            </w:r>
          </w:p>
        </w:tc>
        <w:tc>
          <w:tcPr>
            <w:tcW w:w="2698" w:type="pct"/>
            <w:vAlign w:val="center"/>
          </w:tcPr>
          <w:p w14:paraId="603031E3">
            <w:pPr>
              <w:widowControl/>
              <w:spacing w:line="360" w:lineRule="auto"/>
              <w:jc w:val="left"/>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163 建设路开源电脑城路口</w:t>
            </w:r>
          </w:p>
        </w:tc>
        <w:tc>
          <w:tcPr>
            <w:tcW w:w="1216" w:type="pct"/>
            <w:vAlign w:val="center"/>
          </w:tcPr>
          <w:p w14:paraId="34ED350B">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新华区-&gt;建设路</w:t>
            </w:r>
          </w:p>
        </w:tc>
      </w:tr>
      <w:tr w14:paraId="6E1D19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7" w:type="pct"/>
            <w:vAlign w:val="center"/>
          </w:tcPr>
          <w:p w14:paraId="53E13F9E">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75</w:t>
            </w:r>
          </w:p>
        </w:tc>
        <w:tc>
          <w:tcPr>
            <w:tcW w:w="677" w:type="pct"/>
            <w:vAlign w:val="center"/>
          </w:tcPr>
          <w:p w14:paraId="4167E6D0">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35</w:t>
            </w:r>
          </w:p>
        </w:tc>
        <w:tc>
          <w:tcPr>
            <w:tcW w:w="2698" w:type="pct"/>
            <w:vAlign w:val="center"/>
          </w:tcPr>
          <w:p w14:paraId="54E9067D">
            <w:pPr>
              <w:widowControl/>
              <w:spacing w:line="360" w:lineRule="auto"/>
              <w:jc w:val="left"/>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035 建设路公园北街交叉口</w:t>
            </w:r>
          </w:p>
        </w:tc>
        <w:tc>
          <w:tcPr>
            <w:tcW w:w="1216" w:type="pct"/>
            <w:vAlign w:val="center"/>
          </w:tcPr>
          <w:p w14:paraId="56260DA7">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新华区-&gt;建设路</w:t>
            </w:r>
          </w:p>
        </w:tc>
      </w:tr>
      <w:tr w14:paraId="7FD34E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7" w:type="pct"/>
            <w:vAlign w:val="center"/>
          </w:tcPr>
          <w:p w14:paraId="400763E1">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76</w:t>
            </w:r>
          </w:p>
        </w:tc>
        <w:tc>
          <w:tcPr>
            <w:tcW w:w="677" w:type="pct"/>
            <w:vAlign w:val="center"/>
          </w:tcPr>
          <w:p w14:paraId="4BAB2826">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245</w:t>
            </w:r>
          </w:p>
        </w:tc>
        <w:tc>
          <w:tcPr>
            <w:tcW w:w="2698" w:type="pct"/>
            <w:vAlign w:val="center"/>
          </w:tcPr>
          <w:p w14:paraId="2926E5F9">
            <w:pPr>
              <w:widowControl/>
              <w:spacing w:line="360" w:lineRule="auto"/>
              <w:jc w:val="left"/>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245 建设路平顶山饭店公交站南</w:t>
            </w:r>
          </w:p>
        </w:tc>
        <w:tc>
          <w:tcPr>
            <w:tcW w:w="1216" w:type="pct"/>
            <w:vAlign w:val="center"/>
          </w:tcPr>
          <w:p w14:paraId="1B8F86D6">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新华区-&gt;建设路</w:t>
            </w:r>
          </w:p>
        </w:tc>
      </w:tr>
      <w:tr w14:paraId="60B575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7" w:type="pct"/>
            <w:vAlign w:val="center"/>
          </w:tcPr>
          <w:p w14:paraId="3B54E987">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77</w:t>
            </w:r>
          </w:p>
        </w:tc>
        <w:tc>
          <w:tcPr>
            <w:tcW w:w="677" w:type="pct"/>
            <w:vAlign w:val="center"/>
          </w:tcPr>
          <w:p w14:paraId="001521BC">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168</w:t>
            </w:r>
          </w:p>
        </w:tc>
        <w:tc>
          <w:tcPr>
            <w:tcW w:w="2698" w:type="pct"/>
            <w:vAlign w:val="center"/>
          </w:tcPr>
          <w:p w14:paraId="712A6C0D">
            <w:pPr>
              <w:widowControl/>
              <w:spacing w:line="360" w:lineRule="auto"/>
              <w:jc w:val="left"/>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168 设路平声影剧院公交站南</w:t>
            </w:r>
          </w:p>
        </w:tc>
        <w:tc>
          <w:tcPr>
            <w:tcW w:w="1216" w:type="pct"/>
            <w:vAlign w:val="center"/>
          </w:tcPr>
          <w:p w14:paraId="335ABB4E">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新华区-&gt;建设路</w:t>
            </w:r>
          </w:p>
        </w:tc>
      </w:tr>
      <w:tr w14:paraId="0770BD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7" w:type="pct"/>
            <w:vAlign w:val="center"/>
          </w:tcPr>
          <w:p w14:paraId="2A4F2AFB">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78</w:t>
            </w:r>
          </w:p>
        </w:tc>
        <w:tc>
          <w:tcPr>
            <w:tcW w:w="677" w:type="pct"/>
            <w:vAlign w:val="center"/>
          </w:tcPr>
          <w:p w14:paraId="69C5FA5A">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59</w:t>
            </w:r>
          </w:p>
        </w:tc>
        <w:tc>
          <w:tcPr>
            <w:tcW w:w="2698" w:type="pct"/>
            <w:vAlign w:val="center"/>
          </w:tcPr>
          <w:p w14:paraId="0E609702">
            <w:pPr>
              <w:widowControl/>
              <w:spacing w:line="360" w:lineRule="auto"/>
              <w:jc w:val="left"/>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059 建设路体育路口东微卡口</w:t>
            </w:r>
          </w:p>
        </w:tc>
        <w:tc>
          <w:tcPr>
            <w:tcW w:w="1216" w:type="pct"/>
            <w:vAlign w:val="center"/>
          </w:tcPr>
          <w:p w14:paraId="6B5F88D2">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新华区-&gt;建设路</w:t>
            </w:r>
          </w:p>
        </w:tc>
      </w:tr>
      <w:tr w14:paraId="7A0318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7" w:type="pct"/>
            <w:vAlign w:val="center"/>
          </w:tcPr>
          <w:p w14:paraId="34873544">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79</w:t>
            </w:r>
          </w:p>
        </w:tc>
        <w:tc>
          <w:tcPr>
            <w:tcW w:w="677" w:type="pct"/>
            <w:vAlign w:val="center"/>
          </w:tcPr>
          <w:p w14:paraId="352F9767">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w:t>
            </w:r>
          </w:p>
        </w:tc>
        <w:tc>
          <w:tcPr>
            <w:tcW w:w="2698" w:type="pct"/>
            <w:vAlign w:val="center"/>
          </w:tcPr>
          <w:p w14:paraId="263B4AED">
            <w:pPr>
              <w:widowControl/>
              <w:spacing w:line="360" w:lineRule="auto"/>
              <w:jc w:val="left"/>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新华区区政府门口人脸</w:t>
            </w:r>
          </w:p>
        </w:tc>
        <w:tc>
          <w:tcPr>
            <w:tcW w:w="1216" w:type="pct"/>
            <w:vAlign w:val="center"/>
          </w:tcPr>
          <w:p w14:paraId="5FD64D86">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新华区-&gt;建设路</w:t>
            </w:r>
          </w:p>
        </w:tc>
      </w:tr>
      <w:tr w14:paraId="61DCC6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7" w:type="pct"/>
            <w:vAlign w:val="center"/>
          </w:tcPr>
          <w:p w14:paraId="17984DEF">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80</w:t>
            </w:r>
          </w:p>
        </w:tc>
        <w:tc>
          <w:tcPr>
            <w:tcW w:w="677" w:type="pct"/>
            <w:vAlign w:val="center"/>
          </w:tcPr>
          <w:p w14:paraId="3C2B14CF">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256</w:t>
            </w:r>
          </w:p>
        </w:tc>
        <w:tc>
          <w:tcPr>
            <w:tcW w:w="2698" w:type="pct"/>
            <w:vAlign w:val="center"/>
          </w:tcPr>
          <w:p w14:paraId="4E03E632">
            <w:pPr>
              <w:widowControl/>
              <w:spacing w:line="360" w:lineRule="auto"/>
              <w:jc w:val="left"/>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256 光明路与湛河北路口公厕旁</w:t>
            </w:r>
          </w:p>
        </w:tc>
        <w:tc>
          <w:tcPr>
            <w:tcW w:w="1216" w:type="pct"/>
            <w:vAlign w:val="center"/>
          </w:tcPr>
          <w:p w14:paraId="3FB4C6E8">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新华区-&gt;光明路</w:t>
            </w:r>
          </w:p>
        </w:tc>
      </w:tr>
      <w:tr w14:paraId="3AB95A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7" w:type="pct"/>
            <w:vAlign w:val="center"/>
          </w:tcPr>
          <w:p w14:paraId="30D9D6BE">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81</w:t>
            </w:r>
          </w:p>
        </w:tc>
        <w:tc>
          <w:tcPr>
            <w:tcW w:w="677" w:type="pct"/>
            <w:vAlign w:val="center"/>
          </w:tcPr>
          <w:p w14:paraId="0D5D35D1">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265</w:t>
            </w:r>
          </w:p>
        </w:tc>
        <w:tc>
          <w:tcPr>
            <w:tcW w:w="2698" w:type="pct"/>
            <w:vAlign w:val="center"/>
          </w:tcPr>
          <w:p w14:paraId="08EE5147">
            <w:pPr>
              <w:widowControl/>
              <w:spacing w:line="360" w:lineRule="auto"/>
              <w:jc w:val="left"/>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265 光明路检验测试中心</w:t>
            </w:r>
          </w:p>
        </w:tc>
        <w:tc>
          <w:tcPr>
            <w:tcW w:w="1216" w:type="pct"/>
            <w:vAlign w:val="center"/>
          </w:tcPr>
          <w:p w14:paraId="655960BC">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新华区-&gt;光明路</w:t>
            </w:r>
          </w:p>
        </w:tc>
      </w:tr>
      <w:tr w14:paraId="7181F3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7" w:type="pct"/>
            <w:vAlign w:val="center"/>
          </w:tcPr>
          <w:p w14:paraId="20EA1FE9">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82</w:t>
            </w:r>
          </w:p>
        </w:tc>
        <w:tc>
          <w:tcPr>
            <w:tcW w:w="677" w:type="pct"/>
            <w:vAlign w:val="center"/>
          </w:tcPr>
          <w:p w14:paraId="48C23316">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264</w:t>
            </w:r>
          </w:p>
        </w:tc>
        <w:tc>
          <w:tcPr>
            <w:tcW w:w="2698" w:type="pct"/>
            <w:vAlign w:val="center"/>
          </w:tcPr>
          <w:p w14:paraId="6D77C146">
            <w:pPr>
              <w:widowControl/>
              <w:spacing w:line="360" w:lineRule="auto"/>
              <w:jc w:val="left"/>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264 光明路爱便利超市门口</w:t>
            </w:r>
          </w:p>
        </w:tc>
        <w:tc>
          <w:tcPr>
            <w:tcW w:w="1216" w:type="pct"/>
            <w:vAlign w:val="center"/>
          </w:tcPr>
          <w:p w14:paraId="06B38E5B">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新华区-&gt;光明路</w:t>
            </w:r>
          </w:p>
        </w:tc>
      </w:tr>
      <w:tr w14:paraId="2F63D5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7" w:type="pct"/>
            <w:vAlign w:val="center"/>
          </w:tcPr>
          <w:p w14:paraId="2E7F875A">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83</w:t>
            </w:r>
          </w:p>
        </w:tc>
        <w:tc>
          <w:tcPr>
            <w:tcW w:w="677" w:type="pct"/>
            <w:vAlign w:val="center"/>
          </w:tcPr>
          <w:p w14:paraId="573CA1F1">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253</w:t>
            </w:r>
          </w:p>
        </w:tc>
        <w:tc>
          <w:tcPr>
            <w:tcW w:w="2698" w:type="pct"/>
            <w:vAlign w:val="center"/>
          </w:tcPr>
          <w:p w14:paraId="2B19BE29">
            <w:pPr>
              <w:widowControl/>
              <w:spacing w:line="360" w:lineRule="auto"/>
              <w:jc w:val="left"/>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253 光明路御铭园大酒店北侧</w:t>
            </w:r>
          </w:p>
        </w:tc>
        <w:tc>
          <w:tcPr>
            <w:tcW w:w="1216" w:type="pct"/>
            <w:vAlign w:val="center"/>
          </w:tcPr>
          <w:p w14:paraId="05031384">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新华区-&gt;光明路</w:t>
            </w:r>
          </w:p>
        </w:tc>
      </w:tr>
      <w:tr w14:paraId="5F19AB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7" w:type="pct"/>
            <w:vAlign w:val="center"/>
          </w:tcPr>
          <w:p w14:paraId="02334CBC">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84</w:t>
            </w:r>
          </w:p>
        </w:tc>
        <w:tc>
          <w:tcPr>
            <w:tcW w:w="677" w:type="pct"/>
            <w:vAlign w:val="center"/>
          </w:tcPr>
          <w:p w14:paraId="477302C2">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254</w:t>
            </w:r>
          </w:p>
        </w:tc>
        <w:tc>
          <w:tcPr>
            <w:tcW w:w="2698" w:type="pct"/>
            <w:vAlign w:val="center"/>
          </w:tcPr>
          <w:p w14:paraId="56BD9EF0">
            <w:pPr>
              <w:widowControl/>
              <w:spacing w:line="360" w:lineRule="auto"/>
              <w:jc w:val="left"/>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254 光明路韩熙家门口</w:t>
            </w:r>
          </w:p>
        </w:tc>
        <w:tc>
          <w:tcPr>
            <w:tcW w:w="1216" w:type="pct"/>
            <w:vAlign w:val="center"/>
          </w:tcPr>
          <w:p w14:paraId="299FF81C">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新华区-&gt;光明路</w:t>
            </w:r>
          </w:p>
        </w:tc>
      </w:tr>
      <w:tr w14:paraId="3686E0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7" w:type="pct"/>
            <w:vAlign w:val="center"/>
          </w:tcPr>
          <w:p w14:paraId="1525F9AF">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85</w:t>
            </w:r>
          </w:p>
        </w:tc>
        <w:tc>
          <w:tcPr>
            <w:tcW w:w="677" w:type="pct"/>
            <w:vAlign w:val="center"/>
          </w:tcPr>
          <w:p w14:paraId="75A512C0">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262</w:t>
            </w:r>
          </w:p>
        </w:tc>
        <w:tc>
          <w:tcPr>
            <w:tcW w:w="2698" w:type="pct"/>
            <w:vAlign w:val="center"/>
          </w:tcPr>
          <w:p w14:paraId="2857AF7B">
            <w:pPr>
              <w:widowControl/>
              <w:spacing w:line="360" w:lineRule="auto"/>
              <w:jc w:val="left"/>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262 光明路建设路口北加油站</w:t>
            </w:r>
          </w:p>
        </w:tc>
        <w:tc>
          <w:tcPr>
            <w:tcW w:w="1216" w:type="pct"/>
            <w:vAlign w:val="center"/>
          </w:tcPr>
          <w:p w14:paraId="03D8D328">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新华区-&gt;光明路</w:t>
            </w:r>
          </w:p>
        </w:tc>
      </w:tr>
      <w:tr w14:paraId="0C4B81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7" w:type="pct"/>
            <w:vAlign w:val="center"/>
          </w:tcPr>
          <w:p w14:paraId="149670A7">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86</w:t>
            </w:r>
          </w:p>
        </w:tc>
        <w:tc>
          <w:tcPr>
            <w:tcW w:w="677" w:type="pct"/>
            <w:vAlign w:val="center"/>
          </w:tcPr>
          <w:p w14:paraId="392C69B5">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19</w:t>
            </w:r>
          </w:p>
        </w:tc>
        <w:tc>
          <w:tcPr>
            <w:tcW w:w="2698" w:type="pct"/>
            <w:vAlign w:val="center"/>
          </w:tcPr>
          <w:p w14:paraId="60CF4979">
            <w:pPr>
              <w:widowControl/>
              <w:spacing w:line="360" w:lineRule="auto"/>
              <w:jc w:val="left"/>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019 矿工路中信银行门口</w:t>
            </w:r>
          </w:p>
        </w:tc>
        <w:tc>
          <w:tcPr>
            <w:tcW w:w="1216" w:type="pct"/>
            <w:vAlign w:val="center"/>
          </w:tcPr>
          <w:p w14:paraId="6D8CDCFB">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新华区-&gt;矿工路</w:t>
            </w:r>
          </w:p>
        </w:tc>
      </w:tr>
      <w:tr w14:paraId="404061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7" w:type="pct"/>
            <w:vAlign w:val="center"/>
          </w:tcPr>
          <w:p w14:paraId="31720E7D">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87</w:t>
            </w:r>
          </w:p>
        </w:tc>
        <w:tc>
          <w:tcPr>
            <w:tcW w:w="677" w:type="pct"/>
            <w:vAlign w:val="center"/>
          </w:tcPr>
          <w:p w14:paraId="059052AE">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81</w:t>
            </w:r>
          </w:p>
        </w:tc>
        <w:tc>
          <w:tcPr>
            <w:tcW w:w="2698" w:type="pct"/>
            <w:vAlign w:val="center"/>
          </w:tcPr>
          <w:p w14:paraId="78575E39">
            <w:pPr>
              <w:widowControl/>
              <w:spacing w:line="360" w:lineRule="auto"/>
              <w:jc w:val="left"/>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081 矿工路体育路微卡口2</w:t>
            </w:r>
          </w:p>
        </w:tc>
        <w:tc>
          <w:tcPr>
            <w:tcW w:w="1216" w:type="pct"/>
            <w:vAlign w:val="center"/>
          </w:tcPr>
          <w:p w14:paraId="77D8E091">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新华区-&gt;矿工路</w:t>
            </w:r>
          </w:p>
        </w:tc>
      </w:tr>
      <w:tr w14:paraId="2B0260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7" w:type="pct"/>
            <w:vAlign w:val="center"/>
          </w:tcPr>
          <w:p w14:paraId="1EFA1C4D">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88</w:t>
            </w:r>
          </w:p>
        </w:tc>
        <w:tc>
          <w:tcPr>
            <w:tcW w:w="677" w:type="pct"/>
            <w:vAlign w:val="center"/>
          </w:tcPr>
          <w:p w14:paraId="113C36A5">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87</w:t>
            </w:r>
          </w:p>
        </w:tc>
        <w:tc>
          <w:tcPr>
            <w:tcW w:w="2698" w:type="pct"/>
            <w:vAlign w:val="center"/>
          </w:tcPr>
          <w:p w14:paraId="6A6B6B7F">
            <w:pPr>
              <w:widowControl/>
              <w:spacing w:line="360" w:lineRule="auto"/>
              <w:jc w:val="left"/>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087 矿工路平顶山商场对面</w:t>
            </w:r>
          </w:p>
        </w:tc>
        <w:tc>
          <w:tcPr>
            <w:tcW w:w="1216" w:type="pct"/>
            <w:vAlign w:val="center"/>
          </w:tcPr>
          <w:p w14:paraId="0590930C">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新华区-&gt;矿工路</w:t>
            </w:r>
          </w:p>
        </w:tc>
      </w:tr>
      <w:tr w14:paraId="2A1F2D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7" w:type="pct"/>
            <w:vAlign w:val="center"/>
          </w:tcPr>
          <w:p w14:paraId="09C8D976">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89</w:t>
            </w:r>
          </w:p>
        </w:tc>
        <w:tc>
          <w:tcPr>
            <w:tcW w:w="677" w:type="pct"/>
            <w:vAlign w:val="center"/>
          </w:tcPr>
          <w:p w14:paraId="0587BFDE">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16</w:t>
            </w:r>
          </w:p>
        </w:tc>
        <w:tc>
          <w:tcPr>
            <w:tcW w:w="2698" w:type="pct"/>
            <w:vAlign w:val="center"/>
          </w:tcPr>
          <w:p w14:paraId="60D426F9">
            <w:pPr>
              <w:widowControl/>
              <w:spacing w:line="360" w:lineRule="auto"/>
              <w:jc w:val="left"/>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016 矿工路中原银行门口</w:t>
            </w:r>
          </w:p>
        </w:tc>
        <w:tc>
          <w:tcPr>
            <w:tcW w:w="1216" w:type="pct"/>
            <w:vAlign w:val="center"/>
          </w:tcPr>
          <w:p w14:paraId="1117C851">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新华区-&gt;矿工路</w:t>
            </w:r>
          </w:p>
        </w:tc>
      </w:tr>
      <w:tr w14:paraId="637E2E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7" w:type="pct"/>
            <w:vAlign w:val="center"/>
          </w:tcPr>
          <w:p w14:paraId="3C44B716">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90</w:t>
            </w:r>
          </w:p>
        </w:tc>
        <w:tc>
          <w:tcPr>
            <w:tcW w:w="677" w:type="pct"/>
            <w:vAlign w:val="center"/>
          </w:tcPr>
          <w:p w14:paraId="6AB8CAE9">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239</w:t>
            </w:r>
          </w:p>
        </w:tc>
        <w:tc>
          <w:tcPr>
            <w:tcW w:w="2698" w:type="pct"/>
            <w:vAlign w:val="center"/>
          </w:tcPr>
          <w:p w14:paraId="76AF3EBB">
            <w:pPr>
              <w:widowControl/>
              <w:spacing w:line="360" w:lineRule="auto"/>
              <w:jc w:val="left"/>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239 矿工路平煤医院东公交站</w:t>
            </w:r>
          </w:p>
        </w:tc>
        <w:tc>
          <w:tcPr>
            <w:tcW w:w="1216" w:type="pct"/>
            <w:vAlign w:val="center"/>
          </w:tcPr>
          <w:p w14:paraId="6D51D491">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新华区-&gt;矿工路</w:t>
            </w:r>
          </w:p>
        </w:tc>
      </w:tr>
      <w:tr w14:paraId="16F5C4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7" w:type="pct"/>
            <w:vAlign w:val="center"/>
          </w:tcPr>
          <w:p w14:paraId="083B39DC">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91</w:t>
            </w:r>
          </w:p>
        </w:tc>
        <w:tc>
          <w:tcPr>
            <w:tcW w:w="677" w:type="pct"/>
            <w:vAlign w:val="center"/>
          </w:tcPr>
          <w:p w14:paraId="0AF05E82">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25</w:t>
            </w:r>
          </w:p>
        </w:tc>
        <w:tc>
          <w:tcPr>
            <w:tcW w:w="2698" w:type="pct"/>
            <w:vAlign w:val="center"/>
          </w:tcPr>
          <w:p w14:paraId="72B78A83">
            <w:pPr>
              <w:widowControl/>
              <w:spacing w:line="360" w:lineRule="auto"/>
              <w:jc w:val="left"/>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025 矿工路朝阳路路口</w:t>
            </w:r>
          </w:p>
        </w:tc>
        <w:tc>
          <w:tcPr>
            <w:tcW w:w="1216" w:type="pct"/>
            <w:vAlign w:val="center"/>
          </w:tcPr>
          <w:p w14:paraId="37EA0902">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新华区-&gt;矿工路</w:t>
            </w:r>
          </w:p>
        </w:tc>
      </w:tr>
      <w:tr w14:paraId="278BA4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7" w:type="pct"/>
            <w:vAlign w:val="center"/>
          </w:tcPr>
          <w:p w14:paraId="16D1A1FC">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92</w:t>
            </w:r>
          </w:p>
        </w:tc>
        <w:tc>
          <w:tcPr>
            <w:tcW w:w="677" w:type="pct"/>
            <w:vAlign w:val="center"/>
          </w:tcPr>
          <w:p w14:paraId="44754B40">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83</w:t>
            </w:r>
          </w:p>
        </w:tc>
        <w:tc>
          <w:tcPr>
            <w:tcW w:w="2698" w:type="pct"/>
            <w:vAlign w:val="center"/>
          </w:tcPr>
          <w:p w14:paraId="360E956E">
            <w:pPr>
              <w:widowControl/>
              <w:spacing w:line="360" w:lineRule="auto"/>
              <w:jc w:val="left"/>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083 矿工路民主街北</w:t>
            </w:r>
          </w:p>
        </w:tc>
        <w:tc>
          <w:tcPr>
            <w:tcW w:w="1216" w:type="pct"/>
            <w:vAlign w:val="center"/>
          </w:tcPr>
          <w:p w14:paraId="753AF293">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新华区-&gt;矿工路</w:t>
            </w:r>
          </w:p>
        </w:tc>
      </w:tr>
      <w:tr w14:paraId="157F5D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7" w:type="pct"/>
            <w:vAlign w:val="center"/>
          </w:tcPr>
          <w:p w14:paraId="444CEFA9">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93</w:t>
            </w:r>
          </w:p>
        </w:tc>
        <w:tc>
          <w:tcPr>
            <w:tcW w:w="677" w:type="pct"/>
            <w:vAlign w:val="center"/>
          </w:tcPr>
          <w:p w14:paraId="3E299316">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84</w:t>
            </w:r>
          </w:p>
        </w:tc>
        <w:tc>
          <w:tcPr>
            <w:tcW w:w="2698" w:type="pct"/>
            <w:vAlign w:val="center"/>
          </w:tcPr>
          <w:p w14:paraId="7FDA8EC1">
            <w:pPr>
              <w:widowControl/>
              <w:spacing w:line="360" w:lineRule="auto"/>
              <w:jc w:val="left"/>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084 矿工路丹尼斯百货东</w:t>
            </w:r>
          </w:p>
        </w:tc>
        <w:tc>
          <w:tcPr>
            <w:tcW w:w="1216" w:type="pct"/>
            <w:vAlign w:val="center"/>
          </w:tcPr>
          <w:p w14:paraId="427F1A13">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新华区-&gt;矿工路</w:t>
            </w:r>
          </w:p>
        </w:tc>
      </w:tr>
      <w:tr w14:paraId="477933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7" w:type="pct"/>
            <w:vAlign w:val="center"/>
          </w:tcPr>
          <w:p w14:paraId="72532304">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94</w:t>
            </w:r>
          </w:p>
        </w:tc>
        <w:tc>
          <w:tcPr>
            <w:tcW w:w="677" w:type="pct"/>
            <w:vAlign w:val="center"/>
          </w:tcPr>
          <w:p w14:paraId="6E6B9A29">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85</w:t>
            </w:r>
          </w:p>
        </w:tc>
        <w:tc>
          <w:tcPr>
            <w:tcW w:w="2698" w:type="pct"/>
            <w:vAlign w:val="center"/>
          </w:tcPr>
          <w:p w14:paraId="2B75DAF0">
            <w:pPr>
              <w:widowControl/>
              <w:spacing w:line="360" w:lineRule="auto"/>
              <w:jc w:val="left"/>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085 矿工路平顶山商场</w:t>
            </w:r>
          </w:p>
        </w:tc>
        <w:tc>
          <w:tcPr>
            <w:tcW w:w="1216" w:type="pct"/>
            <w:vAlign w:val="center"/>
          </w:tcPr>
          <w:p w14:paraId="57051D54">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新华区-&gt;矿工路</w:t>
            </w:r>
          </w:p>
        </w:tc>
      </w:tr>
      <w:tr w14:paraId="67306F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7" w:type="pct"/>
            <w:vAlign w:val="center"/>
          </w:tcPr>
          <w:p w14:paraId="033D0497">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95</w:t>
            </w:r>
          </w:p>
        </w:tc>
        <w:tc>
          <w:tcPr>
            <w:tcW w:w="677" w:type="pct"/>
            <w:vAlign w:val="center"/>
          </w:tcPr>
          <w:p w14:paraId="13C06276">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86</w:t>
            </w:r>
          </w:p>
        </w:tc>
        <w:tc>
          <w:tcPr>
            <w:tcW w:w="2698" w:type="pct"/>
            <w:vAlign w:val="center"/>
          </w:tcPr>
          <w:p w14:paraId="4713BDDA">
            <w:pPr>
              <w:widowControl/>
              <w:spacing w:line="360" w:lineRule="auto"/>
              <w:jc w:val="left"/>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086 矿工路开源路口</w:t>
            </w:r>
          </w:p>
        </w:tc>
        <w:tc>
          <w:tcPr>
            <w:tcW w:w="1216" w:type="pct"/>
            <w:vAlign w:val="center"/>
          </w:tcPr>
          <w:p w14:paraId="0157AA28">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新华区-&gt;矿工路</w:t>
            </w:r>
          </w:p>
        </w:tc>
      </w:tr>
      <w:tr w14:paraId="2188DF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7" w:type="pct"/>
            <w:vAlign w:val="center"/>
          </w:tcPr>
          <w:p w14:paraId="7439150B">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96</w:t>
            </w:r>
          </w:p>
        </w:tc>
        <w:tc>
          <w:tcPr>
            <w:tcW w:w="677" w:type="pct"/>
            <w:vAlign w:val="center"/>
          </w:tcPr>
          <w:p w14:paraId="2647937C">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22</w:t>
            </w:r>
          </w:p>
        </w:tc>
        <w:tc>
          <w:tcPr>
            <w:tcW w:w="2698" w:type="pct"/>
            <w:vAlign w:val="center"/>
          </w:tcPr>
          <w:p w14:paraId="4B558D05">
            <w:pPr>
              <w:widowControl/>
              <w:spacing w:line="360" w:lineRule="auto"/>
              <w:jc w:val="left"/>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022 矿工路平煤总医院北公交站</w:t>
            </w:r>
          </w:p>
        </w:tc>
        <w:tc>
          <w:tcPr>
            <w:tcW w:w="1216" w:type="pct"/>
            <w:vAlign w:val="center"/>
          </w:tcPr>
          <w:p w14:paraId="67B2335F">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新华区-&gt;矿工路</w:t>
            </w:r>
          </w:p>
        </w:tc>
      </w:tr>
      <w:tr w14:paraId="68D856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7" w:type="pct"/>
            <w:vAlign w:val="center"/>
          </w:tcPr>
          <w:p w14:paraId="11785E45">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97</w:t>
            </w:r>
          </w:p>
        </w:tc>
        <w:tc>
          <w:tcPr>
            <w:tcW w:w="677" w:type="pct"/>
            <w:vAlign w:val="center"/>
          </w:tcPr>
          <w:p w14:paraId="1945A4DE">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21</w:t>
            </w:r>
          </w:p>
        </w:tc>
        <w:tc>
          <w:tcPr>
            <w:tcW w:w="2698" w:type="pct"/>
            <w:vAlign w:val="center"/>
          </w:tcPr>
          <w:p w14:paraId="36C22C12">
            <w:pPr>
              <w:widowControl/>
              <w:spacing w:line="360" w:lineRule="auto"/>
              <w:jc w:val="left"/>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021 矿工路幸福花苑南门</w:t>
            </w:r>
          </w:p>
        </w:tc>
        <w:tc>
          <w:tcPr>
            <w:tcW w:w="1216" w:type="pct"/>
            <w:vAlign w:val="center"/>
          </w:tcPr>
          <w:p w14:paraId="5C31506F">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新华区-&gt;矿工路</w:t>
            </w:r>
          </w:p>
        </w:tc>
      </w:tr>
      <w:tr w14:paraId="745D51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7" w:type="pct"/>
            <w:vAlign w:val="center"/>
          </w:tcPr>
          <w:p w14:paraId="7DAC5C9D">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98</w:t>
            </w:r>
          </w:p>
        </w:tc>
        <w:tc>
          <w:tcPr>
            <w:tcW w:w="677" w:type="pct"/>
            <w:vAlign w:val="center"/>
          </w:tcPr>
          <w:p w14:paraId="212D4543">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23</w:t>
            </w:r>
          </w:p>
        </w:tc>
        <w:tc>
          <w:tcPr>
            <w:tcW w:w="2698" w:type="pct"/>
            <w:vAlign w:val="center"/>
          </w:tcPr>
          <w:p w14:paraId="450EB21B">
            <w:pPr>
              <w:widowControl/>
              <w:spacing w:line="360" w:lineRule="auto"/>
              <w:jc w:val="left"/>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023 矿工路平煤总医院天桥北</w:t>
            </w:r>
          </w:p>
        </w:tc>
        <w:tc>
          <w:tcPr>
            <w:tcW w:w="1216" w:type="pct"/>
            <w:vAlign w:val="center"/>
          </w:tcPr>
          <w:p w14:paraId="657084BD">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新华区-&gt;矿工路</w:t>
            </w:r>
          </w:p>
        </w:tc>
      </w:tr>
      <w:tr w14:paraId="7BC2D8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7" w:type="pct"/>
            <w:vAlign w:val="center"/>
          </w:tcPr>
          <w:p w14:paraId="2D9CF77E">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99</w:t>
            </w:r>
          </w:p>
        </w:tc>
        <w:tc>
          <w:tcPr>
            <w:tcW w:w="677" w:type="pct"/>
            <w:vAlign w:val="center"/>
          </w:tcPr>
          <w:p w14:paraId="5A63D6FA">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24</w:t>
            </w:r>
          </w:p>
        </w:tc>
        <w:tc>
          <w:tcPr>
            <w:tcW w:w="2698" w:type="pct"/>
            <w:vAlign w:val="center"/>
          </w:tcPr>
          <w:p w14:paraId="461AFE6D">
            <w:pPr>
              <w:widowControl/>
              <w:spacing w:line="360" w:lineRule="auto"/>
              <w:jc w:val="left"/>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024 矿工路惠济大药房门口</w:t>
            </w:r>
          </w:p>
        </w:tc>
        <w:tc>
          <w:tcPr>
            <w:tcW w:w="1216" w:type="pct"/>
            <w:vAlign w:val="center"/>
          </w:tcPr>
          <w:p w14:paraId="44C497F9">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新华区-&gt;矿工路</w:t>
            </w:r>
          </w:p>
        </w:tc>
      </w:tr>
      <w:tr w14:paraId="55DA6C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7" w:type="pct"/>
            <w:vAlign w:val="center"/>
          </w:tcPr>
          <w:p w14:paraId="77EE0A3E">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100</w:t>
            </w:r>
          </w:p>
        </w:tc>
        <w:tc>
          <w:tcPr>
            <w:tcW w:w="677" w:type="pct"/>
            <w:vAlign w:val="center"/>
          </w:tcPr>
          <w:p w14:paraId="5B510115">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266</w:t>
            </w:r>
          </w:p>
        </w:tc>
        <w:tc>
          <w:tcPr>
            <w:tcW w:w="2698" w:type="pct"/>
            <w:vAlign w:val="center"/>
          </w:tcPr>
          <w:p w14:paraId="05D4733D">
            <w:pPr>
              <w:widowControl/>
              <w:spacing w:line="360" w:lineRule="auto"/>
              <w:jc w:val="left"/>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266 矿工路秀明街口对面</w:t>
            </w:r>
          </w:p>
        </w:tc>
        <w:tc>
          <w:tcPr>
            <w:tcW w:w="1216" w:type="pct"/>
            <w:vAlign w:val="center"/>
          </w:tcPr>
          <w:p w14:paraId="65F2D896">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新华区-&gt;矿工路</w:t>
            </w:r>
          </w:p>
        </w:tc>
      </w:tr>
      <w:tr w14:paraId="2DB920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7" w:type="pct"/>
            <w:vAlign w:val="center"/>
          </w:tcPr>
          <w:p w14:paraId="3FD4551E">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101</w:t>
            </w:r>
          </w:p>
        </w:tc>
        <w:tc>
          <w:tcPr>
            <w:tcW w:w="677" w:type="pct"/>
            <w:vAlign w:val="center"/>
          </w:tcPr>
          <w:p w14:paraId="14F7E90D">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82</w:t>
            </w:r>
          </w:p>
        </w:tc>
        <w:tc>
          <w:tcPr>
            <w:tcW w:w="2698" w:type="pct"/>
            <w:vAlign w:val="center"/>
          </w:tcPr>
          <w:p w14:paraId="632CE6A0">
            <w:pPr>
              <w:widowControl/>
              <w:spacing w:line="360" w:lineRule="auto"/>
              <w:jc w:val="left"/>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082 矿工路平平煤神马集团门口</w:t>
            </w:r>
          </w:p>
        </w:tc>
        <w:tc>
          <w:tcPr>
            <w:tcW w:w="1216" w:type="pct"/>
            <w:vAlign w:val="center"/>
          </w:tcPr>
          <w:p w14:paraId="260E4B19">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新华区-&gt;矿工路</w:t>
            </w:r>
          </w:p>
        </w:tc>
      </w:tr>
      <w:tr w14:paraId="75CE39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7" w:type="pct"/>
            <w:vAlign w:val="center"/>
          </w:tcPr>
          <w:p w14:paraId="614A83B6">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102</w:t>
            </w:r>
          </w:p>
        </w:tc>
        <w:tc>
          <w:tcPr>
            <w:tcW w:w="677" w:type="pct"/>
            <w:vAlign w:val="center"/>
          </w:tcPr>
          <w:p w14:paraId="3FFF1901">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18</w:t>
            </w:r>
          </w:p>
        </w:tc>
        <w:tc>
          <w:tcPr>
            <w:tcW w:w="2698" w:type="pct"/>
            <w:vAlign w:val="center"/>
          </w:tcPr>
          <w:p w14:paraId="3C8A3D96">
            <w:pPr>
              <w:widowControl/>
              <w:spacing w:line="360" w:lineRule="auto"/>
              <w:jc w:val="left"/>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018 矿工路体育路口工商银行</w:t>
            </w:r>
          </w:p>
        </w:tc>
        <w:tc>
          <w:tcPr>
            <w:tcW w:w="1216" w:type="pct"/>
            <w:vAlign w:val="center"/>
          </w:tcPr>
          <w:p w14:paraId="57229BF3">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新华区-&gt;矿工路</w:t>
            </w:r>
          </w:p>
        </w:tc>
      </w:tr>
      <w:tr w14:paraId="20E5BB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7" w:type="pct"/>
            <w:vAlign w:val="center"/>
          </w:tcPr>
          <w:p w14:paraId="6C8158FD">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103</w:t>
            </w:r>
          </w:p>
        </w:tc>
        <w:tc>
          <w:tcPr>
            <w:tcW w:w="677" w:type="pct"/>
            <w:vAlign w:val="center"/>
          </w:tcPr>
          <w:p w14:paraId="485F1FA8">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w:t>
            </w:r>
          </w:p>
        </w:tc>
        <w:tc>
          <w:tcPr>
            <w:tcW w:w="2698" w:type="pct"/>
            <w:vAlign w:val="center"/>
          </w:tcPr>
          <w:p w14:paraId="773C7C97">
            <w:pPr>
              <w:widowControl/>
              <w:spacing w:line="360" w:lineRule="auto"/>
              <w:jc w:val="left"/>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丹尼斯百货枪球联动 枪</w:t>
            </w:r>
          </w:p>
        </w:tc>
        <w:tc>
          <w:tcPr>
            <w:tcW w:w="1216" w:type="pct"/>
            <w:vAlign w:val="center"/>
          </w:tcPr>
          <w:p w14:paraId="336B5E08">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新华区-&gt;矿工路</w:t>
            </w:r>
          </w:p>
        </w:tc>
      </w:tr>
      <w:tr w14:paraId="1D6362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7" w:type="pct"/>
            <w:vAlign w:val="center"/>
          </w:tcPr>
          <w:p w14:paraId="019AAC1D">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104</w:t>
            </w:r>
          </w:p>
        </w:tc>
        <w:tc>
          <w:tcPr>
            <w:tcW w:w="677" w:type="pct"/>
            <w:vAlign w:val="center"/>
          </w:tcPr>
          <w:p w14:paraId="4F1F8933">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w:t>
            </w:r>
          </w:p>
        </w:tc>
        <w:tc>
          <w:tcPr>
            <w:tcW w:w="2698" w:type="pct"/>
            <w:vAlign w:val="center"/>
          </w:tcPr>
          <w:p w14:paraId="177AD7DF">
            <w:pPr>
              <w:widowControl/>
              <w:spacing w:line="360" w:lineRule="auto"/>
              <w:jc w:val="left"/>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丹尼斯百货枪球联动 球</w:t>
            </w:r>
          </w:p>
        </w:tc>
        <w:tc>
          <w:tcPr>
            <w:tcW w:w="1216" w:type="pct"/>
            <w:vAlign w:val="center"/>
          </w:tcPr>
          <w:p w14:paraId="6BA3C3EF">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新华区-&gt;矿工路</w:t>
            </w:r>
          </w:p>
        </w:tc>
      </w:tr>
      <w:tr w14:paraId="56FBF3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7" w:type="pct"/>
            <w:vAlign w:val="center"/>
          </w:tcPr>
          <w:p w14:paraId="1B603979">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105</w:t>
            </w:r>
          </w:p>
        </w:tc>
        <w:tc>
          <w:tcPr>
            <w:tcW w:w="677" w:type="pct"/>
            <w:vAlign w:val="center"/>
          </w:tcPr>
          <w:p w14:paraId="60FC6FE9">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17</w:t>
            </w:r>
          </w:p>
        </w:tc>
        <w:tc>
          <w:tcPr>
            <w:tcW w:w="2698" w:type="pct"/>
            <w:vAlign w:val="center"/>
          </w:tcPr>
          <w:p w14:paraId="08767EB3">
            <w:pPr>
              <w:widowControl/>
              <w:spacing w:line="360" w:lineRule="auto"/>
              <w:jc w:val="left"/>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017 矿工路天安煤业门口东侧</w:t>
            </w:r>
          </w:p>
        </w:tc>
        <w:tc>
          <w:tcPr>
            <w:tcW w:w="1216" w:type="pct"/>
            <w:vAlign w:val="center"/>
          </w:tcPr>
          <w:p w14:paraId="14E9345E">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新华区-&gt;矿工路</w:t>
            </w:r>
          </w:p>
        </w:tc>
      </w:tr>
      <w:tr w14:paraId="3571ED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7" w:type="pct"/>
            <w:vAlign w:val="center"/>
          </w:tcPr>
          <w:p w14:paraId="3355C639">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106</w:t>
            </w:r>
          </w:p>
        </w:tc>
        <w:tc>
          <w:tcPr>
            <w:tcW w:w="677" w:type="pct"/>
            <w:vAlign w:val="center"/>
          </w:tcPr>
          <w:p w14:paraId="51C819E8">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80</w:t>
            </w:r>
          </w:p>
        </w:tc>
        <w:tc>
          <w:tcPr>
            <w:tcW w:w="2698" w:type="pct"/>
            <w:vAlign w:val="center"/>
          </w:tcPr>
          <w:p w14:paraId="3C9AEF67">
            <w:pPr>
              <w:widowControl/>
              <w:spacing w:line="360" w:lineRule="auto"/>
              <w:jc w:val="left"/>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080 体育路矿工路微卡口1</w:t>
            </w:r>
          </w:p>
        </w:tc>
        <w:tc>
          <w:tcPr>
            <w:tcW w:w="1216" w:type="pct"/>
            <w:vAlign w:val="center"/>
          </w:tcPr>
          <w:p w14:paraId="2C2F7556">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新华区-&gt;矿工路</w:t>
            </w:r>
          </w:p>
        </w:tc>
      </w:tr>
      <w:tr w14:paraId="1F8B5E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7" w:type="pct"/>
            <w:vAlign w:val="center"/>
          </w:tcPr>
          <w:p w14:paraId="5C60D338">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107</w:t>
            </w:r>
          </w:p>
        </w:tc>
        <w:tc>
          <w:tcPr>
            <w:tcW w:w="677" w:type="pct"/>
            <w:vAlign w:val="center"/>
          </w:tcPr>
          <w:p w14:paraId="2BE6BA4B">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88</w:t>
            </w:r>
          </w:p>
        </w:tc>
        <w:tc>
          <w:tcPr>
            <w:tcW w:w="2698" w:type="pct"/>
            <w:vAlign w:val="center"/>
          </w:tcPr>
          <w:p w14:paraId="6E1EE268">
            <w:pPr>
              <w:widowControl/>
              <w:spacing w:line="360" w:lineRule="auto"/>
              <w:jc w:val="left"/>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088 中兴路香山大酒店门口</w:t>
            </w:r>
          </w:p>
        </w:tc>
        <w:tc>
          <w:tcPr>
            <w:tcW w:w="1216" w:type="pct"/>
            <w:vAlign w:val="center"/>
          </w:tcPr>
          <w:p w14:paraId="42146E6C">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新华区-&gt;中兴路</w:t>
            </w:r>
          </w:p>
        </w:tc>
      </w:tr>
      <w:tr w14:paraId="157C9A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7" w:type="pct"/>
            <w:vAlign w:val="center"/>
          </w:tcPr>
          <w:p w14:paraId="02DFCEED">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108</w:t>
            </w:r>
          </w:p>
        </w:tc>
        <w:tc>
          <w:tcPr>
            <w:tcW w:w="677" w:type="pct"/>
            <w:vAlign w:val="center"/>
          </w:tcPr>
          <w:p w14:paraId="40F09FF5">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145</w:t>
            </w:r>
          </w:p>
        </w:tc>
        <w:tc>
          <w:tcPr>
            <w:tcW w:w="2698" w:type="pct"/>
            <w:vAlign w:val="center"/>
          </w:tcPr>
          <w:p w14:paraId="44494A62">
            <w:pPr>
              <w:widowControl/>
              <w:spacing w:line="360" w:lineRule="auto"/>
              <w:jc w:val="left"/>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145 中兴路新鹰小学南</w:t>
            </w:r>
          </w:p>
        </w:tc>
        <w:tc>
          <w:tcPr>
            <w:tcW w:w="1216" w:type="pct"/>
            <w:vAlign w:val="center"/>
          </w:tcPr>
          <w:p w14:paraId="70F81E3F">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新华区-&gt;中兴路</w:t>
            </w:r>
          </w:p>
        </w:tc>
      </w:tr>
      <w:tr w14:paraId="751299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7" w:type="pct"/>
            <w:vAlign w:val="center"/>
          </w:tcPr>
          <w:p w14:paraId="16FC4AB2">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109</w:t>
            </w:r>
          </w:p>
        </w:tc>
        <w:tc>
          <w:tcPr>
            <w:tcW w:w="677" w:type="pct"/>
            <w:vAlign w:val="center"/>
          </w:tcPr>
          <w:p w14:paraId="69E86320">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146</w:t>
            </w:r>
          </w:p>
        </w:tc>
        <w:tc>
          <w:tcPr>
            <w:tcW w:w="2698" w:type="pct"/>
            <w:vAlign w:val="center"/>
          </w:tcPr>
          <w:p w14:paraId="69A0943E">
            <w:pPr>
              <w:widowControl/>
              <w:spacing w:line="360" w:lineRule="auto"/>
              <w:jc w:val="left"/>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146 中兴路新鹰小学北</w:t>
            </w:r>
          </w:p>
        </w:tc>
        <w:tc>
          <w:tcPr>
            <w:tcW w:w="1216" w:type="pct"/>
            <w:vAlign w:val="center"/>
          </w:tcPr>
          <w:p w14:paraId="35CE7427">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新华区-&gt;中兴路</w:t>
            </w:r>
          </w:p>
        </w:tc>
      </w:tr>
      <w:tr w14:paraId="5C75A0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7" w:type="pct"/>
            <w:vAlign w:val="center"/>
          </w:tcPr>
          <w:p w14:paraId="272BB09B">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110</w:t>
            </w:r>
          </w:p>
        </w:tc>
        <w:tc>
          <w:tcPr>
            <w:tcW w:w="677" w:type="pct"/>
            <w:vAlign w:val="center"/>
          </w:tcPr>
          <w:p w14:paraId="7F9796CF">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123</w:t>
            </w:r>
          </w:p>
        </w:tc>
        <w:tc>
          <w:tcPr>
            <w:tcW w:w="2698" w:type="pct"/>
            <w:vAlign w:val="center"/>
          </w:tcPr>
          <w:p w14:paraId="0651F75A">
            <w:pPr>
              <w:widowControl/>
              <w:spacing w:line="360" w:lineRule="auto"/>
              <w:jc w:val="left"/>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123 中兴路广厦商务中心南</w:t>
            </w:r>
          </w:p>
        </w:tc>
        <w:tc>
          <w:tcPr>
            <w:tcW w:w="1216" w:type="pct"/>
            <w:vAlign w:val="center"/>
          </w:tcPr>
          <w:p w14:paraId="5B90D38D">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新华区-&gt;中兴路</w:t>
            </w:r>
          </w:p>
        </w:tc>
      </w:tr>
      <w:tr w14:paraId="051219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7" w:type="pct"/>
            <w:vAlign w:val="center"/>
          </w:tcPr>
          <w:p w14:paraId="763685D4">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111</w:t>
            </w:r>
          </w:p>
        </w:tc>
        <w:tc>
          <w:tcPr>
            <w:tcW w:w="677" w:type="pct"/>
            <w:vAlign w:val="center"/>
          </w:tcPr>
          <w:p w14:paraId="3CE1E784">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144</w:t>
            </w:r>
          </w:p>
        </w:tc>
        <w:tc>
          <w:tcPr>
            <w:tcW w:w="2698" w:type="pct"/>
            <w:vAlign w:val="center"/>
          </w:tcPr>
          <w:p w14:paraId="67B285EF">
            <w:pPr>
              <w:widowControl/>
              <w:spacing w:line="360" w:lineRule="auto"/>
              <w:jc w:val="left"/>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144 中兴路南段粥之源北侧</w:t>
            </w:r>
          </w:p>
        </w:tc>
        <w:tc>
          <w:tcPr>
            <w:tcW w:w="1216" w:type="pct"/>
            <w:vAlign w:val="center"/>
          </w:tcPr>
          <w:p w14:paraId="78C6674A">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新华区-&gt;中兴路</w:t>
            </w:r>
          </w:p>
        </w:tc>
      </w:tr>
      <w:tr w14:paraId="799E85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7" w:type="pct"/>
            <w:vAlign w:val="center"/>
          </w:tcPr>
          <w:p w14:paraId="75F65AEC">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112</w:t>
            </w:r>
          </w:p>
        </w:tc>
        <w:tc>
          <w:tcPr>
            <w:tcW w:w="677" w:type="pct"/>
            <w:vAlign w:val="center"/>
          </w:tcPr>
          <w:p w14:paraId="7FA0AF71">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147</w:t>
            </w:r>
          </w:p>
        </w:tc>
        <w:tc>
          <w:tcPr>
            <w:tcW w:w="2698" w:type="pct"/>
            <w:vAlign w:val="center"/>
          </w:tcPr>
          <w:p w14:paraId="48E65B31">
            <w:pPr>
              <w:widowControl/>
              <w:spacing w:line="360" w:lineRule="auto"/>
              <w:jc w:val="left"/>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147 中兴路八中北街交叉口</w:t>
            </w:r>
          </w:p>
        </w:tc>
        <w:tc>
          <w:tcPr>
            <w:tcW w:w="1216" w:type="pct"/>
            <w:vAlign w:val="center"/>
          </w:tcPr>
          <w:p w14:paraId="2FA5AA30">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新华区-&gt;中兴路</w:t>
            </w:r>
          </w:p>
        </w:tc>
      </w:tr>
      <w:tr w14:paraId="214FAE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7" w:type="pct"/>
            <w:vAlign w:val="center"/>
          </w:tcPr>
          <w:p w14:paraId="0ACCE71A">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113</w:t>
            </w:r>
          </w:p>
        </w:tc>
        <w:tc>
          <w:tcPr>
            <w:tcW w:w="677" w:type="pct"/>
            <w:vAlign w:val="center"/>
          </w:tcPr>
          <w:p w14:paraId="2811DEE5">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89</w:t>
            </w:r>
          </w:p>
        </w:tc>
        <w:tc>
          <w:tcPr>
            <w:tcW w:w="2698" w:type="pct"/>
            <w:vAlign w:val="center"/>
          </w:tcPr>
          <w:p w14:paraId="1D7CDEBA">
            <w:pPr>
              <w:widowControl/>
              <w:spacing w:line="360" w:lineRule="auto"/>
              <w:jc w:val="left"/>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089 中兴路金龙眼镜门口</w:t>
            </w:r>
          </w:p>
        </w:tc>
        <w:tc>
          <w:tcPr>
            <w:tcW w:w="1216" w:type="pct"/>
            <w:vAlign w:val="center"/>
          </w:tcPr>
          <w:p w14:paraId="0E52DCAA">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新华区-&gt;中兴路</w:t>
            </w:r>
          </w:p>
        </w:tc>
      </w:tr>
      <w:tr w14:paraId="281E7A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7" w:type="pct"/>
            <w:vAlign w:val="center"/>
          </w:tcPr>
          <w:p w14:paraId="1A3DFB13">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114</w:t>
            </w:r>
          </w:p>
        </w:tc>
        <w:tc>
          <w:tcPr>
            <w:tcW w:w="677" w:type="pct"/>
            <w:vAlign w:val="center"/>
          </w:tcPr>
          <w:p w14:paraId="11F97A14">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90</w:t>
            </w:r>
          </w:p>
        </w:tc>
        <w:tc>
          <w:tcPr>
            <w:tcW w:w="2698" w:type="pct"/>
            <w:vAlign w:val="center"/>
          </w:tcPr>
          <w:p w14:paraId="3209194B">
            <w:pPr>
              <w:widowControl/>
              <w:spacing w:line="360" w:lineRule="auto"/>
              <w:jc w:val="left"/>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090 中兴路市粮食局门口</w:t>
            </w:r>
          </w:p>
        </w:tc>
        <w:tc>
          <w:tcPr>
            <w:tcW w:w="1216" w:type="pct"/>
            <w:vAlign w:val="center"/>
          </w:tcPr>
          <w:p w14:paraId="3696BAE0">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新华区-&gt;中兴路</w:t>
            </w:r>
          </w:p>
        </w:tc>
      </w:tr>
      <w:tr w14:paraId="277568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7" w:type="pct"/>
            <w:vAlign w:val="center"/>
          </w:tcPr>
          <w:p w14:paraId="03C6A954">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115</w:t>
            </w:r>
          </w:p>
        </w:tc>
        <w:tc>
          <w:tcPr>
            <w:tcW w:w="677" w:type="pct"/>
            <w:vAlign w:val="center"/>
          </w:tcPr>
          <w:p w14:paraId="20D4D821">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110</w:t>
            </w:r>
          </w:p>
        </w:tc>
        <w:tc>
          <w:tcPr>
            <w:tcW w:w="2698" w:type="pct"/>
            <w:vAlign w:val="center"/>
          </w:tcPr>
          <w:p w14:paraId="335F4FD4">
            <w:pPr>
              <w:widowControl/>
              <w:spacing w:line="360" w:lineRule="auto"/>
              <w:jc w:val="left"/>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110 中兴路和平路口微卡口</w:t>
            </w:r>
          </w:p>
        </w:tc>
        <w:tc>
          <w:tcPr>
            <w:tcW w:w="1216" w:type="pct"/>
            <w:vAlign w:val="center"/>
          </w:tcPr>
          <w:p w14:paraId="66EB7E18">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新华区-&gt;中兴路</w:t>
            </w:r>
          </w:p>
        </w:tc>
      </w:tr>
      <w:tr w14:paraId="1E2CD8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7" w:type="pct"/>
            <w:vAlign w:val="center"/>
          </w:tcPr>
          <w:p w14:paraId="64D60E7D">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116</w:t>
            </w:r>
          </w:p>
        </w:tc>
        <w:tc>
          <w:tcPr>
            <w:tcW w:w="677" w:type="pct"/>
            <w:vAlign w:val="center"/>
          </w:tcPr>
          <w:p w14:paraId="64942253">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106</w:t>
            </w:r>
          </w:p>
        </w:tc>
        <w:tc>
          <w:tcPr>
            <w:tcW w:w="2698" w:type="pct"/>
            <w:vAlign w:val="center"/>
          </w:tcPr>
          <w:p w14:paraId="2D75D056">
            <w:pPr>
              <w:widowControl/>
              <w:spacing w:line="360" w:lineRule="auto"/>
              <w:jc w:val="left"/>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106 中兴路基泰北</w:t>
            </w:r>
          </w:p>
        </w:tc>
        <w:tc>
          <w:tcPr>
            <w:tcW w:w="1216" w:type="pct"/>
            <w:vAlign w:val="center"/>
          </w:tcPr>
          <w:p w14:paraId="3F8340A0">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新华区-&gt;中兴路</w:t>
            </w:r>
          </w:p>
        </w:tc>
      </w:tr>
      <w:tr w14:paraId="7DE168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7" w:type="pct"/>
            <w:vAlign w:val="center"/>
          </w:tcPr>
          <w:p w14:paraId="078CE0C0">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117</w:t>
            </w:r>
          </w:p>
        </w:tc>
        <w:tc>
          <w:tcPr>
            <w:tcW w:w="677" w:type="pct"/>
            <w:vAlign w:val="center"/>
          </w:tcPr>
          <w:p w14:paraId="19D01DAA">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119</w:t>
            </w:r>
          </w:p>
        </w:tc>
        <w:tc>
          <w:tcPr>
            <w:tcW w:w="2698" w:type="pct"/>
            <w:vAlign w:val="center"/>
          </w:tcPr>
          <w:p w14:paraId="3515EBE3">
            <w:pPr>
              <w:widowControl/>
              <w:spacing w:line="360" w:lineRule="auto"/>
              <w:jc w:val="left"/>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119 中心路小学</w:t>
            </w:r>
          </w:p>
        </w:tc>
        <w:tc>
          <w:tcPr>
            <w:tcW w:w="1216" w:type="pct"/>
            <w:vAlign w:val="center"/>
          </w:tcPr>
          <w:p w14:paraId="55270BF5">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新华区-&gt;中兴路</w:t>
            </w:r>
          </w:p>
        </w:tc>
      </w:tr>
      <w:tr w14:paraId="080E4D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7" w:type="pct"/>
            <w:vAlign w:val="center"/>
          </w:tcPr>
          <w:p w14:paraId="7F8BC50D">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118</w:t>
            </w:r>
          </w:p>
        </w:tc>
        <w:tc>
          <w:tcPr>
            <w:tcW w:w="677" w:type="pct"/>
            <w:vAlign w:val="center"/>
          </w:tcPr>
          <w:p w14:paraId="11E976A1">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152</w:t>
            </w:r>
          </w:p>
        </w:tc>
        <w:tc>
          <w:tcPr>
            <w:tcW w:w="2698" w:type="pct"/>
            <w:vAlign w:val="center"/>
          </w:tcPr>
          <w:p w14:paraId="4D214B2A">
            <w:pPr>
              <w:widowControl/>
              <w:spacing w:line="360" w:lineRule="auto"/>
              <w:jc w:val="left"/>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152 开源路舒源宾馆北</w:t>
            </w:r>
          </w:p>
        </w:tc>
        <w:tc>
          <w:tcPr>
            <w:tcW w:w="1216" w:type="pct"/>
            <w:vAlign w:val="center"/>
          </w:tcPr>
          <w:p w14:paraId="705B8B1D">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新华区-&gt;开源路</w:t>
            </w:r>
          </w:p>
        </w:tc>
      </w:tr>
      <w:tr w14:paraId="30C70D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7" w:type="pct"/>
            <w:vAlign w:val="center"/>
          </w:tcPr>
          <w:p w14:paraId="74FAD2E9">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119</w:t>
            </w:r>
          </w:p>
        </w:tc>
        <w:tc>
          <w:tcPr>
            <w:tcW w:w="677" w:type="pct"/>
            <w:vAlign w:val="center"/>
          </w:tcPr>
          <w:p w14:paraId="026AF0C7">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153</w:t>
            </w:r>
          </w:p>
        </w:tc>
        <w:tc>
          <w:tcPr>
            <w:tcW w:w="2698" w:type="pct"/>
            <w:vAlign w:val="center"/>
          </w:tcPr>
          <w:p w14:paraId="4A5678BF">
            <w:pPr>
              <w:widowControl/>
              <w:spacing w:line="360" w:lineRule="auto"/>
              <w:jc w:val="left"/>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153 开源路步行街东街口南</w:t>
            </w:r>
          </w:p>
        </w:tc>
        <w:tc>
          <w:tcPr>
            <w:tcW w:w="1216" w:type="pct"/>
            <w:vAlign w:val="center"/>
          </w:tcPr>
          <w:p w14:paraId="7A151E8F">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新华区-&gt;开源路</w:t>
            </w:r>
          </w:p>
        </w:tc>
      </w:tr>
      <w:tr w14:paraId="4AA1DF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7" w:type="pct"/>
            <w:vAlign w:val="center"/>
          </w:tcPr>
          <w:p w14:paraId="5A915E0A">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120</w:t>
            </w:r>
          </w:p>
        </w:tc>
        <w:tc>
          <w:tcPr>
            <w:tcW w:w="677" w:type="pct"/>
            <w:vAlign w:val="center"/>
          </w:tcPr>
          <w:p w14:paraId="6425E979">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154</w:t>
            </w:r>
          </w:p>
        </w:tc>
        <w:tc>
          <w:tcPr>
            <w:tcW w:w="2698" w:type="pct"/>
            <w:vAlign w:val="center"/>
          </w:tcPr>
          <w:p w14:paraId="20F4AE34">
            <w:pPr>
              <w:widowControl/>
              <w:spacing w:line="360" w:lineRule="auto"/>
              <w:jc w:val="left"/>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154 开源路椒气小姐麻辣烫</w:t>
            </w:r>
          </w:p>
        </w:tc>
        <w:tc>
          <w:tcPr>
            <w:tcW w:w="1216" w:type="pct"/>
            <w:vAlign w:val="center"/>
          </w:tcPr>
          <w:p w14:paraId="0E79C0B2">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新华区-&gt;开源路</w:t>
            </w:r>
          </w:p>
        </w:tc>
      </w:tr>
      <w:tr w14:paraId="28139D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7" w:type="pct"/>
            <w:vAlign w:val="center"/>
          </w:tcPr>
          <w:p w14:paraId="2FAE27C4">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121</w:t>
            </w:r>
          </w:p>
        </w:tc>
        <w:tc>
          <w:tcPr>
            <w:tcW w:w="677" w:type="pct"/>
            <w:vAlign w:val="center"/>
          </w:tcPr>
          <w:p w14:paraId="45F4540A">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157</w:t>
            </w:r>
          </w:p>
        </w:tc>
        <w:tc>
          <w:tcPr>
            <w:tcW w:w="2698" w:type="pct"/>
            <w:vAlign w:val="center"/>
          </w:tcPr>
          <w:p w14:paraId="03A81EDB">
            <w:pPr>
              <w:widowControl/>
              <w:spacing w:line="360" w:lineRule="auto"/>
              <w:jc w:val="left"/>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157 开源路开源大市场出口3</w:t>
            </w:r>
          </w:p>
        </w:tc>
        <w:tc>
          <w:tcPr>
            <w:tcW w:w="1216" w:type="pct"/>
            <w:vAlign w:val="center"/>
          </w:tcPr>
          <w:p w14:paraId="69B45AC3">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新华区-&gt;开源路</w:t>
            </w:r>
          </w:p>
        </w:tc>
      </w:tr>
      <w:tr w14:paraId="1DFC44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7" w:type="pct"/>
            <w:vAlign w:val="center"/>
          </w:tcPr>
          <w:p w14:paraId="2D931ADC">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122</w:t>
            </w:r>
          </w:p>
        </w:tc>
        <w:tc>
          <w:tcPr>
            <w:tcW w:w="677" w:type="pct"/>
            <w:vAlign w:val="center"/>
          </w:tcPr>
          <w:p w14:paraId="0BB4E433">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156</w:t>
            </w:r>
          </w:p>
        </w:tc>
        <w:tc>
          <w:tcPr>
            <w:tcW w:w="2698" w:type="pct"/>
            <w:vAlign w:val="center"/>
          </w:tcPr>
          <w:p w14:paraId="30EA4E77">
            <w:pPr>
              <w:widowControl/>
              <w:spacing w:line="360" w:lineRule="auto"/>
              <w:jc w:val="left"/>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156 开源路开源大市场出口2</w:t>
            </w:r>
          </w:p>
        </w:tc>
        <w:tc>
          <w:tcPr>
            <w:tcW w:w="1216" w:type="pct"/>
            <w:vAlign w:val="center"/>
          </w:tcPr>
          <w:p w14:paraId="197D36CF">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新华区-&gt;开源路</w:t>
            </w:r>
          </w:p>
        </w:tc>
      </w:tr>
      <w:tr w14:paraId="7253DE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7" w:type="pct"/>
            <w:vAlign w:val="center"/>
          </w:tcPr>
          <w:p w14:paraId="78692277">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123</w:t>
            </w:r>
          </w:p>
        </w:tc>
        <w:tc>
          <w:tcPr>
            <w:tcW w:w="677" w:type="pct"/>
            <w:vAlign w:val="center"/>
          </w:tcPr>
          <w:p w14:paraId="6C6A1AF3">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155</w:t>
            </w:r>
          </w:p>
        </w:tc>
        <w:tc>
          <w:tcPr>
            <w:tcW w:w="2698" w:type="pct"/>
            <w:vAlign w:val="center"/>
          </w:tcPr>
          <w:p w14:paraId="51246932">
            <w:pPr>
              <w:widowControl/>
              <w:spacing w:line="360" w:lineRule="auto"/>
              <w:jc w:val="left"/>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155 开源路开源大市场出口1</w:t>
            </w:r>
          </w:p>
        </w:tc>
        <w:tc>
          <w:tcPr>
            <w:tcW w:w="1216" w:type="pct"/>
            <w:vAlign w:val="center"/>
          </w:tcPr>
          <w:p w14:paraId="36125490">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新华区-&gt;开源路</w:t>
            </w:r>
          </w:p>
        </w:tc>
      </w:tr>
      <w:tr w14:paraId="19A03C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7" w:type="pct"/>
            <w:vAlign w:val="center"/>
          </w:tcPr>
          <w:p w14:paraId="5F36F4AE">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124</w:t>
            </w:r>
          </w:p>
        </w:tc>
        <w:tc>
          <w:tcPr>
            <w:tcW w:w="677" w:type="pct"/>
            <w:vAlign w:val="center"/>
          </w:tcPr>
          <w:p w14:paraId="4CC6B7CE">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166</w:t>
            </w:r>
          </w:p>
        </w:tc>
        <w:tc>
          <w:tcPr>
            <w:tcW w:w="2698" w:type="pct"/>
            <w:vAlign w:val="center"/>
          </w:tcPr>
          <w:p w14:paraId="076ACC8F">
            <w:pPr>
              <w:widowControl/>
              <w:spacing w:line="360" w:lineRule="auto"/>
              <w:jc w:val="left"/>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166 开源路城管家属院出口</w:t>
            </w:r>
          </w:p>
        </w:tc>
        <w:tc>
          <w:tcPr>
            <w:tcW w:w="1216" w:type="pct"/>
            <w:vAlign w:val="center"/>
          </w:tcPr>
          <w:p w14:paraId="6DE815BE">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新华区-&gt;开源路</w:t>
            </w:r>
          </w:p>
        </w:tc>
      </w:tr>
      <w:tr w14:paraId="121317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7" w:type="pct"/>
            <w:vAlign w:val="center"/>
          </w:tcPr>
          <w:p w14:paraId="1FDF99EE">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125</w:t>
            </w:r>
          </w:p>
        </w:tc>
        <w:tc>
          <w:tcPr>
            <w:tcW w:w="677" w:type="pct"/>
            <w:vAlign w:val="center"/>
          </w:tcPr>
          <w:p w14:paraId="3D8C9FA4">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167</w:t>
            </w:r>
          </w:p>
        </w:tc>
        <w:tc>
          <w:tcPr>
            <w:tcW w:w="2698" w:type="pct"/>
            <w:vAlign w:val="center"/>
          </w:tcPr>
          <w:p w14:paraId="48759518">
            <w:pPr>
              <w:widowControl/>
              <w:spacing w:line="360" w:lineRule="auto"/>
              <w:jc w:val="left"/>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167 开源路八中北街口</w:t>
            </w:r>
          </w:p>
        </w:tc>
        <w:tc>
          <w:tcPr>
            <w:tcW w:w="1216" w:type="pct"/>
            <w:vAlign w:val="center"/>
          </w:tcPr>
          <w:p w14:paraId="08AB5081">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新华区-&gt;开源路</w:t>
            </w:r>
          </w:p>
        </w:tc>
      </w:tr>
      <w:tr w14:paraId="732B03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7" w:type="pct"/>
            <w:vAlign w:val="center"/>
          </w:tcPr>
          <w:p w14:paraId="59BBF164">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126</w:t>
            </w:r>
          </w:p>
        </w:tc>
        <w:tc>
          <w:tcPr>
            <w:tcW w:w="677" w:type="pct"/>
            <w:vAlign w:val="center"/>
          </w:tcPr>
          <w:p w14:paraId="1D12077B">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237</w:t>
            </w:r>
          </w:p>
        </w:tc>
        <w:tc>
          <w:tcPr>
            <w:tcW w:w="2698" w:type="pct"/>
            <w:vAlign w:val="center"/>
          </w:tcPr>
          <w:p w14:paraId="5973ACF3">
            <w:pPr>
              <w:widowControl/>
              <w:spacing w:line="360" w:lineRule="auto"/>
              <w:jc w:val="left"/>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237 开源路王婆大虾门口</w:t>
            </w:r>
          </w:p>
        </w:tc>
        <w:tc>
          <w:tcPr>
            <w:tcW w:w="1216" w:type="pct"/>
            <w:vAlign w:val="center"/>
          </w:tcPr>
          <w:p w14:paraId="188D2276">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新华区-&gt;开源路</w:t>
            </w:r>
          </w:p>
        </w:tc>
      </w:tr>
      <w:tr w14:paraId="4F1AB5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7" w:type="pct"/>
            <w:vAlign w:val="center"/>
          </w:tcPr>
          <w:p w14:paraId="59C277BE">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127</w:t>
            </w:r>
          </w:p>
        </w:tc>
        <w:tc>
          <w:tcPr>
            <w:tcW w:w="677" w:type="pct"/>
            <w:vAlign w:val="center"/>
          </w:tcPr>
          <w:p w14:paraId="6C71842A">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151</w:t>
            </w:r>
          </w:p>
        </w:tc>
        <w:tc>
          <w:tcPr>
            <w:tcW w:w="2698" w:type="pct"/>
            <w:vAlign w:val="center"/>
          </w:tcPr>
          <w:p w14:paraId="59387A9F">
            <w:pPr>
              <w:widowControl/>
              <w:spacing w:line="360" w:lineRule="auto"/>
              <w:jc w:val="left"/>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151 开源路润泽园北</w:t>
            </w:r>
          </w:p>
        </w:tc>
        <w:tc>
          <w:tcPr>
            <w:tcW w:w="1216" w:type="pct"/>
            <w:vAlign w:val="center"/>
          </w:tcPr>
          <w:p w14:paraId="7314B958">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新华区-&gt;开源路</w:t>
            </w:r>
          </w:p>
        </w:tc>
      </w:tr>
      <w:tr w14:paraId="416BFB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7" w:type="pct"/>
            <w:vAlign w:val="center"/>
          </w:tcPr>
          <w:p w14:paraId="7DDDC252">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128</w:t>
            </w:r>
          </w:p>
        </w:tc>
        <w:tc>
          <w:tcPr>
            <w:tcW w:w="677" w:type="pct"/>
            <w:vAlign w:val="center"/>
          </w:tcPr>
          <w:p w14:paraId="013F65C3">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159</w:t>
            </w:r>
          </w:p>
        </w:tc>
        <w:tc>
          <w:tcPr>
            <w:tcW w:w="2698" w:type="pct"/>
            <w:vAlign w:val="center"/>
          </w:tcPr>
          <w:p w14:paraId="46452A9A">
            <w:pPr>
              <w:widowControl/>
              <w:spacing w:line="360" w:lineRule="auto"/>
              <w:jc w:val="left"/>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159 开源路昕开源市场东门运动家健身路口</w:t>
            </w:r>
          </w:p>
        </w:tc>
        <w:tc>
          <w:tcPr>
            <w:tcW w:w="1216" w:type="pct"/>
            <w:vAlign w:val="center"/>
          </w:tcPr>
          <w:p w14:paraId="527B5C78">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新华区-&gt;开源路</w:t>
            </w:r>
          </w:p>
        </w:tc>
      </w:tr>
      <w:tr w14:paraId="176F9C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7" w:type="pct"/>
            <w:vAlign w:val="center"/>
          </w:tcPr>
          <w:p w14:paraId="7B87B01A">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129</w:t>
            </w:r>
          </w:p>
        </w:tc>
        <w:tc>
          <w:tcPr>
            <w:tcW w:w="677" w:type="pct"/>
            <w:vAlign w:val="center"/>
          </w:tcPr>
          <w:p w14:paraId="5DDC06B7">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158</w:t>
            </w:r>
          </w:p>
        </w:tc>
        <w:tc>
          <w:tcPr>
            <w:tcW w:w="2698" w:type="pct"/>
            <w:vAlign w:val="center"/>
          </w:tcPr>
          <w:p w14:paraId="1101583B">
            <w:pPr>
              <w:widowControl/>
              <w:spacing w:line="360" w:lineRule="auto"/>
              <w:jc w:val="left"/>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158 开源路新开源市场出口1</w:t>
            </w:r>
          </w:p>
        </w:tc>
        <w:tc>
          <w:tcPr>
            <w:tcW w:w="1216" w:type="pct"/>
            <w:vAlign w:val="center"/>
          </w:tcPr>
          <w:p w14:paraId="25FA0FCE">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新华区-&gt;开源路</w:t>
            </w:r>
          </w:p>
        </w:tc>
      </w:tr>
      <w:tr w14:paraId="4E939C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7" w:type="pct"/>
            <w:vAlign w:val="center"/>
          </w:tcPr>
          <w:p w14:paraId="68277EC3">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130</w:t>
            </w:r>
          </w:p>
        </w:tc>
        <w:tc>
          <w:tcPr>
            <w:tcW w:w="677" w:type="pct"/>
            <w:vAlign w:val="center"/>
          </w:tcPr>
          <w:p w14:paraId="31017D2A">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185</w:t>
            </w:r>
          </w:p>
        </w:tc>
        <w:tc>
          <w:tcPr>
            <w:tcW w:w="2698" w:type="pct"/>
            <w:vAlign w:val="center"/>
          </w:tcPr>
          <w:p w14:paraId="1E22DD45">
            <w:pPr>
              <w:widowControl/>
              <w:spacing w:line="360" w:lineRule="auto"/>
              <w:jc w:val="left"/>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185 开源路金水元亨出口</w:t>
            </w:r>
          </w:p>
        </w:tc>
        <w:tc>
          <w:tcPr>
            <w:tcW w:w="1216" w:type="pct"/>
            <w:vAlign w:val="center"/>
          </w:tcPr>
          <w:p w14:paraId="1B0F9F23">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新华区-&gt;开源路</w:t>
            </w:r>
          </w:p>
        </w:tc>
      </w:tr>
      <w:tr w14:paraId="63EB12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7" w:type="pct"/>
            <w:vAlign w:val="center"/>
          </w:tcPr>
          <w:p w14:paraId="528DC344">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131</w:t>
            </w:r>
          </w:p>
        </w:tc>
        <w:tc>
          <w:tcPr>
            <w:tcW w:w="677" w:type="pct"/>
            <w:vAlign w:val="center"/>
          </w:tcPr>
          <w:p w14:paraId="687033D8">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236</w:t>
            </w:r>
          </w:p>
        </w:tc>
        <w:tc>
          <w:tcPr>
            <w:tcW w:w="2698" w:type="pct"/>
            <w:vAlign w:val="center"/>
          </w:tcPr>
          <w:p w14:paraId="6EB8E25E">
            <w:pPr>
              <w:widowControl/>
              <w:spacing w:line="360" w:lineRule="auto"/>
              <w:jc w:val="left"/>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236 开源路好运来门口</w:t>
            </w:r>
          </w:p>
        </w:tc>
        <w:tc>
          <w:tcPr>
            <w:tcW w:w="1216" w:type="pct"/>
            <w:vAlign w:val="center"/>
          </w:tcPr>
          <w:p w14:paraId="573634B3">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新华区-&gt;开源路</w:t>
            </w:r>
          </w:p>
        </w:tc>
      </w:tr>
      <w:tr w14:paraId="057258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7" w:type="pct"/>
            <w:vAlign w:val="center"/>
          </w:tcPr>
          <w:p w14:paraId="0A586E21">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132</w:t>
            </w:r>
          </w:p>
        </w:tc>
        <w:tc>
          <w:tcPr>
            <w:tcW w:w="677" w:type="pct"/>
            <w:vAlign w:val="center"/>
          </w:tcPr>
          <w:p w14:paraId="7A3B50D3">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230</w:t>
            </w:r>
          </w:p>
        </w:tc>
        <w:tc>
          <w:tcPr>
            <w:tcW w:w="2698" w:type="pct"/>
            <w:vAlign w:val="center"/>
          </w:tcPr>
          <w:p w14:paraId="45B4706C">
            <w:pPr>
              <w:widowControl/>
              <w:spacing w:line="360" w:lineRule="auto"/>
              <w:jc w:val="left"/>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230 公园北街可爱国际网络会所南</w:t>
            </w:r>
          </w:p>
        </w:tc>
        <w:tc>
          <w:tcPr>
            <w:tcW w:w="1216" w:type="pct"/>
            <w:vAlign w:val="center"/>
          </w:tcPr>
          <w:p w14:paraId="1F75D28A">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新华区-&gt;公园北街</w:t>
            </w:r>
          </w:p>
        </w:tc>
      </w:tr>
      <w:tr w14:paraId="42C7B0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7" w:type="pct"/>
            <w:vAlign w:val="center"/>
          </w:tcPr>
          <w:p w14:paraId="154DD568">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133</w:t>
            </w:r>
          </w:p>
        </w:tc>
        <w:tc>
          <w:tcPr>
            <w:tcW w:w="677" w:type="pct"/>
            <w:vAlign w:val="center"/>
          </w:tcPr>
          <w:p w14:paraId="1785CEDF">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40</w:t>
            </w:r>
          </w:p>
        </w:tc>
        <w:tc>
          <w:tcPr>
            <w:tcW w:w="2698" w:type="pct"/>
            <w:vAlign w:val="center"/>
          </w:tcPr>
          <w:p w14:paraId="2AACD627">
            <w:pPr>
              <w:widowControl/>
              <w:spacing w:line="360" w:lineRule="auto"/>
              <w:jc w:val="left"/>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040 公园北街德信泉超市南</w:t>
            </w:r>
          </w:p>
        </w:tc>
        <w:tc>
          <w:tcPr>
            <w:tcW w:w="1216" w:type="pct"/>
            <w:vAlign w:val="center"/>
          </w:tcPr>
          <w:p w14:paraId="2D6100A7">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新华区-&gt;公园北街</w:t>
            </w:r>
          </w:p>
        </w:tc>
      </w:tr>
      <w:tr w14:paraId="30E34E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7" w:type="pct"/>
            <w:vAlign w:val="center"/>
          </w:tcPr>
          <w:p w14:paraId="0503712D">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134</w:t>
            </w:r>
          </w:p>
        </w:tc>
        <w:tc>
          <w:tcPr>
            <w:tcW w:w="677" w:type="pct"/>
            <w:vAlign w:val="center"/>
          </w:tcPr>
          <w:p w14:paraId="22DB08A6">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37</w:t>
            </w:r>
          </w:p>
        </w:tc>
        <w:tc>
          <w:tcPr>
            <w:tcW w:w="2698" w:type="pct"/>
            <w:vAlign w:val="center"/>
          </w:tcPr>
          <w:p w14:paraId="640A695A">
            <w:pPr>
              <w:widowControl/>
              <w:spacing w:line="360" w:lineRule="auto"/>
              <w:jc w:val="left"/>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037 公园北街市口腔医院北</w:t>
            </w:r>
          </w:p>
        </w:tc>
        <w:tc>
          <w:tcPr>
            <w:tcW w:w="1216" w:type="pct"/>
            <w:vAlign w:val="center"/>
          </w:tcPr>
          <w:p w14:paraId="5E3A0F61">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新华区-&gt;公园北街</w:t>
            </w:r>
          </w:p>
        </w:tc>
      </w:tr>
      <w:tr w14:paraId="0072FC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7" w:type="pct"/>
            <w:vAlign w:val="center"/>
          </w:tcPr>
          <w:p w14:paraId="63041F57">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135</w:t>
            </w:r>
          </w:p>
        </w:tc>
        <w:tc>
          <w:tcPr>
            <w:tcW w:w="677" w:type="pct"/>
            <w:vAlign w:val="center"/>
          </w:tcPr>
          <w:p w14:paraId="7AAB81F1">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36</w:t>
            </w:r>
          </w:p>
        </w:tc>
        <w:tc>
          <w:tcPr>
            <w:tcW w:w="2698" w:type="pct"/>
            <w:vAlign w:val="center"/>
          </w:tcPr>
          <w:p w14:paraId="3C2AF225">
            <w:pPr>
              <w:widowControl/>
              <w:spacing w:line="360" w:lineRule="auto"/>
              <w:jc w:val="left"/>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036 公园北街市卫生监督局东</w:t>
            </w:r>
          </w:p>
        </w:tc>
        <w:tc>
          <w:tcPr>
            <w:tcW w:w="1216" w:type="pct"/>
            <w:vAlign w:val="center"/>
          </w:tcPr>
          <w:p w14:paraId="6E97FEC9">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新华区-&gt;公园北街</w:t>
            </w:r>
          </w:p>
        </w:tc>
      </w:tr>
      <w:tr w14:paraId="58B074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7" w:type="pct"/>
            <w:vAlign w:val="center"/>
          </w:tcPr>
          <w:p w14:paraId="3203C03A">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136</w:t>
            </w:r>
          </w:p>
        </w:tc>
        <w:tc>
          <w:tcPr>
            <w:tcW w:w="677" w:type="pct"/>
            <w:vAlign w:val="center"/>
          </w:tcPr>
          <w:p w14:paraId="3E25A45C">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248</w:t>
            </w:r>
          </w:p>
        </w:tc>
        <w:tc>
          <w:tcPr>
            <w:tcW w:w="2698" w:type="pct"/>
            <w:vAlign w:val="center"/>
          </w:tcPr>
          <w:p w14:paraId="021783B8">
            <w:pPr>
              <w:widowControl/>
              <w:spacing w:line="360" w:lineRule="auto"/>
              <w:jc w:val="left"/>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248 公园北街青少年宫北</w:t>
            </w:r>
          </w:p>
        </w:tc>
        <w:tc>
          <w:tcPr>
            <w:tcW w:w="1216" w:type="pct"/>
            <w:vAlign w:val="center"/>
          </w:tcPr>
          <w:p w14:paraId="6FAAB1AE">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新华区-&gt;公园北街</w:t>
            </w:r>
          </w:p>
        </w:tc>
      </w:tr>
      <w:tr w14:paraId="000888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7" w:type="pct"/>
            <w:vAlign w:val="center"/>
          </w:tcPr>
          <w:p w14:paraId="2857AB89">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137</w:t>
            </w:r>
          </w:p>
        </w:tc>
        <w:tc>
          <w:tcPr>
            <w:tcW w:w="677" w:type="pct"/>
            <w:vAlign w:val="center"/>
          </w:tcPr>
          <w:p w14:paraId="1F5F5073">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34</w:t>
            </w:r>
          </w:p>
        </w:tc>
        <w:tc>
          <w:tcPr>
            <w:tcW w:w="2698" w:type="pct"/>
            <w:vAlign w:val="center"/>
          </w:tcPr>
          <w:p w14:paraId="34E7191C">
            <w:pPr>
              <w:widowControl/>
              <w:spacing w:line="360" w:lineRule="auto"/>
              <w:jc w:val="left"/>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034 锦绣街文化宫南门西</w:t>
            </w:r>
          </w:p>
        </w:tc>
        <w:tc>
          <w:tcPr>
            <w:tcW w:w="1216" w:type="pct"/>
            <w:vAlign w:val="center"/>
          </w:tcPr>
          <w:p w14:paraId="0B3327F2">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新华区-&gt;锦绣街</w:t>
            </w:r>
          </w:p>
        </w:tc>
      </w:tr>
      <w:tr w14:paraId="1892FF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7" w:type="pct"/>
            <w:vAlign w:val="center"/>
          </w:tcPr>
          <w:p w14:paraId="2E3778BA">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138</w:t>
            </w:r>
          </w:p>
        </w:tc>
        <w:tc>
          <w:tcPr>
            <w:tcW w:w="677" w:type="pct"/>
            <w:vAlign w:val="center"/>
          </w:tcPr>
          <w:p w14:paraId="72BDDFA2">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33</w:t>
            </w:r>
          </w:p>
        </w:tc>
        <w:tc>
          <w:tcPr>
            <w:tcW w:w="2698" w:type="pct"/>
            <w:vAlign w:val="center"/>
          </w:tcPr>
          <w:p w14:paraId="68C4EECC">
            <w:pPr>
              <w:widowControl/>
              <w:spacing w:line="360" w:lineRule="auto"/>
              <w:jc w:val="left"/>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033 锦绣街文化宫南门东</w:t>
            </w:r>
          </w:p>
        </w:tc>
        <w:tc>
          <w:tcPr>
            <w:tcW w:w="1216" w:type="pct"/>
            <w:vAlign w:val="center"/>
          </w:tcPr>
          <w:p w14:paraId="53C3CBBB">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新华区-&gt;锦绣街</w:t>
            </w:r>
          </w:p>
        </w:tc>
      </w:tr>
      <w:tr w14:paraId="35D245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7" w:type="pct"/>
            <w:vAlign w:val="center"/>
          </w:tcPr>
          <w:p w14:paraId="08C506C4">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139</w:t>
            </w:r>
          </w:p>
        </w:tc>
        <w:tc>
          <w:tcPr>
            <w:tcW w:w="677" w:type="pct"/>
            <w:vAlign w:val="center"/>
          </w:tcPr>
          <w:p w14:paraId="6589B214">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231</w:t>
            </w:r>
          </w:p>
        </w:tc>
        <w:tc>
          <w:tcPr>
            <w:tcW w:w="2698" w:type="pct"/>
            <w:vAlign w:val="center"/>
          </w:tcPr>
          <w:p w14:paraId="17A5E8CE">
            <w:pPr>
              <w:widowControl/>
              <w:spacing w:line="360" w:lineRule="auto"/>
              <w:jc w:val="left"/>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231 锦绣街家亿烟酒店门口</w:t>
            </w:r>
          </w:p>
        </w:tc>
        <w:tc>
          <w:tcPr>
            <w:tcW w:w="1216" w:type="pct"/>
            <w:vAlign w:val="center"/>
          </w:tcPr>
          <w:p w14:paraId="6D1DF320">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新华区-&gt;锦绣街</w:t>
            </w:r>
          </w:p>
        </w:tc>
      </w:tr>
      <w:tr w14:paraId="5BB94C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7" w:type="pct"/>
            <w:vAlign w:val="center"/>
          </w:tcPr>
          <w:p w14:paraId="2C13E1F9">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140</w:t>
            </w:r>
          </w:p>
        </w:tc>
        <w:tc>
          <w:tcPr>
            <w:tcW w:w="677" w:type="pct"/>
            <w:vAlign w:val="center"/>
          </w:tcPr>
          <w:p w14:paraId="72C523B1">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32</w:t>
            </w:r>
          </w:p>
        </w:tc>
        <w:tc>
          <w:tcPr>
            <w:tcW w:w="2698" w:type="pct"/>
            <w:vAlign w:val="center"/>
          </w:tcPr>
          <w:p w14:paraId="404CFDB7">
            <w:pPr>
              <w:widowControl/>
              <w:spacing w:line="360" w:lineRule="auto"/>
              <w:jc w:val="left"/>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032 锦绣街云霞烟酒对面</w:t>
            </w:r>
          </w:p>
        </w:tc>
        <w:tc>
          <w:tcPr>
            <w:tcW w:w="1216" w:type="pct"/>
            <w:vAlign w:val="center"/>
          </w:tcPr>
          <w:p w14:paraId="4355809E">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新华区-&gt;锦绣街</w:t>
            </w:r>
          </w:p>
        </w:tc>
      </w:tr>
      <w:tr w14:paraId="5E4BC8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7" w:type="pct"/>
            <w:vAlign w:val="center"/>
          </w:tcPr>
          <w:p w14:paraId="16095E60">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141</w:t>
            </w:r>
          </w:p>
        </w:tc>
        <w:tc>
          <w:tcPr>
            <w:tcW w:w="677" w:type="pct"/>
            <w:vAlign w:val="center"/>
          </w:tcPr>
          <w:p w14:paraId="12E11F42">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104</w:t>
            </w:r>
          </w:p>
        </w:tc>
        <w:tc>
          <w:tcPr>
            <w:tcW w:w="2698" w:type="pct"/>
            <w:vAlign w:val="center"/>
          </w:tcPr>
          <w:p w14:paraId="4B4AEB9F">
            <w:pPr>
              <w:widowControl/>
              <w:spacing w:line="360" w:lineRule="auto"/>
              <w:jc w:val="left"/>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104 优越路哥弟店门口</w:t>
            </w:r>
          </w:p>
        </w:tc>
        <w:tc>
          <w:tcPr>
            <w:tcW w:w="1216" w:type="pct"/>
            <w:vAlign w:val="center"/>
          </w:tcPr>
          <w:p w14:paraId="4D1E9696">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新华区-&gt;优越路</w:t>
            </w:r>
          </w:p>
        </w:tc>
      </w:tr>
      <w:tr w14:paraId="5AA1D7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7" w:type="pct"/>
            <w:vAlign w:val="center"/>
          </w:tcPr>
          <w:p w14:paraId="2551FC8F">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142</w:t>
            </w:r>
          </w:p>
        </w:tc>
        <w:tc>
          <w:tcPr>
            <w:tcW w:w="677" w:type="pct"/>
            <w:vAlign w:val="center"/>
          </w:tcPr>
          <w:p w14:paraId="55C06ED1">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105</w:t>
            </w:r>
          </w:p>
        </w:tc>
        <w:tc>
          <w:tcPr>
            <w:tcW w:w="2698" w:type="pct"/>
            <w:vAlign w:val="center"/>
          </w:tcPr>
          <w:p w14:paraId="6698E220">
            <w:pPr>
              <w:widowControl/>
              <w:spacing w:line="360" w:lineRule="auto"/>
              <w:jc w:val="left"/>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105 优越路兰凤拉面门口</w:t>
            </w:r>
          </w:p>
        </w:tc>
        <w:tc>
          <w:tcPr>
            <w:tcW w:w="1216" w:type="pct"/>
            <w:vAlign w:val="center"/>
          </w:tcPr>
          <w:p w14:paraId="4C6092AD">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新华区-&gt;优越路</w:t>
            </w:r>
          </w:p>
        </w:tc>
      </w:tr>
      <w:tr w14:paraId="2C146D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7" w:type="pct"/>
            <w:vAlign w:val="center"/>
          </w:tcPr>
          <w:p w14:paraId="15BC29AE">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143</w:t>
            </w:r>
          </w:p>
        </w:tc>
        <w:tc>
          <w:tcPr>
            <w:tcW w:w="677" w:type="pct"/>
            <w:vAlign w:val="center"/>
          </w:tcPr>
          <w:p w14:paraId="36F232DC">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102</w:t>
            </w:r>
          </w:p>
        </w:tc>
        <w:tc>
          <w:tcPr>
            <w:tcW w:w="2698" w:type="pct"/>
            <w:vAlign w:val="center"/>
          </w:tcPr>
          <w:p w14:paraId="1B28CFBE">
            <w:pPr>
              <w:widowControl/>
              <w:spacing w:line="360" w:lineRule="auto"/>
              <w:jc w:val="left"/>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102 优越路与中兴路交叉口东100米南</w:t>
            </w:r>
          </w:p>
        </w:tc>
        <w:tc>
          <w:tcPr>
            <w:tcW w:w="1216" w:type="pct"/>
            <w:vAlign w:val="center"/>
          </w:tcPr>
          <w:p w14:paraId="322DAE80">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新华区-&gt;优越路</w:t>
            </w:r>
          </w:p>
        </w:tc>
      </w:tr>
      <w:tr w14:paraId="728606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7" w:type="pct"/>
            <w:vAlign w:val="center"/>
          </w:tcPr>
          <w:p w14:paraId="68C4576A">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144</w:t>
            </w:r>
          </w:p>
        </w:tc>
        <w:tc>
          <w:tcPr>
            <w:tcW w:w="677" w:type="pct"/>
            <w:vAlign w:val="center"/>
          </w:tcPr>
          <w:p w14:paraId="23C600A6">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202</w:t>
            </w:r>
          </w:p>
        </w:tc>
        <w:tc>
          <w:tcPr>
            <w:tcW w:w="2698" w:type="pct"/>
            <w:vAlign w:val="center"/>
          </w:tcPr>
          <w:p w14:paraId="02C6FDD6">
            <w:pPr>
              <w:widowControl/>
              <w:spacing w:line="360" w:lineRule="auto"/>
              <w:jc w:val="left"/>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202 优越路丰源路口</w:t>
            </w:r>
          </w:p>
        </w:tc>
        <w:tc>
          <w:tcPr>
            <w:tcW w:w="1216" w:type="pct"/>
            <w:vAlign w:val="center"/>
          </w:tcPr>
          <w:p w14:paraId="01754DCE">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新华区-&gt;优越路</w:t>
            </w:r>
          </w:p>
        </w:tc>
      </w:tr>
      <w:tr w14:paraId="39ED9E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7" w:type="pct"/>
            <w:vAlign w:val="center"/>
          </w:tcPr>
          <w:p w14:paraId="1C562E4B">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145</w:t>
            </w:r>
          </w:p>
        </w:tc>
        <w:tc>
          <w:tcPr>
            <w:tcW w:w="677" w:type="pct"/>
            <w:vAlign w:val="center"/>
          </w:tcPr>
          <w:p w14:paraId="7B98FD70">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38</w:t>
            </w:r>
          </w:p>
        </w:tc>
        <w:tc>
          <w:tcPr>
            <w:tcW w:w="2698" w:type="pct"/>
            <w:vAlign w:val="center"/>
          </w:tcPr>
          <w:p w14:paraId="0F6B2D99">
            <w:pPr>
              <w:widowControl/>
              <w:spacing w:line="360" w:lineRule="auto"/>
              <w:jc w:val="left"/>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038 启蒙路公园北街交叉口西</w:t>
            </w:r>
          </w:p>
        </w:tc>
        <w:tc>
          <w:tcPr>
            <w:tcW w:w="1216" w:type="pct"/>
            <w:vAlign w:val="center"/>
          </w:tcPr>
          <w:p w14:paraId="4CEA90A1">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新华区-&gt;启蒙路</w:t>
            </w:r>
          </w:p>
        </w:tc>
      </w:tr>
      <w:tr w14:paraId="61D3E8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7" w:type="pct"/>
            <w:vAlign w:val="center"/>
          </w:tcPr>
          <w:p w14:paraId="7489FB2A">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146</w:t>
            </w:r>
          </w:p>
        </w:tc>
        <w:tc>
          <w:tcPr>
            <w:tcW w:w="677" w:type="pct"/>
            <w:vAlign w:val="center"/>
          </w:tcPr>
          <w:p w14:paraId="2EA31EEE">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99</w:t>
            </w:r>
          </w:p>
        </w:tc>
        <w:tc>
          <w:tcPr>
            <w:tcW w:w="2698" w:type="pct"/>
            <w:vAlign w:val="center"/>
          </w:tcPr>
          <w:p w14:paraId="62DF1D9E">
            <w:pPr>
              <w:widowControl/>
              <w:spacing w:line="360" w:lineRule="auto"/>
              <w:jc w:val="left"/>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099 启蒙路卫生局家属院门口</w:t>
            </w:r>
          </w:p>
        </w:tc>
        <w:tc>
          <w:tcPr>
            <w:tcW w:w="1216" w:type="pct"/>
            <w:vAlign w:val="center"/>
          </w:tcPr>
          <w:p w14:paraId="5AD96A4B">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新华区-&gt;启蒙路</w:t>
            </w:r>
          </w:p>
        </w:tc>
      </w:tr>
      <w:tr w14:paraId="74EF30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7" w:type="pct"/>
            <w:vAlign w:val="center"/>
          </w:tcPr>
          <w:p w14:paraId="3F3549DC">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147</w:t>
            </w:r>
          </w:p>
        </w:tc>
        <w:tc>
          <w:tcPr>
            <w:tcW w:w="677" w:type="pct"/>
            <w:vAlign w:val="center"/>
          </w:tcPr>
          <w:p w14:paraId="63B26D5B">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252</w:t>
            </w:r>
          </w:p>
        </w:tc>
        <w:tc>
          <w:tcPr>
            <w:tcW w:w="2698" w:type="pct"/>
            <w:vAlign w:val="center"/>
          </w:tcPr>
          <w:p w14:paraId="309144A5">
            <w:pPr>
              <w:widowControl/>
              <w:spacing w:line="360" w:lineRule="auto"/>
              <w:jc w:val="left"/>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252 启蒙路启蒙街口</w:t>
            </w:r>
          </w:p>
        </w:tc>
        <w:tc>
          <w:tcPr>
            <w:tcW w:w="1216" w:type="pct"/>
            <w:vAlign w:val="center"/>
          </w:tcPr>
          <w:p w14:paraId="0E335880">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新华区-&gt;启蒙路</w:t>
            </w:r>
          </w:p>
        </w:tc>
      </w:tr>
      <w:tr w14:paraId="34E76F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7" w:type="pct"/>
            <w:vAlign w:val="center"/>
          </w:tcPr>
          <w:p w14:paraId="03D0B8B2">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148</w:t>
            </w:r>
          </w:p>
        </w:tc>
        <w:tc>
          <w:tcPr>
            <w:tcW w:w="677" w:type="pct"/>
            <w:vAlign w:val="center"/>
          </w:tcPr>
          <w:p w14:paraId="5FFC06EB">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42</w:t>
            </w:r>
          </w:p>
        </w:tc>
        <w:tc>
          <w:tcPr>
            <w:tcW w:w="2698" w:type="pct"/>
            <w:vAlign w:val="center"/>
          </w:tcPr>
          <w:p w14:paraId="0820D6D8">
            <w:pPr>
              <w:widowControl/>
              <w:spacing w:line="360" w:lineRule="auto"/>
              <w:jc w:val="left"/>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042 曙光街甲天虾营养火锅门口</w:t>
            </w:r>
          </w:p>
        </w:tc>
        <w:tc>
          <w:tcPr>
            <w:tcW w:w="1216" w:type="pct"/>
            <w:vAlign w:val="center"/>
          </w:tcPr>
          <w:p w14:paraId="1169621D">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新华区-&gt;曙光街</w:t>
            </w:r>
          </w:p>
        </w:tc>
      </w:tr>
      <w:tr w14:paraId="2859D3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7" w:type="pct"/>
            <w:vAlign w:val="center"/>
          </w:tcPr>
          <w:p w14:paraId="1D69AAED">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149</w:t>
            </w:r>
          </w:p>
        </w:tc>
        <w:tc>
          <w:tcPr>
            <w:tcW w:w="677" w:type="pct"/>
            <w:vAlign w:val="center"/>
          </w:tcPr>
          <w:p w14:paraId="77B3E9E7">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136</w:t>
            </w:r>
          </w:p>
        </w:tc>
        <w:tc>
          <w:tcPr>
            <w:tcW w:w="2698" w:type="pct"/>
            <w:vAlign w:val="center"/>
          </w:tcPr>
          <w:p w14:paraId="322824D5">
            <w:pPr>
              <w:widowControl/>
              <w:spacing w:line="360" w:lineRule="auto"/>
              <w:jc w:val="left"/>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136 曙光街中鑫易物门口</w:t>
            </w:r>
          </w:p>
        </w:tc>
        <w:tc>
          <w:tcPr>
            <w:tcW w:w="1216" w:type="pct"/>
            <w:vAlign w:val="center"/>
          </w:tcPr>
          <w:p w14:paraId="09ED0405">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新华区-&gt;曙光街</w:t>
            </w:r>
          </w:p>
        </w:tc>
      </w:tr>
      <w:tr w14:paraId="456174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7" w:type="pct"/>
            <w:vAlign w:val="center"/>
          </w:tcPr>
          <w:p w14:paraId="7AE17DDB">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150</w:t>
            </w:r>
          </w:p>
        </w:tc>
        <w:tc>
          <w:tcPr>
            <w:tcW w:w="677" w:type="pct"/>
            <w:vAlign w:val="center"/>
          </w:tcPr>
          <w:p w14:paraId="59F04CA0">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41</w:t>
            </w:r>
          </w:p>
        </w:tc>
        <w:tc>
          <w:tcPr>
            <w:tcW w:w="2698" w:type="pct"/>
            <w:vAlign w:val="center"/>
          </w:tcPr>
          <w:p w14:paraId="395388B4">
            <w:pPr>
              <w:widowControl/>
              <w:spacing w:line="360" w:lineRule="auto"/>
              <w:jc w:val="left"/>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041 曙光街公园北街交叉口东</w:t>
            </w:r>
          </w:p>
        </w:tc>
        <w:tc>
          <w:tcPr>
            <w:tcW w:w="1216" w:type="pct"/>
            <w:vAlign w:val="center"/>
          </w:tcPr>
          <w:p w14:paraId="64A7A22C">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新华区-&gt;曙光街</w:t>
            </w:r>
          </w:p>
        </w:tc>
      </w:tr>
      <w:tr w14:paraId="065243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7" w:type="pct"/>
            <w:vAlign w:val="center"/>
          </w:tcPr>
          <w:p w14:paraId="32E840D1">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151</w:t>
            </w:r>
          </w:p>
        </w:tc>
        <w:tc>
          <w:tcPr>
            <w:tcW w:w="677" w:type="pct"/>
            <w:vAlign w:val="center"/>
          </w:tcPr>
          <w:p w14:paraId="51F5C23B">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101</w:t>
            </w:r>
          </w:p>
        </w:tc>
        <w:tc>
          <w:tcPr>
            <w:tcW w:w="2698" w:type="pct"/>
            <w:vAlign w:val="center"/>
          </w:tcPr>
          <w:p w14:paraId="64D7EBAC">
            <w:pPr>
              <w:widowControl/>
              <w:spacing w:line="360" w:lineRule="auto"/>
              <w:jc w:val="left"/>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101 曙光街朝阳路路口向东100米</w:t>
            </w:r>
          </w:p>
        </w:tc>
        <w:tc>
          <w:tcPr>
            <w:tcW w:w="1216" w:type="pct"/>
            <w:vAlign w:val="center"/>
          </w:tcPr>
          <w:p w14:paraId="3D9B46EE">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新华区-&gt;曙光街</w:t>
            </w:r>
          </w:p>
        </w:tc>
      </w:tr>
      <w:tr w14:paraId="2A8C4B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7" w:type="pct"/>
            <w:vAlign w:val="center"/>
          </w:tcPr>
          <w:p w14:paraId="3F97F157">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152</w:t>
            </w:r>
          </w:p>
        </w:tc>
        <w:tc>
          <w:tcPr>
            <w:tcW w:w="677" w:type="pct"/>
            <w:vAlign w:val="center"/>
          </w:tcPr>
          <w:p w14:paraId="4151C564">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259</w:t>
            </w:r>
          </w:p>
        </w:tc>
        <w:tc>
          <w:tcPr>
            <w:tcW w:w="2698" w:type="pct"/>
            <w:vAlign w:val="center"/>
          </w:tcPr>
          <w:p w14:paraId="434D02AE">
            <w:pPr>
              <w:widowControl/>
              <w:spacing w:line="360" w:lineRule="auto"/>
              <w:jc w:val="left"/>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259 曙光街第十四中学门口西</w:t>
            </w:r>
          </w:p>
        </w:tc>
        <w:tc>
          <w:tcPr>
            <w:tcW w:w="1216" w:type="pct"/>
            <w:vAlign w:val="center"/>
          </w:tcPr>
          <w:p w14:paraId="28757062">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新华区-&gt;曙光街</w:t>
            </w:r>
          </w:p>
        </w:tc>
      </w:tr>
      <w:tr w14:paraId="06AFEB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7" w:type="pct"/>
            <w:vAlign w:val="center"/>
          </w:tcPr>
          <w:p w14:paraId="11258255">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153</w:t>
            </w:r>
          </w:p>
        </w:tc>
        <w:tc>
          <w:tcPr>
            <w:tcW w:w="677" w:type="pct"/>
            <w:vAlign w:val="center"/>
          </w:tcPr>
          <w:p w14:paraId="2B2BC24A">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260</w:t>
            </w:r>
          </w:p>
        </w:tc>
        <w:tc>
          <w:tcPr>
            <w:tcW w:w="2698" w:type="pct"/>
            <w:vAlign w:val="center"/>
          </w:tcPr>
          <w:p w14:paraId="1BBDA1B6">
            <w:pPr>
              <w:widowControl/>
              <w:spacing w:line="360" w:lineRule="auto"/>
              <w:jc w:val="left"/>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260 曙光街糖尿病商城门口</w:t>
            </w:r>
          </w:p>
        </w:tc>
        <w:tc>
          <w:tcPr>
            <w:tcW w:w="1216" w:type="pct"/>
            <w:vAlign w:val="center"/>
          </w:tcPr>
          <w:p w14:paraId="3FE85A92">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新华区-&gt;曙光街</w:t>
            </w:r>
          </w:p>
        </w:tc>
      </w:tr>
      <w:tr w14:paraId="723A91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7" w:type="pct"/>
            <w:vAlign w:val="center"/>
          </w:tcPr>
          <w:p w14:paraId="234AA693">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154</w:t>
            </w:r>
          </w:p>
        </w:tc>
        <w:tc>
          <w:tcPr>
            <w:tcW w:w="677" w:type="pct"/>
            <w:vAlign w:val="center"/>
          </w:tcPr>
          <w:p w14:paraId="086B5DE8">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171</w:t>
            </w:r>
          </w:p>
        </w:tc>
        <w:tc>
          <w:tcPr>
            <w:tcW w:w="2698" w:type="pct"/>
            <w:vAlign w:val="center"/>
          </w:tcPr>
          <w:p w14:paraId="4589707B">
            <w:pPr>
              <w:widowControl/>
              <w:spacing w:line="360" w:lineRule="auto"/>
              <w:jc w:val="left"/>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171 曙光街广发银行门口</w:t>
            </w:r>
          </w:p>
        </w:tc>
        <w:tc>
          <w:tcPr>
            <w:tcW w:w="1216" w:type="pct"/>
            <w:vAlign w:val="center"/>
          </w:tcPr>
          <w:p w14:paraId="4B02A51F">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新华区-&gt;曙光街</w:t>
            </w:r>
          </w:p>
        </w:tc>
      </w:tr>
      <w:tr w14:paraId="151024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7" w:type="pct"/>
            <w:vAlign w:val="center"/>
          </w:tcPr>
          <w:p w14:paraId="3F4D4D80">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155</w:t>
            </w:r>
          </w:p>
        </w:tc>
        <w:tc>
          <w:tcPr>
            <w:tcW w:w="677" w:type="pct"/>
            <w:vAlign w:val="center"/>
          </w:tcPr>
          <w:p w14:paraId="4B9FF964">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172</w:t>
            </w:r>
          </w:p>
        </w:tc>
        <w:tc>
          <w:tcPr>
            <w:tcW w:w="2698" w:type="pct"/>
            <w:vAlign w:val="center"/>
          </w:tcPr>
          <w:p w14:paraId="5D014AA9">
            <w:pPr>
              <w:widowControl/>
              <w:spacing w:line="360" w:lineRule="auto"/>
              <w:jc w:val="left"/>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172 曙光街中兴北路东3号院南门</w:t>
            </w:r>
          </w:p>
        </w:tc>
        <w:tc>
          <w:tcPr>
            <w:tcW w:w="1216" w:type="pct"/>
            <w:vAlign w:val="center"/>
          </w:tcPr>
          <w:p w14:paraId="2AE5629E">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新华区-&gt;曙光街</w:t>
            </w:r>
          </w:p>
        </w:tc>
      </w:tr>
      <w:tr w14:paraId="60B1AB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7" w:type="pct"/>
            <w:vAlign w:val="center"/>
          </w:tcPr>
          <w:p w14:paraId="58A68316">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156</w:t>
            </w:r>
          </w:p>
        </w:tc>
        <w:tc>
          <w:tcPr>
            <w:tcW w:w="677" w:type="pct"/>
            <w:vAlign w:val="center"/>
          </w:tcPr>
          <w:p w14:paraId="7F16CB01">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143</w:t>
            </w:r>
          </w:p>
        </w:tc>
        <w:tc>
          <w:tcPr>
            <w:tcW w:w="2698" w:type="pct"/>
            <w:vAlign w:val="center"/>
          </w:tcPr>
          <w:p w14:paraId="4A91AE62">
            <w:pPr>
              <w:widowControl/>
              <w:spacing w:line="360" w:lineRule="auto"/>
              <w:jc w:val="left"/>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143 曙光街中兴路微卡口2</w:t>
            </w:r>
          </w:p>
        </w:tc>
        <w:tc>
          <w:tcPr>
            <w:tcW w:w="1216" w:type="pct"/>
            <w:vAlign w:val="center"/>
          </w:tcPr>
          <w:p w14:paraId="52986254">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新华区-&gt;曙光街</w:t>
            </w:r>
          </w:p>
        </w:tc>
      </w:tr>
      <w:tr w14:paraId="596104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7" w:type="pct"/>
            <w:vAlign w:val="center"/>
          </w:tcPr>
          <w:p w14:paraId="0BDB5F1B">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157</w:t>
            </w:r>
          </w:p>
        </w:tc>
        <w:tc>
          <w:tcPr>
            <w:tcW w:w="677" w:type="pct"/>
            <w:vAlign w:val="center"/>
          </w:tcPr>
          <w:p w14:paraId="1B907AD7">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137</w:t>
            </w:r>
          </w:p>
        </w:tc>
        <w:tc>
          <w:tcPr>
            <w:tcW w:w="2698" w:type="pct"/>
            <w:vAlign w:val="center"/>
          </w:tcPr>
          <w:p w14:paraId="02D1DE2C">
            <w:pPr>
              <w:widowControl/>
              <w:spacing w:line="360" w:lineRule="auto"/>
              <w:jc w:val="left"/>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137 曙光街双汇连锁门口</w:t>
            </w:r>
          </w:p>
        </w:tc>
        <w:tc>
          <w:tcPr>
            <w:tcW w:w="1216" w:type="pct"/>
            <w:vAlign w:val="center"/>
          </w:tcPr>
          <w:p w14:paraId="75A8B620">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新华区-&gt;曙光街</w:t>
            </w:r>
          </w:p>
        </w:tc>
      </w:tr>
      <w:tr w14:paraId="0069F4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7" w:type="pct"/>
            <w:vAlign w:val="center"/>
          </w:tcPr>
          <w:p w14:paraId="3A7B9EB3">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158</w:t>
            </w:r>
          </w:p>
        </w:tc>
        <w:tc>
          <w:tcPr>
            <w:tcW w:w="677" w:type="pct"/>
            <w:vAlign w:val="center"/>
          </w:tcPr>
          <w:p w14:paraId="146B0447">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240</w:t>
            </w:r>
          </w:p>
        </w:tc>
        <w:tc>
          <w:tcPr>
            <w:tcW w:w="2698" w:type="pct"/>
            <w:vAlign w:val="center"/>
          </w:tcPr>
          <w:p w14:paraId="673C81D6">
            <w:pPr>
              <w:widowControl/>
              <w:spacing w:line="360" w:lineRule="auto"/>
              <w:jc w:val="left"/>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240 曙光街公园北街西100米路北西向</w:t>
            </w:r>
          </w:p>
        </w:tc>
        <w:tc>
          <w:tcPr>
            <w:tcW w:w="1216" w:type="pct"/>
            <w:vAlign w:val="center"/>
          </w:tcPr>
          <w:p w14:paraId="49D5994D">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新华区-&gt;曙光街</w:t>
            </w:r>
          </w:p>
        </w:tc>
      </w:tr>
      <w:tr w14:paraId="35E091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7" w:type="pct"/>
            <w:vAlign w:val="center"/>
          </w:tcPr>
          <w:p w14:paraId="6D691287">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159</w:t>
            </w:r>
          </w:p>
        </w:tc>
        <w:tc>
          <w:tcPr>
            <w:tcW w:w="677" w:type="pct"/>
            <w:vAlign w:val="center"/>
          </w:tcPr>
          <w:p w14:paraId="037D944F">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209</w:t>
            </w:r>
          </w:p>
        </w:tc>
        <w:tc>
          <w:tcPr>
            <w:tcW w:w="2698" w:type="pct"/>
            <w:vAlign w:val="center"/>
          </w:tcPr>
          <w:p w14:paraId="718D5689">
            <w:pPr>
              <w:widowControl/>
              <w:spacing w:line="360" w:lineRule="auto"/>
              <w:jc w:val="left"/>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209曙光街公园北街口西路北</w:t>
            </w:r>
          </w:p>
        </w:tc>
        <w:tc>
          <w:tcPr>
            <w:tcW w:w="1216" w:type="pct"/>
            <w:vAlign w:val="center"/>
          </w:tcPr>
          <w:p w14:paraId="464B3750">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新华区-&gt;曙光街</w:t>
            </w:r>
          </w:p>
        </w:tc>
      </w:tr>
      <w:tr w14:paraId="44BFBA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7" w:type="pct"/>
            <w:vAlign w:val="center"/>
          </w:tcPr>
          <w:p w14:paraId="686574C8">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160</w:t>
            </w:r>
          </w:p>
        </w:tc>
        <w:tc>
          <w:tcPr>
            <w:tcW w:w="677" w:type="pct"/>
            <w:vAlign w:val="center"/>
          </w:tcPr>
          <w:p w14:paraId="6E618B42">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48</w:t>
            </w:r>
          </w:p>
        </w:tc>
        <w:tc>
          <w:tcPr>
            <w:tcW w:w="2698" w:type="pct"/>
            <w:vAlign w:val="center"/>
          </w:tcPr>
          <w:p w14:paraId="21C520B9">
            <w:pPr>
              <w:widowControl/>
              <w:spacing w:line="360" w:lineRule="auto"/>
              <w:jc w:val="left"/>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048 湛河北路垃圾处理站西微卡口</w:t>
            </w:r>
          </w:p>
        </w:tc>
        <w:tc>
          <w:tcPr>
            <w:tcW w:w="1216" w:type="pct"/>
            <w:vAlign w:val="center"/>
          </w:tcPr>
          <w:p w14:paraId="49CFA5AA">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新华区-&gt;湛河北路</w:t>
            </w:r>
          </w:p>
        </w:tc>
      </w:tr>
      <w:tr w14:paraId="41E143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7" w:type="pct"/>
            <w:vAlign w:val="center"/>
          </w:tcPr>
          <w:p w14:paraId="5C47C2FB">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161</w:t>
            </w:r>
          </w:p>
        </w:tc>
        <w:tc>
          <w:tcPr>
            <w:tcW w:w="677" w:type="pct"/>
            <w:vAlign w:val="center"/>
          </w:tcPr>
          <w:p w14:paraId="3B4A95A4">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47</w:t>
            </w:r>
          </w:p>
        </w:tc>
        <w:tc>
          <w:tcPr>
            <w:tcW w:w="2698" w:type="pct"/>
            <w:vAlign w:val="center"/>
          </w:tcPr>
          <w:p w14:paraId="151BFEC6">
            <w:pPr>
              <w:widowControl/>
              <w:spacing w:line="360" w:lineRule="auto"/>
              <w:jc w:val="left"/>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047 湛河北路垃圾处理场东微卡口</w:t>
            </w:r>
          </w:p>
        </w:tc>
        <w:tc>
          <w:tcPr>
            <w:tcW w:w="1216" w:type="pct"/>
            <w:vAlign w:val="center"/>
          </w:tcPr>
          <w:p w14:paraId="0629E5CA">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新华区-&gt;湛河北路</w:t>
            </w:r>
          </w:p>
        </w:tc>
      </w:tr>
      <w:tr w14:paraId="789174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7" w:type="pct"/>
            <w:vAlign w:val="center"/>
          </w:tcPr>
          <w:p w14:paraId="400B2B91">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162</w:t>
            </w:r>
          </w:p>
        </w:tc>
        <w:tc>
          <w:tcPr>
            <w:tcW w:w="677" w:type="pct"/>
            <w:vAlign w:val="center"/>
          </w:tcPr>
          <w:p w14:paraId="5A986442">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184</w:t>
            </w:r>
          </w:p>
        </w:tc>
        <w:tc>
          <w:tcPr>
            <w:tcW w:w="2698" w:type="pct"/>
            <w:vAlign w:val="center"/>
          </w:tcPr>
          <w:p w14:paraId="3A53B0BA">
            <w:pPr>
              <w:widowControl/>
              <w:spacing w:line="360" w:lineRule="auto"/>
              <w:jc w:val="left"/>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184 湛河北路与开源路口</w:t>
            </w:r>
          </w:p>
        </w:tc>
        <w:tc>
          <w:tcPr>
            <w:tcW w:w="1216" w:type="pct"/>
            <w:vAlign w:val="center"/>
          </w:tcPr>
          <w:p w14:paraId="62E916C8">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新华区-&gt;湛河北路</w:t>
            </w:r>
          </w:p>
        </w:tc>
      </w:tr>
      <w:tr w14:paraId="3AA255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7" w:type="pct"/>
            <w:vAlign w:val="center"/>
          </w:tcPr>
          <w:p w14:paraId="539F0429">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163</w:t>
            </w:r>
          </w:p>
        </w:tc>
        <w:tc>
          <w:tcPr>
            <w:tcW w:w="677" w:type="pct"/>
            <w:vAlign w:val="center"/>
          </w:tcPr>
          <w:p w14:paraId="4365B140">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247</w:t>
            </w:r>
          </w:p>
        </w:tc>
        <w:tc>
          <w:tcPr>
            <w:tcW w:w="2698" w:type="pct"/>
            <w:vAlign w:val="center"/>
          </w:tcPr>
          <w:p w14:paraId="72A5B362">
            <w:pPr>
              <w:widowControl/>
              <w:spacing w:line="360" w:lineRule="auto"/>
              <w:jc w:val="left"/>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247 湛河北路品德堂东</w:t>
            </w:r>
          </w:p>
        </w:tc>
        <w:tc>
          <w:tcPr>
            <w:tcW w:w="1216" w:type="pct"/>
            <w:vAlign w:val="center"/>
          </w:tcPr>
          <w:p w14:paraId="1DFE4E20">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新华区-&gt;湛河北路</w:t>
            </w:r>
          </w:p>
        </w:tc>
      </w:tr>
      <w:tr w14:paraId="412202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7" w:type="pct"/>
            <w:vAlign w:val="center"/>
          </w:tcPr>
          <w:p w14:paraId="464FB92F">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164</w:t>
            </w:r>
          </w:p>
        </w:tc>
        <w:tc>
          <w:tcPr>
            <w:tcW w:w="677" w:type="pct"/>
            <w:vAlign w:val="center"/>
          </w:tcPr>
          <w:p w14:paraId="120886A6">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50</w:t>
            </w:r>
          </w:p>
        </w:tc>
        <w:tc>
          <w:tcPr>
            <w:tcW w:w="2698" w:type="pct"/>
            <w:vAlign w:val="center"/>
          </w:tcPr>
          <w:p w14:paraId="70E6B703">
            <w:pPr>
              <w:widowControl/>
              <w:spacing w:line="360" w:lineRule="auto"/>
              <w:jc w:val="left"/>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050 湛北路共青团校门口</w:t>
            </w:r>
          </w:p>
        </w:tc>
        <w:tc>
          <w:tcPr>
            <w:tcW w:w="1216" w:type="pct"/>
            <w:vAlign w:val="center"/>
          </w:tcPr>
          <w:p w14:paraId="5A58335A">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新华区-&gt;湛河北路</w:t>
            </w:r>
          </w:p>
        </w:tc>
      </w:tr>
      <w:tr w14:paraId="454FF4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7" w:type="pct"/>
            <w:vAlign w:val="center"/>
          </w:tcPr>
          <w:p w14:paraId="268F389F">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165</w:t>
            </w:r>
          </w:p>
        </w:tc>
        <w:tc>
          <w:tcPr>
            <w:tcW w:w="677" w:type="pct"/>
            <w:vAlign w:val="center"/>
          </w:tcPr>
          <w:p w14:paraId="17E79375">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261</w:t>
            </w:r>
          </w:p>
        </w:tc>
        <w:tc>
          <w:tcPr>
            <w:tcW w:w="2698" w:type="pct"/>
            <w:vAlign w:val="center"/>
          </w:tcPr>
          <w:p w14:paraId="3CD0302B">
            <w:pPr>
              <w:widowControl/>
              <w:spacing w:line="360" w:lineRule="auto"/>
              <w:jc w:val="left"/>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261 迎宾路南段麦子数码摄影门口</w:t>
            </w:r>
          </w:p>
        </w:tc>
        <w:tc>
          <w:tcPr>
            <w:tcW w:w="1216" w:type="pct"/>
            <w:vAlign w:val="center"/>
          </w:tcPr>
          <w:p w14:paraId="3373B8FE">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新华区-&gt;迎宾路</w:t>
            </w:r>
          </w:p>
        </w:tc>
      </w:tr>
      <w:tr w14:paraId="130E95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7" w:type="pct"/>
            <w:vAlign w:val="center"/>
          </w:tcPr>
          <w:p w14:paraId="07A5C4C2">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166</w:t>
            </w:r>
          </w:p>
        </w:tc>
        <w:tc>
          <w:tcPr>
            <w:tcW w:w="677" w:type="pct"/>
            <w:vAlign w:val="center"/>
          </w:tcPr>
          <w:p w14:paraId="489B3326">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250</w:t>
            </w:r>
          </w:p>
        </w:tc>
        <w:tc>
          <w:tcPr>
            <w:tcW w:w="2698" w:type="pct"/>
            <w:vAlign w:val="center"/>
          </w:tcPr>
          <w:p w14:paraId="7FF4371D">
            <w:pPr>
              <w:widowControl/>
              <w:spacing w:line="360" w:lineRule="auto"/>
              <w:jc w:val="left"/>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250 迎宾路矿工路口南</w:t>
            </w:r>
          </w:p>
        </w:tc>
        <w:tc>
          <w:tcPr>
            <w:tcW w:w="1216" w:type="pct"/>
            <w:vAlign w:val="center"/>
          </w:tcPr>
          <w:p w14:paraId="54346B87">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新华区-&gt;迎宾路</w:t>
            </w:r>
          </w:p>
        </w:tc>
      </w:tr>
      <w:tr w14:paraId="349F39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7" w:type="pct"/>
            <w:vAlign w:val="center"/>
          </w:tcPr>
          <w:p w14:paraId="313C2C44">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167</w:t>
            </w:r>
          </w:p>
        </w:tc>
        <w:tc>
          <w:tcPr>
            <w:tcW w:w="677" w:type="pct"/>
            <w:vAlign w:val="center"/>
          </w:tcPr>
          <w:p w14:paraId="50C92704">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251</w:t>
            </w:r>
          </w:p>
        </w:tc>
        <w:tc>
          <w:tcPr>
            <w:tcW w:w="2698" w:type="pct"/>
            <w:vAlign w:val="center"/>
          </w:tcPr>
          <w:p w14:paraId="0DFD0EC7">
            <w:pPr>
              <w:widowControl/>
              <w:spacing w:line="360" w:lineRule="auto"/>
              <w:jc w:val="left"/>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251 迎宾路平顶山宾馆旁</w:t>
            </w:r>
          </w:p>
        </w:tc>
        <w:tc>
          <w:tcPr>
            <w:tcW w:w="1216" w:type="pct"/>
            <w:vAlign w:val="center"/>
          </w:tcPr>
          <w:p w14:paraId="3CDE1504">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新华区-&gt;迎宾路</w:t>
            </w:r>
          </w:p>
        </w:tc>
      </w:tr>
      <w:tr w14:paraId="33E89D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7" w:type="pct"/>
            <w:vAlign w:val="center"/>
          </w:tcPr>
          <w:p w14:paraId="4DC52CB9">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168</w:t>
            </w:r>
          </w:p>
        </w:tc>
        <w:tc>
          <w:tcPr>
            <w:tcW w:w="677" w:type="pct"/>
            <w:vAlign w:val="center"/>
          </w:tcPr>
          <w:p w14:paraId="722C1889">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52</w:t>
            </w:r>
          </w:p>
        </w:tc>
        <w:tc>
          <w:tcPr>
            <w:tcW w:w="2698" w:type="pct"/>
            <w:vAlign w:val="center"/>
          </w:tcPr>
          <w:p w14:paraId="37460673">
            <w:pPr>
              <w:widowControl/>
              <w:spacing w:line="360" w:lineRule="auto"/>
              <w:jc w:val="left"/>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052 迎宾路新华区人民法院门口南</w:t>
            </w:r>
          </w:p>
        </w:tc>
        <w:tc>
          <w:tcPr>
            <w:tcW w:w="1216" w:type="pct"/>
            <w:vAlign w:val="center"/>
          </w:tcPr>
          <w:p w14:paraId="73CBAA30">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新华区-&gt;迎宾路</w:t>
            </w:r>
          </w:p>
        </w:tc>
      </w:tr>
      <w:tr w14:paraId="092E80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7" w:type="pct"/>
            <w:vAlign w:val="center"/>
          </w:tcPr>
          <w:p w14:paraId="43D8FA03">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169</w:t>
            </w:r>
          </w:p>
        </w:tc>
        <w:tc>
          <w:tcPr>
            <w:tcW w:w="677" w:type="pct"/>
            <w:vAlign w:val="center"/>
          </w:tcPr>
          <w:p w14:paraId="352CC275">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51</w:t>
            </w:r>
          </w:p>
        </w:tc>
        <w:tc>
          <w:tcPr>
            <w:tcW w:w="2698" w:type="pct"/>
            <w:vAlign w:val="center"/>
          </w:tcPr>
          <w:p w14:paraId="3F3A5868">
            <w:pPr>
              <w:widowControl/>
              <w:spacing w:line="360" w:lineRule="auto"/>
              <w:jc w:val="left"/>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051 迎宾路人民法院门口北</w:t>
            </w:r>
          </w:p>
        </w:tc>
        <w:tc>
          <w:tcPr>
            <w:tcW w:w="1216" w:type="pct"/>
            <w:vAlign w:val="center"/>
          </w:tcPr>
          <w:p w14:paraId="4AEBF74F">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新华区-&gt;迎宾路</w:t>
            </w:r>
          </w:p>
        </w:tc>
      </w:tr>
      <w:tr w14:paraId="2390CA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7" w:type="pct"/>
            <w:vAlign w:val="center"/>
          </w:tcPr>
          <w:p w14:paraId="16FB96C1">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170</w:t>
            </w:r>
          </w:p>
        </w:tc>
        <w:tc>
          <w:tcPr>
            <w:tcW w:w="677" w:type="pct"/>
            <w:vAlign w:val="center"/>
          </w:tcPr>
          <w:p w14:paraId="28781AB2">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255</w:t>
            </w:r>
          </w:p>
        </w:tc>
        <w:tc>
          <w:tcPr>
            <w:tcW w:w="2698" w:type="pct"/>
            <w:vAlign w:val="center"/>
          </w:tcPr>
          <w:p w14:paraId="056DB7DC">
            <w:pPr>
              <w:widowControl/>
              <w:spacing w:line="360" w:lineRule="auto"/>
              <w:jc w:val="left"/>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255 迎宾路南段育才幼儿园北</w:t>
            </w:r>
          </w:p>
        </w:tc>
        <w:tc>
          <w:tcPr>
            <w:tcW w:w="1216" w:type="pct"/>
            <w:vAlign w:val="center"/>
          </w:tcPr>
          <w:p w14:paraId="6747CA24">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新华区-&gt;迎宾路</w:t>
            </w:r>
          </w:p>
        </w:tc>
      </w:tr>
      <w:tr w14:paraId="4378A8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7" w:type="pct"/>
            <w:vAlign w:val="center"/>
          </w:tcPr>
          <w:p w14:paraId="795A06C4">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171</w:t>
            </w:r>
          </w:p>
        </w:tc>
        <w:tc>
          <w:tcPr>
            <w:tcW w:w="677" w:type="pct"/>
            <w:vAlign w:val="center"/>
          </w:tcPr>
          <w:p w14:paraId="00A36871">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31</w:t>
            </w:r>
          </w:p>
        </w:tc>
        <w:tc>
          <w:tcPr>
            <w:tcW w:w="2698" w:type="pct"/>
            <w:vAlign w:val="center"/>
          </w:tcPr>
          <w:p w14:paraId="56344C74">
            <w:pPr>
              <w:widowControl/>
              <w:spacing w:line="360" w:lineRule="auto"/>
              <w:jc w:val="left"/>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031 朝阳路锦绣街路口1</w:t>
            </w:r>
          </w:p>
        </w:tc>
        <w:tc>
          <w:tcPr>
            <w:tcW w:w="1216" w:type="pct"/>
            <w:vAlign w:val="center"/>
          </w:tcPr>
          <w:p w14:paraId="3A86E382">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新华区-&gt;朝阳路</w:t>
            </w:r>
          </w:p>
        </w:tc>
      </w:tr>
      <w:tr w14:paraId="3F9C9F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7" w:type="pct"/>
            <w:vAlign w:val="center"/>
          </w:tcPr>
          <w:p w14:paraId="7D6EED85">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172</w:t>
            </w:r>
          </w:p>
        </w:tc>
        <w:tc>
          <w:tcPr>
            <w:tcW w:w="677" w:type="pct"/>
            <w:vAlign w:val="center"/>
          </w:tcPr>
          <w:p w14:paraId="1014BB3B">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30</w:t>
            </w:r>
          </w:p>
        </w:tc>
        <w:tc>
          <w:tcPr>
            <w:tcW w:w="2698" w:type="pct"/>
            <w:vAlign w:val="center"/>
          </w:tcPr>
          <w:p w14:paraId="341F39CC">
            <w:pPr>
              <w:widowControl/>
              <w:spacing w:line="360" w:lineRule="auto"/>
              <w:jc w:val="left"/>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030 朝阳路锦绣街路口</w:t>
            </w:r>
          </w:p>
        </w:tc>
        <w:tc>
          <w:tcPr>
            <w:tcW w:w="1216" w:type="pct"/>
            <w:vAlign w:val="center"/>
          </w:tcPr>
          <w:p w14:paraId="3B52AFD3">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新华区-&gt;朝阳路</w:t>
            </w:r>
          </w:p>
        </w:tc>
      </w:tr>
      <w:tr w14:paraId="30316B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7" w:type="pct"/>
            <w:vAlign w:val="center"/>
          </w:tcPr>
          <w:p w14:paraId="744E1AFF">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173</w:t>
            </w:r>
          </w:p>
        </w:tc>
        <w:tc>
          <w:tcPr>
            <w:tcW w:w="677" w:type="pct"/>
            <w:vAlign w:val="center"/>
          </w:tcPr>
          <w:p w14:paraId="4E0FFF9C">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229</w:t>
            </w:r>
          </w:p>
        </w:tc>
        <w:tc>
          <w:tcPr>
            <w:tcW w:w="2698" w:type="pct"/>
            <w:vAlign w:val="center"/>
          </w:tcPr>
          <w:p w14:paraId="1843A0AE">
            <w:pPr>
              <w:widowControl/>
              <w:spacing w:line="360" w:lineRule="auto"/>
              <w:jc w:val="left"/>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229 朝阳路神马大酒店对面</w:t>
            </w:r>
          </w:p>
        </w:tc>
        <w:tc>
          <w:tcPr>
            <w:tcW w:w="1216" w:type="pct"/>
            <w:vAlign w:val="center"/>
          </w:tcPr>
          <w:p w14:paraId="19F6ACE7">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新华区-&gt;朝阳路</w:t>
            </w:r>
          </w:p>
        </w:tc>
      </w:tr>
      <w:tr w14:paraId="6F0D9C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7" w:type="pct"/>
            <w:vAlign w:val="center"/>
          </w:tcPr>
          <w:p w14:paraId="0440E29A">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174</w:t>
            </w:r>
          </w:p>
        </w:tc>
        <w:tc>
          <w:tcPr>
            <w:tcW w:w="677" w:type="pct"/>
            <w:vAlign w:val="center"/>
          </w:tcPr>
          <w:p w14:paraId="30F1E0D1">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68</w:t>
            </w:r>
          </w:p>
        </w:tc>
        <w:tc>
          <w:tcPr>
            <w:tcW w:w="2698" w:type="pct"/>
            <w:vAlign w:val="center"/>
          </w:tcPr>
          <w:p w14:paraId="2133D767">
            <w:pPr>
              <w:widowControl/>
              <w:spacing w:line="360" w:lineRule="auto"/>
              <w:jc w:val="left"/>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068 朝阳路嘉禾宾馆</w:t>
            </w:r>
          </w:p>
        </w:tc>
        <w:tc>
          <w:tcPr>
            <w:tcW w:w="1216" w:type="pct"/>
            <w:vAlign w:val="center"/>
          </w:tcPr>
          <w:p w14:paraId="05F2523C">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新华区-&gt;朝阳路</w:t>
            </w:r>
          </w:p>
        </w:tc>
      </w:tr>
      <w:tr w14:paraId="380FB2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7" w:type="pct"/>
            <w:vAlign w:val="center"/>
          </w:tcPr>
          <w:p w14:paraId="362DC45E">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175</w:t>
            </w:r>
          </w:p>
        </w:tc>
        <w:tc>
          <w:tcPr>
            <w:tcW w:w="677" w:type="pct"/>
            <w:vAlign w:val="center"/>
          </w:tcPr>
          <w:p w14:paraId="7E802091">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26</w:t>
            </w:r>
          </w:p>
        </w:tc>
        <w:tc>
          <w:tcPr>
            <w:tcW w:w="2698" w:type="pct"/>
            <w:vAlign w:val="center"/>
          </w:tcPr>
          <w:p w14:paraId="5890BEAB">
            <w:pPr>
              <w:widowControl/>
              <w:spacing w:line="360" w:lineRule="auto"/>
              <w:jc w:val="left"/>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026 朝阳路平煤总医院西门1</w:t>
            </w:r>
          </w:p>
        </w:tc>
        <w:tc>
          <w:tcPr>
            <w:tcW w:w="1216" w:type="pct"/>
            <w:vAlign w:val="center"/>
          </w:tcPr>
          <w:p w14:paraId="17B257DE">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新华区-&gt;朝阳路</w:t>
            </w:r>
          </w:p>
        </w:tc>
      </w:tr>
      <w:tr w14:paraId="75CA99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7" w:type="pct"/>
            <w:vAlign w:val="center"/>
          </w:tcPr>
          <w:p w14:paraId="42164A41">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176</w:t>
            </w:r>
          </w:p>
        </w:tc>
        <w:tc>
          <w:tcPr>
            <w:tcW w:w="677" w:type="pct"/>
            <w:vAlign w:val="center"/>
          </w:tcPr>
          <w:p w14:paraId="06707725">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91</w:t>
            </w:r>
          </w:p>
        </w:tc>
        <w:tc>
          <w:tcPr>
            <w:tcW w:w="2698" w:type="pct"/>
            <w:vAlign w:val="center"/>
          </w:tcPr>
          <w:p w14:paraId="7AACC4B4">
            <w:pPr>
              <w:widowControl/>
              <w:spacing w:line="360" w:lineRule="auto"/>
              <w:jc w:val="left"/>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091 朝阳路审判法庭门口对面</w:t>
            </w:r>
          </w:p>
        </w:tc>
        <w:tc>
          <w:tcPr>
            <w:tcW w:w="1216" w:type="pct"/>
            <w:vAlign w:val="center"/>
          </w:tcPr>
          <w:p w14:paraId="26B020B8">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新华区-&gt;朝阳路</w:t>
            </w:r>
          </w:p>
        </w:tc>
      </w:tr>
      <w:tr w14:paraId="3B0BB3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7" w:type="pct"/>
            <w:vAlign w:val="center"/>
          </w:tcPr>
          <w:p w14:paraId="63F59DF2">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177</w:t>
            </w:r>
          </w:p>
        </w:tc>
        <w:tc>
          <w:tcPr>
            <w:tcW w:w="677" w:type="pct"/>
            <w:vAlign w:val="center"/>
          </w:tcPr>
          <w:p w14:paraId="39317924">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27</w:t>
            </w:r>
          </w:p>
        </w:tc>
        <w:tc>
          <w:tcPr>
            <w:tcW w:w="2698" w:type="pct"/>
            <w:vAlign w:val="center"/>
          </w:tcPr>
          <w:p w14:paraId="09A5493D">
            <w:pPr>
              <w:widowControl/>
              <w:spacing w:line="360" w:lineRule="auto"/>
              <w:jc w:val="left"/>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027 朝阳路平煤总医院西门2</w:t>
            </w:r>
          </w:p>
        </w:tc>
        <w:tc>
          <w:tcPr>
            <w:tcW w:w="1216" w:type="pct"/>
            <w:vAlign w:val="center"/>
          </w:tcPr>
          <w:p w14:paraId="183C1DB2">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新华区-&gt;朝阳路</w:t>
            </w:r>
          </w:p>
        </w:tc>
      </w:tr>
      <w:tr w14:paraId="36FCBF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7" w:type="pct"/>
            <w:vAlign w:val="center"/>
          </w:tcPr>
          <w:p w14:paraId="2A7F0846">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178</w:t>
            </w:r>
          </w:p>
        </w:tc>
        <w:tc>
          <w:tcPr>
            <w:tcW w:w="677" w:type="pct"/>
            <w:vAlign w:val="center"/>
          </w:tcPr>
          <w:p w14:paraId="6BCCC8E7">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53</w:t>
            </w:r>
          </w:p>
        </w:tc>
        <w:tc>
          <w:tcPr>
            <w:tcW w:w="2698" w:type="pct"/>
            <w:vAlign w:val="center"/>
          </w:tcPr>
          <w:p w14:paraId="708DD0CB">
            <w:pPr>
              <w:widowControl/>
              <w:spacing w:line="360" w:lineRule="auto"/>
              <w:jc w:val="left"/>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053 朝阳路建设路交叉口1</w:t>
            </w:r>
          </w:p>
        </w:tc>
        <w:tc>
          <w:tcPr>
            <w:tcW w:w="1216" w:type="pct"/>
            <w:vAlign w:val="center"/>
          </w:tcPr>
          <w:p w14:paraId="5D7A1252">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新华区-&gt;朝阳路</w:t>
            </w:r>
          </w:p>
        </w:tc>
      </w:tr>
      <w:tr w14:paraId="02EA6B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7" w:type="pct"/>
            <w:vAlign w:val="center"/>
          </w:tcPr>
          <w:p w14:paraId="5A155842">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179</w:t>
            </w:r>
          </w:p>
        </w:tc>
        <w:tc>
          <w:tcPr>
            <w:tcW w:w="677" w:type="pct"/>
            <w:vAlign w:val="center"/>
          </w:tcPr>
          <w:p w14:paraId="7EA38CB0">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228</w:t>
            </w:r>
          </w:p>
        </w:tc>
        <w:tc>
          <w:tcPr>
            <w:tcW w:w="2698" w:type="pct"/>
            <w:vAlign w:val="center"/>
          </w:tcPr>
          <w:p w14:paraId="0E53A54E">
            <w:pPr>
              <w:widowControl/>
              <w:spacing w:line="360" w:lineRule="auto"/>
              <w:jc w:val="left"/>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228 朝阳路西雅图酒吧门口</w:t>
            </w:r>
          </w:p>
        </w:tc>
        <w:tc>
          <w:tcPr>
            <w:tcW w:w="1216" w:type="pct"/>
            <w:vAlign w:val="center"/>
          </w:tcPr>
          <w:p w14:paraId="7D3EB965">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新华区-&gt;朝阳路</w:t>
            </w:r>
          </w:p>
        </w:tc>
      </w:tr>
      <w:tr w14:paraId="4BBFA5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7" w:type="pct"/>
            <w:vAlign w:val="center"/>
          </w:tcPr>
          <w:p w14:paraId="613F05AB">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180</w:t>
            </w:r>
          </w:p>
        </w:tc>
        <w:tc>
          <w:tcPr>
            <w:tcW w:w="677" w:type="pct"/>
            <w:vAlign w:val="center"/>
          </w:tcPr>
          <w:p w14:paraId="6F9F2590">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238</w:t>
            </w:r>
          </w:p>
        </w:tc>
        <w:tc>
          <w:tcPr>
            <w:tcW w:w="2698" w:type="pct"/>
            <w:vAlign w:val="center"/>
          </w:tcPr>
          <w:p w14:paraId="2073452C">
            <w:pPr>
              <w:widowControl/>
              <w:spacing w:line="360" w:lineRule="auto"/>
              <w:jc w:val="left"/>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238 凯撒购物中心街</w:t>
            </w:r>
          </w:p>
        </w:tc>
        <w:tc>
          <w:tcPr>
            <w:tcW w:w="1216" w:type="pct"/>
            <w:vAlign w:val="center"/>
          </w:tcPr>
          <w:p w14:paraId="1C42A949">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新华区-&gt;凯撒商场</w:t>
            </w:r>
          </w:p>
        </w:tc>
      </w:tr>
      <w:tr w14:paraId="07B429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7" w:type="pct"/>
            <w:vAlign w:val="center"/>
          </w:tcPr>
          <w:p w14:paraId="13A5144C">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181</w:t>
            </w:r>
          </w:p>
        </w:tc>
        <w:tc>
          <w:tcPr>
            <w:tcW w:w="677" w:type="pct"/>
            <w:vAlign w:val="center"/>
          </w:tcPr>
          <w:p w14:paraId="4B907EBD">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191</w:t>
            </w:r>
          </w:p>
        </w:tc>
        <w:tc>
          <w:tcPr>
            <w:tcW w:w="2698" w:type="pct"/>
            <w:vAlign w:val="center"/>
          </w:tcPr>
          <w:p w14:paraId="3E9946D4">
            <w:pPr>
              <w:widowControl/>
              <w:spacing w:line="360" w:lineRule="auto"/>
              <w:jc w:val="left"/>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191 凯撒购物中心中道1</w:t>
            </w:r>
          </w:p>
        </w:tc>
        <w:tc>
          <w:tcPr>
            <w:tcW w:w="1216" w:type="pct"/>
            <w:vAlign w:val="center"/>
          </w:tcPr>
          <w:p w14:paraId="0A90FAC5">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新华区-&gt;凯撒商场</w:t>
            </w:r>
          </w:p>
        </w:tc>
      </w:tr>
      <w:tr w14:paraId="68994C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7" w:type="pct"/>
            <w:vAlign w:val="center"/>
          </w:tcPr>
          <w:p w14:paraId="59AB1858">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182</w:t>
            </w:r>
          </w:p>
        </w:tc>
        <w:tc>
          <w:tcPr>
            <w:tcW w:w="677" w:type="pct"/>
            <w:vAlign w:val="center"/>
          </w:tcPr>
          <w:p w14:paraId="618BF71D">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193</w:t>
            </w:r>
          </w:p>
        </w:tc>
        <w:tc>
          <w:tcPr>
            <w:tcW w:w="2698" w:type="pct"/>
            <w:vAlign w:val="center"/>
          </w:tcPr>
          <w:p w14:paraId="5766713A">
            <w:pPr>
              <w:widowControl/>
              <w:spacing w:line="360" w:lineRule="auto"/>
              <w:jc w:val="left"/>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193 凯撒购物中心中道3</w:t>
            </w:r>
          </w:p>
        </w:tc>
        <w:tc>
          <w:tcPr>
            <w:tcW w:w="1216" w:type="pct"/>
            <w:vAlign w:val="center"/>
          </w:tcPr>
          <w:p w14:paraId="286E0E11">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新华区-&gt;凯撒商场</w:t>
            </w:r>
          </w:p>
        </w:tc>
      </w:tr>
      <w:tr w14:paraId="0B15CC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7" w:type="pct"/>
            <w:vAlign w:val="center"/>
          </w:tcPr>
          <w:p w14:paraId="788A8A00">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183</w:t>
            </w:r>
          </w:p>
        </w:tc>
        <w:tc>
          <w:tcPr>
            <w:tcW w:w="677" w:type="pct"/>
            <w:vAlign w:val="center"/>
          </w:tcPr>
          <w:p w14:paraId="24145D5B">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189</w:t>
            </w:r>
          </w:p>
        </w:tc>
        <w:tc>
          <w:tcPr>
            <w:tcW w:w="2698" w:type="pct"/>
            <w:vAlign w:val="center"/>
          </w:tcPr>
          <w:p w14:paraId="3C3F69AF">
            <w:pPr>
              <w:widowControl/>
              <w:spacing w:line="360" w:lineRule="auto"/>
              <w:jc w:val="left"/>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189 凯撒购物中心北中门</w:t>
            </w:r>
          </w:p>
        </w:tc>
        <w:tc>
          <w:tcPr>
            <w:tcW w:w="1216" w:type="pct"/>
            <w:vAlign w:val="center"/>
          </w:tcPr>
          <w:p w14:paraId="36074AB0">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新华区-&gt;凯撒商场</w:t>
            </w:r>
          </w:p>
        </w:tc>
      </w:tr>
      <w:tr w14:paraId="54874E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7" w:type="pct"/>
            <w:vAlign w:val="center"/>
          </w:tcPr>
          <w:p w14:paraId="547A0187">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184</w:t>
            </w:r>
          </w:p>
        </w:tc>
        <w:tc>
          <w:tcPr>
            <w:tcW w:w="677" w:type="pct"/>
            <w:vAlign w:val="center"/>
          </w:tcPr>
          <w:p w14:paraId="090FF954">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197</w:t>
            </w:r>
          </w:p>
        </w:tc>
        <w:tc>
          <w:tcPr>
            <w:tcW w:w="2698" w:type="pct"/>
            <w:vAlign w:val="center"/>
          </w:tcPr>
          <w:p w14:paraId="1109DC57">
            <w:pPr>
              <w:widowControl/>
              <w:spacing w:line="360" w:lineRule="auto"/>
              <w:jc w:val="left"/>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197 凯撒购物中心道东</w:t>
            </w:r>
          </w:p>
        </w:tc>
        <w:tc>
          <w:tcPr>
            <w:tcW w:w="1216" w:type="pct"/>
            <w:vAlign w:val="center"/>
          </w:tcPr>
          <w:p w14:paraId="15822E40">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新华区-&gt;凯撒商场</w:t>
            </w:r>
          </w:p>
        </w:tc>
      </w:tr>
      <w:tr w14:paraId="794427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7" w:type="pct"/>
            <w:vAlign w:val="center"/>
          </w:tcPr>
          <w:p w14:paraId="188B3FCE">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185</w:t>
            </w:r>
          </w:p>
        </w:tc>
        <w:tc>
          <w:tcPr>
            <w:tcW w:w="677" w:type="pct"/>
            <w:vAlign w:val="center"/>
          </w:tcPr>
          <w:p w14:paraId="364548D2">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194</w:t>
            </w:r>
          </w:p>
        </w:tc>
        <w:tc>
          <w:tcPr>
            <w:tcW w:w="2698" w:type="pct"/>
            <w:vAlign w:val="center"/>
          </w:tcPr>
          <w:p w14:paraId="53E8B0B0">
            <w:pPr>
              <w:widowControl/>
              <w:spacing w:line="360" w:lineRule="auto"/>
              <w:jc w:val="left"/>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194 凯撒购物中心南人行道西口1</w:t>
            </w:r>
          </w:p>
        </w:tc>
        <w:tc>
          <w:tcPr>
            <w:tcW w:w="1216" w:type="pct"/>
            <w:vAlign w:val="center"/>
          </w:tcPr>
          <w:p w14:paraId="701320D3">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新华区-&gt;凯撒商场</w:t>
            </w:r>
          </w:p>
        </w:tc>
      </w:tr>
      <w:tr w14:paraId="6AB7BA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7" w:type="pct"/>
            <w:vAlign w:val="center"/>
          </w:tcPr>
          <w:p w14:paraId="655FD750">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186</w:t>
            </w:r>
          </w:p>
        </w:tc>
        <w:tc>
          <w:tcPr>
            <w:tcW w:w="677" w:type="pct"/>
            <w:vAlign w:val="center"/>
          </w:tcPr>
          <w:p w14:paraId="5BB4ABDD">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192</w:t>
            </w:r>
          </w:p>
        </w:tc>
        <w:tc>
          <w:tcPr>
            <w:tcW w:w="2698" w:type="pct"/>
            <w:vAlign w:val="center"/>
          </w:tcPr>
          <w:p w14:paraId="62164752">
            <w:pPr>
              <w:widowControl/>
              <w:spacing w:line="360" w:lineRule="auto"/>
              <w:jc w:val="left"/>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192 凯撒购物中心中道2</w:t>
            </w:r>
          </w:p>
        </w:tc>
        <w:tc>
          <w:tcPr>
            <w:tcW w:w="1216" w:type="pct"/>
            <w:vAlign w:val="center"/>
          </w:tcPr>
          <w:p w14:paraId="79E28849">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新华区-&gt;凯撒商场</w:t>
            </w:r>
          </w:p>
        </w:tc>
      </w:tr>
      <w:tr w14:paraId="5ED1D3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7" w:type="pct"/>
            <w:vAlign w:val="center"/>
          </w:tcPr>
          <w:p w14:paraId="42DEC5A9">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187</w:t>
            </w:r>
          </w:p>
        </w:tc>
        <w:tc>
          <w:tcPr>
            <w:tcW w:w="677" w:type="pct"/>
            <w:vAlign w:val="center"/>
          </w:tcPr>
          <w:p w14:paraId="7D0CA971">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212</w:t>
            </w:r>
          </w:p>
        </w:tc>
        <w:tc>
          <w:tcPr>
            <w:tcW w:w="2698" w:type="pct"/>
            <w:vAlign w:val="center"/>
          </w:tcPr>
          <w:p w14:paraId="4664F45C">
            <w:pPr>
              <w:widowControl/>
              <w:spacing w:line="360" w:lineRule="auto"/>
              <w:jc w:val="left"/>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212 凯撒商场南人行道3</w:t>
            </w:r>
          </w:p>
        </w:tc>
        <w:tc>
          <w:tcPr>
            <w:tcW w:w="1216" w:type="pct"/>
            <w:vAlign w:val="center"/>
          </w:tcPr>
          <w:p w14:paraId="1ADF2710">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新华区-&gt;凯撒商场</w:t>
            </w:r>
          </w:p>
        </w:tc>
      </w:tr>
      <w:tr w14:paraId="53C90E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7" w:type="pct"/>
            <w:vAlign w:val="center"/>
          </w:tcPr>
          <w:p w14:paraId="1883D7C5">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188</w:t>
            </w:r>
          </w:p>
        </w:tc>
        <w:tc>
          <w:tcPr>
            <w:tcW w:w="677" w:type="pct"/>
            <w:vAlign w:val="center"/>
          </w:tcPr>
          <w:p w14:paraId="5332BC69">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218</w:t>
            </w:r>
          </w:p>
        </w:tc>
        <w:tc>
          <w:tcPr>
            <w:tcW w:w="2698" w:type="pct"/>
            <w:vAlign w:val="center"/>
          </w:tcPr>
          <w:p w14:paraId="32DFE081">
            <w:pPr>
              <w:widowControl/>
              <w:spacing w:line="360" w:lineRule="auto"/>
              <w:jc w:val="left"/>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218 悦和路光明路口</w:t>
            </w:r>
          </w:p>
        </w:tc>
        <w:tc>
          <w:tcPr>
            <w:tcW w:w="1216" w:type="pct"/>
            <w:vAlign w:val="center"/>
          </w:tcPr>
          <w:p w14:paraId="512603D5">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新华区-&gt;悦和路</w:t>
            </w:r>
          </w:p>
        </w:tc>
      </w:tr>
      <w:tr w14:paraId="7CDDCC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7" w:type="pct"/>
            <w:vAlign w:val="center"/>
          </w:tcPr>
          <w:p w14:paraId="292509C2">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189</w:t>
            </w:r>
          </w:p>
        </w:tc>
        <w:tc>
          <w:tcPr>
            <w:tcW w:w="677" w:type="pct"/>
            <w:vAlign w:val="center"/>
          </w:tcPr>
          <w:p w14:paraId="35AFA34C">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62</w:t>
            </w:r>
          </w:p>
        </w:tc>
        <w:tc>
          <w:tcPr>
            <w:tcW w:w="2698" w:type="pct"/>
            <w:vAlign w:val="center"/>
          </w:tcPr>
          <w:p w14:paraId="026ACCE3">
            <w:pPr>
              <w:widowControl/>
              <w:spacing w:line="360" w:lineRule="auto"/>
              <w:jc w:val="left"/>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062 体育路金六福银饰门口</w:t>
            </w:r>
          </w:p>
        </w:tc>
        <w:tc>
          <w:tcPr>
            <w:tcW w:w="1216" w:type="pct"/>
            <w:vAlign w:val="center"/>
          </w:tcPr>
          <w:p w14:paraId="2FDF5494">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新华区-&gt;体育路</w:t>
            </w:r>
          </w:p>
        </w:tc>
      </w:tr>
      <w:tr w14:paraId="744482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7" w:type="pct"/>
            <w:vAlign w:val="center"/>
          </w:tcPr>
          <w:p w14:paraId="5E18D08D">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190</w:t>
            </w:r>
          </w:p>
        </w:tc>
        <w:tc>
          <w:tcPr>
            <w:tcW w:w="677" w:type="pct"/>
            <w:vAlign w:val="center"/>
          </w:tcPr>
          <w:p w14:paraId="429024F4">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141</w:t>
            </w:r>
          </w:p>
        </w:tc>
        <w:tc>
          <w:tcPr>
            <w:tcW w:w="2698" w:type="pct"/>
            <w:vAlign w:val="center"/>
          </w:tcPr>
          <w:p w14:paraId="402DC6FD">
            <w:pPr>
              <w:widowControl/>
              <w:spacing w:line="360" w:lineRule="auto"/>
              <w:jc w:val="left"/>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141 中兴路曙光街南微卡口1</w:t>
            </w:r>
          </w:p>
        </w:tc>
        <w:tc>
          <w:tcPr>
            <w:tcW w:w="1216" w:type="pct"/>
            <w:vAlign w:val="center"/>
          </w:tcPr>
          <w:p w14:paraId="1774C2B2">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新华区-&gt;中兴路</w:t>
            </w:r>
          </w:p>
        </w:tc>
      </w:tr>
      <w:tr w14:paraId="6A2989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7" w:type="pct"/>
            <w:vAlign w:val="center"/>
          </w:tcPr>
          <w:p w14:paraId="6CA4B299">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191</w:t>
            </w:r>
          </w:p>
        </w:tc>
        <w:tc>
          <w:tcPr>
            <w:tcW w:w="677" w:type="pct"/>
            <w:vAlign w:val="center"/>
          </w:tcPr>
          <w:p w14:paraId="2E10AC20">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65</w:t>
            </w:r>
          </w:p>
        </w:tc>
        <w:tc>
          <w:tcPr>
            <w:tcW w:w="2698" w:type="pct"/>
            <w:vAlign w:val="center"/>
          </w:tcPr>
          <w:p w14:paraId="4B60DA45">
            <w:pPr>
              <w:widowControl/>
              <w:spacing w:line="360" w:lineRule="auto"/>
              <w:jc w:val="left"/>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065 曙光街公园北街西</w:t>
            </w:r>
          </w:p>
        </w:tc>
        <w:tc>
          <w:tcPr>
            <w:tcW w:w="1216" w:type="pct"/>
            <w:vAlign w:val="center"/>
          </w:tcPr>
          <w:p w14:paraId="38412233">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新华区-&gt;曙光街</w:t>
            </w:r>
          </w:p>
        </w:tc>
      </w:tr>
      <w:tr w14:paraId="089DD2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7" w:type="pct"/>
            <w:vAlign w:val="center"/>
          </w:tcPr>
          <w:p w14:paraId="333DE87C">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192</w:t>
            </w:r>
          </w:p>
        </w:tc>
        <w:tc>
          <w:tcPr>
            <w:tcW w:w="677" w:type="pct"/>
            <w:vAlign w:val="center"/>
          </w:tcPr>
          <w:p w14:paraId="475154BE">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211</w:t>
            </w:r>
          </w:p>
        </w:tc>
        <w:tc>
          <w:tcPr>
            <w:tcW w:w="2698" w:type="pct"/>
            <w:vAlign w:val="center"/>
          </w:tcPr>
          <w:p w14:paraId="729F2411">
            <w:pPr>
              <w:widowControl/>
              <w:spacing w:line="360" w:lineRule="auto"/>
              <w:jc w:val="left"/>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211 凯撒商场西北角</w:t>
            </w:r>
          </w:p>
        </w:tc>
        <w:tc>
          <w:tcPr>
            <w:tcW w:w="1216" w:type="pct"/>
            <w:vAlign w:val="center"/>
          </w:tcPr>
          <w:p w14:paraId="5D833481">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新华区-&gt;凯撒商场</w:t>
            </w:r>
          </w:p>
        </w:tc>
      </w:tr>
      <w:tr w14:paraId="2598A2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7" w:type="pct"/>
            <w:vAlign w:val="center"/>
          </w:tcPr>
          <w:p w14:paraId="7F571FE0">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193</w:t>
            </w:r>
          </w:p>
        </w:tc>
        <w:tc>
          <w:tcPr>
            <w:tcW w:w="677" w:type="pct"/>
            <w:vAlign w:val="center"/>
          </w:tcPr>
          <w:p w14:paraId="392D8137">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96</w:t>
            </w:r>
          </w:p>
        </w:tc>
        <w:tc>
          <w:tcPr>
            <w:tcW w:w="2698" w:type="pct"/>
            <w:vAlign w:val="center"/>
          </w:tcPr>
          <w:p w14:paraId="28BCB744">
            <w:pPr>
              <w:widowControl/>
              <w:spacing w:line="360" w:lineRule="auto"/>
              <w:jc w:val="left"/>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096 中兴路金沙湾大酒店南</w:t>
            </w:r>
          </w:p>
        </w:tc>
        <w:tc>
          <w:tcPr>
            <w:tcW w:w="1216" w:type="pct"/>
            <w:vAlign w:val="center"/>
          </w:tcPr>
          <w:p w14:paraId="50FC161A">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新华区-&gt;体育路</w:t>
            </w:r>
          </w:p>
        </w:tc>
      </w:tr>
      <w:tr w14:paraId="638B13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7" w:type="pct"/>
            <w:vAlign w:val="center"/>
          </w:tcPr>
          <w:p w14:paraId="2E27F2B8">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194</w:t>
            </w:r>
          </w:p>
        </w:tc>
        <w:tc>
          <w:tcPr>
            <w:tcW w:w="677" w:type="pct"/>
            <w:vAlign w:val="center"/>
          </w:tcPr>
          <w:p w14:paraId="14F35186">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116</w:t>
            </w:r>
          </w:p>
        </w:tc>
        <w:tc>
          <w:tcPr>
            <w:tcW w:w="2698" w:type="pct"/>
            <w:vAlign w:val="center"/>
          </w:tcPr>
          <w:p w14:paraId="658FAC8B">
            <w:pPr>
              <w:widowControl/>
              <w:spacing w:line="360" w:lineRule="auto"/>
              <w:jc w:val="left"/>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116 中兴路时代家具广场</w:t>
            </w:r>
          </w:p>
        </w:tc>
        <w:tc>
          <w:tcPr>
            <w:tcW w:w="1216" w:type="pct"/>
            <w:vAlign w:val="center"/>
          </w:tcPr>
          <w:p w14:paraId="56278479">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新华区-&gt;中兴路</w:t>
            </w:r>
          </w:p>
        </w:tc>
      </w:tr>
      <w:tr w14:paraId="05401D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7" w:type="pct"/>
            <w:vAlign w:val="center"/>
          </w:tcPr>
          <w:p w14:paraId="28B06C42">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195</w:t>
            </w:r>
          </w:p>
        </w:tc>
        <w:tc>
          <w:tcPr>
            <w:tcW w:w="677" w:type="pct"/>
            <w:vAlign w:val="center"/>
          </w:tcPr>
          <w:p w14:paraId="76356575">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216</w:t>
            </w:r>
          </w:p>
        </w:tc>
        <w:tc>
          <w:tcPr>
            <w:tcW w:w="2698" w:type="pct"/>
            <w:vAlign w:val="center"/>
          </w:tcPr>
          <w:p w14:paraId="5E74CB62">
            <w:pPr>
              <w:widowControl/>
              <w:spacing w:line="360" w:lineRule="auto"/>
              <w:jc w:val="left"/>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216 悦和路劳模小区西路口</w:t>
            </w:r>
          </w:p>
        </w:tc>
        <w:tc>
          <w:tcPr>
            <w:tcW w:w="1216" w:type="pct"/>
            <w:vAlign w:val="center"/>
          </w:tcPr>
          <w:p w14:paraId="62E6443D">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新华区-&gt;悦和路</w:t>
            </w:r>
          </w:p>
        </w:tc>
      </w:tr>
      <w:tr w14:paraId="3D00C7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7" w:type="pct"/>
            <w:vAlign w:val="center"/>
          </w:tcPr>
          <w:p w14:paraId="02C0246C">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196</w:t>
            </w:r>
          </w:p>
        </w:tc>
        <w:tc>
          <w:tcPr>
            <w:tcW w:w="677" w:type="pct"/>
            <w:vAlign w:val="center"/>
          </w:tcPr>
          <w:p w14:paraId="798A84D5">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220</w:t>
            </w:r>
          </w:p>
        </w:tc>
        <w:tc>
          <w:tcPr>
            <w:tcW w:w="2698" w:type="pct"/>
            <w:vAlign w:val="center"/>
          </w:tcPr>
          <w:p w14:paraId="4D1C002B">
            <w:pPr>
              <w:widowControl/>
              <w:spacing w:line="360" w:lineRule="auto"/>
              <w:jc w:val="left"/>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220 悦和社区门面房楼顶</w:t>
            </w:r>
          </w:p>
        </w:tc>
        <w:tc>
          <w:tcPr>
            <w:tcW w:w="1216" w:type="pct"/>
            <w:vAlign w:val="center"/>
          </w:tcPr>
          <w:p w14:paraId="7FC2B346">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新华区-&gt;悦和路</w:t>
            </w:r>
          </w:p>
        </w:tc>
      </w:tr>
      <w:tr w14:paraId="72BD6D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7" w:type="pct"/>
            <w:vAlign w:val="center"/>
          </w:tcPr>
          <w:p w14:paraId="26D0A2BD">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197</w:t>
            </w:r>
          </w:p>
        </w:tc>
        <w:tc>
          <w:tcPr>
            <w:tcW w:w="677" w:type="pct"/>
            <w:vAlign w:val="center"/>
          </w:tcPr>
          <w:p w14:paraId="2FFFF05B">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219</w:t>
            </w:r>
          </w:p>
        </w:tc>
        <w:tc>
          <w:tcPr>
            <w:tcW w:w="2698" w:type="pct"/>
            <w:vAlign w:val="center"/>
          </w:tcPr>
          <w:p w14:paraId="0DC0A2EF">
            <w:pPr>
              <w:widowControl/>
              <w:spacing w:line="360" w:lineRule="auto"/>
              <w:jc w:val="left"/>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219 金健悦和园楼顶</w:t>
            </w:r>
          </w:p>
        </w:tc>
        <w:tc>
          <w:tcPr>
            <w:tcW w:w="1216" w:type="pct"/>
            <w:vAlign w:val="center"/>
          </w:tcPr>
          <w:p w14:paraId="724BBCF3">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新华区-&gt;悦和路</w:t>
            </w:r>
          </w:p>
        </w:tc>
      </w:tr>
      <w:tr w14:paraId="4B9683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7" w:type="pct"/>
            <w:vAlign w:val="center"/>
          </w:tcPr>
          <w:p w14:paraId="6EE9AF2F">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198</w:t>
            </w:r>
          </w:p>
        </w:tc>
        <w:tc>
          <w:tcPr>
            <w:tcW w:w="677" w:type="pct"/>
            <w:vAlign w:val="center"/>
          </w:tcPr>
          <w:p w14:paraId="14EB8B92">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263</w:t>
            </w:r>
          </w:p>
        </w:tc>
        <w:tc>
          <w:tcPr>
            <w:tcW w:w="2698" w:type="pct"/>
            <w:vAlign w:val="center"/>
          </w:tcPr>
          <w:p w14:paraId="17B89B8D">
            <w:pPr>
              <w:widowControl/>
              <w:spacing w:line="360" w:lineRule="auto"/>
              <w:jc w:val="left"/>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263 光明路平顶山银行门口北侧</w:t>
            </w:r>
          </w:p>
        </w:tc>
        <w:tc>
          <w:tcPr>
            <w:tcW w:w="1216" w:type="pct"/>
            <w:vAlign w:val="center"/>
          </w:tcPr>
          <w:p w14:paraId="2A86E89F">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新华区-&gt;光明路</w:t>
            </w:r>
          </w:p>
        </w:tc>
      </w:tr>
      <w:tr w14:paraId="651611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7" w:type="pct"/>
            <w:vAlign w:val="center"/>
          </w:tcPr>
          <w:p w14:paraId="0C895744">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199</w:t>
            </w:r>
          </w:p>
        </w:tc>
        <w:tc>
          <w:tcPr>
            <w:tcW w:w="677" w:type="pct"/>
            <w:vAlign w:val="center"/>
          </w:tcPr>
          <w:p w14:paraId="7F6FF171">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165</w:t>
            </w:r>
          </w:p>
        </w:tc>
        <w:tc>
          <w:tcPr>
            <w:tcW w:w="2698" w:type="pct"/>
            <w:vAlign w:val="center"/>
          </w:tcPr>
          <w:p w14:paraId="2CC44F0A">
            <w:pPr>
              <w:widowControl/>
              <w:spacing w:line="360" w:lineRule="auto"/>
              <w:jc w:val="left"/>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165 建设路体育路口东公交站</w:t>
            </w:r>
          </w:p>
        </w:tc>
        <w:tc>
          <w:tcPr>
            <w:tcW w:w="1216" w:type="pct"/>
            <w:vAlign w:val="center"/>
          </w:tcPr>
          <w:p w14:paraId="08942707">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新华区-&gt;开源路</w:t>
            </w:r>
          </w:p>
        </w:tc>
      </w:tr>
      <w:tr w14:paraId="6FE54B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7" w:type="pct"/>
            <w:vAlign w:val="center"/>
          </w:tcPr>
          <w:p w14:paraId="7FF48EA7">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200</w:t>
            </w:r>
          </w:p>
        </w:tc>
        <w:tc>
          <w:tcPr>
            <w:tcW w:w="677" w:type="pct"/>
            <w:vAlign w:val="center"/>
          </w:tcPr>
          <w:p w14:paraId="35B6FC36">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w:t>
            </w:r>
          </w:p>
        </w:tc>
        <w:tc>
          <w:tcPr>
            <w:tcW w:w="2698" w:type="pct"/>
            <w:vAlign w:val="center"/>
          </w:tcPr>
          <w:p w14:paraId="16556055">
            <w:pPr>
              <w:widowControl/>
              <w:spacing w:line="360" w:lineRule="auto"/>
              <w:jc w:val="left"/>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建设路人大常委门口</w:t>
            </w:r>
          </w:p>
        </w:tc>
        <w:tc>
          <w:tcPr>
            <w:tcW w:w="1216" w:type="pct"/>
            <w:vAlign w:val="center"/>
          </w:tcPr>
          <w:p w14:paraId="20E6BDDD">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新华区-&gt;开源路</w:t>
            </w:r>
          </w:p>
        </w:tc>
      </w:tr>
      <w:tr w14:paraId="426ED7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7" w:type="pct"/>
            <w:vAlign w:val="center"/>
          </w:tcPr>
          <w:p w14:paraId="61191D11">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201</w:t>
            </w:r>
          </w:p>
        </w:tc>
        <w:tc>
          <w:tcPr>
            <w:tcW w:w="677" w:type="pct"/>
            <w:vAlign w:val="center"/>
          </w:tcPr>
          <w:p w14:paraId="4B322E33">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w:t>
            </w:r>
          </w:p>
        </w:tc>
        <w:tc>
          <w:tcPr>
            <w:tcW w:w="2698" w:type="pct"/>
            <w:vAlign w:val="center"/>
          </w:tcPr>
          <w:p w14:paraId="46743BF5">
            <w:pPr>
              <w:widowControl/>
              <w:spacing w:line="360" w:lineRule="auto"/>
              <w:jc w:val="left"/>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建设路人大常委门口</w:t>
            </w:r>
          </w:p>
        </w:tc>
        <w:tc>
          <w:tcPr>
            <w:tcW w:w="1216" w:type="pct"/>
            <w:vAlign w:val="center"/>
          </w:tcPr>
          <w:p w14:paraId="1D4450F4">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新华区-&gt;凯撒商场</w:t>
            </w:r>
          </w:p>
        </w:tc>
      </w:tr>
      <w:tr w14:paraId="022F2F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7" w:type="pct"/>
            <w:vAlign w:val="center"/>
          </w:tcPr>
          <w:p w14:paraId="45D66227">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202</w:t>
            </w:r>
          </w:p>
        </w:tc>
        <w:tc>
          <w:tcPr>
            <w:tcW w:w="677" w:type="pct"/>
            <w:vAlign w:val="center"/>
          </w:tcPr>
          <w:p w14:paraId="3D71ADEE">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169</w:t>
            </w:r>
          </w:p>
        </w:tc>
        <w:tc>
          <w:tcPr>
            <w:tcW w:w="2698" w:type="pct"/>
            <w:vAlign w:val="center"/>
          </w:tcPr>
          <w:p w14:paraId="7354F7EB">
            <w:pPr>
              <w:widowControl/>
              <w:spacing w:line="360" w:lineRule="auto"/>
              <w:jc w:val="left"/>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169 开源路八中南</w:t>
            </w:r>
          </w:p>
        </w:tc>
        <w:tc>
          <w:tcPr>
            <w:tcW w:w="1216" w:type="pct"/>
            <w:vAlign w:val="center"/>
          </w:tcPr>
          <w:p w14:paraId="2571C4D6">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新华区-&gt;中兴路</w:t>
            </w:r>
          </w:p>
        </w:tc>
      </w:tr>
      <w:tr w14:paraId="4F28EC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7" w:type="pct"/>
            <w:vAlign w:val="center"/>
          </w:tcPr>
          <w:p w14:paraId="33F48EDD">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203</w:t>
            </w:r>
          </w:p>
        </w:tc>
        <w:tc>
          <w:tcPr>
            <w:tcW w:w="677" w:type="pct"/>
            <w:vAlign w:val="center"/>
          </w:tcPr>
          <w:p w14:paraId="44B5F6F7">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195</w:t>
            </w:r>
          </w:p>
        </w:tc>
        <w:tc>
          <w:tcPr>
            <w:tcW w:w="2698" w:type="pct"/>
            <w:vAlign w:val="center"/>
          </w:tcPr>
          <w:p w14:paraId="6103AE5A">
            <w:pPr>
              <w:widowControl/>
              <w:spacing w:line="360" w:lineRule="auto"/>
              <w:jc w:val="left"/>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195 凯撒购物中心南人行道西口2</w:t>
            </w:r>
          </w:p>
        </w:tc>
        <w:tc>
          <w:tcPr>
            <w:tcW w:w="1216" w:type="pct"/>
            <w:vAlign w:val="center"/>
          </w:tcPr>
          <w:p w14:paraId="26313D7C">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新华区-&gt;中兴路</w:t>
            </w:r>
          </w:p>
        </w:tc>
      </w:tr>
      <w:tr w14:paraId="626B8E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7" w:type="pct"/>
            <w:vAlign w:val="center"/>
          </w:tcPr>
          <w:p w14:paraId="19781D4A">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204</w:t>
            </w:r>
          </w:p>
        </w:tc>
        <w:tc>
          <w:tcPr>
            <w:tcW w:w="677" w:type="pct"/>
            <w:vAlign w:val="center"/>
          </w:tcPr>
          <w:p w14:paraId="7466784B">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267</w:t>
            </w:r>
          </w:p>
        </w:tc>
        <w:tc>
          <w:tcPr>
            <w:tcW w:w="2698" w:type="pct"/>
            <w:vAlign w:val="center"/>
          </w:tcPr>
          <w:p w14:paraId="4EEA440A">
            <w:pPr>
              <w:widowControl/>
              <w:spacing w:line="360" w:lineRule="auto"/>
              <w:jc w:val="left"/>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267 矿工路佰嘉购物超市门口</w:t>
            </w:r>
          </w:p>
        </w:tc>
        <w:tc>
          <w:tcPr>
            <w:tcW w:w="1216" w:type="pct"/>
            <w:vAlign w:val="center"/>
          </w:tcPr>
          <w:p w14:paraId="30611BB2">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新华区-&gt;中兴路</w:t>
            </w:r>
          </w:p>
        </w:tc>
      </w:tr>
      <w:tr w14:paraId="34BD8D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7" w:type="pct"/>
            <w:vAlign w:val="center"/>
          </w:tcPr>
          <w:p w14:paraId="6F57823D">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205</w:t>
            </w:r>
          </w:p>
        </w:tc>
        <w:tc>
          <w:tcPr>
            <w:tcW w:w="677" w:type="pct"/>
            <w:vAlign w:val="center"/>
          </w:tcPr>
          <w:p w14:paraId="5908DEDC">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97</w:t>
            </w:r>
          </w:p>
        </w:tc>
        <w:tc>
          <w:tcPr>
            <w:tcW w:w="2698" w:type="pct"/>
            <w:vAlign w:val="center"/>
          </w:tcPr>
          <w:p w14:paraId="27A37162">
            <w:pPr>
              <w:widowControl/>
              <w:spacing w:line="360" w:lineRule="auto"/>
              <w:jc w:val="left"/>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097 中兴路优越路微卡口2</w:t>
            </w:r>
          </w:p>
        </w:tc>
        <w:tc>
          <w:tcPr>
            <w:tcW w:w="1216" w:type="pct"/>
            <w:vAlign w:val="center"/>
          </w:tcPr>
          <w:p w14:paraId="232B09C2">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新华区-&gt;中兴路</w:t>
            </w:r>
          </w:p>
        </w:tc>
      </w:tr>
      <w:tr w14:paraId="47195C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7" w:type="pct"/>
            <w:vAlign w:val="center"/>
          </w:tcPr>
          <w:p w14:paraId="09AB675D">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206</w:t>
            </w:r>
          </w:p>
        </w:tc>
        <w:tc>
          <w:tcPr>
            <w:tcW w:w="677" w:type="pct"/>
            <w:vAlign w:val="center"/>
          </w:tcPr>
          <w:p w14:paraId="60B12B96">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113</w:t>
            </w:r>
          </w:p>
        </w:tc>
        <w:tc>
          <w:tcPr>
            <w:tcW w:w="2698" w:type="pct"/>
            <w:vAlign w:val="center"/>
          </w:tcPr>
          <w:p w14:paraId="24BBD6CA">
            <w:pPr>
              <w:widowControl/>
              <w:spacing w:line="360" w:lineRule="auto"/>
              <w:jc w:val="left"/>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113 中兴路和平路微卡口2</w:t>
            </w:r>
          </w:p>
        </w:tc>
        <w:tc>
          <w:tcPr>
            <w:tcW w:w="1216" w:type="pct"/>
            <w:vAlign w:val="center"/>
          </w:tcPr>
          <w:p w14:paraId="255D114A">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新华区-&gt;中兴路</w:t>
            </w:r>
          </w:p>
        </w:tc>
      </w:tr>
      <w:tr w14:paraId="205E8A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7" w:type="pct"/>
            <w:vAlign w:val="center"/>
          </w:tcPr>
          <w:p w14:paraId="6A65CC8B">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207</w:t>
            </w:r>
          </w:p>
        </w:tc>
        <w:tc>
          <w:tcPr>
            <w:tcW w:w="677" w:type="pct"/>
            <w:vAlign w:val="center"/>
          </w:tcPr>
          <w:p w14:paraId="78B627AB">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95</w:t>
            </w:r>
          </w:p>
        </w:tc>
        <w:tc>
          <w:tcPr>
            <w:tcW w:w="2698" w:type="pct"/>
            <w:vAlign w:val="center"/>
          </w:tcPr>
          <w:p w14:paraId="79DEF556">
            <w:pPr>
              <w:widowControl/>
              <w:spacing w:line="360" w:lineRule="auto"/>
              <w:jc w:val="left"/>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095 中兴路优越路微卡口1</w:t>
            </w:r>
          </w:p>
        </w:tc>
        <w:tc>
          <w:tcPr>
            <w:tcW w:w="1216" w:type="pct"/>
            <w:vAlign w:val="center"/>
          </w:tcPr>
          <w:p w14:paraId="423574A2">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新华区-&gt;中兴路</w:t>
            </w:r>
          </w:p>
        </w:tc>
      </w:tr>
      <w:tr w14:paraId="37AF86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7" w:type="pct"/>
            <w:vAlign w:val="center"/>
          </w:tcPr>
          <w:p w14:paraId="152A2CF7">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208</w:t>
            </w:r>
          </w:p>
        </w:tc>
        <w:tc>
          <w:tcPr>
            <w:tcW w:w="677" w:type="pct"/>
            <w:vAlign w:val="center"/>
          </w:tcPr>
          <w:p w14:paraId="7CC40FAF">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122</w:t>
            </w:r>
          </w:p>
        </w:tc>
        <w:tc>
          <w:tcPr>
            <w:tcW w:w="2698" w:type="pct"/>
            <w:vAlign w:val="center"/>
          </w:tcPr>
          <w:p w14:paraId="0CA0CAA3">
            <w:pPr>
              <w:widowControl/>
              <w:spacing w:line="360" w:lineRule="auto"/>
              <w:jc w:val="left"/>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122 中兴路广厦商务中心门口</w:t>
            </w:r>
          </w:p>
        </w:tc>
        <w:tc>
          <w:tcPr>
            <w:tcW w:w="1216" w:type="pct"/>
            <w:vAlign w:val="center"/>
          </w:tcPr>
          <w:p w14:paraId="0032388A">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新华区-&gt;中兴路</w:t>
            </w:r>
          </w:p>
        </w:tc>
      </w:tr>
      <w:tr w14:paraId="31E042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7" w:type="pct"/>
            <w:vAlign w:val="center"/>
          </w:tcPr>
          <w:p w14:paraId="1F7FBC24">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209</w:t>
            </w:r>
          </w:p>
        </w:tc>
        <w:tc>
          <w:tcPr>
            <w:tcW w:w="677" w:type="pct"/>
            <w:vAlign w:val="center"/>
          </w:tcPr>
          <w:p w14:paraId="51BCBA9E">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64</w:t>
            </w:r>
          </w:p>
        </w:tc>
        <w:tc>
          <w:tcPr>
            <w:tcW w:w="2698" w:type="pct"/>
            <w:vAlign w:val="center"/>
          </w:tcPr>
          <w:p w14:paraId="726634E7">
            <w:pPr>
              <w:widowControl/>
              <w:spacing w:line="360" w:lineRule="auto"/>
              <w:jc w:val="left"/>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064 体育路锦绣街交叉微卡口1</w:t>
            </w:r>
          </w:p>
        </w:tc>
        <w:tc>
          <w:tcPr>
            <w:tcW w:w="1216" w:type="pct"/>
            <w:vAlign w:val="center"/>
          </w:tcPr>
          <w:p w14:paraId="13E1D822">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新华区-&gt;体育路</w:t>
            </w:r>
          </w:p>
        </w:tc>
      </w:tr>
      <w:tr w14:paraId="1DAEFE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7" w:type="pct"/>
            <w:vAlign w:val="center"/>
          </w:tcPr>
          <w:p w14:paraId="6DF0555F">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210</w:t>
            </w:r>
          </w:p>
        </w:tc>
        <w:tc>
          <w:tcPr>
            <w:tcW w:w="677" w:type="pct"/>
            <w:vAlign w:val="center"/>
          </w:tcPr>
          <w:p w14:paraId="56481BA0">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63</w:t>
            </w:r>
          </w:p>
        </w:tc>
        <w:tc>
          <w:tcPr>
            <w:tcW w:w="2698" w:type="pct"/>
            <w:vAlign w:val="center"/>
          </w:tcPr>
          <w:p w14:paraId="3FEAC745">
            <w:pPr>
              <w:widowControl/>
              <w:spacing w:line="360" w:lineRule="auto"/>
              <w:jc w:val="left"/>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063 体育路锦绣街交叉口</w:t>
            </w:r>
          </w:p>
        </w:tc>
        <w:tc>
          <w:tcPr>
            <w:tcW w:w="1216" w:type="pct"/>
            <w:vAlign w:val="center"/>
          </w:tcPr>
          <w:p w14:paraId="7043FFA9">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新华区-&gt;体育路</w:t>
            </w:r>
          </w:p>
        </w:tc>
      </w:tr>
      <w:tr w14:paraId="3C3C58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7" w:type="pct"/>
            <w:vAlign w:val="center"/>
          </w:tcPr>
          <w:p w14:paraId="4C4CBF35">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211</w:t>
            </w:r>
          </w:p>
        </w:tc>
        <w:tc>
          <w:tcPr>
            <w:tcW w:w="677" w:type="pct"/>
            <w:vAlign w:val="center"/>
          </w:tcPr>
          <w:p w14:paraId="734AEF38">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121</w:t>
            </w:r>
          </w:p>
        </w:tc>
        <w:tc>
          <w:tcPr>
            <w:tcW w:w="2698" w:type="pct"/>
            <w:vAlign w:val="center"/>
          </w:tcPr>
          <w:p w14:paraId="23DABA79">
            <w:pPr>
              <w:widowControl/>
              <w:spacing w:line="360" w:lineRule="auto"/>
              <w:jc w:val="left"/>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121 体育路开心百货路口</w:t>
            </w:r>
          </w:p>
        </w:tc>
        <w:tc>
          <w:tcPr>
            <w:tcW w:w="1216" w:type="pct"/>
            <w:vAlign w:val="center"/>
          </w:tcPr>
          <w:p w14:paraId="7FD702B7">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新华区-&gt;体育路</w:t>
            </w:r>
          </w:p>
        </w:tc>
      </w:tr>
      <w:tr w14:paraId="156B85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7" w:type="pct"/>
            <w:vAlign w:val="center"/>
          </w:tcPr>
          <w:p w14:paraId="2D4CB618">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212</w:t>
            </w:r>
          </w:p>
        </w:tc>
        <w:tc>
          <w:tcPr>
            <w:tcW w:w="677" w:type="pct"/>
            <w:vAlign w:val="center"/>
          </w:tcPr>
          <w:p w14:paraId="32D7143E">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72</w:t>
            </w:r>
          </w:p>
        </w:tc>
        <w:tc>
          <w:tcPr>
            <w:tcW w:w="2698" w:type="pct"/>
            <w:vAlign w:val="center"/>
          </w:tcPr>
          <w:p w14:paraId="5C2995FF">
            <w:pPr>
              <w:widowControl/>
              <w:spacing w:line="360" w:lineRule="auto"/>
              <w:jc w:val="left"/>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072 体育路平煤幼儿园门口南侧</w:t>
            </w:r>
          </w:p>
        </w:tc>
        <w:tc>
          <w:tcPr>
            <w:tcW w:w="1216" w:type="pct"/>
            <w:vAlign w:val="center"/>
          </w:tcPr>
          <w:p w14:paraId="2266BF13">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新华区-&gt;体育路</w:t>
            </w:r>
          </w:p>
        </w:tc>
      </w:tr>
      <w:tr w14:paraId="3E95ED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7" w:type="pct"/>
            <w:vAlign w:val="center"/>
          </w:tcPr>
          <w:p w14:paraId="08C4DEA2">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213</w:t>
            </w:r>
          </w:p>
        </w:tc>
        <w:tc>
          <w:tcPr>
            <w:tcW w:w="677" w:type="pct"/>
            <w:vAlign w:val="center"/>
          </w:tcPr>
          <w:p w14:paraId="74B978AA">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272</w:t>
            </w:r>
          </w:p>
        </w:tc>
        <w:tc>
          <w:tcPr>
            <w:tcW w:w="2698" w:type="pct"/>
            <w:vAlign w:val="center"/>
          </w:tcPr>
          <w:p w14:paraId="24B44368">
            <w:pPr>
              <w:widowControl/>
              <w:spacing w:line="360" w:lineRule="auto"/>
              <w:jc w:val="left"/>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272 体育路市场南 向南</w:t>
            </w:r>
          </w:p>
        </w:tc>
        <w:tc>
          <w:tcPr>
            <w:tcW w:w="1216" w:type="pct"/>
            <w:vAlign w:val="center"/>
          </w:tcPr>
          <w:p w14:paraId="1560B9D0">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新华区-&gt;体育路</w:t>
            </w:r>
          </w:p>
        </w:tc>
      </w:tr>
      <w:tr w14:paraId="34BDA3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7" w:type="pct"/>
            <w:vAlign w:val="center"/>
          </w:tcPr>
          <w:p w14:paraId="2B3FEBDD">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214</w:t>
            </w:r>
          </w:p>
        </w:tc>
        <w:tc>
          <w:tcPr>
            <w:tcW w:w="677" w:type="pct"/>
            <w:vAlign w:val="center"/>
          </w:tcPr>
          <w:p w14:paraId="69F53E32">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277</w:t>
            </w:r>
          </w:p>
        </w:tc>
        <w:tc>
          <w:tcPr>
            <w:tcW w:w="2698" w:type="pct"/>
            <w:vAlign w:val="center"/>
          </w:tcPr>
          <w:p w14:paraId="5CD763C4">
            <w:pPr>
              <w:widowControl/>
              <w:spacing w:line="360" w:lineRule="auto"/>
              <w:jc w:val="left"/>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277 体育路曙光街交叉口西北角</w:t>
            </w:r>
          </w:p>
        </w:tc>
        <w:tc>
          <w:tcPr>
            <w:tcW w:w="1216" w:type="pct"/>
            <w:vAlign w:val="center"/>
          </w:tcPr>
          <w:p w14:paraId="325BE022">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新华区-&gt;体育路</w:t>
            </w:r>
          </w:p>
        </w:tc>
      </w:tr>
      <w:tr w14:paraId="091ADE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7" w:type="pct"/>
            <w:vAlign w:val="center"/>
          </w:tcPr>
          <w:p w14:paraId="0E48E06F">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215</w:t>
            </w:r>
          </w:p>
        </w:tc>
        <w:tc>
          <w:tcPr>
            <w:tcW w:w="677" w:type="pct"/>
            <w:vAlign w:val="center"/>
          </w:tcPr>
          <w:p w14:paraId="0EA90A3D">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39</w:t>
            </w:r>
          </w:p>
        </w:tc>
        <w:tc>
          <w:tcPr>
            <w:tcW w:w="2698" w:type="pct"/>
            <w:vAlign w:val="center"/>
          </w:tcPr>
          <w:p w14:paraId="7ECBDE3A">
            <w:pPr>
              <w:widowControl/>
              <w:spacing w:line="360" w:lineRule="auto"/>
              <w:jc w:val="left"/>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039 光明路润泽园对面</w:t>
            </w:r>
          </w:p>
        </w:tc>
        <w:tc>
          <w:tcPr>
            <w:tcW w:w="1216" w:type="pct"/>
            <w:vAlign w:val="center"/>
          </w:tcPr>
          <w:p w14:paraId="45F92611">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新华区-&gt;光明路</w:t>
            </w:r>
          </w:p>
        </w:tc>
      </w:tr>
      <w:tr w14:paraId="594753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7" w:type="pct"/>
            <w:vAlign w:val="center"/>
          </w:tcPr>
          <w:p w14:paraId="22BB20F9">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216</w:t>
            </w:r>
          </w:p>
        </w:tc>
        <w:tc>
          <w:tcPr>
            <w:tcW w:w="677" w:type="pct"/>
            <w:vAlign w:val="center"/>
          </w:tcPr>
          <w:p w14:paraId="3C33A4FD">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132</w:t>
            </w:r>
          </w:p>
        </w:tc>
        <w:tc>
          <w:tcPr>
            <w:tcW w:w="2698" w:type="pct"/>
            <w:vAlign w:val="center"/>
          </w:tcPr>
          <w:p w14:paraId="3008BA03">
            <w:pPr>
              <w:widowControl/>
              <w:spacing w:line="360" w:lineRule="auto"/>
              <w:jc w:val="left"/>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132 中兴路新鹰小学对面</w:t>
            </w:r>
          </w:p>
        </w:tc>
        <w:tc>
          <w:tcPr>
            <w:tcW w:w="1216" w:type="pct"/>
            <w:vAlign w:val="center"/>
          </w:tcPr>
          <w:p w14:paraId="34B1BBA9">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新华区-&gt;中兴路</w:t>
            </w:r>
          </w:p>
        </w:tc>
      </w:tr>
      <w:tr w14:paraId="76716B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7" w:type="pct"/>
            <w:vAlign w:val="center"/>
          </w:tcPr>
          <w:p w14:paraId="502E3282">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217</w:t>
            </w:r>
          </w:p>
        </w:tc>
        <w:tc>
          <w:tcPr>
            <w:tcW w:w="677" w:type="pct"/>
            <w:vAlign w:val="center"/>
          </w:tcPr>
          <w:p w14:paraId="77834B62">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108</w:t>
            </w:r>
          </w:p>
        </w:tc>
        <w:tc>
          <w:tcPr>
            <w:tcW w:w="2698" w:type="pct"/>
            <w:vAlign w:val="center"/>
          </w:tcPr>
          <w:p w14:paraId="75D08F8B">
            <w:pPr>
              <w:widowControl/>
              <w:spacing w:line="360" w:lineRule="auto"/>
              <w:jc w:val="left"/>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108 中兴路步行东街肯德基</w:t>
            </w:r>
          </w:p>
        </w:tc>
        <w:tc>
          <w:tcPr>
            <w:tcW w:w="1216" w:type="pct"/>
            <w:vAlign w:val="center"/>
          </w:tcPr>
          <w:p w14:paraId="1CEDEAA4">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新华区-&gt;中兴路</w:t>
            </w:r>
          </w:p>
        </w:tc>
      </w:tr>
      <w:tr w14:paraId="09CDBF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7" w:type="pct"/>
            <w:vAlign w:val="center"/>
          </w:tcPr>
          <w:p w14:paraId="4A5CF297">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218</w:t>
            </w:r>
          </w:p>
        </w:tc>
        <w:tc>
          <w:tcPr>
            <w:tcW w:w="677" w:type="pct"/>
            <w:vAlign w:val="center"/>
          </w:tcPr>
          <w:p w14:paraId="6F34266D">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133</w:t>
            </w:r>
          </w:p>
        </w:tc>
        <w:tc>
          <w:tcPr>
            <w:tcW w:w="2698" w:type="pct"/>
            <w:vAlign w:val="center"/>
          </w:tcPr>
          <w:p w14:paraId="1600EA20">
            <w:pPr>
              <w:widowControl/>
              <w:spacing w:line="360" w:lineRule="auto"/>
              <w:jc w:val="left"/>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133 中兴路星满天婚庆店门口</w:t>
            </w:r>
          </w:p>
        </w:tc>
        <w:tc>
          <w:tcPr>
            <w:tcW w:w="1216" w:type="pct"/>
            <w:vAlign w:val="center"/>
          </w:tcPr>
          <w:p w14:paraId="01B1D898">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新华区-&gt;中兴路</w:t>
            </w:r>
          </w:p>
        </w:tc>
      </w:tr>
      <w:tr w14:paraId="3DAB80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7" w:type="pct"/>
            <w:vAlign w:val="center"/>
          </w:tcPr>
          <w:p w14:paraId="200F35F4">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219</w:t>
            </w:r>
          </w:p>
        </w:tc>
        <w:tc>
          <w:tcPr>
            <w:tcW w:w="677" w:type="pct"/>
            <w:vAlign w:val="center"/>
          </w:tcPr>
          <w:p w14:paraId="4CFC692B">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129</w:t>
            </w:r>
          </w:p>
        </w:tc>
        <w:tc>
          <w:tcPr>
            <w:tcW w:w="2698" w:type="pct"/>
            <w:vAlign w:val="center"/>
          </w:tcPr>
          <w:p w14:paraId="48898B61">
            <w:pPr>
              <w:widowControl/>
              <w:spacing w:line="360" w:lineRule="auto"/>
              <w:jc w:val="left"/>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129 中兴路建设路微卡口4</w:t>
            </w:r>
          </w:p>
        </w:tc>
        <w:tc>
          <w:tcPr>
            <w:tcW w:w="1216" w:type="pct"/>
            <w:vAlign w:val="center"/>
          </w:tcPr>
          <w:p w14:paraId="46200170">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新华区-&gt;中兴路</w:t>
            </w:r>
          </w:p>
        </w:tc>
      </w:tr>
      <w:tr w14:paraId="372769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7" w:type="pct"/>
            <w:vAlign w:val="center"/>
          </w:tcPr>
          <w:p w14:paraId="3954B4AC">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220</w:t>
            </w:r>
          </w:p>
        </w:tc>
        <w:tc>
          <w:tcPr>
            <w:tcW w:w="677" w:type="pct"/>
            <w:vAlign w:val="center"/>
          </w:tcPr>
          <w:p w14:paraId="411F1C95">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130</w:t>
            </w:r>
          </w:p>
        </w:tc>
        <w:tc>
          <w:tcPr>
            <w:tcW w:w="2698" w:type="pct"/>
            <w:vAlign w:val="center"/>
          </w:tcPr>
          <w:p w14:paraId="5153E5A6">
            <w:pPr>
              <w:widowControl/>
              <w:spacing w:line="360" w:lineRule="auto"/>
              <w:jc w:val="left"/>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130 中兴路华城大厦对面</w:t>
            </w:r>
          </w:p>
        </w:tc>
        <w:tc>
          <w:tcPr>
            <w:tcW w:w="1216" w:type="pct"/>
            <w:vAlign w:val="center"/>
          </w:tcPr>
          <w:p w14:paraId="090EA6BE">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新华区-&gt;中兴路</w:t>
            </w:r>
          </w:p>
        </w:tc>
      </w:tr>
      <w:tr w14:paraId="42AB5C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7" w:type="pct"/>
            <w:vAlign w:val="center"/>
          </w:tcPr>
          <w:p w14:paraId="4B635441">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221</w:t>
            </w:r>
          </w:p>
        </w:tc>
        <w:tc>
          <w:tcPr>
            <w:tcW w:w="677" w:type="pct"/>
            <w:vAlign w:val="center"/>
          </w:tcPr>
          <w:p w14:paraId="5C3E8DE9">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131</w:t>
            </w:r>
          </w:p>
        </w:tc>
        <w:tc>
          <w:tcPr>
            <w:tcW w:w="2698" w:type="pct"/>
            <w:vAlign w:val="center"/>
          </w:tcPr>
          <w:p w14:paraId="2DC0DBC8">
            <w:pPr>
              <w:widowControl/>
              <w:spacing w:line="360" w:lineRule="auto"/>
              <w:jc w:val="left"/>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131 中兴路佳田酒店对面</w:t>
            </w:r>
          </w:p>
        </w:tc>
        <w:tc>
          <w:tcPr>
            <w:tcW w:w="1216" w:type="pct"/>
            <w:vAlign w:val="center"/>
          </w:tcPr>
          <w:p w14:paraId="5C29F6BE">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新华区-&gt;中兴路</w:t>
            </w:r>
          </w:p>
        </w:tc>
      </w:tr>
      <w:tr w14:paraId="3DB8C4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7" w:type="pct"/>
            <w:vAlign w:val="center"/>
          </w:tcPr>
          <w:p w14:paraId="7848EE09">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222</w:t>
            </w:r>
          </w:p>
        </w:tc>
        <w:tc>
          <w:tcPr>
            <w:tcW w:w="677" w:type="pct"/>
            <w:vAlign w:val="center"/>
          </w:tcPr>
          <w:p w14:paraId="14998E3F">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128</w:t>
            </w:r>
          </w:p>
        </w:tc>
        <w:tc>
          <w:tcPr>
            <w:tcW w:w="2698" w:type="pct"/>
            <w:vAlign w:val="center"/>
          </w:tcPr>
          <w:p w14:paraId="597DFC80">
            <w:pPr>
              <w:widowControl/>
              <w:spacing w:line="360" w:lineRule="auto"/>
              <w:jc w:val="left"/>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128 中兴路建设路路口东</w:t>
            </w:r>
          </w:p>
        </w:tc>
        <w:tc>
          <w:tcPr>
            <w:tcW w:w="1216" w:type="pct"/>
            <w:vAlign w:val="center"/>
          </w:tcPr>
          <w:p w14:paraId="382A2E35">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新华区-&gt;中兴路</w:t>
            </w:r>
          </w:p>
        </w:tc>
      </w:tr>
      <w:tr w14:paraId="7BD424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7" w:type="pct"/>
            <w:vAlign w:val="center"/>
          </w:tcPr>
          <w:p w14:paraId="341D20B1">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223</w:t>
            </w:r>
          </w:p>
        </w:tc>
        <w:tc>
          <w:tcPr>
            <w:tcW w:w="677" w:type="pct"/>
            <w:vAlign w:val="center"/>
          </w:tcPr>
          <w:p w14:paraId="54984DB7">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125</w:t>
            </w:r>
          </w:p>
        </w:tc>
        <w:tc>
          <w:tcPr>
            <w:tcW w:w="2698" w:type="pct"/>
            <w:vAlign w:val="center"/>
          </w:tcPr>
          <w:p w14:paraId="6E561010">
            <w:pPr>
              <w:widowControl/>
              <w:spacing w:line="360" w:lineRule="auto"/>
              <w:jc w:val="left"/>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125 中兴路苏宁电器南</w:t>
            </w:r>
          </w:p>
        </w:tc>
        <w:tc>
          <w:tcPr>
            <w:tcW w:w="1216" w:type="pct"/>
            <w:vAlign w:val="center"/>
          </w:tcPr>
          <w:p w14:paraId="5CD29DB8">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新华区-&gt;中兴路</w:t>
            </w:r>
          </w:p>
        </w:tc>
      </w:tr>
      <w:tr w14:paraId="5DD27D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7" w:type="pct"/>
            <w:vAlign w:val="center"/>
          </w:tcPr>
          <w:p w14:paraId="3EA34888">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224</w:t>
            </w:r>
          </w:p>
        </w:tc>
        <w:tc>
          <w:tcPr>
            <w:tcW w:w="677" w:type="pct"/>
            <w:vAlign w:val="center"/>
          </w:tcPr>
          <w:p w14:paraId="139B2D47">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108</w:t>
            </w:r>
          </w:p>
        </w:tc>
        <w:tc>
          <w:tcPr>
            <w:tcW w:w="2698" w:type="pct"/>
            <w:vAlign w:val="center"/>
          </w:tcPr>
          <w:p w14:paraId="3E0D47D0">
            <w:pPr>
              <w:widowControl/>
              <w:spacing w:line="360" w:lineRule="auto"/>
              <w:jc w:val="left"/>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108 步行街肯德基门口人脸1</w:t>
            </w:r>
          </w:p>
        </w:tc>
        <w:tc>
          <w:tcPr>
            <w:tcW w:w="1216" w:type="pct"/>
            <w:vAlign w:val="center"/>
          </w:tcPr>
          <w:p w14:paraId="6681808A">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新华区-&gt;中兴路</w:t>
            </w:r>
          </w:p>
        </w:tc>
      </w:tr>
      <w:tr w14:paraId="6516EE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7" w:type="pct"/>
            <w:vAlign w:val="center"/>
          </w:tcPr>
          <w:p w14:paraId="7A69850D">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225</w:t>
            </w:r>
          </w:p>
        </w:tc>
        <w:tc>
          <w:tcPr>
            <w:tcW w:w="677" w:type="pct"/>
            <w:vAlign w:val="center"/>
          </w:tcPr>
          <w:p w14:paraId="5B23C442">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108</w:t>
            </w:r>
          </w:p>
        </w:tc>
        <w:tc>
          <w:tcPr>
            <w:tcW w:w="2698" w:type="pct"/>
            <w:vAlign w:val="center"/>
          </w:tcPr>
          <w:p w14:paraId="3805C179">
            <w:pPr>
              <w:widowControl/>
              <w:spacing w:line="360" w:lineRule="auto"/>
              <w:jc w:val="left"/>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108 步行街肯德基门口人脸2</w:t>
            </w:r>
          </w:p>
        </w:tc>
        <w:tc>
          <w:tcPr>
            <w:tcW w:w="1216" w:type="pct"/>
            <w:vAlign w:val="center"/>
          </w:tcPr>
          <w:p w14:paraId="16D7C99B">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新华区-&gt;中兴路</w:t>
            </w:r>
          </w:p>
        </w:tc>
      </w:tr>
      <w:tr w14:paraId="6BEC7B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7" w:type="pct"/>
            <w:vAlign w:val="center"/>
          </w:tcPr>
          <w:p w14:paraId="3ED96B49">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226</w:t>
            </w:r>
          </w:p>
        </w:tc>
        <w:tc>
          <w:tcPr>
            <w:tcW w:w="677" w:type="pct"/>
            <w:vAlign w:val="center"/>
          </w:tcPr>
          <w:p w14:paraId="601AB7AD">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142</w:t>
            </w:r>
          </w:p>
        </w:tc>
        <w:tc>
          <w:tcPr>
            <w:tcW w:w="2698" w:type="pct"/>
            <w:vAlign w:val="center"/>
          </w:tcPr>
          <w:p w14:paraId="31A78645">
            <w:pPr>
              <w:widowControl/>
              <w:spacing w:line="360" w:lineRule="auto"/>
              <w:jc w:val="left"/>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142 中兴路曙光街南微卡口2</w:t>
            </w:r>
          </w:p>
        </w:tc>
        <w:tc>
          <w:tcPr>
            <w:tcW w:w="1216" w:type="pct"/>
            <w:vAlign w:val="center"/>
          </w:tcPr>
          <w:p w14:paraId="456ED5F7">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新华区-&gt;中兴路</w:t>
            </w:r>
          </w:p>
        </w:tc>
      </w:tr>
      <w:tr w14:paraId="54BA39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7" w:type="pct"/>
            <w:vAlign w:val="center"/>
          </w:tcPr>
          <w:p w14:paraId="5A19068A">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227</w:t>
            </w:r>
          </w:p>
        </w:tc>
        <w:tc>
          <w:tcPr>
            <w:tcW w:w="677" w:type="pct"/>
            <w:vAlign w:val="center"/>
          </w:tcPr>
          <w:p w14:paraId="5099C7BB">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w:t>
            </w:r>
          </w:p>
        </w:tc>
        <w:tc>
          <w:tcPr>
            <w:tcW w:w="2698" w:type="pct"/>
            <w:vAlign w:val="center"/>
          </w:tcPr>
          <w:p w14:paraId="1D5586B8">
            <w:pPr>
              <w:widowControl/>
              <w:spacing w:line="360" w:lineRule="auto"/>
              <w:jc w:val="left"/>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中兴路曙光街南微卡口</w:t>
            </w:r>
          </w:p>
        </w:tc>
        <w:tc>
          <w:tcPr>
            <w:tcW w:w="1216" w:type="pct"/>
            <w:vAlign w:val="center"/>
          </w:tcPr>
          <w:p w14:paraId="0792DCFC">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新华区-&gt;中兴路</w:t>
            </w:r>
          </w:p>
        </w:tc>
      </w:tr>
      <w:tr w14:paraId="2EAB92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7" w:type="pct"/>
            <w:vAlign w:val="center"/>
          </w:tcPr>
          <w:p w14:paraId="5E6BB614">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228</w:t>
            </w:r>
          </w:p>
        </w:tc>
        <w:tc>
          <w:tcPr>
            <w:tcW w:w="677" w:type="pct"/>
            <w:vAlign w:val="center"/>
          </w:tcPr>
          <w:p w14:paraId="3D0B3656">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94</w:t>
            </w:r>
          </w:p>
        </w:tc>
        <w:tc>
          <w:tcPr>
            <w:tcW w:w="2698" w:type="pct"/>
            <w:vAlign w:val="center"/>
          </w:tcPr>
          <w:p w14:paraId="16125028">
            <w:pPr>
              <w:widowControl/>
              <w:spacing w:line="360" w:lineRule="auto"/>
              <w:jc w:val="left"/>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094 中兴路万家门口</w:t>
            </w:r>
          </w:p>
        </w:tc>
        <w:tc>
          <w:tcPr>
            <w:tcW w:w="1216" w:type="pct"/>
            <w:vAlign w:val="center"/>
          </w:tcPr>
          <w:p w14:paraId="25F43D25">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新华区-&gt;中兴路</w:t>
            </w:r>
          </w:p>
        </w:tc>
      </w:tr>
      <w:tr w14:paraId="503787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7" w:type="pct"/>
            <w:vAlign w:val="center"/>
          </w:tcPr>
          <w:p w14:paraId="2848F939">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229</w:t>
            </w:r>
          </w:p>
        </w:tc>
        <w:tc>
          <w:tcPr>
            <w:tcW w:w="677" w:type="pct"/>
            <w:vAlign w:val="center"/>
          </w:tcPr>
          <w:p w14:paraId="04514FC9">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170</w:t>
            </w:r>
          </w:p>
        </w:tc>
        <w:tc>
          <w:tcPr>
            <w:tcW w:w="2698" w:type="pct"/>
            <w:vAlign w:val="center"/>
          </w:tcPr>
          <w:p w14:paraId="20B685FB">
            <w:pPr>
              <w:widowControl/>
              <w:spacing w:line="360" w:lineRule="auto"/>
              <w:jc w:val="left"/>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170 开源路曙光街路口</w:t>
            </w:r>
          </w:p>
        </w:tc>
        <w:tc>
          <w:tcPr>
            <w:tcW w:w="1216" w:type="pct"/>
            <w:vAlign w:val="center"/>
          </w:tcPr>
          <w:p w14:paraId="2D568AFF">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新华区-&gt;开源路</w:t>
            </w:r>
          </w:p>
        </w:tc>
      </w:tr>
      <w:tr w14:paraId="3D4D45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7" w:type="pct"/>
            <w:vAlign w:val="center"/>
          </w:tcPr>
          <w:p w14:paraId="7059E72A">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230</w:t>
            </w:r>
          </w:p>
        </w:tc>
        <w:tc>
          <w:tcPr>
            <w:tcW w:w="677" w:type="pct"/>
            <w:vAlign w:val="center"/>
          </w:tcPr>
          <w:p w14:paraId="29EB5F1B">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187</w:t>
            </w:r>
          </w:p>
        </w:tc>
        <w:tc>
          <w:tcPr>
            <w:tcW w:w="2698" w:type="pct"/>
            <w:vAlign w:val="center"/>
          </w:tcPr>
          <w:p w14:paraId="5E51FD55">
            <w:pPr>
              <w:widowControl/>
              <w:spacing w:line="360" w:lineRule="auto"/>
              <w:jc w:val="left"/>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187 开源路众康大药房</w:t>
            </w:r>
          </w:p>
        </w:tc>
        <w:tc>
          <w:tcPr>
            <w:tcW w:w="1216" w:type="pct"/>
            <w:vAlign w:val="center"/>
          </w:tcPr>
          <w:p w14:paraId="7586165A">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新华区-&gt;开源路</w:t>
            </w:r>
          </w:p>
        </w:tc>
      </w:tr>
      <w:tr w14:paraId="7BF02C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7" w:type="pct"/>
            <w:vAlign w:val="center"/>
          </w:tcPr>
          <w:p w14:paraId="6DE7D7A1">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231</w:t>
            </w:r>
          </w:p>
        </w:tc>
        <w:tc>
          <w:tcPr>
            <w:tcW w:w="677" w:type="pct"/>
            <w:vAlign w:val="center"/>
          </w:tcPr>
          <w:p w14:paraId="327AC960">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66</w:t>
            </w:r>
          </w:p>
        </w:tc>
        <w:tc>
          <w:tcPr>
            <w:tcW w:w="2698" w:type="pct"/>
            <w:vAlign w:val="center"/>
          </w:tcPr>
          <w:p w14:paraId="10F16302">
            <w:pPr>
              <w:widowControl/>
              <w:spacing w:line="360" w:lineRule="auto"/>
              <w:jc w:val="left"/>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066 锦绣街东微卡口</w:t>
            </w:r>
          </w:p>
        </w:tc>
        <w:tc>
          <w:tcPr>
            <w:tcW w:w="1216" w:type="pct"/>
            <w:vAlign w:val="center"/>
          </w:tcPr>
          <w:p w14:paraId="1A94F0F1">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新华区-&gt;锦绣街</w:t>
            </w:r>
          </w:p>
        </w:tc>
      </w:tr>
      <w:tr w14:paraId="4D59E6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7" w:type="pct"/>
            <w:vAlign w:val="center"/>
          </w:tcPr>
          <w:p w14:paraId="18C4572D">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232</w:t>
            </w:r>
          </w:p>
        </w:tc>
        <w:tc>
          <w:tcPr>
            <w:tcW w:w="677" w:type="pct"/>
            <w:vAlign w:val="center"/>
          </w:tcPr>
          <w:p w14:paraId="059930A9">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140</w:t>
            </w:r>
          </w:p>
        </w:tc>
        <w:tc>
          <w:tcPr>
            <w:tcW w:w="2698" w:type="pct"/>
            <w:vAlign w:val="center"/>
          </w:tcPr>
          <w:p w14:paraId="41482B83">
            <w:pPr>
              <w:widowControl/>
              <w:spacing w:line="360" w:lineRule="auto"/>
              <w:jc w:val="left"/>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140 曙光街绿园西街北口</w:t>
            </w:r>
          </w:p>
        </w:tc>
        <w:tc>
          <w:tcPr>
            <w:tcW w:w="1216" w:type="pct"/>
            <w:vAlign w:val="center"/>
          </w:tcPr>
          <w:p w14:paraId="27B78DD5">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新华区-&gt;曙光街</w:t>
            </w:r>
          </w:p>
        </w:tc>
      </w:tr>
      <w:tr w14:paraId="50A07A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7" w:type="pct"/>
            <w:vAlign w:val="center"/>
          </w:tcPr>
          <w:p w14:paraId="00AA76EE">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233</w:t>
            </w:r>
          </w:p>
        </w:tc>
        <w:tc>
          <w:tcPr>
            <w:tcW w:w="677" w:type="pct"/>
            <w:vAlign w:val="center"/>
          </w:tcPr>
          <w:p w14:paraId="413B869C">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134</w:t>
            </w:r>
          </w:p>
        </w:tc>
        <w:tc>
          <w:tcPr>
            <w:tcW w:w="2698" w:type="pct"/>
            <w:vAlign w:val="center"/>
          </w:tcPr>
          <w:p w14:paraId="3A4BB0DC">
            <w:pPr>
              <w:widowControl/>
              <w:spacing w:line="360" w:lineRule="auto"/>
              <w:jc w:val="left"/>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134 曙光街中兴路微卡口</w:t>
            </w:r>
          </w:p>
        </w:tc>
        <w:tc>
          <w:tcPr>
            <w:tcW w:w="1216" w:type="pct"/>
            <w:vAlign w:val="center"/>
          </w:tcPr>
          <w:p w14:paraId="557C8D33">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新华区-&gt;曙光街</w:t>
            </w:r>
          </w:p>
        </w:tc>
      </w:tr>
      <w:tr w14:paraId="2CDD0B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7" w:type="pct"/>
            <w:vAlign w:val="center"/>
          </w:tcPr>
          <w:p w14:paraId="79559350">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234</w:t>
            </w:r>
          </w:p>
        </w:tc>
        <w:tc>
          <w:tcPr>
            <w:tcW w:w="677" w:type="pct"/>
            <w:vAlign w:val="center"/>
          </w:tcPr>
          <w:p w14:paraId="21A69E9B">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173</w:t>
            </w:r>
          </w:p>
        </w:tc>
        <w:tc>
          <w:tcPr>
            <w:tcW w:w="2698" w:type="pct"/>
            <w:vAlign w:val="center"/>
          </w:tcPr>
          <w:p w14:paraId="11BB09DE">
            <w:pPr>
              <w:widowControl/>
              <w:spacing w:line="360" w:lineRule="auto"/>
              <w:jc w:val="left"/>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173 湛河北路绿园西街交叉口</w:t>
            </w:r>
          </w:p>
        </w:tc>
        <w:tc>
          <w:tcPr>
            <w:tcW w:w="1216" w:type="pct"/>
            <w:vAlign w:val="center"/>
          </w:tcPr>
          <w:p w14:paraId="4B070B75">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新华区-&gt;湛河北路</w:t>
            </w:r>
          </w:p>
        </w:tc>
      </w:tr>
      <w:tr w14:paraId="1562C8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7" w:type="pct"/>
            <w:vAlign w:val="center"/>
          </w:tcPr>
          <w:p w14:paraId="1C859DA8">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235</w:t>
            </w:r>
          </w:p>
        </w:tc>
        <w:tc>
          <w:tcPr>
            <w:tcW w:w="677" w:type="pct"/>
            <w:vAlign w:val="center"/>
          </w:tcPr>
          <w:p w14:paraId="2B285FAF">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196</w:t>
            </w:r>
          </w:p>
        </w:tc>
        <w:tc>
          <w:tcPr>
            <w:tcW w:w="2698" w:type="pct"/>
            <w:vAlign w:val="center"/>
          </w:tcPr>
          <w:p w14:paraId="7819063E">
            <w:pPr>
              <w:widowControl/>
              <w:spacing w:line="360" w:lineRule="auto"/>
              <w:jc w:val="left"/>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196 凯撒购物中心南人行道中口</w:t>
            </w:r>
          </w:p>
        </w:tc>
        <w:tc>
          <w:tcPr>
            <w:tcW w:w="1216" w:type="pct"/>
            <w:vAlign w:val="center"/>
          </w:tcPr>
          <w:p w14:paraId="493F1A73">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新华区-&gt;凯撒商场</w:t>
            </w:r>
          </w:p>
        </w:tc>
      </w:tr>
      <w:tr w14:paraId="401DF6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7" w:type="pct"/>
            <w:vAlign w:val="center"/>
          </w:tcPr>
          <w:p w14:paraId="5E6A60D0">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236</w:t>
            </w:r>
          </w:p>
        </w:tc>
        <w:tc>
          <w:tcPr>
            <w:tcW w:w="677" w:type="pct"/>
            <w:vAlign w:val="center"/>
          </w:tcPr>
          <w:p w14:paraId="7AFD0B7D">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257</w:t>
            </w:r>
          </w:p>
        </w:tc>
        <w:tc>
          <w:tcPr>
            <w:tcW w:w="2698" w:type="pct"/>
            <w:vAlign w:val="center"/>
          </w:tcPr>
          <w:p w14:paraId="3A430D27">
            <w:pPr>
              <w:widowControl/>
              <w:spacing w:line="360" w:lineRule="auto"/>
              <w:jc w:val="left"/>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257 光明路南段道口烧鸡店门口</w:t>
            </w:r>
          </w:p>
        </w:tc>
        <w:tc>
          <w:tcPr>
            <w:tcW w:w="1216" w:type="pct"/>
            <w:vAlign w:val="center"/>
          </w:tcPr>
          <w:p w14:paraId="348B7358">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新华区-&gt;光明路</w:t>
            </w:r>
          </w:p>
        </w:tc>
      </w:tr>
      <w:tr w14:paraId="7CF60F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7" w:type="pct"/>
            <w:vAlign w:val="center"/>
          </w:tcPr>
          <w:p w14:paraId="4C907C08">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237</w:t>
            </w:r>
          </w:p>
        </w:tc>
        <w:tc>
          <w:tcPr>
            <w:tcW w:w="677" w:type="pct"/>
            <w:vAlign w:val="center"/>
          </w:tcPr>
          <w:p w14:paraId="6797F4B4">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186</w:t>
            </w:r>
          </w:p>
        </w:tc>
        <w:tc>
          <w:tcPr>
            <w:tcW w:w="2698" w:type="pct"/>
            <w:vAlign w:val="center"/>
          </w:tcPr>
          <w:p w14:paraId="66691763">
            <w:pPr>
              <w:widowControl/>
              <w:spacing w:line="360" w:lineRule="auto"/>
              <w:jc w:val="left"/>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186 开源路丹尼斯百货对面</w:t>
            </w:r>
          </w:p>
        </w:tc>
        <w:tc>
          <w:tcPr>
            <w:tcW w:w="1216" w:type="pct"/>
            <w:vAlign w:val="center"/>
          </w:tcPr>
          <w:p w14:paraId="7435B868">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新华区-&gt;开源路</w:t>
            </w:r>
          </w:p>
        </w:tc>
      </w:tr>
      <w:tr w14:paraId="603317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7" w:type="pct"/>
            <w:vAlign w:val="center"/>
          </w:tcPr>
          <w:p w14:paraId="6863A55D">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238</w:t>
            </w:r>
          </w:p>
        </w:tc>
        <w:tc>
          <w:tcPr>
            <w:tcW w:w="677" w:type="pct"/>
            <w:vAlign w:val="center"/>
          </w:tcPr>
          <w:p w14:paraId="067B8F5C">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160</w:t>
            </w:r>
          </w:p>
        </w:tc>
        <w:tc>
          <w:tcPr>
            <w:tcW w:w="2698" w:type="pct"/>
            <w:vAlign w:val="center"/>
          </w:tcPr>
          <w:p w14:paraId="7EC2B371">
            <w:pPr>
              <w:widowControl/>
              <w:spacing w:line="360" w:lineRule="auto"/>
              <w:jc w:val="left"/>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160 开源路建设路口北</w:t>
            </w:r>
          </w:p>
        </w:tc>
        <w:tc>
          <w:tcPr>
            <w:tcW w:w="1216" w:type="pct"/>
            <w:vAlign w:val="center"/>
          </w:tcPr>
          <w:p w14:paraId="6896D72C">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新华区-&gt;开源路</w:t>
            </w:r>
          </w:p>
        </w:tc>
      </w:tr>
      <w:tr w14:paraId="33EDD2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7" w:type="pct"/>
            <w:vAlign w:val="center"/>
          </w:tcPr>
          <w:p w14:paraId="7972AEA9">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239</w:t>
            </w:r>
          </w:p>
        </w:tc>
        <w:tc>
          <w:tcPr>
            <w:tcW w:w="677" w:type="pct"/>
            <w:vAlign w:val="center"/>
          </w:tcPr>
          <w:p w14:paraId="17CB5C52">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190</w:t>
            </w:r>
          </w:p>
        </w:tc>
        <w:tc>
          <w:tcPr>
            <w:tcW w:w="2698" w:type="pct"/>
            <w:vAlign w:val="center"/>
          </w:tcPr>
          <w:p w14:paraId="0393C151">
            <w:pPr>
              <w:widowControl/>
              <w:spacing w:line="360" w:lineRule="auto"/>
              <w:jc w:val="left"/>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190 凯撒购物中心北西门</w:t>
            </w:r>
          </w:p>
        </w:tc>
        <w:tc>
          <w:tcPr>
            <w:tcW w:w="1216" w:type="pct"/>
            <w:vAlign w:val="center"/>
          </w:tcPr>
          <w:p w14:paraId="012BE1CD">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新华区-&gt;凯撒商场</w:t>
            </w:r>
          </w:p>
        </w:tc>
      </w:tr>
      <w:tr w14:paraId="6E03FF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7" w:type="pct"/>
            <w:vAlign w:val="center"/>
          </w:tcPr>
          <w:p w14:paraId="2D32ED98">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240</w:t>
            </w:r>
          </w:p>
        </w:tc>
        <w:tc>
          <w:tcPr>
            <w:tcW w:w="677" w:type="pct"/>
            <w:vAlign w:val="center"/>
          </w:tcPr>
          <w:p w14:paraId="288935A5">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127</w:t>
            </w:r>
          </w:p>
        </w:tc>
        <w:tc>
          <w:tcPr>
            <w:tcW w:w="2698" w:type="pct"/>
            <w:vAlign w:val="center"/>
          </w:tcPr>
          <w:p w14:paraId="44130D40">
            <w:pPr>
              <w:widowControl/>
              <w:spacing w:line="360" w:lineRule="auto"/>
              <w:jc w:val="left"/>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127 中兴路建设路微卡口3</w:t>
            </w:r>
          </w:p>
        </w:tc>
        <w:tc>
          <w:tcPr>
            <w:tcW w:w="1216" w:type="pct"/>
            <w:vAlign w:val="center"/>
          </w:tcPr>
          <w:p w14:paraId="37175148">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新华区-&gt;凯撒商场</w:t>
            </w:r>
          </w:p>
        </w:tc>
      </w:tr>
      <w:tr w14:paraId="6E53B6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7" w:type="pct"/>
            <w:vAlign w:val="center"/>
          </w:tcPr>
          <w:p w14:paraId="70C54DFF">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241</w:t>
            </w:r>
          </w:p>
        </w:tc>
        <w:tc>
          <w:tcPr>
            <w:tcW w:w="677" w:type="pct"/>
            <w:vAlign w:val="center"/>
          </w:tcPr>
          <w:p w14:paraId="7C2F6F2F">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126</w:t>
            </w:r>
          </w:p>
        </w:tc>
        <w:tc>
          <w:tcPr>
            <w:tcW w:w="2698" w:type="pct"/>
            <w:vAlign w:val="center"/>
          </w:tcPr>
          <w:p w14:paraId="7744EF01">
            <w:pPr>
              <w:widowControl/>
              <w:spacing w:line="360" w:lineRule="auto"/>
              <w:jc w:val="left"/>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126 中兴路建设路路口</w:t>
            </w:r>
          </w:p>
        </w:tc>
        <w:tc>
          <w:tcPr>
            <w:tcW w:w="1216" w:type="pct"/>
            <w:vAlign w:val="center"/>
          </w:tcPr>
          <w:p w14:paraId="5AA1E485">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新华区-&gt;联盟路</w:t>
            </w:r>
          </w:p>
        </w:tc>
      </w:tr>
      <w:tr w14:paraId="3BFC3E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7" w:type="pct"/>
            <w:vAlign w:val="center"/>
          </w:tcPr>
          <w:p w14:paraId="5FFF1709">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242</w:t>
            </w:r>
          </w:p>
        </w:tc>
        <w:tc>
          <w:tcPr>
            <w:tcW w:w="677" w:type="pct"/>
            <w:vAlign w:val="center"/>
          </w:tcPr>
          <w:p w14:paraId="5DD159A8">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114</w:t>
            </w:r>
          </w:p>
        </w:tc>
        <w:tc>
          <w:tcPr>
            <w:tcW w:w="2698" w:type="pct"/>
            <w:vAlign w:val="center"/>
          </w:tcPr>
          <w:p w14:paraId="18331D87">
            <w:pPr>
              <w:widowControl/>
              <w:spacing w:line="360" w:lineRule="auto"/>
              <w:jc w:val="left"/>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114 中兴路双丰百货南</w:t>
            </w:r>
          </w:p>
        </w:tc>
        <w:tc>
          <w:tcPr>
            <w:tcW w:w="1216" w:type="pct"/>
            <w:vAlign w:val="center"/>
          </w:tcPr>
          <w:p w14:paraId="5D0035BA">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新华区-&gt;体育路</w:t>
            </w:r>
          </w:p>
        </w:tc>
      </w:tr>
      <w:tr w14:paraId="6A5A2A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7" w:type="pct"/>
            <w:vAlign w:val="center"/>
          </w:tcPr>
          <w:p w14:paraId="706E1CE2">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243</w:t>
            </w:r>
          </w:p>
        </w:tc>
        <w:tc>
          <w:tcPr>
            <w:tcW w:w="677" w:type="pct"/>
            <w:vAlign w:val="center"/>
          </w:tcPr>
          <w:p w14:paraId="7010C79D">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93</w:t>
            </w:r>
          </w:p>
        </w:tc>
        <w:tc>
          <w:tcPr>
            <w:tcW w:w="2698" w:type="pct"/>
            <w:vAlign w:val="center"/>
          </w:tcPr>
          <w:p w14:paraId="4FAF2A5D">
            <w:pPr>
              <w:widowControl/>
              <w:spacing w:line="360" w:lineRule="auto"/>
              <w:jc w:val="left"/>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093 中兴路市中医医院路口</w:t>
            </w:r>
          </w:p>
        </w:tc>
        <w:tc>
          <w:tcPr>
            <w:tcW w:w="1216" w:type="pct"/>
            <w:vAlign w:val="center"/>
          </w:tcPr>
          <w:p w14:paraId="7D67FC22">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新华区-&gt;中兴路</w:t>
            </w:r>
          </w:p>
        </w:tc>
      </w:tr>
      <w:tr w14:paraId="4CB3E3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7" w:type="pct"/>
            <w:vAlign w:val="center"/>
          </w:tcPr>
          <w:p w14:paraId="7A717CDD">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244</w:t>
            </w:r>
          </w:p>
        </w:tc>
        <w:tc>
          <w:tcPr>
            <w:tcW w:w="677" w:type="pct"/>
            <w:vAlign w:val="center"/>
          </w:tcPr>
          <w:p w14:paraId="03D36506">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149</w:t>
            </w:r>
          </w:p>
        </w:tc>
        <w:tc>
          <w:tcPr>
            <w:tcW w:w="2698" w:type="pct"/>
            <w:vAlign w:val="center"/>
          </w:tcPr>
          <w:p w14:paraId="67F1ED5E">
            <w:pPr>
              <w:widowControl/>
              <w:spacing w:line="360" w:lineRule="auto"/>
              <w:jc w:val="left"/>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149 中兴路中兴铭座</w:t>
            </w:r>
          </w:p>
        </w:tc>
        <w:tc>
          <w:tcPr>
            <w:tcW w:w="1216" w:type="pct"/>
            <w:vAlign w:val="center"/>
          </w:tcPr>
          <w:p w14:paraId="1E328B6C">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新华区-&gt;中兴路</w:t>
            </w:r>
          </w:p>
        </w:tc>
      </w:tr>
      <w:tr w14:paraId="736461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7" w:type="pct"/>
            <w:vAlign w:val="center"/>
          </w:tcPr>
          <w:p w14:paraId="6693F661">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245</w:t>
            </w:r>
          </w:p>
        </w:tc>
        <w:tc>
          <w:tcPr>
            <w:tcW w:w="677" w:type="pct"/>
            <w:vAlign w:val="center"/>
          </w:tcPr>
          <w:p w14:paraId="53174EFE">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w:t>
            </w:r>
          </w:p>
        </w:tc>
        <w:tc>
          <w:tcPr>
            <w:tcW w:w="2698" w:type="pct"/>
            <w:vAlign w:val="center"/>
          </w:tcPr>
          <w:p w14:paraId="0FC60ECC">
            <w:pPr>
              <w:widowControl/>
              <w:spacing w:line="360" w:lineRule="auto"/>
              <w:jc w:val="left"/>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中兴路苏宁电器 枪</w:t>
            </w:r>
          </w:p>
        </w:tc>
        <w:tc>
          <w:tcPr>
            <w:tcW w:w="1216" w:type="pct"/>
            <w:vAlign w:val="center"/>
          </w:tcPr>
          <w:p w14:paraId="5E860B30">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新华区-&gt;中兴路</w:t>
            </w:r>
          </w:p>
        </w:tc>
      </w:tr>
      <w:tr w14:paraId="291BAA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7" w:type="pct"/>
            <w:vAlign w:val="center"/>
          </w:tcPr>
          <w:p w14:paraId="1E9471B7">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246</w:t>
            </w:r>
          </w:p>
        </w:tc>
        <w:tc>
          <w:tcPr>
            <w:tcW w:w="677" w:type="pct"/>
            <w:vAlign w:val="center"/>
          </w:tcPr>
          <w:p w14:paraId="6DD49BD6">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w:t>
            </w:r>
          </w:p>
        </w:tc>
        <w:tc>
          <w:tcPr>
            <w:tcW w:w="2698" w:type="pct"/>
            <w:vAlign w:val="center"/>
          </w:tcPr>
          <w:p w14:paraId="639B691F">
            <w:pPr>
              <w:widowControl/>
              <w:spacing w:line="360" w:lineRule="auto"/>
              <w:jc w:val="left"/>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中兴路苏宁电器 球</w:t>
            </w:r>
          </w:p>
        </w:tc>
        <w:tc>
          <w:tcPr>
            <w:tcW w:w="1216" w:type="pct"/>
            <w:vAlign w:val="center"/>
          </w:tcPr>
          <w:p w14:paraId="63564E7E">
            <w:pPr>
              <w:widowControl/>
              <w:spacing w:line="360" w:lineRule="auto"/>
              <w:jc w:val="center"/>
              <w:textAlignment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kern w:val="0"/>
                <w:sz w:val="21"/>
                <w:szCs w:val="21"/>
                <w:highlight w:val="none"/>
                <w:lang w:bidi="ar"/>
              </w:rPr>
              <w:t>新华区-&gt;中兴路</w:t>
            </w:r>
          </w:p>
        </w:tc>
      </w:tr>
    </w:tbl>
    <w:p w14:paraId="64AE6451">
      <w:pPr>
        <w:rPr>
          <w:rFonts w:hint="eastAsia" w:ascii="宋体" w:hAnsi="宋体" w:eastAsia="宋体" w:cs="宋体"/>
          <w:b/>
          <w:color w:val="000000" w:themeColor="text1"/>
          <w:sz w:val="32"/>
          <w:highlight w:val="none"/>
        </w:rPr>
      </w:pPr>
      <w:r>
        <w:rPr>
          <w:rFonts w:hint="eastAsia" w:ascii="宋体" w:hAnsi="宋体" w:eastAsia="宋体" w:cs="宋体"/>
          <w:b/>
          <w:color w:val="000000" w:themeColor="text1"/>
          <w:sz w:val="32"/>
          <w:highlight w:val="none"/>
        </w:rPr>
        <w:br w:type="page"/>
      </w:r>
    </w:p>
    <w:p w14:paraId="7E5D3106">
      <w:pPr>
        <w:jc w:val="center"/>
        <w:outlineLvl w:val="0"/>
        <w:rPr>
          <w:rFonts w:hint="eastAsia" w:ascii="宋体" w:hAnsi="宋体" w:eastAsia="宋体" w:cs="宋体"/>
          <w:b/>
          <w:color w:val="000000" w:themeColor="text1"/>
          <w:sz w:val="32"/>
          <w:highlight w:val="none"/>
        </w:rPr>
      </w:pPr>
      <w:bookmarkStart w:id="381" w:name="_Toc12688"/>
      <w:r>
        <w:rPr>
          <w:rFonts w:hint="eastAsia" w:ascii="宋体" w:hAnsi="宋体" w:eastAsia="宋体" w:cs="宋体"/>
          <w:b/>
          <w:color w:val="000000" w:themeColor="text1"/>
          <w:sz w:val="32"/>
          <w:highlight w:val="none"/>
        </w:rPr>
        <w:t>第六章  响应文件格式</w:t>
      </w:r>
      <w:bookmarkEnd w:id="378"/>
      <w:bookmarkEnd w:id="379"/>
      <w:bookmarkEnd w:id="381"/>
    </w:p>
    <w:p w14:paraId="7954E7CA">
      <w:pPr>
        <w:jc w:val="center"/>
        <w:rPr>
          <w:rFonts w:hint="eastAsia" w:ascii="宋体" w:hAnsi="宋体" w:eastAsia="宋体" w:cs="宋体"/>
          <w:color w:val="000000" w:themeColor="text1"/>
          <w:sz w:val="32"/>
          <w:szCs w:val="32"/>
          <w:highlight w:val="none"/>
        </w:rPr>
      </w:pPr>
    </w:p>
    <w:p w14:paraId="14DB8CF0">
      <w:pPr>
        <w:jc w:val="center"/>
        <w:rPr>
          <w:rFonts w:hint="eastAsia" w:ascii="宋体" w:hAnsi="宋体" w:eastAsia="宋体" w:cs="宋体"/>
          <w:color w:val="000000" w:themeColor="text1"/>
          <w:sz w:val="32"/>
          <w:szCs w:val="32"/>
          <w:highlight w:val="none"/>
        </w:rPr>
      </w:pPr>
    </w:p>
    <w:p w14:paraId="0CA773E7">
      <w:pPr>
        <w:jc w:val="center"/>
        <w:rPr>
          <w:rFonts w:hint="eastAsia" w:ascii="宋体" w:hAnsi="宋体" w:eastAsia="宋体" w:cs="宋体"/>
          <w:color w:val="000000" w:themeColor="text1"/>
          <w:sz w:val="28"/>
          <w:szCs w:val="28"/>
          <w:highlight w:val="none"/>
        </w:rPr>
      </w:pPr>
      <w:r>
        <w:rPr>
          <w:rFonts w:hint="eastAsia" w:ascii="宋体" w:hAnsi="宋体" w:eastAsia="宋体" w:cs="宋体"/>
          <w:color w:val="000000" w:themeColor="text1"/>
          <w:sz w:val="32"/>
          <w:szCs w:val="32"/>
          <w:highlight w:val="none"/>
          <w:u w:val="single"/>
        </w:rPr>
        <w:t xml:space="preserve">                           </w:t>
      </w:r>
      <w:r>
        <w:rPr>
          <w:rFonts w:hint="eastAsia" w:ascii="宋体" w:hAnsi="宋体" w:eastAsia="宋体" w:cs="宋体"/>
          <w:color w:val="000000" w:themeColor="text1"/>
          <w:sz w:val="28"/>
          <w:szCs w:val="28"/>
          <w:highlight w:val="none"/>
        </w:rPr>
        <w:t>（项目名称）</w:t>
      </w:r>
    </w:p>
    <w:p w14:paraId="07F1052D">
      <w:pPr>
        <w:spacing w:before="326" w:beforeLines="100"/>
        <w:jc w:val="center"/>
        <w:rPr>
          <w:rFonts w:hint="eastAsia" w:ascii="宋体" w:hAnsi="宋体" w:eastAsia="宋体" w:cs="宋体"/>
          <w:color w:val="000000" w:themeColor="text1"/>
          <w:sz w:val="44"/>
          <w:szCs w:val="44"/>
          <w:highlight w:val="none"/>
        </w:rPr>
      </w:pPr>
      <w:r>
        <w:rPr>
          <w:rFonts w:hint="eastAsia" w:ascii="宋体" w:hAnsi="宋体" w:eastAsia="宋体" w:cs="宋体"/>
          <w:color w:val="000000" w:themeColor="text1"/>
          <w:sz w:val="44"/>
          <w:szCs w:val="44"/>
          <w:highlight w:val="none"/>
        </w:rPr>
        <w:t>磋 商 响 应 文 件</w:t>
      </w:r>
    </w:p>
    <w:p w14:paraId="41E54EDD">
      <w:pPr>
        <w:pStyle w:val="30"/>
        <w:ind w:firstLine="210"/>
        <w:rPr>
          <w:rFonts w:hint="eastAsia" w:ascii="宋体" w:hAnsi="宋体" w:eastAsia="宋体" w:cs="宋体"/>
          <w:color w:val="000000" w:themeColor="text1"/>
          <w:highlight w:val="none"/>
        </w:rPr>
      </w:pPr>
    </w:p>
    <w:p w14:paraId="4B75C2F1">
      <w:pPr>
        <w:jc w:val="center"/>
        <w:rPr>
          <w:rFonts w:hint="eastAsia" w:ascii="宋体" w:hAnsi="宋体" w:eastAsia="宋体" w:cs="宋体"/>
          <w:color w:val="000000" w:themeColor="text1"/>
          <w:sz w:val="32"/>
          <w:szCs w:val="32"/>
          <w:highlight w:val="none"/>
        </w:rPr>
      </w:pPr>
    </w:p>
    <w:p w14:paraId="5662BD2E">
      <w:pPr>
        <w:rPr>
          <w:rFonts w:hint="eastAsia" w:ascii="宋体" w:hAnsi="宋体" w:eastAsia="宋体" w:cs="宋体"/>
          <w:color w:val="000000" w:themeColor="text1"/>
          <w:sz w:val="32"/>
          <w:szCs w:val="32"/>
          <w:highlight w:val="none"/>
        </w:rPr>
      </w:pPr>
    </w:p>
    <w:p w14:paraId="73D8DA2B">
      <w:pPr>
        <w:jc w:val="center"/>
        <w:rPr>
          <w:rFonts w:hint="eastAsia" w:ascii="宋体" w:hAnsi="宋体" w:eastAsia="宋体" w:cs="宋体"/>
          <w:color w:val="000000" w:themeColor="text1"/>
          <w:sz w:val="32"/>
          <w:szCs w:val="32"/>
          <w:highlight w:val="none"/>
        </w:rPr>
      </w:pPr>
    </w:p>
    <w:p w14:paraId="66E2F84D">
      <w:pPr>
        <w:jc w:val="center"/>
        <w:rPr>
          <w:rFonts w:hint="eastAsia" w:ascii="宋体" w:hAnsi="宋体" w:eastAsia="宋体" w:cs="宋体"/>
          <w:color w:val="000000" w:themeColor="text1"/>
          <w:sz w:val="32"/>
          <w:szCs w:val="32"/>
          <w:highlight w:val="none"/>
        </w:rPr>
      </w:pPr>
    </w:p>
    <w:p w14:paraId="4AF55AA9">
      <w:pPr>
        <w:jc w:val="center"/>
        <w:rPr>
          <w:rFonts w:hint="eastAsia" w:ascii="宋体" w:hAnsi="宋体" w:eastAsia="宋体" w:cs="宋体"/>
          <w:color w:val="000000" w:themeColor="text1"/>
          <w:sz w:val="32"/>
          <w:szCs w:val="32"/>
          <w:highlight w:val="none"/>
        </w:rPr>
      </w:pPr>
    </w:p>
    <w:p w14:paraId="66DDD976">
      <w:pPr>
        <w:jc w:val="center"/>
        <w:rPr>
          <w:rFonts w:hint="eastAsia" w:ascii="宋体" w:hAnsi="宋体" w:eastAsia="宋体" w:cs="宋体"/>
          <w:color w:val="000000" w:themeColor="text1"/>
          <w:sz w:val="32"/>
          <w:szCs w:val="32"/>
          <w:highlight w:val="none"/>
        </w:rPr>
      </w:pPr>
    </w:p>
    <w:p w14:paraId="51D193CE">
      <w:pPr>
        <w:jc w:val="center"/>
        <w:rPr>
          <w:rFonts w:hint="eastAsia" w:ascii="宋体" w:hAnsi="宋体" w:eastAsia="宋体" w:cs="宋体"/>
          <w:color w:val="000000" w:themeColor="text1"/>
          <w:sz w:val="32"/>
          <w:szCs w:val="32"/>
          <w:highlight w:val="none"/>
        </w:rPr>
      </w:pPr>
    </w:p>
    <w:p w14:paraId="11D9CBA0">
      <w:pPr>
        <w:jc w:val="center"/>
        <w:rPr>
          <w:rFonts w:hint="eastAsia" w:ascii="宋体" w:hAnsi="宋体" w:eastAsia="宋体" w:cs="宋体"/>
          <w:color w:val="000000" w:themeColor="text1"/>
          <w:sz w:val="32"/>
          <w:szCs w:val="32"/>
          <w:highlight w:val="none"/>
        </w:rPr>
      </w:pPr>
    </w:p>
    <w:p w14:paraId="2A81F785">
      <w:pPr>
        <w:jc w:val="center"/>
        <w:rPr>
          <w:rFonts w:hint="eastAsia" w:ascii="宋体" w:hAnsi="宋体" w:eastAsia="宋体" w:cs="宋体"/>
          <w:color w:val="000000" w:themeColor="text1"/>
          <w:sz w:val="32"/>
          <w:szCs w:val="32"/>
          <w:highlight w:val="none"/>
        </w:rPr>
      </w:pPr>
    </w:p>
    <w:p w14:paraId="2E5BDA72">
      <w:pPr>
        <w:rPr>
          <w:rFonts w:hint="eastAsia" w:ascii="宋体" w:hAnsi="宋体" w:eastAsia="宋体" w:cs="宋体"/>
          <w:color w:val="000000" w:themeColor="text1"/>
          <w:sz w:val="32"/>
          <w:szCs w:val="32"/>
          <w:highlight w:val="none"/>
        </w:rPr>
      </w:pPr>
    </w:p>
    <w:p w14:paraId="69A2781D">
      <w:pPr>
        <w:spacing w:line="360" w:lineRule="auto"/>
        <w:jc w:val="center"/>
        <w:rPr>
          <w:rFonts w:hint="eastAsia"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 xml:space="preserve"> 供应商：</w:t>
      </w:r>
      <w:r>
        <w:rPr>
          <w:rFonts w:hint="eastAsia" w:ascii="宋体" w:hAnsi="宋体" w:eastAsia="宋体" w:cs="宋体"/>
          <w:color w:val="000000" w:themeColor="text1"/>
          <w:sz w:val="28"/>
          <w:szCs w:val="28"/>
          <w:highlight w:val="none"/>
          <w:u w:val="single"/>
        </w:rPr>
        <w:t xml:space="preserve">                               </w:t>
      </w:r>
      <w:r>
        <w:rPr>
          <w:rFonts w:hint="eastAsia" w:ascii="宋体" w:hAnsi="宋体" w:eastAsia="宋体" w:cs="宋体"/>
          <w:color w:val="000000" w:themeColor="text1"/>
          <w:sz w:val="28"/>
          <w:szCs w:val="28"/>
          <w:highlight w:val="none"/>
        </w:rPr>
        <w:t>（电子签章）</w:t>
      </w:r>
    </w:p>
    <w:p w14:paraId="256D554B">
      <w:pPr>
        <w:spacing w:line="360" w:lineRule="auto"/>
        <w:jc w:val="center"/>
        <w:rPr>
          <w:rFonts w:hint="eastAsia"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 xml:space="preserve">  法定代表人</w:t>
      </w:r>
      <w:r>
        <w:rPr>
          <w:rFonts w:hint="eastAsia" w:ascii="宋体" w:hAnsi="宋体" w:eastAsia="宋体" w:cs="宋体"/>
          <w:color w:val="000000" w:themeColor="text1"/>
          <w:sz w:val="28"/>
          <w:szCs w:val="28"/>
          <w:highlight w:val="none"/>
          <w:lang w:eastAsia="zh-CN"/>
        </w:rPr>
        <w:t>（</w:t>
      </w:r>
      <w:r>
        <w:rPr>
          <w:rFonts w:hint="eastAsia" w:ascii="宋体" w:hAnsi="宋体" w:eastAsia="宋体" w:cs="宋体"/>
          <w:color w:val="000000" w:themeColor="text1"/>
          <w:sz w:val="28"/>
          <w:szCs w:val="28"/>
          <w:highlight w:val="none"/>
          <w:lang w:val="en-US" w:eastAsia="zh-CN"/>
        </w:rPr>
        <w:t>负责人</w:t>
      </w:r>
      <w:r>
        <w:rPr>
          <w:rFonts w:hint="eastAsia" w:ascii="宋体" w:hAnsi="宋体" w:eastAsia="宋体" w:cs="宋体"/>
          <w:color w:val="000000" w:themeColor="text1"/>
          <w:sz w:val="28"/>
          <w:szCs w:val="28"/>
          <w:highlight w:val="none"/>
          <w:lang w:eastAsia="zh-CN"/>
        </w:rPr>
        <w:t>）</w:t>
      </w:r>
      <w:r>
        <w:rPr>
          <w:rFonts w:hint="eastAsia" w:ascii="宋体" w:hAnsi="宋体" w:eastAsia="宋体" w:cs="宋体"/>
          <w:color w:val="000000" w:themeColor="text1"/>
          <w:sz w:val="28"/>
          <w:szCs w:val="28"/>
          <w:highlight w:val="none"/>
        </w:rPr>
        <w:t>或其委托代理人：</w:t>
      </w:r>
      <w:r>
        <w:rPr>
          <w:rFonts w:hint="eastAsia" w:ascii="宋体" w:hAnsi="宋体" w:eastAsia="宋体" w:cs="宋体"/>
          <w:color w:val="000000" w:themeColor="text1"/>
          <w:sz w:val="28"/>
          <w:szCs w:val="28"/>
          <w:highlight w:val="none"/>
          <w:u w:val="single"/>
        </w:rPr>
        <w:t xml:space="preserve">              </w:t>
      </w:r>
      <w:r>
        <w:rPr>
          <w:rFonts w:hint="eastAsia" w:ascii="宋体" w:hAnsi="宋体" w:eastAsia="宋体" w:cs="宋体"/>
          <w:color w:val="000000" w:themeColor="text1"/>
          <w:sz w:val="28"/>
          <w:szCs w:val="28"/>
          <w:highlight w:val="none"/>
        </w:rPr>
        <w:t>（电子签章）</w:t>
      </w:r>
    </w:p>
    <w:p w14:paraId="69DEEE3B">
      <w:pPr>
        <w:jc w:val="center"/>
        <w:rPr>
          <w:rFonts w:hint="eastAsia" w:ascii="宋体" w:hAnsi="宋体" w:eastAsia="宋体" w:cs="宋体"/>
          <w:color w:val="000000" w:themeColor="text1"/>
          <w:sz w:val="28"/>
          <w:szCs w:val="28"/>
          <w:highlight w:val="none"/>
        </w:rPr>
      </w:pPr>
    </w:p>
    <w:p w14:paraId="371B6B95">
      <w:pPr>
        <w:jc w:val="center"/>
        <w:rPr>
          <w:rFonts w:hint="eastAsia"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u w:val="single"/>
        </w:rPr>
        <w:t xml:space="preserve">         </w:t>
      </w:r>
      <w:r>
        <w:rPr>
          <w:rFonts w:hint="eastAsia" w:ascii="宋体" w:hAnsi="宋体" w:eastAsia="宋体" w:cs="宋体"/>
          <w:color w:val="000000" w:themeColor="text1"/>
          <w:sz w:val="28"/>
          <w:szCs w:val="28"/>
          <w:highlight w:val="none"/>
        </w:rPr>
        <w:t>年</w:t>
      </w:r>
      <w:r>
        <w:rPr>
          <w:rFonts w:hint="eastAsia" w:ascii="宋体" w:hAnsi="宋体" w:eastAsia="宋体" w:cs="宋体"/>
          <w:color w:val="000000" w:themeColor="text1"/>
          <w:sz w:val="28"/>
          <w:szCs w:val="28"/>
          <w:highlight w:val="none"/>
          <w:u w:val="single"/>
        </w:rPr>
        <w:t xml:space="preserve">         </w:t>
      </w:r>
      <w:r>
        <w:rPr>
          <w:rFonts w:hint="eastAsia" w:ascii="宋体" w:hAnsi="宋体" w:eastAsia="宋体" w:cs="宋体"/>
          <w:color w:val="000000" w:themeColor="text1"/>
          <w:sz w:val="28"/>
          <w:szCs w:val="28"/>
          <w:highlight w:val="none"/>
        </w:rPr>
        <w:t>月</w:t>
      </w:r>
      <w:r>
        <w:rPr>
          <w:rFonts w:hint="eastAsia" w:ascii="宋体" w:hAnsi="宋体" w:eastAsia="宋体" w:cs="宋体"/>
          <w:color w:val="000000" w:themeColor="text1"/>
          <w:sz w:val="28"/>
          <w:szCs w:val="28"/>
          <w:highlight w:val="none"/>
          <w:u w:val="single"/>
        </w:rPr>
        <w:t xml:space="preserve">         </w:t>
      </w:r>
      <w:r>
        <w:rPr>
          <w:rFonts w:hint="eastAsia" w:ascii="宋体" w:hAnsi="宋体" w:eastAsia="宋体" w:cs="宋体"/>
          <w:color w:val="000000" w:themeColor="text1"/>
          <w:sz w:val="28"/>
          <w:szCs w:val="28"/>
          <w:highlight w:val="none"/>
        </w:rPr>
        <w:t>日</w:t>
      </w:r>
    </w:p>
    <w:p w14:paraId="61A60595">
      <w:pPr>
        <w:spacing w:before="326" w:beforeLines="100" w:after="326" w:afterLines="100"/>
        <w:jc w:val="center"/>
        <w:rPr>
          <w:rFonts w:hint="eastAsia" w:ascii="宋体" w:hAnsi="宋体" w:eastAsia="宋体" w:cs="宋体"/>
          <w:color w:val="000000" w:themeColor="text1"/>
          <w:sz w:val="36"/>
          <w:szCs w:val="36"/>
          <w:highlight w:val="none"/>
        </w:rPr>
      </w:pPr>
      <w:r>
        <w:rPr>
          <w:rFonts w:hint="eastAsia" w:ascii="宋体" w:hAnsi="宋体" w:eastAsia="宋体" w:cs="宋体"/>
          <w:color w:val="000000" w:themeColor="text1"/>
          <w:sz w:val="28"/>
          <w:szCs w:val="28"/>
          <w:highlight w:val="none"/>
        </w:rPr>
        <w:br w:type="page"/>
      </w:r>
      <w:r>
        <w:rPr>
          <w:rFonts w:hint="eastAsia" w:ascii="宋体" w:hAnsi="宋体" w:eastAsia="宋体" w:cs="宋体"/>
          <w:color w:val="000000" w:themeColor="text1"/>
          <w:sz w:val="36"/>
          <w:szCs w:val="36"/>
          <w:highlight w:val="none"/>
        </w:rPr>
        <w:t>目    录</w:t>
      </w:r>
    </w:p>
    <w:p w14:paraId="3CA89E27">
      <w:pPr>
        <w:spacing w:line="600" w:lineRule="exact"/>
        <w:jc w:val="center"/>
        <w:rPr>
          <w:rFonts w:hint="eastAsia" w:ascii="宋体" w:hAnsi="宋体" w:eastAsia="宋体" w:cs="宋体"/>
          <w:color w:val="000000" w:themeColor="text1"/>
          <w:szCs w:val="21"/>
          <w:highlight w:val="none"/>
        </w:rPr>
      </w:pPr>
      <w:bookmarkStart w:id="382" w:name="_Toc356205633"/>
      <w:bookmarkStart w:id="383" w:name="_Toc299523092"/>
      <w:r>
        <w:rPr>
          <w:rFonts w:hint="eastAsia" w:ascii="宋体" w:hAnsi="宋体" w:eastAsia="宋体" w:cs="宋体"/>
          <w:color w:val="000000" w:themeColor="text1"/>
          <w:szCs w:val="21"/>
          <w:highlight w:val="none"/>
        </w:rPr>
        <w:t>（根据响应文件内容自行编制）</w:t>
      </w:r>
    </w:p>
    <w:p w14:paraId="28006177">
      <w:pPr>
        <w:spacing w:line="600" w:lineRule="exact"/>
        <w:rPr>
          <w:rFonts w:hint="eastAsia" w:ascii="宋体" w:hAnsi="宋体" w:eastAsia="宋体" w:cs="宋体"/>
          <w:color w:val="000000" w:themeColor="text1"/>
          <w:szCs w:val="21"/>
          <w:highlight w:val="none"/>
        </w:rPr>
      </w:pPr>
    </w:p>
    <w:p w14:paraId="0E0C4C39">
      <w:pPr>
        <w:spacing w:line="600" w:lineRule="exact"/>
        <w:rPr>
          <w:rFonts w:hint="eastAsia" w:ascii="宋体" w:hAnsi="宋体" w:eastAsia="宋体" w:cs="宋体"/>
          <w:color w:val="000000" w:themeColor="text1"/>
          <w:szCs w:val="21"/>
          <w:highlight w:val="none"/>
        </w:rPr>
      </w:pPr>
    </w:p>
    <w:p w14:paraId="200A5AC7">
      <w:pPr>
        <w:spacing w:line="600" w:lineRule="exact"/>
        <w:rPr>
          <w:rFonts w:hint="eastAsia" w:ascii="宋体" w:hAnsi="宋体" w:eastAsia="宋体" w:cs="宋体"/>
          <w:color w:val="000000" w:themeColor="text1"/>
          <w:szCs w:val="21"/>
          <w:highlight w:val="none"/>
        </w:rPr>
      </w:pPr>
    </w:p>
    <w:p w14:paraId="4D184883">
      <w:pPr>
        <w:spacing w:line="600" w:lineRule="exact"/>
        <w:rPr>
          <w:rFonts w:hint="eastAsia" w:ascii="宋体" w:hAnsi="宋体" w:eastAsia="宋体" w:cs="宋体"/>
          <w:color w:val="000000" w:themeColor="text1"/>
          <w:szCs w:val="21"/>
          <w:highlight w:val="none"/>
        </w:rPr>
      </w:pPr>
    </w:p>
    <w:p w14:paraId="6FF5422D">
      <w:pPr>
        <w:spacing w:line="600" w:lineRule="exact"/>
        <w:rPr>
          <w:rFonts w:hint="eastAsia" w:ascii="宋体" w:hAnsi="宋体" w:eastAsia="宋体" w:cs="宋体"/>
          <w:color w:val="000000" w:themeColor="text1"/>
          <w:szCs w:val="21"/>
          <w:highlight w:val="none"/>
        </w:rPr>
      </w:pPr>
    </w:p>
    <w:p w14:paraId="0E93F49F">
      <w:pPr>
        <w:spacing w:line="600" w:lineRule="exact"/>
        <w:rPr>
          <w:rFonts w:hint="eastAsia" w:ascii="宋体" w:hAnsi="宋体" w:eastAsia="宋体" w:cs="宋体"/>
          <w:color w:val="000000" w:themeColor="text1"/>
          <w:szCs w:val="21"/>
          <w:highlight w:val="none"/>
        </w:rPr>
      </w:pPr>
    </w:p>
    <w:p w14:paraId="535C440A">
      <w:pPr>
        <w:spacing w:line="600" w:lineRule="exact"/>
        <w:rPr>
          <w:rFonts w:hint="eastAsia" w:ascii="宋体" w:hAnsi="宋体" w:eastAsia="宋体" w:cs="宋体"/>
          <w:color w:val="000000" w:themeColor="text1"/>
          <w:szCs w:val="21"/>
          <w:highlight w:val="none"/>
        </w:rPr>
      </w:pPr>
    </w:p>
    <w:p w14:paraId="075AFE85">
      <w:pPr>
        <w:spacing w:line="600" w:lineRule="exact"/>
        <w:rPr>
          <w:rFonts w:hint="eastAsia" w:ascii="宋体" w:hAnsi="宋体" w:eastAsia="宋体" w:cs="宋体"/>
          <w:color w:val="000000" w:themeColor="text1"/>
          <w:szCs w:val="21"/>
          <w:highlight w:val="none"/>
        </w:rPr>
      </w:pPr>
    </w:p>
    <w:p w14:paraId="1D282212">
      <w:pPr>
        <w:pStyle w:val="31"/>
        <w:ind w:left="480"/>
        <w:rPr>
          <w:rFonts w:hint="eastAsia" w:ascii="宋体" w:hAnsi="宋体" w:cs="宋体"/>
          <w:color w:val="000000" w:themeColor="text1"/>
          <w:szCs w:val="21"/>
          <w:highlight w:val="none"/>
        </w:rPr>
      </w:pPr>
    </w:p>
    <w:p w14:paraId="327F9188">
      <w:pPr>
        <w:pStyle w:val="31"/>
        <w:ind w:left="480"/>
        <w:rPr>
          <w:rFonts w:hint="eastAsia" w:ascii="宋体" w:hAnsi="宋体" w:cs="宋体"/>
          <w:color w:val="000000" w:themeColor="text1"/>
          <w:szCs w:val="21"/>
          <w:highlight w:val="none"/>
        </w:rPr>
      </w:pPr>
    </w:p>
    <w:p w14:paraId="622CE6B3">
      <w:pPr>
        <w:pStyle w:val="31"/>
        <w:ind w:left="480"/>
        <w:rPr>
          <w:rFonts w:hint="eastAsia" w:ascii="宋体" w:hAnsi="宋体" w:cs="宋体"/>
          <w:color w:val="000000" w:themeColor="text1"/>
          <w:szCs w:val="21"/>
          <w:highlight w:val="none"/>
        </w:rPr>
      </w:pPr>
    </w:p>
    <w:p w14:paraId="6BF622FF">
      <w:pPr>
        <w:pStyle w:val="31"/>
        <w:ind w:left="480"/>
        <w:rPr>
          <w:rFonts w:hint="eastAsia" w:ascii="宋体" w:hAnsi="宋体" w:cs="宋体"/>
          <w:color w:val="000000" w:themeColor="text1"/>
          <w:szCs w:val="21"/>
          <w:highlight w:val="none"/>
        </w:rPr>
      </w:pPr>
    </w:p>
    <w:p w14:paraId="681C8869">
      <w:pPr>
        <w:pStyle w:val="31"/>
        <w:ind w:left="480"/>
        <w:rPr>
          <w:rFonts w:hint="eastAsia" w:ascii="宋体" w:hAnsi="宋体" w:cs="宋体"/>
          <w:color w:val="000000" w:themeColor="text1"/>
          <w:szCs w:val="21"/>
          <w:highlight w:val="none"/>
        </w:rPr>
      </w:pPr>
    </w:p>
    <w:p w14:paraId="3378A548">
      <w:pPr>
        <w:pStyle w:val="31"/>
        <w:ind w:left="480"/>
        <w:rPr>
          <w:rFonts w:hint="eastAsia" w:ascii="宋体" w:hAnsi="宋体" w:cs="宋体"/>
          <w:color w:val="000000" w:themeColor="text1"/>
          <w:szCs w:val="21"/>
          <w:highlight w:val="none"/>
        </w:rPr>
      </w:pPr>
    </w:p>
    <w:p w14:paraId="3D296066">
      <w:pPr>
        <w:pStyle w:val="31"/>
        <w:ind w:left="480"/>
        <w:rPr>
          <w:rFonts w:hint="eastAsia" w:ascii="宋体" w:hAnsi="宋体" w:cs="宋体"/>
          <w:color w:val="000000" w:themeColor="text1"/>
          <w:szCs w:val="21"/>
          <w:highlight w:val="none"/>
        </w:rPr>
      </w:pPr>
    </w:p>
    <w:p w14:paraId="31DC5173">
      <w:pPr>
        <w:pStyle w:val="31"/>
        <w:ind w:left="480"/>
        <w:rPr>
          <w:rFonts w:hint="eastAsia" w:ascii="宋体" w:hAnsi="宋体" w:cs="宋体"/>
          <w:color w:val="000000" w:themeColor="text1"/>
          <w:szCs w:val="21"/>
          <w:highlight w:val="none"/>
        </w:rPr>
      </w:pPr>
    </w:p>
    <w:p w14:paraId="59AEA418">
      <w:pPr>
        <w:pStyle w:val="31"/>
        <w:ind w:left="480"/>
        <w:rPr>
          <w:rFonts w:hint="eastAsia" w:ascii="宋体" w:hAnsi="宋体" w:cs="宋体"/>
          <w:color w:val="000000" w:themeColor="text1"/>
          <w:szCs w:val="21"/>
          <w:highlight w:val="none"/>
        </w:rPr>
      </w:pPr>
    </w:p>
    <w:p w14:paraId="58B5ABBB">
      <w:pPr>
        <w:pStyle w:val="31"/>
        <w:ind w:left="480"/>
        <w:rPr>
          <w:rFonts w:hint="eastAsia" w:ascii="宋体" w:hAnsi="宋体" w:cs="宋体"/>
          <w:color w:val="000000" w:themeColor="text1"/>
          <w:szCs w:val="21"/>
          <w:highlight w:val="none"/>
        </w:rPr>
      </w:pPr>
    </w:p>
    <w:p w14:paraId="38E62CB2">
      <w:pPr>
        <w:pStyle w:val="31"/>
        <w:ind w:left="480"/>
        <w:rPr>
          <w:rFonts w:hint="eastAsia" w:ascii="宋体" w:hAnsi="宋体" w:cs="宋体"/>
          <w:color w:val="000000" w:themeColor="text1"/>
          <w:szCs w:val="21"/>
          <w:highlight w:val="none"/>
        </w:rPr>
      </w:pPr>
    </w:p>
    <w:p w14:paraId="3C97B786">
      <w:pPr>
        <w:pStyle w:val="31"/>
        <w:ind w:left="480"/>
        <w:rPr>
          <w:rFonts w:hint="eastAsia" w:ascii="宋体" w:hAnsi="宋体" w:cs="宋体"/>
          <w:color w:val="000000" w:themeColor="text1"/>
          <w:szCs w:val="21"/>
          <w:highlight w:val="none"/>
        </w:rPr>
      </w:pPr>
    </w:p>
    <w:p w14:paraId="231E485B">
      <w:pPr>
        <w:spacing w:line="600" w:lineRule="exact"/>
        <w:rPr>
          <w:rFonts w:hint="eastAsia" w:ascii="宋体" w:hAnsi="宋体" w:eastAsia="宋体" w:cs="宋体"/>
          <w:color w:val="000000" w:themeColor="text1"/>
          <w:szCs w:val="21"/>
          <w:highlight w:val="none"/>
        </w:rPr>
      </w:pPr>
    </w:p>
    <w:p w14:paraId="6EFE52BE">
      <w:pPr>
        <w:spacing w:line="600" w:lineRule="exact"/>
        <w:rPr>
          <w:rFonts w:hint="eastAsia" w:ascii="宋体" w:hAnsi="宋体" w:eastAsia="宋体" w:cs="宋体"/>
          <w:color w:val="000000" w:themeColor="text1"/>
          <w:szCs w:val="21"/>
          <w:highlight w:val="none"/>
        </w:rPr>
      </w:pPr>
    </w:p>
    <w:bookmarkEnd w:id="382"/>
    <w:bookmarkEnd w:id="383"/>
    <w:p w14:paraId="649D1F1D">
      <w:pPr>
        <w:spacing w:before="326" w:beforeLines="100" w:after="163" w:afterLines="50"/>
        <w:jc w:val="center"/>
        <w:outlineLvl w:val="1"/>
        <w:rPr>
          <w:rFonts w:hint="eastAsia" w:ascii="宋体" w:hAnsi="宋体" w:eastAsia="宋体" w:cs="宋体"/>
          <w:b/>
          <w:color w:val="000000" w:themeColor="text1"/>
          <w:sz w:val="28"/>
          <w:szCs w:val="28"/>
          <w:highlight w:val="none"/>
        </w:rPr>
      </w:pPr>
      <w:bookmarkStart w:id="384" w:name="_Toc45177867"/>
      <w:bookmarkStart w:id="385" w:name="_Toc30706"/>
      <w:bookmarkStart w:id="386" w:name="_Toc11303"/>
      <w:bookmarkStart w:id="387" w:name="_Toc4493"/>
      <w:r>
        <w:rPr>
          <w:rFonts w:hint="eastAsia" w:ascii="宋体" w:hAnsi="宋体" w:eastAsia="宋体" w:cs="宋体"/>
          <w:b/>
          <w:color w:val="000000" w:themeColor="text1"/>
          <w:sz w:val="28"/>
          <w:szCs w:val="28"/>
          <w:highlight w:val="none"/>
        </w:rPr>
        <w:t>一、</w:t>
      </w:r>
      <w:bookmarkEnd w:id="384"/>
      <w:bookmarkEnd w:id="385"/>
      <w:r>
        <w:rPr>
          <w:rFonts w:hint="eastAsia" w:ascii="宋体" w:hAnsi="宋体" w:eastAsia="宋体" w:cs="宋体"/>
          <w:color w:val="000000" w:themeColor="text1"/>
          <w:highlight w:val="none"/>
        </w:rPr>
        <w:t>磋商承诺书</w:t>
      </w:r>
      <w:bookmarkEnd w:id="386"/>
      <w:bookmarkEnd w:id="387"/>
    </w:p>
    <w:p w14:paraId="7DA55910">
      <w:pPr>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u w:val="single"/>
        </w:rPr>
        <w:tab/>
      </w:r>
      <w:r>
        <w:rPr>
          <w:rFonts w:hint="eastAsia" w:ascii="宋体" w:hAnsi="宋体" w:eastAsia="宋体" w:cs="宋体"/>
          <w:color w:val="000000" w:themeColor="text1"/>
          <w:sz w:val="21"/>
          <w:szCs w:val="21"/>
          <w:highlight w:val="none"/>
          <w:u w:val="single"/>
        </w:rPr>
        <w:t xml:space="preserve">                 </w:t>
      </w:r>
      <w:r>
        <w:rPr>
          <w:rFonts w:hint="eastAsia" w:ascii="宋体" w:hAnsi="宋体" w:eastAsia="宋体" w:cs="宋体"/>
          <w:color w:val="000000" w:themeColor="text1"/>
          <w:sz w:val="21"/>
          <w:szCs w:val="21"/>
          <w:highlight w:val="none"/>
        </w:rPr>
        <w:t>（采购人名称）：</w:t>
      </w:r>
    </w:p>
    <w:p w14:paraId="6E5327DC">
      <w:pPr>
        <w:spacing w:line="360" w:lineRule="auto"/>
        <w:rPr>
          <w:rFonts w:hint="eastAsia" w:ascii="宋体" w:hAnsi="宋体" w:eastAsia="宋体" w:cs="宋体"/>
          <w:color w:val="000000" w:themeColor="text1"/>
          <w:sz w:val="21"/>
          <w:szCs w:val="21"/>
          <w:highlight w:val="none"/>
        </w:rPr>
      </w:pPr>
    </w:p>
    <w:p w14:paraId="24F11D70">
      <w:pPr>
        <w:spacing w:line="360" w:lineRule="auto"/>
        <w:ind w:firstLine="420" w:firstLineChars="200"/>
        <w:rPr>
          <w:rFonts w:hint="eastAsia" w:ascii="宋体" w:hAnsi="宋体" w:eastAsia="宋体" w:cs="宋体"/>
          <w:bCs/>
          <w:color w:val="000000" w:themeColor="text1"/>
          <w:sz w:val="21"/>
          <w:szCs w:val="21"/>
          <w:highlight w:val="none"/>
        </w:rPr>
      </w:pPr>
      <w:r>
        <w:rPr>
          <w:rFonts w:hint="eastAsia" w:ascii="宋体" w:hAnsi="宋体" w:eastAsia="宋体" w:cs="宋体"/>
          <w:color w:val="000000" w:themeColor="text1"/>
          <w:sz w:val="21"/>
          <w:szCs w:val="21"/>
          <w:highlight w:val="none"/>
        </w:rPr>
        <w:t>1.我方已仔细研究了</w:t>
      </w:r>
      <w:r>
        <w:rPr>
          <w:rFonts w:hint="eastAsia" w:ascii="宋体" w:hAnsi="宋体" w:eastAsia="宋体" w:cs="宋体"/>
          <w:color w:val="000000" w:themeColor="text1"/>
          <w:sz w:val="21"/>
          <w:szCs w:val="21"/>
          <w:highlight w:val="none"/>
          <w:u w:val="single"/>
        </w:rPr>
        <w:t xml:space="preserve">                    </w:t>
      </w:r>
      <w:r>
        <w:rPr>
          <w:rFonts w:hint="eastAsia" w:ascii="宋体" w:hAnsi="宋体" w:eastAsia="宋体" w:cs="宋体"/>
          <w:color w:val="000000" w:themeColor="text1"/>
          <w:sz w:val="21"/>
          <w:szCs w:val="21"/>
          <w:highlight w:val="none"/>
        </w:rPr>
        <w:t>（项目名称）的</w:t>
      </w:r>
      <w:r>
        <w:rPr>
          <w:rFonts w:hint="eastAsia" w:ascii="宋体" w:hAnsi="宋体" w:eastAsia="宋体" w:cs="宋体"/>
          <w:bCs/>
          <w:color w:val="000000" w:themeColor="text1"/>
          <w:sz w:val="21"/>
          <w:szCs w:val="21"/>
          <w:highlight w:val="none"/>
        </w:rPr>
        <w:t>竞争性磋商文件</w:t>
      </w:r>
      <w:r>
        <w:rPr>
          <w:rFonts w:hint="eastAsia" w:ascii="宋体" w:hAnsi="宋体" w:eastAsia="宋体" w:cs="宋体"/>
          <w:color w:val="000000" w:themeColor="text1"/>
          <w:sz w:val="21"/>
          <w:szCs w:val="21"/>
          <w:highlight w:val="none"/>
        </w:rPr>
        <w:t>的全部内容，愿意以人民币（大写）</w:t>
      </w:r>
      <w:r>
        <w:rPr>
          <w:rFonts w:hint="eastAsia" w:ascii="宋体" w:hAnsi="宋体" w:eastAsia="宋体" w:cs="宋体"/>
          <w:color w:val="000000" w:themeColor="text1"/>
          <w:sz w:val="21"/>
          <w:szCs w:val="21"/>
          <w:highlight w:val="none"/>
          <w:u w:val="single"/>
        </w:rPr>
        <w:t xml:space="preserve">            </w:t>
      </w:r>
      <w:r>
        <w:rPr>
          <w:rFonts w:hint="eastAsia" w:ascii="宋体" w:hAnsi="宋体" w:eastAsia="宋体" w:cs="宋体"/>
          <w:color w:val="000000" w:themeColor="text1"/>
          <w:sz w:val="21"/>
          <w:szCs w:val="21"/>
          <w:highlight w:val="none"/>
        </w:rPr>
        <w:t>（小写</w:t>
      </w:r>
      <w:r>
        <w:rPr>
          <w:rFonts w:hint="eastAsia" w:ascii="宋体" w:hAnsi="宋体" w:eastAsia="宋体" w:cs="宋体"/>
          <w:color w:val="000000" w:themeColor="text1"/>
          <w:sz w:val="21"/>
          <w:szCs w:val="21"/>
          <w:highlight w:val="none"/>
          <w:u w:val="single"/>
        </w:rPr>
        <w:t xml:space="preserve">            </w:t>
      </w:r>
      <w:r>
        <w:rPr>
          <w:rFonts w:hint="eastAsia" w:ascii="宋体" w:hAnsi="宋体" w:eastAsia="宋体" w:cs="宋体"/>
          <w:color w:val="000000" w:themeColor="text1"/>
          <w:sz w:val="21"/>
          <w:szCs w:val="21"/>
          <w:highlight w:val="none"/>
        </w:rPr>
        <w:t>）</w:t>
      </w:r>
      <w:r>
        <w:rPr>
          <w:rFonts w:hint="eastAsia" w:ascii="宋体" w:hAnsi="宋体" w:eastAsia="宋体" w:cs="宋体"/>
          <w:color w:val="000000" w:themeColor="text1"/>
          <w:sz w:val="21"/>
          <w:szCs w:val="21"/>
          <w:highlight w:val="none"/>
          <w:lang w:val="en-US" w:eastAsia="zh-CN"/>
        </w:rPr>
        <w:t>作为</w:t>
      </w:r>
      <w:r>
        <w:rPr>
          <w:rFonts w:hint="eastAsia" w:ascii="宋体" w:hAnsi="宋体" w:eastAsia="宋体" w:cs="宋体"/>
          <w:color w:val="000000" w:themeColor="text1"/>
          <w:sz w:val="21"/>
          <w:szCs w:val="21"/>
          <w:highlight w:val="none"/>
        </w:rPr>
        <w:t>首次磋商报价，按合同约定完成全部合同内容。</w:t>
      </w:r>
    </w:p>
    <w:p w14:paraId="053A6151">
      <w:pPr>
        <w:spacing w:line="360" w:lineRule="auto"/>
        <w:ind w:firstLine="420" w:firstLineChars="200"/>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2.我方承诺在投标有效期60天内不修改、撤销投标文件。</w:t>
      </w:r>
    </w:p>
    <w:p w14:paraId="6FBFEB5F">
      <w:pPr>
        <w:spacing w:line="360" w:lineRule="auto"/>
        <w:ind w:firstLine="420" w:firstLineChars="200"/>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3.如我方中标：</w:t>
      </w:r>
    </w:p>
    <w:p w14:paraId="3BD21CFA">
      <w:pPr>
        <w:pStyle w:val="31"/>
        <w:spacing w:after="0" w:line="360" w:lineRule="auto"/>
        <w:ind w:left="0" w:leftChars="0"/>
        <w:rPr>
          <w:rFonts w:hint="eastAsia" w:ascii="宋体" w:hAnsi="宋体" w:cs="宋体"/>
          <w:color w:val="000000" w:themeColor="text1"/>
          <w:highlight w:val="none"/>
        </w:rPr>
      </w:pPr>
      <w:r>
        <w:rPr>
          <w:rFonts w:hint="eastAsia" w:ascii="宋体" w:hAnsi="宋体" w:cs="宋体"/>
          <w:color w:val="000000" w:themeColor="text1"/>
          <w:highlight w:val="none"/>
        </w:rPr>
        <w:t>（1）我方承诺在收到成交通知书后，在成交通知书规定的期限内与你方签订合同。</w:t>
      </w:r>
    </w:p>
    <w:p w14:paraId="5A415E6C">
      <w:pPr>
        <w:pStyle w:val="31"/>
        <w:spacing w:after="0" w:line="360" w:lineRule="auto"/>
        <w:ind w:left="0" w:leftChars="0"/>
        <w:rPr>
          <w:rFonts w:hint="eastAsia" w:ascii="宋体" w:hAnsi="宋体" w:cs="宋体"/>
          <w:color w:val="000000" w:themeColor="text1"/>
          <w:highlight w:val="none"/>
        </w:rPr>
      </w:pPr>
      <w:r>
        <w:rPr>
          <w:rFonts w:hint="eastAsia" w:ascii="宋体" w:hAnsi="宋体" w:cs="宋体"/>
          <w:color w:val="000000" w:themeColor="text1"/>
          <w:highlight w:val="none"/>
        </w:rPr>
        <w:t>（2）随同本报价函递交的报价函附录属于合同文件的组成部分。</w:t>
      </w:r>
    </w:p>
    <w:p w14:paraId="5586AFD8">
      <w:pPr>
        <w:pStyle w:val="31"/>
        <w:spacing w:after="0" w:line="360" w:lineRule="auto"/>
        <w:ind w:left="0" w:leftChars="0"/>
        <w:rPr>
          <w:rFonts w:hint="eastAsia" w:ascii="宋体" w:hAnsi="宋体" w:cs="宋体"/>
          <w:color w:val="000000" w:themeColor="text1"/>
          <w:highlight w:val="none"/>
        </w:rPr>
      </w:pPr>
      <w:r>
        <w:rPr>
          <w:rFonts w:hint="eastAsia" w:ascii="宋体" w:hAnsi="宋体" w:cs="宋体"/>
          <w:color w:val="000000" w:themeColor="text1"/>
          <w:highlight w:val="none"/>
        </w:rPr>
        <w:t>（3）我方承诺在合同约定的期限内完成全部合同内容。</w:t>
      </w:r>
    </w:p>
    <w:p w14:paraId="23051F5D">
      <w:pPr>
        <w:pStyle w:val="31"/>
        <w:spacing w:after="0" w:line="360" w:lineRule="auto"/>
        <w:ind w:left="0" w:leftChars="0"/>
        <w:rPr>
          <w:rFonts w:hint="eastAsia" w:ascii="宋体" w:hAnsi="宋体" w:cs="宋体"/>
          <w:color w:val="000000" w:themeColor="text1"/>
          <w:highlight w:val="none"/>
        </w:rPr>
      </w:pPr>
      <w:r>
        <w:rPr>
          <w:rFonts w:hint="eastAsia" w:ascii="宋体" w:hAnsi="宋体" w:cs="宋体"/>
          <w:color w:val="000000" w:themeColor="text1"/>
          <w:highlight w:val="none"/>
        </w:rPr>
        <w:t>4.我方在此声明，所递交的响应文件及有关资料内容完整、真实和准确。</w:t>
      </w:r>
    </w:p>
    <w:p w14:paraId="0C2F3F7E">
      <w:pPr>
        <w:spacing w:line="360" w:lineRule="auto"/>
        <w:rPr>
          <w:rFonts w:hint="eastAsia" w:ascii="宋体" w:hAnsi="宋体" w:eastAsia="宋体" w:cs="宋体"/>
          <w:color w:val="000000" w:themeColor="text1"/>
          <w:sz w:val="21"/>
          <w:szCs w:val="21"/>
          <w:highlight w:val="none"/>
        </w:rPr>
      </w:pPr>
    </w:p>
    <w:p w14:paraId="639827E9">
      <w:pPr>
        <w:spacing w:line="360" w:lineRule="auto"/>
        <w:ind w:right="420"/>
        <w:jc w:val="center"/>
        <w:rPr>
          <w:rFonts w:hint="eastAsia" w:ascii="宋体" w:hAnsi="宋体" w:eastAsia="宋体" w:cs="宋体"/>
          <w:color w:val="000000" w:themeColor="text1"/>
          <w:sz w:val="21"/>
          <w:szCs w:val="21"/>
          <w:highlight w:val="none"/>
        </w:rPr>
      </w:pPr>
    </w:p>
    <w:p w14:paraId="44439973">
      <w:pPr>
        <w:spacing w:line="360" w:lineRule="auto"/>
        <w:ind w:right="420"/>
        <w:jc w:val="center"/>
        <w:rPr>
          <w:rFonts w:hint="eastAsia" w:ascii="宋体" w:hAnsi="宋体" w:eastAsia="宋体" w:cs="宋体"/>
          <w:color w:val="000000" w:themeColor="text1"/>
          <w:sz w:val="21"/>
          <w:szCs w:val="21"/>
          <w:highlight w:val="none"/>
        </w:rPr>
      </w:pPr>
    </w:p>
    <w:p w14:paraId="2D4686C7">
      <w:pPr>
        <w:spacing w:line="360" w:lineRule="auto"/>
        <w:ind w:right="420"/>
        <w:jc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                    </w:t>
      </w:r>
    </w:p>
    <w:p w14:paraId="4B5304A9">
      <w:pPr>
        <w:spacing w:line="360" w:lineRule="auto"/>
        <w:ind w:right="420"/>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供应商：</w:t>
      </w:r>
      <w:r>
        <w:rPr>
          <w:rFonts w:hint="eastAsia" w:ascii="宋体" w:hAnsi="宋体" w:eastAsia="宋体" w:cs="宋体"/>
          <w:color w:val="000000" w:themeColor="text1"/>
          <w:sz w:val="21"/>
          <w:szCs w:val="21"/>
          <w:highlight w:val="none"/>
          <w:u w:val="single"/>
        </w:rPr>
        <w:t xml:space="preserve">                             </w:t>
      </w:r>
      <w:r>
        <w:rPr>
          <w:rFonts w:hint="eastAsia" w:ascii="宋体" w:hAnsi="宋体" w:eastAsia="宋体" w:cs="宋体"/>
          <w:color w:val="000000" w:themeColor="text1"/>
          <w:sz w:val="21"/>
          <w:szCs w:val="21"/>
          <w:highlight w:val="none"/>
        </w:rPr>
        <w:t>（电子签章）</w:t>
      </w:r>
    </w:p>
    <w:p w14:paraId="2E05E030">
      <w:pPr>
        <w:spacing w:line="360" w:lineRule="auto"/>
        <w:ind w:right="420"/>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 法定代表人</w:t>
      </w:r>
      <w:r>
        <w:rPr>
          <w:rFonts w:hint="eastAsia" w:ascii="宋体" w:hAnsi="宋体" w:eastAsia="宋体" w:cs="宋体"/>
          <w:color w:val="000000" w:themeColor="text1"/>
          <w:sz w:val="21"/>
          <w:szCs w:val="21"/>
          <w:highlight w:val="none"/>
          <w:lang w:eastAsia="zh-CN"/>
        </w:rPr>
        <w:t>（</w:t>
      </w:r>
      <w:r>
        <w:rPr>
          <w:rFonts w:hint="eastAsia" w:ascii="宋体" w:hAnsi="宋体" w:eastAsia="宋体" w:cs="宋体"/>
          <w:color w:val="000000" w:themeColor="text1"/>
          <w:sz w:val="21"/>
          <w:szCs w:val="21"/>
          <w:highlight w:val="none"/>
          <w:lang w:val="en-US" w:eastAsia="zh-CN"/>
        </w:rPr>
        <w:t>负责人</w:t>
      </w:r>
      <w:r>
        <w:rPr>
          <w:rFonts w:hint="eastAsia" w:ascii="宋体" w:hAnsi="宋体" w:eastAsia="宋体" w:cs="宋体"/>
          <w:color w:val="000000" w:themeColor="text1"/>
          <w:sz w:val="21"/>
          <w:szCs w:val="21"/>
          <w:highlight w:val="none"/>
          <w:lang w:eastAsia="zh-CN"/>
        </w:rPr>
        <w:t>）</w:t>
      </w:r>
      <w:r>
        <w:rPr>
          <w:rFonts w:hint="eastAsia" w:ascii="宋体" w:hAnsi="宋体" w:eastAsia="宋体" w:cs="宋体"/>
          <w:color w:val="000000" w:themeColor="text1"/>
          <w:sz w:val="21"/>
          <w:szCs w:val="21"/>
          <w:highlight w:val="none"/>
        </w:rPr>
        <w:t xml:space="preserve">或其委托代理人： </w:t>
      </w:r>
      <w:r>
        <w:rPr>
          <w:rFonts w:hint="eastAsia" w:ascii="宋体" w:hAnsi="宋体" w:eastAsia="宋体" w:cs="宋体"/>
          <w:color w:val="000000" w:themeColor="text1"/>
          <w:sz w:val="21"/>
          <w:szCs w:val="21"/>
          <w:highlight w:val="none"/>
          <w:u w:val="single"/>
        </w:rPr>
        <w:t xml:space="preserve">          </w:t>
      </w:r>
      <w:r>
        <w:rPr>
          <w:rFonts w:hint="eastAsia" w:ascii="宋体" w:hAnsi="宋体" w:eastAsia="宋体" w:cs="宋体"/>
          <w:color w:val="000000" w:themeColor="text1"/>
          <w:sz w:val="21"/>
          <w:szCs w:val="21"/>
          <w:highlight w:val="none"/>
        </w:rPr>
        <w:t>（签字或盖章）</w:t>
      </w:r>
    </w:p>
    <w:p w14:paraId="41B939BF">
      <w:pPr>
        <w:spacing w:line="360" w:lineRule="auto"/>
        <w:ind w:right="480"/>
        <w:jc w:val="righ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u w:val="single"/>
        </w:rPr>
        <w:t xml:space="preserve">         </w:t>
      </w:r>
      <w:r>
        <w:rPr>
          <w:rFonts w:hint="eastAsia" w:ascii="宋体" w:hAnsi="宋体" w:eastAsia="宋体" w:cs="宋体"/>
          <w:color w:val="000000" w:themeColor="text1"/>
          <w:sz w:val="21"/>
          <w:szCs w:val="21"/>
          <w:highlight w:val="none"/>
        </w:rPr>
        <w:t>年</w:t>
      </w:r>
      <w:r>
        <w:rPr>
          <w:rFonts w:hint="eastAsia" w:ascii="宋体" w:hAnsi="宋体" w:eastAsia="宋体" w:cs="宋体"/>
          <w:color w:val="000000" w:themeColor="text1"/>
          <w:sz w:val="21"/>
          <w:szCs w:val="21"/>
          <w:highlight w:val="none"/>
          <w:u w:val="single"/>
        </w:rPr>
        <w:t xml:space="preserve">         </w:t>
      </w:r>
      <w:r>
        <w:rPr>
          <w:rFonts w:hint="eastAsia" w:ascii="宋体" w:hAnsi="宋体" w:eastAsia="宋体" w:cs="宋体"/>
          <w:color w:val="000000" w:themeColor="text1"/>
          <w:sz w:val="21"/>
          <w:szCs w:val="21"/>
          <w:highlight w:val="none"/>
        </w:rPr>
        <w:t>月</w:t>
      </w:r>
      <w:r>
        <w:rPr>
          <w:rFonts w:hint="eastAsia" w:ascii="宋体" w:hAnsi="宋体" w:eastAsia="宋体" w:cs="宋体"/>
          <w:color w:val="000000" w:themeColor="text1"/>
          <w:sz w:val="21"/>
          <w:szCs w:val="21"/>
          <w:highlight w:val="none"/>
          <w:u w:val="single"/>
        </w:rPr>
        <w:t xml:space="preserve">       </w:t>
      </w:r>
      <w:r>
        <w:rPr>
          <w:rFonts w:hint="eastAsia" w:ascii="宋体" w:hAnsi="宋体" w:eastAsia="宋体" w:cs="宋体"/>
          <w:color w:val="000000" w:themeColor="text1"/>
          <w:sz w:val="21"/>
          <w:szCs w:val="21"/>
          <w:highlight w:val="none"/>
        </w:rPr>
        <w:t>日</w:t>
      </w:r>
    </w:p>
    <w:p w14:paraId="7814CF98">
      <w:pPr>
        <w:rPr>
          <w:rFonts w:hint="eastAsia" w:ascii="宋体" w:hAnsi="宋体" w:eastAsia="宋体" w:cs="宋体"/>
          <w:color w:val="000000" w:themeColor="text1"/>
          <w:highlight w:val="none"/>
        </w:rPr>
      </w:pPr>
    </w:p>
    <w:p w14:paraId="1150CDE0">
      <w:pPr>
        <w:spacing w:line="480" w:lineRule="exact"/>
        <w:ind w:firstLine="480" w:firstLineChars="200"/>
        <w:rPr>
          <w:rFonts w:hint="eastAsia" w:ascii="宋体" w:hAnsi="宋体" w:eastAsia="宋体" w:cs="宋体"/>
          <w:color w:val="000000" w:themeColor="text1"/>
          <w:szCs w:val="21"/>
          <w:highlight w:val="none"/>
        </w:rPr>
      </w:pPr>
    </w:p>
    <w:p w14:paraId="5EE86B77">
      <w:pPr>
        <w:pStyle w:val="31"/>
        <w:ind w:left="480"/>
        <w:rPr>
          <w:rFonts w:hint="eastAsia" w:ascii="宋体" w:hAnsi="宋体" w:cs="宋体"/>
          <w:color w:val="000000" w:themeColor="text1"/>
          <w:szCs w:val="21"/>
          <w:highlight w:val="none"/>
        </w:rPr>
      </w:pPr>
    </w:p>
    <w:p w14:paraId="674F2B1C">
      <w:pPr>
        <w:pStyle w:val="31"/>
        <w:ind w:left="480"/>
        <w:rPr>
          <w:rFonts w:hint="eastAsia" w:ascii="宋体" w:hAnsi="宋体" w:cs="宋体"/>
          <w:color w:val="000000" w:themeColor="text1"/>
          <w:szCs w:val="21"/>
          <w:highlight w:val="none"/>
        </w:rPr>
      </w:pPr>
    </w:p>
    <w:p w14:paraId="6935F8D6">
      <w:pPr>
        <w:pStyle w:val="31"/>
        <w:ind w:left="480"/>
        <w:rPr>
          <w:rFonts w:hint="eastAsia" w:ascii="宋体" w:hAnsi="宋体" w:cs="宋体"/>
          <w:color w:val="000000" w:themeColor="text1"/>
          <w:szCs w:val="21"/>
          <w:highlight w:val="none"/>
        </w:rPr>
      </w:pPr>
    </w:p>
    <w:p w14:paraId="6A4A8058">
      <w:pPr>
        <w:pStyle w:val="31"/>
        <w:ind w:left="480"/>
        <w:rPr>
          <w:rFonts w:hint="eastAsia" w:ascii="宋体" w:hAnsi="宋体" w:cs="宋体"/>
          <w:color w:val="000000" w:themeColor="text1"/>
          <w:szCs w:val="21"/>
          <w:highlight w:val="none"/>
        </w:rPr>
      </w:pPr>
    </w:p>
    <w:p w14:paraId="19AD3417">
      <w:pPr>
        <w:widowControl/>
        <w:jc w:val="left"/>
        <w:rPr>
          <w:rFonts w:hint="eastAsia" w:ascii="宋体" w:hAnsi="宋体" w:eastAsia="宋体" w:cs="宋体"/>
          <w:color w:val="000000" w:themeColor="text1"/>
          <w:sz w:val="28"/>
          <w:szCs w:val="28"/>
          <w:highlight w:val="none"/>
        </w:rPr>
      </w:pPr>
      <w:bookmarkStart w:id="388" w:name="_Toc45177868"/>
      <w:r>
        <w:rPr>
          <w:rFonts w:hint="eastAsia" w:ascii="宋体" w:hAnsi="宋体" w:eastAsia="宋体" w:cs="宋体"/>
          <w:color w:val="000000" w:themeColor="text1"/>
          <w:sz w:val="28"/>
          <w:szCs w:val="28"/>
          <w:highlight w:val="none"/>
        </w:rPr>
        <w:br w:type="page"/>
      </w:r>
    </w:p>
    <w:p w14:paraId="34F1E384">
      <w:pPr>
        <w:spacing w:before="326" w:beforeLines="100" w:after="163" w:afterLines="50"/>
        <w:jc w:val="center"/>
        <w:outlineLvl w:val="1"/>
        <w:rPr>
          <w:rFonts w:hint="eastAsia" w:ascii="宋体" w:hAnsi="宋体" w:eastAsia="宋体" w:cs="宋体"/>
          <w:b/>
          <w:color w:val="000000" w:themeColor="text1"/>
          <w:sz w:val="28"/>
          <w:szCs w:val="28"/>
          <w:highlight w:val="none"/>
        </w:rPr>
      </w:pPr>
      <w:bookmarkStart w:id="389" w:name="_Toc4597"/>
      <w:bookmarkStart w:id="390" w:name="_Toc405"/>
      <w:r>
        <w:rPr>
          <w:rFonts w:hint="eastAsia" w:ascii="宋体" w:hAnsi="宋体" w:eastAsia="宋体" w:cs="宋体"/>
          <w:b/>
          <w:color w:val="000000" w:themeColor="text1"/>
          <w:sz w:val="28"/>
          <w:szCs w:val="28"/>
          <w:highlight w:val="none"/>
        </w:rPr>
        <w:t>二、报价表</w:t>
      </w:r>
      <w:bookmarkEnd w:id="388"/>
      <w:bookmarkEnd w:id="389"/>
      <w:bookmarkEnd w:id="390"/>
    </w:p>
    <w:tbl>
      <w:tblPr>
        <w:tblStyle w:val="32"/>
        <w:tblW w:w="9750" w:type="dxa"/>
        <w:jc w:val="center"/>
        <w:tblLayout w:type="fixed"/>
        <w:tblCellMar>
          <w:top w:w="0" w:type="dxa"/>
          <w:left w:w="0" w:type="dxa"/>
          <w:bottom w:w="0" w:type="dxa"/>
          <w:right w:w="0" w:type="dxa"/>
        </w:tblCellMar>
      </w:tblPr>
      <w:tblGrid>
        <w:gridCol w:w="2554"/>
        <w:gridCol w:w="7196"/>
      </w:tblGrid>
      <w:tr w14:paraId="54D9751E">
        <w:tblPrEx>
          <w:tblCellMar>
            <w:top w:w="0" w:type="dxa"/>
            <w:left w:w="0" w:type="dxa"/>
            <w:bottom w:w="0" w:type="dxa"/>
            <w:right w:w="0" w:type="dxa"/>
          </w:tblCellMar>
        </w:tblPrEx>
        <w:trPr>
          <w:trHeight w:val="1133" w:hRule="exact"/>
          <w:jc w:val="center"/>
        </w:trPr>
        <w:tc>
          <w:tcPr>
            <w:tcW w:w="2554" w:type="dxa"/>
            <w:tcBorders>
              <w:top w:val="single" w:color="auto" w:sz="4" w:space="0"/>
              <w:left w:val="single" w:color="auto" w:sz="4" w:space="0"/>
              <w:bottom w:val="nil"/>
              <w:right w:val="nil"/>
            </w:tcBorders>
            <w:shd w:val="clear" w:color="auto" w:fill="FFFFFF"/>
            <w:vAlign w:val="center"/>
          </w:tcPr>
          <w:p w14:paraId="79BA689C">
            <w:pPr>
              <w:jc w:val="center"/>
              <w:rPr>
                <w:rFonts w:hint="eastAsia" w:ascii="宋体" w:hAnsi="宋体" w:eastAsia="宋体" w:cs="宋体"/>
                <w:color w:val="000000" w:themeColor="text1"/>
                <w:sz w:val="21"/>
                <w:szCs w:val="21"/>
                <w:highlight w:val="none"/>
              </w:rPr>
            </w:pPr>
            <w:bookmarkStart w:id="391" w:name="_Toc258431082"/>
            <w:bookmarkStart w:id="392" w:name="_Toc258505710"/>
            <w:bookmarkStart w:id="393" w:name="_Toc298522708"/>
            <w:bookmarkStart w:id="394" w:name="_Toc258440232"/>
            <w:bookmarkStart w:id="395" w:name="_Toc258441081"/>
            <w:bookmarkStart w:id="396" w:name="_Toc298522540"/>
            <w:r>
              <w:rPr>
                <w:rFonts w:hint="eastAsia" w:ascii="宋体" w:hAnsi="宋体" w:eastAsia="宋体" w:cs="宋体"/>
                <w:color w:val="000000" w:themeColor="text1"/>
                <w:sz w:val="21"/>
                <w:szCs w:val="21"/>
                <w:highlight w:val="none"/>
              </w:rPr>
              <w:t>供应商名称</w:t>
            </w:r>
          </w:p>
        </w:tc>
        <w:tc>
          <w:tcPr>
            <w:tcW w:w="7196" w:type="dxa"/>
            <w:tcBorders>
              <w:top w:val="single" w:color="auto" w:sz="4" w:space="0"/>
              <w:left w:val="single" w:color="auto" w:sz="4" w:space="0"/>
              <w:bottom w:val="nil"/>
              <w:right w:val="single" w:color="auto" w:sz="4" w:space="0"/>
            </w:tcBorders>
            <w:shd w:val="clear" w:color="auto" w:fill="FFFFFF"/>
          </w:tcPr>
          <w:p w14:paraId="1B913973">
            <w:pPr>
              <w:rPr>
                <w:rFonts w:hint="eastAsia" w:ascii="宋体" w:hAnsi="宋体" w:eastAsia="宋体" w:cs="宋体"/>
                <w:color w:val="000000" w:themeColor="text1"/>
                <w:sz w:val="21"/>
                <w:szCs w:val="21"/>
                <w:highlight w:val="none"/>
              </w:rPr>
            </w:pPr>
          </w:p>
        </w:tc>
      </w:tr>
      <w:tr w14:paraId="2DADBE88">
        <w:tblPrEx>
          <w:tblCellMar>
            <w:top w:w="0" w:type="dxa"/>
            <w:left w:w="0" w:type="dxa"/>
            <w:bottom w:w="0" w:type="dxa"/>
            <w:right w:w="0" w:type="dxa"/>
          </w:tblCellMar>
        </w:tblPrEx>
        <w:trPr>
          <w:trHeight w:val="1128" w:hRule="exact"/>
          <w:jc w:val="center"/>
        </w:trPr>
        <w:tc>
          <w:tcPr>
            <w:tcW w:w="2554" w:type="dxa"/>
            <w:tcBorders>
              <w:top w:val="single" w:color="auto" w:sz="4" w:space="0"/>
              <w:left w:val="single" w:color="auto" w:sz="4" w:space="0"/>
              <w:bottom w:val="nil"/>
              <w:right w:val="nil"/>
            </w:tcBorders>
            <w:shd w:val="clear" w:color="auto" w:fill="FFFFFF"/>
            <w:vAlign w:val="center"/>
          </w:tcPr>
          <w:p w14:paraId="02055602">
            <w:pPr>
              <w:jc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首次磋商报价</w:t>
            </w:r>
          </w:p>
        </w:tc>
        <w:tc>
          <w:tcPr>
            <w:tcW w:w="7196" w:type="dxa"/>
            <w:tcBorders>
              <w:top w:val="single" w:color="auto" w:sz="4" w:space="0"/>
              <w:left w:val="single" w:color="auto" w:sz="4" w:space="0"/>
              <w:bottom w:val="nil"/>
              <w:right w:val="single" w:color="auto" w:sz="4" w:space="0"/>
            </w:tcBorders>
            <w:shd w:val="clear" w:color="auto" w:fill="FFFFFF"/>
            <w:vAlign w:val="center"/>
          </w:tcPr>
          <w:p w14:paraId="7F3AA545">
            <w:pP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大写：</w:t>
            </w:r>
          </w:p>
          <w:p w14:paraId="1F7390B2">
            <w:pP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小写：</w:t>
            </w:r>
          </w:p>
        </w:tc>
      </w:tr>
      <w:tr w14:paraId="2389A549">
        <w:tblPrEx>
          <w:tblCellMar>
            <w:top w:w="0" w:type="dxa"/>
            <w:left w:w="0" w:type="dxa"/>
            <w:bottom w:w="0" w:type="dxa"/>
            <w:right w:w="0" w:type="dxa"/>
          </w:tblCellMar>
        </w:tblPrEx>
        <w:trPr>
          <w:trHeight w:val="946" w:hRule="exact"/>
          <w:jc w:val="center"/>
        </w:trPr>
        <w:tc>
          <w:tcPr>
            <w:tcW w:w="2554" w:type="dxa"/>
            <w:tcBorders>
              <w:top w:val="single" w:color="auto" w:sz="4" w:space="0"/>
              <w:left w:val="single" w:color="auto" w:sz="4" w:space="0"/>
              <w:bottom w:val="nil"/>
              <w:right w:val="nil"/>
            </w:tcBorders>
            <w:shd w:val="clear" w:color="auto" w:fill="FFFFFF"/>
            <w:vAlign w:val="center"/>
          </w:tcPr>
          <w:p w14:paraId="114B0242">
            <w:pPr>
              <w:jc w:val="center"/>
              <w:rPr>
                <w:rFonts w:hint="eastAsia" w:ascii="宋体" w:hAnsi="宋体" w:eastAsia="宋体" w:cs="宋体"/>
                <w:color w:val="000000" w:themeColor="text1"/>
                <w:sz w:val="21"/>
                <w:szCs w:val="21"/>
                <w:highlight w:val="none"/>
              </w:rPr>
            </w:pPr>
            <w:r>
              <w:rPr>
                <w:rFonts w:hint="eastAsia" w:ascii="宋体" w:hAnsi="宋体" w:eastAsia="宋体" w:cs="宋体"/>
                <w:bCs/>
                <w:color w:val="000000" w:themeColor="text1"/>
                <w:sz w:val="21"/>
                <w:szCs w:val="21"/>
                <w:highlight w:val="none"/>
              </w:rPr>
              <w:t>服务内容</w:t>
            </w:r>
          </w:p>
        </w:tc>
        <w:tc>
          <w:tcPr>
            <w:tcW w:w="7196" w:type="dxa"/>
            <w:tcBorders>
              <w:top w:val="single" w:color="auto" w:sz="4" w:space="0"/>
              <w:left w:val="single" w:color="auto" w:sz="4" w:space="0"/>
              <w:bottom w:val="nil"/>
              <w:right w:val="single" w:color="auto" w:sz="4" w:space="0"/>
            </w:tcBorders>
            <w:shd w:val="clear" w:color="auto" w:fill="FFFFFF"/>
            <w:vAlign w:val="center"/>
          </w:tcPr>
          <w:p w14:paraId="3D8AD325">
            <w:pPr>
              <w:jc w:val="center"/>
              <w:rPr>
                <w:rFonts w:hint="eastAsia" w:ascii="宋体" w:hAnsi="宋体" w:eastAsia="宋体" w:cs="宋体"/>
                <w:color w:val="000000" w:themeColor="text1"/>
                <w:sz w:val="21"/>
                <w:szCs w:val="21"/>
                <w:highlight w:val="none"/>
              </w:rPr>
            </w:pPr>
          </w:p>
        </w:tc>
      </w:tr>
      <w:tr w14:paraId="68131BBB">
        <w:tblPrEx>
          <w:tblCellMar>
            <w:top w:w="0" w:type="dxa"/>
            <w:left w:w="0" w:type="dxa"/>
            <w:bottom w:w="0" w:type="dxa"/>
            <w:right w:w="0" w:type="dxa"/>
          </w:tblCellMar>
        </w:tblPrEx>
        <w:trPr>
          <w:trHeight w:val="946" w:hRule="exact"/>
          <w:jc w:val="center"/>
        </w:trPr>
        <w:tc>
          <w:tcPr>
            <w:tcW w:w="2554" w:type="dxa"/>
            <w:tcBorders>
              <w:top w:val="single" w:color="auto" w:sz="4" w:space="0"/>
              <w:left w:val="single" w:color="auto" w:sz="4" w:space="0"/>
              <w:bottom w:val="nil"/>
              <w:right w:val="nil"/>
            </w:tcBorders>
            <w:shd w:val="clear" w:color="auto" w:fill="FFFFFF"/>
            <w:vAlign w:val="center"/>
          </w:tcPr>
          <w:p w14:paraId="1CBAE67D">
            <w:pPr>
              <w:jc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服务期限</w:t>
            </w:r>
          </w:p>
        </w:tc>
        <w:tc>
          <w:tcPr>
            <w:tcW w:w="7196" w:type="dxa"/>
            <w:tcBorders>
              <w:top w:val="single" w:color="auto" w:sz="4" w:space="0"/>
              <w:left w:val="single" w:color="auto" w:sz="4" w:space="0"/>
              <w:bottom w:val="nil"/>
              <w:right w:val="single" w:color="auto" w:sz="4" w:space="0"/>
            </w:tcBorders>
            <w:shd w:val="clear" w:color="auto" w:fill="FFFFFF"/>
            <w:vAlign w:val="center"/>
          </w:tcPr>
          <w:p w14:paraId="7B339681">
            <w:pPr>
              <w:jc w:val="center"/>
              <w:rPr>
                <w:rFonts w:hint="eastAsia" w:ascii="宋体" w:hAnsi="宋体" w:eastAsia="宋体" w:cs="宋体"/>
                <w:color w:val="000000" w:themeColor="text1"/>
                <w:sz w:val="21"/>
                <w:szCs w:val="21"/>
                <w:highlight w:val="none"/>
              </w:rPr>
            </w:pPr>
          </w:p>
        </w:tc>
      </w:tr>
      <w:tr w14:paraId="5E8668E1">
        <w:tblPrEx>
          <w:tblCellMar>
            <w:top w:w="0" w:type="dxa"/>
            <w:left w:w="0" w:type="dxa"/>
            <w:bottom w:w="0" w:type="dxa"/>
            <w:right w:w="0" w:type="dxa"/>
          </w:tblCellMar>
        </w:tblPrEx>
        <w:trPr>
          <w:trHeight w:val="946" w:hRule="exact"/>
          <w:jc w:val="center"/>
        </w:trPr>
        <w:tc>
          <w:tcPr>
            <w:tcW w:w="2554" w:type="dxa"/>
            <w:tcBorders>
              <w:top w:val="single" w:color="auto" w:sz="4" w:space="0"/>
              <w:left w:val="single" w:color="auto" w:sz="4" w:space="0"/>
              <w:bottom w:val="nil"/>
              <w:right w:val="nil"/>
            </w:tcBorders>
            <w:shd w:val="clear" w:color="auto" w:fill="FFFFFF"/>
            <w:vAlign w:val="center"/>
          </w:tcPr>
          <w:p w14:paraId="4F05A6DF">
            <w:pPr>
              <w:jc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质量</w:t>
            </w:r>
          </w:p>
        </w:tc>
        <w:tc>
          <w:tcPr>
            <w:tcW w:w="7196" w:type="dxa"/>
            <w:tcBorders>
              <w:top w:val="single" w:color="auto" w:sz="4" w:space="0"/>
              <w:left w:val="single" w:color="auto" w:sz="4" w:space="0"/>
              <w:bottom w:val="nil"/>
              <w:right w:val="single" w:color="auto" w:sz="4" w:space="0"/>
            </w:tcBorders>
            <w:shd w:val="clear" w:color="auto" w:fill="FFFFFF"/>
            <w:vAlign w:val="center"/>
          </w:tcPr>
          <w:p w14:paraId="03466A94">
            <w:pPr>
              <w:jc w:val="center"/>
              <w:rPr>
                <w:rFonts w:hint="eastAsia" w:ascii="宋体" w:hAnsi="宋体" w:eastAsia="宋体" w:cs="宋体"/>
                <w:color w:val="000000" w:themeColor="text1"/>
                <w:sz w:val="21"/>
                <w:szCs w:val="21"/>
                <w:highlight w:val="none"/>
              </w:rPr>
            </w:pPr>
          </w:p>
        </w:tc>
      </w:tr>
      <w:tr w14:paraId="6C60BB51">
        <w:tblPrEx>
          <w:tblCellMar>
            <w:top w:w="0" w:type="dxa"/>
            <w:left w:w="0" w:type="dxa"/>
            <w:bottom w:w="0" w:type="dxa"/>
            <w:right w:w="0" w:type="dxa"/>
          </w:tblCellMar>
        </w:tblPrEx>
        <w:trPr>
          <w:trHeight w:val="946" w:hRule="exact"/>
          <w:jc w:val="center"/>
        </w:trPr>
        <w:tc>
          <w:tcPr>
            <w:tcW w:w="2554" w:type="dxa"/>
            <w:tcBorders>
              <w:top w:val="single" w:color="auto" w:sz="4" w:space="0"/>
              <w:left w:val="single" w:color="auto" w:sz="4" w:space="0"/>
              <w:bottom w:val="nil"/>
              <w:right w:val="nil"/>
            </w:tcBorders>
            <w:shd w:val="clear" w:color="auto" w:fill="FFFFFF"/>
            <w:vAlign w:val="center"/>
          </w:tcPr>
          <w:p w14:paraId="1D322A49">
            <w:pPr>
              <w:jc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投标有效期</w:t>
            </w:r>
          </w:p>
        </w:tc>
        <w:tc>
          <w:tcPr>
            <w:tcW w:w="7196" w:type="dxa"/>
            <w:tcBorders>
              <w:top w:val="single" w:color="auto" w:sz="4" w:space="0"/>
              <w:left w:val="single" w:color="auto" w:sz="4" w:space="0"/>
              <w:bottom w:val="nil"/>
              <w:right w:val="single" w:color="auto" w:sz="4" w:space="0"/>
            </w:tcBorders>
            <w:shd w:val="clear" w:color="auto" w:fill="FFFFFF"/>
            <w:vAlign w:val="center"/>
          </w:tcPr>
          <w:p w14:paraId="1BDA36F1">
            <w:pPr>
              <w:jc w:val="center"/>
              <w:rPr>
                <w:rFonts w:hint="eastAsia" w:ascii="宋体" w:hAnsi="宋体" w:eastAsia="宋体" w:cs="宋体"/>
                <w:color w:val="000000" w:themeColor="text1"/>
                <w:sz w:val="21"/>
                <w:szCs w:val="21"/>
                <w:highlight w:val="none"/>
              </w:rPr>
            </w:pPr>
          </w:p>
        </w:tc>
      </w:tr>
      <w:tr w14:paraId="21993B10">
        <w:tblPrEx>
          <w:tblCellMar>
            <w:top w:w="0" w:type="dxa"/>
            <w:left w:w="0" w:type="dxa"/>
            <w:bottom w:w="0" w:type="dxa"/>
            <w:right w:w="0" w:type="dxa"/>
          </w:tblCellMar>
        </w:tblPrEx>
        <w:trPr>
          <w:trHeight w:val="950" w:hRule="exact"/>
          <w:jc w:val="center"/>
        </w:trPr>
        <w:tc>
          <w:tcPr>
            <w:tcW w:w="2554" w:type="dxa"/>
            <w:tcBorders>
              <w:top w:val="single" w:color="auto" w:sz="4" w:space="0"/>
              <w:left w:val="single" w:color="auto" w:sz="4" w:space="0"/>
              <w:bottom w:val="single" w:color="auto" w:sz="4" w:space="0"/>
              <w:right w:val="nil"/>
            </w:tcBorders>
            <w:shd w:val="clear" w:color="auto" w:fill="FFFFFF"/>
            <w:vAlign w:val="center"/>
          </w:tcPr>
          <w:p w14:paraId="1253B0D1">
            <w:pPr>
              <w:jc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项目负责人</w:t>
            </w:r>
          </w:p>
        </w:tc>
        <w:tc>
          <w:tcPr>
            <w:tcW w:w="7196" w:type="dxa"/>
            <w:tcBorders>
              <w:top w:val="single" w:color="auto" w:sz="4" w:space="0"/>
              <w:left w:val="single" w:color="auto" w:sz="4" w:space="0"/>
              <w:bottom w:val="single" w:color="auto" w:sz="4" w:space="0"/>
              <w:right w:val="single" w:color="auto" w:sz="4" w:space="0"/>
            </w:tcBorders>
            <w:shd w:val="clear" w:color="auto" w:fill="FFFFFF"/>
            <w:vAlign w:val="center"/>
          </w:tcPr>
          <w:p w14:paraId="52822D46">
            <w:pPr>
              <w:jc w:val="center"/>
              <w:rPr>
                <w:rFonts w:hint="eastAsia" w:ascii="宋体" w:hAnsi="宋体" w:eastAsia="宋体" w:cs="宋体"/>
                <w:color w:val="000000" w:themeColor="text1"/>
                <w:sz w:val="21"/>
                <w:szCs w:val="21"/>
                <w:highlight w:val="none"/>
              </w:rPr>
            </w:pPr>
          </w:p>
        </w:tc>
      </w:tr>
      <w:tr w14:paraId="57EFCD49">
        <w:tblPrEx>
          <w:tblCellMar>
            <w:top w:w="0" w:type="dxa"/>
            <w:left w:w="0" w:type="dxa"/>
            <w:bottom w:w="0" w:type="dxa"/>
            <w:right w:w="0" w:type="dxa"/>
          </w:tblCellMar>
        </w:tblPrEx>
        <w:trPr>
          <w:trHeight w:val="950" w:hRule="exact"/>
          <w:jc w:val="center"/>
        </w:trPr>
        <w:tc>
          <w:tcPr>
            <w:tcW w:w="2554" w:type="dxa"/>
            <w:tcBorders>
              <w:top w:val="single" w:color="auto" w:sz="4" w:space="0"/>
              <w:left w:val="single" w:color="auto" w:sz="4" w:space="0"/>
              <w:bottom w:val="single" w:color="auto" w:sz="4" w:space="0"/>
              <w:right w:val="nil"/>
            </w:tcBorders>
            <w:shd w:val="clear" w:color="auto" w:fill="FFFFFF"/>
            <w:vAlign w:val="center"/>
          </w:tcPr>
          <w:p w14:paraId="38CCE579">
            <w:pPr>
              <w:jc w:val="center"/>
              <w:rPr>
                <w:rFonts w:hint="default" w:ascii="宋体" w:hAnsi="宋体" w:eastAsia="宋体" w:cs="宋体"/>
                <w:color w:val="000000" w:themeColor="text1"/>
                <w:sz w:val="21"/>
                <w:szCs w:val="21"/>
                <w:highlight w:val="none"/>
                <w:lang w:val="en-US" w:eastAsia="zh-CN"/>
              </w:rPr>
            </w:pPr>
            <w:r>
              <w:rPr>
                <w:rFonts w:hint="eastAsia" w:ascii="宋体" w:hAnsi="宋体" w:eastAsia="宋体" w:cs="宋体"/>
                <w:color w:val="000000" w:themeColor="text1"/>
                <w:sz w:val="21"/>
                <w:szCs w:val="21"/>
                <w:highlight w:val="none"/>
              </w:rPr>
              <w:t>委托代理人姓名</w:t>
            </w:r>
            <w:r>
              <w:rPr>
                <w:rFonts w:hint="eastAsia" w:ascii="宋体" w:hAnsi="宋体" w:eastAsia="宋体" w:cs="宋体"/>
                <w:color w:val="000000" w:themeColor="text1"/>
                <w:sz w:val="21"/>
                <w:szCs w:val="21"/>
                <w:highlight w:val="none"/>
                <w:lang w:eastAsia="zh-CN"/>
              </w:rPr>
              <w:t>、</w:t>
            </w:r>
            <w:r>
              <w:rPr>
                <w:rFonts w:hint="eastAsia" w:ascii="宋体" w:hAnsi="宋体" w:eastAsia="宋体" w:cs="宋体"/>
                <w:color w:val="000000" w:themeColor="text1"/>
                <w:sz w:val="21"/>
                <w:szCs w:val="21"/>
                <w:highlight w:val="none"/>
              </w:rPr>
              <w:t>联系方式及</w:t>
            </w:r>
            <w:r>
              <w:rPr>
                <w:rFonts w:hint="eastAsia" w:ascii="宋体" w:hAnsi="宋体" w:eastAsia="宋体" w:cs="宋体"/>
                <w:color w:val="000000" w:themeColor="text1"/>
                <w:sz w:val="21"/>
                <w:szCs w:val="21"/>
                <w:highlight w:val="none"/>
                <w:lang w:val="en-US" w:eastAsia="zh-CN"/>
              </w:rPr>
              <w:t>公司</w:t>
            </w:r>
            <w:r>
              <w:rPr>
                <w:rFonts w:hint="eastAsia" w:ascii="宋体" w:hAnsi="宋体" w:eastAsia="宋体" w:cs="宋体"/>
                <w:color w:val="000000" w:themeColor="text1"/>
                <w:sz w:val="21"/>
                <w:szCs w:val="21"/>
                <w:highlight w:val="none"/>
              </w:rPr>
              <w:t>邮箱</w:t>
            </w:r>
            <w:r>
              <w:rPr>
                <w:rFonts w:hint="eastAsia" w:ascii="宋体" w:hAnsi="宋体" w:eastAsia="宋体" w:cs="宋体"/>
                <w:color w:val="000000" w:themeColor="text1"/>
                <w:sz w:val="21"/>
                <w:szCs w:val="21"/>
                <w:highlight w:val="none"/>
                <w:lang w:eastAsia="zh-CN"/>
              </w:rPr>
              <w:t>、</w:t>
            </w:r>
            <w:r>
              <w:rPr>
                <w:rFonts w:hint="eastAsia" w:ascii="宋体" w:hAnsi="宋体" w:eastAsia="宋体" w:cs="宋体"/>
                <w:color w:val="000000" w:themeColor="text1"/>
                <w:sz w:val="21"/>
                <w:szCs w:val="21"/>
                <w:highlight w:val="none"/>
                <w:lang w:val="en-US" w:eastAsia="zh-CN"/>
              </w:rPr>
              <w:t>公司联系地址</w:t>
            </w:r>
          </w:p>
        </w:tc>
        <w:tc>
          <w:tcPr>
            <w:tcW w:w="7196" w:type="dxa"/>
            <w:tcBorders>
              <w:top w:val="single" w:color="auto" w:sz="4" w:space="0"/>
              <w:left w:val="single" w:color="auto" w:sz="4" w:space="0"/>
              <w:bottom w:val="single" w:color="auto" w:sz="4" w:space="0"/>
              <w:right w:val="single" w:color="auto" w:sz="4" w:space="0"/>
            </w:tcBorders>
            <w:shd w:val="clear" w:color="auto" w:fill="FFFFFF"/>
            <w:vAlign w:val="center"/>
          </w:tcPr>
          <w:p w14:paraId="6C1119CB">
            <w:pPr>
              <w:jc w:val="center"/>
              <w:rPr>
                <w:rFonts w:hint="eastAsia" w:ascii="宋体" w:hAnsi="宋体" w:eastAsia="宋体" w:cs="宋体"/>
                <w:color w:val="000000" w:themeColor="text1"/>
                <w:sz w:val="21"/>
                <w:szCs w:val="21"/>
                <w:highlight w:val="none"/>
              </w:rPr>
            </w:pPr>
          </w:p>
        </w:tc>
      </w:tr>
      <w:tr w14:paraId="16A546F6">
        <w:tblPrEx>
          <w:tblCellMar>
            <w:top w:w="0" w:type="dxa"/>
            <w:left w:w="0" w:type="dxa"/>
            <w:bottom w:w="0" w:type="dxa"/>
            <w:right w:w="0" w:type="dxa"/>
          </w:tblCellMar>
        </w:tblPrEx>
        <w:trPr>
          <w:trHeight w:val="950" w:hRule="exact"/>
          <w:jc w:val="center"/>
        </w:trPr>
        <w:tc>
          <w:tcPr>
            <w:tcW w:w="2554" w:type="dxa"/>
            <w:tcBorders>
              <w:top w:val="single" w:color="auto" w:sz="4" w:space="0"/>
              <w:left w:val="single" w:color="auto" w:sz="4" w:space="0"/>
              <w:bottom w:val="single" w:color="auto" w:sz="4" w:space="0"/>
              <w:right w:val="nil"/>
            </w:tcBorders>
            <w:shd w:val="clear" w:color="auto" w:fill="FFFFFF"/>
            <w:vAlign w:val="center"/>
          </w:tcPr>
          <w:p w14:paraId="3012B905">
            <w:pPr>
              <w:jc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备注</w:t>
            </w:r>
          </w:p>
        </w:tc>
        <w:tc>
          <w:tcPr>
            <w:tcW w:w="7196" w:type="dxa"/>
            <w:tcBorders>
              <w:top w:val="single" w:color="auto" w:sz="4" w:space="0"/>
              <w:left w:val="single" w:color="auto" w:sz="4" w:space="0"/>
              <w:bottom w:val="single" w:color="auto" w:sz="4" w:space="0"/>
              <w:right w:val="single" w:color="auto" w:sz="4" w:space="0"/>
            </w:tcBorders>
            <w:shd w:val="clear" w:color="auto" w:fill="FFFFFF"/>
          </w:tcPr>
          <w:p w14:paraId="5F2A1173">
            <w:pPr>
              <w:rPr>
                <w:rFonts w:hint="eastAsia" w:ascii="宋体" w:hAnsi="宋体" w:eastAsia="宋体" w:cs="宋体"/>
                <w:color w:val="000000" w:themeColor="text1"/>
                <w:sz w:val="21"/>
                <w:szCs w:val="21"/>
                <w:highlight w:val="none"/>
              </w:rPr>
            </w:pPr>
          </w:p>
        </w:tc>
      </w:tr>
    </w:tbl>
    <w:p w14:paraId="41A3B89B">
      <w:pPr>
        <w:rPr>
          <w:rFonts w:hint="eastAsia" w:ascii="宋体" w:hAnsi="宋体" w:eastAsia="宋体" w:cs="宋体"/>
          <w:color w:val="000000" w:themeColor="text1"/>
          <w:highlight w:val="none"/>
        </w:rPr>
      </w:pPr>
    </w:p>
    <w:p w14:paraId="2D4B8635">
      <w:pPr>
        <w:rPr>
          <w:rFonts w:hint="eastAsia" w:ascii="宋体" w:hAnsi="宋体" w:eastAsia="宋体" w:cs="宋体"/>
          <w:color w:val="000000" w:themeColor="text1"/>
          <w:highlight w:val="none"/>
        </w:rPr>
      </w:pPr>
    </w:p>
    <w:p w14:paraId="4277AB20">
      <w:pPr>
        <w:rPr>
          <w:rFonts w:hint="eastAsia" w:ascii="宋体" w:hAnsi="宋体" w:eastAsia="宋体" w:cs="宋体"/>
          <w:color w:val="000000" w:themeColor="text1"/>
          <w:highlight w:val="none"/>
        </w:rPr>
      </w:pPr>
    </w:p>
    <w:p w14:paraId="36728675">
      <w:pPr>
        <w:spacing w:line="360" w:lineRule="auto"/>
        <w:ind w:right="420"/>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供应商：</w:t>
      </w:r>
      <w:r>
        <w:rPr>
          <w:rFonts w:hint="eastAsia" w:ascii="宋体" w:hAnsi="宋体" w:eastAsia="宋体" w:cs="宋体"/>
          <w:color w:val="000000" w:themeColor="text1"/>
          <w:sz w:val="21"/>
          <w:szCs w:val="21"/>
          <w:highlight w:val="none"/>
          <w:u w:val="single"/>
        </w:rPr>
        <w:t xml:space="preserve">                             </w:t>
      </w:r>
      <w:r>
        <w:rPr>
          <w:rFonts w:hint="eastAsia" w:ascii="宋体" w:hAnsi="宋体" w:eastAsia="宋体" w:cs="宋体"/>
          <w:color w:val="000000" w:themeColor="text1"/>
          <w:sz w:val="21"/>
          <w:szCs w:val="21"/>
          <w:highlight w:val="none"/>
        </w:rPr>
        <w:t>（电子签章）</w:t>
      </w:r>
    </w:p>
    <w:p w14:paraId="1644F953">
      <w:pPr>
        <w:spacing w:line="360" w:lineRule="auto"/>
        <w:ind w:right="420"/>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法定代表人</w:t>
      </w:r>
      <w:r>
        <w:rPr>
          <w:rFonts w:hint="eastAsia" w:ascii="宋体" w:hAnsi="宋体" w:eastAsia="宋体" w:cs="宋体"/>
          <w:color w:val="000000" w:themeColor="text1"/>
          <w:sz w:val="21"/>
          <w:szCs w:val="21"/>
          <w:highlight w:val="none"/>
          <w:lang w:eastAsia="zh-CN"/>
        </w:rPr>
        <w:t>（</w:t>
      </w:r>
      <w:r>
        <w:rPr>
          <w:rFonts w:hint="eastAsia" w:ascii="宋体" w:hAnsi="宋体" w:eastAsia="宋体" w:cs="宋体"/>
          <w:color w:val="000000" w:themeColor="text1"/>
          <w:sz w:val="21"/>
          <w:szCs w:val="21"/>
          <w:highlight w:val="none"/>
          <w:lang w:val="en-US" w:eastAsia="zh-CN"/>
        </w:rPr>
        <w:t>负责人</w:t>
      </w:r>
      <w:r>
        <w:rPr>
          <w:rFonts w:hint="eastAsia" w:ascii="宋体" w:hAnsi="宋体" w:eastAsia="宋体" w:cs="宋体"/>
          <w:color w:val="000000" w:themeColor="text1"/>
          <w:sz w:val="21"/>
          <w:szCs w:val="21"/>
          <w:highlight w:val="none"/>
          <w:lang w:eastAsia="zh-CN"/>
        </w:rPr>
        <w:t>）</w:t>
      </w:r>
      <w:r>
        <w:rPr>
          <w:rFonts w:hint="eastAsia" w:ascii="宋体" w:hAnsi="宋体" w:eastAsia="宋体" w:cs="宋体"/>
          <w:color w:val="000000" w:themeColor="text1"/>
          <w:sz w:val="21"/>
          <w:szCs w:val="21"/>
          <w:highlight w:val="none"/>
        </w:rPr>
        <w:t xml:space="preserve">或其委托代理人： </w:t>
      </w:r>
      <w:r>
        <w:rPr>
          <w:rFonts w:hint="eastAsia" w:ascii="宋体" w:hAnsi="宋体" w:eastAsia="宋体" w:cs="宋体"/>
          <w:color w:val="000000" w:themeColor="text1"/>
          <w:sz w:val="21"/>
          <w:szCs w:val="21"/>
          <w:highlight w:val="none"/>
          <w:u w:val="single"/>
        </w:rPr>
        <w:t xml:space="preserve">          </w:t>
      </w:r>
      <w:r>
        <w:rPr>
          <w:rFonts w:hint="eastAsia" w:ascii="宋体" w:hAnsi="宋体" w:eastAsia="宋体" w:cs="宋体"/>
          <w:color w:val="000000" w:themeColor="text1"/>
          <w:sz w:val="21"/>
          <w:szCs w:val="21"/>
          <w:highlight w:val="none"/>
        </w:rPr>
        <w:t>（签字或盖章）</w:t>
      </w:r>
    </w:p>
    <w:p w14:paraId="3E3642A5">
      <w:pPr>
        <w:spacing w:line="360" w:lineRule="auto"/>
        <w:ind w:right="480"/>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                              </w:t>
      </w:r>
    </w:p>
    <w:p w14:paraId="5F8C769A">
      <w:pPr>
        <w:spacing w:line="360" w:lineRule="auto"/>
        <w:ind w:right="480"/>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  </w:t>
      </w:r>
      <w:r>
        <w:rPr>
          <w:rFonts w:hint="eastAsia" w:ascii="宋体" w:hAnsi="宋体" w:eastAsia="宋体" w:cs="宋体"/>
          <w:color w:val="000000" w:themeColor="text1"/>
          <w:sz w:val="21"/>
          <w:szCs w:val="21"/>
          <w:highlight w:val="none"/>
          <w:u w:val="single"/>
        </w:rPr>
        <w:t xml:space="preserve">     </w:t>
      </w:r>
      <w:r>
        <w:rPr>
          <w:rFonts w:hint="eastAsia" w:ascii="宋体" w:hAnsi="宋体" w:eastAsia="宋体" w:cs="宋体"/>
          <w:color w:val="000000" w:themeColor="text1"/>
          <w:sz w:val="21"/>
          <w:szCs w:val="21"/>
          <w:highlight w:val="none"/>
        </w:rPr>
        <w:t>年</w:t>
      </w:r>
      <w:r>
        <w:rPr>
          <w:rFonts w:hint="eastAsia" w:ascii="宋体" w:hAnsi="宋体" w:eastAsia="宋体" w:cs="宋体"/>
          <w:color w:val="000000" w:themeColor="text1"/>
          <w:sz w:val="21"/>
          <w:szCs w:val="21"/>
          <w:highlight w:val="none"/>
          <w:u w:val="single"/>
        </w:rPr>
        <w:t xml:space="preserve">      </w:t>
      </w:r>
      <w:r>
        <w:rPr>
          <w:rFonts w:hint="eastAsia" w:ascii="宋体" w:hAnsi="宋体" w:eastAsia="宋体" w:cs="宋体"/>
          <w:color w:val="000000" w:themeColor="text1"/>
          <w:sz w:val="21"/>
          <w:szCs w:val="21"/>
          <w:highlight w:val="none"/>
        </w:rPr>
        <w:t>月</w:t>
      </w:r>
      <w:r>
        <w:rPr>
          <w:rFonts w:hint="eastAsia" w:ascii="宋体" w:hAnsi="宋体" w:eastAsia="宋体" w:cs="宋体"/>
          <w:color w:val="000000" w:themeColor="text1"/>
          <w:sz w:val="21"/>
          <w:szCs w:val="21"/>
          <w:highlight w:val="none"/>
          <w:u w:val="single"/>
        </w:rPr>
        <w:t xml:space="preserve">       </w:t>
      </w:r>
      <w:r>
        <w:rPr>
          <w:rFonts w:hint="eastAsia" w:ascii="宋体" w:hAnsi="宋体" w:eastAsia="宋体" w:cs="宋体"/>
          <w:color w:val="000000" w:themeColor="text1"/>
          <w:sz w:val="21"/>
          <w:szCs w:val="21"/>
          <w:highlight w:val="none"/>
        </w:rPr>
        <w:t>日</w:t>
      </w:r>
    </w:p>
    <w:bookmarkEnd w:id="391"/>
    <w:bookmarkEnd w:id="392"/>
    <w:bookmarkEnd w:id="393"/>
    <w:bookmarkEnd w:id="394"/>
    <w:bookmarkEnd w:id="395"/>
    <w:bookmarkEnd w:id="396"/>
    <w:p w14:paraId="6AAD75C5">
      <w:pPr>
        <w:rPr>
          <w:rFonts w:hint="eastAsia" w:ascii="宋体" w:hAnsi="宋体" w:eastAsia="宋体" w:cs="宋体"/>
          <w:b/>
          <w:color w:val="000000" w:themeColor="text1"/>
          <w:sz w:val="28"/>
          <w:szCs w:val="28"/>
          <w:highlight w:val="none"/>
        </w:rPr>
      </w:pPr>
      <w:bookmarkStart w:id="397" w:name="_Toc45177869"/>
      <w:bookmarkStart w:id="398" w:name="_Toc878"/>
    </w:p>
    <w:p w14:paraId="64AE61FF">
      <w:pPr>
        <w:rPr>
          <w:rFonts w:hint="eastAsia" w:ascii="宋体" w:hAnsi="宋体" w:eastAsia="宋体" w:cs="宋体"/>
          <w:b/>
          <w:color w:val="000000" w:themeColor="text1"/>
          <w:sz w:val="28"/>
          <w:szCs w:val="28"/>
          <w:highlight w:val="none"/>
        </w:rPr>
      </w:pPr>
    </w:p>
    <w:p w14:paraId="169A50F9">
      <w:pPr>
        <w:jc w:val="center"/>
        <w:rPr>
          <w:rFonts w:hint="eastAsia" w:ascii="宋体" w:hAnsi="宋体" w:eastAsia="宋体" w:cs="宋体"/>
          <w:b w:val="0"/>
          <w:bCs/>
          <w:color w:val="000000" w:themeColor="text1"/>
          <w:sz w:val="22"/>
          <w:szCs w:val="22"/>
          <w:highlight w:val="none"/>
          <w:lang w:val="en-US" w:eastAsia="zh-CN"/>
        </w:rPr>
      </w:pPr>
      <w:r>
        <w:rPr>
          <w:rFonts w:hint="eastAsia" w:ascii="宋体" w:hAnsi="宋体" w:eastAsia="宋体" w:cs="宋体"/>
          <w:b w:val="0"/>
          <w:bCs/>
          <w:color w:val="000000" w:themeColor="text1"/>
          <w:sz w:val="22"/>
          <w:szCs w:val="22"/>
          <w:highlight w:val="none"/>
          <w:lang w:val="en-US" w:eastAsia="zh-CN"/>
        </w:rPr>
        <w:t>附表：报价明细表</w:t>
      </w:r>
    </w:p>
    <w:p w14:paraId="3385379B">
      <w:pPr>
        <w:jc w:val="center"/>
        <w:rPr>
          <w:rFonts w:hint="eastAsia" w:ascii="宋体" w:hAnsi="宋体" w:eastAsia="宋体" w:cs="宋体"/>
          <w:b w:val="0"/>
          <w:bCs/>
          <w:color w:val="000000" w:themeColor="text1"/>
          <w:sz w:val="22"/>
          <w:szCs w:val="22"/>
          <w:highlight w:val="none"/>
          <w:lang w:val="en-US" w:eastAsia="zh-CN"/>
        </w:rPr>
      </w:pPr>
    </w:p>
    <w:tbl>
      <w:tblPr>
        <w:tblStyle w:val="3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92"/>
        <w:gridCol w:w="2426"/>
        <w:gridCol w:w="1660"/>
        <w:gridCol w:w="1660"/>
        <w:gridCol w:w="1660"/>
        <w:gridCol w:w="1660"/>
      </w:tblGrid>
      <w:tr w14:paraId="23EE38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2" w:type="dxa"/>
          </w:tcPr>
          <w:p w14:paraId="001F262E">
            <w:pPr>
              <w:jc w:val="center"/>
              <w:rPr>
                <w:rFonts w:hint="default" w:ascii="宋体" w:hAnsi="宋体" w:eastAsia="宋体" w:cs="宋体"/>
                <w:b w:val="0"/>
                <w:bCs/>
                <w:color w:val="000000" w:themeColor="text1"/>
                <w:sz w:val="21"/>
                <w:szCs w:val="21"/>
                <w:highlight w:val="none"/>
                <w:vertAlign w:val="baseline"/>
                <w:lang w:val="en-US" w:eastAsia="zh-CN"/>
              </w:rPr>
            </w:pPr>
            <w:r>
              <w:rPr>
                <w:rFonts w:hint="eastAsia" w:ascii="宋体" w:hAnsi="宋体" w:eastAsia="宋体" w:cs="宋体"/>
                <w:b w:val="0"/>
                <w:bCs/>
                <w:color w:val="000000" w:themeColor="text1"/>
                <w:sz w:val="21"/>
                <w:szCs w:val="21"/>
                <w:highlight w:val="none"/>
                <w:vertAlign w:val="baseline"/>
                <w:lang w:val="en-US" w:eastAsia="zh-CN"/>
              </w:rPr>
              <w:t>序号</w:t>
            </w:r>
          </w:p>
        </w:tc>
        <w:tc>
          <w:tcPr>
            <w:tcW w:w="2426" w:type="dxa"/>
          </w:tcPr>
          <w:p w14:paraId="7AF8402A">
            <w:pPr>
              <w:jc w:val="center"/>
              <w:rPr>
                <w:rFonts w:hint="default" w:ascii="宋体" w:hAnsi="宋体" w:eastAsia="宋体" w:cs="宋体"/>
                <w:b w:val="0"/>
                <w:bCs/>
                <w:color w:val="000000" w:themeColor="text1"/>
                <w:sz w:val="21"/>
                <w:szCs w:val="21"/>
                <w:highlight w:val="none"/>
                <w:vertAlign w:val="baseline"/>
                <w:lang w:val="en-US" w:eastAsia="zh-CN"/>
              </w:rPr>
            </w:pPr>
            <w:r>
              <w:rPr>
                <w:rFonts w:hint="eastAsia" w:ascii="宋体" w:hAnsi="宋体" w:eastAsia="宋体" w:cs="宋体"/>
                <w:b w:val="0"/>
                <w:bCs/>
                <w:color w:val="000000" w:themeColor="text1"/>
                <w:sz w:val="21"/>
                <w:szCs w:val="21"/>
                <w:highlight w:val="none"/>
                <w:vertAlign w:val="baseline"/>
                <w:lang w:val="en-US" w:eastAsia="zh-CN"/>
              </w:rPr>
              <w:t>服务内容</w:t>
            </w:r>
          </w:p>
        </w:tc>
        <w:tc>
          <w:tcPr>
            <w:tcW w:w="1660" w:type="dxa"/>
          </w:tcPr>
          <w:p w14:paraId="3C862D74">
            <w:pPr>
              <w:jc w:val="center"/>
              <w:rPr>
                <w:rFonts w:hint="default" w:ascii="宋体" w:hAnsi="宋体" w:eastAsia="宋体" w:cs="宋体"/>
                <w:b w:val="0"/>
                <w:bCs/>
                <w:color w:val="000000" w:themeColor="text1"/>
                <w:sz w:val="21"/>
                <w:szCs w:val="21"/>
                <w:highlight w:val="none"/>
                <w:vertAlign w:val="baseline"/>
                <w:lang w:val="en-US" w:eastAsia="zh-CN"/>
              </w:rPr>
            </w:pPr>
            <w:r>
              <w:rPr>
                <w:rFonts w:hint="eastAsia" w:ascii="宋体" w:hAnsi="宋体" w:eastAsia="宋体" w:cs="宋体"/>
                <w:b w:val="0"/>
                <w:bCs/>
                <w:color w:val="000000" w:themeColor="text1"/>
                <w:sz w:val="21"/>
                <w:szCs w:val="21"/>
                <w:highlight w:val="none"/>
                <w:vertAlign w:val="baseline"/>
                <w:lang w:val="en-US" w:eastAsia="zh-CN"/>
              </w:rPr>
              <w:t>单价</w:t>
            </w:r>
          </w:p>
        </w:tc>
        <w:tc>
          <w:tcPr>
            <w:tcW w:w="1660" w:type="dxa"/>
          </w:tcPr>
          <w:p w14:paraId="614D4D49">
            <w:pPr>
              <w:jc w:val="center"/>
              <w:rPr>
                <w:rFonts w:hint="default" w:ascii="宋体" w:hAnsi="宋体" w:eastAsia="宋体" w:cs="宋体"/>
                <w:b w:val="0"/>
                <w:bCs/>
                <w:color w:val="000000" w:themeColor="text1"/>
                <w:sz w:val="21"/>
                <w:szCs w:val="21"/>
                <w:highlight w:val="none"/>
                <w:vertAlign w:val="baseline"/>
                <w:lang w:val="en-US" w:eastAsia="zh-CN"/>
              </w:rPr>
            </w:pPr>
            <w:r>
              <w:rPr>
                <w:rFonts w:hint="eastAsia" w:ascii="宋体" w:hAnsi="宋体" w:eastAsia="宋体" w:cs="宋体"/>
                <w:b w:val="0"/>
                <w:bCs/>
                <w:color w:val="000000" w:themeColor="text1"/>
                <w:sz w:val="21"/>
                <w:szCs w:val="21"/>
                <w:highlight w:val="none"/>
                <w:vertAlign w:val="baseline"/>
                <w:lang w:val="en-US" w:eastAsia="zh-CN"/>
              </w:rPr>
              <w:t>数量</w:t>
            </w:r>
          </w:p>
        </w:tc>
        <w:tc>
          <w:tcPr>
            <w:tcW w:w="1660" w:type="dxa"/>
          </w:tcPr>
          <w:p w14:paraId="15B2D7A6">
            <w:pPr>
              <w:jc w:val="center"/>
              <w:rPr>
                <w:rFonts w:hint="default" w:ascii="宋体" w:hAnsi="宋体" w:eastAsia="宋体" w:cs="宋体"/>
                <w:b w:val="0"/>
                <w:bCs/>
                <w:color w:val="000000" w:themeColor="text1"/>
                <w:sz w:val="21"/>
                <w:szCs w:val="21"/>
                <w:highlight w:val="none"/>
                <w:vertAlign w:val="baseline"/>
                <w:lang w:val="en-US" w:eastAsia="zh-CN"/>
              </w:rPr>
            </w:pPr>
            <w:r>
              <w:rPr>
                <w:rFonts w:hint="eastAsia" w:ascii="宋体" w:hAnsi="宋体" w:eastAsia="宋体" w:cs="宋体"/>
                <w:b w:val="0"/>
                <w:bCs/>
                <w:color w:val="000000" w:themeColor="text1"/>
                <w:sz w:val="21"/>
                <w:szCs w:val="21"/>
                <w:highlight w:val="none"/>
                <w:vertAlign w:val="baseline"/>
                <w:lang w:val="en-US" w:eastAsia="zh-CN"/>
              </w:rPr>
              <w:t>总价</w:t>
            </w:r>
          </w:p>
        </w:tc>
        <w:tc>
          <w:tcPr>
            <w:tcW w:w="1660" w:type="dxa"/>
          </w:tcPr>
          <w:p w14:paraId="5ED89C7E">
            <w:pPr>
              <w:jc w:val="center"/>
              <w:rPr>
                <w:rFonts w:hint="default" w:ascii="宋体" w:hAnsi="宋体" w:eastAsia="宋体" w:cs="宋体"/>
                <w:b w:val="0"/>
                <w:bCs/>
                <w:color w:val="000000" w:themeColor="text1"/>
                <w:sz w:val="21"/>
                <w:szCs w:val="21"/>
                <w:highlight w:val="none"/>
                <w:vertAlign w:val="baseline"/>
                <w:lang w:val="en-US" w:eastAsia="zh-CN"/>
              </w:rPr>
            </w:pPr>
            <w:r>
              <w:rPr>
                <w:rFonts w:hint="eastAsia" w:ascii="宋体" w:hAnsi="宋体" w:eastAsia="宋体" w:cs="宋体"/>
                <w:b w:val="0"/>
                <w:bCs/>
                <w:color w:val="000000" w:themeColor="text1"/>
                <w:sz w:val="21"/>
                <w:szCs w:val="21"/>
                <w:highlight w:val="none"/>
                <w:vertAlign w:val="baseline"/>
                <w:lang w:val="en-US" w:eastAsia="zh-CN"/>
              </w:rPr>
              <w:t>备注</w:t>
            </w:r>
          </w:p>
        </w:tc>
      </w:tr>
      <w:tr w14:paraId="3D4BA0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2" w:type="dxa"/>
          </w:tcPr>
          <w:p w14:paraId="2296980C">
            <w:pPr>
              <w:jc w:val="center"/>
              <w:rPr>
                <w:rFonts w:hint="eastAsia" w:ascii="宋体" w:hAnsi="宋体" w:eastAsia="宋体" w:cs="宋体"/>
                <w:b w:val="0"/>
                <w:bCs/>
                <w:color w:val="000000" w:themeColor="text1"/>
                <w:sz w:val="21"/>
                <w:szCs w:val="21"/>
                <w:highlight w:val="none"/>
                <w:vertAlign w:val="baseline"/>
                <w:lang w:val="en-US" w:eastAsia="zh-CN"/>
              </w:rPr>
            </w:pPr>
          </w:p>
        </w:tc>
        <w:tc>
          <w:tcPr>
            <w:tcW w:w="2426" w:type="dxa"/>
          </w:tcPr>
          <w:p w14:paraId="7C3A7BAC">
            <w:pPr>
              <w:jc w:val="center"/>
              <w:rPr>
                <w:rFonts w:hint="eastAsia" w:ascii="宋体" w:hAnsi="宋体" w:eastAsia="宋体" w:cs="宋体"/>
                <w:b w:val="0"/>
                <w:bCs/>
                <w:color w:val="000000" w:themeColor="text1"/>
                <w:sz w:val="21"/>
                <w:szCs w:val="21"/>
                <w:highlight w:val="none"/>
                <w:vertAlign w:val="baseline"/>
                <w:lang w:val="en-US" w:eastAsia="zh-CN"/>
              </w:rPr>
            </w:pPr>
          </w:p>
        </w:tc>
        <w:tc>
          <w:tcPr>
            <w:tcW w:w="1660" w:type="dxa"/>
          </w:tcPr>
          <w:p w14:paraId="73148DE2">
            <w:pPr>
              <w:jc w:val="center"/>
              <w:rPr>
                <w:rFonts w:hint="eastAsia" w:ascii="宋体" w:hAnsi="宋体" w:eastAsia="宋体" w:cs="宋体"/>
                <w:b w:val="0"/>
                <w:bCs/>
                <w:color w:val="000000" w:themeColor="text1"/>
                <w:sz w:val="21"/>
                <w:szCs w:val="21"/>
                <w:highlight w:val="none"/>
                <w:vertAlign w:val="baseline"/>
                <w:lang w:val="en-US" w:eastAsia="zh-CN"/>
              </w:rPr>
            </w:pPr>
          </w:p>
        </w:tc>
        <w:tc>
          <w:tcPr>
            <w:tcW w:w="1660" w:type="dxa"/>
          </w:tcPr>
          <w:p w14:paraId="32680837">
            <w:pPr>
              <w:jc w:val="center"/>
              <w:rPr>
                <w:rFonts w:hint="eastAsia" w:ascii="宋体" w:hAnsi="宋体" w:eastAsia="宋体" w:cs="宋体"/>
                <w:b w:val="0"/>
                <w:bCs/>
                <w:color w:val="000000" w:themeColor="text1"/>
                <w:sz w:val="21"/>
                <w:szCs w:val="21"/>
                <w:highlight w:val="none"/>
                <w:vertAlign w:val="baseline"/>
                <w:lang w:val="en-US" w:eastAsia="zh-CN"/>
              </w:rPr>
            </w:pPr>
          </w:p>
        </w:tc>
        <w:tc>
          <w:tcPr>
            <w:tcW w:w="1660" w:type="dxa"/>
          </w:tcPr>
          <w:p w14:paraId="122D970E">
            <w:pPr>
              <w:jc w:val="center"/>
              <w:rPr>
                <w:rFonts w:hint="eastAsia" w:ascii="宋体" w:hAnsi="宋体" w:eastAsia="宋体" w:cs="宋体"/>
                <w:b w:val="0"/>
                <w:bCs/>
                <w:color w:val="000000" w:themeColor="text1"/>
                <w:sz w:val="21"/>
                <w:szCs w:val="21"/>
                <w:highlight w:val="none"/>
                <w:vertAlign w:val="baseline"/>
                <w:lang w:val="en-US" w:eastAsia="zh-CN"/>
              </w:rPr>
            </w:pPr>
          </w:p>
        </w:tc>
        <w:tc>
          <w:tcPr>
            <w:tcW w:w="1660" w:type="dxa"/>
          </w:tcPr>
          <w:p w14:paraId="205B0916">
            <w:pPr>
              <w:jc w:val="center"/>
              <w:rPr>
                <w:rFonts w:hint="eastAsia" w:ascii="宋体" w:hAnsi="宋体" w:eastAsia="宋体" w:cs="宋体"/>
                <w:b w:val="0"/>
                <w:bCs/>
                <w:color w:val="000000" w:themeColor="text1"/>
                <w:sz w:val="21"/>
                <w:szCs w:val="21"/>
                <w:highlight w:val="none"/>
                <w:vertAlign w:val="baseline"/>
                <w:lang w:val="en-US" w:eastAsia="zh-CN"/>
              </w:rPr>
            </w:pPr>
          </w:p>
        </w:tc>
      </w:tr>
      <w:tr w14:paraId="298909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2" w:type="dxa"/>
          </w:tcPr>
          <w:p w14:paraId="2F57E6FD">
            <w:pPr>
              <w:jc w:val="center"/>
              <w:rPr>
                <w:rFonts w:hint="eastAsia" w:ascii="宋体" w:hAnsi="宋体" w:eastAsia="宋体" w:cs="宋体"/>
                <w:b w:val="0"/>
                <w:bCs/>
                <w:color w:val="000000" w:themeColor="text1"/>
                <w:sz w:val="21"/>
                <w:szCs w:val="21"/>
                <w:highlight w:val="none"/>
                <w:vertAlign w:val="baseline"/>
                <w:lang w:val="en-US" w:eastAsia="zh-CN"/>
              </w:rPr>
            </w:pPr>
          </w:p>
        </w:tc>
        <w:tc>
          <w:tcPr>
            <w:tcW w:w="2426" w:type="dxa"/>
          </w:tcPr>
          <w:p w14:paraId="6ACAA05C">
            <w:pPr>
              <w:jc w:val="center"/>
              <w:rPr>
                <w:rFonts w:hint="eastAsia" w:ascii="宋体" w:hAnsi="宋体" w:eastAsia="宋体" w:cs="宋体"/>
                <w:b w:val="0"/>
                <w:bCs/>
                <w:color w:val="000000" w:themeColor="text1"/>
                <w:sz w:val="21"/>
                <w:szCs w:val="21"/>
                <w:highlight w:val="none"/>
                <w:vertAlign w:val="baseline"/>
                <w:lang w:val="en-US" w:eastAsia="zh-CN"/>
              </w:rPr>
            </w:pPr>
          </w:p>
        </w:tc>
        <w:tc>
          <w:tcPr>
            <w:tcW w:w="1660" w:type="dxa"/>
          </w:tcPr>
          <w:p w14:paraId="46D638F1">
            <w:pPr>
              <w:jc w:val="center"/>
              <w:rPr>
                <w:rFonts w:hint="eastAsia" w:ascii="宋体" w:hAnsi="宋体" w:eastAsia="宋体" w:cs="宋体"/>
                <w:b w:val="0"/>
                <w:bCs/>
                <w:color w:val="000000" w:themeColor="text1"/>
                <w:sz w:val="21"/>
                <w:szCs w:val="21"/>
                <w:highlight w:val="none"/>
                <w:vertAlign w:val="baseline"/>
                <w:lang w:val="en-US" w:eastAsia="zh-CN"/>
              </w:rPr>
            </w:pPr>
          </w:p>
        </w:tc>
        <w:tc>
          <w:tcPr>
            <w:tcW w:w="1660" w:type="dxa"/>
          </w:tcPr>
          <w:p w14:paraId="7C12B8A2">
            <w:pPr>
              <w:jc w:val="center"/>
              <w:rPr>
                <w:rFonts w:hint="eastAsia" w:ascii="宋体" w:hAnsi="宋体" w:eastAsia="宋体" w:cs="宋体"/>
                <w:b w:val="0"/>
                <w:bCs/>
                <w:color w:val="000000" w:themeColor="text1"/>
                <w:sz w:val="21"/>
                <w:szCs w:val="21"/>
                <w:highlight w:val="none"/>
                <w:vertAlign w:val="baseline"/>
                <w:lang w:val="en-US" w:eastAsia="zh-CN"/>
              </w:rPr>
            </w:pPr>
          </w:p>
        </w:tc>
        <w:tc>
          <w:tcPr>
            <w:tcW w:w="1660" w:type="dxa"/>
          </w:tcPr>
          <w:p w14:paraId="1D4E72A5">
            <w:pPr>
              <w:jc w:val="center"/>
              <w:rPr>
                <w:rFonts w:hint="eastAsia" w:ascii="宋体" w:hAnsi="宋体" w:eastAsia="宋体" w:cs="宋体"/>
                <w:b w:val="0"/>
                <w:bCs/>
                <w:color w:val="000000" w:themeColor="text1"/>
                <w:sz w:val="21"/>
                <w:szCs w:val="21"/>
                <w:highlight w:val="none"/>
                <w:vertAlign w:val="baseline"/>
                <w:lang w:val="en-US" w:eastAsia="zh-CN"/>
              </w:rPr>
            </w:pPr>
          </w:p>
        </w:tc>
        <w:tc>
          <w:tcPr>
            <w:tcW w:w="1660" w:type="dxa"/>
          </w:tcPr>
          <w:p w14:paraId="2E5C7D55">
            <w:pPr>
              <w:jc w:val="center"/>
              <w:rPr>
                <w:rFonts w:hint="eastAsia" w:ascii="宋体" w:hAnsi="宋体" w:eastAsia="宋体" w:cs="宋体"/>
                <w:b w:val="0"/>
                <w:bCs/>
                <w:color w:val="000000" w:themeColor="text1"/>
                <w:sz w:val="21"/>
                <w:szCs w:val="21"/>
                <w:highlight w:val="none"/>
                <w:vertAlign w:val="baseline"/>
                <w:lang w:val="en-US" w:eastAsia="zh-CN"/>
              </w:rPr>
            </w:pPr>
          </w:p>
        </w:tc>
      </w:tr>
      <w:tr w14:paraId="54C72B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2" w:type="dxa"/>
          </w:tcPr>
          <w:p w14:paraId="1484DDEF">
            <w:pPr>
              <w:jc w:val="center"/>
              <w:rPr>
                <w:rFonts w:hint="eastAsia" w:ascii="宋体" w:hAnsi="宋体" w:eastAsia="宋体" w:cs="宋体"/>
                <w:b w:val="0"/>
                <w:bCs/>
                <w:color w:val="000000" w:themeColor="text1"/>
                <w:sz w:val="21"/>
                <w:szCs w:val="21"/>
                <w:highlight w:val="none"/>
                <w:vertAlign w:val="baseline"/>
                <w:lang w:val="en-US" w:eastAsia="zh-CN"/>
              </w:rPr>
            </w:pPr>
          </w:p>
        </w:tc>
        <w:tc>
          <w:tcPr>
            <w:tcW w:w="2426" w:type="dxa"/>
          </w:tcPr>
          <w:p w14:paraId="263D9E00">
            <w:pPr>
              <w:jc w:val="center"/>
              <w:rPr>
                <w:rFonts w:hint="eastAsia" w:ascii="宋体" w:hAnsi="宋体" w:eastAsia="宋体" w:cs="宋体"/>
                <w:b w:val="0"/>
                <w:bCs/>
                <w:color w:val="000000" w:themeColor="text1"/>
                <w:sz w:val="21"/>
                <w:szCs w:val="21"/>
                <w:highlight w:val="none"/>
                <w:vertAlign w:val="baseline"/>
                <w:lang w:val="en-US" w:eastAsia="zh-CN"/>
              </w:rPr>
            </w:pPr>
          </w:p>
        </w:tc>
        <w:tc>
          <w:tcPr>
            <w:tcW w:w="1660" w:type="dxa"/>
          </w:tcPr>
          <w:p w14:paraId="0D2CAE78">
            <w:pPr>
              <w:jc w:val="center"/>
              <w:rPr>
                <w:rFonts w:hint="eastAsia" w:ascii="宋体" w:hAnsi="宋体" w:eastAsia="宋体" w:cs="宋体"/>
                <w:b w:val="0"/>
                <w:bCs/>
                <w:color w:val="000000" w:themeColor="text1"/>
                <w:sz w:val="21"/>
                <w:szCs w:val="21"/>
                <w:highlight w:val="none"/>
                <w:vertAlign w:val="baseline"/>
                <w:lang w:val="en-US" w:eastAsia="zh-CN"/>
              </w:rPr>
            </w:pPr>
          </w:p>
        </w:tc>
        <w:tc>
          <w:tcPr>
            <w:tcW w:w="1660" w:type="dxa"/>
          </w:tcPr>
          <w:p w14:paraId="5A5F3D6E">
            <w:pPr>
              <w:jc w:val="center"/>
              <w:rPr>
                <w:rFonts w:hint="eastAsia" w:ascii="宋体" w:hAnsi="宋体" w:eastAsia="宋体" w:cs="宋体"/>
                <w:b w:val="0"/>
                <w:bCs/>
                <w:color w:val="000000" w:themeColor="text1"/>
                <w:sz w:val="21"/>
                <w:szCs w:val="21"/>
                <w:highlight w:val="none"/>
                <w:vertAlign w:val="baseline"/>
                <w:lang w:val="en-US" w:eastAsia="zh-CN"/>
              </w:rPr>
            </w:pPr>
          </w:p>
        </w:tc>
        <w:tc>
          <w:tcPr>
            <w:tcW w:w="1660" w:type="dxa"/>
          </w:tcPr>
          <w:p w14:paraId="5371F1F5">
            <w:pPr>
              <w:jc w:val="center"/>
              <w:rPr>
                <w:rFonts w:hint="eastAsia" w:ascii="宋体" w:hAnsi="宋体" w:eastAsia="宋体" w:cs="宋体"/>
                <w:b w:val="0"/>
                <w:bCs/>
                <w:color w:val="000000" w:themeColor="text1"/>
                <w:sz w:val="21"/>
                <w:szCs w:val="21"/>
                <w:highlight w:val="none"/>
                <w:vertAlign w:val="baseline"/>
                <w:lang w:val="en-US" w:eastAsia="zh-CN"/>
              </w:rPr>
            </w:pPr>
          </w:p>
        </w:tc>
        <w:tc>
          <w:tcPr>
            <w:tcW w:w="1660" w:type="dxa"/>
          </w:tcPr>
          <w:p w14:paraId="0686BDD6">
            <w:pPr>
              <w:jc w:val="center"/>
              <w:rPr>
                <w:rFonts w:hint="eastAsia" w:ascii="宋体" w:hAnsi="宋体" w:eastAsia="宋体" w:cs="宋体"/>
                <w:b w:val="0"/>
                <w:bCs/>
                <w:color w:val="000000" w:themeColor="text1"/>
                <w:sz w:val="21"/>
                <w:szCs w:val="21"/>
                <w:highlight w:val="none"/>
                <w:vertAlign w:val="baseline"/>
                <w:lang w:val="en-US" w:eastAsia="zh-CN"/>
              </w:rPr>
            </w:pPr>
          </w:p>
        </w:tc>
      </w:tr>
      <w:tr w14:paraId="58D975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2" w:type="dxa"/>
          </w:tcPr>
          <w:p w14:paraId="4F0CF61B">
            <w:pPr>
              <w:jc w:val="center"/>
              <w:rPr>
                <w:rFonts w:hint="eastAsia" w:ascii="宋体" w:hAnsi="宋体" w:eastAsia="宋体" w:cs="宋体"/>
                <w:b w:val="0"/>
                <w:bCs/>
                <w:color w:val="000000" w:themeColor="text1"/>
                <w:sz w:val="21"/>
                <w:szCs w:val="21"/>
                <w:highlight w:val="none"/>
                <w:vertAlign w:val="baseline"/>
                <w:lang w:val="en-US" w:eastAsia="zh-CN"/>
              </w:rPr>
            </w:pPr>
          </w:p>
        </w:tc>
        <w:tc>
          <w:tcPr>
            <w:tcW w:w="2426" w:type="dxa"/>
          </w:tcPr>
          <w:p w14:paraId="4557AB20">
            <w:pPr>
              <w:jc w:val="center"/>
              <w:rPr>
                <w:rFonts w:hint="eastAsia" w:ascii="宋体" w:hAnsi="宋体" w:eastAsia="宋体" w:cs="宋体"/>
                <w:b w:val="0"/>
                <w:bCs/>
                <w:color w:val="000000" w:themeColor="text1"/>
                <w:sz w:val="21"/>
                <w:szCs w:val="21"/>
                <w:highlight w:val="none"/>
                <w:vertAlign w:val="baseline"/>
                <w:lang w:val="en-US" w:eastAsia="zh-CN"/>
              </w:rPr>
            </w:pPr>
          </w:p>
        </w:tc>
        <w:tc>
          <w:tcPr>
            <w:tcW w:w="1660" w:type="dxa"/>
          </w:tcPr>
          <w:p w14:paraId="2F27FBC1">
            <w:pPr>
              <w:jc w:val="center"/>
              <w:rPr>
                <w:rFonts w:hint="eastAsia" w:ascii="宋体" w:hAnsi="宋体" w:eastAsia="宋体" w:cs="宋体"/>
                <w:b w:val="0"/>
                <w:bCs/>
                <w:color w:val="000000" w:themeColor="text1"/>
                <w:sz w:val="21"/>
                <w:szCs w:val="21"/>
                <w:highlight w:val="none"/>
                <w:vertAlign w:val="baseline"/>
                <w:lang w:val="en-US" w:eastAsia="zh-CN"/>
              </w:rPr>
            </w:pPr>
          </w:p>
        </w:tc>
        <w:tc>
          <w:tcPr>
            <w:tcW w:w="1660" w:type="dxa"/>
          </w:tcPr>
          <w:p w14:paraId="5F630FC3">
            <w:pPr>
              <w:jc w:val="center"/>
              <w:rPr>
                <w:rFonts w:hint="eastAsia" w:ascii="宋体" w:hAnsi="宋体" w:eastAsia="宋体" w:cs="宋体"/>
                <w:b w:val="0"/>
                <w:bCs/>
                <w:color w:val="000000" w:themeColor="text1"/>
                <w:sz w:val="21"/>
                <w:szCs w:val="21"/>
                <w:highlight w:val="none"/>
                <w:vertAlign w:val="baseline"/>
                <w:lang w:val="en-US" w:eastAsia="zh-CN"/>
              </w:rPr>
            </w:pPr>
          </w:p>
        </w:tc>
        <w:tc>
          <w:tcPr>
            <w:tcW w:w="1660" w:type="dxa"/>
          </w:tcPr>
          <w:p w14:paraId="06E0CED8">
            <w:pPr>
              <w:jc w:val="center"/>
              <w:rPr>
                <w:rFonts w:hint="eastAsia" w:ascii="宋体" w:hAnsi="宋体" w:eastAsia="宋体" w:cs="宋体"/>
                <w:b w:val="0"/>
                <w:bCs/>
                <w:color w:val="000000" w:themeColor="text1"/>
                <w:sz w:val="21"/>
                <w:szCs w:val="21"/>
                <w:highlight w:val="none"/>
                <w:vertAlign w:val="baseline"/>
                <w:lang w:val="en-US" w:eastAsia="zh-CN"/>
              </w:rPr>
            </w:pPr>
          </w:p>
        </w:tc>
        <w:tc>
          <w:tcPr>
            <w:tcW w:w="1660" w:type="dxa"/>
          </w:tcPr>
          <w:p w14:paraId="6380E0CC">
            <w:pPr>
              <w:jc w:val="center"/>
              <w:rPr>
                <w:rFonts w:hint="eastAsia" w:ascii="宋体" w:hAnsi="宋体" w:eastAsia="宋体" w:cs="宋体"/>
                <w:b w:val="0"/>
                <w:bCs/>
                <w:color w:val="000000" w:themeColor="text1"/>
                <w:sz w:val="21"/>
                <w:szCs w:val="21"/>
                <w:highlight w:val="none"/>
                <w:vertAlign w:val="baseline"/>
                <w:lang w:val="en-US" w:eastAsia="zh-CN"/>
              </w:rPr>
            </w:pPr>
          </w:p>
        </w:tc>
      </w:tr>
    </w:tbl>
    <w:p w14:paraId="667655ED">
      <w:pPr>
        <w:jc w:val="left"/>
        <w:rPr>
          <w:rFonts w:hint="eastAsia" w:ascii="宋体" w:hAnsi="宋体" w:eastAsia="宋体" w:cs="宋体"/>
          <w:b w:val="0"/>
          <w:bCs/>
          <w:color w:val="000000" w:themeColor="text1"/>
          <w:sz w:val="22"/>
          <w:szCs w:val="22"/>
          <w:highlight w:val="none"/>
          <w:lang w:val="en-US" w:eastAsia="zh-CN"/>
        </w:rPr>
      </w:pPr>
    </w:p>
    <w:p w14:paraId="54569ABE">
      <w:pPr>
        <w:jc w:val="left"/>
        <w:rPr>
          <w:rFonts w:hint="eastAsia" w:ascii="宋体" w:hAnsi="宋体" w:eastAsia="宋体" w:cs="宋体"/>
          <w:b w:val="0"/>
          <w:bCs/>
          <w:color w:val="000000" w:themeColor="text1"/>
          <w:sz w:val="21"/>
          <w:szCs w:val="21"/>
          <w:highlight w:val="none"/>
          <w:lang w:val="en-US" w:eastAsia="zh-CN"/>
        </w:rPr>
      </w:pPr>
      <w:r>
        <w:rPr>
          <w:rFonts w:hint="eastAsia" w:ascii="宋体" w:hAnsi="宋体" w:eastAsia="宋体" w:cs="宋体"/>
          <w:b w:val="0"/>
          <w:bCs/>
          <w:color w:val="000000" w:themeColor="text1"/>
          <w:sz w:val="21"/>
          <w:szCs w:val="21"/>
          <w:highlight w:val="none"/>
          <w:lang w:val="en-US" w:eastAsia="zh-CN"/>
        </w:rPr>
        <w:t>注：供应商可根据实际情况自行调整本表格式。</w:t>
      </w:r>
    </w:p>
    <w:p w14:paraId="1C3BCAA3">
      <w:pPr>
        <w:spacing w:line="360" w:lineRule="auto"/>
        <w:ind w:right="420"/>
        <w:rPr>
          <w:rFonts w:hint="eastAsia" w:ascii="宋体" w:hAnsi="宋体" w:eastAsia="宋体" w:cs="宋体"/>
          <w:color w:val="000000" w:themeColor="text1"/>
          <w:sz w:val="21"/>
          <w:szCs w:val="21"/>
          <w:highlight w:val="none"/>
        </w:rPr>
      </w:pPr>
      <w:bookmarkStart w:id="399" w:name="_Toc23180"/>
      <w:r>
        <w:rPr>
          <w:rFonts w:hint="eastAsia" w:ascii="宋体" w:hAnsi="宋体" w:eastAsia="宋体" w:cs="宋体"/>
          <w:color w:val="000000" w:themeColor="text1"/>
          <w:sz w:val="21"/>
          <w:szCs w:val="21"/>
          <w:highlight w:val="none"/>
        </w:rPr>
        <w:t>供应商：</w:t>
      </w:r>
      <w:r>
        <w:rPr>
          <w:rFonts w:hint="eastAsia" w:ascii="宋体" w:hAnsi="宋体" w:eastAsia="宋体" w:cs="宋体"/>
          <w:color w:val="000000" w:themeColor="text1"/>
          <w:sz w:val="21"/>
          <w:szCs w:val="21"/>
          <w:highlight w:val="none"/>
          <w:u w:val="single"/>
        </w:rPr>
        <w:t xml:space="preserve">                             </w:t>
      </w:r>
      <w:r>
        <w:rPr>
          <w:rFonts w:hint="eastAsia" w:ascii="宋体" w:hAnsi="宋体" w:eastAsia="宋体" w:cs="宋体"/>
          <w:color w:val="000000" w:themeColor="text1"/>
          <w:sz w:val="21"/>
          <w:szCs w:val="21"/>
          <w:highlight w:val="none"/>
        </w:rPr>
        <w:t>（电子签章）</w:t>
      </w:r>
    </w:p>
    <w:p w14:paraId="42F2E1B0">
      <w:pPr>
        <w:spacing w:line="360" w:lineRule="auto"/>
        <w:ind w:right="420"/>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法定代表人</w:t>
      </w:r>
      <w:r>
        <w:rPr>
          <w:rFonts w:hint="eastAsia" w:ascii="宋体" w:hAnsi="宋体" w:eastAsia="宋体" w:cs="宋体"/>
          <w:color w:val="000000" w:themeColor="text1"/>
          <w:sz w:val="21"/>
          <w:szCs w:val="21"/>
          <w:highlight w:val="none"/>
          <w:lang w:eastAsia="zh-CN"/>
        </w:rPr>
        <w:t>（</w:t>
      </w:r>
      <w:r>
        <w:rPr>
          <w:rFonts w:hint="eastAsia" w:ascii="宋体" w:hAnsi="宋体" w:eastAsia="宋体" w:cs="宋体"/>
          <w:color w:val="000000" w:themeColor="text1"/>
          <w:sz w:val="21"/>
          <w:szCs w:val="21"/>
          <w:highlight w:val="none"/>
          <w:lang w:val="en-US" w:eastAsia="zh-CN"/>
        </w:rPr>
        <w:t>负责人</w:t>
      </w:r>
      <w:r>
        <w:rPr>
          <w:rFonts w:hint="eastAsia" w:ascii="宋体" w:hAnsi="宋体" w:eastAsia="宋体" w:cs="宋体"/>
          <w:color w:val="000000" w:themeColor="text1"/>
          <w:sz w:val="21"/>
          <w:szCs w:val="21"/>
          <w:highlight w:val="none"/>
          <w:lang w:eastAsia="zh-CN"/>
        </w:rPr>
        <w:t>）</w:t>
      </w:r>
      <w:r>
        <w:rPr>
          <w:rFonts w:hint="eastAsia" w:ascii="宋体" w:hAnsi="宋体" w:eastAsia="宋体" w:cs="宋体"/>
          <w:color w:val="000000" w:themeColor="text1"/>
          <w:sz w:val="21"/>
          <w:szCs w:val="21"/>
          <w:highlight w:val="none"/>
        </w:rPr>
        <w:t xml:space="preserve">或其委托代理人： </w:t>
      </w:r>
      <w:r>
        <w:rPr>
          <w:rFonts w:hint="eastAsia" w:ascii="宋体" w:hAnsi="宋体" w:eastAsia="宋体" w:cs="宋体"/>
          <w:color w:val="000000" w:themeColor="text1"/>
          <w:sz w:val="21"/>
          <w:szCs w:val="21"/>
          <w:highlight w:val="none"/>
          <w:u w:val="single"/>
        </w:rPr>
        <w:t xml:space="preserve">          </w:t>
      </w:r>
      <w:r>
        <w:rPr>
          <w:rFonts w:hint="eastAsia" w:ascii="宋体" w:hAnsi="宋体" w:eastAsia="宋体" w:cs="宋体"/>
          <w:color w:val="000000" w:themeColor="text1"/>
          <w:sz w:val="21"/>
          <w:szCs w:val="21"/>
          <w:highlight w:val="none"/>
        </w:rPr>
        <w:t>（签字或盖章）</w:t>
      </w:r>
    </w:p>
    <w:p w14:paraId="37DBE5FC">
      <w:pPr>
        <w:spacing w:line="360" w:lineRule="auto"/>
        <w:ind w:right="480"/>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                              </w:t>
      </w:r>
    </w:p>
    <w:p w14:paraId="0AADAEE1">
      <w:pPr>
        <w:spacing w:line="360" w:lineRule="auto"/>
        <w:ind w:right="480"/>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  </w:t>
      </w:r>
      <w:r>
        <w:rPr>
          <w:rFonts w:hint="eastAsia" w:ascii="宋体" w:hAnsi="宋体" w:eastAsia="宋体" w:cs="宋体"/>
          <w:color w:val="000000" w:themeColor="text1"/>
          <w:sz w:val="21"/>
          <w:szCs w:val="21"/>
          <w:highlight w:val="none"/>
          <w:u w:val="single"/>
        </w:rPr>
        <w:t xml:space="preserve">     </w:t>
      </w:r>
      <w:r>
        <w:rPr>
          <w:rFonts w:hint="eastAsia" w:ascii="宋体" w:hAnsi="宋体" w:eastAsia="宋体" w:cs="宋体"/>
          <w:color w:val="000000" w:themeColor="text1"/>
          <w:sz w:val="21"/>
          <w:szCs w:val="21"/>
          <w:highlight w:val="none"/>
        </w:rPr>
        <w:t>年</w:t>
      </w:r>
      <w:r>
        <w:rPr>
          <w:rFonts w:hint="eastAsia" w:ascii="宋体" w:hAnsi="宋体" w:eastAsia="宋体" w:cs="宋体"/>
          <w:color w:val="000000" w:themeColor="text1"/>
          <w:sz w:val="21"/>
          <w:szCs w:val="21"/>
          <w:highlight w:val="none"/>
          <w:u w:val="single"/>
        </w:rPr>
        <w:t xml:space="preserve">      </w:t>
      </w:r>
      <w:r>
        <w:rPr>
          <w:rFonts w:hint="eastAsia" w:ascii="宋体" w:hAnsi="宋体" w:eastAsia="宋体" w:cs="宋体"/>
          <w:color w:val="000000" w:themeColor="text1"/>
          <w:sz w:val="21"/>
          <w:szCs w:val="21"/>
          <w:highlight w:val="none"/>
        </w:rPr>
        <w:t>月</w:t>
      </w:r>
      <w:r>
        <w:rPr>
          <w:rFonts w:hint="eastAsia" w:ascii="宋体" w:hAnsi="宋体" w:eastAsia="宋体" w:cs="宋体"/>
          <w:color w:val="000000" w:themeColor="text1"/>
          <w:sz w:val="21"/>
          <w:szCs w:val="21"/>
          <w:highlight w:val="none"/>
          <w:u w:val="single"/>
        </w:rPr>
        <w:t xml:space="preserve">       </w:t>
      </w:r>
      <w:r>
        <w:rPr>
          <w:rFonts w:hint="eastAsia" w:ascii="宋体" w:hAnsi="宋体" w:eastAsia="宋体" w:cs="宋体"/>
          <w:color w:val="000000" w:themeColor="text1"/>
          <w:sz w:val="21"/>
          <w:szCs w:val="21"/>
          <w:highlight w:val="none"/>
        </w:rPr>
        <w:t>日</w:t>
      </w:r>
    </w:p>
    <w:p w14:paraId="6F6547A0">
      <w:pPr>
        <w:rPr>
          <w:rFonts w:hint="eastAsia" w:ascii="宋体" w:hAnsi="宋体" w:eastAsia="宋体" w:cs="宋体"/>
          <w:b/>
          <w:color w:val="000000" w:themeColor="text1"/>
          <w:sz w:val="28"/>
          <w:szCs w:val="28"/>
          <w:highlight w:val="none"/>
        </w:rPr>
      </w:pPr>
      <w:r>
        <w:rPr>
          <w:rFonts w:hint="eastAsia" w:ascii="宋体" w:hAnsi="宋体" w:eastAsia="宋体" w:cs="宋体"/>
          <w:b/>
          <w:color w:val="000000" w:themeColor="text1"/>
          <w:sz w:val="28"/>
          <w:szCs w:val="28"/>
          <w:highlight w:val="none"/>
        </w:rPr>
        <w:br w:type="page"/>
      </w:r>
    </w:p>
    <w:p w14:paraId="36F09EEE">
      <w:pPr>
        <w:spacing w:before="326" w:beforeLines="100" w:after="163" w:afterLines="50"/>
        <w:jc w:val="center"/>
        <w:outlineLvl w:val="1"/>
        <w:rPr>
          <w:rFonts w:hint="eastAsia" w:ascii="宋体" w:hAnsi="宋体" w:eastAsia="宋体" w:cs="宋体"/>
          <w:b/>
          <w:sz w:val="28"/>
          <w:szCs w:val="28"/>
        </w:rPr>
      </w:pPr>
      <w:bookmarkStart w:id="400" w:name="_Toc1013"/>
      <w:r>
        <w:rPr>
          <w:rFonts w:hint="eastAsia" w:ascii="宋体" w:hAnsi="宋体" w:eastAsia="宋体" w:cs="宋体"/>
          <w:b/>
          <w:sz w:val="28"/>
          <w:szCs w:val="28"/>
        </w:rPr>
        <w:t>三、法定代表人</w:t>
      </w:r>
      <w:r>
        <w:rPr>
          <w:rFonts w:hint="eastAsia" w:ascii="宋体" w:hAnsi="宋体" w:eastAsia="宋体" w:cs="宋体"/>
          <w:b/>
          <w:sz w:val="28"/>
          <w:szCs w:val="28"/>
          <w:lang w:eastAsia="zh-CN"/>
        </w:rPr>
        <w:t>（</w:t>
      </w:r>
      <w:r>
        <w:rPr>
          <w:rFonts w:hint="eastAsia" w:ascii="宋体" w:hAnsi="宋体" w:eastAsia="宋体" w:cs="宋体"/>
          <w:b/>
          <w:sz w:val="28"/>
          <w:szCs w:val="28"/>
          <w:lang w:val="en-US" w:eastAsia="zh-CN"/>
        </w:rPr>
        <w:t>负责人</w:t>
      </w:r>
      <w:r>
        <w:rPr>
          <w:rFonts w:hint="eastAsia" w:ascii="宋体" w:hAnsi="宋体" w:eastAsia="宋体" w:cs="宋体"/>
          <w:b/>
          <w:sz w:val="28"/>
          <w:szCs w:val="28"/>
          <w:lang w:eastAsia="zh-CN"/>
        </w:rPr>
        <w:t>）</w:t>
      </w:r>
      <w:r>
        <w:rPr>
          <w:rFonts w:hint="eastAsia" w:ascii="宋体" w:hAnsi="宋体" w:eastAsia="宋体" w:cs="宋体"/>
          <w:b/>
          <w:sz w:val="28"/>
          <w:szCs w:val="28"/>
        </w:rPr>
        <w:t>身份证明</w:t>
      </w:r>
      <w:bookmarkEnd w:id="397"/>
      <w:bookmarkEnd w:id="398"/>
      <w:bookmarkEnd w:id="399"/>
      <w:bookmarkEnd w:id="400"/>
    </w:p>
    <w:p w14:paraId="057225DE">
      <w:pPr>
        <w:spacing w:line="500" w:lineRule="exact"/>
        <w:rPr>
          <w:rFonts w:hint="eastAsia" w:ascii="宋体" w:hAnsi="宋体" w:eastAsia="宋体" w:cs="宋体"/>
          <w:sz w:val="21"/>
          <w:szCs w:val="21"/>
        </w:rPr>
      </w:pPr>
      <w:r>
        <w:rPr>
          <w:rFonts w:hint="eastAsia" w:ascii="宋体" w:hAnsi="宋体" w:eastAsia="宋体" w:cs="宋体"/>
          <w:sz w:val="21"/>
          <w:szCs w:val="21"/>
        </w:rPr>
        <w:t>投 标 人：</w:t>
      </w:r>
      <w:r>
        <w:rPr>
          <w:rFonts w:hint="eastAsia" w:ascii="宋体" w:hAnsi="宋体" w:eastAsia="宋体" w:cs="宋体"/>
          <w:sz w:val="21"/>
          <w:szCs w:val="21"/>
          <w:u w:val="single"/>
        </w:rPr>
        <w:t xml:space="preserve">                                                        </w:t>
      </w:r>
    </w:p>
    <w:p w14:paraId="665B3B14">
      <w:pPr>
        <w:spacing w:line="500" w:lineRule="exact"/>
        <w:rPr>
          <w:rFonts w:hint="eastAsia" w:ascii="宋体" w:hAnsi="宋体" w:eastAsia="宋体" w:cs="宋体"/>
          <w:sz w:val="21"/>
          <w:szCs w:val="21"/>
        </w:rPr>
      </w:pPr>
      <w:r>
        <w:rPr>
          <w:rFonts w:hint="eastAsia" w:ascii="宋体" w:hAnsi="宋体" w:eastAsia="宋体" w:cs="宋体"/>
          <w:sz w:val="21"/>
          <w:szCs w:val="21"/>
        </w:rPr>
        <w:t>单位性质：</w:t>
      </w:r>
      <w:r>
        <w:rPr>
          <w:rFonts w:hint="eastAsia" w:ascii="宋体" w:hAnsi="宋体" w:eastAsia="宋体" w:cs="宋体"/>
          <w:sz w:val="21"/>
          <w:szCs w:val="21"/>
          <w:u w:val="single"/>
        </w:rPr>
        <w:t xml:space="preserve">                                                        </w:t>
      </w:r>
    </w:p>
    <w:p w14:paraId="778E0228">
      <w:pPr>
        <w:spacing w:line="500" w:lineRule="exact"/>
        <w:rPr>
          <w:rFonts w:hint="eastAsia" w:ascii="宋体" w:hAnsi="宋体" w:eastAsia="宋体" w:cs="宋体"/>
          <w:sz w:val="21"/>
          <w:szCs w:val="21"/>
        </w:rPr>
      </w:pPr>
      <w:r>
        <w:rPr>
          <w:rFonts w:hint="eastAsia" w:ascii="宋体" w:hAnsi="宋体" w:eastAsia="宋体" w:cs="宋体"/>
          <w:sz w:val="21"/>
          <w:szCs w:val="21"/>
        </w:rPr>
        <w:t>地    址：</w:t>
      </w:r>
      <w:r>
        <w:rPr>
          <w:rFonts w:hint="eastAsia" w:ascii="宋体" w:hAnsi="宋体" w:eastAsia="宋体" w:cs="宋体"/>
          <w:sz w:val="21"/>
          <w:szCs w:val="21"/>
          <w:u w:val="single"/>
        </w:rPr>
        <w:t xml:space="preserve">                                                        </w:t>
      </w:r>
    </w:p>
    <w:p w14:paraId="7CC101E9">
      <w:pPr>
        <w:spacing w:line="500" w:lineRule="exact"/>
        <w:rPr>
          <w:rFonts w:hint="eastAsia" w:ascii="宋体" w:hAnsi="宋体" w:eastAsia="宋体" w:cs="宋体"/>
          <w:sz w:val="21"/>
          <w:szCs w:val="21"/>
        </w:rPr>
      </w:pPr>
      <w:r>
        <w:rPr>
          <w:rFonts w:hint="eastAsia" w:ascii="宋体" w:hAnsi="宋体" w:eastAsia="宋体" w:cs="宋体"/>
          <w:sz w:val="21"/>
          <w:szCs w:val="21"/>
        </w:rPr>
        <w:t>成立时间：</w:t>
      </w:r>
      <w:r>
        <w:rPr>
          <w:rFonts w:hint="eastAsia" w:ascii="宋体" w:hAnsi="宋体" w:eastAsia="宋体" w:cs="宋体"/>
          <w:sz w:val="21"/>
          <w:szCs w:val="21"/>
          <w:u w:val="single"/>
        </w:rPr>
        <w:t xml:space="preserve">                 </w:t>
      </w:r>
      <w:r>
        <w:rPr>
          <w:rFonts w:hint="eastAsia" w:ascii="宋体" w:hAnsi="宋体" w:eastAsia="宋体" w:cs="宋体"/>
          <w:sz w:val="21"/>
          <w:szCs w:val="21"/>
        </w:rPr>
        <w:t>年</w:t>
      </w:r>
      <w:r>
        <w:rPr>
          <w:rFonts w:hint="eastAsia" w:ascii="宋体" w:hAnsi="宋体" w:eastAsia="宋体" w:cs="宋体"/>
          <w:sz w:val="21"/>
          <w:szCs w:val="21"/>
          <w:u w:val="single"/>
        </w:rPr>
        <w:t xml:space="preserve">              </w:t>
      </w:r>
      <w:r>
        <w:rPr>
          <w:rFonts w:hint="eastAsia" w:ascii="宋体" w:hAnsi="宋体" w:eastAsia="宋体" w:cs="宋体"/>
          <w:sz w:val="21"/>
          <w:szCs w:val="21"/>
        </w:rPr>
        <w:t>月</w:t>
      </w:r>
      <w:r>
        <w:rPr>
          <w:rFonts w:hint="eastAsia" w:ascii="宋体" w:hAnsi="宋体" w:eastAsia="宋体" w:cs="宋体"/>
          <w:sz w:val="21"/>
          <w:szCs w:val="21"/>
          <w:u w:val="single"/>
        </w:rPr>
        <w:t xml:space="preserve">              </w:t>
      </w:r>
      <w:r>
        <w:rPr>
          <w:rFonts w:hint="eastAsia" w:ascii="宋体" w:hAnsi="宋体" w:eastAsia="宋体" w:cs="宋体"/>
          <w:sz w:val="21"/>
          <w:szCs w:val="21"/>
        </w:rPr>
        <w:t>日</w:t>
      </w:r>
    </w:p>
    <w:p w14:paraId="79CD96A6">
      <w:pPr>
        <w:spacing w:line="500" w:lineRule="exact"/>
        <w:rPr>
          <w:rFonts w:hint="eastAsia" w:ascii="宋体" w:hAnsi="宋体" w:eastAsia="宋体" w:cs="宋体"/>
          <w:sz w:val="21"/>
          <w:szCs w:val="21"/>
        </w:rPr>
      </w:pPr>
      <w:r>
        <w:rPr>
          <w:rFonts w:hint="eastAsia" w:ascii="宋体" w:hAnsi="宋体" w:eastAsia="宋体" w:cs="宋体"/>
          <w:sz w:val="21"/>
          <w:szCs w:val="21"/>
        </w:rPr>
        <w:t>经营期限：</w:t>
      </w:r>
      <w:r>
        <w:rPr>
          <w:rFonts w:hint="eastAsia" w:ascii="宋体" w:hAnsi="宋体" w:eastAsia="宋体" w:cs="宋体"/>
          <w:sz w:val="21"/>
          <w:szCs w:val="21"/>
          <w:u w:val="single"/>
        </w:rPr>
        <w:t xml:space="preserve">                                                        </w:t>
      </w:r>
    </w:p>
    <w:p w14:paraId="2AFC902E">
      <w:pPr>
        <w:spacing w:line="500" w:lineRule="exact"/>
        <w:rPr>
          <w:rFonts w:hint="eastAsia" w:ascii="宋体" w:hAnsi="宋体" w:eastAsia="宋体" w:cs="宋体"/>
          <w:sz w:val="21"/>
          <w:szCs w:val="21"/>
        </w:rPr>
      </w:pPr>
      <w:r>
        <w:rPr>
          <w:rFonts w:hint="eastAsia" w:ascii="宋体" w:hAnsi="宋体" w:eastAsia="宋体" w:cs="宋体"/>
          <w:sz w:val="21"/>
          <w:szCs w:val="21"/>
        </w:rPr>
        <w:t>姓    名：</w:t>
      </w:r>
      <w:r>
        <w:rPr>
          <w:rFonts w:hint="eastAsia" w:ascii="宋体" w:hAnsi="宋体" w:eastAsia="宋体" w:cs="宋体"/>
          <w:sz w:val="21"/>
          <w:szCs w:val="21"/>
          <w:u w:val="single"/>
        </w:rPr>
        <w:t xml:space="preserve">                          </w:t>
      </w:r>
      <w:r>
        <w:rPr>
          <w:rFonts w:hint="eastAsia" w:ascii="宋体" w:hAnsi="宋体" w:eastAsia="宋体" w:cs="宋体"/>
          <w:sz w:val="21"/>
          <w:szCs w:val="21"/>
        </w:rPr>
        <w:t>性        别：</w:t>
      </w:r>
      <w:r>
        <w:rPr>
          <w:rFonts w:hint="eastAsia" w:ascii="宋体" w:hAnsi="宋体" w:eastAsia="宋体" w:cs="宋体"/>
          <w:sz w:val="21"/>
          <w:szCs w:val="21"/>
          <w:u w:val="single"/>
        </w:rPr>
        <w:t xml:space="preserve">                </w:t>
      </w:r>
    </w:p>
    <w:p w14:paraId="01632890">
      <w:pPr>
        <w:spacing w:line="500" w:lineRule="exact"/>
        <w:rPr>
          <w:rFonts w:hint="eastAsia" w:ascii="宋体" w:hAnsi="宋体" w:eastAsia="宋体" w:cs="宋体"/>
          <w:sz w:val="21"/>
          <w:szCs w:val="21"/>
        </w:rPr>
      </w:pPr>
      <w:r>
        <w:rPr>
          <w:rFonts w:hint="eastAsia" w:ascii="宋体" w:hAnsi="宋体" w:eastAsia="宋体" w:cs="宋体"/>
          <w:sz w:val="21"/>
          <w:szCs w:val="21"/>
        </w:rPr>
        <w:t>年    龄：</w:t>
      </w:r>
      <w:r>
        <w:rPr>
          <w:rFonts w:hint="eastAsia" w:ascii="宋体" w:hAnsi="宋体" w:eastAsia="宋体" w:cs="宋体"/>
          <w:sz w:val="21"/>
          <w:szCs w:val="21"/>
          <w:u w:val="single"/>
        </w:rPr>
        <w:t xml:space="preserve">                          </w:t>
      </w:r>
      <w:r>
        <w:rPr>
          <w:rFonts w:hint="eastAsia" w:ascii="宋体" w:hAnsi="宋体" w:eastAsia="宋体" w:cs="宋体"/>
          <w:sz w:val="21"/>
          <w:szCs w:val="21"/>
        </w:rPr>
        <w:t>职        务：</w:t>
      </w:r>
      <w:r>
        <w:rPr>
          <w:rFonts w:hint="eastAsia" w:ascii="宋体" w:hAnsi="宋体" w:eastAsia="宋体" w:cs="宋体"/>
          <w:sz w:val="21"/>
          <w:szCs w:val="21"/>
          <w:u w:val="single"/>
        </w:rPr>
        <w:t xml:space="preserve">                </w:t>
      </w:r>
    </w:p>
    <w:p w14:paraId="6760DC81">
      <w:pPr>
        <w:spacing w:line="500" w:lineRule="exact"/>
        <w:rPr>
          <w:rFonts w:hint="eastAsia" w:ascii="宋体" w:hAnsi="宋体" w:eastAsia="宋体" w:cs="宋体"/>
          <w:sz w:val="21"/>
          <w:szCs w:val="21"/>
        </w:rPr>
      </w:pPr>
      <w:r>
        <w:rPr>
          <w:rFonts w:hint="eastAsia" w:ascii="宋体" w:hAnsi="宋体" w:eastAsia="宋体" w:cs="宋体"/>
          <w:sz w:val="21"/>
          <w:szCs w:val="21"/>
        </w:rPr>
        <w:t>系</w:t>
      </w:r>
      <w:r>
        <w:rPr>
          <w:rFonts w:hint="eastAsia" w:ascii="宋体" w:hAnsi="宋体" w:eastAsia="宋体" w:cs="宋体"/>
          <w:sz w:val="21"/>
          <w:szCs w:val="21"/>
          <w:u w:val="single"/>
        </w:rPr>
        <w:t xml:space="preserve">                    </w:t>
      </w:r>
      <w:r>
        <w:rPr>
          <w:rFonts w:hint="eastAsia" w:ascii="宋体" w:hAnsi="宋体" w:eastAsia="宋体" w:cs="宋体"/>
          <w:sz w:val="21"/>
          <w:szCs w:val="21"/>
        </w:rPr>
        <w:t>（供应商名称）的法定代表人</w:t>
      </w: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负责人</w:t>
      </w:r>
      <w:r>
        <w:rPr>
          <w:rFonts w:hint="eastAsia" w:ascii="宋体" w:hAnsi="宋体" w:eastAsia="宋体" w:cs="宋体"/>
          <w:sz w:val="21"/>
          <w:szCs w:val="21"/>
          <w:lang w:eastAsia="zh-CN"/>
        </w:rPr>
        <w:t>）</w:t>
      </w:r>
      <w:r>
        <w:rPr>
          <w:rFonts w:hint="eastAsia" w:ascii="宋体" w:hAnsi="宋体" w:eastAsia="宋体" w:cs="宋体"/>
          <w:sz w:val="21"/>
          <w:szCs w:val="21"/>
        </w:rPr>
        <w:t>。</w:t>
      </w:r>
    </w:p>
    <w:p w14:paraId="1772E1FE">
      <w:pPr>
        <w:spacing w:line="500" w:lineRule="exact"/>
        <w:rPr>
          <w:rFonts w:hint="eastAsia" w:ascii="宋体" w:hAnsi="宋体" w:eastAsia="宋体" w:cs="宋体"/>
          <w:sz w:val="21"/>
          <w:szCs w:val="21"/>
        </w:rPr>
      </w:pPr>
      <w:r>
        <w:rPr>
          <w:rFonts w:hint="eastAsia" w:ascii="宋体" w:hAnsi="宋体" w:eastAsia="宋体" w:cs="宋体"/>
          <w:sz w:val="21"/>
          <w:szCs w:val="21"/>
        </w:rPr>
        <w:t>特此证明。</w:t>
      </w:r>
    </w:p>
    <w:p w14:paraId="3DE0A9F6">
      <w:pPr>
        <w:spacing w:line="500" w:lineRule="exact"/>
        <w:rPr>
          <w:rFonts w:hint="eastAsia" w:ascii="宋体" w:hAnsi="宋体" w:eastAsia="宋体" w:cs="宋体"/>
          <w:sz w:val="21"/>
          <w:szCs w:val="21"/>
        </w:rPr>
      </w:pPr>
    </w:p>
    <w:p w14:paraId="14D0827D">
      <w:pPr>
        <w:spacing w:line="500" w:lineRule="exact"/>
        <w:rPr>
          <w:rFonts w:hint="eastAsia" w:ascii="宋体" w:hAnsi="宋体" w:eastAsia="宋体" w:cs="宋体"/>
          <w:sz w:val="21"/>
          <w:szCs w:val="21"/>
        </w:rPr>
      </w:pPr>
    </w:p>
    <w:p w14:paraId="0AC64AEE">
      <w:pPr>
        <w:spacing w:line="500" w:lineRule="exact"/>
        <w:rPr>
          <w:rFonts w:hint="eastAsia" w:ascii="宋体" w:hAnsi="宋体" w:eastAsia="宋体" w:cs="宋体"/>
          <w:sz w:val="21"/>
          <w:szCs w:val="21"/>
        </w:rPr>
      </w:pPr>
    </w:p>
    <w:p w14:paraId="11A6E4D6">
      <w:pPr>
        <w:spacing w:line="500" w:lineRule="exact"/>
        <w:rPr>
          <w:rFonts w:hint="eastAsia" w:ascii="宋体" w:hAnsi="宋体" w:eastAsia="宋体" w:cs="宋体"/>
          <w:sz w:val="21"/>
          <w:szCs w:val="21"/>
        </w:rPr>
      </w:pPr>
    </w:p>
    <w:p w14:paraId="1480A281">
      <w:pPr>
        <w:rPr>
          <w:rFonts w:hint="eastAsia" w:ascii="宋体" w:hAnsi="宋体" w:eastAsia="宋体" w:cs="宋体"/>
        </w:rPr>
      </w:pPr>
    </w:p>
    <w:p w14:paraId="15A3AD81">
      <w:pPr>
        <w:spacing w:line="360" w:lineRule="auto"/>
        <w:ind w:right="420"/>
        <w:rPr>
          <w:rFonts w:hint="eastAsia" w:ascii="宋体" w:hAnsi="宋体" w:eastAsia="宋体" w:cs="宋体"/>
          <w:sz w:val="21"/>
          <w:szCs w:val="21"/>
        </w:rPr>
      </w:pPr>
      <w:r>
        <w:rPr>
          <w:rFonts w:hint="eastAsia" w:ascii="宋体" w:hAnsi="宋体" w:eastAsia="宋体" w:cs="宋体"/>
          <w:sz w:val="21"/>
          <w:szCs w:val="21"/>
        </w:rPr>
        <w:t>供应商：</w:t>
      </w:r>
      <w:r>
        <w:rPr>
          <w:rFonts w:hint="eastAsia" w:ascii="宋体" w:hAnsi="宋体" w:eastAsia="宋体" w:cs="宋体"/>
          <w:sz w:val="21"/>
          <w:szCs w:val="21"/>
          <w:u w:val="single"/>
        </w:rPr>
        <w:t xml:space="preserve">                             </w:t>
      </w:r>
      <w:r>
        <w:rPr>
          <w:rFonts w:hint="eastAsia" w:ascii="宋体" w:hAnsi="宋体" w:eastAsia="宋体" w:cs="宋体"/>
          <w:sz w:val="21"/>
          <w:szCs w:val="21"/>
        </w:rPr>
        <w:t>（电子签章）</w:t>
      </w:r>
    </w:p>
    <w:p w14:paraId="36A0E443">
      <w:pPr>
        <w:spacing w:line="360" w:lineRule="auto"/>
        <w:ind w:right="420"/>
        <w:rPr>
          <w:rFonts w:hint="eastAsia" w:ascii="宋体" w:hAnsi="宋体" w:eastAsia="宋体" w:cs="宋体"/>
          <w:sz w:val="21"/>
          <w:szCs w:val="21"/>
        </w:rPr>
      </w:pPr>
      <w:r>
        <w:rPr>
          <w:rFonts w:hint="eastAsia" w:ascii="宋体" w:hAnsi="宋体" w:eastAsia="宋体" w:cs="宋体"/>
          <w:sz w:val="21"/>
          <w:szCs w:val="21"/>
        </w:rPr>
        <w:t>法定代表人</w:t>
      </w: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负责人</w:t>
      </w:r>
      <w:r>
        <w:rPr>
          <w:rFonts w:hint="eastAsia" w:ascii="宋体" w:hAnsi="宋体" w:eastAsia="宋体" w:cs="宋体"/>
          <w:sz w:val="21"/>
          <w:szCs w:val="21"/>
          <w:lang w:eastAsia="zh-CN"/>
        </w:rPr>
        <w:t>）</w:t>
      </w:r>
      <w:r>
        <w:rPr>
          <w:rFonts w:hint="eastAsia" w:ascii="宋体" w:hAnsi="宋体" w:eastAsia="宋体" w:cs="宋体"/>
          <w:sz w:val="21"/>
          <w:szCs w:val="21"/>
        </w:rPr>
        <w:t xml:space="preserve">或其委托代理人： </w:t>
      </w:r>
      <w:r>
        <w:rPr>
          <w:rFonts w:hint="eastAsia" w:ascii="宋体" w:hAnsi="宋体" w:eastAsia="宋体" w:cs="宋体"/>
          <w:sz w:val="21"/>
          <w:szCs w:val="21"/>
          <w:u w:val="single"/>
        </w:rPr>
        <w:t xml:space="preserve">          </w:t>
      </w:r>
      <w:r>
        <w:rPr>
          <w:rFonts w:hint="eastAsia" w:ascii="宋体" w:hAnsi="宋体" w:eastAsia="宋体" w:cs="宋体"/>
          <w:sz w:val="21"/>
          <w:szCs w:val="21"/>
        </w:rPr>
        <w:t>（签字或盖章）</w:t>
      </w:r>
    </w:p>
    <w:p w14:paraId="71BD6C86">
      <w:pPr>
        <w:spacing w:line="360" w:lineRule="auto"/>
        <w:ind w:right="480"/>
        <w:rPr>
          <w:rFonts w:hint="eastAsia" w:ascii="宋体" w:hAnsi="宋体" w:eastAsia="宋体" w:cs="宋体"/>
          <w:sz w:val="21"/>
          <w:szCs w:val="21"/>
        </w:rPr>
      </w:pPr>
      <w:r>
        <w:rPr>
          <w:rFonts w:hint="eastAsia" w:ascii="宋体" w:hAnsi="宋体" w:eastAsia="宋体" w:cs="宋体"/>
          <w:sz w:val="21"/>
          <w:szCs w:val="21"/>
        </w:rPr>
        <w:t xml:space="preserve">                              </w:t>
      </w:r>
    </w:p>
    <w:p w14:paraId="17986CAE">
      <w:pPr>
        <w:spacing w:line="360" w:lineRule="auto"/>
        <w:ind w:right="480"/>
        <w:rPr>
          <w:rFonts w:hint="eastAsia" w:ascii="宋体" w:hAnsi="宋体" w:eastAsia="宋体" w:cs="宋体"/>
          <w:sz w:val="21"/>
          <w:szCs w:val="21"/>
        </w:rPr>
      </w:pPr>
      <w:r>
        <w:rPr>
          <w:rFonts w:hint="eastAsia" w:ascii="宋体" w:hAnsi="宋体" w:eastAsia="宋体" w:cs="宋体"/>
          <w:sz w:val="21"/>
          <w:szCs w:val="21"/>
        </w:rPr>
        <w:t xml:space="preserve">  </w:t>
      </w:r>
      <w:r>
        <w:rPr>
          <w:rFonts w:hint="eastAsia" w:ascii="宋体" w:hAnsi="宋体" w:eastAsia="宋体" w:cs="宋体"/>
          <w:sz w:val="21"/>
          <w:szCs w:val="21"/>
          <w:u w:val="single"/>
        </w:rPr>
        <w:t xml:space="preserve">     </w:t>
      </w:r>
      <w:r>
        <w:rPr>
          <w:rFonts w:hint="eastAsia" w:ascii="宋体" w:hAnsi="宋体" w:eastAsia="宋体" w:cs="宋体"/>
          <w:sz w:val="21"/>
          <w:szCs w:val="21"/>
        </w:rPr>
        <w:t>年</w:t>
      </w:r>
      <w:r>
        <w:rPr>
          <w:rFonts w:hint="eastAsia" w:ascii="宋体" w:hAnsi="宋体" w:eastAsia="宋体" w:cs="宋体"/>
          <w:sz w:val="21"/>
          <w:szCs w:val="21"/>
          <w:u w:val="single"/>
        </w:rPr>
        <w:t xml:space="preserve">      </w:t>
      </w:r>
      <w:r>
        <w:rPr>
          <w:rFonts w:hint="eastAsia" w:ascii="宋体" w:hAnsi="宋体" w:eastAsia="宋体" w:cs="宋体"/>
          <w:sz w:val="21"/>
          <w:szCs w:val="21"/>
        </w:rPr>
        <w:t>月</w:t>
      </w:r>
      <w:r>
        <w:rPr>
          <w:rFonts w:hint="eastAsia" w:ascii="宋体" w:hAnsi="宋体" w:eastAsia="宋体" w:cs="宋体"/>
          <w:sz w:val="21"/>
          <w:szCs w:val="21"/>
          <w:u w:val="single"/>
        </w:rPr>
        <w:t xml:space="preserve">       </w:t>
      </w:r>
      <w:r>
        <w:rPr>
          <w:rFonts w:hint="eastAsia" w:ascii="宋体" w:hAnsi="宋体" w:eastAsia="宋体" w:cs="宋体"/>
          <w:sz w:val="21"/>
          <w:szCs w:val="21"/>
        </w:rPr>
        <w:t>日</w:t>
      </w:r>
    </w:p>
    <w:p w14:paraId="4578C0EC">
      <w:pPr>
        <w:wordWrap w:val="0"/>
        <w:spacing w:line="500" w:lineRule="exact"/>
        <w:rPr>
          <w:rFonts w:hint="eastAsia" w:ascii="宋体" w:hAnsi="宋体" w:eastAsia="宋体" w:cs="宋体"/>
          <w:sz w:val="21"/>
          <w:szCs w:val="21"/>
        </w:rPr>
      </w:pPr>
      <w:r>
        <w:rPr>
          <w:rFonts w:hint="eastAsia" w:ascii="宋体" w:hAnsi="宋体" w:eastAsia="宋体" w:cs="宋体"/>
          <w:sz w:val="21"/>
          <w:szCs w:val="21"/>
        </w:rPr>
        <w:t xml:space="preserve">  </w:t>
      </w:r>
    </w:p>
    <w:p w14:paraId="7DE9DD5C">
      <w:pPr>
        <w:spacing w:before="326" w:beforeLines="100" w:after="163" w:afterLines="50"/>
        <w:jc w:val="center"/>
        <w:outlineLvl w:val="1"/>
        <w:rPr>
          <w:rFonts w:hint="eastAsia" w:ascii="宋体" w:hAnsi="宋体" w:eastAsia="宋体" w:cs="宋体"/>
          <w:sz w:val="28"/>
          <w:szCs w:val="28"/>
        </w:rPr>
      </w:pPr>
      <w:r>
        <w:rPr>
          <w:rFonts w:hint="eastAsia" w:ascii="宋体" w:hAnsi="宋体" w:eastAsia="宋体" w:cs="宋体"/>
          <w:szCs w:val="21"/>
        </w:rPr>
        <w:br w:type="page"/>
      </w:r>
      <w:bookmarkStart w:id="401" w:name="_Toc10865"/>
      <w:bookmarkStart w:id="402" w:name="_Toc10500"/>
      <w:bookmarkStart w:id="403" w:name="_Toc15905"/>
      <w:bookmarkStart w:id="404" w:name="_Toc45177870"/>
      <w:r>
        <w:rPr>
          <w:rFonts w:hint="eastAsia" w:ascii="宋体" w:hAnsi="宋体" w:eastAsia="宋体" w:cs="宋体"/>
          <w:b/>
          <w:sz w:val="28"/>
          <w:szCs w:val="28"/>
        </w:rPr>
        <w:t>四、法定代表人</w:t>
      </w:r>
      <w:r>
        <w:rPr>
          <w:rFonts w:hint="eastAsia" w:ascii="宋体" w:hAnsi="宋体" w:eastAsia="宋体" w:cs="宋体"/>
          <w:b/>
          <w:sz w:val="28"/>
          <w:szCs w:val="28"/>
          <w:lang w:eastAsia="zh-CN"/>
        </w:rPr>
        <w:t>（</w:t>
      </w:r>
      <w:r>
        <w:rPr>
          <w:rFonts w:hint="eastAsia" w:ascii="宋体" w:hAnsi="宋体" w:eastAsia="宋体" w:cs="宋体"/>
          <w:b/>
          <w:sz w:val="28"/>
          <w:szCs w:val="28"/>
          <w:lang w:val="en-US" w:eastAsia="zh-CN"/>
        </w:rPr>
        <w:t>负责人</w:t>
      </w:r>
      <w:r>
        <w:rPr>
          <w:rFonts w:hint="eastAsia" w:ascii="宋体" w:hAnsi="宋体" w:eastAsia="宋体" w:cs="宋体"/>
          <w:b/>
          <w:sz w:val="28"/>
          <w:szCs w:val="28"/>
          <w:lang w:eastAsia="zh-CN"/>
        </w:rPr>
        <w:t>）</w:t>
      </w:r>
      <w:r>
        <w:rPr>
          <w:rFonts w:hint="eastAsia" w:ascii="宋体" w:hAnsi="宋体" w:eastAsia="宋体" w:cs="宋体"/>
          <w:b/>
          <w:sz w:val="28"/>
          <w:szCs w:val="28"/>
        </w:rPr>
        <w:t>授权委托书</w:t>
      </w:r>
      <w:bookmarkEnd w:id="401"/>
      <w:bookmarkEnd w:id="402"/>
      <w:bookmarkEnd w:id="403"/>
      <w:bookmarkEnd w:id="404"/>
    </w:p>
    <w:p w14:paraId="7ED66D16">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 xml:space="preserve">本授权书声明：注册于 </w:t>
      </w:r>
      <w:r>
        <w:rPr>
          <w:rFonts w:hint="eastAsia" w:ascii="宋体" w:hAnsi="宋体" w:eastAsia="宋体" w:cs="宋体"/>
          <w:sz w:val="21"/>
          <w:szCs w:val="21"/>
          <w:u w:val="single"/>
        </w:rPr>
        <w:t xml:space="preserve">      </w:t>
      </w:r>
      <w:r>
        <w:rPr>
          <w:rFonts w:hint="eastAsia" w:ascii="宋体" w:hAnsi="宋体" w:eastAsia="宋体" w:cs="宋体"/>
          <w:sz w:val="21"/>
          <w:szCs w:val="21"/>
        </w:rPr>
        <w:t>(公司注册地址）的</w:t>
      </w:r>
      <w:r>
        <w:rPr>
          <w:rFonts w:hint="eastAsia" w:ascii="宋体" w:hAnsi="宋体" w:eastAsia="宋体" w:cs="宋体"/>
          <w:sz w:val="21"/>
          <w:szCs w:val="21"/>
          <w:u w:val="single"/>
        </w:rPr>
        <w:t xml:space="preserve">       </w:t>
      </w:r>
      <w:r>
        <w:rPr>
          <w:rFonts w:hint="eastAsia" w:ascii="宋体" w:hAnsi="宋体" w:eastAsia="宋体" w:cs="宋体"/>
          <w:sz w:val="21"/>
          <w:szCs w:val="21"/>
        </w:rPr>
        <w:t>（公司全称）的法定代表人</w:t>
      </w: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负责人</w:t>
      </w:r>
      <w:r>
        <w:rPr>
          <w:rFonts w:hint="eastAsia" w:ascii="宋体" w:hAnsi="宋体" w:eastAsia="宋体" w:cs="宋体"/>
          <w:sz w:val="21"/>
          <w:szCs w:val="21"/>
          <w:lang w:eastAsia="zh-CN"/>
        </w:rPr>
        <w:t>）</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 (法定代表人</w:t>
      </w: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负责人</w:t>
      </w:r>
      <w:r>
        <w:rPr>
          <w:rFonts w:hint="eastAsia" w:ascii="宋体" w:hAnsi="宋体" w:eastAsia="宋体" w:cs="宋体"/>
          <w:sz w:val="21"/>
          <w:szCs w:val="21"/>
          <w:lang w:eastAsia="zh-CN"/>
        </w:rPr>
        <w:t>）</w:t>
      </w:r>
      <w:r>
        <w:rPr>
          <w:rFonts w:hint="eastAsia" w:ascii="宋体" w:hAnsi="宋体" w:eastAsia="宋体" w:cs="宋体"/>
          <w:sz w:val="21"/>
          <w:szCs w:val="21"/>
        </w:rPr>
        <w:t>姓名）代表本公司授权</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 (被授权人的姓名、职务)身份证号</w:t>
      </w:r>
      <w:r>
        <w:rPr>
          <w:rFonts w:hint="eastAsia" w:ascii="宋体" w:hAnsi="宋体" w:eastAsia="宋体" w:cs="宋体"/>
          <w:sz w:val="21"/>
          <w:szCs w:val="21"/>
          <w:u w:val="single"/>
        </w:rPr>
        <w:t xml:space="preserve">             </w:t>
      </w:r>
      <w:r>
        <w:rPr>
          <w:rFonts w:hint="eastAsia" w:ascii="宋体" w:hAnsi="宋体" w:eastAsia="宋体" w:cs="宋体"/>
          <w:sz w:val="21"/>
          <w:szCs w:val="21"/>
        </w:rPr>
        <w:t>为本公司的合法代理人，就</w:t>
      </w:r>
      <w:r>
        <w:rPr>
          <w:rFonts w:hint="eastAsia" w:ascii="宋体" w:hAnsi="宋体" w:eastAsia="宋体" w:cs="宋体"/>
          <w:sz w:val="21"/>
          <w:szCs w:val="21"/>
          <w:u w:val="single"/>
        </w:rPr>
        <w:t xml:space="preserve">                </w:t>
      </w:r>
      <w:r>
        <w:rPr>
          <w:rFonts w:hint="eastAsia" w:ascii="宋体" w:hAnsi="宋体" w:eastAsia="宋体" w:cs="宋体"/>
          <w:sz w:val="21"/>
          <w:szCs w:val="21"/>
        </w:rPr>
        <w:t>（项目名称及采购编号）的采购及合同的签订、执行及后续服务，以本公司名义处理一切与之有关的事宜。</w:t>
      </w:r>
    </w:p>
    <w:p w14:paraId="5C93EE37">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委托期限：</w:t>
      </w:r>
      <w:r>
        <w:rPr>
          <w:rFonts w:hint="eastAsia" w:ascii="宋体" w:hAnsi="宋体" w:eastAsia="宋体" w:cs="宋体"/>
          <w:sz w:val="21"/>
          <w:szCs w:val="21"/>
          <w:u w:val="single"/>
        </w:rPr>
        <w:t xml:space="preserve">                                 </w:t>
      </w:r>
      <w:r>
        <w:rPr>
          <w:rFonts w:hint="eastAsia" w:ascii="宋体" w:hAnsi="宋体" w:eastAsia="宋体" w:cs="宋体"/>
          <w:sz w:val="21"/>
          <w:szCs w:val="21"/>
        </w:rPr>
        <w:t>。</w:t>
      </w:r>
    </w:p>
    <w:p w14:paraId="69E82E5D">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代理人无转委托权。</w:t>
      </w:r>
    </w:p>
    <w:p w14:paraId="49D33B72">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附：法定代表人</w:t>
      </w: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负责人</w:t>
      </w:r>
      <w:r>
        <w:rPr>
          <w:rFonts w:hint="eastAsia" w:ascii="宋体" w:hAnsi="宋体" w:eastAsia="宋体" w:cs="宋体"/>
          <w:sz w:val="21"/>
          <w:szCs w:val="21"/>
          <w:lang w:eastAsia="zh-CN"/>
        </w:rPr>
        <w:t>）</w:t>
      </w:r>
      <w:r>
        <w:rPr>
          <w:rFonts w:hint="eastAsia" w:ascii="宋体" w:hAnsi="宋体" w:eastAsia="宋体" w:cs="宋体"/>
          <w:sz w:val="21"/>
          <w:szCs w:val="21"/>
        </w:rPr>
        <w:t>身份证及授权委托代理人身份证</w:t>
      </w:r>
    </w:p>
    <w:p w14:paraId="67DBCCD0">
      <w:pPr>
        <w:rPr>
          <w:rFonts w:hint="eastAsia" w:ascii="宋体" w:hAnsi="宋体" w:eastAsia="宋体" w:cs="宋体"/>
          <w:sz w:val="21"/>
          <w:szCs w:val="21"/>
        </w:rPr>
      </w:pPr>
    </w:p>
    <w:p w14:paraId="15BD3E04">
      <w:pPr>
        <w:rPr>
          <w:rFonts w:hint="eastAsia" w:ascii="宋体" w:hAnsi="宋体" w:eastAsia="宋体" w:cs="宋体"/>
          <w:sz w:val="21"/>
          <w:szCs w:val="21"/>
        </w:rPr>
      </w:pPr>
    </w:p>
    <w:p w14:paraId="639468D0">
      <w:pPr>
        <w:rPr>
          <w:rFonts w:hint="eastAsia" w:ascii="宋体" w:hAnsi="宋体" w:eastAsia="宋体" w:cs="宋体"/>
          <w:sz w:val="21"/>
          <w:szCs w:val="21"/>
        </w:rPr>
      </w:pPr>
    </w:p>
    <w:p w14:paraId="44A42BD3">
      <w:pPr>
        <w:rPr>
          <w:rFonts w:hint="eastAsia" w:ascii="宋体" w:hAnsi="宋体" w:eastAsia="宋体" w:cs="宋体"/>
          <w:sz w:val="21"/>
          <w:szCs w:val="21"/>
        </w:rPr>
      </w:pPr>
    </w:p>
    <w:p w14:paraId="4658C98C">
      <w:pPr>
        <w:rPr>
          <w:rFonts w:hint="eastAsia" w:ascii="宋体" w:hAnsi="宋体" w:eastAsia="宋体" w:cs="宋体"/>
          <w:sz w:val="21"/>
          <w:szCs w:val="21"/>
        </w:rPr>
      </w:pPr>
    </w:p>
    <w:p w14:paraId="3CD68D9F">
      <w:pPr>
        <w:rPr>
          <w:rFonts w:hint="eastAsia" w:ascii="宋体" w:hAnsi="宋体" w:eastAsia="宋体" w:cs="宋体"/>
          <w:sz w:val="21"/>
          <w:szCs w:val="21"/>
        </w:rPr>
      </w:pPr>
    </w:p>
    <w:p w14:paraId="0A37B4BF">
      <w:pPr>
        <w:rPr>
          <w:rFonts w:hint="eastAsia" w:ascii="宋体" w:hAnsi="宋体" w:eastAsia="宋体" w:cs="宋体"/>
          <w:sz w:val="21"/>
          <w:szCs w:val="21"/>
        </w:rPr>
      </w:pPr>
    </w:p>
    <w:p w14:paraId="4DBF08BB">
      <w:pPr>
        <w:rPr>
          <w:rFonts w:hint="eastAsia" w:ascii="宋体" w:hAnsi="宋体" w:eastAsia="宋体" w:cs="宋体"/>
          <w:sz w:val="21"/>
          <w:szCs w:val="21"/>
        </w:rPr>
      </w:pPr>
    </w:p>
    <w:p w14:paraId="7AFBABFE">
      <w:pPr>
        <w:rPr>
          <w:rFonts w:hint="eastAsia" w:ascii="宋体" w:hAnsi="宋体" w:eastAsia="宋体" w:cs="宋体"/>
          <w:sz w:val="21"/>
          <w:szCs w:val="21"/>
        </w:rPr>
      </w:pPr>
    </w:p>
    <w:p w14:paraId="742E5636">
      <w:pPr>
        <w:rPr>
          <w:rFonts w:hint="eastAsia" w:ascii="宋体" w:hAnsi="宋体" w:eastAsia="宋体" w:cs="宋体"/>
          <w:sz w:val="21"/>
          <w:szCs w:val="21"/>
        </w:rPr>
      </w:pPr>
    </w:p>
    <w:p w14:paraId="54346FFD">
      <w:pPr>
        <w:rPr>
          <w:rFonts w:hint="eastAsia" w:ascii="宋体" w:hAnsi="宋体" w:eastAsia="宋体" w:cs="宋体"/>
          <w:sz w:val="21"/>
          <w:szCs w:val="21"/>
        </w:rPr>
      </w:pPr>
    </w:p>
    <w:p w14:paraId="48258A93">
      <w:pPr>
        <w:rPr>
          <w:rFonts w:hint="eastAsia" w:ascii="宋体" w:hAnsi="宋体" w:eastAsia="宋体" w:cs="宋体"/>
          <w:sz w:val="21"/>
          <w:szCs w:val="21"/>
        </w:rPr>
      </w:pPr>
    </w:p>
    <w:p w14:paraId="4AA39F10">
      <w:pPr>
        <w:rPr>
          <w:rFonts w:hint="eastAsia" w:ascii="宋体" w:hAnsi="宋体" w:eastAsia="宋体" w:cs="宋体"/>
          <w:sz w:val="21"/>
          <w:szCs w:val="21"/>
        </w:rPr>
      </w:pPr>
    </w:p>
    <w:p w14:paraId="4DD69D63">
      <w:pPr>
        <w:spacing w:line="360" w:lineRule="auto"/>
        <w:ind w:right="420"/>
        <w:rPr>
          <w:rFonts w:hint="eastAsia" w:ascii="宋体" w:hAnsi="宋体" w:eastAsia="宋体" w:cs="宋体"/>
          <w:sz w:val="21"/>
          <w:szCs w:val="21"/>
        </w:rPr>
      </w:pPr>
      <w:r>
        <w:rPr>
          <w:rFonts w:hint="eastAsia" w:ascii="宋体" w:hAnsi="宋体" w:eastAsia="宋体" w:cs="宋体"/>
          <w:sz w:val="21"/>
          <w:szCs w:val="21"/>
        </w:rPr>
        <w:t>供应商：</w:t>
      </w:r>
      <w:r>
        <w:rPr>
          <w:rFonts w:hint="eastAsia" w:ascii="宋体" w:hAnsi="宋体" w:eastAsia="宋体" w:cs="宋体"/>
          <w:sz w:val="21"/>
          <w:szCs w:val="21"/>
          <w:u w:val="single"/>
        </w:rPr>
        <w:t xml:space="preserve">                             </w:t>
      </w:r>
      <w:r>
        <w:rPr>
          <w:rFonts w:hint="eastAsia" w:ascii="宋体" w:hAnsi="宋体" w:eastAsia="宋体" w:cs="宋体"/>
          <w:sz w:val="21"/>
          <w:szCs w:val="21"/>
        </w:rPr>
        <w:t>（电子签章）</w:t>
      </w:r>
    </w:p>
    <w:p w14:paraId="14ED3EB5">
      <w:pPr>
        <w:spacing w:line="360" w:lineRule="auto"/>
        <w:ind w:right="420"/>
        <w:rPr>
          <w:rFonts w:hint="eastAsia" w:ascii="宋体" w:hAnsi="宋体" w:eastAsia="宋体" w:cs="宋体"/>
          <w:sz w:val="21"/>
          <w:szCs w:val="21"/>
        </w:rPr>
      </w:pPr>
      <w:r>
        <w:rPr>
          <w:rFonts w:hint="eastAsia" w:ascii="宋体" w:hAnsi="宋体" w:eastAsia="宋体" w:cs="宋体"/>
          <w:sz w:val="21"/>
          <w:szCs w:val="21"/>
        </w:rPr>
        <w:t>法定代表人</w:t>
      </w: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负责人</w:t>
      </w:r>
      <w:r>
        <w:rPr>
          <w:rFonts w:hint="eastAsia" w:ascii="宋体" w:hAnsi="宋体" w:eastAsia="宋体" w:cs="宋体"/>
          <w:sz w:val="21"/>
          <w:szCs w:val="21"/>
          <w:lang w:eastAsia="zh-CN"/>
        </w:rPr>
        <w:t>）</w:t>
      </w:r>
      <w:r>
        <w:rPr>
          <w:rFonts w:hint="eastAsia" w:ascii="宋体" w:hAnsi="宋体" w:eastAsia="宋体" w:cs="宋体"/>
          <w:sz w:val="21"/>
          <w:szCs w:val="21"/>
        </w:rPr>
        <w:t xml:space="preserve">或其委托代理人： </w:t>
      </w:r>
      <w:r>
        <w:rPr>
          <w:rFonts w:hint="eastAsia" w:ascii="宋体" w:hAnsi="宋体" w:eastAsia="宋体" w:cs="宋体"/>
          <w:sz w:val="21"/>
          <w:szCs w:val="21"/>
          <w:u w:val="single"/>
        </w:rPr>
        <w:t xml:space="preserve">          </w:t>
      </w:r>
      <w:r>
        <w:rPr>
          <w:rFonts w:hint="eastAsia" w:ascii="宋体" w:hAnsi="宋体" w:eastAsia="宋体" w:cs="宋体"/>
          <w:sz w:val="21"/>
          <w:szCs w:val="21"/>
        </w:rPr>
        <w:t>（签字或盖章）</w:t>
      </w:r>
    </w:p>
    <w:p w14:paraId="4173D0F3">
      <w:pPr>
        <w:spacing w:line="360" w:lineRule="auto"/>
        <w:rPr>
          <w:rFonts w:hint="eastAsia" w:ascii="宋体" w:hAnsi="宋体" w:eastAsia="宋体" w:cs="宋体"/>
          <w:b/>
          <w:sz w:val="21"/>
          <w:szCs w:val="21"/>
        </w:rPr>
      </w:pPr>
      <w:r>
        <w:rPr>
          <w:rFonts w:hint="eastAsia" w:ascii="宋体" w:hAnsi="宋体" w:eastAsia="宋体" w:cs="宋体"/>
          <w:sz w:val="21"/>
          <w:szCs w:val="21"/>
          <w:u w:val="single"/>
        </w:rPr>
        <w:t xml:space="preserve">       </w:t>
      </w:r>
      <w:r>
        <w:rPr>
          <w:rFonts w:hint="eastAsia" w:ascii="宋体" w:hAnsi="宋体" w:eastAsia="宋体" w:cs="宋体"/>
          <w:sz w:val="21"/>
          <w:szCs w:val="21"/>
        </w:rPr>
        <w:t>年</w:t>
      </w:r>
      <w:r>
        <w:rPr>
          <w:rFonts w:hint="eastAsia" w:ascii="宋体" w:hAnsi="宋体" w:eastAsia="宋体" w:cs="宋体"/>
          <w:sz w:val="21"/>
          <w:szCs w:val="21"/>
          <w:u w:val="single"/>
        </w:rPr>
        <w:t xml:space="preserve">       </w:t>
      </w:r>
      <w:r>
        <w:rPr>
          <w:rFonts w:hint="eastAsia" w:ascii="宋体" w:hAnsi="宋体" w:eastAsia="宋体" w:cs="宋体"/>
          <w:sz w:val="21"/>
          <w:szCs w:val="21"/>
        </w:rPr>
        <w:t>月</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 日</w:t>
      </w:r>
    </w:p>
    <w:p w14:paraId="66C08AB2">
      <w:pPr>
        <w:spacing w:before="326" w:beforeLines="100" w:after="163" w:afterLines="50"/>
        <w:rPr>
          <w:rFonts w:hint="eastAsia" w:ascii="宋体" w:hAnsi="宋体" w:eastAsia="宋体" w:cs="宋体"/>
          <w:szCs w:val="21"/>
        </w:rPr>
      </w:pPr>
      <w:r>
        <w:rPr>
          <w:rFonts w:hint="eastAsia" w:ascii="宋体" w:hAnsi="宋体" w:eastAsia="宋体" w:cs="宋体"/>
          <w:szCs w:val="21"/>
        </w:rPr>
        <w:t xml:space="preserve"> </w:t>
      </w:r>
    </w:p>
    <w:p w14:paraId="14B34F40">
      <w:pPr>
        <w:spacing w:before="326" w:beforeLines="100" w:after="163" w:afterLines="50"/>
        <w:jc w:val="center"/>
        <w:outlineLvl w:val="1"/>
        <w:rPr>
          <w:rFonts w:hint="eastAsia" w:ascii="宋体" w:hAnsi="宋体" w:eastAsia="宋体" w:cs="宋体"/>
          <w:b/>
          <w:sz w:val="28"/>
          <w:szCs w:val="28"/>
        </w:rPr>
      </w:pPr>
      <w:r>
        <w:rPr>
          <w:rFonts w:hint="eastAsia" w:ascii="宋体" w:hAnsi="宋体" w:eastAsia="宋体" w:cs="宋体"/>
          <w:sz w:val="28"/>
          <w:szCs w:val="28"/>
        </w:rPr>
        <w:br w:type="page"/>
      </w:r>
      <w:bookmarkStart w:id="405" w:name="_Toc14007"/>
      <w:bookmarkStart w:id="406" w:name="_Toc31192"/>
      <w:bookmarkStart w:id="407" w:name="_Toc45177872"/>
      <w:bookmarkStart w:id="408" w:name="_Toc24998"/>
      <w:r>
        <w:rPr>
          <w:rFonts w:hint="eastAsia" w:ascii="宋体" w:hAnsi="宋体" w:eastAsia="宋体" w:cs="宋体"/>
          <w:b/>
          <w:sz w:val="28"/>
          <w:szCs w:val="28"/>
        </w:rPr>
        <w:t>五、资格审查资料</w:t>
      </w:r>
      <w:bookmarkEnd w:id="405"/>
      <w:bookmarkEnd w:id="406"/>
      <w:bookmarkEnd w:id="407"/>
      <w:bookmarkEnd w:id="408"/>
    </w:p>
    <w:p w14:paraId="2A18999B">
      <w:pPr>
        <w:spacing w:line="360" w:lineRule="auto"/>
        <w:ind w:firstLine="480" w:firstLineChars="200"/>
        <w:jc w:val="center"/>
        <w:outlineLvl w:val="9"/>
        <w:rPr>
          <w:rFonts w:hint="eastAsia" w:ascii="宋体" w:hAnsi="宋体" w:eastAsia="宋体" w:cs="宋体"/>
          <w:bCs/>
          <w:color w:val="000000" w:themeColor="text1"/>
          <w:szCs w:val="18"/>
        </w:rPr>
      </w:pPr>
      <w:bookmarkStart w:id="409" w:name="_Toc45177875"/>
      <w:bookmarkStart w:id="410" w:name="_Toc8678"/>
      <w:r>
        <w:rPr>
          <w:rFonts w:hint="eastAsia" w:ascii="宋体" w:hAnsi="宋体" w:eastAsia="宋体" w:cs="宋体"/>
          <w:bCs/>
          <w:color w:val="000000" w:themeColor="text1"/>
          <w:szCs w:val="18"/>
        </w:rPr>
        <w:t>（</w:t>
      </w:r>
      <w:r>
        <w:rPr>
          <w:rFonts w:hint="eastAsia" w:ascii="宋体" w:hAnsi="宋体" w:cs="宋体"/>
          <w:bCs/>
          <w:color w:val="000000" w:themeColor="text1"/>
          <w:szCs w:val="18"/>
          <w:lang w:val="en-US" w:eastAsia="zh-CN"/>
        </w:rPr>
        <w:t>一</w:t>
      </w:r>
      <w:r>
        <w:rPr>
          <w:rFonts w:hint="eastAsia" w:ascii="宋体" w:hAnsi="宋体" w:eastAsia="宋体" w:cs="宋体"/>
          <w:bCs/>
          <w:color w:val="000000" w:themeColor="text1"/>
          <w:szCs w:val="18"/>
        </w:rPr>
        <w:t>）政府采购供应商信用承诺函</w:t>
      </w:r>
    </w:p>
    <w:p w14:paraId="0CC9906D">
      <w:pPr>
        <w:spacing w:line="360" w:lineRule="auto"/>
        <w:ind w:firstLine="482" w:firstLineChars="200"/>
        <w:jc w:val="center"/>
        <w:rPr>
          <w:rFonts w:hint="eastAsia" w:ascii="宋体" w:hAnsi="宋体" w:eastAsia="宋体" w:cs="宋体"/>
          <w:b/>
          <w:bCs/>
          <w:color w:val="000000" w:themeColor="text1"/>
          <w:szCs w:val="18"/>
        </w:rPr>
      </w:pPr>
    </w:p>
    <w:p w14:paraId="2BB65328">
      <w:pPr>
        <w:spacing w:line="360" w:lineRule="auto"/>
        <w:ind w:firstLine="420" w:firstLineChars="200"/>
        <w:rPr>
          <w:rFonts w:hint="eastAsia" w:ascii="宋体" w:hAnsi="宋体" w:eastAsia="宋体" w:cs="宋体"/>
          <w:color w:val="000000" w:themeColor="text1"/>
          <w:sz w:val="21"/>
          <w:szCs w:val="15"/>
        </w:rPr>
      </w:pPr>
      <w:r>
        <w:rPr>
          <w:rFonts w:hint="eastAsia" w:ascii="宋体" w:hAnsi="宋体" w:eastAsia="宋体" w:cs="宋体"/>
          <w:color w:val="000000" w:themeColor="text1"/>
          <w:sz w:val="21"/>
          <w:szCs w:val="15"/>
        </w:rPr>
        <w:t>致（采购人或采购代理机构）：</w:t>
      </w:r>
    </w:p>
    <w:p w14:paraId="0CA0E9CB">
      <w:pPr>
        <w:spacing w:line="360" w:lineRule="auto"/>
        <w:ind w:firstLine="420" w:firstLineChars="200"/>
        <w:rPr>
          <w:rFonts w:hint="eastAsia" w:ascii="宋体" w:hAnsi="宋体" w:eastAsia="宋体" w:cs="宋体"/>
          <w:color w:val="000000" w:themeColor="text1"/>
          <w:sz w:val="21"/>
          <w:szCs w:val="15"/>
        </w:rPr>
      </w:pPr>
      <w:r>
        <w:rPr>
          <w:rFonts w:hint="eastAsia" w:ascii="宋体" w:hAnsi="宋体" w:eastAsia="宋体" w:cs="宋体"/>
          <w:color w:val="000000" w:themeColor="text1"/>
          <w:sz w:val="21"/>
          <w:szCs w:val="15"/>
        </w:rPr>
        <w:t xml:space="preserve">单位名称：                                  </w:t>
      </w:r>
    </w:p>
    <w:p w14:paraId="1435D66F">
      <w:pPr>
        <w:spacing w:line="360" w:lineRule="auto"/>
        <w:ind w:firstLine="420" w:firstLineChars="200"/>
        <w:rPr>
          <w:rFonts w:hint="eastAsia" w:ascii="宋体" w:hAnsi="宋体" w:eastAsia="宋体" w:cs="宋体"/>
          <w:color w:val="000000" w:themeColor="text1"/>
          <w:sz w:val="21"/>
          <w:szCs w:val="15"/>
        </w:rPr>
      </w:pPr>
      <w:r>
        <w:rPr>
          <w:rFonts w:hint="eastAsia" w:ascii="宋体" w:hAnsi="宋体" w:eastAsia="宋体" w:cs="宋体"/>
          <w:color w:val="000000" w:themeColor="text1"/>
          <w:sz w:val="21"/>
          <w:szCs w:val="15"/>
        </w:rPr>
        <w:t xml:space="preserve">统一社会信用代码：                          </w:t>
      </w:r>
    </w:p>
    <w:p w14:paraId="707010F3">
      <w:pPr>
        <w:spacing w:line="360" w:lineRule="auto"/>
        <w:ind w:firstLine="420" w:firstLineChars="200"/>
        <w:rPr>
          <w:rFonts w:hint="eastAsia" w:ascii="宋体" w:hAnsi="宋体" w:eastAsia="宋体" w:cs="宋体"/>
          <w:color w:val="000000" w:themeColor="text1"/>
          <w:sz w:val="21"/>
          <w:szCs w:val="15"/>
        </w:rPr>
      </w:pPr>
      <w:r>
        <w:rPr>
          <w:rFonts w:hint="eastAsia" w:ascii="宋体" w:hAnsi="宋体" w:eastAsia="宋体" w:cs="宋体"/>
          <w:color w:val="000000" w:themeColor="text1"/>
          <w:sz w:val="21"/>
          <w:szCs w:val="15"/>
        </w:rPr>
        <w:t xml:space="preserve">法定代表人：                                </w:t>
      </w:r>
    </w:p>
    <w:p w14:paraId="16473610">
      <w:pPr>
        <w:spacing w:line="360" w:lineRule="auto"/>
        <w:ind w:firstLine="420" w:firstLineChars="200"/>
        <w:rPr>
          <w:rFonts w:hint="eastAsia" w:ascii="宋体" w:hAnsi="宋体" w:eastAsia="宋体" w:cs="宋体"/>
          <w:color w:val="000000" w:themeColor="text1"/>
          <w:sz w:val="21"/>
          <w:szCs w:val="15"/>
        </w:rPr>
      </w:pPr>
      <w:r>
        <w:rPr>
          <w:rFonts w:hint="eastAsia" w:ascii="宋体" w:hAnsi="宋体" w:eastAsia="宋体" w:cs="宋体"/>
          <w:color w:val="000000" w:themeColor="text1"/>
          <w:sz w:val="21"/>
          <w:szCs w:val="15"/>
        </w:rPr>
        <w:t xml:space="preserve">联系地址和电话：                            </w:t>
      </w:r>
    </w:p>
    <w:p w14:paraId="44F1B9FC">
      <w:pPr>
        <w:spacing w:line="360" w:lineRule="auto"/>
        <w:ind w:firstLine="420" w:firstLineChars="200"/>
        <w:rPr>
          <w:rFonts w:hint="eastAsia" w:ascii="宋体" w:hAnsi="宋体" w:eastAsia="宋体" w:cs="宋体"/>
          <w:color w:val="000000" w:themeColor="text1"/>
          <w:sz w:val="21"/>
          <w:szCs w:val="15"/>
        </w:rPr>
      </w:pPr>
      <w:r>
        <w:rPr>
          <w:rFonts w:hint="eastAsia" w:ascii="宋体" w:hAnsi="宋体" w:eastAsia="宋体" w:cs="宋体"/>
          <w:color w:val="000000" w:themeColor="text1"/>
          <w:sz w:val="21"/>
          <w:szCs w:val="15"/>
        </w:rPr>
        <w:t>我单位自愿参加本次政府采购活动，严格遵守《中华人民共和国政府采购法》及相关法律法规，依法诚信经营，无条件遵守本次政府采购活动的各项规定。我单位郑重承诺，本公司符合《中华人民共和国政府采购法》第二十二条规定的条件：</w:t>
      </w:r>
    </w:p>
    <w:p w14:paraId="0878DEE7">
      <w:pPr>
        <w:spacing w:line="360" w:lineRule="auto"/>
        <w:ind w:firstLine="420" w:firstLineChars="200"/>
        <w:rPr>
          <w:rFonts w:hint="eastAsia" w:ascii="宋体" w:hAnsi="宋体" w:eastAsia="宋体" w:cs="宋体"/>
          <w:color w:val="000000" w:themeColor="text1"/>
          <w:sz w:val="21"/>
          <w:szCs w:val="15"/>
        </w:rPr>
      </w:pPr>
      <w:r>
        <w:rPr>
          <w:rFonts w:hint="eastAsia" w:ascii="宋体" w:hAnsi="宋体" w:eastAsia="宋体" w:cs="宋体"/>
          <w:color w:val="000000" w:themeColor="text1"/>
          <w:sz w:val="21"/>
          <w:szCs w:val="15"/>
          <w:lang w:eastAsia="zh-CN"/>
        </w:rPr>
        <w:t>（一）</w:t>
      </w:r>
      <w:r>
        <w:rPr>
          <w:rFonts w:hint="eastAsia" w:ascii="宋体" w:hAnsi="宋体" w:eastAsia="宋体" w:cs="宋体"/>
          <w:color w:val="000000" w:themeColor="text1"/>
          <w:sz w:val="21"/>
          <w:szCs w:val="15"/>
        </w:rPr>
        <w:t>具有独立承担民事责任的能力；</w:t>
      </w:r>
    </w:p>
    <w:p w14:paraId="200BFC0B">
      <w:pPr>
        <w:spacing w:line="360" w:lineRule="auto"/>
        <w:ind w:firstLine="420" w:firstLineChars="200"/>
        <w:rPr>
          <w:rFonts w:hint="eastAsia" w:ascii="宋体" w:hAnsi="宋体" w:eastAsia="宋体" w:cs="宋体"/>
          <w:color w:val="000000" w:themeColor="text1"/>
          <w:sz w:val="21"/>
          <w:szCs w:val="15"/>
        </w:rPr>
      </w:pPr>
      <w:r>
        <w:rPr>
          <w:rFonts w:hint="eastAsia" w:ascii="宋体" w:hAnsi="宋体" w:eastAsia="宋体" w:cs="宋体"/>
          <w:color w:val="000000" w:themeColor="text1"/>
          <w:sz w:val="21"/>
          <w:szCs w:val="15"/>
          <w:lang w:eastAsia="zh-CN"/>
        </w:rPr>
        <w:t>（二）</w:t>
      </w:r>
      <w:r>
        <w:rPr>
          <w:rFonts w:hint="eastAsia" w:ascii="宋体" w:hAnsi="宋体" w:eastAsia="宋体" w:cs="宋体"/>
          <w:color w:val="000000" w:themeColor="text1"/>
          <w:sz w:val="21"/>
          <w:szCs w:val="15"/>
        </w:rPr>
        <w:t>具有良好的商业信誉和健全的财务会计制度；</w:t>
      </w:r>
    </w:p>
    <w:p w14:paraId="06D0E759">
      <w:pPr>
        <w:spacing w:line="360" w:lineRule="auto"/>
        <w:ind w:firstLine="420" w:firstLineChars="200"/>
        <w:rPr>
          <w:rFonts w:hint="eastAsia" w:ascii="宋体" w:hAnsi="宋体" w:eastAsia="宋体" w:cs="宋体"/>
          <w:color w:val="000000" w:themeColor="text1"/>
          <w:sz w:val="21"/>
          <w:szCs w:val="15"/>
        </w:rPr>
      </w:pPr>
      <w:r>
        <w:rPr>
          <w:rFonts w:hint="eastAsia" w:ascii="宋体" w:hAnsi="宋体" w:eastAsia="宋体" w:cs="宋体"/>
          <w:color w:val="000000" w:themeColor="text1"/>
          <w:sz w:val="21"/>
          <w:szCs w:val="15"/>
          <w:lang w:eastAsia="zh-CN"/>
        </w:rPr>
        <w:t>（三）</w:t>
      </w:r>
      <w:r>
        <w:rPr>
          <w:rFonts w:hint="eastAsia" w:ascii="宋体" w:hAnsi="宋体" w:eastAsia="宋体" w:cs="宋体"/>
          <w:color w:val="000000" w:themeColor="text1"/>
          <w:sz w:val="21"/>
          <w:szCs w:val="15"/>
        </w:rPr>
        <w:t>具有履行合同所必需的设备和专业技术能力；</w:t>
      </w:r>
    </w:p>
    <w:p w14:paraId="17480166">
      <w:pPr>
        <w:spacing w:line="360" w:lineRule="auto"/>
        <w:ind w:firstLine="420" w:firstLineChars="200"/>
        <w:rPr>
          <w:rFonts w:hint="eastAsia" w:ascii="宋体" w:hAnsi="宋体" w:eastAsia="宋体" w:cs="宋体"/>
          <w:color w:val="000000" w:themeColor="text1"/>
          <w:sz w:val="21"/>
          <w:szCs w:val="15"/>
        </w:rPr>
      </w:pPr>
      <w:r>
        <w:rPr>
          <w:rFonts w:hint="eastAsia" w:ascii="宋体" w:hAnsi="宋体" w:eastAsia="宋体" w:cs="宋体"/>
          <w:color w:val="000000" w:themeColor="text1"/>
          <w:sz w:val="21"/>
          <w:szCs w:val="15"/>
          <w:lang w:eastAsia="zh-CN"/>
        </w:rPr>
        <w:t>（四）</w:t>
      </w:r>
      <w:r>
        <w:rPr>
          <w:rFonts w:hint="eastAsia" w:ascii="宋体" w:hAnsi="宋体" w:eastAsia="宋体" w:cs="宋体"/>
          <w:color w:val="000000" w:themeColor="text1"/>
          <w:sz w:val="21"/>
          <w:szCs w:val="15"/>
        </w:rPr>
        <w:t>有依法缴纳税收和社会保障资金的良好记录；</w:t>
      </w:r>
    </w:p>
    <w:p w14:paraId="16DB9AD7">
      <w:pPr>
        <w:spacing w:line="360" w:lineRule="auto"/>
        <w:ind w:firstLine="420" w:firstLineChars="200"/>
        <w:rPr>
          <w:rFonts w:hint="eastAsia" w:ascii="宋体" w:hAnsi="宋体" w:eastAsia="宋体" w:cs="宋体"/>
          <w:color w:val="000000" w:themeColor="text1"/>
          <w:sz w:val="21"/>
          <w:szCs w:val="15"/>
        </w:rPr>
      </w:pPr>
      <w:r>
        <w:rPr>
          <w:rFonts w:hint="eastAsia" w:ascii="宋体" w:hAnsi="宋体" w:eastAsia="宋体" w:cs="宋体"/>
          <w:color w:val="000000" w:themeColor="text1"/>
          <w:sz w:val="21"/>
          <w:szCs w:val="15"/>
          <w:lang w:eastAsia="zh-CN"/>
        </w:rPr>
        <w:t>（五）</w:t>
      </w:r>
      <w:r>
        <w:rPr>
          <w:rFonts w:hint="eastAsia" w:ascii="宋体" w:hAnsi="宋体" w:eastAsia="宋体" w:cs="宋体"/>
          <w:color w:val="000000" w:themeColor="text1"/>
          <w:sz w:val="21"/>
          <w:szCs w:val="15"/>
        </w:rPr>
        <w:t>参加政府采购活动前三年内，在经营活动中没有重大违法记录；</w:t>
      </w:r>
    </w:p>
    <w:p w14:paraId="4CB71408">
      <w:pPr>
        <w:spacing w:line="360" w:lineRule="auto"/>
        <w:ind w:firstLine="420" w:firstLineChars="200"/>
        <w:rPr>
          <w:rFonts w:hint="eastAsia" w:ascii="宋体" w:hAnsi="宋体" w:eastAsia="宋体" w:cs="宋体"/>
          <w:color w:val="000000" w:themeColor="text1"/>
          <w:sz w:val="21"/>
          <w:szCs w:val="15"/>
        </w:rPr>
      </w:pPr>
      <w:r>
        <w:rPr>
          <w:rFonts w:hint="eastAsia" w:ascii="宋体" w:hAnsi="宋体" w:eastAsia="宋体" w:cs="宋体"/>
          <w:color w:val="000000" w:themeColor="text1"/>
          <w:sz w:val="21"/>
          <w:szCs w:val="15"/>
        </w:rPr>
        <w:t>（六）法律、行政法规规定的其他条件。</w:t>
      </w:r>
    </w:p>
    <w:p w14:paraId="26885DB6">
      <w:pPr>
        <w:spacing w:line="360" w:lineRule="auto"/>
        <w:ind w:firstLine="420" w:firstLineChars="200"/>
        <w:rPr>
          <w:rFonts w:hint="eastAsia" w:ascii="宋体" w:hAnsi="宋体" w:eastAsia="宋体" w:cs="宋体"/>
          <w:color w:val="000000" w:themeColor="text1"/>
          <w:sz w:val="21"/>
          <w:szCs w:val="15"/>
        </w:rPr>
      </w:pPr>
      <w:r>
        <w:rPr>
          <w:rFonts w:hint="eastAsia" w:ascii="宋体" w:hAnsi="宋体" w:eastAsia="宋体" w:cs="宋体"/>
          <w:color w:val="000000" w:themeColor="text1"/>
          <w:sz w:val="21"/>
          <w:szCs w:val="15"/>
        </w:rPr>
        <w:t>我单位保证上述承诺事项的真实性，如有弄虚作假或其他违法违规行为，愿意承担一切法律责任，并承担因此所造成的一切损失。</w:t>
      </w:r>
    </w:p>
    <w:p w14:paraId="587FCAAF">
      <w:pPr>
        <w:spacing w:before="326" w:beforeLines="100" w:after="163" w:afterLines="50"/>
        <w:rPr>
          <w:rFonts w:hint="eastAsia" w:ascii="宋体" w:hAnsi="宋体" w:eastAsia="宋体" w:cs="宋体"/>
          <w:color w:val="000000" w:themeColor="text1"/>
          <w:sz w:val="21"/>
          <w:szCs w:val="15"/>
        </w:rPr>
      </w:pPr>
    </w:p>
    <w:p w14:paraId="398F84ED">
      <w:pPr>
        <w:pStyle w:val="31"/>
        <w:ind w:left="0" w:leftChars="0" w:firstLine="0" w:firstLineChars="0"/>
      </w:pPr>
    </w:p>
    <w:p w14:paraId="54F14ACA">
      <w:pPr>
        <w:spacing w:line="360" w:lineRule="auto"/>
        <w:ind w:right="420"/>
        <w:rPr>
          <w:rFonts w:hint="eastAsia" w:ascii="宋体" w:hAnsi="宋体" w:eastAsia="宋体" w:cs="宋体"/>
          <w:sz w:val="21"/>
          <w:szCs w:val="21"/>
        </w:rPr>
      </w:pPr>
      <w:r>
        <w:rPr>
          <w:rFonts w:hint="eastAsia" w:ascii="宋体" w:hAnsi="宋体" w:eastAsia="宋体" w:cs="宋体"/>
          <w:sz w:val="21"/>
          <w:szCs w:val="21"/>
        </w:rPr>
        <w:t>供应商：</w:t>
      </w:r>
      <w:r>
        <w:rPr>
          <w:rFonts w:hint="eastAsia" w:ascii="宋体" w:hAnsi="宋体" w:eastAsia="宋体" w:cs="宋体"/>
          <w:sz w:val="21"/>
          <w:szCs w:val="21"/>
          <w:u w:val="single"/>
        </w:rPr>
        <w:t xml:space="preserve">                             </w:t>
      </w:r>
      <w:r>
        <w:rPr>
          <w:rFonts w:hint="eastAsia" w:ascii="宋体" w:hAnsi="宋体" w:eastAsia="宋体" w:cs="宋体"/>
          <w:sz w:val="21"/>
          <w:szCs w:val="21"/>
        </w:rPr>
        <w:t>（电子签章）</w:t>
      </w:r>
    </w:p>
    <w:p w14:paraId="2E108C28">
      <w:pPr>
        <w:spacing w:line="360" w:lineRule="auto"/>
        <w:ind w:right="420"/>
        <w:rPr>
          <w:rFonts w:hint="eastAsia" w:ascii="宋体" w:hAnsi="宋体" w:eastAsia="宋体" w:cs="宋体"/>
          <w:sz w:val="21"/>
          <w:szCs w:val="21"/>
        </w:rPr>
      </w:pPr>
      <w:r>
        <w:rPr>
          <w:rFonts w:hint="eastAsia" w:ascii="宋体" w:hAnsi="宋体" w:eastAsia="宋体" w:cs="宋体"/>
          <w:sz w:val="21"/>
          <w:szCs w:val="21"/>
        </w:rPr>
        <w:t>法定代表人</w:t>
      </w: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负责人</w:t>
      </w:r>
      <w:r>
        <w:rPr>
          <w:rFonts w:hint="eastAsia" w:ascii="宋体" w:hAnsi="宋体" w:eastAsia="宋体" w:cs="宋体"/>
          <w:sz w:val="21"/>
          <w:szCs w:val="21"/>
          <w:lang w:eastAsia="zh-CN"/>
        </w:rPr>
        <w:t>）</w:t>
      </w:r>
      <w:r>
        <w:rPr>
          <w:rFonts w:hint="eastAsia" w:ascii="宋体" w:hAnsi="宋体" w:eastAsia="宋体" w:cs="宋体"/>
          <w:sz w:val="21"/>
          <w:szCs w:val="21"/>
        </w:rPr>
        <w:t xml:space="preserve">或其委托代理人： </w:t>
      </w:r>
      <w:r>
        <w:rPr>
          <w:rFonts w:hint="eastAsia" w:ascii="宋体" w:hAnsi="宋体" w:eastAsia="宋体" w:cs="宋体"/>
          <w:sz w:val="21"/>
          <w:szCs w:val="21"/>
          <w:u w:val="single"/>
        </w:rPr>
        <w:t xml:space="preserve">          </w:t>
      </w:r>
      <w:r>
        <w:rPr>
          <w:rFonts w:hint="eastAsia" w:ascii="宋体" w:hAnsi="宋体" w:eastAsia="宋体" w:cs="宋体"/>
          <w:sz w:val="21"/>
          <w:szCs w:val="21"/>
        </w:rPr>
        <w:t>（签字或盖章）</w:t>
      </w:r>
    </w:p>
    <w:p w14:paraId="6BAB57D5">
      <w:pPr>
        <w:spacing w:line="360" w:lineRule="auto"/>
        <w:ind w:right="480"/>
        <w:rPr>
          <w:rFonts w:hint="eastAsia" w:ascii="宋体" w:hAnsi="宋体" w:eastAsia="宋体" w:cs="宋体"/>
          <w:sz w:val="21"/>
          <w:szCs w:val="21"/>
        </w:rPr>
      </w:pPr>
      <w:r>
        <w:rPr>
          <w:rFonts w:hint="eastAsia" w:ascii="宋体" w:hAnsi="宋体" w:eastAsia="宋体" w:cs="宋体"/>
          <w:sz w:val="21"/>
          <w:szCs w:val="21"/>
        </w:rPr>
        <w:t xml:space="preserve">                              </w:t>
      </w:r>
    </w:p>
    <w:p w14:paraId="387F75D3">
      <w:pPr>
        <w:spacing w:line="360" w:lineRule="auto"/>
        <w:ind w:right="480"/>
        <w:rPr>
          <w:rFonts w:hint="eastAsia" w:ascii="宋体" w:hAnsi="宋体" w:eastAsia="宋体" w:cs="宋体"/>
          <w:sz w:val="21"/>
          <w:szCs w:val="21"/>
        </w:rPr>
      </w:pPr>
      <w:r>
        <w:rPr>
          <w:rFonts w:hint="eastAsia" w:ascii="宋体" w:hAnsi="宋体" w:eastAsia="宋体" w:cs="宋体"/>
          <w:sz w:val="21"/>
          <w:szCs w:val="21"/>
        </w:rPr>
        <w:t xml:space="preserve">  </w:t>
      </w:r>
      <w:r>
        <w:rPr>
          <w:rFonts w:hint="eastAsia" w:ascii="宋体" w:hAnsi="宋体" w:eastAsia="宋体" w:cs="宋体"/>
          <w:sz w:val="21"/>
          <w:szCs w:val="21"/>
          <w:u w:val="single"/>
        </w:rPr>
        <w:t xml:space="preserve">     </w:t>
      </w:r>
      <w:r>
        <w:rPr>
          <w:rFonts w:hint="eastAsia" w:ascii="宋体" w:hAnsi="宋体" w:eastAsia="宋体" w:cs="宋体"/>
          <w:sz w:val="21"/>
          <w:szCs w:val="21"/>
        </w:rPr>
        <w:t>年</w:t>
      </w:r>
      <w:r>
        <w:rPr>
          <w:rFonts w:hint="eastAsia" w:ascii="宋体" w:hAnsi="宋体" w:eastAsia="宋体" w:cs="宋体"/>
          <w:sz w:val="21"/>
          <w:szCs w:val="21"/>
          <w:u w:val="single"/>
        </w:rPr>
        <w:t xml:space="preserve">      </w:t>
      </w:r>
      <w:r>
        <w:rPr>
          <w:rFonts w:hint="eastAsia" w:ascii="宋体" w:hAnsi="宋体" w:eastAsia="宋体" w:cs="宋体"/>
          <w:sz w:val="21"/>
          <w:szCs w:val="21"/>
        </w:rPr>
        <w:t>月</w:t>
      </w:r>
      <w:r>
        <w:rPr>
          <w:rFonts w:hint="eastAsia" w:ascii="宋体" w:hAnsi="宋体" w:eastAsia="宋体" w:cs="宋体"/>
          <w:sz w:val="21"/>
          <w:szCs w:val="21"/>
          <w:u w:val="single"/>
        </w:rPr>
        <w:t xml:space="preserve">       </w:t>
      </w:r>
      <w:r>
        <w:rPr>
          <w:rFonts w:hint="eastAsia" w:ascii="宋体" w:hAnsi="宋体" w:eastAsia="宋体" w:cs="宋体"/>
          <w:sz w:val="21"/>
          <w:szCs w:val="21"/>
        </w:rPr>
        <w:t>日</w:t>
      </w:r>
    </w:p>
    <w:p w14:paraId="5CFB3088">
      <w:pPr>
        <w:rPr>
          <w:rFonts w:hint="eastAsia" w:ascii="宋体" w:hAnsi="宋体" w:eastAsia="宋体" w:cs="宋体"/>
          <w:bCs/>
          <w:color w:val="000000" w:themeColor="text1"/>
          <w:szCs w:val="18"/>
        </w:rPr>
      </w:pPr>
      <w:r>
        <w:rPr>
          <w:rFonts w:hint="eastAsia" w:ascii="宋体" w:hAnsi="宋体" w:eastAsia="宋体" w:cs="宋体"/>
          <w:bCs/>
          <w:color w:val="000000" w:themeColor="text1"/>
          <w:szCs w:val="18"/>
        </w:rPr>
        <w:br w:type="page"/>
      </w:r>
    </w:p>
    <w:p w14:paraId="6354B145">
      <w:pPr>
        <w:numPr>
          <w:ilvl w:val="0"/>
          <w:numId w:val="0"/>
        </w:numPr>
        <w:jc w:val="center"/>
        <w:rPr>
          <w:rFonts w:hint="default" w:ascii="宋体" w:hAnsi="宋体" w:eastAsia="宋体" w:cs="宋体"/>
          <w:bCs/>
          <w:color w:val="000000" w:themeColor="text1"/>
          <w:szCs w:val="18"/>
          <w:lang w:val="en-US" w:eastAsia="zh-CN"/>
        </w:rPr>
      </w:pPr>
      <w:r>
        <w:rPr>
          <w:rFonts w:hint="eastAsia" w:ascii="宋体" w:hAnsi="宋体" w:eastAsia="宋体" w:cs="宋体"/>
          <w:bCs/>
          <w:color w:val="000000" w:themeColor="text1"/>
          <w:kern w:val="2"/>
          <w:sz w:val="24"/>
          <w:szCs w:val="18"/>
          <w:lang w:val="en-US" w:eastAsia="zh-CN" w:bidi="ar-SA"/>
        </w:rPr>
        <w:t>（二）</w:t>
      </w:r>
      <w:r>
        <w:rPr>
          <w:rFonts w:hint="eastAsia" w:ascii="宋体" w:hAnsi="宋体" w:eastAsia="宋体" w:cs="宋体"/>
          <w:bCs/>
          <w:color w:val="000000" w:themeColor="text1"/>
          <w:szCs w:val="18"/>
          <w:lang w:val="en-US" w:eastAsia="zh-CN"/>
        </w:rPr>
        <w:t>其他资格证明材料</w:t>
      </w:r>
    </w:p>
    <w:p w14:paraId="0DB1493D">
      <w:pPr>
        <w:rPr>
          <w:rFonts w:hint="eastAsia" w:ascii="宋体" w:hAnsi="宋体" w:eastAsia="宋体" w:cs="宋体"/>
          <w:b/>
          <w:sz w:val="28"/>
          <w:szCs w:val="28"/>
        </w:rPr>
      </w:pPr>
    </w:p>
    <w:p w14:paraId="06C507AB">
      <w:pPr>
        <w:rPr>
          <w:rFonts w:hint="eastAsia" w:ascii="宋体" w:hAnsi="宋体" w:eastAsia="宋体" w:cs="宋体"/>
          <w:b/>
          <w:sz w:val="28"/>
          <w:szCs w:val="28"/>
        </w:rPr>
      </w:pPr>
      <w:bookmarkStart w:id="411" w:name="_Toc32555"/>
      <w:bookmarkStart w:id="412" w:name="_Toc29497"/>
      <w:r>
        <w:rPr>
          <w:rFonts w:hint="eastAsia" w:ascii="宋体" w:hAnsi="宋体" w:eastAsia="宋体" w:cs="宋体"/>
          <w:b/>
          <w:sz w:val="28"/>
          <w:szCs w:val="28"/>
        </w:rPr>
        <w:br w:type="page"/>
      </w:r>
    </w:p>
    <w:p w14:paraId="2D6D4F22">
      <w:pPr>
        <w:spacing w:before="326" w:beforeLines="100" w:after="163" w:afterLines="50"/>
        <w:jc w:val="center"/>
        <w:outlineLvl w:val="1"/>
        <w:rPr>
          <w:rFonts w:hint="eastAsia" w:ascii="宋体" w:hAnsi="宋体" w:eastAsia="宋体" w:cs="宋体"/>
          <w:b/>
          <w:sz w:val="28"/>
          <w:szCs w:val="28"/>
        </w:rPr>
      </w:pPr>
      <w:r>
        <w:rPr>
          <w:rFonts w:hint="eastAsia" w:ascii="宋体" w:hAnsi="宋体" w:eastAsia="宋体" w:cs="宋体"/>
          <w:b/>
          <w:sz w:val="28"/>
          <w:szCs w:val="28"/>
        </w:rPr>
        <w:t>六、</w:t>
      </w:r>
      <w:bookmarkEnd w:id="409"/>
      <w:bookmarkEnd w:id="410"/>
      <w:bookmarkStart w:id="413" w:name="_Toc45177878"/>
      <w:bookmarkStart w:id="414" w:name="_Toc26441"/>
      <w:r>
        <w:rPr>
          <w:rFonts w:hint="eastAsia" w:ascii="宋体" w:hAnsi="宋体" w:eastAsia="宋体" w:cs="宋体"/>
          <w:b/>
          <w:sz w:val="28"/>
          <w:szCs w:val="28"/>
        </w:rPr>
        <w:t>技术部分</w:t>
      </w:r>
      <w:bookmarkEnd w:id="411"/>
      <w:bookmarkEnd w:id="412"/>
    </w:p>
    <w:p w14:paraId="755262A5">
      <w:pPr>
        <w:spacing w:line="360" w:lineRule="auto"/>
        <w:jc w:val="center"/>
        <w:rPr>
          <w:rFonts w:hint="default" w:ascii="宋体" w:hAnsi="宋体" w:eastAsia="宋体" w:cs="宋体"/>
          <w:b/>
          <w:sz w:val="28"/>
          <w:szCs w:val="28"/>
          <w:lang w:val="en-US" w:eastAsia="zh-CN"/>
        </w:rPr>
      </w:pPr>
      <w:r>
        <w:rPr>
          <w:rFonts w:hint="eastAsia" w:ascii="宋体" w:hAnsi="宋体" w:eastAsia="宋体" w:cs="宋体"/>
          <w:b/>
          <w:sz w:val="24"/>
          <w:szCs w:val="24"/>
          <w:lang w:val="en-US" w:eastAsia="zh-CN"/>
        </w:rPr>
        <w:t>1、采购需求偏差表</w:t>
      </w:r>
    </w:p>
    <w:tbl>
      <w:tblPr>
        <w:tblStyle w:val="33"/>
        <w:tblW w:w="997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662"/>
        <w:gridCol w:w="1662"/>
        <w:gridCol w:w="1662"/>
        <w:gridCol w:w="1663"/>
        <w:gridCol w:w="1663"/>
        <w:gridCol w:w="1663"/>
      </w:tblGrid>
      <w:tr w14:paraId="04E599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trPr>
        <w:tc>
          <w:tcPr>
            <w:tcW w:w="1662" w:type="dxa"/>
          </w:tcPr>
          <w:p w14:paraId="3D0CFC4C">
            <w:pPr>
              <w:spacing w:line="360" w:lineRule="auto"/>
              <w:jc w:val="center"/>
              <w:rPr>
                <w:rFonts w:hint="eastAsia" w:ascii="宋体" w:hAnsi="宋体" w:eastAsia="宋体" w:cs="宋体"/>
                <w:b w:val="0"/>
                <w:bCs/>
                <w:sz w:val="21"/>
                <w:szCs w:val="21"/>
                <w:vertAlign w:val="baseline"/>
                <w:lang w:val="en-US" w:eastAsia="zh-CN"/>
              </w:rPr>
            </w:pPr>
            <w:r>
              <w:rPr>
                <w:rFonts w:hint="eastAsia" w:ascii="宋体" w:hAnsi="宋体" w:eastAsia="宋体" w:cs="宋体"/>
                <w:b w:val="0"/>
                <w:bCs/>
                <w:sz w:val="21"/>
                <w:szCs w:val="21"/>
                <w:vertAlign w:val="baseline"/>
                <w:lang w:val="en-US" w:eastAsia="zh-CN"/>
              </w:rPr>
              <w:t>序号</w:t>
            </w:r>
          </w:p>
        </w:tc>
        <w:tc>
          <w:tcPr>
            <w:tcW w:w="1662" w:type="dxa"/>
          </w:tcPr>
          <w:p w14:paraId="1A3992CF">
            <w:pPr>
              <w:spacing w:line="360" w:lineRule="auto"/>
              <w:jc w:val="center"/>
              <w:rPr>
                <w:rFonts w:hint="default" w:ascii="宋体" w:hAnsi="宋体" w:eastAsia="宋体" w:cs="宋体"/>
                <w:b w:val="0"/>
                <w:bCs/>
                <w:sz w:val="21"/>
                <w:szCs w:val="21"/>
                <w:vertAlign w:val="baseline"/>
                <w:lang w:val="en-US" w:eastAsia="zh-CN"/>
              </w:rPr>
            </w:pPr>
            <w:r>
              <w:rPr>
                <w:rFonts w:hint="eastAsia" w:ascii="宋体" w:hAnsi="宋体" w:eastAsia="宋体" w:cs="宋体"/>
                <w:b w:val="0"/>
                <w:bCs/>
                <w:sz w:val="21"/>
                <w:szCs w:val="21"/>
                <w:vertAlign w:val="baseline"/>
                <w:lang w:val="en-US" w:eastAsia="zh-CN"/>
              </w:rPr>
              <w:t>采购需求</w:t>
            </w:r>
          </w:p>
        </w:tc>
        <w:tc>
          <w:tcPr>
            <w:tcW w:w="1662" w:type="dxa"/>
          </w:tcPr>
          <w:p w14:paraId="6CAE7327">
            <w:pPr>
              <w:spacing w:line="360" w:lineRule="auto"/>
              <w:jc w:val="center"/>
              <w:rPr>
                <w:rFonts w:hint="default" w:ascii="宋体" w:hAnsi="宋体" w:eastAsia="宋体" w:cs="宋体"/>
                <w:b w:val="0"/>
                <w:bCs/>
                <w:sz w:val="21"/>
                <w:szCs w:val="21"/>
                <w:vertAlign w:val="baseline"/>
                <w:lang w:val="en-US" w:eastAsia="zh-CN"/>
              </w:rPr>
            </w:pPr>
            <w:r>
              <w:rPr>
                <w:rFonts w:hint="eastAsia" w:ascii="宋体" w:hAnsi="宋体" w:eastAsia="宋体" w:cs="宋体"/>
                <w:b w:val="0"/>
                <w:bCs/>
                <w:sz w:val="21"/>
                <w:szCs w:val="21"/>
                <w:vertAlign w:val="baseline"/>
                <w:lang w:val="en-US" w:eastAsia="zh-CN"/>
              </w:rPr>
              <w:t>投标内容</w:t>
            </w:r>
          </w:p>
        </w:tc>
        <w:tc>
          <w:tcPr>
            <w:tcW w:w="1663" w:type="dxa"/>
          </w:tcPr>
          <w:p w14:paraId="2C1A31E5">
            <w:pPr>
              <w:spacing w:line="360" w:lineRule="auto"/>
              <w:jc w:val="center"/>
              <w:rPr>
                <w:rFonts w:hint="default" w:ascii="宋体" w:hAnsi="宋体" w:eastAsia="宋体" w:cs="宋体"/>
                <w:b w:val="0"/>
                <w:bCs/>
                <w:sz w:val="21"/>
                <w:szCs w:val="21"/>
                <w:vertAlign w:val="baseline"/>
                <w:lang w:val="en-US" w:eastAsia="zh-CN"/>
              </w:rPr>
            </w:pPr>
            <w:r>
              <w:rPr>
                <w:rFonts w:hint="eastAsia" w:ascii="宋体" w:hAnsi="宋体" w:eastAsia="宋体" w:cs="宋体"/>
                <w:b w:val="0"/>
                <w:bCs/>
                <w:sz w:val="21"/>
                <w:szCs w:val="21"/>
                <w:vertAlign w:val="baseline"/>
                <w:lang w:val="en-US" w:eastAsia="zh-CN"/>
              </w:rPr>
              <w:t>是否偏差</w:t>
            </w:r>
          </w:p>
        </w:tc>
        <w:tc>
          <w:tcPr>
            <w:tcW w:w="1663" w:type="dxa"/>
          </w:tcPr>
          <w:p w14:paraId="2804A03C">
            <w:pPr>
              <w:spacing w:line="360" w:lineRule="auto"/>
              <w:jc w:val="center"/>
              <w:rPr>
                <w:rFonts w:hint="default" w:ascii="宋体" w:hAnsi="宋体" w:eastAsia="宋体" w:cs="宋体"/>
                <w:b w:val="0"/>
                <w:bCs/>
                <w:sz w:val="21"/>
                <w:szCs w:val="21"/>
                <w:vertAlign w:val="baseline"/>
                <w:lang w:val="en-US" w:eastAsia="zh-CN"/>
              </w:rPr>
            </w:pPr>
            <w:r>
              <w:rPr>
                <w:rFonts w:hint="eastAsia" w:ascii="宋体" w:hAnsi="宋体" w:eastAsia="宋体" w:cs="宋体"/>
                <w:b w:val="0"/>
                <w:bCs/>
                <w:sz w:val="21"/>
                <w:szCs w:val="21"/>
                <w:vertAlign w:val="baseline"/>
                <w:lang w:val="en-US" w:eastAsia="zh-CN"/>
              </w:rPr>
              <w:t>偏差说明</w:t>
            </w:r>
          </w:p>
        </w:tc>
        <w:tc>
          <w:tcPr>
            <w:tcW w:w="1663" w:type="dxa"/>
          </w:tcPr>
          <w:p w14:paraId="60E60F63">
            <w:pPr>
              <w:spacing w:line="360" w:lineRule="auto"/>
              <w:jc w:val="center"/>
              <w:rPr>
                <w:rFonts w:hint="default" w:ascii="宋体" w:hAnsi="宋体" w:eastAsia="宋体" w:cs="宋体"/>
                <w:b w:val="0"/>
                <w:bCs/>
                <w:sz w:val="21"/>
                <w:szCs w:val="21"/>
                <w:vertAlign w:val="baseline"/>
                <w:lang w:val="en-US" w:eastAsia="zh-CN"/>
              </w:rPr>
            </w:pPr>
            <w:r>
              <w:rPr>
                <w:rFonts w:hint="eastAsia" w:ascii="宋体" w:hAnsi="宋体" w:eastAsia="宋体" w:cs="宋体"/>
                <w:b w:val="0"/>
                <w:bCs/>
                <w:sz w:val="21"/>
                <w:szCs w:val="21"/>
                <w:vertAlign w:val="baseline"/>
                <w:lang w:val="en-US" w:eastAsia="zh-CN"/>
              </w:rPr>
              <w:t>备注</w:t>
            </w:r>
          </w:p>
        </w:tc>
      </w:tr>
      <w:tr w14:paraId="08C8B9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trPr>
        <w:tc>
          <w:tcPr>
            <w:tcW w:w="1662" w:type="dxa"/>
          </w:tcPr>
          <w:p w14:paraId="1AA279B9">
            <w:pPr>
              <w:spacing w:line="360" w:lineRule="auto"/>
              <w:rPr>
                <w:rFonts w:hint="eastAsia" w:ascii="宋体" w:hAnsi="宋体" w:eastAsia="宋体" w:cs="宋体"/>
                <w:b w:val="0"/>
                <w:bCs/>
                <w:sz w:val="21"/>
                <w:szCs w:val="21"/>
                <w:vertAlign w:val="baseline"/>
              </w:rPr>
            </w:pPr>
          </w:p>
        </w:tc>
        <w:tc>
          <w:tcPr>
            <w:tcW w:w="1662" w:type="dxa"/>
          </w:tcPr>
          <w:p w14:paraId="537BDD97">
            <w:pPr>
              <w:spacing w:line="360" w:lineRule="auto"/>
              <w:rPr>
                <w:rFonts w:hint="eastAsia" w:ascii="宋体" w:hAnsi="宋体" w:eastAsia="宋体" w:cs="宋体"/>
                <w:b w:val="0"/>
                <w:bCs/>
                <w:sz w:val="21"/>
                <w:szCs w:val="21"/>
                <w:vertAlign w:val="baseline"/>
              </w:rPr>
            </w:pPr>
          </w:p>
        </w:tc>
        <w:tc>
          <w:tcPr>
            <w:tcW w:w="1662" w:type="dxa"/>
          </w:tcPr>
          <w:p w14:paraId="4278107C">
            <w:pPr>
              <w:spacing w:line="360" w:lineRule="auto"/>
              <w:rPr>
                <w:rFonts w:hint="eastAsia" w:ascii="宋体" w:hAnsi="宋体" w:eastAsia="宋体" w:cs="宋体"/>
                <w:b w:val="0"/>
                <w:bCs/>
                <w:sz w:val="21"/>
                <w:szCs w:val="21"/>
                <w:vertAlign w:val="baseline"/>
              </w:rPr>
            </w:pPr>
          </w:p>
        </w:tc>
        <w:tc>
          <w:tcPr>
            <w:tcW w:w="1663" w:type="dxa"/>
          </w:tcPr>
          <w:p w14:paraId="1DD2A4E0">
            <w:pPr>
              <w:spacing w:line="360" w:lineRule="auto"/>
              <w:rPr>
                <w:rFonts w:hint="eastAsia" w:ascii="宋体" w:hAnsi="宋体" w:eastAsia="宋体" w:cs="宋体"/>
                <w:b w:val="0"/>
                <w:bCs/>
                <w:sz w:val="21"/>
                <w:szCs w:val="21"/>
                <w:vertAlign w:val="baseline"/>
              </w:rPr>
            </w:pPr>
          </w:p>
        </w:tc>
        <w:tc>
          <w:tcPr>
            <w:tcW w:w="1663" w:type="dxa"/>
          </w:tcPr>
          <w:p w14:paraId="689A0888">
            <w:pPr>
              <w:spacing w:line="360" w:lineRule="auto"/>
              <w:rPr>
                <w:rFonts w:hint="eastAsia" w:ascii="宋体" w:hAnsi="宋体" w:eastAsia="宋体" w:cs="宋体"/>
                <w:b w:val="0"/>
                <w:bCs/>
                <w:sz w:val="21"/>
                <w:szCs w:val="21"/>
                <w:vertAlign w:val="baseline"/>
              </w:rPr>
            </w:pPr>
          </w:p>
        </w:tc>
        <w:tc>
          <w:tcPr>
            <w:tcW w:w="1663" w:type="dxa"/>
          </w:tcPr>
          <w:p w14:paraId="3160BDCC">
            <w:pPr>
              <w:spacing w:line="360" w:lineRule="auto"/>
              <w:rPr>
                <w:rFonts w:hint="eastAsia" w:ascii="宋体" w:hAnsi="宋体" w:eastAsia="宋体" w:cs="宋体"/>
                <w:b w:val="0"/>
                <w:bCs/>
                <w:sz w:val="21"/>
                <w:szCs w:val="21"/>
                <w:vertAlign w:val="baseline"/>
              </w:rPr>
            </w:pPr>
          </w:p>
        </w:tc>
      </w:tr>
      <w:tr w14:paraId="0232C1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trPr>
        <w:tc>
          <w:tcPr>
            <w:tcW w:w="1662" w:type="dxa"/>
          </w:tcPr>
          <w:p w14:paraId="01FB69D9">
            <w:pPr>
              <w:spacing w:line="360" w:lineRule="auto"/>
              <w:rPr>
                <w:rFonts w:hint="eastAsia" w:ascii="宋体" w:hAnsi="宋体" w:eastAsia="宋体" w:cs="宋体"/>
                <w:b w:val="0"/>
                <w:bCs/>
                <w:sz w:val="21"/>
                <w:szCs w:val="21"/>
                <w:vertAlign w:val="baseline"/>
              </w:rPr>
            </w:pPr>
          </w:p>
        </w:tc>
        <w:tc>
          <w:tcPr>
            <w:tcW w:w="1662" w:type="dxa"/>
          </w:tcPr>
          <w:p w14:paraId="78C44087">
            <w:pPr>
              <w:spacing w:line="360" w:lineRule="auto"/>
              <w:rPr>
                <w:rFonts w:hint="eastAsia" w:ascii="宋体" w:hAnsi="宋体" w:eastAsia="宋体" w:cs="宋体"/>
                <w:b w:val="0"/>
                <w:bCs/>
                <w:sz w:val="21"/>
                <w:szCs w:val="21"/>
                <w:vertAlign w:val="baseline"/>
              </w:rPr>
            </w:pPr>
          </w:p>
        </w:tc>
        <w:tc>
          <w:tcPr>
            <w:tcW w:w="1662" w:type="dxa"/>
          </w:tcPr>
          <w:p w14:paraId="6AB18891">
            <w:pPr>
              <w:spacing w:line="360" w:lineRule="auto"/>
              <w:rPr>
                <w:rFonts w:hint="eastAsia" w:ascii="宋体" w:hAnsi="宋体" w:eastAsia="宋体" w:cs="宋体"/>
                <w:b w:val="0"/>
                <w:bCs/>
                <w:sz w:val="21"/>
                <w:szCs w:val="21"/>
                <w:vertAlign w:val="baseline"/>
              </w:rPr>
            </w:pPr>
          </w:p>
        </w:tc>
        <w:tc>
          <w:tcPr>
            <w:tcW w:w="1663" w:type="dxa"/>
          </w:tcPr>
          <w:p w14:paraId="2E8B3554">
            <w:pPr>
              <w:spacing w:line="360" w:lineRule="auto"/>
              <w:rPr>
                <w:rFonts w:hint="eastAsia" w:ascii="宋体" w:hAnsi="宋体" w:eastAsia="宋体" w:cs="宋体"/>
                <w:b w:val="0"/>
                <w:bCs/>
                <w:sz w:val="21"/>
                <w:szCs w:val="21"/>
                <w:vertAlign w:val="baseline"/>
              </w:rPr>
            </w:pPr>
          </w:p>
        </w:tc>
        <w:tc>
          <w:tcPr>
            <w:tcW w:w="1663" w:type="dxa"/>
          </w:tcPr>
          <w:p w14:paraId="4FB80875">
            <w:pPr>
              <w:spacing w:line="360" w:lineRule="auto"/>
              <w:rPr>
                <w:rFonts w:hint="eastAsia" w:ascii="宋体" w:hAnsi="宋体" w:eastAsia="宋体" w:cs="宋体"/>
                <w:b w:val="0"/>
                <w:bCs/>
                <w:sz w:val="21"/>
                <w:szCs w:val="21"/>
                <w:vertAlign w:val="baseline"/>
              </w:rPr>
            </w:pPr>
          </w:p>
        </w:tc>
        <w:tc>
          <w:tcPr>
            <w:tcW w:w="1663" w:type="dxa"/>
          </w:tcPr>
          <w:p w14:paraId="2F37FA8B">
            <w:pPr>
              <w:spacing w:line="360" w:lineRule="auto"/>
              <w:rPr>
                <w:rFonts w:hint="eastAsia" w:ascii="宋体" w:hAnsi="宋体" w:eastAsia="宋体" w:cs="宋体"/>
                <w:b w:val="0"/>
                <w:bCs/>
                <w:sz w:val="21"/>
                <w:szCs w:val="21"/>
                <w:vertAlign w:val="baseline"/>
              </w:rPr>
            </w:pPr>
          </w:p>
        </w:tc>
      </w:tr>
      <w:tr w14:paraId="1DC442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trPr>
        <w:tc>
          <w:tcPr>
            <w:tcW w:w="1662" w:type="dxa"/>
          </w:tcPr>
          <w:p w14:paraId="037BAF4D">
            <w:pPr>
              <w:spacing w:line="360" w:lineRule="auto"/>
              <w:rPr>
                <w:rFonts w:hint="eastAsia" w:ascii="宋体" w:hAnsi="宋体" w:eastAsia="宋体" w:cs="宋体"/>
                <w:b w:val="0"/>
                <w:bCs/>
                <w:sz w:val="21"/>
                <w:szCs w:val="21"/>
                <w:vertAlign w:val="baseline"/>
              </w:rPr>
            </w:pPr>
          </w:p>
        </w:tc>
        <w:tc>
          <w:tcPr>
            <w:tcW w:w="1662" w:type="dxa"/>
          </w:tcPr>
          <w:p w14:paraId="0C7D9253">
            <w:pPr>
              <w:spacing w:line="360" w:lineRule="auto"/>
              <w:rPr>
                <w:rFonts w:hint="eastAsia" w:ascii="宋体" w:hAnsi="宋体" w:eastAsia="宋体" w:cs="宋体"/>
                <w:b w:val="0"/>
                <w:bCs/>
                <w:sz w:val="21"/>
                <w:szCs w:val="21"/>
                <w:vertAlign w:val="baseline"/>
              </w:rPr>
            </w:pPr>
          </w:p>
        </w:tc>
        <w:tc>
          <w:tcPr>
            <w:tcW w:w="1662" w:type="dxa"/>
          </w:tcPr>
          <w:p w14:paraId="201FB332">
            <w:pPr>
              <w:spacing w:line="360" w:lineRule="auto"/>
              <w:rPr>
                <w:rFonts w:hint="eastAsia" w:ascii="宋体" w:hAnsi="宋体" w:eastAsia="宋体" w:cs="宋体"/>
                <w:b w:val="0"/>
                <w:bCs/>
                <w:sz w:val="21"/>
                <w:szCs w:val="21"/>
                <w:vertAlign w:val="baseline"/>
              </w:rPr>
            </w:pPr>
          </w:p>
        </w:tc>
        <w:tc>
          <w:tcPr>
            <w:tcW w:w="1663" w:type="dxa"/>
          </w:tcPr>
          <w:p w14:paraId="0BF157E6">
            <w:pPr>
              <w:spacing w:line="360" w:lineRule="auto"/>
              <w:rPr>
                <w:rFonts w:hint="eastAsia" w:ascii="宋体" w:hAnsi="宋体" w:eastAsia="宋体" w:cs="宋体"/>
                <w:b w:val="0"/>
                <w:bCs/>
                <w:sz w:val="21"/>
                <w:szCs w:val="21"/>
                <w:vertAlign w:val="baseline"/>
              </w:rPr>
            </w:pPr>
          </w:p>
        </w:tc>
        <w:tc>
          <w:tcPr>
            <w:tcW w:w="1663" w:type="dxa"/>
          </w:tcPr>
          <w:p w14:paraId="63B1A6AF">
            <w:pPr>
              <w:spacing w:line="360" w:lineRule="auto"/>
              <w:rPr>
                <w:rFonts w:hint="eastAsia" w:ascii="宋体" w:hAnsi="宋体" w:eastAsia="宋体" w:cs="宋体"/>
                <w:b w:val="0"/>
                <w:bCs/>
                <w:sz w:val="21"/>
                <w:szCs w:val="21"/>
                <w:vertAlign w:val="baseline"/>
              </w:rPr>
            </w:pPr>
          </w:p>
        </w:tc>
        <w:tc>
          <w:tcPr>
            <w:tcW w:w="1663" w:type="dxa"/>
          </w:tcPr>
          <w:p w14:paraId="78D93676">
            <w:pPr>
              <w:spacing w:line="360" w:lineRule="auto"/>
              <w:rPr>
                <w:rFonts w:hint="eastAsia" w:ascii="宋体" w:hAnsi="宋体" w:eastAsia="宋体" w:cs="宋体"/>
                <w:b w:val="0"/>
                <w:bCs/>
                <w:sz w:val="21"/>
                <w:szCs w:val="21"/>
                <w:vertAlign w:val="baseline"/>
              </w:rPr>
            </w:pPr>
          </w:p>
        </w:tc>
      </w:tr>
      <w:tr w14:paraId="3645C0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trPr>
        <w:tc>
          <w:tcPr>
            <w:tcW w:w="1662" w:type="dxa"/>
          </w:tcPr>
          <w:p w14:paraId="55ED79A6">
            <w:pPr>
              <w:spacing w:line="360" w:lineRule="auto"/>
              <w:rPr>
                <w:rFonts w:hint="eastAsia" w:ascii="宋体" w:hAnsi="宋体" w:eastAsia="宋体" w:cs="宋体"/>
                <w:b w:val="0"/>
                <w:bCs/>
                <w:sz w:val="21"/>
                <w:szCs w:val="21"/>
                <w:vertAlign w:val="baseline"/>
              </w:rPr>
            </w:pPr>
          </w:p>
        </w:tc>
        <w:tc>
          <w:tcPr>
            <w:tcW w:w="1662" w:type="dxa"/>
          </w:tcPr>
          <w:p w14:paraId="5BA22D09">
            <w:pPr>
              <w:spacing w:line="360" w:lineRule="auto"/>
              <w:rPr>
                <w:rFonts w:hint="eastAsia" w:ascii="宋体" w:hAnsi="宋体" w:eastAsia="宋体" w:cs="宋体"/>
                <w:b w:val="0"/>
                <w:bCs/>
                <w:sz w:val="21"/>
                <w:szCs w:val="21"/>
                <w:vertAlign w:val="baseline"/>
              </w:rPr>
            </w:pPr>
          </w:p>
        </w:tc>
        <w:tc>
          <w:tcPr>
            <w:tcW w:w="1662" w:type="dxa"/>
          </w:tcPr>
          <w:p w14:paraId="6520BC9B">
            <w:pPr>
              <w:spacing w:line="360" w:lineRule="auto"/>
              <w:rPr>
                <w:rFonts w:hint="eastAsia" w:ascii="宋体" w:hAnsi="宋体" w:eastAsia="宋体" w:cs="宋体"/>
                <w:b w:val="0"/>
                <w:bCs/>
                <w:sz w:val="21"/>
                <w:szCs w:val="21"/>
                <w:vertAlign w:val="baseline"/>
              </w:rPr>
            </w:pPr>
          </w:p>
        </w:tc>
        <w:tc>
          <w:tcPr>
            <w:tcW w:w="1663" w:type="dxa"/>
          </w:tcPr>
          <w:p w14:paraId="47F988F5">
            <w:pPr>
              <w:spacing w:line="360" w:lineRule="auto"/>
              <w:rPr>
                <w:rFonts w:hint="eastAsia" w:ascii="宋体" w:hAnsi="宋体" w:eastAsia="宋体" w:cs="宋体"/>
                <w:b w:val="0"/>
                <w:bCs/>
                <w:sz w:val="21"/>
                <w:szCs w:val="21"/>
                <w:vertAlign w:val="baseline"/>
              </w:rPr>
            </w:pPr>
          </w:p>
        </w:tc>
        <w:tc>
          <w:tcPr>
            <w:tcW w:w="1663" w:type="dxa"/>
          </w:tcPr>
          <w:p w14:paraId="04926B41">
            <w:pPr>
              <w:spacing w:line="360" w:lineRule="auto"/>
              <w:rPr>
                <w:rFonts w:hint="eastAsia" w:ascii="宋体" w:hAnsi="宋体" w:eastAsia="宋体" w:cs="宋体"/>
                <w:b w:val="0"/>
                <w:bCs/>
                <w:sz w:val="21"/>
                <w:szCs w:val="21"/>
                <w:vertAlign w:val="baseline"/>
              </w:rPr>
            </w:pPr>
          </w:p>
        </w:tc>
        <w:tc>
          <w:tcPr>
            <w:tcW w:w="1663" w:type="dxa"/>
          </w:tcPr>
          <w:p w14:paraId="3F871840">
            <w:pPr>
              <w:spacing w:line="360" w:lineRule="auto"/>
              <w:rPr>
                <w:rFonts w:hint="eastAsia" w:ascii="宋体" w:hAnsi="宋体" w:eastAsia="宋体" w:cs="宋体"/>
                <w:b w:val="0"/>
                <w:bCs/>
                <w:sz w:val="21"/>
                <w:szCs w:val="21"/>
                <w:vertAlign w:val="baseline"/>
              </w:rPr>
            </w:pPr>
          </w:p>
        </w:tc>
      </w:tr>
      <w:tr w14:paraId="21B0E5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trPr>
        <w:tc>
          <w:tcPr>
            <w:tcW w:w="1662" w:type="dxa"/>
          </w:tcPr>
          <w:p w14:paraId="397D9685">
            <w:pPr>
              <w:spacing w:line="360" w:lineRule="auto"/>
              <w:rPr>
                <w:rFonts w:hint="eastAsia" w:ascii="宋体" w:hAnsi="宋体" w:eastAsia="宋体" w:cs="宋体"/>
                <w:b w:val="0"/>
                <w:bCs/>
                <w:sz w:val="21"/>
                <w:szCs w:val="21"/>
                <w:vertAlign w:val="baseline"/>
              </w:rPr>
            </w:pPr>
          </w:p>
        </w:tc>
        <w:tc>
          <w:tcPr>
            <w:tcW w:w="1662" w:type="dxa"/>
          </w:tcPr>
          <w:p w14:paraId="7FE5828B">
            <w:pPr>
              <w:spacing w:line="360" w:lineRule="auto"/>
              <w:rPr>
                <w:rFonts w:hint="eastAsia" w:ascii="宋体" w:hAnsi="宋体" w:eastAsia="宋体" w:cs="宋体"/>
                <w:b w:val="0"/>
                <w:bCs/>
                <w:sz w:val="21"/>
                <w:szCs w:val="21"/>
                <w:vertAlign w:val="baseline"/>
              </w:rPr>
            </w:pPr>
          </w:p>
        </w:tc>
        <w:tc>
          <w:tcPr>
            <w:tcW w:w="1662" w:type="dxa"/>
          </w:tcPr>
          <w:p w14:paraId="4D98E99D">
            <w:pPr>
              <w:spacing w:line="360" w:lineRule="auto"/>
              <w:rPr>
                <w:rFonts w:hint="eastAsia" w:ascii="宋体" w:hAnsi="宋体" w:eastAsia="宋体" w:cs="宋体"/>
                <w:b w:val="0"/>
                <w:bCs/>
                <w:sz w:val="21"/>
                <w:szCs w:val="21"/>
                <w:vertAlign w:val="baseline"/>
              </w:rPr>
            </w:pPr>
          </w:p>
        </w:tc>
        <w:tc>
          <w:tcPr>
            <w:tcW w:w="1663" w:type="dxa"/>
          </w:tcPr>
          <w:p w14:paraId="09EA7918">
            <w:pPr>
              <w:spacing w:line="360" w:lineRule="auto"/>
              <w:rPr>
                <w:rFonts w:hint="eastAsia" w:ascii="宋体" w:hAnsi="宋体" w:eastAsia="宋体" w:cs="宋体"/>
                <w:b w:val="0"/>
                <w:bCs/>
                <w:sz w:val="21"/>
                <w:szCs w:val="21"/>
                <w:vertAlign w:val="baseline"/>
              </w:rPr>
            </w:pPr>
          </w:p>
        </w:tc>
        <w:tc>
          <w:tcPr>
            <w:tcW w:w="1663" w:type="dxa"/>
          </w:tcPr>
          <w:p w14:paraId="0A4C46DA">
            <w:pPr>
              <w:spacing w:line="360" w:lineRule="auto"/>
              <w:rPr>
                <w:rFonts w:hint="eastAsia" w:ascii="宋体" w:hAnsi="宋体" w:eastAsia="宋体" w:cs="宋体"/>
                <w:b w:val="0"/>
                <w:bCs/>
                <w:sz w:val="21"/>
                <w:szCs w:val="21"/>
                <w:vertAlign w:val="baseline"/>
              </w:rPr>
            </w:pPr>
          </w:p>
        </w:tc>
        <w:tc>
          <w:tcPr>
            <w:tcW w:w="1663" w:type="dxa"/>
          </w:tcPr>
          <w:p w14:paraId="6F525411">
            <w:pPr>
              <w:spacing w:line="360" w:lineRule="auto"/>
              <w:rPr>
                <w:rFonts w:hint="eastAsia" w:ascii="宋体" w:hAnsi="宋体" w:eastAsia="宋体" w:cs="宋体"/>
                <w:b w:val="0"/>
                <w:bCs/>
                <w:sz w:val="21"/>
                <w:szCs w:val="21"/>
                <w:vertAlign w:val="baseline"/>
              </w:rPr>
            </w:pPr>
          </w:p>
        </w:tc>
      </w:tr>
      <w:tr w14:paraId="67E159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trPr>
        <w:tc>
          <w:tcPr>
            <w:tcW w:w="1662" w:type="dxa"/>
          </w:tcPr>
          <w:p w14:paraId="2656B53B">
            <w:pPr>
              <w:spacing w:line="360" w:lineRule="auto"/>
              <w:rPr>
                <w:rFonts w:hint="eastAsia" w:ascii="宋体" w:hAnsi="宋体" w:eastAsia="宋体" w:cs="宋体"/>
                <w:b w:val="0"/>
                <w:bCs/>
                <w:sz w:val="21"/>
                <w:szCs w:val="21"/>
                <w:vertAlign w:val="baseline"/>
              </w:rPr>
            </w:pPr>
          </w:p>
        </w:tc>
        <w:tc>
          <w:tcPr>
            <w:tcW w:w="1662" w:type="dxa"/>
          </w:tcPr>
          <w:p w14:paraId="372EFF70">
            <w:pPr>
              <w:spacing w:line="360" w:lineRule="auto"/>
              <w:rPr>
                <w:rFonts w:hint="eastAsia" w:ascii="宋体" w:hAnsi="宋体" w:eastAsia="宋体" w:cs="宋体"/>
                <w:b w:val="0"/>
                <w:bCs/>
                <w:sz w:val="21"/>
                <w:szCs w:val="21"/>
                <w:vertAlign w:val="baseline"/>
              </w:rPr>
            </w:pPr>
          </w:p>
        </w:tc>
        <w:tc>
          <w:tcPr>
            <w:tcW w:w="1662" w:type="dxa"/>
          </w:tcPr>
          <w:p w14:paraId="2D3677D3">
            <w:pPr>
              <w:spacing w:line="360" w:lineRule="auto"/>
              <w:rPr>
                <w:rFonts w:hint="eastAsia" w:ascii="宋体" w:hAnsi="宋体" w:eastAsia="宋体" w:cs="宋体"/>
                <w:b w:val="0"/>
                <w:bCs/>
                <w:sz w:val="21"/>
                <w:szCs w:val="21"/>
                <w:vertAlign w:val="baseline"/>
              </w:rPr>
            </w:pPr>
          </w:p>
        </w:tc>
        <w:tc>
          <w:tcPr>
            <w:tcW w:w="1663" w:type="dxa"/>
          </w:tcPr>
          <w:p w14:paraId="4AB19287">
            <w:pPr>
              <w:spacing w:line="360" w:lineRule="auto"/>
              <w:rPr>
                <w:rFonts w:hint="eastAsia" w:ascii="宋体" w:hAnsi="宋体" w:eastAsia="宋体" w:cs="宋体"/>
                <w:b w:val="0"/>
                <w:bCs/>
                <w:sz w:val="21"/>
                <w:szCs w:val="21"/>
                <w:vertAlign w:val="baseline"/>
              </w:rPr>
            </w:pPr>
          </w:p>
        </w:tc>
        <w:tc>
          <w:tcPr>
            <w:tcW w:w="1663" w:type="dxa"/>
          </w:tcPr>
          <w:p w14:paraId="6C127B0E">
            <w:pPr>
              <w:spacing w:line="360" w:lineRule="auto"/>
              <w:rPr>
                <w:rFonts w:hint="eastAsia" w:ascii="宋体" w:hAnsi="宋体" w:eastAsia="宋体" w:cs="宋体"/>
                <w:b w:val="0"/>
                <w:bCs/>
                <w:sz w:val="21"/>
                <w:szCs w:val="21"/>
                <w:vertAlign w:val="baseline"/>
              </w:rPr>
            </w:pPr>
          </w:p>
        </w:tc>
        <w:tc>
          <w:tcPr>
            <w:tcW w:w="1663" w:type="dxa"/>
          </w:tcPr>
          <w:p w14:paraId="423D8228">
            <w:pPr>
              <w:spacing w:line="360" w:lineRule="auto"/>
              <w:rPr>
                <w:rFonts w:hint="eastAsia" w:ascii="宋体" w:hAnsi="宋体" w:eastAsia="宋体" w:cs="宋体"/>
                <w:b w:val="0"/>
                <w:bCs/>
                <w:sz w:val="21"/>
                <w:szCs w:val="21"/>
                <w:vertAlign w:val="baseline"/>
              </w:rPr>
            </w:pPr>
          </w:p>
        </w:tc>
      </w:tr>
      <w:tr w14:paraId="516DC6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trPr>
        <w:tc>
          <w:tcPr>
            <w:tcW w:w="1662" w:type="dxa"/>
          </w:tcPr>
          <w:p w14:paraId="538F66A2">
            <w:pPr>
              <w:spacing w:line="360" w:lineRule="auto"/>
              <w:rPr>
                <w:rFonts w:hint="eastAsia" w:ascii="宋体" w:hAnsi="宋体" w:eastAsia="宋体" w:cs="宋体"/>
                <w:b w:val="0"/>
                <w:bCs/>
                <w:sz w:val="21"/>
                <w:szCs w:val="21"/>
                <w:vertAlign w:val="baseline"/>
              </w:rPr>
            </w:pPr>
          </w:p>
        </w:tc>
        <w:tc>
          <w:tcPr>
            <w:tcW w:w="1662" w:type="dxa"/>
          </w:tcPr>
          <w:p w14:paraId="5B2D23B0">
            <w:pPr>
              <w:spacing w:line="360" w:lineRule="auto"/>
              <w:rPr>
                <w:rFonts w:hint="eastAsia" w:ascii="宋体" w:hAnsi="宋体" w:eastAsia="宋体" w:cs="宋体"/>
                <w:b w:val="0"/>
                <w:bCs/>
                <w:sz w:val="21"/>
                <w:szCs w:val="21"/>
                <w:vertAlign w:val="baseline"/>
              </w:rPr>
            </w:pPr>
          </w:p>
        </w:tc>
        <w:tc>
          <w:tcPr>
            <w:tcW w:w="1662" w:type="dxa"/>
          </w:tcPr>
          <w:p w14:paraId="11C382A9">
            <w:pPr>
              <w:spacing w:line="360" w:lineRule="auto"/>
              <w:rPr>
                <w:rFonts w:hint="eastAsia" w:ascii="宋体" w:hAnsi="宋体" w:eastAsia="宋体" w:cs="宋体"/>
                <w:b w:val="0"/>
                <w:bCs/>
                <w:sz w:val="21"/>
                <w:szCs w:val="21"/>
                <w:vertAlign w:val="baseline"/>
              </w:rPr>
            </w:pPr>
          </w:p>
        </w:tc>
        <w:tc>
          <w:tcPr>
            <w:tcW w:w="1663" w:type="dxa"/>
          </w:tcPr>
          <w:p w14:paraId="0C6AFD1A">
            <w:pPr>
              <w:spacing w:line="360" w:lineRule="auto"/>
              <w:rPr>
                <w:rFonts w:hint="eastAsia" w:ascii="宋体" w:hAnsi="宋体" w:eastAsia="宋体" w:cs="宋体"/>
                <w:b w:val="0"/>
                <w:bCs/>
                <w:sz w:val="21"/>
                <w:szCs w:val="21"/>
                <w:vertAlign w:val="baseline"/>
              </w:rPr>
            </w:pPr>
          </w:p>
        </w:tc>
        <w:tc>
          <w:tcPr>
            <w:tcW w:w="1663" w:type="dxa"/>
          </w:tcPr>
          <w:p w14:paraId="5E63CB48">
            <w:pPr>
              <w:spacing w:line="360" w:lineRule="auto"/>
              <w:rPr>
                <w:rFonts w:hint="eastAsia" w:ascii="宋体" w:hAnsi="宋体" w:eastAsia="宋体" w:cs="宋体"/>
                <w:b w:val="0"/>
                <w:bCs/>
                <w:sz w:val="21"/>
                <w:szCs w:val="21"/>
                <w:vertAlign w:val="baseline"/>
              </w:rPr>
            </w:pPr>
          </w:p>
        </w:tc>
        <w:tc>
          <w:tcPr>
            <w:tcW w:w="1663" w:type="dxa"/>
          </w:tcPr>
          <w:p w14:paraId="1A259866">
            <w:pPr>
              <w:spacing w:line="360" w:lineRule="auto"/>
              <w:rPr>
                <w:rFonts w:hint="eastAsia" w:ascii="宋体" w:hAnsi="宋体" w:eastAsia="宋体" w:cs="宋体"/>
                <w:b w:val="0"/>
                <w:bCs/>
                <w:sz w:val="21"/>
                <w:szCs w:val="21"/>
                <w:vertAlign w:val="baseline"/>
              </w:rPr>
            </w:pPr>
          </w:p>
        </w:tc>
      </w:tr>
      <w:tr w14:paraId="6D230C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1662" w:type="dxa"/>
          </w:tcPr>
          <w:p w14:paraId="6C0BFD15">
            <w:pPr>
              <w:spacing w:line="360" w:lineRule="auto"/>
              <w:rPr>
                <w:rFonts w:hint="eastAsia" w:ascii="宋体" w:hAnsi="宋体" w:eastAsia="宋体" w:cs="宋体"/>
                <w:b w:val="0"/>
                <w:bCs/>
                <w:sz w:val="21"/>
                <w:szCs w:val="21"/>
                <w:vertAlign w:val="baseline"/>
              </w:rPr>
            </w:pPr>
          </w:p>
        </w:tc>
        <w:tc>
          <w:tcPr>
            <w:tcW w:w="1662" w:type="dxa"/>
          </w:tcPr>
          <w:p w14:paraId="3362A837">
            <w:pPr>
              <w:spacing w:line="360" w:lineRule="auto"/>
              <w:rPr>
                <w:rFonts w:hint="eastAsia" w:ascii="宋体" w:hAnsi="宋体" w:eastAsia="宋体" w:cs="宋体"/>
                <w:b w:val="0"/>
                <w:bCs/>
                <w:sz w:val="21"/>
                <w:szCs w:val="21"/>
                <w:vertAlign w:val="baseline"/>
              </w:rPr>
            </w:pPr>
          </w:p>
        </w:tc>
        <w:tc>
          <w:tcPr>
            <w:tcW w:w="1662" w:type="dxa"/>
          </w:tcPr>
          <w:p w14:paraId="4116610E">
            <w:pPr>
              <w:spacing w:line="360" w:lineRule="auto"/>
              <w:rPr>
                <w:rFonts w:hint="eastAsia" w:ascii="宋体" w:hAnsi="宋体" w:eastAsia="宋体" w:cs="宋体"/>
                <w:b w:val="0"/>
                <w:bCs/>
                <w:sz w:val="21"/>
                <w:szCs w:val="21"/>
                <w:vertAlign w:val="baseline"/>
              </w:rPr>
            </w:pPr>
          </w:p>
        </w:tc>
        <w:tc>
          <w:tcPr>
            <w:tcW w:w="1663" w:type="dxa"/>
          </w:tcPr>
          <w:p w14:paraId="1E0982E5">
            <w:pPr>
              <w:spacing w:line="360" w:lineRule="auto"/>
              <w:rPr>
                <w:rFonts w:hint="eastAsia" w:ascii="宋体" w:hAnsi="宋体" w:eastAsia="宋体" w:cs="宋体"/>
                <w:b w:val="0"/>
                <w:bCs/>
                <w:sz w:val="21"/>
                <w:szCs w:val="21"/>
                <w:vertAlign w:val="baseline"/>
              </w:rPr>
            </w:pPr>
          </w:p>
        </w:tc>
        <w:tc>
          <w:tcPr>
            <w:tcW w:w="1663" w:type="dxa"/>
          </w:tcPr>
          <w:p w14:paraId="41FBFBB8">
            <w:pPr>
              <w:spacing w:line="360" w:lineRule="auto"/>
              <w:rPr>
                <w:rFonts w:hint="eastAsia" w:ascii="宋体" w:hAnsi="宋体" w:eastAsia="宋体" w:cs="宋体"/>
                <w:b w:val="0"/>
                <w:bCs/>
                <w:sz w:val="21"/>
                <w:szCs w:val="21"/>
                <w:vertAlign w:val="baseline"/>
              </w:rPr>
            </w:pPr>
          </w:p>
        </w:tc>
        <w:tc>
          <w:tcPr>
            <w:tcW w:w="1663" w:type="dxa"/>
          </w:tcPr>
          <w:p w14:paraId="4F95ECC7">
            <w:pPr>
              <w:spacing w:line="360" w:lineRule="auto"/>
              <w:rPr>
                <w:rFonts w:hint="eastAsia" w:ascii="宋体" w:hAnsi="宋体" w:eastAsia="宋体" w:cs="宋体"/>
                <w:b w:val="0"/>
                <w:bCs/>
                <w:sz w:val="21"/>
                <w:szCs w:val="21"/>
                <w:vertAlign w:val="baseline"/>
              </w:rPr>
            </w:pPr>
          </w:p>
        </w:tc>
      </w:tr>
    </w:tbl>
    <w:p w14:paraId="226A3B0F">
      <w:pPr>
        <w:spacing w:line="360" w:lineRule="auto"/>
        <w:rPr>
          <w:rFonts w:hint="default"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t>注：此表格式可根据实际情况进行调整。</w:t>
      </w:r>
    </w:p>
    <w:p w14:paraId="0C8E3E56">
      <w:pPr>
        <w:spacing w:line="360" w:lineRule="auto"/>
        <w:ind w:right="420"/>
        <w:rPr>
          <w:rFonts w:hint="eastAsia" w:ascii="宋体" w:hAnsi="宋体" w:eastAsia="宋体" w:cs="宋体"/>
          <w:sz w:val="21"/>
          <w:szCs w:val="21"/>
        </w:rPr>
      </w:pPr>
      <w:r>
        <w:rPr>
          <w:rFonts w:hint="eastAsia" w:ascii="宋体" w:hAnsi="宋体" w:eastAsia="宋体" w:cs="宋体"/>
          <w:sz w:val="21"/>
          <w:szCs w:val="21"/>
        </w:rPr>
        <w:t>供应商：</w:t>
      </w:r>
      <w:r>
        <w:rPr>
          <w:rFonts w:hint="eastAsia" w:ascii="宋体" w:hAnsi="宋体" w:eastAsia="宋体" w:cs="宋体"/>
          <w:sz w:val="21"/>
          <w:szCs w:val="21"/>
          <w:u w:val="single"/>
        </w:rPr>
        <w:t xml:space="preserve">                             </w:t>
      </w:r>
      <w:r>
        <w:rPr>
          <w:rFonts w:hint="eastAsia" w:ascii="宋体" w:hAnsi="宋体" w:eastAsia="宋体" w:cs="宋体"/>
          <w:sz w:val="21"/>
          <w:szCs w:val="21"/>
        </w:rPr>
        <w:t>（电子签章）</w:t>
      </w:r>
    </w:p>
    <w:p w14:paraId="4C285D2A">
      <w:pPr>
        <w:spacing w:line="360" w:lineRule="auto"/>
        <w:ind w:right="420"/>
        <w:rPr>
          <w:rFonts w:hint="eastAsia" w:ascii="宋体" w:hAnsi="宋体" w:eastAsia="宋体" w:cs="宋体"/>
          <w:sz w:val="21"/>
          <w:szCs w:val="21"/>
        </w:rPr>
      </w:pPr>
      <w:r>
        <w:rPr>
          <w:rFonts w:hint="eastAsia" w:ascii="宋体" w:hAnsi="宋体" w:eastAsia="宋体" w:cs="宋体"/>
          <w:sz w:val="21"/>
          <w:szCs w:val="21"/>
        </w:rPr>
        <w:t>法定代表人</w:t>
      </w: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负责人</w:t>
      </w:r>
      <w:r>
        <w:rPr>
          <w:rFonts w:hint="eastAsia" w:ascii="宋体" w:hAnsi="宋体" w:eastAsia="宋体" w:cs="宋体"/>
          <w:sz w:val="21"/>
          <w:szCs w:val="21"/>
          <w:lang w:eastAsia="zh-CN"/>
        </w:rPr>
        <w:t>）</w:t>
      </w:r>
      <w:r>
        <w:rPr>
          <w:rFonts w:hint="eastAsia" w:ascii="宋体" w:hAnsi="宋体" w:eastAsia="宋体" w:cs="宋体"/>
          <w:sz w:val="21"/>
          <w:szCs w:val="21"/>
        </w:rPr>
        <w:t xml:space="preserve">或其委托代理人： </w:t>
      </w:r>
      <w:r>
        <w:rPr>
          <w:rFonts w:hint="eastAsia" w:ascii="宋体" w:hAnsi="宋体" w:eastAsia="宋体" w:cs="宋体"/>
          <w:sz w:val="21"/>
          <w:szCs w:val="21"/>
          <w:u w:val="single"/>
        </w:rPr>
        <w:t xml:space="preserve">          </w:t>
      </w:r>
      <w:r>
        <w:rPr>
          <w:rFonts w:hint="eastAsia" w:ascii="宋体" w:hAnsi="宋体" w:eastAsia="宋体" w:cs="宋体"/>
          <w:sz w:val="21"/>
          <w:szCs w:val="21"/>
        </w:rPr>
        <w:t>（签字或盖章）</w:t>
      </w:r>
    </w:p>
    <w:p w14:paraId="4BF460B4">
      <w:pPr>
        <w:spacing w:line="360" w:lineRule="auto"/>
        <w:ind w:right="480"/>
        <w:rPr>
          <w:rFonts w:hint="eastAsia" w:ascii="宋体" w:hAnsi="宋体" w:eastAsia="宋体" w:cs="宋体"/>
          <w:sz w:val="21"/>
          <w:szCs w:val="21"/>
        </w:rPr>
      </w:pPr>
      <w:r>
        <w:rPr>
          <w:rFonts w:hint="eastAsia" w:ascii="宋体" w:hAnsi="宋体" w:eastAsia="宋体" w:cs="宋体"/>
          <w:sz w:val="21"/>
          <w:szCs w:val="21"/>
        </w:rPr>
        <w:t xml:space="preserve">                              </w:t>
      </w:r>
    </w:p>
    <w:p w14:paraId="53817255">
      <w:pPr>
        <w:spacing w:line="360" w:lineRule="auto"/>
        <w:ind w:right="480"/>
        <w:rPr>
          <w:rFonts w:hint="eastAsia" w:ascii="宋体" w:hAnsi="宋体" w:eastAsia="宋体" w:cs="宋体"/>
          <w:sz w:val="21"/>
          <w:szCs w:val="21"/>
        </w:rPr>
      </w:pPr>
      <w:r>
        <w:rPr>
          <w:rFonts w:hint="eastAsia" w:ascii="宋体" w:hAnsi="宋体" w:eastAsia="宋体" w:cs="宋体"/>
          <w:sz w:val="21"/>
          <w:szCs w:val="21"/>
        </w:rPr>
        <w:t xml:space="preserve">  </w:t>
      </w:r>
      <w:r>
        <w:rPr>
          <w:rFonts w:hint="eastAsia" w:ascii="宋体" w:hAnsi="宋体" w:eastAsia="宋体" w:cs="宋体"/>
          <w:sz w:val="21"/>
          <w:szCs w:val="21"/>
          <w:u w:val="single"/>
        </w:rPr>
        <w:t xml:space="preserve">     </w:t>
      </w:r>
      <w:r>
        <w:rPr>
          <w:rFonts w:hint="eastAsia" w:ascii="宋体" w:hAnsi="宋体" w:eastAsia="宋体" w:cs="宋体"/>
          <w:sz w:val="21"/>
          <w:szCs w:val="21"/>
        </w:rPr>
        <w:t>年</w:t>
      </w:r>
      <w:r>
        <w:rPr>
          <w:rFonts w:hint="eastAsia" w:ascii="宋体" w:hAnsi="宋体" w:eastAsia="宋体" w:cs="宋体"/>
          <w:sz w:val="21"/>
          <w:szCs w:val="21"/>
          <w:u w:val="single"/>
        </w:rPr>
        <w:t xml:space="preserve">      </w:t>
      </w:r>
      <w:r>
        <w:rPr>
          <w:rFonts w:hint="eastAsia" w:ascii="宋体" w:hAnsi="宋体" w:eastAsia="宋体" w:cs="宋体"/>
          <w:sz w:val="21"/>
          <w:szCs w:val="21"/>
        </w:rPr>
        <w:t>月</w:t>
      </w:r>
      <w:r>
        <w:rPr>
          <w:rFonts w:hint="eastAsia" w:ascii="宋体" w:hAnsi="宋体" w:eastAsia="宋体" w:cs="宋体"/>
          <w:sz w:val="21"/>
          <w:szCs w:val="21"/>
          <w:u w:val="single"/>
        </w:rPr>
        <w:t xml:space="preserve">       </w:t>
      </w:r>
      <w:r>
        <w:rPr>
          <w:rFonts w:hint="eastAsia" w:ascii="宋体" w:hAnsi="宋体" w:eastAsia="宋体" w:cs="宋体"/>
          <w:sz w:val="21"/>
          <w:szCs w:val="21"/>
        </w:rPr>
        <w:t>日</w:t>
      </w:r>
    </w:p>
    <w:p w14:paraId="4286C627">
      <w:pPr>
        <w:spacing w:line="360" w:lineRule="auto"/>
        <w:jc w:val="center"/>
        <w:rPr>
          <w:rFonts w:hint="eastAsia" w:ascii="宋体" w:hAnsi="宋体" w:eastAsia="宋体" w:cs="宋体"/>
          <w:b/>
          <w:sz w:val="24"/>
          <w:szCs w:val="24"/>
          <w:lang w:val="en-US" w:eastAsia="zh-CN"/>
        </w:rPr>
      </w:pPr>
    </w:p>
    <w:p w14:paraId="7EEA5A0D">
      <w:pPr>
        <w:spacing w:line="360" w:lineRule="auto"/>
        <w:jc w:val="center"/>
        <w:rPr>
          <w:rFonts w:hint="eastAsia" w:ascii="宋体" w:hAnsi="宋体" w:eastAsia="宋体" w:cs="宋体"/>
          <w:b/>
          <w:sz w:val="24"/>
          <w:szCs w:val="24"/>
          <w:lang w:val="en-US" w:eastAsia="zh-CN"/>
        </w:rPr>
      </w:pPr>
    </w:p>
    <w:p w14:paraId="1E8FEF3E">
      <w:pPr>
        <w:spacing w:line="360" w:lineRule="auto"/>
        <w:jc w:val="center"/>
        <w:rPr>
          <w:rFonts w:hint="default" w:ascii="宋体" w:hAnsi="宋体" w:eastAsia="宋体" w:cs="宋体"/>
          <w:b/>
          <w:sz w:val="28"/>
          <w:szCs w:val="28"/>
          <w:lang w:val="en-US" w:eastAsia="zh-CN"/>
        </w:rPr>
      </w:pPr>
      <w:r>
        <w:rPr>
          <w:rFonts w:hint="eastAsia" w:ascii="宋体" w:hAnsi="宋体" w:eastAsia="宋体" w:cs="宋体"/>
          <w:b/>
          <w:sz w:val="24"/>
          <w:szCs w:val="24"/>
          <w:lang w:val="en-US" w:eastAsia="zh-CN"/>
        </w:rPr>
        <w:t>2、其他技术标内容</w:t>
      </w:r>
    </w:p>
    <w:p w14:paraId="3B861029">
      <w:pPr>
        <w:rPr>
          <w:rFonts w:hint="eastAsia" w:ascii="宋体" w:hAnsi="宋体" w:eastAsia="宋体" w:cs="宋体"/>
          <w:b/>
          <w:sz w:val="28"/>
          <w:szCs w:val="28"/>
        </w:rPr>
      </w:pPr>
    </w:p>
    <w:bookmarkEnd w:id="413"/>
    <w:bookmarkEnd w:id="414"/>
    <w:p w14:paraId="3D50B5DF">
      <w:pPr>
        <w:rPr>
          <w:rFonts w:hint="eastAsia" w:ascii="宋体" w:hAnsi="宋体" w:eastAsia="宋体" w:cs="宋体"/>
          <w:b/>
          <w:sz w:val="28"/>
          <w:szCs w:val="28"/>
        </w:rPr>
      </w:pPr>
      <w:bookmarkStart w:id="415" w:name="_Toc23073"/>
      <w:bookmarkStart w:id="416" w:name="_Toc45177879"/>
      <w:bookmarkStart w:id="417" w:name="_Toc22443"/>
      <w:r>
        <w:rPr>
          <w:rFonts w:hint="eastAsia" w:ascii="宋体" w:hAnsi="宋体" w:eastAsia="宋体" w:cs="宋体"/>
          <w:b/>
          <w:sz w:val="28"/>
          <w:szCs w:val="28"/>
        </w:rPr>
        <w:br w:type="page"/>
      </w:r>
    </w:p>
    <w:p w14:paraId="02FFAD51">
      <w:pPr>
        <w:spacing w:before="326" w:beforeLines="100" w:after="163" w:afterLines="50"/>
        <w:jc w:val="center"/>
        <w:outlineLvl w:val="1"/>
        <w:rPr>
          <w:rFonts w:hint="eastAsia" w:ascii="宋体" w:hAnsi="宋体" w:eastAsia="宋体" w:cs="宋体"/>
          <w:b/>
          <w:sz w:val="28"/>
          <w:szCs w:val="28"/>
        </w:rPr>
      </w:pPr>
      <w:bookmarkStart w:id="418" w:name="_Toc21458"/>
      <w:r>
        <w:rPr>
          <w:rFonts w:hint="eastAsia" w:ascii="宋体" w:hAnsi="宋体" w:eastAsia="宋体" w:cs="宋体"/>
          <w:b/>
          <w:sz w:val="28"/>
          <w:szCs w:val="28"/>
        </w:rPr>
        <w:t>七、其他材料</w:t>
      </w:r>
      <w:bookmarkEnd w:id="415"/>
      <w:bookmarkEnd w:id="416"/>
      <w:bookmarkEnd w:id="417"/>
      <w:bookmarkEnd w:id="418"/>
    </w:p>
    <w:p w14:paraId="79D1BBE2">
      <w:pPr>
        <w:jc w:val="center"/>
        <w:rPr>
          <w:rFonts w:hint="eastAsia" w:ascii="宋体" w:hAnsi="宋体" w:eastAsia="宋体" w:cs="宋体"/>
          <w:sz w:val="21"/>
          <w:szCs w:val="21"/>
        </w:rPr>
      </w:pPr>
      <w:bookmarkStart w:id="419" w:name="_Toc18024_WPSOffice_Level3"/>
      <w:bookmarkStart w:id="420" w:name="_Toc9728"/>
      <w:bookmarkStart w:id="421" w:name="_Toc5030"/>
      <w:r>
        <w:rPr>
          <w:rFonts w:hint="eastAsia" w:ascii="宋体" w:hAnsi="宋体" w:eastAsia="宋体" w:cs="宋体"/>
          <w:sz w:val="21"/>
          <w:szCs w:val="21"/>
        </w:rPr>
        <w:t>1、招标代理费支付承诺</w:t>
      </w:r>
      <w:bookmarkEnd w:id="419"/>
      <w:bookmarkEnd w:id="420"/>
      <w:bookmarkEnd w:id="421"/>
    </w:p>
    <w:p w14:paraId="5ECB0F20">
      <w:pPr>
        <w:rPr>
          <w:rFonts w:hint="eastAsia" w:ascii="宋体" w:hAnsi="宋体" w:eastAsia="宋体" w:cs="宋体"/>
          <w:sz w:val="21"/>
          <w:szCs w:val="21"/>
          <w:u w:val="single"/>
        </w:rPr>
      </w:pPr>
    </w:p>
    <w:p w14:paraId="1C27C82E">
      <w:pPr>
        <w:rPr>
          <w:rFonts w:hint="eastAsia" w:ascii="宋体" w:hAnsi="宋体" w:eastAsia="宋体" w:cs="宋体"/>
          <w:sz w:val="21"/>
          <w:szCs w:val="21"/>
        </w:rPr>
      </w:pPr>
    </w:p>
    <w:p w14:paraId="06E957FF">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（供应商）郑重承诺，我方参加 </w:t>
      </w:r>
      <w:r>
        <w:rPr>
          <w:rFonts w:hint="eastAsia" w:ascii="宋体" w:hAnsi="宋体" w:eastAsia="宋体" w:cs="宋体"/>
          <w:sz w:val="21"/>
          <w:szCs w:val="21"/>
          <w:u w:val="single"/>
        </w:rPr>
        <w:t xml:space="preserve">       </w:t>
      </w:r>
      <w:r>
        <w:rPr>
          <w:rFonts w:hint="eastAsia" w:ascii="宋体" w:hAnsi="宋体" w:eastAsia="宋体" w:cs="宋体"/>
          <w:sz w:val="21"/>
          <w:szCs w:val="21"/>
        </w:rPr>
        <w:t>（项目名称）的采购活动如有幸成为中标人（成交人），我公司将严格按照该项目约定的招标代理费金额在领取中标（成交）通知书时或在中标（成交）结果发布之日起3个工作日内以现金或转账方式足额支付。如未按要求支付费用所产生的一切后果，均由我公司自行负责。</w:t>
      </w:r>
    </w:p>
    <w:p w14:paraId="2BA84B1C">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特此承诺。</w:t>
      </w:r>
    </w:p>
    <w:p w14:paraId="60E4E756">
      <w:pPr>
        <w:rPr>
          <w:rFonts w:hint="eastAsia" w:ascii="宋体" w:hAnsi="宋体" w:eastAsia="宋体" w:cs="宋体"/>
          <w:sz w:val="21"/>
          <w:szCs w:val="21"/>
        </w:rPr>
      </w:pPr>
    </w:p>
    <w:p w14:paraId="206C0ED4">
      <w:pPr>
        <w:rPr>
          <w:rFonts w:hint="eastAsia" w:ascii="宋体" w:hAnsi="宋体" w:eastAsia="宋体" w:cs="宋体"/>
          <w:sz w:val="21"/>
          <w:szCs w:val="21"/>
        </w:rPr>
      </w:pPr>
    </w:p>
    <w:p w14:paraId="42E9F13B">
      <w:pPr>
        <w:rPr>
          <w:rFonts w:hint="eastAsia" w:ascii="宋体" w:hAnsi="宋体" w:eastAsia="宋体" w:cs="宋体"/>
          <w:sz w:val="21"/>
          <w:szCs w:val="21"/>
        </w:rPr>
      </w:pPr>
    </w:p>
    <w:p w14:paraId="612F6C11">
      <w:pPr>
        <w:rPr>
          <w:rFonts w:hint="eastAsia" w:ascii="宋体" w:hAnsi="宋体" w:eastAsia="宋体" w:cs="宋体"/>
          <w:sz w:val="21"/>
          <w:szCs w:val="21"/>
        </w:rPr>
      </w:pPr>
    </w:p>
    <w:p w14:paraId="4AA760B6">
      <w:pPr>
        <w:rPr>
          <w:rFonts w:hint="eastAsia" w:ascii="宋体" w:hAnsi="宋体" w:eastAsia="宋体" w:cs="宋体"/>
          <w:sz w:val="21"/>
          <w:szCs w:val="21"/>
        </w:rPr>
      </w:pPr>
    </w:p>
    <w:p w14:paraId="3A6EC432">
      <w:pPr>
        <w:rPr>
          <w:rFonts w:hint="eastAsia" w:ascii="宋体" w:hAnsi="宋体" w:eastAsia="宋体" w:cs="宋体"/>
          <w:sz w:val="21"/>
          <w:szCs w:val="21"/>
        </w:rPr>
      </w:pPr>
    </w:p>
    <w:p w14:paraId="64020B3B">
      <w:pPr>
        <w:spacing w:line="360" w:lineRule="auto"/>
        <w:ind w:right="420"/>
        <w:rPr>
          <w:rFonts w:hint="eastAsia" w:ascii="宋体" w:hAnsi="宋体" w:eastAsia="宋体" w:cs="宋体"/>
          <w:sz w:val="21"/>
          <w:szCs w:val="21"/>
        </w:rPr>
      </w:pPr>
      <w:r>
        <w:rPr>
          <w:rFonts w:hint="eastAsia" w:ascii="宋体" w:hAnsi="宋体" w:eastAsia="宋体" w:cs="宋体"/>
          <w:sz w:val="21"/>
          <w:szCs w:val="21"/>
        </w:rPr>
        <w:t>供应商：</w:t>
      </w:r>
      <w:r>
        <w:rPr>
          <w:rFonts w:hint="eastAsia" w:ascii="宋体" w:hAnsi="宋体" w:eastAsia="宋体" w:cs="宋体"/>
          <w:sz w:val="21"/>
          <w:szCs w:val="21"/>
          <w:u w:val="single"/>
        </w:rPr>
        <w:t xml:space="preserve">                             </w:t>
      </w:r>
      <w:r>
        <w:rPr>
          <w:rFonts w:hint="eastAsia" w:ascii="宋体" w:hAnsi="宋体" w:eastAsia="宋体" w:cs="宋体"/>
          <w:sz w:val="21"/>
          <w:szCs w:val="21"/>
        </w:rPr>
        <w:t>（电子签章）</w:t>
      </w:r>
    </w:p>
    <w:p w14:paraId="08081040">
      <w:pPr>
        <w:spacing w:line="360" w:lineRule="auto"/>
        <w:ind w:right="420"/>
        <w:rPr>
          <w:rFonts w:hint="eastAsia" w:ascii="宋体" w:hAnsi="宋体" w:eastAsia="宋体" w:cs="宋体"/>
          <w:sz w:val="21"/>
          <w:szCs w:val="21"/>
        </w:rPr>
      </w:pPr>
      <w:r>
        <w:rPr>
          <w:rFonts w:hint="eastAsia" w:ascii="宋体" w:hAnsi="宋体" w:eastAsia="宋体" w:cs="宋体"/>
          <w:sz w:val="21"/>
          <w:szCs w:val="21"/>
        </w:rPr>
        <w:t>法定代表人</w:t>
      </w: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负责人</w:t>
      </w:r>
      <w:r>
        <w:rPr>
          <w:rFonts w:hint="eastAsia" w:ascii="宋体" w:hAnsi="宋体" w:eastAsia="宋体" w:cs="宋体"/>
          <w:sz w:val="21"/>
          <w:szCs w:val="21"/>
          <w:lang w:eastAsia="zh-CN"/>
        </w:rPr>
        <w:t>）</w:t>
      </w:r>
      <w:r>
        <w:rPr>
          <w:rFonts w:hint="eastAsia" w:ascii="宋体" w:hAnsi="宋体" w:eastAsia="宋体" w:cs="宋体"/>
          <w:sz w:val="21"/>
          <w:szCs w:val="21"/>
        </w:rPr>
        <w:t xml:space="preserve">或其委托代理人： </w:t>
      </w:r>
      <w:r>
        <w:rPr>
          <w:rFonts w:hint="eastAsia" w:ascii="宋体" w:hAnsi="宋体" w:eastAsia="宋体" w:cs="宋体"/>
          <w:sz w:val="21"/>
          <w:szCs w:val="21"/>
          <w:u w:val="single"/>
        </w:rPr>
        <w:t xml:space="preserve">          </w:t>
      </w:r>
      <w:r>
        <w:rPr>
          <w:rFonts w:hint="eastAsia" w:ascii="宋体" w:hAnsi="宋体" w:eastAsia="宋体" w:cs="宋体"/>
          <w:sz w:val="21"/>
          <w:szCs w:val="21"/>
        </w:rPr>
        <w:t>（签字或盖章）</w:t>
      </w:r>
    </w:p>
    <w:p w14:paraId="747580F8">
      <w:pPr>
        <w:spacing w:line="360" w:lineRule="auto"/>
        <w:ind w:right="480"/>
        <w:jc w:val="right"/>
        <w:rPr>
          <w:rFonts w:hint="eastAsia" w:ascii="宋体" w:hAnsi="宋体" w:eastAsia="宋体" w:cs="宋体"/>
          <w:sz w:val="21"/>
          <w:szCs w:val="21"/>
        </w:rPr>
      </w:pPr>
      <w:r>
        <w:rPr>
          <w:rFonts w:hint="eastAsia" w:ascii="宋体" w:hAnsi="宋体" w:eastAsia="宋体" w:cs="宋体"/>
          <w:sz w:val="21"/>
          <w:szCs w:val="21"/>
          <w:u w:val="single"/>
        </w:rPr>
        <w:t xml:space="preserve">         </w:t>
      </w:r>
      <w:r>
        <w:rPr>
          <w:rFonts w:hint="eastAsia" w:ascii="宋体" w:hAnsi="宋体" w:eastAsia="宋体" w:cs="宋体"/>
          <w:sz w:val="21"/>
          <w:szCs w:val="21"/>
        </w:rPr>
        <w:t>年</w:t>
      </w:r>
      <w:r>
        <w:rPr>
          <w:rFonts w:hint="eastAsia" w:ascii="宋体" w:hAnsi="宋体" w:eastAsia="宋体" w:cs="宋体"/>
          <w:sz w:val="21"/>
          <w:szCs w:val="21"/>
          <w:u w:val="single"/>
        </w:rPr>
        <w:t xml:space="preserve">         </w:t>
      </w:r>
      <w:r>
        <w:rPr>
          <w:rFonts w:hint="eastAsia" w:ascii="宋体" w:hAnsi="宋体" w:eastAsia="宋体" w:cs="宋体"/>
          <w:sz w:val="21"/>
          <w:szCs w:val="21"/>
        </w:rPr>
        <w:t>月</w:t>
      </w:r>
      <w:r>
        <w:rPr>
          <w:rFonts w:hint="eastAsia" w:ascii="宋体" w:hAnsi="宋体" w:eastAsia="宋体" w:cs="宋体"/>
          <w:sz w:val="21"/>
          <w:szCs w:val="21"/>
          <w:u w:val="single"/>
        </w:rPr>
        <w:t xml:space="preserve">       </w:t>
      </w:r>
      <w:r>
        <w:rPr>
          <w:rFonts w:hint="eastAsia" w:ascii="宋体" w:hAnsi="宋体" w:eastAsia="宋体" w:cs="宋体"/>
          <w:sz w:val="21"/>
          <w:szCs w:val="21"/>
        </w:rPr>
        <w:t>日</w:t>
      </w:r>
    </w:p>
    <w:p w14:paraId="6CAB22D1">
      <w:pPr>
        <w:rPr>
          <w:rFonts w:hint="eastAsia" w:ascii="宋体" w:hAnsi="宋体" w:eastAsia="宋体" w:cs="宋体"/>
          <w:b/>
          <w:bCs/>
          <w:spacing w:val="6"/>
          <w:sz w:val="32"/>
          <w:szCs w:val="32"/>
        </w:rPr>
      </w:pPr>
    </w:p>
    <w:p w14:paraId="5621FA50">
      <w:pPr>
        <w:rPr>
          <w:rFonts w:hint="eastAsia" w:ascii="宋体" w:hAnsi="宋体" w:eastAsia="宋体" w:cs="宋体"/>
          <w:b/>
          <w:bCs/>
          <w:spacing w:val="6"/>
          <w:sz w:val="32"/>
          <w:szCs w:val="32"/>
        </w:rPr>
      </w:pPr>
    </w:p>
    <w:p w14:paraId="54BE501D">
      <w:pPr>
        <w:rPr>
          <w:rFonts w:hint="eastAsia" w:ascii="宋体" w:hAnsi="宋体" w:eastAsia="宋体" w:cs="宋体"/>
          <w:b/>
          <w:bCs/>
          <w:spacing w:val="6"/>
          <w:sz w:val="32"/>
          <w:szCs w:val="32"/>
        </w:rPr>
      </w:pPr>
    </w:p>
    <w:p w14:paraId="167DEF4A">
      <w:pPr>
        <w:rPr>
          <w:rFonts w:hint="eastAsia" w:ascii="宋体" w:hAnsi="宋体" w:eastAsia="宋体" w:cs="宋体"/>
          <w:b/>
          <w:bCs/>
          <w:spacing w:val="6"/>
          <w:sz w:val="32"/>
          <w:szCs w:val="32"/>
        </w:rPr>
      </w:pPr>
    </w:p>
    <w:p w14:paraId="62F2E3F1">
      <w:pPr>
        <w:rPr>
          <w:rFonts w:hint="eastAsia" w:ascii="宋体" w:hAnsi="宋体" w:eastAsia="宋体" w:cs="宋体"/>
          <w:b/>
          <w:bCs/>
          <w:spacing w:val="6"/>
          <w:sz w:val="32"/>
          <w:szCs w:val="32"/>
        </w:rPr>
      </w:pPr>
    </w:p>
    <w:p w14:paraId="233E3C03">
      <w:pPr>
        <w:widowControl/>
        <w:jc w:val="left"/>
        <w:rPr>
          <w:rFonts w:hint="eastAsia" w:ascii="宋体" w:hAnsi="宋体" w:eastAsia="宋体" w:cs="宋体"/>
          <w:sz w:val="21"/>
          <w:szCs w:val="21"/>
        </w:rPr>
      </w:pPr>
      <w:r>
        <w:rPr>
          <w:rFonts w:hint="eastAsia" w:ascii="宋体" w:hAnsi="宋体" w:eastAsia="宋体" w:cs="宋体"/>
          <w:sz w:val="21"/>
          <w:szCs w:val="21"/>
        </w:rPr>
        <w:br w:type="page"/>
      </w:r>
    </w:p>
    <w:p w14:paraId="4E2F6680">
      <w:pPr>
        <w:jc w:val="center"/>
        <w:rPr>
          <w:rFonts w:hint="eastAsia" w:ascii="宋体" w:hAnsi="宋体" w:eastAsia="宋体" w:cs="宋体"/>
          <w:sz w:val="21"/>
          <w:szCs w:val="21"/>
        </w:rPr>
      </w:pPr>
      <w:r>
        <w:rPr>
          <w:rFonts w:hint="eastAsia" w:ascii="宋体" w:hAnsi="宋体" w:eastAsia="宋体" w:cs="宋体"/>
          <w:sz w:val="21"/>
          <w:szCs w:val="21"/>
        </w:rPr>
        <w:t>2、投标承诺函</w:t>
      </w:r>
    </w:p>
    <w:p w14:paraId="48408E71">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致</w:t>
      </w:r>
      <w:r>
        <w:rPr>
          <w:rFonts w:hint="eastAsia" w:ascii="宋体" w:hAnsi="宋体" w:eastAsia="宋体" w:cs="宋体"/>
          <w:sz w:val="21"/>
          <w:szCs w:val="21"/>
          <w:u w:val="single"/>
        </w:rPr>
        <w:t>（采购人及采购代理机构）</w:t>
      </w:r>
      <w:r>
        <w:rPr>
          <w:rFonts w:hint="eastAsia" w:ascii="宋体" w:hAnsi="宋体" w:eastAsia="宋体" w:cs="宋体"/>
          <w:sz w:val="21"/>
          <w:szCs w:val="21"/>
        </w:rPr>
        <w:t>：</w:t>
      </w:r>
    </w:p>
    <w:p w14:paraId="4CD56CCD">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我公司作为本次采购项目的投标人，根据竞争性磋商文件要求，现郑重承诺如下：</w:t>
      </w:r>
    </w:p>
    <w:p w14:paraId="4F7EA32E">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一、具备《中华人民共和国政府采购法》第二十二条第一款和本项目规定的条件：</w:t>
      </w:r>
    </w:p>
    <w:p w14:paraId="1FE79CD4">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（一）具有独立承担民事责任的能力；</w:t>
      </w:r>
    </w:p>
    <w:p w14:paraId="7197EDC1">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（二）具有良好的商业信誉和健全的财务会计制度；</w:t>
      </w:r>
    </w:p>
    <w:p w14:paraId="4F60D887">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（三）具有履行合同所必需的设备和专业技术能力；</w:t>
      </w:r>
    </w:p>
    <w:p w14:paraId="6BEDCC63">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（四）有依法缴纳税收和社会保障资金的良好记录；</w:t>
      </w:r>
    </w:p>
    <w:p w14:paraId="6C74159F">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（五）参加政府采购活动前三年内，在经营活动中没有重大违法记录；</w:t>
      </w:r>
    </w:p>
    <w:p w14:paraId="3996D4A7">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（六）法律、行政法规规定的其他条件；</w:t>
      </w:r>
    </w:p>
    <w:p w14:paraId="49094E5E">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（七）根据采购项目提出的特殊条件。</w:t>
      </w:r>
    </w:p>
    <w:p w14:paraId="09675AF2">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二、完全接受和满足本项目竞争性磋商文件中规定的实质性要求，如对竞争性磋商文件有异议，已经在投标截止时间届满前依法进行维权救济，不存在对竞争性磋商文件有异议的同时又参加投标以求侥幸中标或者为实现其他非法目的的行为。</w:t>
      </w:r>
    </w:p>
    <w:p w14:paraId="43C01580">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三、参加本次采购活动，不存在与单位负责人为同一人或者存在直接控股、管理关系的其他供应商参与同一合同项下的政府采购活动的行为。</w:t>
      </w:r>
    </w:p>
    <w:p w14:paraId="26697EB6">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四、参加本次采购活动，不存在为采购项目提供整体设计、规范编制或者项目管理、监理、检测等服务的行为。</w:t>
      </w:r>
    </w:p>
    <w:p w14:paraId="44B6D91F">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五、参加本次采购活动，不存在和其他供应商在同一合同项下的采购项目中，同时委托同一个自然人、同一家庭的人员、同一单位的人员作为代理人的行为。</w:t>
      </w:r>
    </w:p>
    <w:p w14:paraId="38DDA22D">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六、投标人参加本次政府采购活动要求在近三年内投标人和其法定代表人没有行贿犯罪行为。</w:t>
      </w:r>
    </w:p>
    <w:p w14:paraId="4B751C39">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七、参加本次采购活动，不存在联合体投标。</w:t>
      </w:r>
    </w:p>
    <w:p w14:paraId="49453655">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八、响应文件中提供的能够给予我公司带来优惠、好处的任何材料资料和技术、服务、商务等响应承诺情况都是真实的、有效的、合法的。</w:t>
      </w:r>
    </w:p>
    <w:p w14:paraId="17DE5294">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九、如本项目评标过程中需要提供样品，则我公司提供的样品即为中标后将要提供的中标产品，我公司对提供样品的性能和质量负责，因样品存在缺陷或者不符合竞争性磋商文件要求导致未能中标的，我公司愿意承担相应不利后果。（如提供样品）</w:t>
      </w:r>
    </w:p>
    <w:p w14:paraId="5096F8AC">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十、存在以下行为之一的愿意接受相关部门的处理：</w:t>
      </w:r>
    </w:p>
    <w:p w14:paraId="090BA24C">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（一）投标有效期内撤销投标文件/响应文件的；</w:t>
      </w:r>
    </w:p>
    <w:p w14:paraId="26BDBCEC">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（二）在采购人确定中标人以前放弃中标候选资格的；</w:t>
      </w:r>
    </w:p>
    <w:p w14:paraId="0FE74AFA">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（三）由于中标人的原因未能按照竞争性磋商文件的规定与采购人签订合同；</w:t>
      </w:r>
    </w:p>
    <w:p w14:paraId="72384165">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（四）由于中标人的原因未能按照竞争性磋商文件的规定交纳履约保证金；</w:t>
      </w:r>
    </w:p>
    <w:p w14:paraId="069401CB">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（五）在投标文件/响应文件中提供虚假材料谋取中标；</w:t>
      </w:r>
    </w:p>
    <w:p w14:paraId="30EA3EF2">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（六）与采购人、其他供应商或者采购代理机构恶意串通的；</w:t>
      </w:r>
    </w:p>
    <w:p w14:paraId="12E2BBEB">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（七）投标有效期内，投标人在政府采购活动中有违法、违规、违纪行为。</w:t>
      </w:r>
    </w:p>
    <w:p w14:paraId="01FD5F2E">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由此产生的一切法律后果和责任由我公司承担。我公司声明放弃对此提出任何异议和追索的权利。</w:t>
      </w:r>
    </w:p>
    <w:p w14:paraId="13CE36F0">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本公司对上述承诺的内容事项真实性负责。如经查实上述承诺的内容事项存在虚假，我公司愿意接受以提供虚假材料谋取中标追究法律责任。</w:t>
      </w:r>
    </w:p>
    <w:p w14:paraId="6FEAFB18">
      <w:pPr>
        <w:spacing w:line="360" w:lineRule="auto"/>
        <w:ind w:firstLine="420" w:firstLineChars="200"/>
        <w:rPr>
          <w:rFonts w:hint="eastAsia" w:ascii="宋体" w:hAnsi="宋体" w:eastAsia="宋体" w:cs="宋体"/>
          <w:sz w:val="21"/>
          <w:szCs w:val="21"/>
        </w:rPr>
      </w:pPr>
    </w:p>
    <w:p w14:paraId="56698D87">
      <w:pPr>
        <w:spacing w:line="360" w:lineRule="auto"/>
        <w:ind w:right="420"/>
        <w:rPr>
          <w:rFonts w:hint="eastAsia" w:ascii="宋体" w:hAnsi="宋体" w:eastAsia="宋体" w:cs="宋体"/>
          <w:sz w:val="21"/>
          <w:szCs w:val="21"/>
        </w:rPr>
      </w:pPr>
      <w:r>
        <w:rPr>
          <w:rFonts w:hint="eastAsia" w:ascii="宋体" w:hAnsi="宋体" w:eastAsia="宋体" w:cs="宋体"/>
          <w:sz w:val="21"/>
          <w:szCs w:val="21"/>
        </w:rPr>
        <w:t>供应商：</w:t>
      </w:r>
      <w:r>
        <w:rPr>
          <w:rFonts w:hint="eastAsia" w:ascii="宋体" w:hAnsi="宋体" w:eastAsia="宋体" w:cs="宋体"/>
          <w:sz w:val="21"/>
          <w:szCs w:val="21"/>
          <w:u w:val="single"/>
        </w:rPr>
        <w:t xml:space="preserve">                             </w:t>
      </w:r>
      <w:r>
        <w:rPr>
          <w:rFonts w:hint="eastAsia" w:ascii="宋体" w:hAnsi="宋体" w:eastAsia="宋体" w:cs="宋体"/>
          <w:sz w:val="21"/>
          <w:szCs w:val="21"/>
        </w:rPr>
        <w:t>（电子签章）</w:t>
      </w:r>
    </w:p>
    <w:p w14:paraId="4DC14369">
      <w:pPr>
        <w:spacing w:line="360" w:lineRule="auto"/>
        <w:ind w:right="420"/>
        <w:rPr>
          <w:rFonts w:hint="eastAsia" w:ascii="宋体" w:hAnsi="宋体" w:eastAsia="宋体" w:cs="宋体"/>
          <w:sz w:val="21"/>
          <w:szCs w:val="21"/>
        </w:rPr>
      </w:pPr>
      <w:r>
        <w:rPr>
          <w:rFonts w:hint="eastAsia" w:ascii="宋体" w:hAnsi="宋体" w:eastAsia="宋体" w:cs="宋体"/>
          <w:sz w:val="21"/>
          <w:szCs w:val="21"/>
        </w:rPr>
        <w:t>法定代表人</w:t>
      </w: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负责人</w:t>
      </w:r>
      <w:r>
        <w:rPr>
          <w:rFonts w:hint="eastAsia" w:ascii="宋体" w:hAnsi="宋体" w:eastAsia="宋体" w:cs="宋体"/>
          <w:sz w:val="21"/>
          <w:szCs w:val="21"/>
          <w:lang w:eastAsia="zh-CN"/>
        </w:rPr>
        <w:t>）</w:t>
      </w:r>
      <w:r>
        <w:rPr>
          <w:rFonts w:hint="eastAsia" w:ascii="宋体" w:hAnsi="宋体" w:eastAsia="宋体" w:cs="宋体"/>
          <w:sz w:val="21"/>
          <w:szCs w:val="21"/>
        </w:rPr>
        <w:t xml:space="preserve">或其委托代理人： </w:t>
      </w:r>
      <w:r>
        <w:rPr>
          <w:rFonts w:hint="eastAsia" w:ascii="宋体" w:hAnsi="宋体" w:eastAsia="宋体" w:cs="宋体"/>
          <w:sz w:val="21"/>
          <w:szCs w:val="21"/>
          <w:u w:val="single"/>
        </w:rPr>
        <w:t xml:space="preserve">          </w:t>
      </w:r>
      <w:r>
        <w:rPr>
          <w:rFonts w:hint="eastAsia" w:ascii="宋体" w:hAnsi="宋体" w:eastAsia="宋体" w:cs="宋体"/>
          <w:sz w:val="21"/>
          <w:szCs w:val="21"/>
        </w:rPr>
        <w:t>（签字或盖章）</w:t>
      </w:r>
    </w:p>
    <w:p w14:paraId="09B191D1">
      <w:pPr>
        <w:spacing w:line="360" w:lineRule="auto"/>
        <w:ind w:right="480"/>
        <w:jc w:val="right"/>
        <w:rPr>
          <w:rFonts w:hint="eastAsia" w:ascii="宋体" w:hAnsi="宋体" w:eastAsia="宋体" w:cs="宋体"/>
          <w:sz w:val="21"/>
          <w:szCs w:val="21"/>
        </w:rPr>
      </w:pPr>
      <w:r>
        <w:rPr>
          <w:rFonts w:hint="eastAsia" w:ascii="宋体" w:hAnsi="宋体" w:eastAsia="宋体" w:cs="宋体"/>
          <w:sz w:val="21"/>
          <w:szCs w:val="21"/>
          <w:u w:val="single"/>
        </w:rPr>
        <w:t xml:space="preserve">         </w:t>
      </w:r>
      <w:r>
        <w:rPr>
          <w:rFonts w:hint="eastAsia" w:ascii="宋体" w:hAnsi="宋体" w:eastAsia="宋体" w:cs="宋体"/>
          <w:sz w:val="21"/>
          <w:szCs w:val="21"/>
        </w:rPr>
        <w:t>年</w:t>
      </w:r>
      <w:r>
        <w:rPr>
          <w:rFonts w:hint="eastAsia" w:ascii="宋体" w:hAnsi="宋体" w:eastAsia="宋体" w:cs="宋体"/>
          <w:sz w:val="21"/>
          <w:szCs w:val="21"/>
          <w:u w:val="single"/>
        </w:rPr>
        <w:t xml:space="preserve">         </w:t>
      </w:r>
      <w:r>
        <w:rPr>
          <w:rFonts w:hint="eastAsia" w:ascii="宋体" w:hAnsi="宋体" w:eastAsia="宋体" w:cs="宋体"/>
          <w:sz w:val="21"/>
          <w:szCs w:val="21"/>
        </w:rPr>
        <w:t>月</w:t>
      </w:r>
      <w:r>
        <w:rPr>
          <w:rFonts w:hint="eastAsia" w:ascii="宋体" w:hAnsi="宋体" w:eastAsia="宋体" w:cs="宋体"/>
          <w:sz w:val="21"/>
          <w:szCs w:val="21"/>
          <w:u w:val="single"/>
        </w:rPr>
        <w:t xml:space="preserve">       </w:t>
      </w:r>
      <w:r>
        <w:rPr>
          <w:rFonts w:hint="eastAsia" w:ascii="宋体" w:hAnsi="宋体" w:eastAsia="宋体" w:cs="宋体"/>
          <w:sz w:val="21"/>
          <w:szCs w:val="21"/>
        </w:rPr>
        <w:t>日</w:t>
      </w:r>
    </w:p>
    <w:p w14:paraId="6DD2FCF1">
      <w:pPr>
        <w:rPr>
          <w:rFonts w:hint="eastAsia" w:ascii="宋体" w:hAnsi="宋体" w:eastAsia="宋体" w:cs="宋体"/>
          <w:spacing w:val="6"/>
          <w:sz w:val="21"/>
          <w:szCs w:val="21"/>
        </w:rPr>
      </w:pPr>
      <w:r>
        <w:rPr>
          <w:rFonts w:hint="eastAsia" w:ascii="宋体" w:hAnsi="宋体" w:eastAsia="宋体" w:cs="宋体"/>
          <w:spacing w:val="6"/>
          <w:sz w:val="21"/>
          <w:szCs w:val="21"/>
        </w:rPr>
        <w:br w:type="page"/>
      </w:r>
    </w:p>
    <w:p w14:paraId="3E4339BD">
      <w:pPr>
        <w:spacing w:line="360" w:lineRule="auto"/>
        <w:jc w:val="center"/>
        <w:rPr>
          <w:rFonts w:hint="eastAsia" w:ascii="宋体" w:hAnsi="宋体" w:eastAsia="宋体" w:cs="宋体"/>
          <w:sz w:val="21"/>
          <w:szCs w:val="21"/>
        </w:rPr>
      </w:pPr>
      <w:r>
        <w:rPr>
          <w:rFonts w:hint="eastAsia" w:ascii="宋体" w:hAnsi="宋体" w:eastAsia="宋体" w:cs="宋体"/>
          <w:spacing w:val="6"/>
          <w:sz w:val="21"/>
          <w:szCs w:val="21"/>
        </w:rPr>
        <w:t>3、</w:t>
      </w:r>
      <w:r>
        <w:rPr>
          <w:rFonts w:hint="eastAsia" w:ascii="宋体" w:hAnsi="宋体" w:eastAsia="宋体" w:cs="宋体"/>
          <w:sz w:val="21"/>
          <w:szCs w:val="21"/>
        </w:rPr>
        <w:t>供应商认为应附的其他材料</w:t>
      </w:r>
    </w:p>
    <w:p w14:paraId="093534C0">
      <w:pPr>
        <w:jc w:val="center"/>
        <w:rPr>
          <w:rFonts w:hint="eastAsia" w:ascii="宋体" w:hAnsi="宋体" w:eastAsia="宋体" w:cs="宋体"/>
          <w:b/>
          <w:bCs/>
          <w:spacing w:val="6"/>
          <w:sz w:val="32"/>
          <w:szCs w:val="32"/>
        </w:rPr>
      </w:pPr>
      <w:r>
        <w:rPr>
          <w:rFonts w:hint="eastAsia" w:ascii="宋体" w:hAnsi="宋体" w:eastAsia="宋体" w:cs="宋体"/>
          <w:b/>
          <w:bCs/>
          <w:spacing w:val="6"/>
          <w:sz w:val="32"/>
          <w:szCs w:val="32"/>
        </w:rPr>
        <w:br w:type="page"/>
      </w:r>
    </w:p>
    <w:p w14:paraId="436D252E">
      <w:pPr>
        <w:spacing w:line="360" w:lineRule="auto"/>
        <w:rPr>
          <w:rFonts w:hint="eastAsia" w:ascii="宋体" w:hAnsi="宋体" w:eastAsia="宋体" w:cs="宋体"/>
          <w:b/>
          <w:spacing w:val="6"/>
          <w:sz w:val="21"/>
          <w:szCs w:val="21"/>
        </w:rPr>
      </w:pPr>
      <w:r>
        <w:rPr>
          <w:rFonts w:hint="eastAsia" w:ascii="宋体" w:hAnsi="宋体" w:eastAsia="宋体" w:cs="宋体"/>
          <w:b/>
        </w:rPr>
        <w:t>附件1：</w:t>
      </w:r>
    </w:p>
    <w:p w14:paraId="2A39D70F">
      <w:pPr>
        <w:pStyle w:val="71"/>
        <w:spacing w:line="360" w:lineRule="auto"/>
        <w:jc w:val="center"/>
        <w:rPr>
          <w:rFonts w:hint="eastAsia" w:ascii="宋体" w:hAnsi="宋体" w:cs="宋体"/>
          <w:b/>
          <w:sz w:val="28"/>
          <w:szCs w:val="22"/>
        </w:rPr>
      </w:pPr>
      <w:r>
        <w:rPr>
          <w:rFonts w:hint="eastAsia" w:ascii="宋体" w:hAnsi="宋体" w:cs="宋体"/>
          <w:b/>
          <w:sz w:val="28"/>
          <w:szCs w:val="22"/>
        </w:rPr>
        <w:t>投报业绩一览表</w:t>
      </w:r>
    </w:p>
    <w:tbl>
      <w:tblPr>
        <w:tblStyle w:val="9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38"/>
        <w:gridCol w:w="2177"/>
        <w:gridCol w:w="1275"/>
        <w:gridCol w:w="2157"/>
        <w:gridCol w:w="1104"/>
        <w:gridCol w:w="1275"/>
        <w:gridCol w:w="1305"/>
      </w:tblGrid>
      <w:tr w14:paraId="5F28F9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3" w:hRule="atLeast"/>
          <w:jc w:val="center"/>
        </w:trPr>
        <w:tc>
          <w:tcPr>
            <w:tcW w:w="638" w:type="dxa"/>
            <w:vAlign w:val="center"/>
          </w:tcPr>
          <w:p w14:paraId="42C861AB">
            <w:pPr>
              <w:jc w:val="center"/>
              <w:rPr>
                <w:rFonts w:hint="eastAsia" w:ascii="宋体" w:hAnsi="宋体" w:eastAsia="宋体" w:cs="宋体"/>
                <w:sz w:val="21"/>
                <w:szCs w:val="21"/>
              </w:rPr>
            </w:pPr>
            <w:r>
              <w:rPr>
                <w:rFonts w:hint="eastAsia" w:ascii="宋体" w:hAnsi="宋体" w:eastAsia="宋体" w:cs="宋体"/>
                <w:sz w:val="21"/>
                <w:szCs w:val="21"/>
              </w:rPr>
              <w:t>序号</w:t>
            </w:r>
          </w:p>
        </w:tc>
        <w:tc>
          <w:tcPr>
            <w:tcW w:w="2177" w:type="dxa"/>
            <w:vAlign w:val="center"/>
          </w:tcPr>
          <w:p w14:paraId="6B1A0113">
            <w:pPr>
              <w:jc w:val="center"/>
              <w:rPr>
                <w:rFonts w:hint="eastAsia" w:ascii="宋体" w:hAnsi="宋体" w:eastAsia="宋体" w:cs="宋体"/>
                <w:sz w:val="21"/>
                <w:szCs w:val="21"/>
              </w:rPr>
            </w:pPr>
            <w:r>
              <w:rPr>
                <w:rFonts w:hint="eastAsia" w:ascii="宋体" w:hAnsi="宋体" w:eastAsia="宋体" w:cs="宋体"/>
                <w:sz w:val="21"/>
                <w:szCs w:val="21"/>
              </w:rPr>
              <w:t>项目名称</w:t>
            </w:r>
          </w:p>
        </w:tc>
        <w:tc>
          <w:tcPr>
            <w:tcW w:w="1275" w:type="dxa"/>
            <w:vAlign w:val="center"/>
          </w:tcPr>
          <w:p w14:paraId="04D7942E">
            <w:pPr>
              <w:jc w:val="center"/>
              <w:rPr>
                <w:rFonts w:hint="eastAsia" w:ascii="宋体" w:hAnsi="宋体" w:eastAsia="宋体" w:cs="宋体"/>
                <w:sz w:val="21"/>
                <w:szCs w:val="21"/>
              </w:rPr>
            </w:pPr>
            <w:r>
              <w:rPr>
                <w:rFonts w:hint="eastAsia" w:ascii="宋体" w:hAnsi="宋体" w:eastAsia="宋体" w:cs="宋体"/>
                <w:sz w:val="21"/>
                <w:szCs w:val="21"/>
              </w:rPr>
              <w:t>项目负责人姓名</w:t>
            </w:r>
          </w:p>
        </w:tc>
        <w:tc>
          <w:tcPr>
            <w:tcW w:w="2157" w:type="dxa"/>
            <w:vAlign w:val="center"/>
          </w:tcPr>
          <w:p w14:paraId="166EF1DB">
            <w:pPr>
              <w:jc w:val="center"/>
              <w:rPr>
                <w:rFonts w:hint="eastAsia" w:ascii="宋体" w:hAnsi="宋体" w:eastAsia="宋体" w:cs="宋体"/>
                <w:sz w:val="21"/>
                <w:szCs w:val="21"/>
              </w:rPr>
            </w:pPr>
            <w:r>
              <w:rPr>
                <w:rFonts w:hint="eastAsia" w:ascii="宋体" w:hAnsi="宋体" w:eastAsia="宋体" w:cs="宋体"/>
                <w:sz w:val="21"/>
                <w:szCs w:val="21"/>
              </w:rPr>
              <w:t>中标公示查询媒体</w:t>
            </w:r>
          </w:p>
        </w:tc>
        <w:tc>
          <w:tcPr>
            <w:tcW w:w="1104" w:type="dxa"/>
            <w:vAlign w:val="center"/>
          </w:tcPr>
          <w:p w14:paraId="3D37CB8B">
            <w:pPr>
              <w:jc w:val="center"/>
              <w:rPr>
                <w:rFonts w:hint="eastAsia" w:ascii="宋体" w:hAnsi="宋体" w:eastAsia="宋体" w:cs="宋体"/>
                <w:sz w:val="21"/>
                <w:szCs w:val="21"/>
              </w:rPr>
            </w:pPr>
            <w:r>
              <w:rPr>
                <w:rFonts w:hint="eastAsia" w:ascii="宋体" w:hAnsi="宋体" w:eastAsia="宋体" w:cs="宋体"/>
                <w:sz w:val="21"/>
                <w:szCs w:val="21"/>
              </w:rPr>
              <w:t>合同金额</w:t>
            </w:r>
          </w:p>
        </w:tc>
        <w:tc>
          <w:tcPr>
            <w:tcW w:w="1275" w:type="dxa"/>
            <w:vAlign w:val="center"/>
          </w:tcPr>
          <w:p w14:paraId="277A3295">
            <w:pPr>
              <w:jc w:val="center"/>
              <w:rPr>
                <w:rFonts w:hint="eastAsia" w:ascii="宋体" w:hAnsi="宋体" w:eastAsia="宋体" w:cs="宋体"/>
                <w:sz w:val="21"/>
                <w:szCs w:val="21"/>
              </w:rPr>
            </w:pPr>
            <w:r>
              <w:rPr>
                <w:rFonts w:hint="eastAsia" w:ascii="宋体" w:hAnsi="宋体" w:eastAsia="宋体" w:cs="宋体"/>
                <w:sz w:val="21"/>
                <w:szCs w:val="21"/>
              </w:rPr>
              <w:t>合同签订日期</w:t>
            </w:r>
          </w:p>
        </w:tc>
        <w:tc>
          <w:tcPr>
            <w:tcW w:w="1305" w:type="dxa"/>
            <w:vAlign w:val="center"/>
          </w:tcPr>
          <w:p w14:paraId="50E29FC4">
            <w:pPr>
              <w:jc w:val="center"/>
              <w:rPr>
                <w:rFonts w:hint="eastAsia" w:ascii="宋体" w:hAnsi="宋体" w:eastAsia="宋体" w:cs="宋体"/>
                <w:sz w:val="21"/>
                <w:szCs w:val="21"/>
              </w:rPr>
            </w:pPr>
            <w:r>
              <w:rPr>
                <w:rFonts w:hint="eastAsia" w:ascii="宋体" w:hAnsi="宋体" w:eastAsia="宋体" w:cs="宋体"/>
                <w:sz w:val="21"/>
                <w:szCs w:val="21"/>
              </w:rPr>
              <w:t>验收日期</w:t>
            </w:r>
          </w:p>
        </w:tc>
      </w:tr>
      <w:tr w14:paraId="6922EB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4" w:hRule="atLeast"/>
          <w:jc w:val="center"/>
        </w:trPr>
        <w:tc>
          <w:tcPr>
            <w:tcW w:w="638" w:type="dxa"/>
            <w:vAlign w:val="center"/>
          </w:tcPr>
          <w:p w14:paraId="0172509A">
            <w:pPr>
              <w:jc w:val="center"/>
              <w:rPr>
                <w:rFonts w:hint="eastAsia" w:ascii="宋体" w:hAnsi="宋体" w:eastAsia="宋体" w:cs="宋体"/>
                <w:sz w:val="21"/>
                <w:szCs w:val="21"/>
              </w:rPr>
            </w:pPr>
            <w:r>
              <w:rPr>
                <w:rFonts w:hint="eastAsia" w:ascii="宋体" w:hAnsi="宋体" w:eastAsia="宋体" w:cs="宋体"/>
                <w:sz w:val="21"/>
                <w:szCs w:val="21"/>
              </w:rPr>
              <w:t>1</w:t>
            </w:r>
          </w:p>
        </w:tc>
        <w:tc>
          <w:tcPr>
            <w:tcW w:w="2177" w:type="dxa"/>
            <w:vAlign w:val="center"/>
          </w:tcPr>
          <w:p w14:paraId="61DBC8F9">
            <w:pPr>
              <w:jc w:val="center"/>
              <w:rPr>
                <w:rFonts w:hint="eastAsia" w:ascii="宋体" w:hAnsi="宋体" w:eastAsia="宋体" w:cs="宋体"/>
                <w:sz w:val="21"/>
                <w:szCs w:val="21"/>
              </w:rPr>
            </w:pPr>
          </w:p>
        </w:tc>
        <w:tc>
          <w:tcPr>
            <w:tcW w:w="1275" w:type="dxa"/>
            <w:vAlign w:val="center"/>
          </w:tcPr>
          <w:p w14:paraId="4F3F68B1">
            <w:pPr>
              <w:jc w:val="center"/>
              <w:rPr>
                <w:rFonts w:hint="eastAsia" w:ascii="宋体" w:hAnsi="宋体" w:eastAsia="宋体" w:cs="宋体"/>
                <w:sz w:val="21"/>
                <w:szCs w:val="21"/>
              </w:rPr>
            </w:pPr>
          </w:p>
        </w:tc>
        <w:tc>
          <w:tcPr>
            <w:tcW w:w="2157" w:type="dxa"/>
            <w:vAlign w:val="center"/>
          </w:tcPr>
          <w:p w14:paraId="4FC4E348">
            <w:pPr>
              <w:jc w:val="center"/>
              <w:rPr>
                <w:rFonts w:hint="eastAsia" w:ascii="宋体" w:hAnsi="宋体" w:eastAsia="宋体" w:cs="宋体"/>
                <w:sz w:val="21"/>
                <w:szCs w:val="21"/>
              </w:rPr>
            </w:pPr>
          </w:p>
        </w:tc>
        <w:tc>
          <w:tcPr>
            <w:tcW w:w="1104" w:type="dxa"/>
            <w:vAlign w:val="center"/>
          </w:tcPr>
          <w:p w14:paraId="1A5D2016">
            <w:pPr>
              <w:jc w:val="center"/>
              <w:rPr>
                <w:rFonts w:hint="eastAsia" w:ascii="宋体" w:hAnsi="宋体" w:eastAsia="宋体" w:cs="宋体"/>
                <w:sz w:val="21"/>
                <w:szCs w:val="21"/>
              </w:rPr>
            </w:pPr>
          </w:p>
        </w:tc>
        <w:tc>
          <w:tcPr>
            <w:tcW w:w="1275" w:type="dxa"/>
            <w:vAlign w:val="center"/>
          </w:tcPr>
          <w:p w14:paraId="43A8FD06">
            <w:pPr>
              <w:jc w:val="center"/>
              <w:rPr>
                <w:rFonts w:hint="eastAsia" w:ascii="宋体" w:hAnsi="宋体" w:eastAsia="宋体" w:cs="宋体"/>
                <w:sz w:val="21"/>
                <w:szCs w:val="21"/>
              </w:rPr>
            </w:pPr>
          </w:p>
        </w:tc>
        <w:tc>
          <w:tcPr>
            <w:tcW w:w="1305" w:type="dxa"/>
            <w:vAlign w:val="center"/>
          </w:tcPr>
          <w:p w14:paraId="3FACF1A5">
            <w:pPr>
              <w:jc w:val="center"/>
              <w:rPr>
                <w:rFonts w:hint="eastAsia" w:ascii="宋体" w:hAnsi="宋体" w:eastAsia="宋体" w:cs="宋体"/>
                <w:sz w:val="21"/>
                <w:szCs w:val="21"/>
              </w:rPr>
            </w:pPr>
          </w:p>
        </w:tc>
      </w:tr>
      <w:tr w14:paraId="199366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jc w:val="center"/>
        </w:trPr>
        <w:tc>
          <w:tcPr>
            <w:tcW w:w="638" w:type="dxa"/>
            <w:vAlign w:val="center"/>
          </w:tcPr>
          <w:p w14:paraId="33E92747">
            <w:pPr>
              <w:jc w:val="center"/>
              <w:rPr>
                <w:rFonts w:hint="eastAsia" w:ascii="宋体" w:hAnsi="宋体" w:eastAsia="宋体" w:cs="宋体"/>
                <w:sz w:val="21"/>
                <w:szCs w:val="21"/>
              </w:rPr>
            </w:pPr>
            <w:r>
              <w:rPr>
                <w:rFonts w:hint="eastAsia" w:ascii="宋体" w:hAnsi="宋体" w:eastAsia="宋体" w:cs="宋体"/>
                <w:sz w:val="21"/>
                <w:szCs w:val="21"/>
              </w:rPr>
              <w:t>……</w:t>
            </w:r>
          </w:p>
        </w:tc>
        <w:tc>
          <w:tcPr>
            <w:tcW w:w="2177" w:type="dxa"/>
            <w:vAlign w:val="center"/>
          </w:tcPr>
          <w:p w14:paraId="0D61697D">
            <w:pPr>
              <w:jc w:val="center"/>
              <w:rPr>
                <w:rFonts w:hint="eastAsia" w:ascii="宋体" w:hAnsi="宋体" w:eastAsia="宋体" w:cs="宋体"/>
                <w:sz w:val="21"/>
                <w:szCs w:val="21"/>
              </w:rPr>
            </w:pPr>
          </w:p>
        </w:tc>
        <w:tc>
          <w:tcPr>
            <w:tcW w:w="1275" w:type="dxa"/>
            <w:vAlign w:val="center"/>
          </w:tcPr>
          <w:p w14:paraId="3EC782A9">
            <w:pPr>
              <w:jc w:val="center"/>
              <w:rPr>
                <w:rFonts w:hint="eastAsia" w:ascii="宋体" w:hAnsi="宋体" w:eastAsia="宋体" w:cs="宋体"/>
                <w:sz w:val="21"/>
                <w:szCs w:val="21"/>
              </w:rPr>
            </w:pPr>
          </w:p>
        </w:tc>
        <w:tc>
          <w:tcPr>
            <w:tcW w:w="2157" w:type="dxa"/>
            <w:vAlign w:val="center"/>
          </w:tcPr>
          <w:p w14:paraId="16DBCFBC">
            <w:pPr>
              <w:jc w:val="center"/>
              <w:rPr>
                <w:rFonts w:hint="eastAsia" w:ascii="宋体" w:hAnsi="宋体" w:eastAsia="宋体" w:cs="宋体"/>
                <w:sz w:val="21"/>
                <w:szCs w:val="21"/>
              </w:rPr>
            </w:pPr>
          </w:p>
        </w:tc>
        <w:tc>
          <w:tcPr>
            <w:tcW w:w="1104" w:type="dxa"/>
            <w:vAlign w:val="center"/>
          </w:tcPr>
          <w:p w14:paraId="19242A12">
            <w:pPr>
              <w:jc w:val="center"/>
              <w:rPr>
                <w:rFonts w:hint="eastAsia" w:ascii="宋体" w:hAnsi="宋体" w:eastAsia="宋体" w:cs="宋体"/>
                <w:sz w:val="21"/>
                <w:szCs w:val="21"/>
              </w:rPr>
            </w:pPr>
          </w:p>
        </w:tc>
        <w:tc>
          <w:tcPr>
            <w:tcW w:w="1275" w:type="dxa"/>
            <w:vAlign w:val="center"/>
          </w:tcPr>
          <w:p w14:paraId="543CF6F8">
            <w:pPr>
              <w:jc w:val="center"/>
              <w:rPr>
                <w:rFonts w:hint="eastAsia" w:ascii="宋体" w:hAnsi="宋体" w:eastAsia="宋体" w:cs="宋体"/>
                <w:sz w:val="21"/>
                <w:szCs w:val="21"/>
              </w:rPr>
            </w:pPr>
          </w:p>
        </w:tc>
        <w:tc>
          <w:tcPr>
            <w:tcW w:w="1305" w:type="dxa"/>
            <w:vAlign w:val="center"/>
          </w:tcPr>
          <w:p w14:paraId="5ABE4D87">
            <w:pPr>
              <w:jc w:val="center"/>
              <w:rPr>
                <w:rFonts w:hint="eastAsia" w:ascii="宋体" w:hAnsi="宋体" w:eastAsia="宋体" w:cs="宋体"/>
                <w:sz w:val="21"/>
                <w:szCs w:val="21"/>
              </w:rPr>
            </w:pPr>
          </w:p>
        </w:tc>
      </w:tr>
      <w:tr w14:paraId="116388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4" w:hRule="atLeast"/>
          <w:jc w:val="center"/>
        </w:trPr>
        <w:tc>
          <w:tcPr>
            <w:tcW w:w="638" w:type="dxa"/>
            <w:vAlign w:val="center"/>
          </w:tcPr>
          <w:p w14:paraId="633694AB">
            <w:pPr>
              <w:jc w:val="center"/>
              <w:rPr>
                <w:rFonts w:hint="eastAsia" w:ascii="宋体" w:hAnsi="宋体" w:eastAsia="宋体" w:cs="宋体"/>
                <w:sz w:val="21"/>
                <w:szCs w:val="21"/>
              </w:rPr>
            </w:pPr>
          </w:p>
        </w:tc>
        <w:tc>
          <w:tcPr>
            <w:tcW w:w="2177" w:type="dxa"/>
            <w:vAlign w:val="center"/>
          </w:tcPr>
          <w:p w14:paraId="198A02CF">
            <w:pPr>
              <w:jc w:val="center"/>
              <w:rPr>
                <w:rFonts w:hint="eastAsia" w:ascii="宋体" w:hAnsi="宋体" w:eastAsia="宋体" w:cs="宋体"/>
                <w:sz w:val="21"/>
                <w:szCs w:val="21"/>
              </w:rPr>
            </w:pPr>
          </w:p>
        </w:tc>
        <w:tc>
          <w:tcPr>
            <w:tcW w:w="1275" w:type="dxa"/>
            <w:vAlign w:val="center"/>
          </w:tcPr>
          <w:p w14:paraId="2DB44885">
            <w:pPr>
              <w:jc w:val="center"/>
              <w:rPr>
                <w:rFonts w:hint="eastAsia" w:ascii="宋体" w:hAnsi="宋体" w:eastAsia="宋体" w:cs="宋体"/>
                <w:sz w:val="21"/>
                <w:szCs w:val="21"/>
              </w:rPr>
            </w:pPr>
          </w:p>
        </w:tc>
        <w:tc>
          <w:tcPr>
            <w:tcW w:w="2157" w:type="dxa"/>
            <w:vAlign w:val="center"/>
          </w:tcPr>
          <w:p w14:paraId="061DC57B">
            <w:pPr>
              <w:jc w:val="center"/>
              <w:rPr>
                <w:rFonts w:hint="eastAsia" w:ascii="宋体" w:hAnsi="宋体" w:eastAsia="宋体" w:cs="宋体"/>
                <w:sz w:val="21"/>
                <w:szCs w:val="21"/>
              </w:rPr>
            </w:pPr>
          </w:p>
        </w:tc>
        <w:tc>
          <w:tcPr>
            <w:tcW w:w="1104" w:type="dxa"/>
            <w:vAlign w:val="center"/>
          </w:tcPr>
          <w:p w14:paraId="4F3FE7C8">
            <w:pPr>
              <w:jc w:val="center"/>
              <w:rPr>
                <w:rFonts w:hint="eastAsia" w:ascii="宋体" w:hAnsi="宋体" w:eastAsia="宋体" w:cs="宋体"/>
                <w:sz w:val="21"/>
                <w:szCs w:val="21"/>
              </w:rPr>
            </w:pPr>
          </w:p>
        </w:tc>
        <w:tc>
          <w:tcPr>
            <w:tcW w:w="1275" w:type="dxa"/>
            <w:vAlign w:val="center"/>
          </w:tcPr>
          <w:p w14:paraId="7E016E5D">
            <w:pPr>
              <w:jc w:val="center"/>
              <w:rPr>
                <w:rFonts w:hint="eastAsia" w:ascii="宋体" w:hAnsi="宋体" w:eastAsia="宋体" w:cs="宋体"/>
                <w:sz w:val="21"/>
                <w:szCs w:val="21"/>
              </w:rPr>
            </w:pPr>
          </w:p>
        </w:tc>
        <w:tc>
          <w:tcPr>
            <w:tcW w:w="1305" w:type="dxa"/>
            <w:vAlign w:val="center"/>
          </w:tcPr>
          <w:p w14:paraId="0E315091">
            <w:pPr>
              <w:jc w:val="center"/>
              <w:rPr>
                <w:rFonts w:hint="eastAsia" w:ascii="宋体" w:hAnsi="宋体" w:eastAsia="宋体" w:cs="宋体"/>
                <w:sz w:val="21"/>
                <w:szCs w:val="21"/>
              </w:rPr>
            </w:pPr>
          </w:p>
        </w:tc>
      </w:tr>
      <w:tr w14:paraId="7B857C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jc w:val="center"/>
        </w:trPr>
        <w:tc>
          <w:tcPr>
            <w:tcW w:w="638" w:type="dxa"/>
            <w:vAlign w:val="center"/>
          </w:tcPr>
          <w:p w14:paraId="2E57AE4C">
            <w:pPr>
              <w:jc w:val="center"/>
              <w:rPr>
                <w:rFonts w:hint="eastAsia" w:ascii="宋体" w:hAnsi="宋体" w:eastAsia="宋体" w:cs="宋体"/>
                <w:sz w:val="21"/>
                <w:szCs w:val="21"/>
              </w:rPr>
            </w:pPr>
          </w:p>
        </w:tc>
        <w:tc>
          <w:tcPr>
            <w:tcW w:w="2177" w:type="dxa"/>
            <w:vAlign w:val="center"/>
          </w:tcPr>
          <w:p w14:paraId="70564116">
            <w:pPr>
              <w:jc w:val="center"/>
              <w:rPr>
                <w:rFonts w:hint="eastAsia" w:ascii="宋体" w:hAnsi="宋体" w:eastAsia="宋体" w:cs="宋体"/>
                <w:sz w:val="21"/>
                <w:szCs w:val="21"/>
              </w:rPr>
            </w:pPr>
          </w:p>
        </w:tc>
        <w:tc>
          <w:tcPr>
            <w:tcW w:w="1275" w:type="dxa"/>
            <w:vAlign w:val="center"/>
          </w:tcPr>
          <w:p w14:paraId="53A8C84C">
            <w:pPr>
              <w:jc w:val="center"/>
              <w:rPr>
                <w:rFonts w:hint="eastAsia" w:ascii="宋体" w:hAnsi="宋体" w:eastAsia="宋体" w:cs="宋体"/>
                <w:sz w:val="21"/>
                <w:szCs w:val="21"/>
              </w:rPr>
            </w:pPr>
          </w:p>
        </w:tc>
        <w:tc>
          <w:tcPr>
            <w:tcW w:w="2157" w:type="dxa"/>
            <w:vAlign w:val="center"/>
          </w:tcPr>
          <w:p w14:paraId="00D3F95E">
            <w:pPr>
              <w:jc w:val="center"/>
              <w:rPr>
                <w:rFonts w:hint="eastAsia" w:ascii="宋体" w:hAnsi="宋体" w:eastAsia="宋体" w:cs="宋体"/>
                <w:sz w:val="21"/>
                <w:szCs w:val="21"/>
              </w:rPr>
            </w:pPr>
          </w:p>
        </w:tc>
        <w:tc>
          <w:tcPr>
            <w:tcW w:w="1104" w:type="dxa"/>
            <w:vAlign w:val="center"/>
          </w:tcPr>
          <w:p w14:paraId="4FC42F06">
            <w:pPr>
              <w:jc w:val="center"/>
              <w:rPr>
                <w:rFonts w:hint="eastAsia" w:ascii="宋体" w:hAnsi="宋体" w:eastAsia="宋体" w:cs="宋体"/>
                <w:sz w:val="21"/>
                <w:szCs w:val="21"/>
              </w:rPr>
            </w:pPr>
          </w:p>
        </w:tc>
        <w:tc>
          <w:tcPr>
            <w:tcW w:w="1275" w:type="dxa"/>
            <w:vAlign w:val="center"/>
          </w:tcPr>
          <w:p w14:paraId="3FC1805B">
            <w:pPr>
              <w:jc w:val="center"/>
              <w:rPr>
                <w:rFonts w:hint="eastAsia" w:ascii="宋体" w:hAnsi="宋体" w:eastAsia="宋体" w:cs="宋体"/>
                <w:sz w:val="21"/>
                <w:szCs w:val="21"/>
              </w:rPr>
            </w:pPr>
          </w:p>
        </w:tc>
        <w:tc>
          <w:tcPr>
            <w:tcW w:w="1305" w:type="dxa"/>
            <w:vAlign w:val="center"/>
          </w:tcPr>
          <w:p w14:paraId="282606EB">
            <w:pPr>
              <w:jc w:val="center"/>
              <w:rPr>
                <w:rFonts w:hint="eastAsia" w:ascii="宋体" w:hAnsi="宋体" w:eastAsia="宋体" w:cs="宋体"/>
                <w:sz w:val="21"/>
                <w:szCs w:val="21"/>
              </w:rPr>
            </w:pPr>
          </w:p>
        </w:tc>
      </w:tr>
      <w:tr w14:paraId="3B8370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jc w:val="center"/>
        </w:trPr>
        <w:tc>
          <w:tcPr>
            <w:tcW w:w="638" w:type="dxa"/>
            <w:vAlign w:val="center"/>
          </w:tcPr>
          <w:p w14:paraId="65F87E56">
            <w:pPr>
              <w:jc w:val="center"/>
              <w:rPr>
                <w:rFonts w:hint="eastAsia" w:ascii="宋体" w:hAnsi="宋体" w:eastAsia="宋体" w:cs="宋体"/>
                <w:sz w:val="21"/>
                <w:szCs w:val="21"/>
              </w:rPr>
            </w:pPr>
          </w:p>
        </w:tc>
        <w:tc>
          <w:tcPr>
            <w:tcW w:w="2177" w:type="dxa"/>
            <w:vAlign w:val="center"/>
          </w:tcPr>
          <w:p w14:paraId="6F46F2CC">
            <w:pPr>
              <w:jc w:val="center"/>
              <w:rPr>
                <w:rFonts w:hint="eastAsia" w:ascii="宋体" w:hAnsi="宋体" w:eastAsia="宋体" w:cs="宋体"/>
                <w:sz w:val="21"/>
                <w:szCs w:val="21"/>
              </w:rPr>
            </w:pPr>
          </w:p>
        </w:tc>
        <w:tc>
          <w:tcPr>
            <w:tcW w:w="1275" w:type="dxa"/>
            <w:vAlign w:val="center"/>
          </w:tcPr>
          <w:p w14:paraId="6359574C">
            <w:pPr>
              <w:jc w:val="center"/>
              <w:rPr>
                <w:rFonts w:hint="eastAsia" w:ascii="宋体" w:hAnsi="宋体" w:eastAsia="宋体" w:cs="宋体"/>
                <w:sz w:val="21"/>
                <w:szCs w:val="21"/>
              </w:rPr>
            </w:pPr>
          </w:p>
        </w:tc>
        <w:tc>
          <w:tcPr>
            <w:tcW w:w="2157" w:type="dxa"/>
            <w:vAlign w:val="center"/>
          </w:tcPr>
          <w:p w14:paraId="00734DD8">
            <w:pPr>
              <w:jc w:val="center"/>
              <w:rPr>
                <w:rFonts w:hint="eastAsia" w:ascii="宋体" w:hAnsi="宋体" w:eastAsia="宋体" w:cs="宋体"/>
                <w:sz w:val="21"/>
                <w:szCs w:val="21"/>
              </w:rPr>
            </w:pPr>
          </w:p>
        </w:tc>
        <w:tc>
          <w:tcPr>
            <w:tcW w:w="1104" w:type="dxa"/>
            <w:vAlign w:val="center"/>
          </w:tcPr>
          <w:p w14:paraId="0EB72B5E">
            <w:pPr>
              <w:jc w:val="center"/>
              <w:rPr>
                <w:rFonts w:hint="eastAsia" w:ascii="宋体" w:hAnsi="宋体" w:eastAsia="宋体" w:cs="宋体"/>
                <w:sz w:val="21"/>
                <w:szCs w:val="21"/>
              </w:rPr>
            </w:pPr>
          </w:p>
        </w:tc>
        <w:tc>
          <w:tcPr>
            <w:tcW w:w="1275" w:type="dxa"/>
            <w:vAlign w:val="center"/>
          </w:tcPr>
          <w:p w14:paraId="46E77332">
            <w:pPr>
              <w:jc w:val="center"/>
              <w:rPr>
                <w:rFonts w:hint="eastAsia" w:ascii="宋体" w:hAnsi="宋体" w:eastAsia="宋体" w:cs="宋体"/>
                <w:sz w:val="21"/>
                <w:szCs w:val="21"/>
              </w:rPr>
            </w:pPr>
          </w:p>
        </w:tc>
        <w:tc>
          <w:tcPr>
            <w:tcW w:w="1305" w:type="dxa"/>
            <w:vAlign w:val="center"/>
          </w:tcPr>
          <w:p w14:paraId="1E58D2B7">
            <w:pPr>
              <w:jc w:val="center"/>
              <w:rPr>
                <w:rFonts w:hint="eastAsia" w:ascii="宋体" w:hAnsi="宋体" w:eastAsia="宋体" w:cs="宋体"/>
                <w:sz w:val="21"/>
                <w:szCs w:val="21"/>
              </w:rPr>
            </w:pPr>
          </w:p>
        </w:tc>
      </w:tr>
    </w:tbl>
    <w:p w14:paraId="084DCF38">
      <w:pPr>
        <w:widowControl/>
        <w:jc w:val="left"/>
        <w:rPr>
          <w:rFonts w:hint="eastAsia" w:ascii="宋体" w:hAnsi="宋体" w:eastAsia="宋体" w:cs="宋体"/>
          <w:spacing w:val="6"/>
          <w:sz w:val="21"/>
          <w:szCs w:val="21"/>
        </w:rPr>
      </w:pPr>
      <w:r>
        <w:rPr>
          <w:rFonts w:hint="eastAsia" w:ascii="宋体" w:hAnsi="宋体" w:eastAsia="宋体" w:cs="宋体"/>
          <w:spacing w:val="6"/>
          <w:sz w:val="21"/>
          <w:szCs w:val="21"/>
        </w:rPr>
        <w:t>注：1.本表只需填写在本次投标中所投报的所有业绩，某项内容若无则划“/”。</w:t>
      </w:r>
    </w:p>
    <w:p w14:paraId="650887DC">
      <w:pPr>
        <w:widowControl/>
        <w:ind w:firstLine="444" w:firstLineChars="200"/>
        <w:jc w:val="left"/>
        <w:rPr>
          <w:rFonts w:hint="eastAsia" w:ascii="宋体" w:hAnsi="宋体" w:eastAsia="宋体" w:cs="宋体"/>
          <w:spacing w:val="6"/>
          <w:sz w:val="21"/>
          <w:szCs w:val="21"/>
        </w:rPr>
      </w:pPr>
      <w:r>
        <w:rPr>
          <w:rFonts w:hint="eastAsia" w:ascii="宋体" w:hAnsi="宋体" w:eastAsia="宋体" w:cs="宋体"/>
          <w:spacing w:val="6"/>
          <w:sz w:val="21"/>
          <w:szCs w:val="21"/>
        </w:rPr>
        <w:t>2.如本项目未投报业绩，本表可删除。</w:t>
      </w:r>
    </w:p>
    <w:p w14:paraId="0893131B">
      <w:pPr>
        <w:widowControl/>
        <w:jc w:val="left"/>
        <w:rPr>
          <w:rFonts w:hint="eastAsia" w:ascii="宋体" w:hAnsi="宋体" w:eastAsia="宋体" w:cs="宋体"/>
          <w:b/>
          <w:bCs/>
          <w:spacing w:val="6"/>
          <w:sz w:val="21"/>
          <w:szCs w:val="21"/>
        </w:rPr>
      </w:pPr>
      <w:r>
        <w:rPr>
          <w:rFonts w:hint="eastAsia" w:ascii="宋体" w:hAnsi="宋体" w:eastAsia="宋体" w:cs="宋体"/>
          <w:b/>
          <w:bCs/>
          <w:spacing w:val="6"/>
          <w:sz w:val="21"/>
          <w:szCs w:val="21"/>
        </w:rPr>
        <w:br w:type="page"/>
      </w:r>
    </w:p>
    <w:p w14:paraId="10743610">
      <w:pPr>
        <w:spacing w:line="360" w:lineRule="auto"/>
        <w:rPr>
          <w:rFonts w:hint="eastAsia" w:ascii="宋体" w:hAnsi="宋体" w:eastAsia="宋体" w:cs="宋体"/>
          <w:b/>
          <w:bCs/>
          <w:spacing w:val="6"/>
          <w:sz w:val="21"/>
          <w:szCs w:val="21"/>
        </w:rPr>
      </w:pPr>
      <w:r>
        <w:rPr>
          <w:rFonts w:hint="eastAsia" w:ascii="宋体" w:hAnsi="宋体" w:eastAsia="宋体" w:cs="宋体"/>
          <w:b/>
          <w:bCs/>
          <w:spacing w:val="6"/>
          <w:sz w:val="21"/>
          <w:szCs w:val="21"/>
        </w:rPr>
        <w:t>附件2：</w:t>
      </w:r>
    </w:p>
    <w:p w14:paraId="43C05A08">
      <w:pPr>
        <w:spacing w:line="360" w:lineRule="auto"/>
        <w:jc w:val="center"/>
        <w:rPr>
          <w:rFonts w:hint="eastAsia" w:ascii="宋体" w:hAnsi="宋体" w:eastAsia="宋体" w:cs="宋体"/>
          <w:b/>
          <w:bCs/>
          <w:sz w:val="24"/>
          <w:szCs w:val="24"/>
        </w:rPr>
      </w:pPr>
      <w:r>
        <w:rPr>
          <w:rFonts w:hint="eastAsia" w:ascii="宋体" w:hAnsi="宋体" w:eastAsia="宋体" w:cs="宋体"/>
          <w:b/>
          <w:bCs/>
          <w:sz w:val="24"/>
          <w:szCs w:val="24"/>
        </w:rPr>
        <w:t>残疾人福利性单位声明函（如为残疾人福利性单位）</w:t>
      </w:r>
    </w:p>
    <w:p w14:paraId="3666B66B">
      <w:pPr>
        <w:spacing w:line="360" w:lineRule="auto"/>
        <w:jc w:val="center"/>
        <w:rPr>
          <w:rFonts w:hint="eastAsia" w:ascii="宋体" w:hAnsi="宋体" w:eastAsia="宋体" w:cs="宋体"/>
          <w:b/>
          <w:spacing w:val="6"/>
          <w:sz w:val="21"/>
          <w:szCs w:val="21"/>
        </w:rPr>
      </w:pPr>
      <w:r>
        <w:rPr>
          <w:rFonts w:hint="eastAsia" w:ascii="宋体" w:hAnsi="宋体" w:eastAsia="宋体" w:cs="宋体"/>
          <w:b/>
          <w:sz w:val="21"/>
          <w:szCs w:val="21"/>
        </w:rPr>
        <w:t>（注：若无，可删除此项）</w:t>
      </w:r>
    </w:p>
    <w:p w14:paraId="3829BDA5">
      <w:pPr>
        <w:spacing w:line="360" w:lineRule="auto"/>
        <w:jc w:val="center"/>
        <w:rPr>
          <w:rFonts w:hint="eastAsia" w:ascii="宋体" w:hAnsi="宋体" w:eastAsia="宋体" w:cs="宋体"/>
          <w:sz w:val="21"/>
          <w:szCs w:val="21"/>
        </w:rPr>
      </w:pPr>
      <w:r>
        <w:rPr>
          <w:rFonts w:hint="eastAsia" w:ascii="宋体" w:hAnsi="宋体" w:eastAsia="宋体" w:cs="宋体"/>
          <w:sz w:val="21"/>
          <w:szCs w:val="21"/>
        </w:rPr>
        <w:t xml:space="preserve">    </w:t>
      </w:r>
    </w:p>
    <w:p w14:paraId="00FD147E">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本单位郑重声明，根据《财政部民政部中国残疾人联合会关于促进残疾人就业政府采购政策的通知》（财库（2017〔141〕号）的规定，本单位为符合该文件之规定条件的残疾人福利性单位，参加本次政府采购活动提供本单位制造的货物，或者提供（其他残疾人福利性单位名称）制造的货物（不包括使用非残疾人福利性单位注册商标的货物）。货物的名称品牌型号是</w:t>
      </w:r>
      <w:r>
        <w:rPr>
          <w:rFonts w:hint="eastAsia" w:ascii="宋体" w:hAnsi="宋体" w:eastAsia="宋体" w:cs="宋体"/>
          <w:sz w:val="21"/>
          <w:szCs w:val="21"/>
          <w:u w:val="single"/>
        </w:rPr>
        <w:t xml:space="preserve">           </w:t>
      </w:r>
      <w:r>
        <w:rPr>
          <w:rFonts w:hint="eastAsia" w:ascii="宋体" w:hAnsi="宋体" w:eastAsia="宋体" w:cs="宋体"/>
          <w:sz w:val="21"/>
          <w:szCs w:val="21"/>
        </w:rPr>
        <w:t>。</w:t>
      </w:r>
    </w:p>
    <w:p w14:paraId="1DEE5CE4">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本单位对上述声明的真实性负责。如有虚假，将承担相应的法律责任。</w:t>
      </w:r>
    </w:p>
    <w:p w14:paraId="062D861A">
      <w:pPr>
        <w:pStyle w:val="9"/>
        <w:spacing w:line="360" w:lineRule="auto"/>
        <w:ind w:left="480"/>
        <w:rPr>
          <w:rFonts w:hint="eastAsia" w:ascii="宋体" w:hAnsi="宋体" w:eastAsia="宋体" w:cs="宋体"/>
          <w:sz w:val="21"/>
          <w:szCs w:val="21"/>
        </w:rPr>
      </w:pPr>
    </w:p>
    <w:p w14:paraId="5CAA62C4">
      <w:pPr>
        <w:spacing w:line="360" w:lineRule="auto"/>
        <w:ind w:firstLine="420" w:firstLineChars="200"/>
        <w:rPr>
          <w:rFonts w:hint="eastAsia" w:ascii="宋体" w:hAnsi="宋体" w:eastAsia="宋体" w:cs="宋体"/>
          <w:kern w:val="0"/>
          <w:sz w:val="21"/>
          <w:szCs w:val="21"/>
          <w:lang w:val="zh-CN"/>
        </w:rPr>
      </w:pPr>
      <w:r>
        <w:rPr>
          <w:rFonts w:hint="eastAsia" w:ascii="宋体" w:hAnsi="宋体" w:eastAsia="宋体" w:cs="宋体"/>
          <w:kern w:val="0"/>
          <w:sz w:val="21"/>
          <w:szCs w:val="21"/>
          <w:lang w:val="zh-CN"/>
        </w:rPr>
        <w:t>投标人：</w:t>
      </w:r>
      <w:r>
        <w:rPr>
          <w:rFonts w:hint="eastAsia" w:ascii="宋体" w:hAnsi="宋体" w:eastAsia="宋体" w:cs="宋体"/>
          <w:kern w:val="0"/>
          <w:sz w:val="21"/>
          <w:szCs w:val="21"/>
          <w:u w:val="single"/>
          <w:lang w:val="zh-CN"/>
        </w:rPr>
        <w:t xml:space="preserve">           </w:t>
      </w:r>
      <w:r>
        <w:rPr>
          <w:rFonts w:hint="eastAsia" w:ascii="宋体" w:hAnsi="宋体" w:eastAsia="宋体" w:cs="宋体"/>
          <w:kern w:val="0"/>
          <w:sz w:val="21"/>
          <w:szCs w:val="21"/>
          <w:u w:val="single"/>
        </w:rPr>
        <w:t xml:space="preserve">           </w:t>
      </w:r>
      <w:r>
        <w:rPr>
          <w:rFonts w:hint="eastAsia" w:ascii="宋体" w:hAnsi="宋体" w:eastAsia="宋体" w:cs="宋体"/>
          <w:kern w:val="0"/>
          <w:sz w:val="21"/>
          <w:szCs w:val="21"/>
          <w:u w:val="single"/>
          <w:lang w:val="zh-CN"/>
        </w:rPr>
        <w:t xml:space="preserve">  </w:t>
      </w:r>
      <w:r>
        <w:rPr>
          <w:rFonts w:hint="eastAsia" w:ascii="宋体" w:hAnsi="宋体" w:eastAsia="宋体" w:cs="宋体"/>
          <w:kern w:val="0"/>
          <w:sz w:val="21"/>
          <w:szCs w:val="21"/>
          <w:lang w:val="zh-CN"/>
        </w:rPr>
        <w:t>（全称并加盖公章）</w:t>
      </w:r>
    </w:p>
    <w:p w14:paraId="31421D0F">
      <w:pPr>
        <w:pStyle w:val="9"/>
        <w:spacing w:line="360" w:lineRule="auto"/>
        <w:ind w:left="480"/>
        <w:rPr>
          <w:rFonts w:hint="eastAsia" w:ascii="宋体" w:hAnsi="宋体" w:eastAsia="宋体" w:cs="宋体"/>
          <w:sz w:val="21"/>
          <w:szCs w:val="21"/>
        </w:rPr>
      </w:pPr>
      <w:r>
        <w:rPr>
          <w:rFonts w:hint="eastAsia" w:ascii="宋体" w:hAnsi="宋体" w:eastAsia="宋体" w:cs="宋体"/>
          <w:sz w:val="21"/>
          <w:szCs w:val="21"/>
        </w:rPr>
        <w:t>日期：</w:t>
      </w:r>
    </w:p>
    <w:p w14:paraId="171BFF12">
      <w:pPr>
        <w:pStyle w:val="9"/>
        <w:spacing w:line="360" w:lineRule="auto"/>
        <w:ind w:left="480"/>
        <w:rPr>
          <w:rFonts w:hint="eastAsia" w:ascii="宋体" w:hAnsi="宋体" w:eastAsia="宋体" w:cs="宋体"/>
          <w:sz w:val="21"/>
          <w:szCs w:val="21"/>
        </w:rPr>
      </w:pPr>
    </w:p>
    <w:p w14:paraId="15940C0A">
      <w:pPr>
        <w:spacing w:line="360" w:lineRule="auto"/>
        <w:jc w:val="center"/>
        <w:rPr>
          <w:rFonts w:hint="eastAsia" w:ascii="宋体" w:hAnsi="宋体" w:eastAsia="宋体" w:cs="宋体"/>
          <w:b/>
          <w:bCs/>
          <w:spacing w:val="6"/>
          <w:sz w:val="32"/>
          <w:szCs w:val="32"/>
        </w:rPr>
      </w:pPr>
    </w:p>
    <w:p w14:paraId="12D96523">
      <w:pPr>
        <w:rPr>
          <w:rFonts w:hint="eastAsia" w:ascii="宋体" w:hAnsi="宋体" w:eastAsia="宋体" w:cs="宋体"/>
        </w:rPr>
      </w:pPr>
    </w:p>
    <w:p w14:paraId="57F6753F">
      <w:pPr>
        <w:rPr>
          <w:rFonts w:hint="eastAsia" w:ascii="宋体" w:hAnsi="宋体" w:eastAsia="宋体" w:cs="宋体"/>
        </w:rPr>
      </w:pPr>
    </w:p>
    <w:p w14:paraId="5A7263BB">
      <w:pPr>
        <w:rPr>
          <w:rFonts w:hint="eastAsia" w:ascii="宋体" w:hAnsi="宋体" w:eastAsia="宋体" w:cs="宋体"/>
        </w:rPr>
      </w:pPr>
    </w:p>
    <w:p w14:paraId="2C34026E">
      <w:pPr>
        <w:rPr>
          <w:rFonts w:hint="eastAsia" w:ascii="宋体" w:hAnsi="宋体" w:eastAsia="宋体" w:cs="宋体"/>
        </w:rPr>
      </w:pPr>
    </w:p>
    <w:p w14:paraId="349A45F7">
      <w:pPr>
        <w:rPr>
          <w:rFonts w:hint="eastAsia" w:ascii="宋体" w:hAnsi="宋体" w:eastAsia="宋体" w:cs="宋体"/>
        </w:rPr>
      </w:pPr>
    </w:p>
    <w:p w14:paraId="42429826">
      <w:pPr>
        <w:rPr>
          <w:rFonts w:hint="eastAsia" w:ascii="宋体" w:hAnsi="宋体" w:eastAsia="宋体" w:cs="宋体"/>
        </w:rPr>
      </w:pPr>
    </w:p>
    <w:p w14:paraId="61D872A6">
      <w:pPr>
        <w:rPr>
          <w:rFonts w:hint="eastAsia" w:ascii="宋体" w:hAnsi="宋体" w:eastAsia="宋体" w:cs="宋体"/>
        </w:rPr>
      </w:pPr>
    </w:p>
    <w:p w14:paraId="5934A030">
      <w:pPr>
        <w:rPr>
          <w:rFonts w:hint="eastAsia" w:ascii="宋体" w:hAnsi="宋体" w:eastAsia="宋体" w:cs="宋体"/>
        </w:rPr>
      </w:pPr>
    </w:p>
    <w:p w14:paraId="5CF9C71D">
      <w:pPr>
        <w:rPr>
          <w:rFonts w:hint="eastAsia" w:ascii="宋体" w:hAnsi="宋体" w:eastAsia="宋体" w:cs="宋体"/>
        </w:rPr>
      </w:pPr>
    </w:p>
    <w:p w14:paraId="2385686E">
      <w:pPr>
        <w:pStyle w:val="90"/>
        <w:ind w:firstLine="0" w:firstLineChars="0"/>
        <w:rPr>
          <w:rFonts w:hint="eastAsia" w:cs="宋体"/>
        </w:rPr>
      </w:pPr>
      <w:bookmarkStart w:id="422" w:name="_Toc26011_WPSOffice_Level2"/>
      <w:bookmarkStart w:id="423" w:name="_Toc30073_WPSOffice_Level2"/>
      <w:bookmarkStart w:id="424" w:name="_Toc12504"/>
      <w:bookmarkStart w:id="425" w:name="_Toc17815"/>
      <w:bookmarkStart w:id="426" w:name="_Toc12758_WPSOffice_Level2"/>
      <w:bookmarkStart w:id="427" w:name="_Toc3047"/>
    </w:p>
    <w:bookmarkEnd w:id="422"/>
    <w:bookmarkEnd w:id="423"/>
    <w:bookmarkEnd w:id="424"/>
    <w:bookmarkEnd w:id="425"/>
    <w:bookmarkEnd w:id="426"/>
    <w:bookmarkEnd w:id="427"/>
    <w:p w14:paraId="1489E3AB">
      <w:pPr>
        <w:widowControl/>
        <w:jc w:val="left"/>
        <w:rPr>
          <w:rFonts w:hint="eastAsia" w:ascii="宋体" w:hAnsi="宋体" w:eastAsia="宋体" w:cs="宋体"/>
        </w:rPr>
      </w:pPr>
      <w:r>
        <w:rPr>
          <w:rFonts w:hint="eastAsia" w:ascii="宋体" w:hAnsi="宋体" w:eastAsia="宋体" w:cs="宋体"/>
        </w:rPr>
        <w:br w:type="page"/>
      </w:r>
    </w:p>
    <w:p w14:paraId="6B7FA3B8">
      <w:pPr>
        <w:spacing w:line="360" w:lineRule="auto"/>
        <w:rPr>
          <w:rFonts w:hint="eastAsia" w:ascii="宋体" w:hAnsi="宋体" w:eastAsia="宋体" w:cs="宋体"/>
          <w:b/>
          <w:sz w:val="21"/>
          <w:szCs w:val="20"/>
        </w:rPr>
      </w:pPr>
      <w:r>
        <w:rPr>
          <w:rFonts w:hint="eastAsia" w:ascii="宋体" w:hAnsi="宋体" w:eastAsia="宋体" w:cs="宋体"/>
          <w:b/>
          <w:sz w:val="21"/>
          <w:szCs w:val="20"/>
        </w:rPr>
        <w:t>附件3：</w:t>
      </w:r>
    </w:p>
    <w:p w14:paraId="6390358E">
      <w:pPr>
        <w:pStyle w:val="86"/>
        <w:spacing w:line="360" w:lineRule="auto"/>
        <w:jc w:val="center"/>
        <w:rPr>
          <w:rFonts w:hint="eastAsia" w:ascii="宋体" w:hAnsi="宋体" w:cs="宋体"/>
          <w:b/>
          <w:sz w:val="32"/>
          <w:szCs w:val="21"/>
        </w:rPr>
      </w:pPr>
      <w:r>
        <w:rPr>
          <w:rFonts w:hint="eastAsia" w:ascii="宋体" w:hAnsi="宋体" w:cs="宋体"/>
          <w:b/>
          <w:sz w:val="28"/>
          <w:szCs w:val="20"/>
        </w:rPr>
        <w:t>中小企业声明函（工程、服务）</w:t>
      </w:r>
    </w:p>
    <w:p w14:paraId="6DF098F9">
      <w:pPr>
        <w:spacing w:line="360" w:lineRule="auto"/>
        <w:ind w:firstLine="420" w:firstLineChars="200"/>
        <w:jc w:val="center"/>
        <w:rPr>
          <w:rFonts w:hint="eastAsia" w:ascii="宋体" w:hAnsi="宋体" w:eastAsia="宋体" w:cs="宋体"/>
          <w:sz w:val="21"/>
          <w:szCs w:val="21"/>
        </w:rPr>
      </w:pPr>
      <w:r>
        <w:rPr>
          <w:rFonts w:hint="eastAsia" w:ascii="宋体" w:hAnsi="宋体" w:eastAsia="宋体" w:cs="宋体"/>
          <w:sz w:val="21"/>
          <w:szCs w:val="21"/>
        </w:rPr>
        <w:t>（不属于中小微企业的无需提供此项内容）</w:t>
      </w:r>
    </w:p>
    <w:p w14:paraId="4BCE7F3D">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本公司（联合体）郑重声明，根据《政府采购促进中小企业发展管理办法》（财库﹝2020﹞46 号）的规定，本公司（联合体）参加</w:t>
      </w:r>
      <w:r>
        <w:rPr>
          <w:rFonts w:hint="eastAsia" w:ascii="宋体" w:hAnsi="宋体" w:eastAsia="宋体" w:cs="宋体"/>
          <w:sz w:val="21"/>
          <w:szCs w:val="21"/>
          <w:u w:val="single"/>
        </w:rPr>
        <w:t xml:space="preserve"> （单位名称） </w:t>
      </w:r>
      <w:r>
        <w:rPr>
          <w:rFonts w:hint="eastAsia" w:ascii="宋体" w:hAnsi="宋体" w:eastAsia="宋体" w:cs="宋体"/>
          <w:sz w:val="21"/>
          <w:szCs w:val="21"/>
        </w:rPr>
        <w:t>的</w:t>
      </w:r>
      <w:r>
        <w:rPr>
          <w:rFonts w:hint="eastAsia" w:ascii="宋体" w:hAnsi="宋体" w:eastAsia="宋体" w:cs="宋体"/>
          <w:sz w:val="21"/>
          <w:szCs w:val="21"/>
          <w:u w:val="single"/>
        </w:rPr>
        <w:t xml:space="preserve"> （项目名称） </w:t>
      </w:r>
      <w:r>
        <w:rPr>
          <w:rFonts w:hint="eastAsia" w:ascii="宋体" w:hAnsi="宋体" w:eastAsia="宋体" w:cs="宋体"/>
          <w:sz w:val="21"/>
          <w:szCs w:val="21"/>
        </w:rPr>
        <w:t>采购活动，工程的施工单位全部为符合政策要求的中小企业（或者：服务全部由符合政策要求的中小企业承接）。相关企业（含联合体中的中小企业、签订分包意向协议的中小企业）的具体情况如下：</w:t>
      </w:r>
    </w:p>
    <w:p w14:paraId="47FB3A64">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1.</w:t>
      </w:r>
      <w:r>
        <w:rPr>
          <w:rFonts w:hint="eastAsia" w:ascii="宋体" w:hAnsi="宋体" w:eastAsia="宋体" w:cs="宋体"/>
          <w:sz w:val="21"/>
          <w:szCs w:val="21"/>
          <w:u w:val="single"/>
        </w:rPr>
        <w:t xml:space="preserve">（标的名称） </w:t>
      </w:r>
      <w:r>
        <w:rPr>
          <w:rFonts w:hint="eastAsia" w:ascii="宋体" w:hAnsi="宋体" w:eastAsia="宋体" w:cs="宋体"/>
          <w:sz w:val="21"/>
          <w:szCs w:val="21"/>
        </w:rPr>
        <w:t>，属于</w:t>
      </w:r>
      <w:r>
        <w:rPr>
          <w:rFonts w:hint="eastAsia" w:ascii="宋体" w:hAnsi="宋体" w:eastAsia="宋体" w:cs="宋体"/>
          <w:sz w:val="21"/>
          <w:szCs w:val="21"/>
          <w:u w:val="single"/>
        </w:rPr>
        <w:t xml:space="preserve"> （采购文件中明确的所属行业）</w:t>
      </w:r>
      <w:r>
        <w:rPr>
          <w:rFonts w:hint="eastAsia" w:ascii="宋体" w:hAnsi="宋体" w:eastAsia="宋体" w:cs="宋体"/>
          <w:sz w:val="21"/>
          <w:szCs w:val="21"/>
        </w:rPr>
        <w:t xml:space="preserve"> ；承建（承接）企业为</w:t>
      </w:r>
      <w:r>
        <w:rPr>
          <w:rFonts w:hint="eastAsia" w:ascii="宋体" w:hAnsi="宋体" w:eastAsia="宋体" w:cs="宋体"/>
          <w:sz w:val="21"/>
          <w:szCs w:val="21"/>
          <w:u w:val="single"/>
        </w:rPr>
        <w:t xml:space="preserve"> （企业名称） </w:t>
      </w:r>
      <w:r>
        <w:rPr>
          <w:rFonts w:hint="eastAsia" w:ascii="宋体" w:hAnsi="宋体" w:eastAsia="宋体" w:cs="宋体"/>
          <w:sz w:val="21"/>
          <w:szCs w:val="21"/>
        </w:rPr>
        <w:t>，从业人员</w:t>
      </w:r>
      <w:r>
        <w:rPr>
          <w:rFonts w:hint="eastAsia" w:ascii="宋体" w:hAnsi="宋体" w:eastAsia="宋体" w:cs="宋体"/>
          <w:sz w:val="21"/>
          <w:szCs w:val="21"/>
          <w:u w:val="single"/>
        </w:rPr>
        <w:t xml:space="preserve">     </w:t>
      </w:r>
      <w:r>
        <w:rPr>
          <w:rFonts w:hint="eastAsia" w:ascii="宋体" w:hAnsi="宋体" w:eastAsia="宋体" w:cs="宋体"/>
          <w:sz w:val="21"/>
          <w:szCs w:val="21"/>
        </w:rPr>
        <w:t>人，营业收入为</w:t>
      </w:r>
      <w:r>
        <w:rPr>
          <w:rFonts w:hint="eastAsia" w:ascii="宋体" w:hAnsi="宋体" w:eastAsia="宋体" w:cs="宋体"/>
          <w:sz w:val="21"/>
          <w:szCs w:val="21"/>
          <w:u w:val="single"/>
        </w:rPr>
        <w:t xml:space="preserve">     </w:t>
      </w:r>
      <w:r>
        <w:rPr>
          <w:rFonts w:hint="eastAsia" w:ascii="宋体" w:hAnsi="宋体" w:eastAsia="宋体" w:cs="宋体"/>
          <w:sz w:val="21"/>
          <w:szCs w:val="21"/>
        </w:rPr>
        <w:t>万元，资产总额为</w:t>
      </w:r>
      <w:r>
        <w:rPr>
          <w:rFonts w:hint="eastAsia" w:ascii="宋体" w:hAnsi="宋体" w:eastAsia="宋体" w:cs="宋体"/>
          <w:sz w:val="21"/>
          <w:szCs w:val="21"/>
          <w:u w:val="single"/>
        </w:rPr>
        <w:t xml:space="preserve">     </w:t>
      </w:r>
      <w:r>
        <w:rPr>
          <w:rFonts w:hint="eastAsia" w:ascii="宋体" w:hAnsi="宋体" w:eastAsia="宋体" w:cs="宋体"/>
          <w:sz w:val="21"/>
          <w:szCs w:val="21"/>
        </w:rPr>
        <w:t>万元，属于</w:t>
      </w:r>
      <w:r>
        <w:rPr>
          <w:rFonts w:hint="eastAsia" w:ascii="宋体" w:hAnsi="宋体" w:eastAsia="宋体" w:cs="宋体"/>
          <w:sz w:val="21"/>
          <w:szCs w:val="21"/>
          <w:u w:val="single"/>
        </w:rPr>
        <w:t xml:space="preserve"> （中型企业、小型企业、微型企业）</w:t>
      </w:r>
      <w:r>
        <w:rPr>
          <w:rFonts w:hint="eastAsia" w:ascii="宋体" w:hAnsi="宋体" w:eastAsia="宋体" w:cs="宋体"/>
          <w:sz w:val="21"/>
          <w:szCs w:val="21"/>
        </w:rPr>
        <w:t xml:space="preserve"> ；</w:t>
      </w:r>
    </w:p>
    <w:p w14:paraId="519DF405">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2.</w:t>
      </w:r>
      <w:r>
        <w:rPr>
          <w:rFonts w:hint="eastAsia" w:ascii="宋体" w:hAnsi="宋体" w:eastAsia="宋体" w:cs="宋体"/>
          <w:sz w:val="21"/>
          <w:szCs w:val="21"/>
          <w:u w:val="single"/>
        </w:rPr>
        <w:t xml:space="preserve"> （标的名称） </w:t>
      </w:r>
      <w:r>
        <w:rPr>
          <w:rFonts w:hint="eastAsia" w:ascii="宋体" w:hAnsi="宋体" w:eastAsia="宋体" w:cs="宋体"/>
          <w:sz w:val="21"/>
          <w:szCs w:val="21"/>
        </w:rPr>
        <w:t>，属于</w:t>
      </w:r>
      <w:r>
        <w:rPr>
          <w:rFonts w:hint="eastAsia" w:ascii="宋体" w:hAnsi="宋体" w:eastAsia="宋体" w:cs="宋体"/>
          <w:sz w:val="21"/>
          <w:szCs w:val="21"/>
          <w:u w:val="single"/>
        </w:rPr>
        <w:t xml:space="preserve"> （采购文件中明确的所属行业）</w:t>
      </w:r>
      <w:r>
        <w:rPr>
          <w:rFonts w:hint="eastAsia" w:ascii="宋体" w:hAnsi="宋体" w:eastAsia="宋体" w:cs="宋体"/>
          <w:sz w:val="21"/>
          <w:szCs w:val="21"/>
        </w:rPr>
        <w:t xml:space="preserve"> ；承建（承接）企业为</w:t>
      </w:r>
      <w:r>
        <w:rPr>
          <w:rFonts w:hint="eastAsia" w:ascii="宋体" w:hAnsi="宋体" w:eastAsia="宋体" w:cs="宋体"/>
          <w:sz w:val="21"/>
          <w:szCs w:val="21"/>
          <w:u w:val="single"/>
        </w:rPr>
        <w:t xml:space="preserve"> （企业名称）</w:t>
      </w:r>
      <w:r>
        <w:rPr>
          <w:rFonts w:hint="eastAsia" w:ascii="宋体" w:hAnsi="宋体" w:eastAsia="宋体" w:cs="宋体"/>
          <w:sz w:val="21"/>
          <w:szCs w:val="21"/>
        </w:rPr>
        <w:t xml:space="preserve"> ，从业人员</w:t>
      </w:r>
      <w:r>
        <w:rPr>
          <w:rFonts w:hint="eastAsia" w:ascii="宋体" w:hAnsi="宋体" w:eastAsia="宋体" w:cs="宋体"/>
          <w:sz w:val="21"/>
          <w:szCs w:val="21"/>
          <w:u w:val="single"/>
        </w:rPr>
        <w:t xml:space="preserve">     </w:t>
      </w:r>
      <w:r>
        <w:rPr>
          <w:rFonts w:hint="eastAsia" w:ascii="宋体" w:hAnsi="宋体" w:eastAsia="宋体" w:cs="宋体"/>
          <w:sz w:val="21"/>
          <w:szCs w:val="21"/>
        </w:rPr>
        <w:t>人，营业收入为</w:t>
      </w:r>
      <w:r>
        <w:rPr>
          <w:rFonts w:hint="eastAsia" w:ascii="宋体" w:hAnsi="宋体" w:eastAsia="宋体" w:cs="宋体"/>
          <w:sz w:val="21"/>
          <w:szCs w:val="21"/>
          <w:u w:val="single"/>
        </w:rPr>
        <w:t xml:space="preserve">     </w:t>
      </w:r>
      <w:r>
        <w:rPr>
          <w:rFonts w:hint="eastAsia" w:ascii="宋体" w:hAnsi="宋体" w:eastAsia="宋体" w:cs="宋体"/>
          <w:sz w:val="21"/>
          <w:szCs w:val="21"/>
        </w:rPr>
        <w:t>万元，资产总额为</w:t>
      </w:r>
      <w:r>
        <w:rPr>
          <w:rFonts w:hint="eastAsia" w:ascii="宋体" w:hAnsi="宋体" w:eastAsia="宋体" w:cs="宋体"/>
          <w:sz w:val="21"/>
          <w:szCs w:val="21"/>
          <w:u w:val="single"/>
        </w:rPr>
        <w:t xml:space="preserve">     </w:t>
      </w:r>
      <w:r>
        <w:rPr>
          <w:rFonts w:hint="eastAsia" w:ascii="宋体" w:hAnsi="宋体" w:eastAsia="宋体" w:cs="宋体"/>
          <w:sz w:val="21"/>
          <w:szCs w:val="21"/>
        </w:rPr>
        <w:t>万元，属于</w:t>
      </w:r>
      <w:r>
        <w:rPr>
          <w:rFonts w:hint="eastAsia" w:ascii="宋体" w:hAnsi="宋体" w:eastAsia="宋体" w:cs="宋体"/>
          <w:sz w:val="21"/>
          <w:szCs w:val="21"/>
          <w:u w:val="single"/>
        </w:rPr>
        <w:t xml:space="preserve"> （中型企业、小型企业、微型企业）</w:t>
      </w:r>
      <w:r>
        <w:rPr>
          <w:rFonts w:hint="eastAsia" w:ascii="宋体" w:hAnsi="宋体" w:eastAsia="宋体" w:cs="宋体"/>
          <w:sz w:val="21"/>
          <w:szCs w:val="21"/>
        </w:rPr>
        <w:t xml:space="preserve"> ；</w:t>
      </w:r>
    </w:p>
    <w:p w14:paraId="2A2AEAD0">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w:t>
      </w:r>
    </w:p>
    <w:p w14:paraId="2E4CD8C3">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以上企业，不属于大企业的分支机构，不存在控股股东为大企业的情形，也不存在与大企业的负责人为同一人的情形。</w:t>
      </w:r>
    </w:p>
    <w:p w14:paraId="44F11B83">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本企业对上述声明内容的真实性负责。如有虚假，将依法承担相应责任。</w:t>
      </w:r>
    </w:p>
    <w:p w14:paraId="3FE7E688">
      <w:pPr>
        <w:pStyle w:val="30"/>
        <w:spacing w:line="360" w:lineRule="auto"/>
        <w:ind w:left="480" w:firstLine="210"/>
        <w:rPr>
          <w:rFonts w:hint="eastAsia" w:ascii="宋体" w:hAnsi="宋体" w:eastAsia="宋体" w:cs="宋体"/>
          <w:szCs w:val="21"/>
        </w:rPr>
      </w:pPr>
    </w:p>
    <w:p w14:paraId="624175CA">
      <w:pPr>
        <w:pStyle w:val="30"/>
        <w:spacing w:line="360" w:lineRule="auto"/>
        <w:ind w:left="480" w:firstLine="210"/>
        <w:rPr>
          <w:rFonts w:hint="eastAsia" w:ascii="宋体" w:hAnsi="宋体" w:eastAsia="宋体" w:cs="宋体"/>
          <w:szCs w:val="21"/>
        </w:rPr>
      </w:pPr>
    </w:p>
    <w:p w14:paraId="51FE1D91">
      <w:pPr>
        <w:spacing w:line="360" w:lineRule="auto"/>
        <w:ind w:right="1680" w:firstLine="420" w:firstLineChars="200"/>
        <w:rPr>
          <w:rFonts w:hint="eastAsia" w:ascii="宋体" w:hAnsi="宋体" w:eastAsia="宋体" w:cs="宋体"/>
          <w:sz w:val="21"/>
          <w:szCs w:val="21"/>
        </w:rPr>
      </w:pPr>
      <w:r>
        <w:rPr>
          <w:rFonts w:hint="eastAsia" w:ascii="宋体" w:hAnsi="宋体" w:eastAsia="宋体" w:cs="宋体"/>
          <w:sz w:val="21"/>
          <w:szCs w:val="21"/>
        </w:rPr>
        <w:t>企业名称（盖章）：</w:t>
      </w:r>
    </w:p>
    <w:p w14:paraId="7F75FE96">
      <w:pPr>
        <w:pStyle w:val="30"/>
        <w:spacing w:line="360" w:lineRule="auto"/>
        <w:ind w:left="480" w:firstLine="210"/>
        <w:rPr>
          <w:rFonts w:hint="eastAsia" w:ascii="宋体" w:hAnsi="宋体" w:eastAsia="宋体" w:cs="宋体"/>
          <w:szCs w:val="21"/>
        </w:rPr>
      </w:pPr>
    </w:p>
    <w:p w14:paraId="375F9064">
      <w:pPr>
        <w:spacing w:line="360" w:lineRule="auto"/>
        <w:ind w:right="840"/>
        <w:jc w:val="right"/>
        <w:rPr>
          <w:rFonts w:hint="eastAsia" w:ascii="宋体" w:hAnsi="宋体" w:eastAsia="宋体" w:cs="宋体"/>
          <w:b/>
          <w:spacing w:val="6"/>
          <w:sz w:val="21"/>
          <w:szCs w:val="21"/>
        </w:rPr>
      </w:pPr>
      <w:r>
        <w:rPr>
          <w:rFonts w:hint="eastAsia" w:ascii="宋体" w:hAnsi="宋体" w:eastAsia="宋体" w:cs="宋体"/>
          <w:sz w:val="21"/>
          <w:szCs w:val="21"/>
        </w:rPr>
        <w:t>日 期：</w:t>
      </w:r>
    </w:p>
    <w:p w14:paraId="5429174E">
      <w:pPr>
        <w:pStyle w:val="86"/>
        <w:spacing w:line="432" w:lineRule="auto"/>
        <w:rPr>
          <w:rFonts w:hint="eastAsia" w:ascii="宋体" w:hAnsi="宋体" w:cs="宋体"/>
          <w:b/>
          <w:spacing w:val="6"/>
          <w:sz w:val="21"/>
          <w:szCs w:val="21"/>
        </w:rPr>
      </w:pPr>
      <w:r>
        <w:rPr>
          <w:rStyle w:val="85"/>
          <w:rFonts w:hint="eastAsia" w:ascii="宋体" w:hAnsi="宋体" w:cs="宋体"/>
          <w:sz w:val="28"/>
          <w:szCs w:val="28"/>
        </w:rPr>
        <w:br w:type="page"/>
      </w:r>
      <w:r>
        <w:rPr>
          <w:rFonts w:hint="eastAsia" w:ascii="宋体" w:hAnsi="宋体" w:cs="宋体"/>
          <w:b/>
          <w:spacing w:val="6"/>
          <w:sz w:val="21"/>
          <w:szCs w:val="21"/>
        </w:rPr>
        <w:t>附件4：（投标文件/响应文件无需附此项内容）</w:t>
      </w:r>
    </w:p>
    <w:p w14:paraId="3C966272">
      <w:pPr>
        <w:pStyle w:val="86"/>
        <w:spacing w:line="440" w:lineRule="exact"/>
        <w:ind w:left="480"/>
        <w:jc w:val="center"/>
        <w:rPr>
          <w:rFonts w:hint="eastAsia" w:ascii="宋体" w:hAnsi="宋体" w:cs="宋体"/>
          <w:b/>
          <w:sz w:val="28"/>
          <w:szCs w:val="20"/>
        </w:rPr>
      </w:pPr>
      <w:r>
        <w:rPr>
          <w:rFonts w:hint="eastAsia" w:ascii="宋体" w:hAnsi="宋体" w:cs="宋体"/>
          <w:b/>
          <w:sz w:val="28"/>
          <w:szCs w:val="20"/>
        </w:rPr>
        <w:t>河南省政府采购合同融资政策告知函</w:t>
      </w:r>
    </w:p>
    <w:p w14:paraId="7A98B8DB">
      <w:pPr>
        <w:pStyle w:val="86"/>
        <w:spacing w:line="480" w:lineRule="auto"/>
        <w:ind w:left="480"/>
        <w:rPr>
          <w:rFonts w:hint="eastAsia" w:ascii="宋体" w:hAnsi="宋体" w:cs="宋体"/>
          <w:b/>
          <w:sz w:val="21"/>
          <w:szCs w:val="21"/>
        </w:rPr>
      </w:pPr>
      <w:r>
        <w:rPr>
          <w:rFonts w:hint="eastAsia" w:ascii="宋体" w:hAnsi="宋体" w:cs="宋体"/>
          <w:b/>
          <w:sz w:val="21"/>
          <w:szCs w:val="21"/>
        </w:rPr>
        <w:t>各供应商：</w:t>
      </w:r>
    </w:p>
    <w:p w14:paraId="7B4FC0DF">
      <w:pPr>
        <w:pStyle w:val="86"/>
        <w:spacing w:line="480" w:lineRule="auto"/>
        <w:ind w:left="480" w:firstLine="420" w:firstLineChars="200"/>
        <w:rPr>
          <w:rFonts w:hint="eastAsia" w:ascii="宋体" w:hAnsi="宋体" w:cs="宋体"/>
          <w:sz w:val="21"/>
          <w:szCs w:val="21"/>
        </w:rPr>
      </w:pPr>
      <w:r>
        <w:rPr>
          <w:rFonts w:hint="eastAsia" w:ascii="宋体" w:hAnsi="宋体" w:cs="宋体"/>
          <w:sz w:val="21"/>
          <w:szCs w:val="21"/>
        </w:rPr>
        <w:t>欢迎贵公司参与河南省政府采购活动！</w:t>
      </w:r>
    </w:p>
    <w:p w14:paraId="5B156066">
      <w:pPr>
        <w:pStyle w:val="86"/>
        <w:spacing w:line="480" w:lineRule="auto"/>
        <w:ind w:left="480" w:firstLine="420" w:firstLineChars="200"/>
        <w:rPr>
          <w:rFonts w:hint="eastAsia" w:ascii="宋体" w:hAnsi="宋体" w:cs="宋体"/>
          <w:sz w:val="21"/>
          <w:szCs w:val="21"/>
        </w:rPr>
      </w:pPr>
      <w:r>
        <w:rPr>
          <w:rFonts w:hint="eastAsia" w:ascii="宋体" w:hAnsi="宋体" w:cs="宋体"/>
          <w:sz w:val="21"/>
          <w:szCs w:val="21"/>
        </w:rPr>
        <w:t>政府采购合同融资是河南省财政厅支持中小微企业发展，针对参与政府采购活动的供应商融资难、融资贵问题推出的一项融资政策。贵公司若成为本次政府采购项目的中标成交供应商，可持政府采购合同向金融机构申请贷款，无需抵押、担保，融资机构将根据《河南省政府采购合同融资工作实施方案》（豫财购［2017]10号），按照双方自愿的原则提供便捷、优惠的贷款服务。</w:t>
      </w:r>
    </w:p>
    <w:p w14:paraId="230644BF">
      <w:pPr>
        <w:pStyle w:val="86"/>
        <w:spacing w:line="480" w:lineRule="auto"/>
        <w:ind w:left="480" w:firstLine="420" w:firstLineChars="200"/>
        <w:rPr>
          <w:rFonts w:hint="eastAsia" w:ascii="宋体" w:hAnsi="宋体" w:cs="宋体"/>
          <w:sz w:val="21"/>
          <w:szCs w:val="21"/>
        </w:rPr>
      </w:pPr>
      <w:r>
        <w:rPr>
          <w:rFonts w:hint="eastAsia" w:ascii="宋体" w:hAnsi="宋体" w:cs="宋体"/>
          <w:sz w:val="21"/>
          <w:szCs w:val="21"/>
        </w:rPr>
        <w:t>贷款渠道和提供贷款的金融机构，可在河南省政府采购网“河南省政府采购合同融资平台”查询联系。</w:t>
      </w:r>
    </w:p>
    <w:p w14:paraId="20874E86">
      <w:pPr>
        <w:widowControl/>
        <w:jc w:val="left"/>
        <w:rPr>
          <w:rFonts w:hint="eastAsia" w:ascii="宋体" w:hAnsi="宋体" w:eastAsia="宋体" w:cs="宋体"/>
          <w:b/>
          <w:spacing w:val="6"/>
          <w:kern w:val="0"/>
          <w:sz w:val="21"/>
          <w:szCs w:val="21"/>
        </w:rPr>
      </w:pPr>
      <w:r>
        <w:rPr>
          <w:rFonts w:hint="eastAsia" w:ascii="宋体" w:hAnsi="宋体" w:eastAsia="宋体" w:cs="宋体"/>
          <w:b/>
          <w:spacing w:val="6"/>
          <w:kern w:val="0"/>
          <w:sz w:val="21"/>
          <w:szCs w:val="21"/>
        </w:rPr>
        <w:br w:type="page"/>
      </w:r>
    </w:p>
    <w:p w14:paraId="2C54E546">
      <w:pPr>
        <w:spacing w:line="312" w:lineRule="auto"/>
        <w:rPr>
          <w:rFonts w:hint="eastAsia" w:ascii="宋体" w:hAnsi="宋体" w:eastAsia="宋体" w:cs="宋体"/>
          <w:b/>
          <w:spacing w:val="6"/>
          <w:kern w:val="0"/>
          <w:sz w:val="21"/>
          <w:szCs w:val="21"/>
        </w:rPr>
      </w:pPr>
      <w:r>
        <w:rPr>
          <w:rFonts w:hint="eastAsia" w:ascii="宋体" w:hAnsi="宋体" w:eastAsia="宋体" w:cs="宋体"/>
          <w:b/>
          <w:spacing w:val="6"/>
          <w:kern w:val="0"/>
          <w:sz w:val="21"/>
          <w:szCs w:val="21"/>
        </w:rPr>
        <w:t>附件5：</w:t>
      </w:r>
      <w:r>
        <w:rPr>
          <w:rFonts w:hint="eastAsia" w:ascii="宋体" w:hAnsi="宋体" w:cs="宋体"/>
          <w:b/>
          <w:spacing w:val="6"/>
          <w:sz w:val="21"/>
          <w:szCs w:val="21"/>
        </w:rPr>
        <w:t>（投标文件/响应文件无需附此项内容）</w:t>
      </w:r>
    </w:p>
    <w:p w14:paraId="6441CF4E">
      <w:pPr>
        <w:widowControl/>
        <w:spacing w:line="360" w:lineRule="auto"/>
        <w:ind w:firstLine="420" w:firstLineChars="200"/>
        <w:jc w:val="center"/>
        <w:rPr>
          <w:rFonts w:hint="eastAsia" w:ascii="宋体" w:hAnsi="宋体" w:eastAsia="宋体" w:cs="宋体"/>
          <w:kern w:val="0"/>
          <w:sz w:val="21"/>
          <w:szCs w:val="21"/>
        </w:rPr>
      </w:pPr>
      <w:bookmarkStart w:id="428" w:name="_Toc27946"/>
      <w:r>
        <w:rPr>
          <w:rFonts w:hint="eastAsia" w:ascii="宋体" w:hAnsi="宋体" w:eastAsia="宋体" w:cs="宋体"/>
          <w:kern w:val="0"/>
          <w:sz w:val="21"/>
          <w:szCs w:val="21"/>
        </w:rPr>
        <w:t>工信部联企业〔</w:t>
      </w:r>
      <w:bookmarkEnd w:id="428"/>
      <w:r>
        <w:rPr>
          <w:rFonts w:hint="eastAsia" w:ascii="宋体" w:hAnsi="宋体" w:eastAsia="宋体" w:cs="宋体"/>
          <w:kern w:val="0"/>
          <w:sz w:val="21"/>
          <w:szCs w:val="21"/>
        </w:rPr>
        <w:t>2011〕300号</w:t>
      </w:r>
    </w:p>
    <w:p w14:paraId="6B8CF800">
      <w:pPr>
        <w:widowControl/>
        <w:spacing w:line="360" w:lineRule="auto"/>
        <w:ind w:firstLine="420" w:firstLineChars="200"/>
        <w:jc w:val="left"/>
        <w:rPr>
          <w:rFonts w:hint="eastAsia" w:ascii="宋体" w:hAnsi="宋体" w:eastAsia="宋体" w:cs="宋体"/>
          <w:kern w:val="0"/>
          <w:sz w:val="21"/>
          <w:szCs w:val="21"/>
        </w:rPr>
      </w:pPr>
      <w:r>
        <w:rPr>
          <w:rFonts w:hint="eastAsia" w:ascii="宋体" w:hAnsi="宋体" w:eastAsia="宋体" w:cs="宋体"/>
          <w:kern w:val="0"/>
          <w:sz w:val="21"/>
          <w:szCs w:val="21"/>
        </w:rPr>
        <w:t>各省、自治区、直辖市人民政府，国务院各部委、各直属机构及有关单位：</w:t>
      </w:r>
    </w:p>
    <w:p w14:paraId="62E5A9B9">
      <w:pPr>
        <w:widowControl/>
        <w:spacing w:line="360" w:lineRule="auto"/>
        <w:ind w:firstLine="420" w:firstLineChars="200"/>
        <w:jc w:val="left"/>
        <w:rPr>
          <w:rFonts w:hint="eastAsia" w:ascii="宋体" w:hAnsi="宋体" w:eastAsia="宋体" w:cs="宋体"/>
          <w:kern w:val="0"/>
          <w:sz w:val="21"/>
          <w:szCs w:val="21"/>
        </w:rPr>
      </w:pPr>
      <w:r>
        <w:rPr>
          <w:rFonts w:hint="eastAsia" w:ascii="宋体" w:hAnsi="宋体" w:eastAsia="宋体" w:cs="宋体"/>
          <w:kern w:val="0"/>
          <w:sz w:val="21"/>
          <w:szCs w:val="21"/>
        </w:rPr>
        <w:t>为贯彻落实《中华人民共和国中小企业促进法》和《国务院关于进一步促进中小企业发展的若干意见》（国发〔2009〕36号），工业和信息化部、国家统计局、发展改革委、财政部研究制定了《中小企业划型标准规定》。经国务院同意，现印发给你们，请遵照执行。</w:t>
      </w:r>
    </w:p>
    <w:p w14:paraId="35102D35">
      <w:pPr>
        <w:widowControl/>
        <w:spacing w:line="360" w:lineRule="auto"/>
        <w:ind w:firstLine="420" w:firstLineChars="200"/>
        <w:jc w:val="right"/>
        <w:rPr>
          <w:rFonts w:hint="eastAsia" w:ascii="宋体" w:hAnsi="宋体" w:eastAsia="宋体" w:cs="宋体"/>
          <w:kern w:val="0"/>
          <w:sz w:val="21"/>
          <w:szCs w:val="21"/>
        </w:rPr>
      </w:pPr>
      <w:r>
        <w:rPr>
          <w:rFonts w:hint="eastAsia" w:ascii="宋体" w:hAnsi="宋体" w:eastAsia="宋体" w:cs="宋体"/>
          <w:kern w:val="0"/>
          <w:sz w:val="21"/>
          <w:szCs w:val="21"/>
        </w:rPr>
        <w:t>工业和信息化部</w:t>
      </w:r>
    </w:p>
    <w:p w14:paraId="6BD19B39">
      <w:pPr>
        <w:widowControl/>
        <w:spacing w:line="360" w:lineRule="auto"/>
        <w:ind w:firstLine="420" w:firstLineChars="200"/>
        <w:jc w:val="right"/>
        <w:rPr>
          <w:rFonts w:hint="eastAsia" w:ascii="宋体" w:hAnsi="宋体" w:eastAsia="宋体" w:cs="宋体"/>
          <w:kern w:val="0"/>
          <w:sz w:val="21"/>
          <w:szCs w:val="21"/>
        </w:rPr>
      </w:pPr>
      <w:r>
        <w:rPr>
          <w:rFonts w:hint="eastAsia" w:ascii="宋体" w:hAnsi="宋体" w:eastAsia="宋体" w:cs="宋体"/>
          <w:kern w:val="0"/>
          <w:sz w:val="21"/>
          <w:szCs w:val="21"/>
        </w:rPr>
        <w:t>国家统计局</w:t>
      </w:r>
    </w:p>
    <w:p w14:paraId="7A338518">
      <w:pPr>
        <w:widowControl/>
        <w:spacing w:line="360" w:lineRule="auto"/>
        <w:ind w:firstLine="420" w:firstLineChars="200"/>
        <w:jc w:val="right"/>
        <w:rPr>
          <w:rFonts w:hint="eastAsia" w:ascii="宋体" w:hAnsi="宋体" w:eastAsia="宋体" w:cs="宋体"/>
          <w:kern w:val="0"/>
          <w:sz w:val="21"/>
          <w:szCs w:val="21"/>
        </w:rPr>
      </w:pPr>
      <w:r>
        <w:rPr>
          <w:rFonts w:hint="eastAsia" w:ascii="宋体" w:hAnsi="宋体" w:eastAsia="宋体" w:cs="宋体"/>
          <w:kern w:val="0"/>
          <w:sz w:val="21"/>
          <w:szCs w:val="21"/>
        </w:rPr>
        <w:t>国家发展和改革委员会</w:t>
      </w:r>
    </w:p>
    <w:p w14:paraId="76E97115">
      <w:pPr>
        <w:widowControl/>
        <w:spacing w:line="360" w:lineRule="auto"/>
        <w:ind w:firstLine="420" w:firstLineChars="200"/>
        <w:jc w:val="right"/>
        <w:rPr>
          <w:rFonts w:hint="eastAsia" w:ascii="宋体" w:hAnsi="宋体" w:eastAsia="宋体" w:cs="宋体"/>
          <w:kern w:val="0"/>
          <w:sz w:val="21"/>
          <w:szCs w:val="21"/>
        </w:rPr>
      </w:pPr>
      <w:r>
        <w:rPr>
          <w:rFonts w:hint="eastAsia" w:ascii="宋体" w:hAnsi="宋体" w:eastAsia="宋体" w:cs="宋体"/>
          <w:kern w:val="0"/>
          <w:sz w:val="21"/>
          <w:szCs w:val="21"/>
        </w:rPr>
        <w:t>财政部</w:t>
      </w:r>
    </w:p>
    <w:p w14:paraId="5DFCA531">
      <w:pPr>
        <w:widowControl/>
        <w:spacing w:line="360" w:lineRule="auto"/>
        <w:ind w:firstLine="420" w:firstLineChars="200"/>
        <w:jc w:val="right"/>
        <w:rPr>
          <w:rFonts w:hint="eastAsia" w:ascii="宋体" w:hAnsi="宋体" w:eastAsia="宋体" w:cs="宋体"/>
          <w:kern w:val="0"/>
          <w:sz w:val="21"/>
          <w:szCs w:val="21"/>
        </w:rPr>
      </w:pPr>
      <w:r>
        <w:rPr>
          <w:rFonts w:hint="eastAsia" w:ascii="宋体" w:hAnsi="宋体" w:eastAsia="宋体" w:cs="宋体"/>
          <w:kern w:val="0"/>
          <w:sz w:val="21"/>
          <w:szCs w:val="21"/>
        </w:rPr>
        <w:t>二○一一年六月十八日</w:t>
      </w:r>
      <w:bookmarkStart w:id="429" w:name="_Toc13328"/>
      <w:bookmarkEnd w:id="429"/>
      <w:bookmarkStart w:id="430" w:name="_Toc19819"/>
      <w:bookmarkEnd w:id="430"/>
      <w:bookmarkStart w:id="431" w:name="_Toc4126"/>
      <w:bookmarkEnd w:id="431"/>
      <w:r>
        <w:rPr>
          <w:rFonts w:hint="eastAsia" w:ascii="宋体" w:hAnsi="宋体" w:eastAsia="宋体" w:cs="宋体"/>
          <w:kern w:val="0"/>
          <w:sz w:val="21"/>
          <w:szCs w:val="21"/>
        </w:rPr>
        <w:t> </w:t>
      </w:r>
    </w:p>
    <w:p w14:paraId="62279055">
      <w:pPr>
        <w:widowControl/>
        <w:spacing w:line="360" w:lineRule="auto"/>
        <w:ind w:firstLine="420" w:firstLineChars="200"/>
        <w:jc w:val="center"/>
        <w:rPr>
          <w:rFonts w:hint="eastAsia" w:ascii="宋体" w:hAnsi="宋体" w:eastAsia="宋体" w:cs="宋体"/>
          <w:kern w:val="0"/>
          <w:sz w:val="21"/>
          <w:szCs w:val="21"/>
        </w:rPr>
      </w:pPr>
      <w:bookmarkStart w:id="432" w:name="_Toc6557"/>
      <w:r>
        <w:rPr>
          <w:rFonts w:hint="eastAsia" w:ascii="宋体" w:hAnsi="宋体" w:eastAsia="宋体" w:cs="宋体"/>
          <w:kern w:val="0"/>
          <w:sz w:val="21"/>
          <w:szCs w:val="21"/>
        </w:rPr>
        <w:t>中小企业划型标准规定</w:t>
      </w:r>
      <w:bookmarkEnd w:id="432"/>
    </w:p>
    <w:p w14:paraId="7798F6F1">
      <w:pPr>
        <w:widowControl/>
        <w:spacing w:line="360" w:lineRule="auto"/>
        <w:ind w:firstLine="420" w:firstLineChars="200"/>
        <w:jc w:val="left"/>
        <w:rPr>
          <w:rFonts w:hint="eastAsia" w:ascii="宋体" w:hAnsi="宋体" w:eastAsia="宋体" w:cs="宋体"/>
          <w:kern w:val="0"/>
          <w:sz w:val="21"/>
          <w:szCs w:val="21"/>
        </w:rPr>
      </w:pPr>
      <w:r>
        <w:rPr>
          <w:rFonts w:hint="eastAsia" w:ascii="宋体" w:hAnsi="宋体" w:eastAsia="宋体" w:cs="宋体"/>
          <w:kern w:val="0"/>
          <w:sz w:val="21"/>
          <w:szCs w:val="21"/>
        </w:rPr>
        <w:t> </w:t>
      </w:r>
    </w:p>
    <w:p w14:paraId="393270B7">
      <w:pPr>
        <w:widowControl/>
        <w:spacing w:line="360" w:lineRule="auto"/>
        <w:ind w:firstLine="420" w:firstLineChars="200"/>
        <w:jc w:val="left"/>
        <w:rPr>
          <w:rFonts w:hint="eastAsia" w:ascii="宋体" w:hAnsi="宋体" w:eastAsia="宋体" w:cs="宋体"/>
          <w:kern w:val="0"/>
          <w:sz w:val="21"/>
          <w:szCs w:val="21"/>
        </w:rPr>
      </w:pPr>
      <w:r>
        <w:rPr>
          <w:rFonts w:hint="eastAsia" w:ascii="宋体" w:hAnsi="宋体" w:eastAsia="宋体" w:cs="宋体"/>
          <w:kern w:val="0"/>
          <w:sz w:val="21"/>
          <w:szCs w:val="21"/>
        </w:rPr>
        <w:t>一、根据《中华人民共和国中小企业促进法》和《国务院关于进一步促进中小企业发展的若干意见》(国发〔2009〕36号)，制定本规定。</w:t>
      </w:r>
    </w:p>
    <w:p w14:paraId="044549E1">
      <w:pPr>
        <w:widowControl/>
        <w:spacing w:line="360" w:lineRule="auto"/>
        <w:ind w:firstLine="420" w:firstLineChars="200"/>
        <w:jc w:val="left"/>
        <w:rPr>
          <w:rFonts w:hint="eastAsia" w:ascii="宋体" w:hAnsi="宋体" w:eastAsia="宋体" w:cs="宋体"/>
          <w:kern w:val="0"/>
          <w:sz w:val="21"/>
          <w:szCs w:val="21"/>
        </w:rPr>
      </w:pPr>
      <w:r>
        <w:rPr>
          <w:rFonts w:hint="eastAsia" w:ascii="宋体" w:hAnsi="宋体" w:eastAsia="宋体" w:cs="宋体"/>
          <w:kern w:val="0"/>
          <w:sz w:val="21"/>
          <w:szCs w:val="21"/>
        </w:rPr>
        <w:t>二、中小企业划分为中型、小型、微型三种类型，具体标准根据企业从业人员、营业收入、资产总额等指标，结合行业特点制定。</w:t>
      </w:r>
    </w:p>
    <w:p w14:paraId="371D2E8C">
      <w:pPr>
        <w:widowControl/>
        <w:spacing w:line="360" w:lineRule="auto"/>
        <w:ind w:firstLine="420" w:firstLineChars="200"/>
        <w:jc w:val="left"/>
        <w:rPr>
          <w:rFonts w:hint="eastAsia" w:ascii="宋体" w:hAnsi="宋体" w:eastAsia="宋体" w:cs="宋体"/>
          <w:kern w:val="0"/>
          <w:sz w:val="21"/>
          <w:szCs w:val="21"/>
        </w:rPr>
      </w:pPr>
      <w:r>
        <w:rPr>
          <w:rFonts w:hint="eastAsia" w:ascii="宋体" w:hAnsi="宋体" w:eastAsia="宋体" w:cs="宋体"/>
          <w:kern w:val="0"/>
          <w:sz w:val="21"/>
          <w:szCs w:val="21"/>
        </w:rPr>
        <w:t>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p>
    <w:p w14:paraId="04158614">
      <w:pPr>
        <w:widowControl/>
        <w:spacing w:line="360" w:lineRule="auto"/>
        <w:ind w:firstLine="420" w:firstLineChars="200"/>
        <w:jc w:val="left"/>
        <w:rPr>
          <w:rFonts w:hint="eastAsia" w:ascii="宋体" w:hAnsi="宋体" w:eastAsia="宋体" w:cs="宋体"/>
          <w:kern w:val="0"/>
          <w:sz w:val="21"/>
          <w:szCs w:val="21"/>
        </w:rPr>
      </w:pPr>
      <w:r>
        <w:rPr>
          <w:rFonts w:hint="eastAsia" w:ascii="宋体" w:hAnsi="宋体" w:eastAsia="宋体" w:cs="宋体"/>
          <w:kern w:val="0"/>
          <w:sz w:val="21"/>
          <w:szCs w:val="21"/>
        </w:rPr>
        <w:t>四、各行业划型标准为：</w:t>
      </w:r>
    </w:p>
    <w:p w14:paraId="529C5FB5">
      <w:pPr>
        <w:widowControl/>
        <w:spacing w:line="360" w:lineRule="auto"/>
        <w:ind w:firstLine="420" w:firstLineChars="200"/>
        <w:jc w:val="left"/>
        <w:rPr>
          <w:rFonts w:hint="eastAsia" w:ascii="宋体" w:hAnsi="宋体" w:eastAsia="宋体" w:cs="宋体"/>
          <w:kern w:val="0"/>
          <w:sz w:val="21"/>
          <w:szCs w:val="21"/>
        </w:rPr>
      </w:pPr>
      <w:r>
        <w:rPr>
          <w:rFonts w:hint="eastAsia" w:ascii="宋体" w:hAnsi="宋体" w:eastAsia="宋体" w:cs="宋体"/>
          <w:kern w:val="0"/>
          <w:sz w:val="21"/>
          <w:szCs w:val="21"/>
        </w:rPr>
        <w:t>（一）农、林、牧、渔业。营业收入20000万元以下的为中小微型企业。其中，营业收入500万元及以上的为中型企业，营业收入50万元及以上的为小型企业，营业收入50万元以下的为微型企业。</w:t>
      </w:r>
    </w:p>
    <w:p w14:paraId="27DA2553">
      <w:pPr>
        <w:widowControl/>
        <w:spacing w:line="360" w:lineRule="auto"/>
        <w:ind w:firstLine="420" w:firstLineChars="200"/>
        <w:jc w:val="left"/>
        <w:rPr>
          <w:rFonts w:hint="eastAsia" w:ascii="宋体" w:hAnsi="宋体" w:eastAsia="宋体" w:cs="宋体"/>
          <w:kern w:val="0"/>
          <w:sz w:val="21"/>
          <w:szCs w:val="21"/>
        </w:rPr>
      </w:pPr>
      <w:r>
        <w:rPr>
          <w:rFonts w:hint="eastAsia" w:ascii="宋体" w:hAnsi="宋体" w:eastAsia="宋体" w:cs="宋体"/>
          <w:kern w:val="0"/>
          <w:sz w:val="21"/>
          <w:szCs w:val="21"/>
        </w:rPr>
        <w:t>（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057FEBC8">
      <w:pPr>
        <w:widowControl/>
        <w:spacing w:line="360" w:lineRule="auto"/>
        <w:ind w:firstLine="420" w:firstLineChars="200"/>
        <w:jc w:val="left"/>
        <w:rPr>
          <w:rFonts w:hint="eastAsia" w:ascii="宋体" w:hAnsi="宋体" w:eastAsia="宋体" w:cs="宋体"/>
          <w:kern w:val="0"/>
          <w:sz w:val="21"/>
          <w:szCs w:val="21"/>
        </w:rPr>
      </w:pPr>
      <w:r>
        <w:rPr>
          <w:rFonts w:hint="eastAsia" w:ascii="宋体" w:hAnsi="宋体" w:eastAsia="宋体" w:cs="宋体"/>
          <w:kern w:val="0"/>
          <w:sz w:val="21"/>
          <w:szCs w:val="21"/>
        </w:rPr>
        <w:t>（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14:paraId="21118568">
      <w:pPr>
        <w:widowControl/>
        <w:spacing w:line="360" w:lineRule="auto"/>
        <w:ind w:firstLine="420" w:firstLineChars="200"/>
        <w:jc w:val="left"/>
        <w:rPr>
          <w:rFonts w:hint="eastAsia" w:ascii="宋体" w:hAnsi="宋体" w:eastAsia="宋体" w:cs="宋体"/>
          <w:kern w:val="0"/>
          <w:sz w:val="21"/>
          <w:szCs w:val="21"/>
        </w:rPr>
      </w:pPr>
      <w:r>
        <w:rPr>
          <w:rFonts w:hint="eastAsia" w:ascii="宋体" w:hAnsi="宋体" w:eastAsia="宋体" w:cs="宋体"/>
          <w:kern w:val="0"/>
          <w:sz w:val="21"/>
          <w:szCs w:val="21"/>
        </w:rPr>
        <w:t>（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14:paraId="03608178">
      <w:pPr>
        <w:widowControl/>
        <w:spacing w:line="360" w:lineRule="auto"/>
        <w:ind w:firstLine="420" w:firstLineChars="200"/>
        <w:jc w:val="left"/>
        <w:rPr>
          <w:rFonts w:hint="eastAsia" w:ascii="宋体" w:hAnsi="宋体" w:eastAsia="宋体" w:cs="宋体"/>
          <w:kern w:val="0"/>
          <w:sz w:val="21"/>
          <w:szCs w:val="21"/>
        </w:rPr>
      </w:pPr>
      <w:r>
        <w:rPr>
          <w:rFonts w:hint="eastAsia" w:ascii="宋体" w:hAnsi="宋体" w:eastAsia="宋体" w:cs="宋体"/>
          <w:kern w:val="0"/>
          <w:sz w:val="21"/>
          <w:szCs w:val="21"/>
        </w:rPr>
        <w:t>（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14:paraId="4A154919">
      <w:pPr>
        <w:widowControl/>
        <w:spacing w:line="360" w:lineRule="auto"/>
        <w:ind w:firstLine="420" w:firstLineChars="200"/>
        <w:jc w:val="left"/>
        <w:rPr>
          <w:rFonts w:hint="eastAsia" w:ascii="宋体" w:hAnsi="宋体" w:eastAsia="宋体" w:cs="宋体"/>
          <w:kern w:val="0"/>
          <w:sz w:val="21"/>
          <w:szCs w:val="21"/>
        </w:rPr>
      </w:pPr>
      <w:r>
        <w:rPr>
          <w:rFonts w:hint="eastAsia" w:ascii="宋体" w:hAnsi="宋体" w:eastAsia="宋体" w:cs="宋体"/>
          <w:kern w:val="0"/>
          <w:sz w:val="21"/>
          <w:szCs w:val="21"/>
        </w:rPr>
        <w:t>（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14:paraId="2C7A3941">
      <w:pPr>
        <w:widowControl/>
        <w:spacing w:line="360" w:lineRule="auto"/>
        <w:ind w:firstLine="420" w:firstLineChars="200"/>
        <w:jc w:val="left"/>
        <w:rPr>
          <w:rFonts w:hint="eastAsia" w:ascii="宋体" w:hAnsi="宋体" w:eastAsia="宋体" w:cs="宋体"/>
          <w:kern w:val="0"/>
          <w:sz w:val="21"/>
          <w:szCs w:val="21"/>
        </w:rPr>
      </w:pPr>
      <w:r>
        <w:rPr>
          <w:rFonts w:hint="eastAsia" w:ascii="宋体" w:hAnsi="宋体" w:eastAsia="宋体" w:cs="宋体"/>
          <w:kern w:val="0"/>
          <w:sz w:val="21"/>
          <w:szCs w:val="21"/>
        </w:rPr>
        <w:t>（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14:paraId="7B56AE87">
      <w:pPr>
        <w:widowControl/>
        <w:spacing w:line="360" w:lineRule="auto"/>
        <w:ind w:firstLine="420" w:firstLineChars="200"/>
        <w:jc w:val="left"/>
        <w:rPr>
          <w:rFonts w:hint="eastAsia" w:ascii="宋体" w:hAnsi="宋体" w:eastAsia="宋体" w:cs="宋体"/>
          <w:kern w:val="0"/>
          <w:sz w:val="21"/>
          <w:szCs w:val="21"/>
        </w:rPr>
      </w:pPr>
      <w:r>
        <w:rPr>
          <w:rFonts w:hint="eastAsia" w:ascii="宋体" w:hAnsi="宋体" w:eastAsia="宋体" w:cs="宋体"/>
          <w:kern w:val="0"/>
          <w:sz w:val="21"/>
          <w:szCs w:val="21"/>
        </w:rPr>
        <w:t>（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14:paraId="4ADFFD49">
      <w:pPr>
        <w:widowControl/>
        <w:spacing w:line="360" w:lineRule="auto"/>
        <w:ind w:firstLine="420" w:firstLineChars="200"/>
        <w:jc w:val="left"/>
        <w:rPr>
          <w:rFonts w:hint="eastAsia" w:ascii="宋体" w:hAnsi="宋体" w:eastAsia="宋体" w:cs="宋体"/>
          <w:kern w:val="0"/>
          <w:sz w:val="21"/>
          <w:szCs w:val="21"/>
        </w:rPr>
      </w:pPr>
      <w:r>
        <w:rPr>
          <w:rFonts w:hint="eastAsia" w:ascii="宋体" w:hAnsi="宋体" w:eastAsia="宋体" w:cs="宋体"/>
          <w:kern w:val="0"/>
          <w:sz w:val="21"/>
          <w:szCs w:val="21"/>
        </w:rPr>
        <w:t>（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7F6DE2CB">
      <w:pPr>
        <w:widowControl/>
        <w:spacing w:line="360" w:lineRule="auto"/>
        <w:ind w:firstLine="420" w:firstLineChars="200"/>
        <w:jc w:val="left"/>
        <w:rPr>
          <w:rFonts w:hint="eastAsia" w:ascii="宋体" w:hAnsi="宋体" w:eastAsia="宋体" w:cs="宋体"/>
          <w:kern w:val="0"/>
          <w:sz w:val="21"/>
          <w:szCs w:val="21"/>
        </w:rPr>
      </w:pPr>
      <w:r>
        <w:rPr>
          <w:rFonts w:hint="eastAsia" w:ascii="宋体" w:hAnsi="宋体" w:eastAsia="宋体" w:cs="宋体"/>
          <w:kern w:val="0"/>
          <w:sz w:val="21"/>
          <w:szCs w:val="21"/>
        </w:rPr>
        <w:t>（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4FE3DA31">
      <w:pPr>
        <w:widowControl/>
        <w:spacing w:line="360" w:lineRule="auto"/>
        <w:ind w:firstLine="420" w:firstLineChars="200"/>
        <w:jc w:val="left"/>
        <w:rPr>
          <w:rFonts w:hint="eastAsia" w:ascii="宋体" w:hAnsi="宋体" w:eastAsia="宋体" w:cs="宋体"/>
          <w:kern w:val="0"/>
          <w:sz w:val="21"/>
          <w:szCs w:val="21"/>
        </w:rPr>
      </w:pPr>
      <w:r>
        <w:rPr>
          <w:rFonts w:hint="eastAsia" w:ascii="宋体" w:hAnsi="宋体" w:eastAsia="宋体" w:cs="宋体"/>
          <w:kern w:val="0"/>
          <w:sz w:val="21"/>
          <w:szCs w:val="21"/>
        </w:rPr>
        <w:t>（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14:paraId="7C419D84">
      <w:pPr>
        <w:widowControl/>
        <w:spacing w:line="360" w:lineRule="auto"/>
        <w:ind w:firstLine="420" w:firstLineChars="200"/>
        <w:jc w:val="left"/>
        <w:rPr>
          <w:rFonts w:hint="eastAsia" w:ascii="宋体" w:hAnsi="宋体" w:eastAsia="宋体" w:cs="宋体"/>
          <w:kern w:val="0"/>
          <w:sz w:val="21"/>
          <w:szCs w:val="21"/>
        </w:rPr>
      </w:pPr>
      <w:r>
        <w:rPr>
          <w:rFonts w:hint="eastAsia" w:ascii="宋体" w:hAnsi="宋体" w:eastAsia="宋体" w:cs="宋体"/>
          <w:kern w:val="0"/>
          <w:sz w:val="21"/>
          <w:szCs w:val="21"/>
        </w:rPr>
        <w:t>（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14:paraId="58F9D619">
      <w:pPr>
        <w:widowControl/>
        <w:spacing w:line="360" w:lineRule="auto"/>
        <w:ind w:firstLine="420" w:firstLineChars="200"/>
        <w:jc w:val="left"/>
        <w:rPr>
          <w:rFonts w:hint="eastAsia" w:ascii="宋体" w:hAnsi="宋体" w:eastAsia="宋体" w:cs="宋体"/>
          <w:kern w:val="0"/>
          <w:sz w:val="21"/>
          <w:szCs w:val="21"/>
        </w:rPr>
      </w:pPr>
      <w:r>
        <w:rPr>
          <w:rFonts w:hint="eastAsia" w:ascii="宋体" w:hAnsi="宋体" w:eastAsia="宋体" w:cs="宋体"/>
          <w:kern w:val="0"/>
          <w:sz w:val="21"/>
          <w:szCs w:val="21"/>
        </w:rPr>
        <w:t>（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14:paraId="455193B9">
      <w:pPr>
        <w:widowControl/>
        <w:spacing w:line="360" w:lineRule="auto"/>
        <w:ind w:firstLine="420" w:firstLineChars="200"/>
        <w:jc w:val="left"/>
        <w:rPr>
          <w:rFonts w:hint="eastAsia" w:ascii="宋体" w:hAnsi="宋体" w:eastAsia="宋体" w:cs="宋体"/>
          <w:kern w:val="0"/>
          <w:sz w:val="21"/>
          <w:szCs w:val="21"/>
        </w:rPr>
      </w:pPr>
      <w:r>
        <w:rPr>
          <w:rFonts w:hint="eastAsia" w:ascii="宋体" w:hAnsi="宋体" w:eastAsia="宋体" w:cs="宋体"/>
          <w:kern w:val="0"/>
          <w:sz w:val="21"/>
          <w:szCs w:val="21"/>
        </w:rPr>
        <w:t>（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p>
    <w:p w14:paraId="35109B1B">
      <w:pPr>
        <w:widowControl/>
        <w:spacing w:line="360" w:lineRule="auto"/>
        <w:ind w:firstLine="420" w:firstLineChars="200"/>
        <w:jc w:val="left"/>
        <w:rPr>
          <w:rFonts w:hint="eastAsia" w:ascii="宋体" w:hAnsi="宋体" w:eastAsia="宋体" w:cs="宋体"/>
          <w:kern w:val="0"/>
          <w:sz w:val="21"/>
          <w:szCs w:val="21"/>
        </w:rPr>
      </w:pPr>
      <w:r>
        <w:rPr>
          <w:rFonts w:hint="eastAsia" w:ascii="宋体" w:hAnsi="宋体" w:eastAsia="宋体" w:cs="宋体"/>
          <w:kern w:val="0"/>
          <w:sz w:val="21"/>
          <w:szCs w:val="21"/>
        </w:rPr>
        <w:t>（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14:paraId="433E06D8">
      <w:pPr>
        <w:widowControl/>
        <w:spacing w:line="360" w:lineRule="auto"/>
        <w:ind w:firstLine="420" w:firstLineChars="200"/>
        <w:jc w:val="left"/>
        <w:rPr>
          <w:rFonts w:hint="eastAsia" w:ascii="宋体" w:hAnsi="宋体" w:eastAsia="宋体" w:cs="宋体"/>
          <w:kern w:val="0"/>
          <w:sz w:val="21"/>
          <w:szCs w:val="21"/>
        </w:rPr>
      </w:pPr>
      <w:r>
        <w:rPr>
          <w:rFonts w:hint="eastAsia" w:ascii="宋体" w:hAnsi="宋体" w:eastAsia="宋体" w:cs="宋体"/>
          <w:kern w:val="0"/>
          <w:sz w:val="21"/>
          <w:szCs w:val="21"/>
        </w:rPr>
        <w:t>（十六）其他未列明行业。从业人员300人以下的为中小微型企业。其中，从业人员100人及以上的为中型企业；从业人员10人及以上的为小型企业；从业人员10人以下的为微型企业。</w:t>
      </w:r>
    </w:p>
    <w:p w14:paraId="5B4BF7C5">
      <w:pPr>
        <w:widowControl/>
        <w:spacing w:line="360" w:lineRule="auto"/>
        <w:ind w:firstLine="420" w:firstLineChars="200"/>
        <w:jc w:val="left"/>
        <w:rPr>
          <w:rFonts w:hint="eastAsia" w:ascii="宋体" w:hAnsi="宋体" w:eastAsia="宋体" w:cs="宋体"/>
          <w:kern w:val="0"/>
          <w:sz w:val="21"/>
          <w:szCs w:val="21"/>
        </w:rPr>
      </w:pPr>
      <w:r>
        <w:rPr>
          <w:rFonts w:hint="eastAsia" w:ascii="宋体" w:hAnsi="宋体" w:eastAsia="宋体" w:cs="宋体"/>
          <w:kern w:val="0"/>
          <w:sz w:val="21"/>
          <w:szCs w:val="21"/>
        </w:rPr>
        <w:t>五、企业类型的划分以统计部门的统计数据为依据。</w:t>
      </w:r>
    </w:p>
    <w:p w14:paraId="2F30238D">
      <w:pPr>
        <w:widowControl/>
        <w:spacing w:line="360" w:lineRule="auto"/>
        <w:ind w:firstLine="420" w:firstLineChars="200"/>
        <w:jc w:val="left"/>
        <w:rPr>
          <w:rFonts w:hint="eastAsia" w:ascii="宋体" w:hAnsi="宋体" w:eastAsia="宋体" w:cs="宋体"/>
          <w:kern w:val="0"/>
          <w:sz w:val="21"/>
          <w:szCs w:val="21"/>
        </w:rPr>
      </w:pPr>
      <w:r>
        <w:rPr>
          <w:rFonts w:hint="eastAsia" w:ascii="宋体" w:hAnsi="宋体" w:eastAsia="宋体" w:cs="宋体"/>
          <w:kern w:val="0"/>
          <w:sz w:val="21"/>
          <w:szCs w:val="21"/>
        </w:rPr>
        <w:t>六、本规定适用于在中华人民共和国境内依法设立的各类所有制和各种组织形式的企业。个体工商户和本规定以外的行业，参照本规定进行划型。</w:t>
      </w:r>
    </w:p>
    <w:p w14:paraId="7711E50B">
      <w:pPr>
        <w:widowControl/>
        <w:spacing w:line="360" w:lineRule="auto"/>
        <w:ind w:firstLine="420" w:firstLineChars="200"/>
        <w:jc w:val="left"/>
        <w:rPr>
          <w:rFonts w:hint="eastAsia" w:ascii="宋体" w:hAnsi="宋体" w:eastAsia="宋体" w:cs="宋体"/>
          <w:kern w:val="0"/>
          <w:sz w:val="21"/>
          <w:szCs w:val="21"/>
        </w:rPr>
      </w:pPr>
      <w:r>
        <w:rPr>
          <w:rFonts w:hint="eastAsia" w:ascii="宋体" w:hAnsi="宋体" w:eastAsia="宋体" w:cs="宋体"/>
          <w:kern w:val="0"/>
          <w:sz w:val="21"/>
          <w:szCs w:val="21"/>
        </w:rPr>
        <w:t>七、本规定的中型企业标准上限即为大型企业标准的下限，国家统计部门据此制定大中小微型企业的统计分类。国务院有关部门据此进行相关数据分析，不得制定与本规定不一致的企业划型标准。</w:t>
      </w:r>
    </w:p>
    <w:p w14:paraId="68CFDBC7">
      <w:pPr>
        <w:widowControl/>
        <w:spacing w:line="360" w:lineRule="auto"/>
        <w:ind w:firstLine="420" w:firstLineChars="200"/>
        <w:jc w:val="left"/>
        <w:rPr>
          <w:rFonts w:hint="eastAsia" w:ascii="宋体" w:hAnsi="宋体" w:eastAsia="宋体" w:cs="宋体"/>
          <w:kern w:val="0"/>
          <w:sz w:val="21"/>
          <w:szCs w:val="21"/>
        </w:rPr>
      </w:pPr>
      <w:r>
        <w:rPr>
          <w:rFonts w:hint="eastAsia" w:ascii="宋体" w:hAnsi="宋体" w:eastAsia="宋体" w:cs="宋体"/>
          <w:kern w:val="0"/>
          <w:sz w:val="21"/>
          <w:szCs w:val="21"/>
        </w:rPr>
        <w:t>八、本规定由工业和信息化部、国家统计局会同有关部门根据《国民经济行业分类》修订情况和企业发展变化情况适时修订。</w:t>
      </w:r>
    </w:p>
    <w:p w14:paraId="29523EBF">
      <w:pPr>
        <w:widowControl/>
        <w:spacing w:line="360" w:lineRule="auto"/>
        <w:ind w:firstLine="420" w:firstLineChars="200"/>
        <w:jc w:val="left"/>
        <w:rPr>
          <w:rFonts w:hint="eastAsia" w:ascii="宋体" w:hAnsi="宋体" w:eastAsia="宋体" w:cs="宋体"/>
          <w:kern w:val="0"/>
          <w:sz w:val="21"/>
          <w:szCs w:val="21"/>
        </w:rPr>
      </w:pPr>
      <w:r>
        <w:rPr>
          <w:rFonts w:hint="eastAsia" w:ascii="宋体" w:hAnsi="宋体" w:eastAsia="宋体" w:cs="宋体"/>
          <w:kern w:val="0"/>
          <w:sz w:val="21"/>
          <w:szCs w:val="21"/>
        </w:rPr>
        <w:t>九、本规定由工业和信息化部、国家统计局会同有关部门负责解释。</w:t>
      </w:r>
    </w:p>
    <w:p w14:paraId="73D05ADD">
      <w:pPr>
        <w:ind w:firstLine="420" w:firstLineChars="200"/>
        <w:rPr>
          <w:rFonts w:hint="eastAsia" w:ascii="宋体" w:hAnsi="宋体" w:eastAsia="宋体" w:cs="宋体"/>
          <w:sz w:val="21"/>
          <w:szCs w:val="21"/>
        </w:rPr>
      </w:pPr>
      <w:r>
        <w:rPr>
          <w:rFonts w:hint="eastAsia" w:ascii="宋体" w:hAnsi="宋体" w:eastAsia="宋体" w:cs="宋体"/>
          <w:sz w:val="21"/>
          <w:szCs w:val="21"/>
        </w:rPr>
        <w:t>十、本规定自发布之日起执行，原国家经贸委、原国家计委、财政部和国家统计局2003年颁布的《中小企业标准暂行规定》同时废止。</w:t>
      </w:r>
    </w:p>
    <w:p w14:paraId="2112CC76">
      <w:pPr>
        <w:pStyle w:val="2"/>
        <w:rPr>
          <w:rFonts w:hint="eastAsia" w:ascii="宋体" w:hAnsi="宋体" w:eastAsia="宋体" w:cs="宋体"/>
          <w:sz w:val="21"/>
          <w:szCs w:val="21"/>
        </w:rPr>
      </w:pPr>
    </w:p>
    <w:p w14:paraId="14D922A4">
      <w:pPr>
        <w:rPr>
          <w:rFonts w:hint="eastAsia" w:ascii="宋体" w:hAnsi="宋体" w:eastAsia="宋体" w:cs="宋体"/>
          <w:b/>
          <w:spacing w:val="6"/>
          <w:kern w:val="0"/>
          <w:sz w:val="21"/>
          <w:szCs w:val="21"/>
        </w:rPr>
      </w:pPr>
      <w:r>
        <w:rPr>
          <w:rFonts w:hint="eastAsia" w:ascii="宋体" w:hAnsi="宋体" w:eastAsia="宋体" w:cs="宋体"/>
          <w:b/>
          <w:spacing w:val="6"/>
          <w:kern w:val="0"/>
          <w:sz w:val="21"/>
          <w:szCs w:val="21"/>
        </w:rPr>
        <w:br w:type="page"/>
      </w:r>
    </w:p>
    <w:p w14:paraId="742F3D4C">
      <w:pPr>
        <w:spacing w:before="100" w:beforeAutospacing="1" w:after="100" w:afterAutospacing="1" w:line="440" w:lineRule="exact"/>
        <w:jc w:val="left"/>
        <w:rPr>
          <w:rFonts w:hint="eastAsia" w:ascii="宋体" w:hAnsi="宋体" w:eastAsia="宋体" w:cs="宋体"/>
          <w:b/>
          <w:spacing w:val="6"/>
          <w:kern w:val="0"/>
          <w:sz w:val="21"/>
          <w:szCs w:val="21"/>
        </w:rPr>
      </w:pPr>
      <w:r>
        <w:rPr>
          <w:rFonts w:hint="eastAsia" w:ascii="宋体" w:hAnsi="宋体" w:eastAsia="宋体" w:cs="宋体"/>
          <w:b/>
          <w:spacing w:val="6"/>
          <w:kern w:val="0"/>
          <w:sz w:val="21"/>
          <w:szCs w:val="21"/>
        </w:rPr>
        <w:t>附件</w:t>
      </w:r>
      <w:r>
        <w:rPr>
          <w:rFonts w:hint="eastAsia" w:ascii="宋体" w:hAnsi="宋体" w:eastAsia="宋体" w:cs="宋体"/>
          <w:b/>
          <w:spacing w:val="6"/>
          <w:kern w:val="0"/>
          <w:sz w:val="21"/>
          <w:szCs w:val="21"/>
          <w:lang w:val="en-US" w:eastAsia="zh-CN"/>
        </w:rPr>
        <w:t>6</w:t>
      </w:r>
      <w:r>
        <w:rPr>
          <w:rFonts w:hint="eastAsia" w:ascii="宋体" w:hAnsi="宋体" w:eastAsia="宋体" w:cs="宋体"/>
          <w:b/>
          <w:spacing w:val="6"/>
          <w:kern w:val="0"/>
          <w:sz w:val="21"/>
          <w:szCs w:val="21"/>
        </w:rPr>
        <w:t>：</w:t>
      </w:r>
      <w:r>
        <w:rPr>
          <w:rFonts w:hint="eastAsia" w:ascii="宋体" w:hAnsi="宋体" w:cs="宋体"/>
          <w:b/>
          <w:spacing w:val="6"/>
          <w:sz w:val="21"/>
          <w:szCs w:val="21"/>
        </w:rPr>
        <w:t>（投标文件/响应文件无需附此项内容）</w:t>
      </w:r>
    </w:p>
    <w:p w14:paraId="3A36A85B">
      <w:pPr>
        <w:keepNext w:val="0"/>
        <w:keepLines w:val="0"/>
        <w:pageBreakBefore w:val="0"/>
        <w:widowControl w:val="0"/>
        <w:kinsoku/>
        <w:wordWrap/>
        <w:overflowPunct/>
        <w:topLinePunct w:val="0"/>
        <w:autoSpaceDE/>
        <w:autoSpaceDN/>
        <w:bidi w:val="0"/>
        <w:adjustRightInd/>
        <w:snapToGrid/>
        <w:spacing w:line="360" w:lineRule="auto"/>
        <w:ind w:firstLine="482" w:firstLineChars="200"/>
        <w:jc w:val="center"/>
        <w:textAlignment w:val="auto"/>
        <w:rPr>
          <w:rFonts w:hint="eastAsia" w:ascii="宋体" w:hAnsi="宋体" w:eastAsia="宋体" w:cs="宋体"/>
          <w:b/>
          <w:bCs/>
          <w:sz w:val="24"/>
          <w:szCs w:val="24"/>
          <w:lang w:eastAsia="zh-CN"/>
        </w:rPr>
      </w:pPr>
      <w:r>
        <w:rPr>
          <w:rFonts w:hint="eastAsia" w:ascii="宋体" w:hAnsi="宋体" w:eastAsia="宋体" w:cs="宋体"/>
          <w:b/>
          <w:bCs/>
          <w:sz w:val="24"/>
          <w:szCs w:val="24"/>
          <w:lang w:eastAsia="zh-CN"/>
        </w:rPr>
        <w:t>关于推动解决政府采购异常低价问题的通知</w:t>
      </w:r>
    </w:p>
    <w:p w14:paraId="23D89EAB">
      <w:pPr>
        <w:keepNext w:val="0"/>
        <w:keepLines w:val="0"/>
        <w:pageBreakBefore w:val="0"/>
        <w:widowControl w:val="0"/>
        <w:kinsoku/>
        <w:wordWrap/>
        <w:overflowPunct/>
        <w:topLinePunct w:val="0"/>
        <w:autoSpaceDE/>
        <w:autoSpaceDN/>
        <w:bidi w:val="0"/>
        <w:adjustRightInd/>
        <w:snapToGrid/>
        <w:spacing w:line="360" w:lineRule="auto"/>
        <w:ind w:firstLine="422" w:firstLineChars="200"/>
        <w:jc w:val="center"/>
        <w:textAlignment w:val="auto"/>
        <w:rPr>
          <w:rFonts w:hint="eastAsia" w:ascii="宋体" w:hAnsi="宋体" w:eastAsia="宋体" w:cs="宋体"/>
          <w:b/>
          <w:bCs/>
          <w:sz w:val="21"/>
          <w:szCs w:val="21"/>
          <w:lang w:eastAsia="zh-CN"/>
        </w:rPr>
      </w:pPr>
      <w:r>
        <w:rPr>
          <w:rFonts w:hint="eastAsia" w:ascii="宋体" w:hAnsi="宋体" w:eastAsia="宋体" w:cs="宋体"/>
          <w:b/>
          <w:bCs/>
          <w:sz w:val="21"/>
          <w:szCs w:val="21"/>
          <w:lang w:eastAsia="zh-CN"/>
        </w:rPr>
        <w:t>财库〔2026〕2号</w:t>
      </w:r>
    </w:p>
    <w:p w14:paraId="2E718D75">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lang w:eastAsia="zh-CN"/>
        </w:rPr>
      </w:pPr>
      <w:r>
        <w:rPr>
          <w:rFonts w:hint="eastAsia" w:ascii="宋体" w:hAnsi="宋体" w:eastAsia="宋体" w:cs="宋体"/>
          <w:sz w:val="21"/>
          <w:szCs w:val="21"/>
          <w:lang w:eastAsia="zh-CN"/>
        </w:rPr>
        <w:t>各中央预算单位，各省、自治区、直辖市、计划单列市财政厅（局），新疆生产建设兵团财政局：</w:t>
      </w:r>
    </w:p>
    <w:p w14:paraId="716DDF95">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lang w:eastAsia="zh-CN"/>
        </w:rPr>
      </w:pPr>
      <w:r>
        <w:rPr>
          <w:rFonts w:hint="eastAsia" w:ascii="宋体" w:hAnsi="宋体" w:eastAsia="宋体" w:cs="宋体"/>
          <w:sz w:val="21"/>
          <w:szCs w:val="21"/>
          <w:lang w:eastAsia="zh-CN"/>
        </w:rPr>
        <w:t>为整治政府采购领域“内卷式”竞争，形成优质优价、良性竞争的市场秩序，现就推动解决政府采购异常低价问题有关事项通知如下：</w:t>
      </w:r>
    </w:p>
    <w:p w14:paraId="41DCECE5">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lang w:eastAsia="zh-CN"/>
        </w:rPr>
      </w:pPr>
      <w:r>
        <w:rPr>
          <w:rFonts w:hint="eastAsia" w:ascii="宋体" w:hAnsi="宋体" w:eastAsia="宋体" w:cs="宋体"/>
          <w:sz w:val="21"/>
          <w:szCs w:val="21"/>
          <w:lang w:eastAsia="zh-CN"/>
        </w:rPr>
        <w:t>一、加强政府采购需求管理</w:t>
      </w:r>
    </w:p>
    <w:p w14:paraId="6D89F132">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lang w:eastAsia="zh-CN"/>
        </w:rPr>
      </w:pPr>
      <w:r>
        <w:rPr>
          <w:rFonts w:hint="eastAsia" w:ascii="宋体" w:hAnsi="宋体" w:eastAsia="宋体" w:cs="宋体"/>
          <w:sz w:val="21"/>
          <w:szCs w:val="21"/>
          <w:lang w:eastAsia="zh-CN"/>
        </w:rPr>
        <w:t>采购人应当根据实际工作需要，综合考虑同类项目中标（成交）信息，以及市场供给和产业发展状况，材料、人工等市场价格，行业费用标准等市场调查情况，形成科学、完整、清晰的采购需求，合理设定最高限价，为供应商竞争报价提供基础。未设定最高限价的采购项目，以采购项目预算金额作为最高限价。</w:t>
      </w:r>
    </w:p>
    <w:p w14:paraId="61207972">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lang w:eastAsia="zh-CN"/>
        </w:rPr>
      </w:pPr>
      <w:r>
        <w:rPr>
          <w:rFonts w:hint="eastAsia" w:ascii="宋体" w:hAnsi="宋体" w:eastAsia="宋体" w:cs="宋体"/>
          <w:sz w:val="21"/>
          <w:szCs w:val="21"/>
          <w:lang w:eastAsia="zh-CN"/>
        </w:rPr>
        <w:t>采购人要综合考虑技术、成本效益、促进竞争等因素，按照专业类型和专业领域，合理设置采购包。采购人可以引入全生命周期成本理念，在采购文件中要求供应商对约定期限内的运营、维护、升级，专用耗材，处置报废等费用进行报价，作为评审因素，并在采购合同中明确，供应商应当在约定期限内以不高于其报价的价格向采购人提供专用耗材或者相关服务。采购项目采用综合评分法的，应当按照相关规定科学合理确定价格、技术、商务等因素的分值和权重。</w:t>
      </w:r>
    </w:p>
    <w:p w14:paraId="58C67E55">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lang w:eastAsia="zh-CN"/>
        </w:rPr>
      </w:pPr>
      <w:r>
        <w:rPr>
          <w:rFonts w:hint="eastAsia" w:ascii="宋体" w:hAnsi="宋体" w:eastAsia="宋体" w:cs="宋体"/>
          <w:sz w:val="21"/>
          <w:szCs w:val="21"/>
          <w:lang w:eastAsia="zh-CN"/>
        </w:rPr>
        <w:t>采购人应当重点加强对信息化建设项目和耗材使用量大的复印、打印、实验、医疗等仪器设备采购项目的管理。对于信息化建设项目，采购人应当要求供应商严格落实相关开放性、兼容性标准和规范要求，按合同约定提供服务；在系统运行过程中，供应商不得在国家规定和合同约定之外以任何名义向相关服务对象收取费用。</w:t>
      </w:r>
    </w:p>
    <w:p w14:paraId="2F7B4CEC">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lang w:eastAsia="zh-CN"/>
        </w:rPr>
      </w:pPr>
      <w:r>
        <w:rPr>
          <w:rFonts w:hint="eastAsia" w:ascii="宋体" w:hAnsi="宋体" w:eastAsia="宋体" w:cs="宋体"/>
          <w:sz w:val="21"/>
          <w:szCs w:val="21"/>
          <w:lang w:eastAsia="zh-CN"/>
        </w:rPr>
        <w:t>二、强化政府采购异常低价审查</w:t>
      </w:r>
    </w:p>
    <w:p w14:paraId="2F0CE768">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lang w:eastAsia="zh-CN"/>
        </w:rPr>
      </w:pPr>
      <w:r>
        <w:rPr>
          <w:rFonts w:hint="eastAsia" w:ascii="宋体" w:hAnsi="宋体" w:eastAsia="宋体" w:cs="宋体"/>
          <w:sz w:val="21"/>
          <w:szCs w:val="21"/>
          <w:lang w:eastAsia="zh-CN"/>
        </w:rPr>
        <w:t>（一）采购人应当在采购文件中明确，政府采购评审中出现下列情形之一的，评审委员会应当启动异常低价投标（响应）审查程序：</w:t>
      </w:r>
    </w:p>
    <w:p w14:paraId="07B6159F">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lang w:eastAsia="zh-CN"/>
        </w:rPr>
      </w:pPr>
      <w:r>
        <w:rPr>
          <w:rFonts w:hint="eastAsia" w:ascii="宋体" w:hAnsi="宋体" w:eastAsia="宋体" w:cs="宋体"/>
          <w:sz w:val="21"/>
          <w:szCs w:val="21"/>
          <w:lang w:eastAsia="zh-CN"/>
        </w:rPr>
        <w:t>1</w:t>
      </w:r>
      <w:r>
        <w:rPr>
          <w:rFonts w:hint="eastAsia" w:ascii="宋体" w:hAnsi="宋体" w:eastAsia="宋体" w:cs="宋体"/>
          <w:sz w:val="21"/>
          <w:szCs w:val="21"/>
          <w:lang w:val="en-US" w:eastAsia="zh-CN"/>
        </w:rPr>
        <w:t>.</w:t>
      </w:r>
      <w:r>
        <w:rPr>
          <w:rFonts w:hint="eastAsia" w:ascii="宋体" w:hAnsi="宋体" w:eastAsia="宋体" w:cs="宋体"/>
          <w:sz w:val="21"/>
          <w:szCs w:val="21"/>
          <w:lang w:eastAsia="zh-CN"/>
        </w:rPr>
        <w:t>投标（响应）报价低于全部通过符合性审查供应商投标（响应）报价平均值50%的，即投标（响应）报价&lt;全部通过符合性审查供应商投标（响应）报价平均值×50%；</w:t>
      </w:r>
    </w:p>
    <w:p w14:paraId="62B86C93">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lang w:eastAsia="zh-CN"/>
        </w:rPr>
      </w:pPr>
      <w:r>
        <w:rPr>
          <w:rFonts w:hint="eastAsia" w:ascii="宋体" w:hAnsi="宋体" w:eastAsia="宋体" w:cs="宋体"/>
          <w:sz w:val="21"/>
          <w:szCs w:val="21"/>
          <w:lang w:eastAsia="zh-CN"/>
        </w:rPr>
        <w:t>2</w:t>
      </w:r>
      <w:r>
        <w:rPr>
          <w:rFonts w:hint="eastAsia" w:ascii="宋体" w:hAnsi="宋体" w:eastAsia="宋体" w:cs="宋体"/>
          <w:sz w:val="21"/>
          <w:szCs w:val="21"/>
          <w:lang w:val="en-US" w:eastAsia="zh-CN"/>
        </w:rPr>
        <w:t>.</w:t>
      </w:r>
      <w:r>
        <w:rPr>
          <w:rFonts w:hint="eastAsia" w:ascii="宋体" w:hAnsi="宋体" w:eastAsia="宋体" w:cs="宋体"/>
          <w:sz w:val="21"/>
          <w:szCs w:val="21"/>
          <w:lang w:eastAsia="zh-CN"/>
        </w:rPr>
        <w:t>投标（响应）报价低于通过符合性审查的次低报价供应商投标（响应）报价50%的，即投标（响应）报价&lt;通过符合性审查的次低报价供应商投标（响应）报价×50%；</w:t>
      </w:r>
    </w:p>
    <w:p w14:paraId="5E7C7B57">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lang w:eastAsia="zh-CN"/>
        </w:rPr>
      </w:pPr>
      <w:r>
        <w:rPr>
          <w:rFonts w:hint="eastAsia" w:ascii="宋体" w:hAnsi="宋体" w:eastAsia="宋体" w:cs="宋体"/>
          <w:sz w:val="21"/>
          <w:szCs w:val="21"/>
          <w:lang w:eastAsia="zh-CN"/>
        </w:rPr>
        <w:t>3</w:t>
      </w:r>
      <w:r>
        <w:rPr>
          <w:rFonts w:hint="eastAsia" w:ascii="宋体" w:hAnsi="宋体" w:eastAsia="宋体" w:cs="宋体"/>
          <w:sz w:val="21"/>
          <w:szCs w:val="21"/>
          <w:lang w:val="en-US" w:eastAsia="zh-CN"/>
        </w:rPr>
        <w:t>.</w:t>
      </w:r>
      <w:r>
        <w:rPr>
          <w:rFonts w:hint="eastAsia" w:ascii="宋体" w:hAnsi="宋体" w:eastAsia="宋体" w:cs="宋体"/>
          <w:sz w:val="21"/>
          <w:szCs w:val="21"/>
          <w:lang w:eastAsia="zh-CN"/>
        </w:rPr>
        <w:t>投标（响应）报价低于采购项目最高限价45%的，即投标（响应）报价&lt;采购项目最高限价×45%；</w:t>
      </w:r>
    </w:p>
    <w:p w14:paraId="205FBB2E">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lang w:eastAsia="zh-CN"/>
        </w:rPr>
      </w:pPr>
      <w:r>
        <w:rPr>
          <w:rFonts w:hint="eastAsia" w:ascii="宋体" w:hAnsi="宋体" w:eastAsia="宋体" w:cs="宋体"/>
          <w:sz w:val="21"/>
          <w:szCs w:val="21"/>
          <w:lang w:eastAsia="zh-CN"/>
        </w:rPr>
        <w:t>4</w:t>
      </w:r>
      <w:r>
        <w:rPr>
          <w:rFonts w:hint="eastAsia" w:ascii="宋体" w:hAnsi="宋体" w:eastAsia="宋体" w:cs="宋体"/>
          <w:sz w:val="21"/>
          <w:szCs w:val="21"/>
          <w:lang w:val="en-US" w:eastAsia="zh-CN"/>
        </w:rPr>
        <w:t>.</w:t>
      </w:r>
      <w:r>
        <w:rPr>
          <w:rFonts w:hint="eastAsia" w:ascii="宋体" w:hAnsi="宋体" w:eastAsia="宋体" w:cs="宋体"/>
          <w:sz w:val="21"/>
          <w:szCs w:val="21"/>
          <w:lang w:eastAsia="zh-CN"/>
        </w:rPr>
        <w:t>评审委员会基于专业判断，认为供应商报价过低，有可能影响产品质量或者不能诚信履约的其他情形。</w:t>
      </w:r>
    </w:p>
    <w:p w14:paraId="6301A0BD">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lang w:eastAsia="zh-CN"/>
        </w:rPr>
      </w:pPr>
      <w:r>
        <w:rPr>
          <w:rFonts w:hint="eastAsia" w:ascii="宋体" w:hAnsi="宋体" w:eastAsia="宋体" w:cs="宋体"/>
          <w:sz w:val="21"/>
          <w:szCs w:val="21"/>
          <w:lang w:eastAsia="zh-CN"/>
        </w:rPr>
        <w:t>采购人可以结合具体项目实际情况，提高上述第1项至第3项中启动异常低价投标（响应）审查的数值标准，但是最高不得超过65%。</w:t>
      </w:r>
    </w:p>
    <w:p w14:paraId="1D3E3114">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lang w:eastAsia="zh-CN"/>
        </w:rPr>
      </w:pPr>
      <w:r>
        <w:rPr>
          <w:rFonts w:hint="eastAsia" w:ascii="宋体" w:hAnsi="宋体" w:eastAsia="宋体" w:cs="宋体"/>
          <w:sz w:val="21"/>
          <w:szCs w:val="21"/>
          <w:lang w:eastAsia="zh-CN"/>
        </w:rPr>
        <w:t>相关法律法规对供应商报价有规定的，从其规定。</w:t>
      </w:r>
    </w:p>
    <w:p w14:paraId="60196122">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lang w:eastAsia="zh-CN"/>
        </w:rPr>
      </w:pPr>
      <w:r>
        <w:rPr>
          <w:rFonts w:hint="eastAsia" w:ascii="宋体" w:hAnsi="宋体" w:eastAsia="宋体" w:cs="宋体"/>
          <w:sz w:val="21"/>
          <w:szCs w:val="21"/>
          <w:lang w:eastAsia="zh-CN"/>
        </w:rPr>
        <w:t>（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66DE9367">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lang w:eastAsia="zh-CN"/>
        </w:rPr>
      </w:pPr>
      <w:r>
        <w:rPr>
          <w:rFonts w:hint="eastAsia" w:ascii="宋体" w:hAnsi="宋体" w:eastAsia="宋体" w:cs="宋体"/>
          <w:sz w:val="21"/>
          <w:szCs w:val="21"/>
          <w:lang w:eastAsia="zh-CN"/>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563792B1">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lang w:eastAsia="zh-CN"/>
        </w:rPr>
      </w:pPr>
      <w:r>
        <w:rPr>
          <w:rFonts w:hint="eastAsia" w:ascii="宋体" w:hAnsi="宋体" w:eastAsia="宋体" w:cs="宋体"/>
          <w:sz w:val="21"/>
          <w:szCs w:val="21"/>
          <w:lang w:eastAsia="zh-CN"/>
        </w:rPr>
        <w:t>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5942E23A">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lang w:eastAsia="zh-CN"/>
        </w:rPr>
      </w:pPr>
      <w:r>
        <w:rPr>
          <w:rFonts w:hint="eastAsia" w:ascii="宋体" w:hAnsi="宋体" w:eastAsia="宋体" w:cs="宋体"/>
          <w:sz w:val="21"/>
          <w:szCs w:val="21"/>
          <w:lang w:eastAsia="zh-CN"/>
        </w:rPr>
        <w:t>异常低价投标（响应）审查的启动原因、审查意见和审查结果应当在评审报告中记录，并随供应商提供的相关书面说明及证明材料，以及评审委员会有关互联网浏览、查询历史一并归档。</w:t>
      </w:r>
    </w:p>
    <w:p w14:paraId="200CF58C">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lang w:eastAsia="zh-CN"/>
        </w:rPr>
      </w:pPr>
      <w:r>
        <w:rPr>
          <w:rFonts w:hint="eastAsia" w:ascii="宋体" w:hAnsi="宋体" w:eastAsia="宋体" w:cs="宋体"/>
          <w:sz w:val="21"/>
          <w:szCs w:val="21"/>
          <w:lang w:eastAsia="zh-CN"/>
        </w:rPr>
        <w:t>（三）各级财政部门应当加强对评审专家的指导和监管，进一步压实评审专家的责任。财政部门在投诉处理、监督检查中发现评审委员会未按规定对异常低价开展审查的，依法予以纠正并追究评审专家的法律责任。</w:t>
      </w:r>
    </w:p>
    <w:p w14:paraId="60AD0546">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lang w:eastAsia="zh-CN"/>
        </w:rPr>
      </w:pPr>
      <w:r>
        <w:rPr>
          <w:rFonts w:hint="eastAsia" w:ascii="宋体" w:hAnsi="宋体" w:eastAsia="宋体" w:cs="宋体"/>
          <w:sz w:val="21"/>
          <w:szCs w:val="21"/>
          <w:lang w:eastAsia="zh-CN"/>
        </w:rPr>
        <w:t>三、加强政府采购履约验收管理</w:t>
      </w:r>
    </w:p>
    <w:p w14:paraId="2A8DAB7C">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lang w:eastAsia="zh-CN"/>
        </w:rPr>
      </w:pPr>
      <w:r>
        <w:rPr>
          <w:rFonts w:hint="eastAsia" w:ascii="宋体" w:hAnsi="宋体" w:eastAsia="宋体" w:cs="宋体"/>
          <w:sz w:val="21"/>
          <w:szCs w:val="21"/>
          <w:lang w:eastAsia="zh-CN"/>
        </w:rPr>
        <w:t>采购人应当落实履约验收责任，依法组织履约验收工作，验收内容要包括每一项技术和商务要求的履约情况。对报价触发异常低价投标（响应）审查程序后仍中标（成交）的供应商，采购人要重点关注其履约承诺、实际履约情况等。对可以分期实施的采购项目，实行分期考核、分期验收、分期支付，及时掌握供应商履约进展。如供应商中标（成交）后无正当理由拒不签订政府采购合同的，依法予以处理；如供应商不履行合同或者未按合同约定履行合同导致验收不合格的，采购人应当依法追究其违约责任。</w:t>
      </w:r>
    </w:p>
    <w:p w14:paraId="391122B3">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lang w:eastAsia="zh-CN"/>
        </w:rPr>
      </w:pPr>
      <w:r>
        <w:rPr>
          <w:rFonts w:hint="eastAsia" w:ascii="宋体" w:hAnsi="宋体" w:eastAsia="宋体" w:cs="宋体"/>
          <w:sz w:val="21"/>
          <w:szCs w:val="21"/>
          <w:lang w:eastAsia="zh-CN"/>
        </w:rPr>
        <w:t>各部门、各地区要充分认识解决政府采购异常低价问题的重要意义，加强组织领导，周密安排部署，强化监督指导，结合工作实际，通过完善采购文件标准文本、增设交易系统功能、加强履约担保、加大违约责任追究力度等措施，进一步细化工作举措，确保各项要求落实到位。</w:t>
      </w:r>
    </w:p>
    <w:p w14:paraId="089A3FED">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lang w:eastAsia="zh-CN"/>
        </w:rPr>
      </w:pPr>
      <w:r>
        <w:rPr>
          <w:rFonts w:hint="eastAsia" w:ascii="宋体" w:hAnsi="宋体" w:eastAsia="宋体" w:cs="宋体"/>
          <w:sz w:val="21"/>
          <w:szCs w:val="21"/>
          <w:lang w:eastAsia="zh-CN"/>
        </w:rPr>
        <w:t>本通知自2026年2月1日起施行。</w:t>
      </w:r>
    </w:p>
    <w:p w14:paraId="6AF8E598">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lang w:eastAsia="zh-CN"/>
        </w:rPr>
      </w:pPr>
    </w:p>
    <w:p w14:paraId="131BE85B">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 </w:t>
      </w:r>
    </w:p>
    <w:p w14:paraId="0A9005E3">
      <w:pPr>
        <w:keepNext w:val="0"/>
        <w:keepLines w:val="0"/>
        <w:pageBreakBefore w:val="0"/>
        <w:widowControl w:val="0"/>
        <w:kinsoku/>
        <w:wordWrap/>
        <w:overflowPunct/>
        <w:topLinePunct w:val="0"/>
        <w:autoSpaceDE/>
        <w:autoSpaceDN/>
        <w:bidi w:val="0"/>
        <w:adjustRightInd/>
        <w:snapToGrid/>
        <w:spacing w:line="360" w:lineRule="auto"/>
        <w:jc w:val="right"/>
        <w:textAlignment w:val="auto"/>
        <w:rPr>
          <w:rFonts w:hint="eastAsia" w:ascii="宋体" w:hAnsi="宋体" w:eastAsia="宋体" w:cs="宋体"/>
          <w:sz w:val="21"/>
          <w:szCs w:val="21"/>
          <w:lang w:eastAsia="zh-CN"/>
        </w:rPr>
      </w:pPr>
      <w:r>
        <w:rPr>
          <w:rFonts w:hint="eastAsia" w:ascii="宋体" w:hAnsi="宋体" w:eastAsia="宋体" w:cs="宋体"/>
          <w:sz w:val="21"/>
          <w:szCs w:val="21"/>
          <w:lang w:eastAsia="zh-CN"/>
        </w:rPr>
        <w:t>财政部</w:t>
      </w:r>
    </w:p>
    <w:p w14:paraId="2B440C0A">
      <w:pPr>
        <w:keepNext w:val="0"/>
        <w:keepLines w:val="0"/>
        <w:pageBreakBefore w:val="0"/>
        <w:widowControl w:val="0"/>
        <w:kinsoku/>
        <w:wordWrap/>
        <w:overflowPunct/>
        <w:topLinePunct w:val="0"/>
        <w:autoSpaceDE/>
        <w:autoSpaceDN/>
        <w:bidi w:val="0"/>
        <w:adjustRightInd/>
        <w:snapToGrid/>
        <w:spacing w:line="360" w:lineRule="auto"/>
        <w:jc w:val="right"/>
        <w:textAlignment w:val="auto"/>
        <w:rPr>
          <w:rFonts w:hint="eastAsia" w:ascii="宋体" w:hAnsi="宋体" w:eastAsia="宋体" w:cs="宋体"/>
          <w:sz w:val="21"/>
          <w:szCs w:val="21"/>
          <w:lang w:eastAsia="zh-CN"/>
        </w:rPr>
      </w:pPr>
    </w:p>
    <w:p w14:paraId="01D6D3AD">
      <w:pPr>
        <w:keepNext w:val="0"/>
        <w:keepLines w:val="0"/>
        <w:pageBreakBefore w:val="0"/>
        <w:widowControl w:val="0"/>
        <w:kinsoku/>
        <w:wordWrap/>
        <w:overflowPunct/>
        <w:topLinePunct w:val="0"/>
        <w:autoSpaceDE/>
        <w:autoSpaceDN/>
        <w:bidi w:val="0"/>
        <w:adjustRightInd/>
        <w:snapToGrid/>
        <w:spacing w:line="360" w:lineRule="auto"/>
        <w:jc w:val="right"/>
        <w:textAlignment w:val="auto"/>
        <w:rPr>
          <w:rFonts w:hint="eastAsia"/>
          <w:sz w:val="21"/>
          <w:szCs w:val="21"/>
          <w:lang w:val="zh-CN"/>
        </w:rPr>
      </w:pPr>
      <w:r>
        <w:rPr>
          <w:rFonts w:hint="eastAsia" w:ascii="宋体" w:hAnsi="宋体" w:eastAsia="宋体" w:cs="宋体"/>
          <w:sz w:val="21"/>
          <w:szCs w:val="21"/>
          <w:lang w:eastAsia="zh-CN"/>
        </w:rPr>
        <w:t>2026年1月14</w:t>
      </w:r>
      <w:r>
        <w:rPr>
          <w:rFonts w:hint="eastAsia" w:ascii="宋体" w:hAnsi="宋体" w:cs="宋体"/>
          <w:sz w:val="21"/>
          <w:szCs w:val="21"/>
          <w:lang w:val="en-US" w:eastAsia="zh-CN"/>
        </w:rPr>
        <w:t>日</w:t>
      </w:r>
    </w:p>
    <w:p w14:paraId="15C0585B">
      <w:pPr>
        <w:rPr>
          <w:rFonts w:hint="eastAsia" w:ascii="宋体" w:hAnsi="宋体" w:eastAsia="宋体" w:cs="宋体"/>
        </w:rPr>
      </w:pPr>
    </w:p>
    <w:sectPr>
      <w:headerReference r:id="rId4" w:type="default"/>
      <w:footerReference r:id="rId5" w:type="default"/>
      <w:pgSz w:w="11906" w:h="16838"/>
      <w:pgMar w:top="1440" w:right="1080" w:bottom="1440" w:left="1080" w:header="851" w:footer="992" w:gutter="0"/>
      <w:cols w:space="425" w:num="1"/>
      <w:docGrid w:type="lines" w:linePitch="326"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altName w:val="Segoe UI"/>
    <w:panose1 w:val="020F0502020204030204"/>
    <w:charset w:val="00"/>
    <w:family w:val="swiss"/>
    <w:pitch w:val="default"/>
    <w:sig w:usb0="00000000" w:usb1="00000000" w:usb2="00000001" w:usb3="00000000" w:csb0="0000019F" w:csb1="00000000"/>
  </w:font>
  <w:font w:name="Segoe UI">
    <w:panose1 w:val="020B0502040204020203"/>
    <w:charset w:val="00"/>
    <w:family w:val="auto"/>
    <w:pitch w:val="default"/>
    <w:sig w:usb0="E4002EFF" w:usb1="C000E47F" w:usb2="00000009" w:usb3="00000000" w:csb0="200001FF" w:csb1="00000000"/>
  </w:font>
  <w:font w:name="Calibri Light">
    <w:altName w:val="Segoe Print"/>
    <w:panose1 w:val="020F0302020204030204"/>
    <w:charset w:val="00"/>
    <w:family w:val="swiss"/>
    <w:pitch w:val="default"/>
    <w:sig w:usb0="00000000" w:usb1="00000000" w:usb2="00000009" w:usb3="00000000" w:csb0="200001FF" w:csb1="00000000"/>
  </w:font>
  <w:font w:name="Segoe Print">
    <w:panose1 w:val="02000600000000000000"/>
    <w:charset w:val="00"/>
    <w:family w:val="auto"/>
    <w:pitch w:val="default"/>
    <w:sig w:usb0="0000028F" w:usb1="00000000" w:usb2="00000000" w:usb3="00000000" w:csb0="2000009F" w:csb1="47010000"/>
  </w:font>
  <w:font w:name="Cambria">
    <w:altName w:val="DejaVu Math TeX Gyre"/>
    <w:panose1 w:val="02040503050406030204"/>
    <w:charset w:val="00"/>
    <w:family w:val="roman"/>
    <w:pitch w:val="default"/>
    <w:sig w:usb0="00000000" w:usb1="00000000" w:usb2="02000000" w:usb3="00000000" w:csb0="2000019F" w:csb1="00000000"/>
  </w:font>
  <w:font w:name="DejaVu Math TeX Gyre">
    <w:panose1 w:val="02000503000000000000"/>
    <w:charset w:val="00"/>
    <w:family w:val="auto"/>
    <w:pitch w:val="default"/>
    <w:sig w:usb0="A10000EF" w:usb1="4201F9EE" w:usb2="02000000" w:usb3="00000000" w:csb0="60000193" w:csb1="0DD40000"/>
  </w:font>
  <w:font w:name="Consolas">
    <w:panose1 w:val="020B0609020204030204"/>
    <w:charset w:val="00"/>
    <w:family w:val="modern"/>
    <w:pitch w:val="default"/>
    <w:sig w:usb0="E00006FF" w:usb1="0000FCFF" w:usb2="00000001" w:usb3="00000000" w:csb0="6000019F" w:csb1="DFD70000"/>
  </w:font>
  <w:font w:name="华文楷体">
    <w:altName w:val="宋体"/>
    <w:panose1 w:val="02010600040101010101"/>
    <w:charset w:val="86"/>
    <w:family w:val="auto"/>
    <w:pitch w:val="default"/>
    <w:sig w:usb0="00000000" w:usb1="00000000" w:usb2="00000000" w:usb3="00000000" w:csb0="0004009F" w:csb1="DFD70000"/>
  </w:font>
  <w:font w:name="仿宋_GB2312">
    <w:altName w:val="仿宋"/>
    <w:panose1 w:val="00000000000000000000"/>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Helvetica">
    <w:altName w:val="Arial"/>
    <w:panose1 w:val="020B0504020202020204"/>
    <w:charset w:val="00"/>
    <w:family w:val="swiss"/>
    <w:pitch w:val="default"/>
    <w:sig w:usb0="00000000" w:usb1="00000000" w:usb2="00000009" w:usb3="00000000" w:csb0="000001FF" w:csb1="00000000"/>
  </w:font>
  <w:font w:name="KSOF29153A75">
    <w:panose1 w:val="020B0502040204020203"/>
    <w:charset w:val="00"/>
    <w:family w:val="auto"/>
    <w:pitch w:val="default"/>
    <w:sig w:usb0="00000001" w:usb1="00000000" w:usb2="00000000" w:usb3="00000000" w:csb0="00000001" w:csb1="00000000"/>
  </w:font>
  <w:font w:name="KSOF1D5EAB94">
    <w:panose1 w:val="020B0802040204020203"/>
    <w:charset w:val="00"/>
    <w:family w:val="auto"/>
    <w:pitch w:val="default"/>
    <w:sig w:usb0="00000001" w:usb1="00000000" w:usb2="00000000" w:usb3="00000000" w:csb0="00000001" w:csb1="00000000"/>
  </w:font>
  <w:font w:name="Tahoma">
    <w:panose1 w:val="020B0604030504040204"/>
    <w:charset w:val="00"/>
    <w:family w:val="auto"/>
    <w:pitch w:val="default"/>
    <w:sig w:usb0="E1002EFF" w:usb1="C000605B" w:usb2="00000029" w:usb3="00000000" w:csb0="200101FF" w:csb1="20280000"/>
  </w:font>
  <w:font w:name="Microsoft YaHei UI">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967853667"/>
    </w:sdtPr>
    <w:sdtContent>
      <w:p w14:paraId="3F21F5E5">
        <w:pPr>
          <w:pStyle w:val="20"/>
          <w:jc w:val="center"/>
        </w:pPr>
        <w:r>
          <w:fldChar w:fldCharType="begin"/>
        </w:r>
        <w:r>
          <w:instrText xml:space="preserve">PAGE   \* MERGEFORMAT</w:instrText>
        </w:r>
        <w:r>
          <w:fldChar w:fldCharType="separate"/>
        </w:r>
        <w:r>
          <w:rPr>
            <w:lang w:val="zh-CN"/>
          </w:rPr>
          <w:t>4</w:t>
        </w:r>
        <w:r>
          <w:fldChar w:fldCharType="end"/>
        </w:r>
      </w:p>
    </w:sdtContent>
  </w:sdt>
  <w:p w14:paraId="4F23646B">
    <w:pPr>
      <w:pStyle w:val="2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B576CF">
    <w:pPr>
      <w:pStyle w:val="20"/>
    </w:pPr>
    <w:r>
      <w:pict>
        <v:shape id="_x0000_s4097" o:spid="_x0000_s4097" o:spt="202" type="#_x0000_t202" style="position:absolute;left:0pt;margin-top:0pt;height:144pt;width:144pt;mso-position-horizontal:center;mso-position-horizontal-relative:margin;mso-wrap-style:none;z-index:251659264;mso-width-relative:page;mso-height-relative:page;" filled="f" stroked="f" coordsize="21600,21600">
          <v:path/>
          <v:fill on="f" focussize="0,0"/>
          <v:stroke on="f" joinstyle="miter"/>
          <v:imagedata o:title=""/>
          <o:lock v:ext="edit"/>
          <v:textbox inset="0mm,0mm,0mm,0mm" style="mso-fit-shape-to-text:t;">
            <w:txbxContent>
              <w:p w14:paraId="5FD6E260">
                <w:pPr>
                  <w:pStyle w:val="20"/>
                  <w:rPr>
                    <w:rFonts w:hint="eastAsia" w:ascii="宋体" w:hAnsi="宋体" w:eastAsia="宋体" w:cs="宋体"/>
                  </w:rPr>
                </w:pPr>
                <w:r>
                  <w:rPr>
                    <w:rFonts w:hint="eastAsia" w:ascii="宋体" w:hAnsi="宋体" w:eastAsia="宋体" w:cs="宋体"/>
                  </w:rPr>
                  <w:fldChar w:fldCharType="begin"/>
                </w:r>
                <w:r>
                  <w:rPr>
                    <w:rFonts w:hint="eastAsia" w:ascii="宋体" w:hAnsi="宋体" w:eastAsia="宋体" w:cs="宋体"/>
                  </w:rPr>
                  <w:instrText xml:space="preserve"> PAGE  \* MERGEFORMAT </w:instrText>
                </w:r>
                <w:r>
                  <w:rPr>
                    <w:rFonts w:hint="eastAsia" w:ascii="宋体" w:hAnsi="宋体" w:eastAsia="宋体" w:cs="宋体"/>
                  </w:rPr>
                  <w:fldChar w:fldCharType="separate"/>
                </w:r>
                <w:r>
                  <w:rPr>
                    <w:rFonts w:ascii="宋体" w:hAnsi="宋体" w:eastAsia="宋体" w:cs="宋体"/>
                  </w:rPr>
                  <w:t>30</w:t>
                </w:r>
                <w:r>
                  <w:rPr>
                    <w:rFonts w:hint="eastAsia" w:ascii="宋体" w:hAnsi="宋体" w:eastAsia="宋体" w:cs="宋体"/>
                  </w:rPr>
                  <w:fldChar w:fldCharType="end"/>
                </w:r>
              </w:p>
            </w:txbxContent>
          </v:textbox>
        </v:shape>
      </w:pic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8DB7FD">
    <w:pPr>
      <w:pStyle w:val="22"/>
      <w:pBdr>
        <w:bottom w:val="none" w:color="auto" w:sz="0" w:space="1"/>
      </w:pBd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documentProtection w:enforcement="0"/>
  <w:defaultTabStop w:val="420"/>
  <w:drawingGridHorizontalSpacing w:val="120"/>
  <w:drawingGridVerticalSpacing w:val="163"/>
  <w:displayHorizontalDrawingGridEvery w:val="1"/>
  <w:displayVerticalDrawingGridEvery w:val="1"/>
  <w:noPunctuationKerning w:val="1"/>
  <w:characterSpacingControl w:val="compressPunctuation"/>
  <w:hdrShapeDefaults>
    <o:shapelayout v:ext="edit">
      <o:idmap v:ext="edit" data="3,4"/>
    </o:shapelayout>
  </w:hdrShapeDefaults>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2"/>
  </w:compat>
  <w:docVars>
    <w:docVar w:name="commondata" w:val="eyJoZGlkIjoiM2FlMzBlOTk3OGM4ZDg1MGNiYzQ0MGIxMGMwM2UzZTgifQ=="/>
  </w:docVars>
  <w:rsids>
    <w:rsidRoot w:val="00762818"/>
    <w:rsid w:val="00000793"/>
    <w:rsid w:val="00000951"/>
    <w:rsid w:val="00000A85"/>
    <w:rsid w:val="00000F64"/>
    <w:rsid w:val="000025C2"/>
    <w:rsid w:val="0000276B"/>
    <w:rsid w:val="00005599"/>
    <w:rsid w:val="00006DEB"/>
    <w:rsid w:val="00010163"/>
    <w:rsid w:val="0001554C"/>
    <w:rsid w:val="00031320"/>
    <w:rsid w:val="00031B09"/>
    <w:rsid w:val="000322B4"/>
    <w:rsid w:val="00034579"/>
    <w:rsid w:val="00036E90"/>
    <w:rsid w:val="00042235"/>
    <w:rsid w:val="0004480D"/>
    <w:rsid w:val="00044DF3"/>
    <w:rsid w:val="00044E2B"/>
    <w:rsid w:val="000454B9"/>
    <w:rsid w:val="00047C5C"/>
    <w:rsid w:val="00052637"/>
    <w:rsid w:val="00067000"/>
    <w:rsid w:val="000670FD"/>
    <w:rsid w:val="000701F2"/>
    <w:rsid w:val="000715F3"/>
    <w:rsid w:val="000832F0"/>
    <w:rsid w:val="0008466C"/>
    <w:rsid w:val="00085448"/>
    <w:rsid w:val="000942A8"/>
    <w:rsid w:val="00096AC9"/>
    <w:rsid w:val="000A3C75"/>
    <w:rsid w:val="000A3E4F"/>
    <w:rsid w:val="000A4B61"/>
    <w:rsid w:val="000B0E4B"/>
    <w:rsid w:val="000B1954"/>
    <w:rsid w:val="000B7CFF"/>
    <w:rsid w:val="000C168E"/>
    <w:rsid w:val="000C22F1"/>
    <w:rsid w:val="000C747A"/>
    <w:rsid w:val="000C7B74"/>
    <w:rsid w:val="000D2BF6"/>
    <w:rsid w:val="000D45BB"/>
    <w:rsid w:val="000D57AB"/>
    <w:rsid w:val="000D7FC9"/>
    <w:rsid w:val="000E35BF"/>
    <w:rsid w:val="000E48B5"/>
    <w:rsid w:val="000E6F5E"/>
    <w:rsid w:val="000E70F3"/>
    <w:rsid w:val="000E7D5A"/>
    <w:rsid w:val="000F3F4C"/>
    <w:rsid w:val="001010E0"/>
    <w:rsid w:val="00103596"/>
    <w:rsid w:val="00104A43"/>
    <w:rsid w:val="00107459"/>
    <w:rsid w:val="00112BAE"/>
    <w:rsid w:val="00117BF4"/>
    <w:rsid w:val="0012231C"/>
    <w:rsid w:val="00124281"/>
    <w:rsid w:val="00126DF4"/>
    <w:rsid w:val="0012701F"/>
    <w:rsid w:val="00131937"/>
    <w:rsid w:val="00131F5C"/>
    <w:rsid w:val="001418D5"/>
    <w:rsid w:val="00142AA3"/>
    <w:rsid w:val="00142DF7"/>
    <w:rsid w:val="001459C7"/>
    <w:rsid w:val="00152861"/>
    <w:rsid w:val="001531D3"/>
    <w:rsid w:val="00155D89"/>
    <w:rsid w:val="00162455"/>
    <w:rsid w:val="00163AFF"/>
    <w:rsid w:val="00166DF8"/>
    <w:rsid w:val="00174D21"/>
    <w:rsid w:val="001765DD"/>
    <w:rsid w:val="001768C4"/>
    <w:rsid w:val="00183858"/>
    <w:rsid w:val="0019346F"/>
    <w:rsid w:val="001939CC"/>
    <w:rsid w:val="001A0899"/>
    <w:rsid w:val="001A48FF"/>
    <w:rsid w:val="001A5C5F"/>
    <w:rsid w:val="001B101E"/>
    <w:rsid w:val="001B24BC"/>
    <w:rsid w:val="001B342B"/>
    <w:rsid w:val="001B5E18"/>
    <w:rsid w:val="001B7E9A"/>
    <w:rsid w:val="001C291F"/>
    <w:rsid w:val="001C4682"/>
    <w:rsid w:val="001C66B1"/>
    <w:rsid w:val="001C68D1"/>
    <w:rsid w:val="001D1B91"/>
    <w:rsid w:val="001D67E5"/>
    <w:rsid w:val="001D7720"/>
    <w:rsid w:val="001E25F7"/>
    <w:rsid w:val="001E2C0C"/>
    <w:rsid w:val="001F0376"/>
    <w:rsid w:val="00205351"/>
    <w:rsid w:val="00205E58"/>
    <w:rsid w:val="00207D13"/>
    <w:rsid w:val="002101C9"/>
    <w:rsid w:val="0021494C"/>
    <w:rsid w:val="00214A22"/>
    <w:rsid w:val="002168BF"/>
    <w:rsid w:val="0022717C"/>
    <w:rsid w:val="0022753C"/>
    <w:rsid w:val="002311E6"/>
    <w:rsid w:val="00236A90"/>
    <w:rsid w:val="00241FB1"/>
    <w:rsid w:val="002443A4"/>
    <w:rsid w:val="00244FFB"/>
    <w:rsid w:val="00247C54"/>
    <w:rsid w:val="00252E03"/>
    <w:rsid w:val="002541B2"/>
    <w:rsid w:val="00254BA0"/>
    <w:rsid w:val="00255C54"/>
    <w:rsid w:val="00256093"/>
    <w:rsid w:val="00257229"/>
    <w:rsid w:val="00261D88"/>
    <w:rsid w:val="00261FF1"/>
    <w:rsid w:val="00262B52"/>
    <w:rsid w:val="00262FBA"/>
    <w:rsid w:val="00276F04"/>
    <w:rsid w:val="00281967"/>
    <w:rsid w:val="00292780"/>
    <w:rsid w:val="002958C0"/>
    <w:rsid w:val="002B025C"/>
    <w:rsid w:val="002B3790"/>
    <w:rsid w:val="002B45D9"/>
    <w:rsid w:val="002B5BAD"/>
    <w:rsid w:val="002C3732"/>
    <w:rsid w:val="002C56C8"/>
    <w:rsid w:val="002C5A58"/>
    <w:rsid w:val="002C5F87"/>
    <w:rsid w:val="002D1D1D"/>
    <w:rsid w:val="002D28C9"/>
    <w:rsid w:val="002D2D3F"/>
    <w:rsid w:val="002D4B1D"/>
    <w:rsid w:val="002D7979"/>
    <w:rsid w:val="002E0F3C"/>
    <w:rsid w:val="002E3892"/>
    <w:rsid w:val="002E4640"/>
    <w:rsid w:val="002E7E33"/>
    <w:rsid w:val="002F1176"/>
    <w:rsid w:val="00300968"/>
    <w:rsid w:val="00300CAD"/>
    <w:rsid w:val="00305594"/>
    <w:rsid w:val="00311524"/>
    <w:rsid w:val="00311B48"/>
    <w:rsid w:val="00313576"/>
    <w:rsid w:val="0031552A"/>
    <w:rsid w:val="00315955"/>
    <w:rsid w:val="00316467"/>
    <w:rsid w:val="003175E8"/>
    <w:rsid w:val="00317B09"/>
    <w:rsid w:val="0033008C"/>
    <w:rsid w:val="00332E40"/>
    <w:rsid w:val="00334C02"/>
    <w:rsid w:val="00340814"/>
    <w:rsid w:val="00347436"/>
    <w:rsid w:val="00351287"/>
    <w:rsid w:val="00354C7C"/>
    <w:rsid w:val="00357E90"/>
    <w:rsid w:val="00361D92"/>
    <w:rsid w:val="00364D94"/>
    <w:rsid w:val="00365325"/>
    <w:rsid w:val="003674F4"/>
    <w:rsid w:val="00371E95"/>
    <w:rsid w:val="00377774"/>
    <w:rsid w:val="003828F9"/>
    <w:rsid w:val="0038487D"/>
    <w:rsid w:val="00385EED"/>
    <w:rsid w:val="00390ABD"/>
    <w:rsid w:val="0039597D"/>
    <w:rsid w:val="003A0953"/>
    <w:rsid w:val="003A101B"/>
    <w:rsid w:val="003A1098"/>
    <w:rsid w:val="003A1A02"/>
    <w:rsid w:val="003A670B"/>
    <w:rsid w:val="003B5197"/>
    <w:rsid w:val="003B6409"/>
    <w:rsid w:val="003C0090"/>
    <w:rsid w:val="003C0415"/>
    <w:rsid w:val="003C4823"/>
    <w:rsid w:val="003D62DE"/>
    <w:rsid w:val="003F183F"/>
    <w:rsid w:val="003F4F69"/>
    <w:rsid w:val="003F581C"/>
    <w:rsid w:val="003F7E09"/>
    <w:rsid w:val="004008E4"/>
    <w:rsid w:val="00414D30"/>
    <w:rsid w:val="004234C7"/>
    <w:rsid w:val="0043515B"/>
    <w:rsid w:val="00442118"/>
    <w:rsid w:val="00443ABB"/>
    <w:rsid w:val="00444E6D"/>
    <w:rsid w:val="00447E17"/>
    <w:rsid w:val="00452D9A"/>
    <w:rsid w:val="004541F6"/>
    <w:rsid w:val="00456261"/>
    <w:rsid w:val="00457084"/>
    <w:rsid w:val="004610CB"/>
    <w:rsid w:val="0046246C"/>
    <w:rsid w:val="004628E8"/>
    <w:rsid w:val="00464866"/>
    <w:rsid w:val="00465B73"/>
    <w:rsid w:val="00472773"/>
    <w:rsid w:val="00474AD9"/>
    <w:rsid w:val="004752CC"/>
    <w:rsid w:val="00480312"/>
    <w:rsid w:val="004805B5"/>
    <w:rsid w:val="00485324"/>
    <w:rsid w:val="00486414"/>
    <w:rsid w:val="00497110"/>
    <w:rsid w:val="00497AD7"/>
    <w:rsid w:val="004A1A7C"/>
    <w:rsid w:val="004A40EF"/>
    <w:rsid w:val="004A4861"/>
    <w:rsid w:val="004B1F60"/>
    <w:rsid w:val="004B4FE4"/>
    <w:rsid w:val="004B70F8"/>
    <w:rsid w:val="004C01EB"/>
    <w:rsid w:val="004C1978"/>
    <w:rsid w:val="004E1FD1"/>
    <w:rsid w:val="004E26B7"/>
    <w:rsid w:val="004E4733"/>
    <w:rsid w:val="004E6712"/>
    <w:rsid w:val="004F0A9C"/>
    <w:rsid w:val="004F0E00"/>
    <w:rsid w:val="004F1FE7"/>
    <w:rsid w:val="004F316F"/>
    <w:rsid w:val="004F37AA"/>
    <w:rsid w:val="00500C33"/>
    <w:rsid w:val="00502066"/>
    <w:rsid w:val="00506CB1"/>
    <w:rsid w:val="00510047"/>
    <w:rsid w:val="0051167C"/>
    <w:rsid w:val="005124CB"/>
    <w:rsid w:val="00513FE3"/>
    <w:rsid w:val="00514F6D"/>
    <w:rsid w:val="00520875"/>
    <w:rsid w:val="00520962"/>
    <w:rsid w:val="00522553"/>
    <w:rsid w:val="005234A3"/>
    <w:rsid w:val="00526C03"/>
    <w:rsid w:val="005305D2"/>
    <w:rsid w:val="005337B6"/>
    <w:rsid w:val="0053478D"/>
    <w:rsid w:val="005353CA"/>
    <w:rsid w:val="0056122B"/>
    <w:rsid w:val="00561857"/>
    <w:rsid w:val="005634F2"/>
    <w:rsid w:val="00567562"/>
    <w:rsid w:val="005701D2"/>
    <w:rsid w:val="00573743"/>
    <w:rsid w:val="00573976"/>
    <w:rsid w:val="00576607"/>
    <w:rsid w:val="005821E9"/>
    <w:rsid w:val="00583827"/>
    <w:rsid w:val="00593D87"/>
    <w:rsid w:val="005944B5"/>
    <w:rsid w:val="005A0DD3"/>
    <w:rsid w:val="005A2939"/>
    <w:rsid w:val="005A620C"/>
    <w:rsid w:val="005B10B6"/>
    <w:rsid w:val="005B31F4"/>
    <w:rsid w:val="005B772B"/>
    <w:rsid w:val="005C27FF"/>
    <w:rsid w:val="005C395C"/>
    <w:rsid w:val="005C496E"/>
    <w:rsid w:val="005C7949"/>
    <w:rsid w:val="005D0D76"/>
    <w:rsid w:val="005D319D"/>
    <w:rsid w:val="005D75DB"/>
    <w:rsid w:val="005E2A15"/>
    <w:rsid w:val="005E3C5B"/>
    <w:rsid w:val="005E4EDE"/>
    <w:rsid w:val="005F2397"/>
    <w:rsid w:val="005F2D24"/>
    <w:rsid w:val="005F454A"/>
    <w:rsid w:val="005F68F9"/>
    <w:rsid w:val="005F713E"/>
    <w:rsid w:val="005F7E5C"/>
    <w:rsid w:val="006020CF"/>
    <w:rsid w:val="00603063"/>
    <w:rsid w:val="00604CA7"/>
    <w:rsid w:val="0061167A"/>
    <w:rsid w:val="00611CC3"/>
    <w:rsid w:val="00614EAC"/>
    <w:rsid w:val="00615254"/>
    <w:rsid w:val="00620396"/>
    <w:rsid w:val="0062165C"/>
    <w:rsid w:val="0062414C"/>
    <w:rsid w:val="006243AE"/>
    <w:rsid w:val="0063311D"/>
    <w:rsid w:val="006351EB"/>
    <w:rsid w:val="0063669E"/>
    <w:rsid w:val="00637D13"/>
    <w:rsid w:val="00646DEA"/>
    <w:rsid w:val="00646F7B"/>
    <w:rsid w:val="00652B79"/>
    <w:rsid w:val="00660396"/>
    <w:rsid w:val="00666817"/>
    <w:rsid w:val="0067125A"/>
    <w:rsid w:val="00675558"/>
    <w:rsid w:val="00677D76"/>
    <w:rsid w:val="00683175"/>
    <w:rsid w:val="0069234F"/>
    <w:rsid w:val="00693F23"/>
    <w:rsid w:val="0069627A"/>
    <w:rsid w:val="0069718C"/>
    <w:rsid w:val="00697B31"/>
    <w:rsid w:val="006A48F6"/>
    <w:rsid w:val="006A5E55"/>
    <w:rsid w:val="006B1301"/>
    <w:rsid w:val="006B5C21"/>
    <w:rsid w:val="006C0766"/>
    <w:rsid w:val="006C3148"/>
    <w:rsid w:val="006C5626"/>
    <w:rsid w:val="006C6808"/>
    <w:rsid w:val="006D4209"/>
    <w:rsid w:val="006D44BD"/>
    <w:rsid w:val="006D5FFB"/>
    <w:rsid w:val="006D68D7"/>
    <w:rsid w:val="006E0C49"/>
    <w:rsid w:val="006E17DF"/>
    <w:rsid w:val="006E3327"/>
    <w:rsid w:val="006E54B4"/>
    <w:rsid w:val="006E7F61"/>
    <w:rsid w:val="006F5D1F"/>
    <w:rsid w:val="006F72E0"/>
    <w:rsid w:val="006F7F04"/>
    <w:rsid w:val="00700289"/>
    <w:rsid w:val="00705784"/>
    <w:rsid w:val="00714BD3"/>
    <w:rsid w:val="00715376"/>
    <w:rsid w:val="00722018"/>
    <w:rsid w:val="00723000"/>
    <w:rsid w:val="00723FFD"/>
    <w:rsid w:val="00732EF4"/>
    <w:rsid w:val="00733BDC"/>
    <w:rsid w:val="007343DC"/>
    <w:rsid w:val="00736033"/>
    <w:rsid w:val="00736FBE"/>
    <w:rsid w:val="00742804"/>
    <w:rsid w:val="00745DB7"/>
    <w:rsid w:val="007526E0"/>
    <w:rsid w:val="00756965"/>
    <w:rsid w:val="0075707D"/>
    <w:rsid w:val="00757E59"/>
    <w:rsid w:val="00761931"/>
    <w:rsid w:val="00762818"/>
    <w:rsid w:val="0076329F"/>
    <w:rsid w:val="00764EAC"/>
    <w:rsid w:val="007720F3"/>
    <w:rsid w:val="00772137"/>
    <w:rsid w:val="00772C0D"/>
    <w:rsid w:val="00780AF4"/>
    <w:rsid w:val="00780C8C"/>
    <w:rsid w:val="007825FF"/>
    <w:rsid w:val="00786457"/>
    <w:rsid w:val="007877D0"/>
    <w:rsid w:val="007879AF"/>
    <w:rsid w:val="0079120F"/>
    <w:rsid w:val="0079142C"/>
    <w:rsid w:val="00791A16"/>
    <w:rsid w:val="00791C94"/>
    <w:rsid w:val="007A06FB"/>
    <w:rsid w:val="007A29F4"/>
    <w:rsid w:val="007B45E4"/>
    <w:rsid w:val="007B56F8"/>
    <w:rsid w:val="007B5790"/>
    <w:rsid w:val="007C0AF4"/>
    <w:rsid w:val="007C43D5"/>
    <w:rsid w:val="007C55FE"/>
    <w:rsid w:val="007C58EE"/>
    <w:rsid w:val="007D1342"/>
    <w:rsid w:val="007D1726"/>
    <w:rsid w:val="007D4E73"/>
    <w:rsid w:val="007D5790"/>
    <w:rsid w:val="007D5C3A"/>
    <w:rsid w:val="007D6D5A"/>
    <w:rsid w:val="007D7696"/>
    <w:rsid w:val="007E4122"/>
    <w:rsid w:val="007E45E0"/>
    <w:rsid w:val="00806676"/>
    <w:rsid w:val="00810570"/>
    <w:rsid w:val="00820884"/>
    <w:rsid w:val="00821D26"/>
    <w:rsid w:val="00822AFE"/>
    <w:rsid w:val="00822B9D"/>
    <w:rsid w:val="00824914"/>
    <w:rsid w:val="00825626"/>
    <w:rsid w:val="00832BE9"/>
    <w:rsid w:val="00836B0B"/>
    <w:rsid w:val="00844459"/>
    <w:rsid w:val="0085096D"/>
    <w:rsid w:val="008518AE"/>
    <w:rsid w:val="008569DB"/>
    <w:rsid w:val="0086295C"/>
    <w:rsid w:val="00872FA0"/>
    <w:rsid w:val="0087445D"/>
    <w:rsid w:val="008830E0"/>
    <w:rsid w:val="00890F52"/>
    <w:rsid w:val="00893843"/>
    <w:rsid w:val="00894572"/>
    <w:rsid w:val="00895473"/>
    <w:rsid w:val="008A2836"/>
    <w:rsid w:val="008A290B"/>
    <w:rsid w:val="008A2C89"/>
    <w:rsid w:val="008A41CC"/>
    <w:rsid w:val="008A7D0D"/>
    <w:rsid w:val="008B5AA9"/>
    <w:rsid w:val="008B62C0"/>
    <w:rsid w:val="008C1DE7"/>
    <w:rsid w:val="008C3BBB"/>
    <w:rsid w:val="008C445D"/>
    <w:rsid w:val="008C5AA5"/>
    <w:rsid w:val="008C5BCE"/>
    <w:rsid w:val="008D3D76"/>
    <w:rsid w:val="008E3161"/>
    <w:rsid w:val="008E512E"/>
    <w:rsid w:val="008E551C"/>
    <w:rsid w:val="008E5DA8"/>
    <w:rsid w:val="008E72A4"/>
    <w:rsid w:val="008F0163"/>
    <w:rsid w:val="008F1396"/>
    <w:rsid w:val="008F19CA"/>
    <w:rsid w:val="008F2D0E"/>
    <w:rsid w:val="0090080E"/>
    <w:rsid w:val="00900860"/>
    <w:rsid w:val="0090093E"/>
    <w:rsid w:val="00903215"/>
    <w:rsid w:val="009047D9"/>
    <w:rsid w:val="00904C73"/>
    <w:rsid w:val="0090659B"/>
    <w:rsid w:val="00907D5C"/>
    <w:rsid w:val="00921618"/>
    <w:rsid w:val="00924771"/>
    <w:rsid w:val="00927F35"/>
    <w:rsid w:val="00934F38"/>
    <w:rsid w:val="00935BAE"/>
    <w:rsid w:val="00935D6F"/>
    <w:rsid w:val="00944040"/>
    <w:rsid w:val="00945641"/>
    <w:rsid w:val="0094582B"/>
    <w:rsid w:val="00950AD7"/>
    <w:rsid w:val="00953DB9"/>
    <w:rsid w:val="009615B6"/>
    <w:rsid w:val="009623FA"/>
    <w:rsid w:val="00962FA2"/>
    <w:rsid w:val="009664F8"/>
    <w:rsid w:val="00970B80"/>
    <w:rsid w:val="009747EE"/>
    <w:rsid w:val="00984458"/>
    <w:rsid w:val="009852B6"/>
    <w:rsid w:val="00991EAB"/>
    <w:rsid w:val="00992D07"/>
    <w:rsid w:val="00995B9D"/>
    <w:rsid w:val="00996AC0"/>
    <w:rsid w:val="009B0CE0"/>
    <w:rsid w:val="009B10FE"/>
    <w:rsid w:val="009B1131"/>
    <w:rsid w:val="009B1BF2"/>
    <w:rsid w:val="009C3185"/>
    <w:rsid w:val="009C36AD"/>
    <w:rsid w:val="009C40C3"/>
    <w:rsid w:val="009C414C"/>
    <w:rsid w:val="009C4A14"/>
    <w:rsid w:val="009C4C00"/>
    <w:rsid w:val="009C6BF8"/>
    <w:rsid w:val="009C7007"/>
    <w:rsid w:val="009D0A81"/>
    <w:rsid w:val="009D17DE"/>
    <w:rsid w:val="009D3189"/>
    <w:rsid w:val="009D57BA"/>
    <w:rsid w:val="009D59D3"/>
    <w:rsid w:val="009E3EC3"/>
    <w:rsid w:val="009E7582"/>
    <w:rsid w:val="009F32EC"/>
    <w:rsid w:val="009F3956"/>
    <w:rsid w:val="009F4724"/>
    <w:rsid w:val="009F5104"/>
    <w:rsid w:val="00A007CC"/>
    <w:rsid w:val="00A01BE1"/>
    <w:rsid w:val="00A01D2E"/>
    <w:rsid w:val="00A03318"/>
    <w:rsid w:val="00A068E2"/>
    <w:rsid w:val="00A10F11"/>
    <w:rsid w:val="00A13D3D"/>
    <w:rsid w:val="00A17C18"/>
    <w:rsid w:val="00A24203"/>
    <w:rsid w:val="00A24C07"/>
    <w:rsid w:val="00A256A5"/>
    <w:rsid w:val="00A25BC9"/>
    <w:rsid w:val="00A273EB"/>
    <w:rsid w:val="00A3247F"/>
    <w:rsid w:val="00A33D0F"/>
    <w:rsid w:val="00A34EA5"/>
    <w:rsid w:val="00A378C1"/>
    <w:rsid w:val="00A42C52"/>
    <w:rsid w:val="00A439D6"/>
    <w:rsid w:val="00A44A20"/>
    <w:rsid w:val="00A46087"/>
    <w:rsid w:val="00A5469B"/>
    <w:rsid w:val="00A55E7D"/>
    <w:rsid w:val="00A569F4"/>
    <w:rsid w:val="00A57EA9"/>
    <w:rsid w:val="00A600AF"/>
    <w:rsid w:val="00A64709"/>
    <w:rsid w:val="00A65FAD"/>
    <w:rsid w:val="00A677F3"/>
    <w:rsid w:val="00A725C0"/>
    <w:rsid w:val="00A74B64"/>
    <w:rsid w:val="00A81D43"/>
    <w:rsid w:val="00A85354"/>
    <w:rsid w:val="00A87DEB"/>
    <w:rsid w:val="00A91C39"/>
    <w:rsid w:val="00A947B3"/>
    <w:rsid w:val="00A956F8"/>
    <w:rsid w:val="00A97E7A"/>
    <w:rsid w:val="00AA1693"/>
    <w:rsid w:val="00AA2F1E"/>
    <w:rsid w:val="00AA64E7"/>
    <w:rsid w:val="00AB0EE8"/>
    <w:rsid w:val="00AB1D41"/>
    <w:rsid w:val="00AB3537"/>
    <w:rsid w:val="00AB3592"/>
    <w:rsid w:val="00AB6EC8"/>
    <w:rsid w:val="00AC5931"/>
    <w:rsid w:val="00AD1367"/>
    <w:rsid w:val="00AD1ADB"/>
    <w:rsid w:val="00AD3BE7"/>
    <w:rsid w:val="00AD4246"/>
    <w:rsid w:val="00AD715A"/>
    <w:rsid w:val="00AE01F1"/>
    <w:rsid w:val="00AE0361"/>
    <w:rsid w:val="00AE0D44"/>
    <w:rsid w:val="00AE200E"/>
    <w:rsid w:val="00AE2795"/>
    <w:rsid w:val="00AE5102"/>
    <w:rsid w:val="00AE7E34"/>
    <w:rsid w:val="00AF084A"/>
    <w:rsid w:val="00AF232E"/>
    <w:rsid w:val="00AF572F"/>
    <w:rsid w:val="00B002C6"/>
    <w:rsid w:val="00B0386A"/>
    <w:rsid w:val="00B06BFE"/>
    <w:rsid w:val="00B106BC"/>
    <w:rsid w:val="00B10942"/>
    <w:rsid w:val="00B11190"/>
    <w:rsid w:val="00B1313B"/>
    <w:rsid w:val="00B14A90"/>
    <w:rsid w:val="00B15C54"/>
    <w:rsid w:val="00B16385"/>
    <w:rsid w:val="00B329FD"/>
    <w:rsid w:val="00B34D8C"/>
    <w:rsid w:val="00B41039"/>
    <w:rsid w:val="00B51011"/>
    <w:rsid w:val="00B553F9"/>
    <w:rsid w:val="00B60B11"/>
    <w:rsid w:val="00B61A0C"/>
    <w:rsid w:val="00B638B5"/>
    <w:rsid w:val="00B656E2"/>
    <w:rsid w:val="00B73452"/>
    <w:rsid w:val="00B74F49"/>
    <w:rsid w:val="00B75EB0"/>
    <w:rsid w:val="00B862B7"/>
    <w:rsid w:val="00B902D4"/>
    <w:rsid w:val="00B91EDD"/>
    <w:rsid w:val="00B942D4"/>
    <w:rsid w:val="00B956AF"/>
    <w:rsid w:val="00BA0259"/>
    <w:rsid w:val="00BA2465"/>
    <w:rsid w:val="00BA6147"/>
    <w:rsid w:val="00BA717A"/>
    <w:rsid w:val="00BA78AA"/>
    <w:rsid w:val="00BB1975"/>
    <w:rsid w:val="00BB2495"/>
    <w:rsid w:val="00BB561D"/>
    <w:rsid w:val="00BB753A"/>
    <w:rsid w:val="00BB7BB0"/>
    <w:rsid w:val="00BB7E6F"/>
    <w:rsid w:val="00BC0A6E"/>
    <w:rsid w:val="00BC135D"/>
    <w:rsid w:val="00BC1D7E"/>
    <w:rsid w:val="00BC6236"/>
    <w:rsid w:val="00BD35DA"/>
    <w:rsid w:val="00BD78CC"/>
    <w:rsid w:val="00BF5158"/>
    <w:rsid w:val="00BF7C00"/>
    <w:rsid w:val="00C0111F"/>
    <w:rsid w:val="00C11B57"/>
    <w:rsid w:val="00C121DC"/>
    <w:rsid w:val="00C14623"/>
    <w:rsid w:val="00C163BD"/>
    <w:rsid w:val="00C170FC"/>
    <w:rsid w:val="00C20755"/>
    <w:rsid w:val="00C20D97"/>
    <w:rsid w:val="00C21281"/>
    <w:rsid w:val="00C219A9"/>
    <w:rsid w:val="00C24976"/>
    <w:rsid w:val="00C32C3F"/>
    <w:rsid w:val="00C34281"/>
    <w:rsid w:val="00C4357E"/>
    <w:rsid w:val="00C44464"/>
    <w:rsid w:val="00C469CF"/>
    <w:rsid w:val="00C47104"/>
    <w:rsid w:val="00C5257F"/>
    <w:rsid w:val="00C5491A"/>
    <w:rsid w:val="00C54E07"/>
    <w:rsid w:val="00C555BD"/>
    <w:rsid w:val="00C56802"/>
    <w:rsid w:val="00C57C90"/>
    <w:rsid w:val="00C63366"/>
    <w:rsid w:val="00C70DF6"/>
    <w:rsid w:val="00C77713"/>
    <w:rsid w:val="00C77969"/>
    <w:rsid w:val="00C8147F"/>
    <w:rsid w:val="00C82A95"/>
    <w:rsid w:val="00C8358E"/>
    <w:rsid w:val="00C85972"/>
    <w:rsid w:val="00C86C8E"/>
    <w:rsid w:val="00C95688"/>
    <w:rsid w:val="00C95CC6"/>
    <w:rsid w:val="00C960C9"/>
    <w:rsid w:val="00CA1A7E"/>
    <w:rsid w:val="00CA3AF4"/>
    <w:rsid w:val="00CA6A60"/>
    <w:rsid w:val="00CB47D2"/>
    <w:rsid w:val="00CB6638"/>
    <w:rsid w:val="00CB7752"/>
    <w:rsid w:val="00CB7979"/>
    <w:rsid w:val="00CC00E9"/>
    <w:rsid w:val="00CC2A13"/>
    <w:rsid w:val="00CC3265"/>
    <w:rsid w:val="00CC4481"/>
    <w:rsid w:val="00CC4808"/>
    <w:rsid w:val="00CD1178"/>
    <w:rsid w:val="00CD33D1"/>
    <w:rsid w:val="00CD6B72"/>
    <w:rsid w:val="00CD79E4"/>
    <w:rsid w:val="00CE1251"/>
    <w:rsid w:val="00CE2363"/>
    <w:rsid w:val="00CE328B"/>
    <w:rsid w:val="00CE3955"/>
    <w:rsid w:val="00CF22FD"/>
    <w:rsid w:val="00CF61C1"/>
    <w:rsid w:val="00CF6D77"/>
    <w:rsid w:val="00D0296A"/>
    <w:rsid w:val="00D141C0"/>
    <w:rsid w:val="00D25895"/>
    <w:rsid w:val="00D27818"/>
    <w:rsid w:val="00D32873"/>
    <w:rsid w:val="00D36343"/>
    <w:rsid w:val="00D411C3"/>
    <w:rsid w:val="00D41F98"/>
    <w:rsid w:val="00D44AA0"/>
    <w:rsid w:val="00D46C95"/>
    <w:rsid w:val="00D46D41"/>
    <w:rsid w:val="00D5729E"/>
    <w:rsid w:val="00D576CC"/>
    <w:rsid w:val="00D61695"/>
    <w:rsid w:val="00D71BDA"/>
    <w:rsid w:val="00D7217F"/>
    <w:rsid w:val="00D84029"/>
    <w:rsid w:val="00D84BE2"/>
    <w:rsid w:val="00D90256"/>
    <w:rsid w:val="00D90837"/>
    <w:rsid w:val="00D92A32"/>
    <w:rsid w:val="00D95038"/>
    <w:rsid w:val="00DA0943"/>
    <w:rsid w:val="00DA0FD8"/>
    <w:rsid w:val="00DA25A3"/>
    <w:rsid w:val="00DC22F2"/>
    <w:rsid w:val="00DC2B4F"/>
    <w:rsid w:val="00DC2E51"/>
    <w:rsid w:val="00DC3B39"/>
    <w:rsid w:val="00DC4A9D"/>
    <w:rsid w:val="00DC52A6"/>
    <w:rsid w:val="00DD1F90"/>
    <w:rsid w:val="00DD7CD6"/>
    <w:rsid w:val="00DE3097"/>
    <w:rsid w:val="00DE32BD"/>
    <w:rsid w:val="00DE4027"/>
    <w:rsid w:val="00DE6285"/>
    <w:rsid w:val="00DF0F15"/>
    <w:rsid w:val="00DF1958"/>
    <w:rsid w:val="00DF2760"/>
    <w:rsid w:val="00DF4CCB"/>
    <w:rsid w:val="00E00004"/>
    <w:rsid w:val="00E0007E"/>
    <w:rsid w:val="00E00F18"/>
    <w:rsid w:val="00E07C1A"/>
    <w:rsid w:val="00E108CA"/>
    <w:rsid w:val="00E110F9"/>
    <w:rsid w:val="00E114FA"/>
    <w:rsid w:val="00E20BAA"/>
    <w:rsid w:val="00E2119F"/>
    <w:rsid w:val="00E2170C"/>
    <w:rsid w:val="00E22756"/>
    <w:rsid w:val="00E23B62"/>
    <w:rsid w:val="00E26FA7"/>
    <w:rsid w:val="00E2741B"/>
    <w:rsid w:val="00E31E23"/>
    <w:rsid w:val="00E33C45"/>
    <w:rsid w:val="00E3466B"/>
    <w:rsid w:val="00E37C6E"/>
    <w:rsid w:val="00E404C4"/>
    <w:rsid w:val="00E412EA"/>
    <w:rsid w:val="00E458B8"/>
    <w:rsid w:val="00E50A92"/>
    <w:rsid w:val="00E5179D"/>
    <w:rsid w:val="00E51C82"/>
    <w:rsid w:val="00E5205A"/>
    <w:rsid w:val="00E5219B"/>
    <w:rsid w:val="00E61F73"/>
    <w:rsid w:val="00E63490"/>
    <w:rsid w:val="00E6448E"/>
    <w:rsid w:val="00E66032"/>
    <w:rsid w:val="00E67810"/>
    <w:rsid w:val="00E70DD9"/>
    <w:rsid w:val="00E7274A"/>
    <w:rsid w:val="00E73959"/>
    <w:rsid w:val="00E75F0F"/>
    <w:rsid w:val="00E806AF"/>
    <w:rsid w:val="00E81350"/>
    <w:rsid w:val="00E81B13"/>
    <w:rsid w:val="00E8552C"/>
    <w:rsid w:val="00E8799D"/>
    <w:rsid w:val="00E901EB"/>
    <w:rsid w:val="00E90A39"/>
    <w:rsid w:val="00E9184C"/>
    <w:rsid w:val="00E92041"/>
    <w:rsid w:val="00E9296C"/>
    <w:rsid w:val="00E92A94"/>
    <w:rsid w:val="00E956A2"/>
    <w:rsid w:val="00E9758D"/>
    <w:rsid w:val="00EA34AF"/>
    <w:rsid w:val="00EA6583"/>
    <w:rsid w:val="00EA78CA"/>
    <w:rsid w:val="00EB0D24"/>
    <w:rsid w:val="00EB17D7"/>
    <w:rsid w:val="00EB2411"/>
    <w:rsid w:val="00EC51E9"/>
    <w:rsid w:val="00EC786C"/>
    <w:rsid w:val="00ED06DF"/>
    <w:rsid w:val="00EE17A5"/>
    <w:rsid w:val="00EE2A6D"/>
    <w:rsid w:val="00EF0A27"/>
    <w:rsid w:val="00EF2E7F"/>
    <w:rsid w:val="00EF4352"/>
    <w:rsid w:val="00EF5BA2"/>
    <w:rsid w:val="00F04CF0"/>
    <w:rsid w:val="00F07A5C"/>
    <w:rsid w:val="00F1282F"/>
    <w:rsid w:val="00F13651"/>
    <w:rsid w:val="00F15A4A"/>
    <w:rsid w:val="00F20BAC"/>
    <w:rsid w:val="00F22B45"/>
    <w:rsid w:val="00F23604"/>
    <w:rsid w:val="00F26229"/>
    <w:rsid w:val="00F359EB"/>
    <w:rsid w:val="00F376B6"/>
    <w:rsid w:val="00F37BF3"/>
    <w:rsid w:val="00F44273"/>
    <w:rsid w:val="00F4429C"/>
    <w:rsid w:val="00F501E9"/>
    <w:rsid w:val="00F50C18"/>
    <w:rsid w:val="00F50FB9"/>
    <w:rsid w:val="00F539F8"/>
    <w:rsid w:val="00F56CD1"/>
    <w:rsid w:val="00F56D7A"/>
    <w:rsid w:val="00F612D5"/>
    <w:rsid w:val="00F62095"/>
    <w:rsid w:val="00F6256E"/>
    <w:rsid w:val="00F730FD"/>
    <w:rsid w:val="00F73111"/>
    <w:rsid w:val="00F7720B"/>
    <w:rsid w:val="00F77CC5"/>
    <w:rsid w:val="00F80EF1"/>
    <w:rsid w:val="00F814A7"/>
    <w:rsid w:val="00F822F9"/>
    <w:rsid w:val="00F82958"/>
    <w:rsid w:val="00F8474A"/>
    <w:rsid w:val="00F85BA7"/>
    <w:rsid w:val="00F8634F"/>
    <w:rsid w:val="00F86659"/>
    <w:rsid w:val="00F90D03"/>
    <w:rsid w:val="00F9231F"/>
    <w:rsid w:val="00F92DAF"/>
    <w:rsid w:val="00F966CE"/>
    <w:rsid w:val="00F97C17"/>
    <w:rsid w:val="00FA12B5"/>
    <w:rsid w:val="00FA4EAC"/>
    <w:rsid w:val="00FA767C"/>
    <w:rsid w:val="00FB3C59"/>
    <w:rsid w:val="00FC3651"/>
    <w:rsid w:val="00FD029C"/>
    <w:rsid w:val="00FD2761"/>
    <w:rsid w:val="00FD3F7E"/>
    <w:rsid w:val="00FD5AB3"/>
    <w:rsid w:val="00FD7DD3"/>
    <w:rsid w:val="00FE02CB"/>
    <w:rsid w:val="00FE38C0"/>
    <w:rsid w:val="00FE7D7F"/>
    <w:rsid w:val="00FF0C72"/>
    <w:rsid w:val="00FF1445"/>
    <w:rsid w:val="00FF231C"/>
    <w:rsid w:val="00FF361C"/>
    <w:rsid w:val="00FF6F5C"/>
    <w:rsid w:val="01207B0A"/>
    <w:rsid w:val="015E4AD6"/>
    <w:rsid w:val="01913B53"/>
    <w:rsid w:val="02902A6D"/>
    <w:rsid w:val="02B91200"/>
    <w:rsid w:val="02DC69F8"/>
    <w:rsid w:val="03D27BB9"/>
    <w:rsid w:val="04B50EB1"/>
    <w:rsid w:val="04FA2D68"/>
    <w:rsid w:val="05085408"/>
    <w:rsid w:val="0523406D"/>
    <w:rsid w:val="069F5975"/>
    <w:rsid w:val="06B3161C"/>
    <w:rsid w:val="06FF6413"/>
    <w:rsid w:val="07457030"/>
    <w:rsid w:val="07630750"/>
    <w:rsid w:val="07D01B5E"/>
    <w:rsid w:val="084B203D"/>
    <w:rsid w:val="089B2955"/>
    <w:rsid w:val="089D3FDB"/>
    <w:rsid w:val="08BB636A"/>
    <w:rsid w:val="08DB5BFA"/>
    <w:rsid w:val="0926503A"/>
    <w:rsid w:val="0946657C"/>
    <w:rsid w:val="09EA260E"/>
    <w:rsid w:val="0A814129"/>
    <w:rsid w:val="0A9F0701"/>
    <w:rsid w:val="0ABB3E3F"/>
    <w:rsid w:val="0B186F16"/>
    <w:rsid w:val="0B8B2A81"/>
    <w:rsid w:val="0BAA5C9D"/>
    <w:rsid w:val="0C745424"/>
    <w:rsid w:val="0CFF51AF"/>
    <w:rsid w:val="0E1924B1"/>
    <w:rsid w:val="0E8C2C83"/>
    <w:rsid w:val="0EE228A3"/>
    <w:rsid w:val="102F0B8C"/>
    <w:rsid w:val="106A35BB"/>
    <w:rsid w:val="10AD7440"/>
    <w:rsid w:val="10DB3009"/>
    <w:rsid w:val="11531836"/>
    <w:rsid w:val="11812847"/>
    <w:rsid w:val="1193257A"/>
    <w:rsid w:val="12CD386A"/>
    <w:rsid w:val="13044405"/>
    <w:rsid w:val="13313E49"/>
    <w:rsid w:val="13AC3173"/>
    <w:rsid w:val="14380C8E"/>
    <w:rsid w:val="147D74EC"/>
    <w:rsid w:val="14CB780F"/>
    <w:rsid w:val="14D26F15"/>
    <w:rsid w:val="15C01BF2"/>
    <w:rsid w:val="15EC4007"/>
    <w:rsid w:val="16866209"/>
    <w:rsid w:val="16CD467C"/>
    <w:rsid w:val="16F72C63"/>
    <w:rsid w:val="175E3EB2"/>
    <w:rsid w:val="179F7397"/>
    <w:rsid w:val="17AC1CA0"/>
    <w:rsid w:val="17F61A17"/>
    <w:rsid w:val="1890511D"/>
    <w:rsid w:val="18B352B0"/>
    <w:rsid w:val="18DA6CE0"/>
    <w:rsid w:val="190257B4"/>
    <w:rsid w:val="190B7602"/>
    <w:rsid w:val="19DB3D80"/>
    <w:rsid w:val="19F65454"/>
    <w:rsid w:val="1A500F61"/>
    <w:rsid w:val="1A516B2E"/>
    <w:rsid w:val="1A533956"/>
    <w:rsid w:val="1A864A2A"/>
    <w:rsid w:val="1AF51BB0"/>
    <w:rsid w:val="1B0F3B71"/>
    <w:rsid w:val="1B917B2A"/>
    <w:rsid w:val="1BD9327F"/>
    <w:rsid w:val="1BDD2C24"/>
    <w:rsid w:val="1C1775FC"/>
    <w:rsid w:val="1C3D43D1"/>
    <w:rsid w:val="1C632B49"/>
    <w:rsid w:val="1CC651D8"/>
    <w:rsid w:val="1D4B0418"/>
    <w:rsid w:val="1DA91EB1"/>
    <w:rsid w:val="1DCB6BF8"/>
    <w:rsid w:val="1DE2466D"/>
    <w:rsid w:val="1DFD2EEB"/>
    <w:rsid w:val="1E566E09"/>
    <w:rsid w:val="1F1705AD"/>
    <w:rsid w:val="1F271F5F"/>
    <w:rsid w:val="1F5557C0"/>
    <w:rsid w:val="1F770DE5"/>
    <w:rsid w:val="1F78690B"/>
    <w:rsid w:val="1F874453"/>
    <w:rsid w:val="20CC5D55"/>
    <w:rsid w:val="21026DD4"/>
    <w:rsid w:val="21E41F66"/>
    <w:rsid w:val="22D40EB5"/>
    <w:rsid w:val="22F025CC"/>
    <w:rsid w:val="234750CE"/>
    <w:rsid w:val="23A14683"/>
    <w:rsid w:val="23CB7951"/>
    <w:rsid w:val="248F097F"/>
    <w:rsid w:val="24D568E7"/>
    <w:rsid w:val="24FB6069"/>
    <w:rsid w:val="25662520"/>
    <w:rsid w:val="257C53A7"/>
    <w:rsid w:val="262619C5"/>
    <w:rsid w:val="26380BF9"/>
    <w:rsid w:val="264677C7"/>
    <w:rsid w:val="264E519F"/>
    <w:rsid w:val="267A445C"/>
    <w:rsid w:val="27344249"/>
    <w:rsid w:val="27673E35"/>
    <w:rsid w:val="27C91581"/>
    <w:rsid w:val="28722E89"/>
    <w:rsid w:val="28C677CB"/>
    <w:rsid w:val="28DE6577"/>
    <w:rsid w:val="29127DD1"/>
    <w:rsid w:val="293E0BC6"/>
    <w:rsid w:val="29F64FFC"/>
    <w:rsid w:val="2A092903"/>
    <w:rsid w:val="2AAD0B5C"/>
    <w:rsid w:val="2B082085"/>
    <w:rsid w:val="2B607CC3"/>
    <w:rsid w:val="2B8E2201"/>
    <w:rsid w:val="2C2A6795"/>
    <w:rsid w:val="2C7C54EB"/>
    <w:rsid w:val="2CB73169"/>
    <w:rsid w:val="2CEB6FAF"/>
    <w:rsid w:val="2D356274"/>
    <w:rsid w:val="2D4367AA"/>
    <w:rsid w:val="2D7509B3"/>
    <w:rsid w:val="2DA0687A"/>
    <w:rsid w:val="2E0A211F"/>
    <w:rsid w:val="2E383E35"/>
    <w:rsid w:val="2E5629C0"/>
    <w:rsid w:val="2EF273A9"/>
    <w:rsid w:val="2FA726B7"/>
    <w:rsid w:val="2FAA48BF"/>
    <w:rsid w:val="30150C77"/>
    <w:rsid w:val="30A21A3A"/>
    <w:rsid w:val="30B01036"/>
    <w:rsid w:val="30E24E48"/>
    <w:rsid w:val="30F524B2"/>
    <w:rsid w:val="314F1BC2"/>
    <w:rsid w:val="31A041CB"/>
    <w:rsid w:val="321338D5"/>
    <w:rsid w:val="32432DA9"/>
    <w:rsid w:val="324E2E79"/>
    <w:rsid w:val="32524156"/>
    <w:rsid w:val="326C2300"/>
    <w:rsid w:val="327A0EC0"/>
    <w:rsid w:val="33325417"/>
    <w:rsid w:val="3350792B"/>
    <w:rsid w:val="33F26952"/>
    <w:rsid w:val="351C4E29"/>
    <w:rsid w:val="35481339"/>
    <w:rsid w:val="35527ED3"/>
    <w:rsid w:val="360C62D3"/>
    <w:rsid w:val="36107446"/>
    <w:rsid w:val="362B7978"/>
    <w:rsid w:val="363E0457"/>
    <w:rsid w:val="36453D49"/>
    <w:rsid w:val="366C6D72"/>
    <w:rsid w:val="366D3E8C"/>
    <w:rsid w:val="36890D20"/>
    <w:rsid w:val="36987B67"/>
    <w:rsid w:val="36AF3103"/>
    <w:rsid w:val="3712518B"/>
    <w:rsid w:val="37500A63"/>
    <w:rsid w:val="379F79DC"/>
    <w:rsid w:val="37F232A7"/>
    <w:rsid w:val="37F73595"/>
    <w:rsid w:val="37F96EAD"/>
    <w:rsid w:val="38505BB5"/>
    <w:rsid w:val="389F4363"/>
    <w:rsid w:val="38A87E0A"/>
    <w:rsid w:val="38B35171"/>
    <w:rsid w:val="39AB5E03"/>
    <w:rsid w:val="39CC2DEE"/>
    <w:rsid w:val="39F552D0"/>
    <w:rsid w:val="3A286049"/>
    <w:rsid w:val="3A5838C6"/>
    <w:rsid w:val="3AB26D1E"/>
    <w:rsid w:val="3B3B3313"/>
    <w:rsid w:val="3B516536"/>
    <w:rsid w:val="3B733902"/>
    <w:rsid w:val="3BAC5E63"/>
    <w:rsid w:val="3BE67FAB"/>
    <w:rsid w:val="3C97441D"/>
    <w:rsid w:val="3CE77152"/>
    <w:rsid w:val="3D755F71"/>
    <w:rsid w:val="3D7A2536"/>
    <w:rsid w:val="3DE0717E"/>
    <w:rsid w:val="3E0930F8"/>
    <w:rsid w:val="3E5663C6"/>
    <w:rsid w:val="3E5F71BC"/>
    <w:rsid w:val="3E740EBA"/>
    <w:rsid w:val="3E774E75"/>
    <w:rsid w:val="3F367F1D"/>
    <w:rsid w:val="3FA533C4"/>
    <w:rsid w:val="3FF50AD3"/>
    <w:rsid w:val="414C53C4"/>
    <w:rsid w:val="416936AA"/>
    <w:rsid w:val="4171348E"/>
    <w:rsid w:val="41842500"/>
    <w:rsid w:val="41DE664A"/>
    <w:rsid w:val="42504797"/>
    <w:rsid w:val="429D53C2"/>
    <w:rsid w:val="42C60F5C"/>
    <w:rsid w:val="42DF6358"/>
    <w:rsid w:val="431F4B72"/>
    <w:rsid w:val="4320765B"/>
    <w:rsid w:val="43E05EDD"/>
    <w:rsid w:val="44494618"/>
    <w:rsid w:val="44692B43"/>
    <w:rsid w:val="449F6565"/>
    <w:rsid w:val="47083738"/>
    <w:rsid w:val="47892C82"/>
    <w:rsid w:val="47D149CE"/>
    <w:rsid w:val="47E47287"/>
    <w:rsid w:val="48413E8D"/>
    <w:rsid w:val="487F0B87"/>
    <w:rsid w:val="48BC66EE"/>
    <w:rsid w:val="49414CF3"/>
    <w:rsid w:val="49443317"/>
    <w:rsid w:val="49613E85"/>
    <w:rsid w:val="49951CE4"/>
    <w:rsid w:val="49C11E36"/>
    <w:rsid w:val="49DD6268"/>
    <w:rsid w:val="4A5C478F"/>
    <w:rsid w:val="4ABF170F"/>
    <w:rsid w:val="4B4614E8"/>
    <w:rsid w:val="4C072295"/>
    <w:rsid w:val="4C5453B5"/>
    <w:rsid w:val="4C800A2A"/>
    <w:rsid w:val="4D662315"/>
    <w:rsid w:val="4E236172"/>
    <w:rsid w:val="4E5C6A71"/>
    <w:rsid w:val="4E8F764A"/>
    <w:rsid w:val="4F2159BA"/>
    <w:rsid w:val="4F247F06"/>
    <w:rsid w:val="4F4C132A"/>
    <w:rsid w:val="500C248C"/>
    <w:rsid w:val="50AD025B"/>
    <w:rsid w:val="50C51101"/>
    <w:rsid w:val="519D5C5C"/>
    <w:rsid w:val="51A9620A"/>
    <w:rsid w:val="51F85506"/>
    <w:rsid w:val="52466141"/>
    <w:rsid w:val="524751DF"/>
    <w:rsid w:val="52644AB9"/>
    <w:rsid w:val="536A0A5C"/>
    <w:rsid w:val="53720061"/>
    <w:rsid w:val="539179C0"/>
    <w:rsid w:val="53C30205"/>
    <w:rsid w:val="53F45380"/>
    <w:rsid w:val="54596730"/>
    <w:rsid w:val="55911EF9"/>
    <w:rsid w:val="55A5225D"/>
    <w:rsid w:val="56577E92"/>
    <w:rsid w:val="56786C15"/>
    <w:rsid w:val="576461EE"/>
    <w:rsid w:val="57D86446"/>
    <w:rsid w:val="5818245E"/>
    <w:rsid w:val="58A571F6"/>
    <w:rsid w:val="58B959EF"/>
    <w:rsid w:val="58D629C4"/>
    <w:rsid w:val="58DB2731"/>
    <w:rsid w:val="58DC529D"/>
    <w:rsid w:val="591B5E09"/>
    <w:rsid w:val="594700E3"/>
    <w:rsid w:val="59484FC5"/>
    <w:rsid w:val="5960150F"/>
    <w:rsid w:val="5A1D0200"/>
    <w:rsid w:val="5A662026"/>
    <w:rsid w:val="5C390BF5"/>
    <w:rsid w:val="5C3F445D"/>
    <w:rsid w:val="5EB147F7"/>
    <w:rsid w:val="5FF76DFD"/>
    <w:rsid w:val="600C644D"/>
    <w:rsid w:val="605A0AF3"/>
    <w:rsid w:val="609C5BF9"/>
    <w:rsid w:val="60BD3243"/>
    <w:rsid w:val="61E3588B"/>
    <w:rsid w:val="62035F2D"/>
    <w:rsid w:val="627110E9"/>
    <w:rsid w:val="62E25B42"/>
    <w:rsid w:val="62E51797"/>
    <w:rsid w:val="63A749E0"/>
    <w:rsid w:val="63C60FC0"/>
    <w:rsid w:val="64A82DBC"/>
    <w:rsid w:val="64D616D7"/>
    <w:rsid w:val="65284EA6"/>
    <w:rsid w:val="66242E74"/>
    <w:rsid w:val="66DF7510"/>
    <w:rsid w:val="670A0612"/>
    <w:rsid w:val="67446219"/>
    <w:rsid w:val="675B64C8"/>
    <w:rsid w:val="676B2854"/>
    <w:rsid w:val="67D0631C"/>
    <w:rsid w:val="68680898"/>
    <w:rsid w:val="692C32C0"/>
    <w:rsid w:val="69B77069"/>
    <w:rsid w:val="69B91CCB"/>
    <w:rsid w:val="69C42C0E"/>
    <w:rsid w:val="69D90B4E"/>
    <w:rsid w:val="69E90156"/>
    <w:rsid w:val="69E95A08"/>
    <w:rsid w:val="6A1F745E"/>
    <w:rsid w:val="6A9C7BD0"/>
    <w:rsid w:val="6AE306AA"/>
    <w:rsid w:val="6B1271E1"/>
    <w:rsid w:val="6B146AB5"/>
    <w:rsid w:val="6B234F4A"/>
    <w:rsid w:val="6B567508"/>
    <w:rsid w:val="6B6F304C"/>
    <w:rsid w:val="6D055FB4"/>
    <w:rsid w:val="6D4B2536"/>
    <w:rsid w:val="6E057489"/>
    <w:rsid w:val="6E1F7C4B"/>
    <w:rsid w:val="6E5024FA"/>
    <w:rsid w:val="6E867143"/>
    <w:rsid w:val="6EDC5B3C"/>
    <w:rsid w:val="6EFB4907"/>
    <w:rsid w:val="6F046682"/>
    <w:rsid w:val="714D6009"/>
    <w:rsid w:val="71D329D8"/>
    <w:rsid w:val="71FB6182"/>
    <w:rsid w:val="726522EC"/>
    <w:rsid w:val="726E73F3"/>
    <w:rsid w:val="72734A09"/>
    <w:rsid w:val="73F25CD2"/>
    <w:rsid w:val="74582108"/>
    <w:rsid w:val="746E765E"/>
    <w:rsid w:val="747C5C15"/>
    <w:rsid w:val="74876442"/>
    <w:rsid w:val="75F12976"/>
    <w:rsid w:val="760C31AA"/>
    <w:rsid w:val="760D2A7F"/>
    <w:rsid w:val="76550D87"/>
    <w:rsid w:val="76E83058"/>
    <w:rsid w:val="77500A95"/>
    <w:rsid w:val="776932E7"/>
    <w:rsid w:val="77DC1354"/>
    <w:rsid w:val="78435FF9"/>
    <w:rsid w:val="78C13E4C"/>
    <w:rsid w:val="78D855C6"/>
    <w:rsid w:val="78EE6B97"/>
    <w:rsid w:val="7909350D"/>
    <w:rsid w:val="7A676694"/>
    <w:rsid w:val="7ADB6043"/>
    <w:rsid w:val="7B6B5883"/>
    <w:rsid w:val="7BAD46E5"/>
    <w:rsid w:val="7C224DAA"/>
    <w:rsid w:val="7D083FA0"/>
    <w:rsid w:val="7D0B2565"/>
    <w:rsid w:val="7D1E39DE"/>
    <w:rsid w:val="7D4E3613"/>
    <w:rsid w:val="7D6774DC"/>
    <w:rsid w:val="7E290672"/>
    <w:rsid w:val="7F9C3A4F"/>
    <w:rsid w:val="7F9F508F"/>
    <w:rsid w:val="7FC81B4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nhideWhenUsed="0" w:uiPriority="0"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iPriority="0" w:semiHidden="0" w:name="Normal Indent"/>
    <w:lsdException w:uiPriority="99" w:name="footnote text"/>
    <w:lsdException w:qFormat="1" w:unhideWhenUsed="0" w:uiPriority="0" w:semiHidden="0" w:name="annotation text"/>
    <w:lsdException w:qFormat="1" w:uiPriority="0"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qFormat="1" w:unhideWhenUsed="0" w:uiPriority="0" w:semiHidden="0" w:name="envelope return"/>
    <w:lsdException w:uiPriority="99" w:name="footnote reference"/>
    <w:lsdException w:qFormat="1" w:unhideWhenUsed="0" w:uiPriority="0"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qFormat="1" w:unhideWhenUsed="0" w:uiPriority="0" w:semiHidden="0"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iPriority="99" w:name="Note Heading"/>
    <w:lsdException w:uiPriority="99" w:name="Body Text 2"/>
    <w:lsdException w:uiPriority="99" w:name="Body Text 3"/>
    <w:lsdException w:qFormat="1" w:uiPriority="99" w:semiHidden="0" w:name="Body Text Indent 2"/>
    <w:lsdException w:uiPriority="99" w:name="Body Text Indent 3"/>
    <w:lsdException w:uiPriority="99" w:name="Block Text"/>
    <w:lsdException w:qFormat="1" w:unhideWhenUsed="0" w:uiPriority="99" w:semiHidden="0" w:name="Hyperlink"/>
    <w:lsdException w:qFormat="1" w:uiPriority="99" w:name="FollowedHyperlink"/>
    <w:lsdException w:qFormat="1" w:unhideWhenUsed="0" w:uiPriority="22" w:semiHidden="0" w:name="Strong"/>
    <w:lsdException w:qFormat="1" w:unhideWhenUsed="0" w:uiPriority="20" w:semiHidden="0" w:name="Emphasis"/>
    <w:lsdException w:qFormat="1" w:unhideWhenUsed="0" w:uiPriority="0" w:name="Document Map"/>
    <w:lsdException w:qFormat="1" w:unhideWhenUsed="0" w:uiPriority="0"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qFormat="1" w:uiPriority="99" w:name="HTML Code"/>
    <w:lsdException w:qFormat="1" w:uiPriority="99" w:name="HTML Definition"/>
    <w:lsdException w:qFormat="1" w:uiPriority="99" w:name="HTML Keyboard"/>
    <w:lsdException w:uiPriority="99" w:name="HTML Preformatted"/>
    <w:lsdException w:qFormat="1" w:uiPriority="99" w:name="HTML Sample"/>
    <w:lsdException w:uiPriority="99" w:name="HTML Typewriter"/>
    <w:lsdException w:uiPriority="99"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4"/>
      <w:szCs w:val="22"/>
      <w:lang w:val="en-US" w:eastAsia="zh-CN" w:bidi="ar-SA"/>
    </w:rPr>
  </w:style>
  <w:style w:type="paragraph" w:styleId="4">
    <w:name w:val="heading 1"/>
    <w:basedOn w:val="1"/>
    <w:next w:val="1"/>
    <w:link w:val="51"/>
    <w:qFormat/>
    <w:uiPriority w:val="0"/>
    <w:pPr>
      <w:keepNext/>
      <w:keepLines/>
      <w:spacing w:before="340" w:after="330" w:line="578" w:lineRule="auto"/>
      <w:jc w:val="center"/>
      <w:outlineLvl w:val="0"/>
    </w:pPr>
    <w:rPr>
      <w:b/>
      <w:bCs/>
      <w:kern w:val="44"/>
      <w:sz w:val="32"/>
      <w:szCs w:val="44"/>
    </w:rPr>
  </w:style>
  <w:style w:type="paragraph" w:styleId="5">
    <w:name w:val="heading 2"/>
    <w:basedOn w:val="1"/>
    <w:next w:val="1"/>
    <w:link w:val="47"/>
    <w:unhideWhenUsed/>
    <w:qFormat/>
    <w:uiPriority w:val="0"/>
    <w:pPr>
      <w:keepNext/>
      <w:keepLines/>
      <w:spacing w:before="260" w:after="260" w:line="416" w:lineRule="auto"/>
      <w:outlineLvl w:val="1"/>
    </w:pPr>
    <w:rPr>
      <w:rFonts w:asciiTheme="majorHAnsi" w:hAnsiTheme="majorHAnsi" w:eastAsiaTheme="majorEastAsia" w:cstheme="majorBidi"/>
      <w:b/>
      <w:bCs/>
      <w:sz w:val="32"/>
      <w:szCs w:val="32"/>
    </w:rPr>
  </w:style>
  <w:style w:type="paragraph" w:styleId="6">
    <w:name w:val="heading 3"/>
    <w:basedOn w:val="1"/>
    <w:next w:val="1"/>
    <w:link w:val="46"/>
    <w:unhideWhenUsed/>
    <w:qFormat/>
    <w:uiPriority w:val="0"/>
    <w:pPr>
      <w:keepNext/>
      <w:keepLines/>
      <w:spacing w:before="260" w:after="260" w:line="416" w:lineRule="auto"/>
      <w:outlineLvl w:val="2"/>
    </w:pPr>
    <w:rPr>
      <w:b/>
      <w:bCs/>
      <w:sz w:val="32"/>
      <w:szCs w:val="32"/>
    </w:rPr>
  </w:style>
  <w:style w:type="paragraph" w:styleId="7">
    <w:name w:val="heading 4"/>
    <w:basedOn w:val="1"/>
    <w:next w:val="1"/>
    <w:link w:val="59"/>
    <w:qFormat/>
    <w:uiPriority w:val="0"/>
    <w:pPr>
      <w:keepNext/>
      <w:keepLines/>
      <w:spacing w:before="280" w:after="290" w:line="376" w:lineRule="auto"/>
      <w:outlineLvl w:val="3"/>
    </w:pPr>
    <w:rPr>
      <w:rFonts w:ascii="Cambria" w:hAnsi="Cambria" w:eastAsia="宋体" w:cs="Times New Roman"/>
      <w:b/>
      <w:bCs/>
      <w:sz w:val="28"/>
      <w:szCs w:val="28"/>
    </w:rPr>
  </w:style>
  <w:style w:type="character" w:default="1" w:styleId="34">
    <w:name w:val="Default Paragraph Font"/>
    <w:semiHidden/>
    <w:unhideWhenUsed/>
    <w:qFormat/>
    <w:uiPriority w:val="1"/>
  </w:style>
  <w:style w:type="table" w:default="1" w:styleId="32">
    <w:name w:val="Normal Table"/>
    <w:semiHidden/>
    <w:unhideWhenUsed/>
    <w:qFormat/>
    <w:uiPriority w:val="99"/>
    <w:tblPr>
      <w:tblCellMar>
        <w:top w:w="0" w:type="dxa"/>
        <w:left w:w="108" w:type="dxa"/>
        <w:bottom w:w="0" w:type="dxa"/>
        <w:right w:w="108" w:type="dxa"/>
      </w:tblCellMar>
    </w:tblPr>
  </w:style>
  <w:style w:type="paragraph" w:styleId="2">
    <w:name w:val="Body Text Indent 2"/>
    <w:basedOn w:val="1"/>
    <w:next w:val="3"/>
    <w:link w:val="56"/>
    <w:unhideWhenUsed/>
    <w:qFormat/>
    <w:uiPriority w:val="99"/>
    <w:pPr>
      <w:spacing w:after="120" w:line="480" w:lineRule="auto"/>
      <w:ind w:left="420" w:leftChars="200"/>
    </w:pPr>
  </w:style>
  <w:style w:type="paragraph" w:styleId="3">
    <w:name w:val="Plain Text"/>
    <w:basedOn w:val="1"/>
    <w:link w:val="73"/>
    <w:qFormat/>
    <w:uiPriority w:val="0"/>
    <w:rPr>
      <w:rFonts w:ascii="宋体" w:hAnsi="Courier New" w:eastAsia="宋体" w:cs="宋体"/>
      <w:sz w:val="21"/>
      <w:szCs w:val="21"/>
    </w:rPr>
  </w:style>
  <w:style w:type="paragraph" w:styleId="8">
    <w:name w:val="toc 7"/>
    <w:basedOn w:val="1"/>
    <w:next w:val="1"/>
    <w:unhideWhenUsed/>
    <w:qFormat/>
    <w:uiPriority w:val="39"/>
    <w:pPr>
      <w:ind w:left="2520" w:leftChars="1200"/>
    </w:pPr>
    <w:rPr>
      <w:rFonts w:ascii="Calibri" w:hAnsi="Calibri" w:eastAsia="宋体" w:cs="Times New Roman"/>
      <w:sz w:val="21"/>
    </w:rPr>
  </w:style>
  <w:style w:type="paragraph" w:styleId="9">
    <w:name w:val="Normal Indent"/>
    <w:basedOn w:val="1"/>
    <w:link w:val="83"/>
    <w:unhideWhenUsed/>
    <w:qFormat/>
    <w:uiPriority w:val="0"/>
    <w:pPr>
      <w:ind w:firstLine="420" w:firstLineChars="200"/>
    </w:pPr>
  </w:style>
  <w:style w:type="paragraph" w:styleId="10">
    <w:name w:val="Document Map"/>
    <w:basedOn w:val="1"/>
    <w:link w:val="67"/>
    <w:semiHidden/>
    <w:qFormat/>
    <w:uiPriority w:val="0"/>
    <w:pPr>
      <w:shd w:val="clear" w:color="auto" w:fill="000080"/>
    </w:pPr>
    <w:rPr>
      <w:rFonts w:ascii="Times New Roman" w:hAnsi="Times New Roman" w:eastAsia="宋体" w:cs="Times New Roman"/>
      <w:sz w:val="21"/>
      <w:szCs w:val="24"/>
    </w:rPr>
  </w:style>
  <w:style w:type="paragraph" w:styleId="11">
    <w:name w:val="annotation text"/>
    <w:basedOn w:val="1"/>
    <w:link w:val="61"/>
    <w:qFormat/>
    <w:uiPriority w:val="0"/>
    <w:pPr>
      <w:jc w:val="left"/>
    </w:pPr>
    <w:rPr>
      <w:sz w:val="21"/>
      <w:szCs w:val="24"/>
    </w:rPr>
  </w:style>
  <w:style w:type="paragraph" w:styleId="12">
    <w:name w:val="Body Text"/>
    <w:basedOn w:val="1"/>
    <w:next w:val="1"/>
    <w:link w:val="54"/>
    <w:unhideWhenUsed/>
    <w:qFormat/>
    <w:uiPriority w:val="0"/>
    <w:pPr>
      <w:spacing w:after="120"/>
    </w:pPr>
  </w:style>
  <w:style w:type="paragraph" w:styleId="13">
    <w:name w:val="Body Text Indent"/>
    <w:basedOn w:val="1"/>
    <w:qFormat/>
    <w:uiPriority w:val="0"/>
    <w:pPr>
      <w:spacing w:after="120"/>
      <w:ind w:left="420" w:leftChars="200"/>
    </w:pPr>
  </w:style>
  <w:style w:type="paragraph" w:styleId="14">
    <w:name w:val="List 2"/>
    <w:basedOn w:val="1"/>
    <w:qFormat/>
    <w:uiPriority w:val="0"/>
    <w:pPr>
      <w:spacing w:before="120" w:after="120"/>
      <w:ind w:left="100" w:leftChars="200" w:hanging="200" w:hangingChars="200"/>
    </w:pPr>
    <w:rPr>
      <w:rFonts w:ascii="Times New Roman" w:hAnsi="Times New Roman" w:eastAsia="宋体" w:cs="Times New Roman"/>
      <w:sz w:val="28"/>
      <w:szCs w:val="20"/>
      <w:vertAlign w:val="subscript"/>
    </w:rPr>
  </w:style>
  <w:style w:type="paragraph" w:styleId="15">
    <w:name w:val="toc 5"/>
    <w:basedOn w:val="1"/>
    <w:next w:val="1"/>
    <w:unhideWhenUsed/>
    <w:qFormat/>
    <w:uiPriority w:val="39"/>
    <w:pPr>
      <w:ind w:left="1680" w:leftChars="800"/>
    </w:pPr>
    <w:rPr>
      <w:rFonts w:ascii="Calibri" w:hAnsi="Calibri" w:eastAsia="宋体" w:cs="Times New Roman"/>
      <w:sz w:val="21"/>
    </w:rPr>
  </w:style>
  <w:style w:type="paragraph" w:styleId="16">
    <w:name w:val="toc 3"/>
    <w:basedOn w:val="1"/>
    <w:next w:val="1"/>
    <w:qFormat/>
    <w:uiPriority w:val="39"/>
    <w:pPr>
      <w:ind w:left="840" w:leftChars="400"/>
    </w:pPr>
    <w:rPr>
      <w:rFonts w:ascii="Times New Roman" w:hAnsi="Times New Roman" w:eastAsia="宋体" w:cs="Times New Roman"/>
      <w:sz w:val="21"/>
      <w:szCs w:val="24"/>
    </w:rPr>
  </w:style>
  <w:style w:type="paragraph" w:styleId="17">
    <w:name w:val="toc 8"/>
    <w:basedOn w:val="1"/>
    <w:next w:val="1"/>
    <w:unhideWhenUsed/>
    <w:qFormat/>
    <w:uiPriority w:val="39"/>
    <w:pPr>
      <w:ind w:left="2940" w:leftChars="1400"/>
    </w:pPr>
    <w:rPr>
      <w:rFonts w:ascii="Calibri" w:hAnsi="Calibri" w:eastAsia="宋体" w:cs="Times New Roman"/>
      <w:sz w:val="21"/>
    </w:rPr>
  </w:style>
  <w:style w:type="paragraph" w:styleId="18">
    <w:name w:val="Date"/>
    <w:basedOn w:val="1"/>
    <w:next w:val="1"/>
    <w:link w:val="60"/>
    <w:qFormat/>
    <w:uiPriority w:val="0"/>
    <w:pPr>
      <w:ind w:left="100" w:leftChars="2500"/>
    </w:pPr>
    <w:rPr>
      <w:sz w:val="21"/>
      <w:szCs w:val="24"/>
    </w:rPr>
  </w:style>
  <w:style w:type="paragraph" w:styleId="19">
    <w:name w:val="Balloon Text"/>
    <w:basedOn w:val="1"/>
    <w:link w:val="64"/>
    <w:qFormat/>
    <w:uiPriority w:val="0"/>
    <w:rPr>
      <w:sz w:val="18"/>
      <w:szCs w:val="18"/>
    </w:rPr>
  </w:style>
  <w:style w:type="paragraph" w:styleId="20">
    <w:name w:val="footer"/>
    <w:basedOn w:val="1"/>
    <w:link w:val="49"/>
    <w:unhideWhenUsed/>
    <w:qFormat/>
    <w:uiPriority w:val="99"/>
    <w:pPr>
      <w:tabs>
        <w:tab w:val="center" w:pos="4153"/>
        <w:tab w:val="right" w:pos="8306"/>
      </w:tabs>
      <w:snapToGrid w:val="0"/>
      <w:jc w:val="left"/>
    </w:pPr>
    <w:rPr>
      <w:sz w:val="18"/>
      <w:szCs w:val="18"/>
    </w:rPr>
  </w:style>
  <w:style w:type="paragraph" w:styleId="21">
    <w:name w:val="envelope return"/>
    <w:basedOn w:val="1"/>
    <w:qFormat/>
    <w:uiPriority w:val="0"/>
    <w:pPr>
      <w:snapToGrid w:val="0"/>
    </w:pPr>
    <w:rPr>
      <w:rFonts w:ascii="Arial" w:hAnsi="Arial"/>
    </w:rPr>
  </w:style>
  <w:style w:type="paragraph" w:styleId="22">
    <w:name w:val="header"/>
    <w:basedOn w:val="1"/>
    <w:link w:val="48"/>
    <w:unhideWhenUsed/>
    <w:qFormat/>
    <w:uiPriority w:val="0"/>
    <w:pPr>
      <w:pBdr>
        <w:bottom w:val="single" w:color="auto" w:sz="6" w:space="1"/>
      </w:pBdr>
      <w:tabs>
        <w:tab w:val="center" w:pos="4153"/>
        <w:tab w:val="right" w:pos="8306"/>
      </w:tabs>
      <w:snapToGrid w:val="0"/>
      <w:jc w:val="center"/>
    </w:pPr>
    <w:rPr>
      <w:sz w:val="18"/>
      <w:szCs w:val="18"/>
    </w:rPr>
  </w:style>
  <w:style w:type="paragraph" w:styleId="23">
    <w:name w:val="toc 1"/>
    <w:basedOn w:val="1"/>
    <w:next w:val="1"/>
    <w:qFormat/>
    <w:uiPriority w:val="39"/>
    <w:rPr>
      <w:rFonts w:ascii="Times New Roman" w:hAnsi="Times New Roman" w:eastAsia="宋体" w:cs="Times New Roman"/>
      <w:sz w:val="21"/>
      <w:szCs w:val="24"/>
    </w:rPr>
  </w:style>
  <w:style w:type="paragraph" w:styleId="24">
    <w:name w:val="toc 4"/>
    <w:basedOn w:val="1"/>
    <w:next w:val="1"/>
    <w:unhideWhenUsed/>
    <w:qFormat/>
    <w:uiPriority w:val="39"/>
    <w:pPr>
      <w:ind w:left="1260" w:leftChars="600"/>
    </w:pPr>
    <w:rPr>
      <w:rFonts w:ascii="Calibri" w:hAnsi="Calibri" w:eastAsia="宋体" w:cs="Times New Roman"/>
      <w:sz w:val="21"/>
    </w:rPr>
  </w:style>
  <w:style w:type="paragraph" w:styleId="25">
    <w:name w:val="toc 6"/>
    <w:basedOn w:val="1"/>
    <w:next w:val="1"/>
    <w:unhideWhenUsed/>
    <w:qFormat/>
    <w:uiPriority w:val="39"/>
    <w:pPr>
      <w:ind w:left="2100" w:leftChars="1000"/>
    </w:pPr>
    <w:rPr>
      <w:rFonts w:ascii="Calibri" w:hAnsi="Calibri" w:eastAsia="宋体" w:cs="Times New Roman"/>
      <w:sz w:val="21"/>
    </w:rPr>
  </w:style>
  <w:style w:type="paragraph" w:styleId="26">
    <w:name w:val="toc 2"/>
    <w:basedOn w:val="1"/>
    <w:next w:val="1"/>
    <w:qFormat/>
    <w:uiPriority w:val="39"/>
    <w:pPr>
      <w:ind w:left="420" w:leftChars="200"/>
    </w:pPr>
    <w:rPr>
      <w:rFonts w:ascii="Times New Roman" w:hAnsi="Times New Roman" w:eastAsia="宋体" w:cs="Times New Roman"/>
      <w:sz w:val="21"/>
      <w:szCs w:val="24"/>
    </w:rPr>
  </w:style>
  <w:style w:type="paragraph" w:styleId="27">
    <w:name w:val="toc 9"/>
    <w:basedOn w:val="1"/>
    <w:next w:val="1"/>
    <w:unhideWhenUsed/>
    <w:qFormat/>
    <w:uiPriority w:val="39"/>
    <w:pPr>
      <w:ind w:left="3360" w:leftChars="1600"/>
    </w:pPr>
    <w:rPr>
      <w:rFonts w:ascii="Calibri" w:hAnsi="Calibri" w:eastAsia="宋体" w:cs="Times New Roman"/>
      <w:sz w:val="21"/>
    </w:rPr>
  </w:style>
  <w:style w:type="paragraph" w:styleId="28">
    <w:name w:val="Normal (Web)"/>
    <w:basedOn w:val="1"/>
    <w:qFormat/>
    <w:uiPriority w:val="99"/>
    <w:pPr>
      <w:widowControl/>
      <w:spacing w:before="100" w:beforeAutospacing="1" w:after="100" w:afterAutospacing="1"/>
      <w:jc w:val="left"/>
    </w:pPr>
    <w:rPr>
      <w:rFonts w:ascii="宋体" w:hAnsi="宋体" w:eastAsia="宋体" w:cs="宋体"/>
      <w:kern w:val="0"/>
      <w:szCs w:val="24"/>
    </w:rPr>
  </w:style>
  <w:style w:type="paragraph" w:styleId="29">
    <w:name w:val="annotation subject"/>
    <w:basedOn w:val="11"/>
    <w:next w:val="11"/>
    <w:link w:val="62"/>
    <w:qFormat/>
    <w:uiPriority w:val="0"/>
    <w:rPr>
      <w:b/>
      <w:bCs/>
    </w:rPr>
  </w:style>
  <w:style w:type="paragraph" w:styleId="30">
    <w:name w:val="Body Text First Indent"/>
    <w:basedOn w:val="12"/>
    <w:next w:val="31"/>
    <w:link w:val="53"/>
    <w:qFormat/>
    <w:uiPriority w:val="0"/>
    <w:pPr>
      <w:ind w:firstLine="420" w:firstLineChars="100"/>
    </w:pPr>
    <w:rPr>
      <w:sz w:val="21"/>
      <w:szCs w:val="24"/>
    </w:rPr>
  </w:style>
  <w:style w:type="paragraph" w:styleId="31">
    <w:name w:val="Body Text First Indent 2"/>
    <w:basedOn w:val="13"/>
    <w:link w:val="87"/>
    <w:qFormat/>
    <w:uiPriority w:val="0"/>
    <w:pPr>
      <w:ind w:firstLine="420" w:firstLineChars="200"/>
    </w:pPr>
    <w:rPr>
      <w:rFonts w:ascii="Times New Roman" w:eastAsia="宋体"/>
      <w:sz w:val="21"/>
    </w:rPr>
  </w:style>
  <w:style w:type="table" w:styleId="33">
    <w:name w:val="Table Grid"/>
    <w:basedOn w:val="3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5">
    <w:name w:val="Strong"/>
    <w:basedOn w:val="34"/>
    <w:qFormat/>
    <w:uiPriority w:val="22"/>
    <w:rPr>
      <w:b/>
      <w:bCs/>
    </w:rPr>
  </w:style>
  <w:style w:type="character" w:styleId="36">
    <w:name w:val="page number"/>
    <w:basedOn w:val="34"/>
    <w:qFormat/>
    <w:uiPriority w:val="0"/>
  </w:style>
  <w:style w:type="character" w:styleId="37">
    <w:name w:val="FollowedHyperlink"/>
    <w:basedOn w:val="34"/>
    <w:semiHidden/>
    <w:unhideWhenUsed/>
    <w:qFormat/>
    <w:uiPriority w:val="99"/>
    <w:rPr>
      <w:color w:val="1F3149"/>
      <w:u w:val="none"/>
    </w:rPr>
  </w:style>
  <w:style w:type="character" w:styleId="38">
    <w:name w:val="HTML Definition"/>
    <w:basedOn w:val="34"/>
    <w:semiHidden/>
    <w:unhideWhenUsed/>
    <w:qFormat/>
    <w:uiPriority w:val="99"/>
    <w:rPr>
      <w:i/>
      <w:iCs/>
    </w:rPr>
  </w:style>
  <w:style w:type="character" w:styleId="39">
    <w:name w:val="Hyperlink"/>
    <w:basedOn w:val="34"/>
    <w:qFormat/>
    <w:uiPriority w:val="99"/>
    <w:rPr>
      <w:color w:val="1F3149"/>
      <w:u w:val="none"/>
    </w:rPr>
  </w:style>
  <w:style w:type="character" w:styleId="40">
    <w:name w:val="HTML Code"/>
    <w:basedOn w:val="34"/>
    <w:semiHidden/>
    <w:unhideWhenUsed/>
    <w:qFormat/>
    <w:uiPriority w:val="99"/>
    <w:rPr>
      <w:rFonts w:hint="default" w:ascii="Consolas" w:hAnsi="Consolas" w:eastAsia="Consolas" w:cs="Consolas"/>
      <w:color w:val="C7254E"/>
      <w:sz w:val="21"/>
      <w:szCs w:val="21"/>
      <w:shd w:val="clear" w:color="auto" w:fill="F9F2F4"/>
    </w:rPr>
  </w:style>
  <w:style w:type="character" w:styleId="41">
    <w:name w:val="annotation reference"/>
    <w:qFormat/>
    <w:uiPriority w:val="0"/>
    <w:rPr>
      <w:sz w:val="21"/>
      <w:szCs w:val="21"/>
    </w:rPr>
  </w:style>
  <w:style w:type="character" w:styleId="42">
    <w:name w:val="HTML Keyboard"/>
    <w:basedOn w:val="34"/>
    <w:semiHidden/>
    <w:unhideWhenUsed/>
    <w:qFormat/>
    <w:uiPriority w:val="99"/>
    <w:rPr>
      <w:rFonts w:ascii="Consolas" w:hAnsi="Consolas" w:eastAsia="Consolas" w:cs="Consolas"/>
      <w:color w:val="FFFFFF"/>
      <w:sz w:val="21"/>
      <w:szCs w:val="21"/>
      <w:shd w:val="clear" w:color="auto" w:fill="333333"/>
    </w:rPr>
  </w:style>
  <w:style w:type="character" w:styleId="43">
    <w:name w:val="HTML Sample"/>
    <w:basedOn w:val="34"/>
    <w:semiHidden/>
    <w:unhideWhenUsed/>
    <w:qFormat/>
    <w:uiPriority w:val="99"/>
    <w:rPr>
      <w:rFonts w:hint="default" w:ascii="Consolas" w:hAnsi="Consolas" w:eastAsia="Consolas" w:cs="Consolas"/>
      <w:sz w:val="21"/>
      <w:szCs w:val="21"/>
    </w:rPr>
  </w:style>
  <w:style w:type="paragraph" w:customStyle="1" w:styleId="44">
    <w:name w:val="AONormal"/>
    <w:qFormat/>
    <w:uiPriority w:val="0"/>
    <w:pPr>
      <w:autoSpaceDE w:val="0"/>
      <w:autoSpaceDN w:val="0"/>
      <w:adjustRightInd w:val="0"/>
      <w:spacing w:line="400" w:lineRule="exact"/>
      <w:ind w:firstLine="440" w:firstLineChars="200"/>
    </w:pPr>
    <w:rPr>
      <w:rFonts w:ascii="华文楷体" w:hAnsi="华文楷体" w:eastAsia="华文楷体" w:cs="华文楷体"/>
      <w:sz w:val="22"/>
      <w:szCs w:val="21"/>
      <w:lang w:val="en-US" w:eastAsia="zh-CN" w:bidi="ar-SA"/>
    </w:rPr>
  </w:style>
  <w:style w:type="paragraph" w:customStyle="1" w:styleId="45">
    <w:name w:val="_Style 23"/>
    <w:basedOn w:val="1"/>
    <w:qFormat/>
    <w:uiPriority w:val="0"/>
    <w:pPr>
      <w:adjustRightInd w:val="0"/>
      <w:spacing w:line="360" w:lineRule="atLeast"/>
      <w:jc w:val="left"/>
    </w:pPr>
    <w:rPr>
      <w:rFonts w:ascii="Times New Roman" w:hAnsi="Times New Roman" w:eastAsia="宋体" w:cs="Times New Roman"/>
      <w:szCs w:val="24"/>
    </w:rPr>
  </w:style>
  <w:style w:type="character" w:customStyle="1" w:styleId="46">
    <w:name w:val="标题 3 字符"/>
    <w:basedOn w:val="34"/>
    <w:link w:val="6"/>
    <w:semiHidden/>
    <w:qFormat/>
    <w:uiPriority w:val="9"/>
    <w:rPr>
      <w:b/>
      <w:bCs/>
      <w:sz w:val="32"/>
      <w:szCs w:val="32"/>
    </w:rPr>
  </w:style>
  <w:style w:type="character" w:customStyle="1" w:styleId="47">
    <w:name w:val="标题 2 字符"/>
    <w:basedOn w:val="34"/>
    <w:link w:val="5"/>
    <w:semiHidden/>
    <w:qFormat/>
    <w:uiPriority w:val="9"/>
    <w:rPr>
      <w:rFonts w:asciiTheme="majorHAnsi" w:hAnsiTheme="majorHAnsi" w:eastAsiaTheme="majorEastAsia" w:cstheme="majorBidi"/>
      <w:b/>
      <w:bCs/>
      <w:sz w:val="32"/>
      <w:szCs w:val="32"/>
    </w:rPr>
  </w:style>
  <w:style w:type="character" w:customStyle="1" w:styleId="48">
    <w:name w:val="页眉 字符"/>
    <w:basedOn w:val="34"/>
    <w:link w:val="22"/>
    <w:qFormat/>
    <w:uiPriority w:val="99"/>
    <w:rPr>
      <w:sz w:val="18"/>
      <w:szCs w:val="18"/>
    </w:rPr>
  </w:style>
  <w:style w:type="character" w:customStyle="1" w:styleId="49">
    <w:name w:val="页脚 字符"/>
    <w:basedOn w:val="34"/>
    <w:link w:val="20"/>
    <w:qFormat/>
    <w:uiPriority w:val="99"/>
    <w:rPr>
      <w:sz w:val="18"/>
      <w:szCs w:val="18"/>
    </w:rPr>
  </w:style>
  <w:style w:type="paragraph" w:styleId="50">
    <w:name w:val="List Paragraph"/>
    <w:basedOn w:val="1"/>
    <w:qFormat/>
    <w:uiPriority w:val="34"/>
    <w:pPr>
      <w:widowControl/>
      <w:ind w:firstLine="420" w:firstLineChars="200"/>
      <w:jc w:val="left"/>
    </w:pPr>
    <w:rPr>
      <w:rFonts w:ascii="Calibri" w:hAnsi="Calibri" w:eastAsia="宋体" w:cs="Times New Roman"/>
    </w:rPr>
  </w:style>
  <w:style w:type="character" w:customStyle="1" w:styleId="51">
    <w:name w:val="标题 1 字符"/>
    <w:basedOn w:val="34"/>
    <w:link w:val="4"/>
    <w:qFormat/>
    <w:uiPriority w:val="0"/>
    <w:rPr>
      <w:b/>
      <w:bCs/>
      <w:kern w:val="44"/>
      <w:sz w:val="32"/>
      <w:szCs w:val="44"/>
    </w:rPr>
  </w:style>
  <w:style w:type="paragraph" w:customStyle="1" w:styleId="52">
    <w:name w:val="TOC 标题1"/>
    <w:basedOn w:val="4"/>
    <w:next w:val="1"/>
    <w:unhideWhenUsed/>
    <w:qFormat/>
    <w:uiPriority w:val="39"/>
    <w:pPr>
      <w:widowControl/>
      <w:spacing w:before="240" w:after="0" w:line="259" w:lineRule="auto"/>
      <w:jc w:val="left"/>
      <w:outlineLvl w:val="9"/>
    </w:pPr>
    <w:rPr>
      <w:rFonts w:asciiTheme="majorHAnsi" w:hAnsiTheme="majorHAnsi" w:eastAsiaTheme="majorEastAsia" w:cstheme="majorBidi"/>
      <w:b w:val="0"/>
      <w:bCs w:val="0"/>
      <w:color w:val="2E75B5" w:themeColor="accent1" w:themeShade="BF"/>
      <w:kern w:val="0"/>
      <w:szCs w:val="32"/>
    </w:rPr>
  </w:style>
  <w:style w:type="character" w:customStyle="1" w:styleId="53">
    <w:name w:val="正文文本首行缩进 字符"/>
    <w:link w:val="30"/>
    <w:qFormat/>
    <w:uiPriority w:val="0"/>
    <w:rPr>
      <w:szCs w:val="24"/>
    </w:rPr>
  </w:style>
  <w:style w:type="character" w:customStyle="1" w:styleId="54">
    <w:name w:val="正文文本 字符"/>
    <w:basedOn w:val="34"/>
    <w:link w:val="12"/>
    <w:semiHidden/>
    <w:qFormat/>
    <w:uiPriority w:val="99"/>
    <w:rPr>
      <w:sz w:val="24"/>
    </w:rPr>
  </w:style>
  <w:style w:type="character" w:customStyle="1" w:styleId="55">
    <w:name w:val="正文首行缩进 Char1"/>
    <w:basedOn w:val="54"/>
    <w:semiHidden/>
    <w:qFormat/>
    <w:uiPriority w:val="99"/>
    <w:rPr>
      <w:sz w:val="24"/>
    </w:rPr>
  </w:style>
  <w:style w:type="character" w:customStyle="1" w:styleId="56">
    <w:name w:val="正文文本缩进 2 字符"/>
    <w:basedOn w:val="34"/>
    <w:link w:val="2"/>
    <w:qFormat/>
    <w:uiPriority w:val="99"/>
    <w:rPr>
      <w:sz w:val="24"/>
    </w:rPr>
  </w:style>
  <w:style w:type="paragraph" w:customStyle="1" w:styleId="57">
    <w:name w:val="样式 标题 2 + Times New Roman 四号 非加粗 段前: 5 磅 段后: 0 磅 行距: 固定值 20..."/>
    <w:basedOn w:val="5"/>
    <w:qFormat/>
    <w:uiPriority w:val="0"/>
    <w:pPr>
      <w:spacing w:before="100" w:after="0" w:line="400" w:lineRule="exact"/>
    </w:pPr>
    <w:rPr>
      <w:rFonts w:ascii="Times New Roman" w:hAnsi="Times New Roman" w:eastAsia="黑体" w:cs="宋体"/>
      <w:b w:val="0"/>
      <w:bCs w:val="0"/>
      <w:sz w:val="28"/>
      <w:szCs w:val="20"/>
    </w:rPr>
  </w:style>
  <w:style w:type="paragraph" w:customStyle="1" w:styleId="58">
    <w:name w:val="样式 标题 3 + (中文) 黑体 小四 非加粗 段前: 7.8 磅 段后: 0 磅 行距: 固定值 20 磅"/>
    <w:basedOn w:val="6"/>
    <w:qFormat/>
    <w:uiPriority w:val="0"/>
    <w:pPr>
      <w:spacing w:before="0" w:after="0" w:line="400" w:lineRule="exact"/>
    </w:pPr>
    <w:rPr>
      <w:rFonts w:ascii="Times New Roman" w:hAnsi="Times New Roman" w:eastAsia="黑体" w:cs="宋体"/>
      <w:b w:val="0"/>
      <w:bCs w:val="0"/>
      <w:sz w:val="24"/>
      <w:szCs w:val="20"/>
    </w:rPr>
  </w:style>
  <w:style w:type="character" w:customStyle="1" w:styleId="59">
    <w:name w:val="标题 4 字符"/>
    <w:basedOn w:val="34"/>
    <w:link w:val="7"/>
    <w:qFormat/>
    <w:uiPriority w:val="0"/>
    <w:rPr>
      <w:rFonts w:ascii="Cambria" w:hAnsi="Cambria" w:eastAsia="宋体" w:cs="Times New Roman"/>
      <w:b/>
      <w:bCs/>
      <w:sz w:val="28"/>
      <w:szCs w:val="28"/>
    </w:rPr>
  </w:style>
  <w:style w:type="character" w:customStyle="1" w:styleId="60">
    <w:name w:val="日期 字符"/>
    <w:link w:val="18"/>
    <w:qFormat/>
    <w:uiPriority w:val="0"/>
    <w:rPr>
      <w:szCs w:val="24"/>
    </w:rPr>
  </w:style>
  <w:style w:type="character" w:customStyle="1" w:styleId="61">
    <w:name w:val="批注文字 字符"/>
    <w:link w:val="11"/>
    <w:qFormat/>
    <w:uiPriority w:val="0"/>
    <w:rPr>
      <w:szCs w:val="24"/>
    </w:rPr>
  </w:style>
  <w:style w:type="character" w:customStyle="1" w:styleId="62">
    <w:name w:val="批注主题 字符"/>
    <w:link w:val="29"/>
    <w:qFormat/>
    <w:uiPriority w:val="0"/>
    <w:rPr>
      <w:b/>
      <w:bCs/>
      <w:szCs w:val="24"/>
    </w:rPr>
  </w:style>
  <w:style w:type="character" w:customStyle="1" w:styleId="63">
    <w:name w:val="apple-style-span"/>
    <w:basedOn w:val="34"/>
    <w:qFormat/>
    <w:uiPriority w:val="0"/>
  </w:style>
  <w:style w:type="character" w:customStyle="1" w:styleId="64">
    <w:name w:val="批注框文本 字符"/>
    <w:link w:val="19"/>
    <w:qFormat/>
    <w:uiPriority w:val="0"/>
    <w:rPr>
      <w:sz w:val="18"/>
      <w:szCs w:val="18"/>
    </w:rPr>
  </w:style>
  <w:style w:type="character" w:customStyle="1" w:styleId="65">
    <w:name w:val="批注文字 Char1"/>
    <w:basedOn w:val="34"/>
    <w:semiHidden/>
    <w:qFormat/>
    <w:uiPriority w:val="99"/>
    <w:rPr>
      <w:sz w:val="24"/>
    </w:rPr>
  </w:style>
  <w:style w:type="character" w:customStyle="1" w:styleId="66">
    <w:name w:val="日期 Char1"/>
    <w:basedOn w:val="34"/>
    <w:semiHidden/>
    <w:qFormat/>
    <w:uiPriority w:val="99"/>
    <w:rPr>
      <w:sz w:val="24"/>
    </w:rPr>
  </w:style>
  <w:style w:type="character" w:customStyle="1" w:styleId="67">
    <w:name w:val="文档结构图 字符"/>
    <w:basedOn w:val="34"/>
    <w:link w:val="10"/>
    <w:semiHidden/>
    <w:qFormat/>
    <w:uiPriority w:val="0"/>
    <w:rPr>
      <w:rFonts w:ascii="Times New Roman" w:hAnsi="Times New Roman" w:eastAsia="宋体" w:cs="Times New Roman"/>
      <w:szCs w:val="24"/>
      <w:shd w:val="clear" w:color="auto" w:fill="000080"/>
    </w:rPr>
  </w:style>
  <w:style w:type="character" w:customStyle="1" w:styleId="68">
    <w:name w:val="批注主题 Char1"/>
    <w:basedOn w:val="65"/>
    <w:semiHidden/>
    <w:qFormat/>
    <w:uiPriority w:val="99"/>
    <w:rPr>
      <w:b/>
      <w:bCs/>
      <w:sz w:val="24"/>
    </w:rPr>
  </w:style>
  <w:style w:type="character" w:customStyle="1" w:styleId="69">
    <w:name w:val="批注框文本 Char1"/>
    <w:basedOn w:val="34"/>
    <w:semiHidden/>
    <w:qFormat/>
    <w:uiPriority w:val="99"/>
    <w:rPr>
      <w:sz w:val="18"/>
      <w:szCs w:val="18"/>
    </w:rPr>
  </w:style>
  <w:style w:type="paragraph" w:customStyle="1" w:styleId="70">
    <w:name w:val="p0"/>
    <w:basedOn w:val="1"/>
    <w:qFormat/>
    <w:uiPriority w:val="0"/>
    <w:pPr>
      <w:widowControl/>
    </w:pPr>
    <w:rPr>
      <w:rFonts w:ascii="Times New Roman" w:hAnsi="Times New Roman" w:eastAsia="宋体" w:cs="Times New Roman"/>
      <w:kern w:val="0"/>
      <w:sz w:val="21"/>
      <w:szCs w:val="21"/>
    </w:rPr>
  </w:style>
  <w:style w:type="paragraph" w:customStyle="1" w:styleId="71">
    <w:name w:val="无间隔1"/>
    <w:basedOn w:val="1"/>
    <w:qFormat/>
    <w:uiPriority w:val="1"/>
    <w:pPr>
      <w:spacing w:line="400" w:lineRule="exact"/>
    </w:pPr>
    <w:rPr>
      <w:rFonts w:ascii="Times New Roman" w:hAnsi="Times New Roman" w:eastAsia="宋体" w:cs="Times New Roman"/>
      <w:szCs w:val="24"/>
    </w:rPr>
  </w:style>
  <w:style w:type="paragraph" w:customStyle="1" w:styleId="72">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character" w:customStyle="1" w:styleId="73">
    <w:name w:val="纯文本 字符"/>
    <w:basedOn w:val="34"/>
    <w:link w:val="3"/>
    <w:qFormat/>
    <w:uiPriority w:val="0"/>
    <w:rPr>
      <w:rFonts w:ascii="宋体" w:hAnsi="Courier New" w:eastAsia="宋体" w:cs="宋体"/>
      <w:szCs w:val="21"/>
    </w:rPr>
  </w:style>
  <w:style w:type="character" w:customStyle="1" w:styleId="74">
    <w:name w:val="hover"/>
    <w:basedOn w:val="34"/>
    <w:qFormat/>
    <w:uiPriority w:val="0"/>
  </w:style>
  <w:style w:type="paragraph" w:customStyle="1" w:styleId="75">
    <w:name w:val="文档正文5"/>
    <w:basedOn w:val="9"/>
    <w:qFormat/>
    <w:uiPriority w:val="0"/>
    <w:pPr>
      <w:autoSpaceDE w:val="0"/>
      <w:autoSpaceDN w:val="0"/>
      <w:snapToGrid w:val="0"/>
      <w:spacing w:line="440" w:lineRule="exact"/>
      <w:ind w:firstLine="505" w:firstLineChars="0"/>
    </w:pPr>
    <w:rPr>
      <w:rFonts w:ascii="Times New Roman" w:hAnsi="Times New Roman" w:eastAsia="仿宋_GB2312" w:cs="Times New Roman"/>
      <w:spacing w:val="4"/>
      <w:szCs w:val="20"/>
    </w:rPr>
  </w:style>
  <w:style w:type="character" w:customStyle="1" w:styleId="76">
    <w:name w:val="MSG_EN_FONT_STYLE_NAME_TEMPLATE_ROLE_NUMBER MSG_EN_FONT_STYLE_NAME_BY_ROLE_TEXT 9_"/>
    <w:basedOn w:val="34"/>
    <w:link w:val="77"/>
    <w:unhideWhenUsed/>
    <w:qFormat/>
    <w:locked/>
    <w:uiPriority w:val="99"/>
    <w:rPr>
      <w:rFonts w:ascii="宋体" w:cs="宋体"/>
      <w:b/>
      <w:bCs/>
      <w:sz w:val="30"/>
      <w:szCs w:val="30"/>
      <w:shd w:val="clear" w:color="auto" w:fill="FFFFFF"/>
    </w:rPr>
  </w:style>
  <w:style w:type="paragraph" w:customStyle="1" w:styleId="77">
    <w:name w:val="MSG_EN_FONT_STYLE_NAME_TEMPLATE_ROLE_NUMBER MSG_EN_FONT_STYLE_NAME_BY_ROLE_TEXT 9"/>
    <w:basedOn w:val="1"/>
    <w:link w:val="76"/>
    <w:unhideWhenUsed/>
    <w:qFormat/>
    <w:uiPriority w:val="99"/>
    <w:pPr>
      <w:shd w:val="clear" w:color="auto" w:fill="FFFFFF"/>
      <w:spacing w:line="557" w:lineRule="exact"/>
      <w:jc w:val="center"/>
    </w:pPr>
    <w:rPr>
      <w:rFonts w:ascii="宋体" w:hAnsi="Calibri" w:eastAsia="宋体" w:cs="宋体"/>
      <w:b/>
      <w:bCs/>
      <w:kern w:val="0"/>
      <w:sz w:val="30"/>
      <w:szCs w:val="30"/>
    </w:rPr>
  </w:style>
  <w:style w:type="character" w:customStyle="1" w:styleId="78">
    <w:name w:val="MSG_EN_FONT_STYLE_NAME_TEMPLATE_ROLE_NUMBER MSG_EN_FONT_STYLE_NAME_BY_ROLE_TEXT 10 + MSG_EN_FONT_STYLE_MODIFER_SIZE 12"/>
    <w:basedOn w:val="79"/>
    <w:unhideWhenUsed/>
    <w:qFormat/>
    <w:uiPriority w:val="99"/>
    <w:rPr>
      <w:rFonts w:ascii="宋体" w:cs="宋体"/>
      <w:b/>
      <w:bCs/>
      <w:sz w:val="22"/>
      <w:szCs w:val="22"/>
      <w:shd w:val="clear" w:color="auto" w:fill="FFFFFF"/>
    </w:rPr>
  </w:style>
  <w:style w:type="character" w:customStyle="1" w:styleId="79">
    <w:name w:val="MSG_EN_FONT_STYLE_NAME_TEMPLATE_ROLE_NUMBER MSG_EN_FONT_STYLE_NAME_BY_ROLE_TEXT 10_"/>
    <w:basedOn w:val="34"/>
    <w:link w:val="80"/>
    <w:unhideWhenUsed/>
    <w:qFormat/>
    <w:locked/>
    <w:uiPriority w:val="99"/>
    <w:rPr>
      <w:rFonts w:ascii="宋体" w:cs="宋体"/>
      <w:sz w:val="22"/>
      <w:szCs w:val="22"/>
      <w:shd w:val="clear" w:color="auto" w:fill="FFFFFF"/>
    </w:rPr>
  </w:style>
  <w:style w:type="paragraph" w:customStyle="1" w:styleId="80">
    <w:name w:val="MSG_EN_FONT_STYLE_NAME_TEMPLATE_ROLE_NUMBER MSG_EN_FONT_STYLE_NAME_BY_ROLE_TEXT 10"/>
    <w:basedOn w:val="1"/>
    <w:link w:val="79"/>
    <w:unhideWhenUsed/>
    <w:qFormat/>
    <w:uiPriority w:val="99"/>
    <w:pPr>
      <w:shd w:val="clear" w:color="auto" w:fill="FFFFFF"/>
      <w:spacing w:line="470" w:lineRule="exact"/>
      <w:jc w:val="left"/>
    </w:pPr>
    <w:rPr>
      <w:rFonts w:ascii="宋体" w:hAnsi="Calibri" w:eastAsia="宋体" w:cs="宋体"/>
      <w:kern w:val="0"/>
      <w:sz w:val="22"/>
    </w:rPr>
  </w:style>
  <w:style w:type="character" w:customStyle="1" w:styleId="81">
    <w:name w:val="MSG_EN_FONT_STYLE_NAME_TEMPLATE_ROLE_LEVEL MSG_EN_FONT_STYLE_NAME_BY_ROLE_HEADING 5_"/>
    <w:basedOn w:val="34"/>
    <w:link w:val="82"/>
    <w:unhideWhenUsed/>
    <w:qFormat/>
    <w:locked/>
    <w:uiPriority w:val="99"/>
    <w:rPr>
      <w:rFonts w:ascii="宋体" w:cs="宋体"/>
      <w:b/>
      <w:bCs/>
      <w:shd w:val="clear" w:color="auto" w:fill="FFFFFF"/>
    </w:rPr>
  </w:style>
  <w:style w:type="paragraph" w:customStyle="1" w:styleId="82">
    <w:name w:val="MSG_EN_FONT_STYLE_NAME_TEMPLATE_ROLE_LEVEL MSG_EN_FONT_STYLE_NAME_BY_ROLE_HEADING 5"/>
    <w:basedOn w:val="1"/>
    <w:link w:val="81"/>
    <w:unhideWhenUsed/>
    <w:qFormat/>
    <w:uiPriority w:val="99"/>
    <w:pPr>
      <w:shd w:val="clear" w:color="auto" w:fill="FFFFFF"/>
      <w:spacing w:before="340" w:after="160" w:line="240" w:lineRule="exact"/>
      <w:jc w:val="center"/>
      <w:outlineLvl w:val="4"/>
    </w:pPr>
    <w:rPr>
      <w:rFonts w:ascii="宋体" w:hAnsi="Calibri" w:eastAsia="宋体" w:cs="宋体"/>
      <w:b/>
      <w:bCs/>
      <w:kern w:val="0"/>
      <w:sz w:val="20"/>
      <w:szCs w:val="20"/>
    </w:rPr>
  </w:style>
  <w:style w:type="character" w:customStyle="1" w:styleId="83">
    <w:name w:val="正文缩进 字符"/>
    <w:link w:val="9"/>
    <w:qFormat/>
    <w:uiPriority w:val="0"/>
    <w:rPr>
      <w:rFonts w:asciiTheme="minorHAnsi" w:hAnsiTheme="minorHAnsi" w:eastAsiaTheme="minorEastAsia" w:cstheme="minorBidi"/>
      <w:kern w:val="2"/>
      <w:sz w:val="24"/>
      <w:szCs w:val="22"/>
    </w:rPr>
  </w:style>
  <w:style w:type="paragraph" w:customStyle="1" w:styleId="84">
    <w:name w:val="_Style 4"/>
    <w:basedOn w:val="4"/>
    <w:next w:val="1"/>
    <w:qFormat/>
    <w:uiPriority w:val="0"/>
    <w:pPr>
      <w:outlineLvl w:val="9"/>
    </w:pPr>
  </w:style>
  <w:style w:type="character" w:customStyle="1" w:styleId="85">
    <w:name w:val="15"/>
    <w:qFormat/>
    <w:uiPriority w:val="0"/>
    <w:rPr>
      <w:rFonts w:ascii="Times New Roman" w:hAnsi="Times New Roman" w:cs="Times New Roman"/>
      <w:b/>
      <w:bCs/>
    </w:rPr>
  </w:style>
  <w:style w:type="paragraph" w:customStyle="1" w:styleId="86">
    <w:name w:val="普通(网站)1"/>
    <w:basedOn w:val="1"/>
    <w:qFormat/>
    <w:uiPriority w:val="0"/>
    <w:pPr>
      <w:widowControl/>
      <w:jc w:val="left"/>
    </w:pPr>
    <w:rPr>
      <w:rFonts w:ascii="Helvetica" w:hAnsi="Helvetica" w:eastAsia="宋体" w:cs="Helvetica"/>
      <w:kern w:val="0"/>
      <w:szCs w:val="24"/>
    </w:rPr>
  </w:style>
  <w:style w:type="character" w:customStyle="1" w:styleId="87">
    <w:name w:val="正文文本首行缩进 2 字符"/>
    <w:basedOn w:val="34"/>
    <w:link w:val="31"/>
    <w:qFormat/>
    <w:uiPriority w:val="0"/>
    <w:rPr>
      <w:rFonts w:ascii="Times New Roman" w:eastAsia="宋体" w:hAnsiTheme="minorHAnsi" w:cstheme="minorBidi"/>
      <w:kern w:val="2"/>
      <w:sz w:val="21"/>
      <w:szCs w:val="22"/>
    </w:rPr>
  </w:style>
  <w:style w:type="paragraph" w:customStyle="1" w:styleId="88">
    <w:name w:val="cjk"/>
    <w:basedOn w:val="1"/>
    <w:qFormat/>
    <w:uiPriority w:val="0"/>
    <w:pPr>
      <w:widowControl/>
      <w:spacing w:before="100" w:beforeAutospacing="1" w:after="100" w:afterAutospacing="1"/>
      <w:jc w:val="left"/>
    </w:pPr>
    <w:rPr>
      <w:rFonts w:ascii="宋体" w:hAnsi="宋体" w:eastAsia="宋体" w:cs="宋体"/>
      <w:kern w:val="0"/>
      <w:szCs w:val="24"/>
    </w:rPr>
  </w:style>
  <w:style w:type="paragraph" w:customStyle="1" w:styleId="89">
    <w:name w:val="No Spacing1"/>
    <w:basedOn w:val="1"/>
    <w:qFormat/>
    <w:uiPriority w:val="0"/>
    <w:pPr>
      <w:spacing w:line="400" w:lineRule="exact"/>
      <w:jc w:val="left"/>
    </w:pPr>
    <w:rPr>
      <w:rFonts w:ascii="Times New Roman" w:hAnsi="Times New Roman" w:eastAsia="宋体" w:cs="宋体"/>
      <w:color w:val="000000"/>
      <w:kern w:val="0"/>
      <w:szCs w:val="24"/>
      <w:lang w:val="zh-CN"/>
    </w:rPr>
  </w:style>
  <w:style w:type="paragraph" w:customStyle="1" w:styleId="90">
    <w:name w:val="*正文"/>
    <w:basedOn w:val="1"/>
    <w:qFormat/>
    <w:uiPriority w:val="0"/>
    <w:pPr>
      <w:keepNext/>
      <w:keepLines/>
      <w:spacing w:line="360" w:lineRule="auto"/>
      <w:ind w:firstLine="200" w:firstLineChars="200"/>
    </w:pPr>
    <w:rPr>
      <w:rFonts w:ascii="宋体" w:hAnsi="宋体" w:eastAsia="宋体" w:cs="Times New Roman"/>
      <w:szCs w:val="24"/>
    </w:rPr>
  </w:style>
  <w:style w:type="table" w:customStyle="1" w:styleId="91">
    <w:name w:val="网格型1"/>
    <w:basedOn w:val="32"/>
    <w:qFormat/>
    <w:uiPriority w:val="59"/>
    <w:rPr>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92">
    <w:name w:val="color-blue"/>
    <w:basedOn w:val="34"/>
    <w:qFormat/>
    <w:uiPriority w:val="0"/>
    <w:rPr>
      <w:color w:val="1890FF"/>
      <w:sz w:val="14"/>
      <w:szCs w:val="14"/>
      <w:bdr w:val="single" w:color="1890FF" w:sz="4" w:space="0"/>
    </w:rPr>
  </w:style>
  <w:style w:type="character" w:customStyle="1" w:styleId="93">
    <w:name w:val="m-text"/>
    <w:basedOn w:val="34"/>
    <w:qFormat/>
    <w:uiPriority w:val="0"/>
  </w:style>
  <w:style w:type="character" w:customStyle="1" w:styleId="94">
    <w:name w:val="l_10"/>
    <w:basedOn w:val="34"/>
    <w:qFormat/>
    <w:uiPriority w:val="0"/>
  </w:style>
  <w:style w:type="character" w:customStyle="1" w:styleId="95">
    <w:name w:val="color-yellow"/>
    <w:basedOn w:val="34"/>
    <w:qFormat/>
    <w:uiPriority w:val="0"/>
    <w:rPr>
      <w:color w:val="FAAD14"/>
      <w:sz w:val="14"/>
      <w:szCs w:val="14"/>
      <w:bdr w:val="single" w:color="FAAD14" w:sz="4" w:space="0"/>
    </w:rPr>
  </w:style>
  <w:style w:type="character" w:customStyle="1" w:styleId="96">
    <w:name w:val="l_14"/>
    <w:basedOn w:val="34"/>
    <w:qFormat/>
    <w:uiPriority w:val="0"/>
  </w:style>
  <w:style w:type="character" w:customStyle="1" w:styleId="97">
    <w:name w:val="l_141"/>
    <w:basedOn w:val="34"/>
    <w:qFormat/>
    <w:uiPriority w:val="0"/>
  </w:style>
  <w:style w:type="character" w:customStyle="1" w:styleId="98">
    <w:name w:val="l_13"/>
    <w:basedOn w:val="34"/>
    <w:qFormat/>
    <w:uiPriority w:val="0"/>
  </w:style>
  <w:style w:type="character" w:customStyle="1" w:styleId="99">
    <w:name w:val="l_1"/>
    <w:basedOn w:val="34"/>
    <w:qFormat/>
    <w:uiPriority w:val="0"/>
  </w:style>
  <w:style w:type="character" w:customStyle="1" w:styleId="100">
    <w:name w:val="icon_lzrz"/>
    <w:basedOn w:val="34"/>
    <w:qFormat/>
    <w:uiPriority w:val="0"/>
  </w:style>
  <w:style w:type="character" w:customStyle="1" w:styleId="101">
    <w:name w:val="icon_dljg"/>
    <w:basedOn w:val="34"/>
    <w:qFormat/>
    <w:uiPriority w:val="0"/>
  </w:style>
  <w:style w:type="character" w:customStyle="1" w:styleId="102">
    <w:name w:val="icon_cxktbr"/>
    <w:basedOn w:val="34"/>
    <w:qFormat/>
    <w:uiPriority w:val="0"/>
  </w:style>
  <w:style w:type="character" w:customStyle="1" w:styleId="103">
    <w:name w:val="icon_cxkcyry"/>
    <w:basedOn w:val="34"/>
    <w:qFormat/>
    <w:uiPriority w:val="0"/>
  </w:style>
  <w:style w:type="character" w:customStyle="1" w:styleId="104">
    <w:name w:val="color_cdyy"/>
    <w:basedOn w:val="34"/>
    <w:qFormat/>
    <w:uiPriority w:val="0"/>
    <w:rPr>
      <w:color w:val="FFFFFF"/>
      <w:bdr w:val="single" w:color="FFFFFF" w:sz="4" w:space="0"/>
    </w:rPr>
  </w:style>
  <w:style w:type="character" w:customStyle="1" w:styleId="105">
    <w:name w:val="layui-laypage-curr"/>
    <w:basedOn w:val="34"/>
    <w:qFormat/>
    <w:uiPriority w:val="0"/>
  </w:style>
  <w:style w:type="character" w:customStyle="1" w:styleId="106">
    <w:name w:val="l_5"/>
    <w:basedOn w:val="34"/>
    <w:qFormat/>
    <w:uiPriority w:val="0"/>
  </w:style>
  <w:style w:type="character" w:customStyle="1" w:styleId="107">
    <w:name w:val="l_51"/>
    <w:basedOn w:val="34"/>
    <w:qFormat/>
    <w:uiPriority w:val="0"/>
  </w:style>
  <w:style w:type="character" w:customStyle="1" w:styleId="108">
    <w:name w:val="l_6"/>
    <w:basedOn w:val="34"/>
    <w:qFormat/>
    <w:uiPriority w:val="0"/>
  </w:style>
  <w:style w:type="character" w:customStyle="1" w:styleId="109">
    <w:name w:val="l_8"/>
    <w:basedOn w:val="34"/>
    <w:qFormat/>
    <w:uiPriority w:val="0"/>
  </w:style>
  <w:style w:type="character" w:customStyle="1" w:styleId="110">
    <w:name w:val="l_3"/>
    <w:basedOn w:val="34"/>
    <w:qFormat/>
    <w:uiPriority w:val="0"/>
  </w:style>
  <w:style w:type="character" w:customStyle="1" w:styleId="111">
    <w:name w:val="l_0"/>
    <w:basedOn w:val="34"/>
    <w:qFormat/>
    <w:uiPriority w:val="0"/>
  </w:style>
  <w:style w:type="character" w:customStyle="1" w:styleId="112">
    <w:name w:val="l_01"/>
    <w:basedOn w:val="34"/>
    <w:qFormat/>
    <w:uiPriority w:val="0"/>
  </w:style>
  <w:style w:type="character" w:customStyle="1" w:styleId="113">
    <w:name w:val="icon_gzkj"/>
    <w:basedOn w:val="34"/>
    <w:qFormat/>
    <w:uiPriority w:val="0"/>
  </w:style>
  <w:style w:type="character" w:customStyle="1" w:styleId="114">
    <w:name w:val="icon_xzry"/>
    <w:basedOn w:val="34"/>
    <w:qFormat/>
    <w:uiPriority w:val="0"/>
  </w:style>
  <w:style w:type="character" w:customStyle="1" w:styleId="115">
    <w:name w:val="icon_xglc"/>
    <w:basedOn w:val="34"/>
    <w:qFormat/>
    <w:uiPriority w:val="0"/>
  </w:style>
  <w:style w:type="character" w:customStyle="1" w:styleId="116">
    <w:name w:val="l_4"/>
    <w:basedOn w:val="34"/>
    <w:qFormat/>
    <w:uiPriority w:val="0"/>
  </w:style>
  <w:style w:type="character" w:customStyle="1" w:styleId="117">
    <w:name w:val="l_41"/>
    <w:basedOn w:val="34"/>
    <w:qFormat/>
    <w:uiPriority w:val="0"/>
  </w:style>
  <w:style w:type="character" w:customStyle="1" w:styleId="118">
    <w:name w:val="l_2"/>
    <w:basedOn w:val="34"/>
    <w:qFormat/>
    <w:uiPriority w:val="0"/>
  </w:style>
  <w:style w:type="character" w:customStyle="1" w:styleId="119">
    <w:name w:val="l_21"/>
    <w:basedOn w:val="34"/>
    <w:qFormat/>
    <w:uiPriority w:val="0"/>
  </w:style>
  <w:style w:type="character" w:customStyle="1" w:styleId="120">
    <w:name w:val="l_7"/>
    <w:basedOn w:val="34"/>
    <w:qFormat/>
    <w:uiPriority w:val="0"/>
  </w:style>
  <w:style w:type="character" w:customStyle="1" w:styleId="121">
    <w:name w:val="l_71"/>
    <w:basedOn w:val="34"/>
    <w:qFormat/>
    <w:uiPriority w:val="0"/>
  </w:style>
  <w:style w:type="character" w:customStyle="1" w:styleId="122">
    <w:name w:val="l_9"/>
    <w:basedOn w:val="34"/>
    <w:qFormat/>
    <w:uiPriority w:val="0"/>
  </w:style>
  <w:style w:type="character" w:customStyle="1" w:styleId="123">
    <w:name w:val="l_91"/>
    <w:basedOn w:val="34"/>
    <w:qFormat/>
    <w:uiPriority w:val="0"/>
  </w:style>
  <w:style w:type="character" w:customStyle="1" w:styleId="124">
    <w:name w:val="l_11"/>
    <w:basedOn w:val="34"/>
    <w:qFormat/>
    <w:uiPriority w:val="0"/>
  </w:style>
  <w:style w:type="character" w:customStyle="1" w:styleId="125">
    <w:name w:val="l_111"/>
    <w:basedOn w:val="34"/>
    <w:qFormat/>
    <w:uiPriority w:val="0"/>
  </w:style>
  <w:style w:type="character" w:customStyle="1" w:styleId="126">
    <w:name w:val="l_12"/>
    <w:basedOn w:val="34"/>
    <w:qFormat/>
    <w:uiPriority w:val="0"/>
  </w:style>
  <w:style w:type="character" w:customStyle="1" w:styleId="127">
    <w:name w:val="l_121"/>
    <w:basedOn w:val="34"/>
    <w:qFormat/>
    <w:uiPriority w:val="0"/>
  </w:style>
  <w:style w:type="character" w:customStyle="1" w:styleId="128">
    <w:name w:val="l_15"/>
    <w:basedOn w:val="34"/>
    <w:qFormat/>
    <w:uiPriority w:val="0"/>
  </w:style>
  <w:style w:type="character" w:customStyle="1" w:styleId="129">
    <w:name w:val="l_151"/>
    <w:basedOn w:val="34"/>
    <w:qFormat/>
    <w:uiPriority w:val="0"/>
  </w:style>
  <w:style w:type="character" w:customStyle="1" w:styleId="130">
    <w:name w:val="first-child1"/>
    <w:basedOn w:val="34"/>
    <w:qFormat/>
    <w:uiPriority w:val="0"/>
  </w:style>
  <w:style w:type="character" w:customStyle="1" w:styleId="131">
    <w:name w:val="first-child"/>
    <w:basedOn w:val="34"/>
    <w:qFormat/>
    <w:uiPriority w:val="0"/>
  </w:style>
  <w:style w:type="character" w:customStyle="1" w:styleId="132">
    <w:name w:val="l_31"/>
    <w:basedOn w:val="34"/>
    <w:qFormat/>
    <w:uiPriority w:val="0"/>
  </w:style>
  <w:style w:type="character" w:customStyle="1" w:styleId="133">
    <w:name w:val="l_81"/>
    <w:basedOn w:val="34"/>
    <w:qFormat/>
    <w:uiPriority w:val="0"/>
  </w:style>
  <w:style w:type="character" w:customStyle="1" w:styleId="134">
    <w:name w:val="l_131"/>
    <w:basedOn w:val="34"/>
    <w:qFormat/>
    <w:uiPriority w:val="0"/>
  </w:style>
  <w:style w:type="character" w:customStyle="1" w:styleId="135">
    <w:name w:val="l_61"/>
    <w:basedOn w:val="34"/>
    <w:qFormat/>
    <w:uiPriority w:val="0"/>
  </w:style>
  <w:style w:type="character" w:customStyle="1" w:styleId="136">
    <w:name w:val="l_101"/>
    <w:basedOn w:val="34"/>
    <w:qFormat/>
    <w:uiPriority w:val="0"/>
  </w:style>
  <w:style w:type="character" w:customStyle="1" w:styleId="137">
    <w:name w:val="color-yellow1"/>
    <w:basedOn w:val="34"/>
    <w:qFormat/>
    <w:uiPriority w:val="0"/>
    <w:rPr>
      <w:color w:val="FAAD14"/>
      <w:sz w:val="14"/>
      <w:szCs w:val="14"/>
      <w:bdr w:val="single" w:color="FAAD14" w:sz="4" w:space="0"/>
    </w:rPr>
  </w:style>
  <w:style w:type="paragraph" w:customStyle="1" w:styleId="138">
    <w:name w:val="正文首行缩进1"/>
    <w:basedOn w:val="139"/>
    <w:next w:val="140"/>
    <w:unhideWhenUsed/>
    <w:qFormat/>
    <w:uiPriority w:val="99"/>
    <w:pPr>
      <w:ind w:firstLine="420"/>
    </w:pPr>
  </w:style>
  <w:style w:type="paragraph" w:customStyle="1" w:styleId="139">
    <w:name w:val="正文文本1"/>
    <w:basedOn w:val="1"/>
    <w:next w:val="72"/>
    <w:unhideWhenUsed/>
    <w:qFormat/>
    <w:uiPriority w:val="0"/>
    <w:pPr>
      <w:spacing w:before="100" w:beforeAutospacing="1" w:after="120"/>
    </w:pPr>
  </w:style>
  <w:style w:type="paragraph" w:customStyle="1" w:styleId="140">
    <w:name w:val="正文首行缩进 21"/>
    <w:basedOn w:val="141"/>
    <w:next w:val="143"/>
    <w:unhideWhenUsed/>
    <w:qFormat/>
    <w:uiPriority w:val="99"/>
    <w:pPr>
      <w:ind w:firstLine="420"/>
    </w:pPr>
  </w:style>
  <w:style w:type="paragraph" w:customStyle="1" w:styleId="141">
    <w:name w:val="正文文本缩进1"/>
    <w:basedOn w:val="1"/>
    <w:next w:val="142"/>
    <w:unhideWhenUsed/>
    <w:qFormat/>
    <w:uiPriority w:val="0"/>
    <w:pPr>
      <w:spacing w:before="100" w:beforeAutospacing="1"/>
      <w:ind w:left="200"/>
    </w:pPr>
  </w:style>
  <w:style w:type="paragraph" w:customStyle="1" w:styleId="142">
    <w:name w:val="寄信人地址1"/>
    <w:basedOn w:val="1"/>
    <w:unhideWhenUsed/>
    <w:qFormat/>
    <w:uiPriority w:val="0"/>
    <w:rPr>
      <w:rFonts w:ascii="Arial" w:hAnsi="Arial"/>
    </w:rPr>
  </w:style>
  <w:style w:type="paragraph" w:customStyle="1" w:styleId="143">
    <w:name w:val="正文缩进1"/>
    <w:basedOn w:val="1"/>
    <w:next w:val="144"/>
    <w:qFormat/>
    <w:uiPriority w:val="0"/>
    <w:pPr>
      <w:ind w:firstLine="560"/>
    </w:pPr>
    <w:rPr>
      <w:rFonts w:ascii="Times New Roman" w:hAnsi="Times New Roman" w:cs="Times New Roman"/>
      <w:sz w:val="28"/>
      <w:szCs w:val="20"/>
    </w:rPr>
  </w:style>
  <w:style w:type="paragraph" w:customStyle="1" w:styleId="144">
    <w:name w:val="正文文本 21"/>
    <w:basedOn w:val="1"/>
    <w:qFormat/>
    <w:uiPriority w:val="0"/>
    <w:rPr>
      <w:rFonts w:eastAsia="仿宋_GB2312"/>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2.xml"/><Relationship Id="rId8" Type="http://schemas.openxmlformats.org/officeDocument/2006/relationships/customXml" Target="../customXml/item1.xml"/><Relationship Id="rId7" Type="http://schemas.openxmlformats.org/officeDocument/2006/relationships/image" Target="media/image1.jpeg"/><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header" Target="header1.xml"/><Relationship Id="rId3" Type="http://schemas.openxmlformats.org/officeDocument/2006/relationships/footer" Target="foot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4097"/>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CB66BF53-1C2D-4A9F-AE87-45B35B3E5FAC}">
  <ds:schemaRefs/>
</ds:datastoreItem>
</file>

<file path=docProps/app.xml><?xml version="1.0" encoding="utf-8"?>
<Properties xmlns="http://schemas.openxmlformats.org/officeDocument/2006/extended-properties" xmlns:vt="http://schemas.openxmlformats.org/officeDocument/2006/docPropsVTypes">
  <Template>Normal</Template>
  <Pages>70</Pages>
  <Words>6533</Words>
  <Characters>7373</Characters>
  <Lines>943</Lines>
  <Paragraphs>2389</Paragraphs>
  <TotalTime>0</TotalTime>
  <ScaleCrop>false</ScaleCrop>
  <LinksUpToDate>false</LinksUpToDate>
  <CharactersWithSpaces>7834</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2019-11-20T02:29:00Z</dcterms:created>
  <dc:creator>高达建设管理发展有限责任公司:陈小磊</dc:creator>
  <cp:lastModifiedBy>开疆拓土</cp:lastModifiedBy>
  <cp:lastPrinted>2025-07-27T11:40:00Z</cp:lastPrinted>
  <dcterms:modified xsi:type="dcterms:W3CDTF">2026-08-11T12:58:48Z</dcterms:modified>
  <cp:revision>723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39F6DD604BE44822A3821C5EEE72DE2F_13</vt:lpwstr>
  </property>
  <property fmtid="{D5CDD505-2E9C-101B-9397-08002B2CF9AE}" pid="4" name="KSOTemplateDocerSaveRecord">
    <vt:lpwstr>eyJoZGlkIjoiODk5YTA4ZWM1MGQ1ZjJiZGUzM2NmYzE1ZDQ4OTg1ODEiLCJ1c2VySWQiOiIyODIxMzYxNjIifQ==</vt:lpwstr>
  </property>
</Properties>
</file>