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40ED2">
      <w:pPr>
        <w:spacing w:before="190" w:line="397" w:lineRule="auto"/>
        <w:ind w:right="54"/>
        <w:jc w:val="center"/>
        <w:rPr>
          <w:rFonts w:hint="eastAsia" w:ascii="宋体" w:hAnsi="宋体" w:cs="宋体"/>
          <w:b/>
          <w:bCs/>
          <w:spacing w:val="8"/>
          <w:sz w:val="22"/>
          <w:szCs w:val="22"/>
          <w:lang w:eastAsia="zh-CN"/>
        </w:rPr>
      </w:pPr>
      <w:bookmarkStart w:id="0" w:name="_Toc427393010"/>
      <w:bookmarkStart w:id="1" w:name="_Toc1182"/>
      <w:bookmarkStart w:id="2" w:name="_Toc152042286"/>
      <w:bookmarkStart w:id="3" w:name="_Toc144974478"/>
      <w:bookmarkStart w:id="4" w:name="_Toc300834926"/>
      <w:bookmarkStart w:id="5" w:name="_Toc247527532"/>
      <w:r>
        <w:rPr>
          <w:rFonts w:hint="eastAsia" w:ascii="宋体" w:hAnsi="宋体" w:cs="宋体"/>
          <w:b/>
          <w:bCs/>
          <w:spacing w:val="8"/>
          <w:sz w:val="22"/>
          <w:szCs w:val="22"/>
          <w:lang w:eastAsia="zh-CN"/>
        </w:rPr>
        <w:drawing>
          <wp:inline distT="0" distB="0" distL="114300" distR="114300">
            <wp:extent cx="6115050" cy="8648065"/>
            <wp:effectExtent l="0" t="0" r="0" b="635"/>
            <wp:docPr id="7" name="图片 7" descr="招标文件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招标文件封面"/>
                    <pic:cNvPicPr>
                      <a:picLocks noChangeAspect="1"/>
                    </pic:cNvPicPr>
                  </pic:nvPicPr>
                  <pic:blipFill>
                    <a:blip r:embed="rId16"/>
                    <a:stretch>
                      <a:fillRect/>
                    </a:stretch>
                  </pic:blipFill>
                  <pic:spPr>
                    <a:xfrm>
                      <a:off x="0" y="0"/>
                      <a:ext cx="6115050" cy="8648065"/>
                    </a:xfrm>
                    <a:prstGeom prst="rect">
                      <a:avLst/>
                    </a:prstGeom>
                  </pic:spPr>
                </pic:pic>
              </a:graphicData>
            </a:graphic>
          </wp:inline>
        </w:drawing>
      </w:r>
    </w:p>
    <w:p w14:paraId="23E29AF2">
      <w:pPr>
        <w:spacing w:before="190" w:line="397" w:lineRule="auto"/>
        <w:ind w:right="54"/>
        <w:jc w:val="center"/>
        <w:rPr>
          <w:rFonts w:hint="eastAsia" w:ascii="宋体" w:hAnsi="宋体" w:cs="宋体"/>
          <w:b/>
          <w:bCs/>
          <w:spacing w:val="8"/>
          <w:sz w:val="40"/>
          <w:szCs w:val="40"/>
          <w:lang w:eastAsia="zh-CN"/>
        </w:rPr>
      </w:pPr>
    </w:p>
    <w:p w14:paraId="53CAEF92">
      <w:pPr>
        <w:spacing w:before="190" w:line="397" w:lineRule="auto"/>
        <w:ind w:right="54"/>
        <w:jc w:val="center"/>
        <w:rPr>
          <w:rFonts w:hint="eastAsia" w:ascii="宋体" w:hAnsi="宋体" w:eastAsia="宋体" w:cs="宋体"/>
          <w:b/>
          <w:bCs/>
          <w:spacing w:val="8"/>
          <w:sz w:val="40"/>
          <w:szCs w:val="40"/>
          <w:lang w:eastAsia="zh-CN"/>
        </w:rPr>
      </w:pPr>
      <w:r>
        <w:rPr>
          <w:rFonts w:hint="eastAsia" w:ascii="宋体" w:hAnsi="宋体" w:cs="宋体"/>
          <w:b/>
          <w:bCs/>
          <w:spacing w:val="8"/>
          <w:sz w:val="40"/>
          <w:szCs w:val="40"/>
          <w:lang w:eastAsia="zh-CN"/>
        </w:rPr>
        <w:t>平顶山市林业局河南省平顶山市伏牛山—淮河生态屏障区国土绿化示范中幼林抚育项目监理项目</w:t>
      </w:r>
    </w:p>
    <w:p w14:paraId="4B008057">
      <w:pPr>
        <w:pStyle w:val="15"/>
        <w:spacing w:line="249" w:lineRule="auto"/>
      </w:pPr>
    </w:p>
    <w:p w14:paraId="4BC2A4B4">
      <w:pPr>
        <w:pStyle w:val="15"/>
        <w:spacing w:line="250" w:lineRule="auto"/>
      </w:pPr>
    </w:p>
    <w:p w14:paraId="424B9FE2">
      <w:pPr>
        <w:pStyle w:val="15"/>
        <w:spacing w:line="250" w:lineRule="auto"/>
      </w:pPr>
    </w:p>
    <w:p w14:paraId="0D914637">
      <w:pPr>
        <w:pStyle w:val="15"/>
        <w:spacing w:line="250" w:lineRule="auto"/>
      </w:pPr>
    </w:p>
    <w:p w14:paraId="236E8340">
      <w:pPr>
        <w:spacing w:before="305" w:line="220" w:lineRule="auto"/>
        <w:ind w:left="1669" w:firstLine="641" w:firstLineChars="100"/>
        <w:jc w:val="both"/>
        <w:rPr>
          <w:rFonts w:ascii="宋体" w:hAnsi="宋体" w:eastAsia="宋体" w:cs="宋体"/>
          <w:b/>
          <w:bCs/>
          <w:spacing w:val="-41"/>
          <w:sz w:val="72"/>
          <w:szCs w:val="72"/>
        </w:rPr>
      </w:pPr>
    </w:p>
    <w:p w14:paraId="10EC8CC7">
      <w:pPr>
        <w:spacing w:before="305" w:line="220" w:lineRule="auto"/>
        <w:jc w:val="center"/>
        <w:rPr>
          <w:rFonts w:ascii="宋体" w:hAnsi="宋体" w:eastAsia="宋体" w:cs="宋体"/>
          <w:sz w:val="72"/>
          <w:szCs w:val="72"/>
        </w:rPr>
      </w:pPr>
      <w:r>
        <w:rPr>
          <w:rFonts w:ascii="宋体" w:hAnsi="宋体" w:eastAsia="宋体" w:cs="宋体"/>
          <w:b/>
          <w:bCs/>
          <w:spacing w:val="-41"/>
          <w:sz w:val="72"/>
          <w:szCs w:val="72"/>
        </w:rPr>
        <w:t>招</w:t>
      </w:r>
      <w:r>
        <w:rPr>
          <w:rFonts w:ascii="宋体" w:hAnsi="宋体" w:eastAsia="宋体" w:cs="宋体"/>
          <w:spacing w:val="46"/>
          <w:sz w:val="72"/>
          <w:szCs w:val="72"/>
        </w:rPr>
        <w:t xml:space="preserve"> </w:t>
      </w:r>
      <w:r>
        <w:rPr>
          <w:rFonts w:ascii="宋体" w:hAnsi="宋体" w:eastAsia="宋体" w:cs="宋体"/>
          <w:b/>
          <w:bCs/>
          <w:spacing w:val="-41"/>
          <w:sz w:val="72"/>
          <w:szCs w:val="72"/>
        </w:rPr>
        <w:t>标</w:t>
      </w:r>
      <w:r>
        <w:rPr>
          <w:rFonts w:ascii="宋体" w:hAnsi="宋体" w:eastAsia="宋体" w:cs="宋体"/>
          <w:spacing w:val="50"/>
          <w:sz w:val="72"/>
          <w:szCs w:val="72"/>
        </w:rPr>
        <w:t xml:space="preserve"> </w:t>
      </w:r>
      <w:r>
        <w:rPr>
          <w:rFonts w:ascii="宋体" w:hAnsi="宋体" w:eastAsia="宋体" w:cs="宋体"/>
          <w:b/>
          <w:bCs/>
          <w:spacing w:val="-41"/>
          <w:sz w:val="72"/>
          <w:szCs w:val="72"/>
        </w:rPr>
        <w:t>文</w:t>
      </w:r>
      <w:r>
        <w:rPr>
          <w:rFonts w:ascii="宋体" w:hAnsi="宋体" w:eastAsia="宋体" w:cs="宋体"/>
          <w:spacing w:val="35"/>
          <w:sz w:val="72"/>
          <w:szCs w:val="72"/>
        </w:rPr>
        <w:t xml:space="preserve"> </w:t>
      </w:r>
      <w:r>
        <w:rPr>
          <w:rFonts w:ascii="宋体" w:hAnsi="宋体" w:eastAsia="宋体" w:cs="宋体"/>
          <w:b/>
          <w:bCs/>
          <w:spacing w:val="-41"/>
          <w:sz w:val="72"/>
          <w:szCs w:val="72"/>
        </w:rPr>
        <w:t>件</w:t>
      </w:r>
    </w:p>
    <w:p w14:paraId="3840A16D">
      <w:pPr>
        <w:pStyle w:val="15"/>
        <w:spacing w:line="285" w:lineRule="auto"/>
        <w:jc w:val="center"/>
      </w:pPr>
    </w:p>
    <w:p w14:paraId="33FDC1C2">
      <w:pPr>
        <w:spacing w:before="101" w:line="224" w:lineRule="auto"/>
        <w:jc w:val="center"/>
        <w:rPr>
          <w:rFonts w:hint="default" w:ascii="宋体" w:hAnsi="宋体" w:eastAsia="宋体" w:cs="宋体"/>
          <w:color w:val="auto"/>
          <w:sz w:val="24"/>
          <w:szCs w:val="24"/>
          <w:lang w:val="en-US" w:eastAsia="zh-CN"/>
        </w:rPr>
      </w:pPr>
      <w:r>
        <w:rPr>
          <w:rFonts w:hint="eastAsia" w:ascii="宋体" w:hAnsi="宋体" w:cs="宋体"/>
          <w:b/>
          <w:bCs/>
          <w:color w:val="auto"/>
          <w:spacing w:val="5"/>
          <w:sz w:val="24"/>
          <w:szCs w:val="24"/>
          <w:lang w:val="en-US" w:eastAsia="zh-CN"/>
        </w:rPr>
        <w:t>项目</w:t>
      </w:r>
      <w:r>
        <w:rPr>
          <w:rFonts w:ascii="宋体" w:hAnsi="宋体" w:eastAsia="宋体" w:cs="宋体"/>
          <w:b/>
          <w:bCs/>
          <w:color w:val="auto"/>
          <w:spacing w:val="5"/>
          <w:sz w:val="24"/>
          <w:szCs w:val="24"/>
        </w:rPr>
        <w:t>编号：</w:t>
      </w:r>
      <w:r>
        <w:rPr>
          <w:rFonts w:hint="eastAsia" w:ascii="宋体" w:hAnsi="宋体" w:cs="宋体"/>
          <w:b/>
          <w:bCs/>
          <w:color w:val="auto"/>
          <w:spacing w:val="5"/>
          <w:sz w:val="24"/>
          <w:szCs w:val="24"/>
          <w:lang w:val="en-US" w:eastAsia="zh-CN"/>
        </w:rPr>
        <w:t>平</w:t>
      </w:r>
      <w:r>
        <w:rPr>
          <w:rFonts w:ascii="宋体" w:hAnsi="宋体" w:eastAsia="宋体" w:cs="宋体"/>
          <w:b/>
          <w:bCs/>
          <w:color w:val="auto"/>
          <w:spacing w:val="5"/>
          <w:sz w:val="24"/>
          <w:szCs w:val="24"/>
        </w:rPr>
        <w:t>采招标</w:t>
      </w:r>
      <w:r>
        <w:rPr>
          <w:rFonts w:hint="eastAsia" w:ascii="宋体" w:hAnsi="宋体" w:eastAsia="宋体" w:cs="宋体"/>
          <w:b/>
          <w:bCs/>
          <w:color w:val="auto"/>
          <w:spacing w:val="5"/>
          <w:sz w:val="24"/>
          <w:szCs w:val="24"/>
          <w:lang w:val="en-US" w:eastAsia="zh-CN"/>
        </w:rPr>
        <w:t>-2026-</w:t>
      </w:r>
      <w:r>
        <w:rPr>
          <w:rFonts w:hint="eastAsia" w:ascii="宋体" w:hAnsi="宋体" w:cs="宋体"/>
          <w:b/>
          <w:bCs/>
          <w:color w:val="auto"/>
          <w:spacing w:val="5"/>
          <w:sz w:val="24"/>
          <w:szCs w:val="24"/>
          <w:lang w:val="en-US" w:eastAsia="zh-CN"/>
        </w:rPr>
        <w:t>130</w:t>
      </w:r>
    </w:p>
    <w:p w14:paraId="0840BC0A">
      <w:pPr>
        <w:pStyle w:val="15"/>
        <w:spacing w:line="282" w:lineRule="auto"/>
      </w:pPr>
    </w:p>
    <w:p w14:paraId="0D96664D">
      <w:pPr>
        <w:pStyle w:val="15"/>
        <w:spacing w:line="282" w:lineRule="auto"/>
      </w:pPr>
    </w:p>
    <w:p w14:paraId="57172F6B">
      <w:pPr>
        <w:pStyle w:val="15"/>
        <w:spacing w:line="282" w:lineRule="auto"/>
      </w:pPr>
    </w:p>
    <w:p w14:paraId="6A162CC9">
      <w:pPr>
        <w:spacing w:before="1" w:line="2880" w:lineRule="exact"/>
        <w:ind w:firstLine="2598"/>
        <w:rPr>
          <w:sz w:val="24"/>
          <w:szCs w:val="24"/>
        </w:rPr>
      </w:pPr>
    </w:p>
    <w:p w14:paraId="3B20A392">
      <w:pPr>
        <w:keepNext w:val="0"/>
        <w:keepLines w:val="0"/>
        <w:pageBreakBefore w:val="0"/>
        <w:widowControl w:val="0"/>
        <w:tabs>
          <w:tab w:val="left" w:pos="147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napToGrid/>
          <w:spacing w:val="-10"/>
          <w:kern w:val="2"/>
          <w:sz w:val="36"/>
          <w:szCs w:val="36"/>
          <w:lang w:eastAsia="zh-CN"/>
        </w:rPr>
      </w:pPr>
      <w:r>
        <w:rPr>
          <w:rFonts w:hint="eastAsia" w:ascii="宋体" w:hAnsi="宋体" w:eastAsia="宋体" w:cs="宋体"/>
          <w:b/>
          <w:bCs/>
          <w:snapToGrid/>
          <w:spacing w:val="-10"/>
          <w:kern w:val="2"/>
          <w:sz w:val="36"/>
          <w:szCs w:val="36"/>
          <w:lang w:eastAsia="zh-CN"/>
        </w:rPr>
        <w:t>招标人：</w:t>
      </w:r>
      <w:r>
        <w:rPr>
          <w:rFonts w:hint="eastAsia" w:ascii="宋体" w:hAnsi="宋体" w:cs="宋体"/>
          <w:b/>
          <w:bCs/>
          <w:snapToGrid/>
          <w:spacing w:val="-10"/>
          <w:kern w:val="2"/>
          <w:sz w:val="36"/>
          <w:szCs w:val="36"/>
          <w:lang w:eastAsia="zh-CN"/>
        </w:rPr>
        <w:t>平顶山市林业局</w:t>
      </w:r>
    </w:p>
    <w:p w14:paraId="3459D7FD">
      <w:pPr>
        <w:keepNext w:val="0"/>
        <w:keepLines w:val="0"/>
        <w:pageBreakBefore w:val="0"/>
        <w:widowControl w:val="0"/>
        <w:tabs>
          <w:tab w:val="left" w:pos="147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napToGrid/>
          <w:spacing w:val="-10"/>
          <w:kern w:val="2"/>
          <w:sz w:val="36"/>
          <w:szCs w:val="36"/>
          <w:lang w:eastAsia="zh-CN"/>
        </w:rPr>
      </w:pPr>
      <w:r>
        <w:rPr>
          <w:rFonts w:hint="eastAsia" w:ascii="宋体" w:hAnsi="宋体" w:eastAsia="宋体" w:cs="宋体"/>
          <w:b/>
          <w:bCs/>
          <w:snapToGrid/>
          <w:spacing w:val="-10"/>
          <w:kern w:val="2"/>
          <w:sz w:val="36"/>
          <w:szCs w:val="36"/>
          <w:lang w:eastAsia="zh-CN"/>
        </w:rPr>
        <w:t>招标代理机构：</w:t>
      </w:r>
      <w:r>
        <w:rPr>
          <w:rFonts w:hint="eastAsia" w:ascii="宋体" w:hAnsi="宋体" w:cs="宋体"/>
          <w:b/>
          <w:bCs/>
          <w:snapToGrid/>
          <w:spacing w:val="-10"/>
          <w:kern w:val="2"/>
          <w:sz w:val="36"/>
          <w:szCs w:val="36"/>
          <w:lang w:eastAsia="zh-CN"/>
        </w:rPr>
        <w:t>河南佳晟工程咨询有限公司</w:t>
      </w:r>
    </w:p>
    <w:p w14:paraId="7ACEAF40">
      <w:pPr>
        <w:keepNext w:val="0"/>
        <w:keepLines w:val="0"/>
        <w:pageBreakBefore w:val="0"/>
        <w:widowControl w:val="0"/>
        <w:tabs>
          <w:tab w:val="left" w:pos="147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napToGrid/>
          <w:spacing w:val="-10"/>
          <w:kern w:val="2"/>
          <w:sz w:val="36"/>
          <w:szCs w:val="36"/>
          <w:lang w:eastAsia="zh-CN"/>
        </w:rPr>
      </w:pPr>
      <w:r>
        <w:rPr>
          <w:rFonts w:hint="eastAsia" w:ascii="宋体" w:hAnsi="宋体" w:eastAsia="宋体" w:cs="宋体"/>
          <w:b/>
          <w:bCs/>
          <w:snapToGrid/>
          <w:spacing w:val="-10"/>
          <w:kern w:val="2"/>
          <w:sz w:val="36"/>
          <w:szCs w:val="36"/>
          <w:lang w:eastAsia="zh-CN"/>
        </w:rPr>
        <w:t>二零二</w:t>
      </w:r>
      <w:r>
        <w:rPr>
          <w:rFonts w:hint="eastAsia" w:ascii="宋体" w:hAnsi="宋体" w:eastAsia="宋体" w:cs="宋体"/>
          <w:b/>
          <w:bCs/>
          <w:snapToGrid/>
          <w:spacing w:val="-10"/>
          <w:kern w:val="2"/>
          <w:sz w:val="36"/>
          <w:szCs w:val="36"/>
          <w:lang w:val="en-US" w:eastAsia="zh-CN"/>
        </w:rPr>
        <w:t>六</w:t>
      </w:r>
      <w:r>
        <w:rPr>
          <w:rFonts w:hint="eastAsia" w:ascii="宋体" w:hAnsi="宋体" w:eastAsia="宋体" w:cs="宋体"/>
          <w:b/>
          <w:bCs/>
          <w:snapToGrid/>
          <w:spacing w:val="-10"/>
          <w:kern w:val="2"/>
          <w:sz w:val="36"/>
          <w:szCs w:val="36"/>
          <w:lang w:eastAsia="zh-CN"/>
        </w:rPr>
        <w:t>年</w:t>
      </w:r>
      <w:r>
        <w:rPr>
          <w:rFonts w:hint="eastAsia" w:ascii="宋体" w:hAnsi="宋体" w:cs="宋体"/>
          <w:b/>
          <w:bCs/>
          <w:snapToGrid/>
          <w:spacing w:val="-10"/>
          <w:kern w:val="2"/>
          <w:sz w:val="36"/>
          <w:szCs w:val="36"/>
          <w:lang w:val="en-US" w:eastAsia="zh-CN"/>
        </w:rPr>
        <w:t>八</w:t>
      </w:r>
      <w:r>
        <w:rPr>
          <w:rFonts w:hint="eastAsia" w:ascii="宋体" w:hAnsi="宋体" w:eastAsia="宋体" w:cs="宋体"/>
          <w:b/>
          <w:bCs/>
          <w:snapToGrid/>
          <w:spacing w:val="-10"/>
          <w:kern w:val="2"/>
          <w:sz w:val="36"/>
          <w:szCs w:val="36"/>
          <w:lang w:eastAsia="zh-CN"/>
        </w:rPr>
        <w:t>月</w:t>
      </w:r>
    </w:p>
    <w:p w14:paraId="706DC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cs="楷体"/>
          <w:b/>
          <w:sz w:val="32"/>
          <w:szCs w:val="32"/>
          <w:lang w:val="en-US" w:eastAsia="zh-CN"/>
        </w:rPr>
      </w:pPr>
    </w:p>
    <w:p w14:paraId="5B251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cs="楷体"/>
          <w:b/>
          <w:sz w:val="32"/>
          <w:szCs w:val="32"/>
          <w:lang w:val="en-US" w:eastAsia="zh-CN"/>
        </w:rPr>
        <w:sectPr>
          <w:footerReference r:id="rId3" w:type="default"/>
          <w:pgSz w:w="11906" w:h="16838"/>
          <w:pgMar w:top="1418" w:right="1134" w:bottom="1418" w:left="1134" w:header="851" w:footer="992" w:gutter="0"/>
          <w:pgNumType w:start="1"/>
          <w:cols w:space="720" w:num="1"/>
          <w:docGrid w:type="lines" w:linePitch="312" w:charSpace="0"/>
        </w:sectPr>
      </w:pPr>
    </w:p>
    <w:bookmarkEnd w:id="0"/>
    <w:bookmarkEnd w:id="1"/>
    <w:p w14:paraId="0B32F0BB">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rPr>
      </w:pPr>
      <w:r>
        <w:rPr>
          <w:rFonts w:hint="eastAsia" w:ascii="宋体" w:hAnsi="宋体"/>
          <w:b/>
          <w:sz w:val="32"/>
          <w:szCs w:val="32"/>
        </w:rPr>
        <w:t>目     录</w:t>
      </w:r>
      <w:bookmarkEnd w:id="2"/>
      <w:bookmarkEnd w:id="3"/>
      <w:bookmarkEnd w:id="4"/>
      <w:bookmarkEnd w:id="5"/>
    </w:p>
    <w:p w14:paraId="2361E157">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rPr>
      </w:pPr>
      <w:bookmarkStart w:id="6" w:name="_Toc12724_WPSOffice_Type1"/>
    </w:p>
    <w:p w14:paraId="7F4503FF">
      <w:pPr>
        <w:pStyle w:val="148"/>
        <w:keepNext w:val="0"/>
        <w:keepLines w:val="0"/>
        <w:pageBreakBefore w:val="0"/>
        <w:tabs>
          <w:tab w:val="right" w:leader="dot" w:pos="963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"_Toc30560_WPSOffice_Level1"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第一章 招标公告</w:t>
      </w:r>
      <w:r>
        <w:rPr>
          <w:rFonts w:hint="eastAsia" w:asciiTheme="minorEastAsia" w:hAnsiTheme="minorEastAsia" w:eastAsiaTheme="minorEastAsia" w:cstheme="minorEastAsia"/>
          <w:b w:val="0"/>
          <w:bCs w:val="0"/>
          <w:sz w:val="28"/>
          <w:szCs w:val="28"/>
        </w:rPr>
        <w:fldChar w:fldCharType="end"/>
      </w:r>
    </w:p>
    <w:p w14:paraId="70689BFB">
      <w:pPr>
        <w:pStyle w:val="148"/>
        <w:keepNext w:val="0"/>
        <w:keepLines w:val="0"/>
        <w:pageBreakBefore w:val="0"/>
        <w:tabs>
          <w:tab w:val="right" w:leader="dot" w:pos="963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"_Toc10907_WPSOffice_Level1"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第二章 投标人须知</w:t>
      </w:r>
      <w:r>
        <w:rPr>
          <w:rFonts w:hint="eastAsia" w:asciiTheme="minorEastAsia" w:hAnsiTheme="minorEastAsia" w:eastAsiaTheme="minorEastAsia" w:cstheme="minorEastAsia"/>
          <w:b w:val="0"/>
          <w:bCs w:val="0"/>
          <w:sz w:val="28"/>
          <w:szCs w:val="28"/>
        </w:rPr>
        <w:fldChar w:fldCharType="end"/>
      </w:r>
    </w:p>
    <w:p w14:paraId="6436F6B3">
      <w:pPr>
        <w:pStyle w:val="148"/>
        <w:keepNext w:val="0"/>
        <w:keepLines w:val="0"/>
        <w:pageBreakBefore w:val="0"/>
        <w:tabs>
          <w:tab w:val="right" w:leader="dot" w:pos="963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"_Toc1607_WPSOffice_Level1"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第三章 评标办法（综合评估法）</w:t>
      </w:r>
      <w:r>
        <w:rPr>
          <w:rFonts w:hint="eastAsia" w:asciiTheme="minorEastAsia" w:hAnsiTheme="minorEastAsia" w:eastAsiaTheme="minorEastAsia" w:cstheme="minorEastAsia"/>
          <w:b w:val="0"/>
          <w:bCs w:val="0"/>
          <w:sz w:val="28"/>
          <w:szCs w:val="28"/>
        </w:rPr>
        <w:fldChar w:fldCharType="end"/>
      </w:r>
    </w:p>
    <w:p w14:paraId="68E88857">
      <w:pPr>
        <w:pStyle w:val="148"/>
        <w:keepNext w:val="0"/>
        <w:keepLines w:val="0"/>
        <w:pageBreakBefore w:val="0"/>
        <w:tabs>
          <w:tab w:val="right" w:leader="dot" w:pos="963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"_Toc6229_WPSOffice_Level1"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第四章 合同条款及格式</w:t>
      </w:r>
      <w:r>
        <w:rPr>
          <w:rFonts w:hint="eastAsia" w:asciiTheme="minorEastAsia" w:hAnsiTheme="minorEastAsia" w:eastAsiaTheme="minorEastAsia" w:cstheme="minorEastAsia"/>
          <w:b w:val="0"/>
          <w:bCs w:val="0"/>
          <w:sz w:val="28"/>
          <w:szCs w:val="28"/>
        </w:rPr>
        <w:fldChar w:fldCharType="end"/>
      </w:r>
    </w:p>
    <w:p w14:paraId="0D1CD7D9">
      <w:pPr>
        <w:pStyle w:val="148"/>
        <w:keepNext w:val="0"/>
        <w:keepLines w:val="0"/>
        <w:pageBreakBefore w:val="0"/>
        <w:tabs>
          <w:tab w:val="right" w:leader="dot" w:pos="963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第五章 服务要求</w:t>
      </w:r>
    </w:p>
    <w:p w14:paraId="60D81E23">
      <w:pPr>
        <w:pStyle w:val="148"/>
        <w:keepNext w:val="0"/>
        <w:keepLines w:val="0"/>
        <w:pageBreakBefore w:val="0"/>
        <w:tabs>
          <w:tab w:val="right" w:leader="dot" w:pos="963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"_Toc9064_WPSOffice_Level1"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第</w:t>
      </w:r>
      <w:r>
        <w:rPr>
          <w:rFonts w:hint="eastAsia" w:asciiTheme="minorEastAsia" w:hAnsiTheme="minorEastAsia" w:eastAsiaTheme="minorEastAsia" w:cstheme="minorEastAsia"/>
          <w:b w:val="0"/>
          <w:bCs w:val="0"/>
          <w:sz w:val="28"/>
          <w:szCs w:val="28"/>
          <w:lang w:val="en-US" w:eastAsia="zh-CN"/>
        </w:rPr>
        <w:t>六</w:t>
      </w:r>
      <w:r>
        <w:rPr>
          <w:rFonts w:hint="eastAsia" w:asciiTheme="minorEastAsia" w:hAnsiTheme="minorEastAsia" w:eastAsiaTheme="minorEastAsia" w:cstheme="minorEastAsia"/>
          <w:b w:val="0"/>
          <w:bCs w:val="0"/>
          <w:sz w:val="28"/>
          <w:szCs w:val="28"/>
        </w:rPr>
        <w:t>章 投标文件格式</w:t>
      </w:r>
      <w:r>
        <w:rPr>
          <w:rFonts w:hint="eastAsia" w:asciiTheme="minorEastAsia" w:hAnsiTheme="minorEastAsia" w:eastAsiaTheme="minorEastAsia" w:cstheme="minorEastAsia"/>
          <w:b w:val="0"/>
          <w:bCs w:val="0"/>
          <w:sz w:val="28"/>
          <w:szCs w:val="28"/>
        </w:rPr>
        <w:fldChar w:fldCharType="end"/>
      </w:r>
    </w:p>
    <w:p w14:paraId="284436F5">
      <w:pPr>
        <w:pStyle w:val="148"/>
        <w:tabs>
          <w:tab w:val="right" w:leader="dot" w:pos="9638"/>
        </w:tabs>
        <w:spacing w:line="360" w:lineRule="auto"/>
        <w:rPr>
          <w:rFonts w:ascii="宋体" w:hAnsi="宋体"/>
          <w:bCs/>
        </w:rPr>
      </w:pPr>
    </w:p>
    <w:bookmarkEnd w:id="6"/>
    <w:p w14:paraId="2C589566">
      <w:pPr>
        <w:rPr>
          <w:rFonts w:ascii="宋体" w:hAnsi="宋体"/>
          <w:szCs w:val="21"/>
        </w:rPr>
      </w:pPr>
    </w:p>
    <w:p w14:paraId="2D3C4520">
      <w:pPr>
        <w:rPr>
          <w:rFonts w:ascii="宋体" w:hAnsi="宋体"/>
          <w:szCs w:val="21"/>
        </w:rPr>
        <w:sectPr>
          <w:footerReference r:id="rId4" w:type="default"/>
          <w:pgSz w:w="11906" w:h="16838"/>
          <w:pgMar w:top="1418" w:right="1134" w:bottom="1418" w:left="1134" w:header="851" w:footer="992" w:gutter="0"/>
          <w:pgNumType w:fmt="decimal" w:start="1"/>
          <w:cols w:space="720" w:num="1"/>
          <w:docGrid w:type="lines" w:linePitch="312" w:charSpace="0"/>
        </w:sectPr>
      </w:pPr>
    </w:p>
    <w:p w14:paraId="3A4708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8"/>
          <w:szCs w:val="36"/>
        </w:rPr>
      </w:pPr>
      <w:bookmarkStart w:id="7" w:name="_Toc29763"/>
      <w:r>
        <w:rPr>
          <w:rFonts w:hint="eastAsia" w:asciiTheme="minorEastAsia" w:hAnsiTheme="minorEastAsia" w:eastAsiaTheme="minorEastAsia" w:cstheme="minorEastAsia"/>
          <w:b/>
          <w:bCs/>
          <w:sz w:val="28"/>
          <w:szCs w:val="36"/>
        </w:rPr>
        <w:t>第一</w:t>
      </w:r>
      <w:bookmarkEnd w:id="7"/>
      <w:r>
        <w:rPr>
          <w:rFonts w:hint="eastAsia" w:asciiTheme="minorEastAsia" w:hAnsiTheme="minorEastAsia" w:eastAsiaTheme="minorEastAsia" w:cstheme="minorEastAsia"/>
          <w:b/>
          <w:bCs/>
          <w:sz w:val="28"/>
          <w:szCs w:val="36"/>
        </w:rPr>
        <w:t>章  招标公告</w:t>
      </w:r>
    </w:p>
    <w:p w14:paraId="2FBE49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8"/>
          <w:szCs w:val="36"/>
          <w:lang w:eastAsia="zh-CN"/>
        </w:rPr>
      </w:pPr>
      <w:bookmarkStart w:id="8" w:name="_Toc144974495"/>
      <w:bookmarkStart w:id="9" w:name="_Toc152045527"/>
      <w:bookmarkStart w:id="10" w:name="_Toc247527551"/>
      <w:bookmarkStart w:id="11" w:name="_Toc152042303"/>
      <w:bookmarkStart w:id="12" w:name="_Toc247513950"/>
      <w:r>
        <w:rPr>
          <w:rFonts w:hint="eastAsia" w:asciiTheme="minorEastAsia" w:hAnsiTheme="minorEastAsia" w:eastAsiaTheme="minorEastAsia" w:cstheme="minorEastAsia"/>
          <w:b/>
          <w:bCs/>
          <w:sz w:val="28"/>
          <w:szCs w:val="36"/>
          <w:lang w:eastAsia="zh-CN"/>
        </w:rPr>
        <w:t>【平公资采2026872号】平顶山市林业局河南省平顶山市伏牛山—淮河</w:t>
      </w:r>
    </w:p>
    <w:p w14:paraId="306326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lang w:eastAsia="zh-CN"/>
        </w:rPr>
        <w:t>生态屏障区国土绿化示范中幼林抚育项目监理项目</w:t>
      </w:r>
      <w:r>
        <w:rPr>
          <w:rFonts w:hint="eastAsia" w:asciiTheme="minorEastAsia" w:hAnsiTheme="minorEastAsia" w:eastAsiaTheme="minorEastAsia" w:cstheme="minorEastAsia"/>
          <w:b/>
          <w:bCs/>
          <w:sz w:val="28"/>
          <w:szCs w:val="36"/>
        </w:rPr>
        <w:t>招标公告</w:t>
      </w:r>
    </w:p>
    <w:p w14:paraId="07E81F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p>
    <w:p w14:paraId="6C4A69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项目概况</w:t>
      </w:r>
    </w:p>
    <w:p w14:paraId="47B2BB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eastAsia="zh-CN"/>
        </w:rPr>
        <w:t>平顶山市林业局河南省平顶山市伏牛山—淮河生态屏障区国土绿化示范中幼林抚育项目监理项目</w:t>
      </w:r>
      <w:r>
        <w:rPr>
          <w:rFonts w:hint="eastAsia" w:asciiTheme="minorEastAsia" w:hAnsiTheme="minorEastAsia" w:eastAsiaTheme="minorEastAsia" w:cstheme="minorEastAsia"/>
          <w:sz w:val="24"/>
          <w:szCs w:val="32"/>
        </w:rPr>
        <w:t>招标项目的潜在投标人应在平顶山市公共资源交易中心电子交易系统获取招标文件，并于202</w:t>
      </w: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rPr>
        <w:t>年</w:t>
      </w:r>
      <w:r>
        <w:rPr>
          <w:rFonts w:hint="eastAsia" w:asciiTheme="minorEastAsia" w:hAnsiTheme="minorEastAsia" w:eastAsiaTheme="minorEastAsia" w:cstheme="minorEastAsia"/>
          <w:sz w:val="24"/>
          <w:szCs w:val="32"/>
          <w:lang w:val="en-US" w:eastAsia="zh-CN"/>
        </w:rPr>
        <w:t>09</w:t>
      </w:r>
      <w:r>
        <w:rPr>
          <w:rFonts w:hint="eastAsia" w:asciiTheme="minorEastAsia" w:hAnsiTheme="minorEastAsia" w:eastAsiaTheme="minorEastAsia" w:cstheme="minorEastAsia"/>
          <w:sz w:val="24"/>
          <w:szCs w:val="32"/>
        </w:rPr>
        <w:t>月</w:t>
      </w:r>
      <w:r>
        <w:rPr>
          <w:rFonts w:hint="eastAsia" w:asciiTheme="minorEastAsia" w:hAnsiTheme="minorEastAsia" w:eastAsiaTheme="minorEastAsia" w:cstheme="minorEastAsia"/>
          <w:sz w:val="24"/>
          <w:szCs w:val="32"/>
          <w:lang w:val="en-US" w:eastAsia="zh-CN"/>
        </w:rPr>
        <w:t>09</w:t>
      </w:r>
      <w:r>
        <w:rPr>
          <w:rFonts w:hint="eastAsia" w:asciiTheme="minorEastAsia" w:hAnsiTheme="minorEastAsia" w:eastAsiaTheme="minorEastAsia" w:cstheme="minorEastAsia"/>
          <w:sz w:val="24"/>
          <w:szCs w:val="32"/>
        </w:rPr>
        <w:t>日</w:t>
      </w:r>
      <w:r>
        <w:rPr>
          <w:rFonts w:hint="eastAsia" w:asciiTheme="minorEastAsia" w:hAnsiTheme="minorEastAsia" w:eastAsiaTheme="minorEastAsia" w:cstheme="minorEastAsia"/>
          <w:sz w:val="24"/>
          <w:szCs w:val="32"/>
          <w:lang w:val="en-US" w:eastAsia="zh-CN"/>
        </w:rPr>
        <w:t>09</w:t>
      </w:r>
      <w:r>
        <w:rPr>
          <w:rFonts w:hint="eastAsia" w:asciiTheme="minorEastAsia" w:hAnsiTheme="minorEastAsia" w:eastAsiaTheme="minorEastAsia" w:cstheme="minorEastAsia"/>
          <w:sz w:val="24"/>
          <w:szCs w:val="32"/>
        </w:rPr>
        <w:t>时</w:t>
      </w:r>
      <w:r>
        <w:rPr>
          <w:rFonts w:hint="eastAsia" w:asciiTheme="minorEastAsia" w:hAnsiTheme="minorEastAsia" w:eastAsiaTheme="minorEastAsia" w:cstheme="minorEastAsia"/>
          <w:sz w:val="24"/>
          <w:szCs w:val="32"/>
          <w:lang w:val="en-US" w:eastAsia="zh-CN"/>
        </w:rPr>
        <w:t>00</w:t>
      </w:r>
      <w:r>
        <w:rPr>
          <w:rFonts w:hint="eastAsia" w:asciiTheme="minorEastAsia" w:hAnsiTheme="minorEastAsia" w:eastAsiaTheme="minorEastAsia" w:cstheme="minorEastAsia"/>
          <w:sz w:val="24"/>
          <w:szCs w:val="32"/>
        </w:rPr>
        <w:t>分（北京时间）前递交</w:t>
      </w:r>
      <w:r>
        <w:rPr>
          <w:rFonts w:hint="eastAsia" w:asciiTheme="minorEastAsia" w:hAnsiTheme="minorEastAsia" w:eastAsiaTheme="minorEastAsia" w:cstheme="minorEastAsia"/>
          <w:sz w:val="24"/>
          <w:szCs w:val="32"/>
          <w:lang w:eastAsia="zh-CN"/>
        </w:rPr>
        <w:t>投标</w:t>
      </w:r>
      <w:r>
        <w:rPr>
          <w:rFonts w:hint="eastAsia" w:asciiTheme="minorEastAsia" w:hAnsiTheme="minorEastAsia" w:eastAsiaTheme="minorEastAsia" w:cstheme="minorEastAsia"/>
          <w:sz w:val="24"/>
          <w:szCs w:val="32"/>
        </w:rPr>
        <w:t>文件。</w:t>
      </w:r>
    </w:p>
    <w:p w14:paraId="380065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一、项目基本情况</w:t>
      </w:r>
    </w:p>
    <w:p w14:paraId="08AD42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1、项目编号：</w:t>
      </w:r>
      <w:r>
        <w:rPr>
          <w:rFonts w:hint="eastAsia" w:asciiTheme="minorEastAsia" w:hAnsiTheme="minorEastAsia" w:eastAsiaTheme="minorEastAsia" w:cstheme="minorEastAsia"/>
          <w:sz w:val="24"/>
          <w:szCs w:val="32"/>
          <w:lang w:val="en-US" w:eastAsia="zh-CN"/>
        </w:rPr>
        <w:t>平</w:t>
      </w:r>
      <w:r>
        <w:rPr>
          <w:rFonts w:hint="eastAsia" w:asciiTheme="minorEastAsia" w:hAnsiTheme="minorEastAsia" w:eastAsiaTheme="minorEastAsia" w:cstheme="minorEastAsia"/>
          <w:sz w:val="24"/>
          <w:szCs w:val="32"/>
        </w:rPr>
        <w:t>采</w:t>
      </w:r>
      <w:r>
        <w:rPr>
          <w:rFonts w:hint="eastAsia" w:asciiTheme="minorEastAsia" w:hAnsiTheme="minorEastAsia" w:eastAsiaTheme="minorEastAsia" w:cstheme="minorEastAsia"/>
          <w:sz w:val="24"/>
          <w:szCs w:val="32"/>
          <w:lang w:val="en-US" w:eastAsia="zh-CN"/>
        </w:rPr>
        <w:t>招标</w:t>
      </w: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sz w:val="24"/>
          <w:szCs w:val="32"/>
          <w:lang w:val="en-US" w:eastAsia="zh-CN"/>
        </w:rPr>
        <w:t>2026-130</w:t>
      </w:r>
    </w:p>
    <w:p w14:paraId="78F092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2、项目名称：</w:t>
      </w:r>
      <w:r>
        <w:rPr>
          <w:rFonts w:hint="eastAsia" w:asciiTheme="minorEastAsia" w:hAnsiTheme="minorEastAsia" w:eastAsiaTheme="minorEastAsia" w:cstheme="minorEastAsia"/>
          <w:sz w:val="24"/>
          <w:szCs w:val="32"/>
          <w:lang w:eastAsia="zh-CN"/>
        </w:rPr>
        <w:t>平顶山市林业局河南省平顶山市伏牛山—淮河生态屏障区国土绿化示范中幼林抚育项目监理项目</w:t>
      </w:r>
    </w:p>
    <w:p w14:paraId="3F9A88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3、采购方式：</w:t>
      </w:r>
      <w:r>
        <w:rPr>
          <w:rFonts w:hint="eastAsia" w:asciiTheme="minorEastAsia" w:hAnsiTheme="minorEastAsia" w:eastAsiaTheme="minorEastAsia" w:cstheme="minorEastAsia"/>
          <w:sz w:val="24"/>
          <w:szCs w:val="32"/>
          <w:lang w:val="en-US" w:eastAsia="zh-CN"/>
        </w:rPr>
        <w:t>公开招标</w:t>
      </w:r>
    </w:p>
    <w:p w14:paraId="5D55DE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4、预算金额：</w:t>
      </w:r>
      <w:r>
        <w:rPr>
          <w:rFonts w:hint="eastAsia" w:asciiTheme="minorEastAsia" w:hAnsiTheme="minorEastAsia" w:eastAsiaTheme="minorEastAsia" w:cstheme="minorEastAsia"/>
          <w:sz w:val="24"/>
          <w:szCs w:val="32"/>
          <w:lang w:val="en-US" w:eastAsia="zh-CN"/>
        </w:rPr>
        <w:t>1450000.00</w:t>
      </w:r>
      <w:r>
        <w:rPr>
          <w:rFonts w:hint="eastAsia" w:asciiTheme="minorEastAsia" w:hAnsiTheme="minorEastAsia" w:eastAsiaTheme="minorEastAsia" w:cstheme="minorEastAsia"/>
          <w:sz w:val="24"/>
          <w:szCs w:val="32"/>
        </w:rPr>
        <w:t>元</w:t>
      </w:r>
    </w:p>
    <w:p w14:paraId="3EAC6A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最高限价：</w:t>
      </w:r>
      <w:r>
        <w:rPr>
          <w:rFonts w:hint="eastAsia" w:asciiTheme="minorEastAsia" w:hAnsiTheme="minorEastAsia" w:eastAsiaTheme="minorEastAsia" w:cstheme="minorEastAsia"/>
          <w:sz w:val="24"/>
          <w:szCs w:val="32"/>
          <w:lang w:val="en-US" w:eastAsia="zh-CN"/>
        </w:rPr>
        <w:t>1450000.00</w:t>
      </w:r>
      <w:r>
        <w:rPr>
          <w:rFonts w:hint="eastAsia" w:asciiTheme="minorEastAsia" w:hAnsiTheme="minorEastAsia" w:eastAsiaTheme="minorEastAsia" w:cstheme="minorEastAsia"/>
          <w:sz w:val="24"/>
          <w:szCs w:val="32"/>
        </w:rPr>
        <w:t>元</w:t>
      </w:r>
    </w:p>
    <w:tbl>
      <w:tblPr>
        <w:tblStyle w:val="36"/>
        <w:tblW w:w="100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2"/>
        <w:gridCol w:w="1445"/>
        <w:gridCol w:w="2704"/>
        <w:gridCol w:w="1237"/>
        <w:gridCol w:w="1481"/>
        <w:gridCol w:w="1156"/>
        <w:gridCol w:w="1488"/>
      </w:tblGrid>
      <w:tr w14:paraId="2CA81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CF2B1CE">
            <w:pPr>
              <w:bidi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序号</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441E3357">
            <w:pPr>
              <w:bidi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包号</w:t>
            </w:r>
          </w:p>
        </w:tc>
        <w:tc>
          <w:tcPr>
            <w:tcW w:w="2704" w:type="dxa"/>
            <w:tcBorders>
              <w:top w:val="single" w:color="000000" w:sz="4" w:space="0"/>
              <w:left w:val="single" w:color="000000" w:sz="4" w:space="0"/>
              <w:bottom w:val="single" w:color="000000" w:sz="4" w:space="0"/>
              <w:right w:val="single" w:color="000000" w:sz="4" w:space="0"/>
            </w:tcBorders>
            <w:noWrap w:val="0"/>
            <w:vAlign w:val="center"/>
          </w:tcPr>
          <w:p w14:paraId="7ABE947D">
            <w:pPr>
              <w:bidi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包名称</w:t>
            </w: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41D26507">
            <w:pPr>
              <w:bidi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包预算</w:t>
            </w:r>
          </w:p>
          <w:p w14:paraId="0F887325">
            <w:pPr>
              <w:bidi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（元）</w:t>
            </w:r>
          </w:p>
        </w:tc>
        <w:tc>
          <w:tcPr>
            <w:tcW w:w="1481" w:type="dxa"/>
            <w:tcBorders>
              <w:top w:val="single" w:color="000000" w:sz="4" w:space="0"/>
              <w:left w:val="single" w:color="000000" w:sz="4" w:space="0"/>
              <w:bottom w:val="single" w:color="000000" w:sz="4" w:space="0"/>
              <w:right w:val="single" w:color="auto" w:sz="4" w:space="0"/>
            </w:tcBorders>
            <w:noWrap w:val="0"/>
            <w:vAlign w:val="center"/>
          </w:tcPr>
          <w:p w14:paraId="7AA7173C">
            <w:pPr>
              <w:bidi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包最高限价（元）</w:t>
            </w:r>
          </w:p>
        </w:tc>
        <w:tc>
          <w:tcPr>
            <w:tcW w:w="1156" w:type="dxa"/>
            <w:tcBorders>
              <w:top w:val="single" w:color="000000" w:sz="4" w:space="0"/>
              <w:left w:val="single" w:color="auto" w:sz="4" w:space="0"/>
              <w:bottom w:val="single" w:color="000000" w:sz="4" w:space="0"/>
              <w:right w:val="single" w:color="auto" w:sz="4" w:space="0"/>
            </w:tcBorders>
            <w:noWrap w:val="0"/>
            <w:vAlign w:val="center"/>
          </w:tcPr>
          <w:p w14:paraId="1F3346F2">
            <w:pPr>
              <w:bidi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是否专门面向中小企业</w:t>
            </w:r>
          </w:p>
        </w:tc>
        <w:tc>
          <w:tcPr>
            <w:tcW w:w="1488" w:type="dxa"/>
            <w:tcBorders>
              <w:top w:val="single" w:color="000000" w:sz="4" w:space="0"/>
              <w:left w:val="single" w:color="auto" w:sz="4" w:space="0"/>
              <w:bottom w:val="single" w:color="000000" w:sz="4" w:space="0"/>
              <w:right w:val="single" w:color="000000" w:sz="4" w:space="0"/>
            </w:tcBorders>
            <w:noWrap w:val="0"/>
            <w:vAlign w:val="center"/>
          </w:tcPr>
          <w:p w14:paraId="3A1FCD6F">
            <w:pPr>
              <w:bidi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采购预留金额（元）</w:t>
            </w:r>
          </w:p>
        </w:tc>
      </w:tr>
      <w:tr w14:paraId="075D2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3EC4E070">
            <w:pPr>
              <w:bidi w:val="0"/>
              <w:jc w:val="center"/>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61B5BF69">
            <w:pPr>
              <w:bidi w:val="0"/>
              <w:jc w:val="center"/>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平公资采2026872号</w:t>
            </w:r>
            <w:r>
              <w:rPr>
                <w:rFonts w:hint="eastAsia" w:asciiTheme="minorEastAsia" w:hAnsiTheme="minorEastAsia" w:eastAsiaTheme="minorEastAsia" w:cstheme="minorEastAsia"/>
                <w:sz w:val="24"/>
                <w:szCs w:val="32"/>
                <w:lang w:val="en-US" w:eastAsia="zh-CN"/>
              </w:rPr>
              <w:t>-1</w:t>
            </w:r>
          </w:p>
        </w:tc>
        <w:tc>
          <w:tcPr>
            <w:tcW w:w="2704" w:type="dxa"/>
            <w:tcBorders>
              <w:top w:val="single" w:color="000000" w:sz="4" w:space="0"/>
              <w:left w:val="single" w:color="000000" w:sz="4" w:space="0"/>
              <w:bottom w:val="single" w:color="000000" w:sz="4" w:space="0"/>
              <w:right w:val="single" w:color="000000" w:sz="4" w:space="0"/>
            </w:tcBorders>
            <w:noWrap w:val="0"/>
            <w:vAlign w:val="center"/>
          </w:tcPr>
          <w:p w14:paraId="55AB4DED">
            <w:pPr>
              <w:bidi w:val="0"/>
              <w:jc w:val="center"/>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eastAsia="zh-CN"/>
              </w:rPr>
              <w:t>平顶山市林业局河南省平顶山市伏牛山—淮河生态屏障区国土绿化示范中幼林抚育项目监理项目</w:t>
            </w: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02B1D9F4">
            <w:pPr>
              <w:bidi w:val="0"/>
              <w:jc w:val="center"/>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1450000.00</w:t>
            </w:r>
          </w:p>
        </w:tc>
        <w:tc>
          <w:tcPr>
            <w:tcW w:w="1481" w:type="dxa"/>
            <w:tcBorders>
              <w:top w:val="single" w:color="000000" w:sz="4" w:space="0"/>
              <w:left w:val="single" w:color="000000" w:sz="4" w:space="0"/>
              <w:bottom w:val="single" w:color="000000" w:sz="4" w:space="0"/>
              <w:right w:val="single" w:color="auto" w:sz="4" w:space="0"/>
            </w:tcBorders>
            <w:noWrap w:val="0"/>
            <w:vAlign w:val="center"/>
          </w:tcPr>
          <w:p w14:paraId="0E8C54A0">
            <w:pPr>
              <w:bidi w:val="0"/>
              <w:jc w:val="center"/>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1450000.00</w:t>
            </w:r>
          </w:p>
        </w:tc>
        <w:tc>
          <w:tcPr>
            <w:tcW w:w="1156" w:type="dxa"/>
            <w:tcBorders>
              <w:top w:val="single" w:color="000000" w:sz="4" w:space="0"/>
              <w:left w:val="single" w:color="auto" w:sz="4" w:space="0"/>
              <w:bottom w:val="single" w:color="000000" w:sz="4" w:space="0"/>
              <w:right w:val="single" w:color="auto" w:sz="4" w:space="0"/>
            </w:tcBorders>
            <w:noWrap w:val="0"/>
            <w:vAlign w:val="center"/>
          </w:tcPr>
          <w:p w14:paraId="15B13349">
            <w:pPr>
              <w:bidi w:val="0"/>
              <w:jc w:val="center"/>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是</w:t>
            </w:r>
          </w:p>
        </w:tc>
        <w:tc>
          <w:tcPr>
            <w:tcW w:w="1488" w:type="dxa"/>
            <w:tcBorders>
              <w:top w:val="single" w:color="000000" w:sz="4" w:space="0"/>
              <w:left w:val="single" w:color="auto" w:sz="4" w:space="0"/>
              <w:bottom w:val="single" w:color="000000" w:sz="4" w:space="0"/>
              <w:right w:val="single" w:color="000000" w:sz="4" w:space="0"/>
            </w:tcBorders>
            <w:noWrap w:val="0"/>
            <w:vAlign w:val="center"/>
          </w:tcPr>
          <w:p w14:paraId="61E64746">
            <w:pPr>
              <w:bidi w:val="0"/>
              <w:jc w:val="center"/>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1450000.00</w:t>
            </w:r>
          </w:p>
        </w:tc>
      </w:tr>
    </w:tbl>
    <w:p w14:paraId="6FF226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5、采购需求（包括但不限于标的的名称、数量、简要技术需求或服务要求等）</w:t>
      </w:r>
    </w:p>
    <w:p w14:paraId="7D4DB0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5.1、项目地点：</w:t>
      </w:r>
      <w:r>
        <w:rPr>
          <w:rFonts w:hint="eastAsia" w:asciiTheme="minorEastAsia" w:hAnsiTheme="minorEastAsia" w:eastAsiaTheme="minorEastAsia" w:cstheme="minorEastAsia"/>
          <w:sz w:val="24"/>
          <w:szCs w:val="32"/>
          <w:lang w:val="en-US" w:eastAsia="zh-CN"/>
        </w:rPr>
        <w:t>平顶山市境内</w:t>
      </w:r>
      <w:r>
        <w:rPr>
          <w:rFonts w:hint="eastAsia" w:asciiTheme="minorEastAsia" w:hAnsiTheme="minorEastAsia" w:eastAsiaTheme="minorEastAsia" w:cstheme="minorEastAsia"/>
          <w:sz w:val="24"/>
          <w:szCs w:val="32"/>
          <w:lang w:eastAsia="zh-CN"/>
        </w:rPr>
        <w:t>。</w:t>
      </w:r>
    </w:p>
    <w:p w14:paraId="52E1E1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5.2、建设内容：为平顶山市林业局河南省平顶山市伏牛山—淮河生态屏障区国土绿化示范中幼林抚育项目监理服务。（详见招标文件）</w:t>
      </w:r>
    </w:p>
    <w:p w14:paraId="2273D1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5.3、招标范围：对河南省平顶山市伏牛山—淮河生态屏障区国土绿化示范中幼林抚育项目施工期间等全过程监理服务。</w:t>
      </w:r>
    </w:p>
    <w:p w14:paraId="3BC612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5.4、标段划分：共划分为</w:t>
      </w:r>
      <w:r>
        <w:rPr>
          <w:rFonts w:hint="eastAsia" w:asciiTheme="minorEastAsia" w:hAnsiTheme="minorEastAsia" w:eastAsiaTheme="minorEastAsia" w:cstheme="minorEastAsia"/>
          <w:sz w:val="24"/>
          <w:szCs w:val="32"/>
          <w:lang w:val="en-US" w:eastAsia="zh-CN"/>
        </w:rPr>
        <w:t>一</w:t>
      </w:r>
      <w:r>
        <w:rPr>
          <w:rFonts w:hint="eastAsia" w:asciiTheme="minorEastAsia" w:hAnsiTheme="minorEastAsia" w:eastAsiaTheme="minorEastAsia" w:cstheme="minorEastAsia"/>
          <w:sz w:val="24"/>
          <w:szCs w:val="32"/>
          <w:lang w:eastAsia="zh-CN"/>
        </w:rPr>
        <w:t>个标段。</w:t>
      </w:r>
    </w:p>
    <w:p w14:paraId="719B81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5.5、资金来源：财政资金，已落实。</w:t>
      </w:r>
    </w:p>
    <w:p w14:paraId="72F13D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5.6、</w:t>
      </w:r>
      <w:r>
        <w:rPr>
          <w:rFonts w:hint="eastAsia" w:asciiTheme="minorEastAsia" w:hAnsiTheme="minorEastAsia" w:eastAsiaTheme="minorEastAsia" w:cstheme="minorEastAsia"/>
          <w:sz w:val="24"/>
          <w:szCs w:val="32"/>
          <w:lang w:val="en-US" w:eastAsia="zh-CN"/>
        </w:rPr>
        <w:t>质量要求</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lang w:val="en-US" w:eastAsia="zh-CN"/>
        </w:rPr>
        <w:t>合格标准，符合国家及行业相关标准、规范要求及采购人要求</w:t>
      </w:r>
      <w:r>
        <w:rPr>
          <w:rFonts w:hint="eastAsia" w:asciiTheme="minorEastAsia" w:hAnsiTheme="minorEastAsia" w:eastAsiaTheme="minorEastAsia" w:cstheme="minorEastAsia"/>
          <w:sz w:val="24"/>
          <w:szCs w:val="32"/>
          <w:lang w:eastAsia="zh-CN"/>
        </w:rPr>
        <w:t>。</w:t>
      </w:r>
    </w:p>
    <w:p w14:paraId="420EF7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5.7、</w:t>
      </w:r>
      <w:r>
        <w:rPr>
          <w:rFonts w:hint="eastAsia" w:asciiTheme="minorEastAsia" w:hAnsiTheme="minorEastAsia" w:eastAsiaTheme="minorEastAsia" w:cstheme="minorEastAsia"/>
          <w:sz w:val="24"/>
          <w:szCs w:val="32"/>
          <w:lang w:val="en-US" w:eastAsia="zh-CN"/>
        </w:rPr>
        <w:t>服务期限</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lang w:val="en-US" w:eastAsia="zh-CN"/>
        </w:rPr>
        <w:t>自签订合同至施工缺陷责任期结束</w:t>
      </w:r>
      <w:r>
        <w:rPr>
          <w:rFonts w:hint="eastAsia" w:asciiTheme="minorEastAsia" w:hAnsiTheme="minorEastAsia" w:eastAsiaTheme="minorEastAsia" w:cstheme="minorEastAsia"/>
          <w:sz w:val="24"/>
          <w:szCs w:val="32"/>
          <w:lang w:eastAsia="zh-CN"/>
        </w:rPr>
        <w:t>。</w:t>
      </w:r>
    </w:p>
    <w:p w14:paraId="6E9A65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6、合同履行期限：同工期</w:t>
      </w:r>
    </w:p>
    <w:p w14:paraId="3D20A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7、本项目是否接受联合体投标：否</w:t>
      </w:r>
    </w:p>
    <w:p w14:paraId="6B2F2C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8、是否接受进口产品：否</w:t>
      </w:r>
    </w:p>
    <w:p w14:paraId="0A5D92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9、是否专门面向中小企业：是</w:t>
      </w:r>
    </w:p>
    <w:p w14:paraId="13FF100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二、申请人资格要求：</w:t>
      </w:r>
    </w:p>
    <w:p w14:paraId="34D584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1、满足《中华人民共和国政府采购法》第二十二条规定；</w:t>
      </w:r>
    </w:p>
    <w:p w14:paraId="32823F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落实政府采购政策需满足的资格要求：根据《政府采购促进中小企业发展管理办法》（财库[2020]46号）的规定，本项目专门面向中小企业采购，供应商应为中小微企业、监狱企业、残疾人福利性单位，须提供相关有效证明材料，中小企业划型标准请依据工信部联企业〔2011〕300号文件之规定。</w:t>
      </w:r>
    </w:p>
    <w:p w14:paraId="32D66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3、本项目的特定资格要求：</w:t>
      </w:r>
    </w:p>
    <w:p w14:paraId="318C5E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3.1、投标人须在中华人民共和国境内注册，具有独立法人资格和有效的营业执照（可提供扫描件或电子营业执照）；</w:t>
      </w:r>
    </w:p>
    <w:p w14:paraId="5D7B01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val="en-US" w:eastAsia="zh-CN"/>
        </w:rPr>
        <w:t>3.2、</w:t>
      </w:r>
      <w:r>
        <w:rPr>
          <w:rFonts w:hint="eastAsia" w:asciiTheme="minorEastAsia" w:hAnsiTheme="minorEastAsia" w:eastAsiaTheme="minorEastAsia" w:cstheme="minorEastAsia"/>
          <w:sz w:val="24"/>
          <w:szCs w:val="32"/>
          <w:lang w:eastAsia="zh-CN"/>
        </w:rPr>
        <w:t>投标人须具备住房和城乡建设主管部门颁发有效的工程监理综合资质，或市政公用工程专业监理乙级（</w:t>
      </w:r>
      <w:r>
        <w:rPr>
          <w:rFonts w:hint="eastAsia" w:asciiTheme="minorEastAsia" w:hAnsiTheme="minorEastAsia" w:eastAsiaTheme="minorEastAsia" w:cstheme="minorEastAsia"/>
          <w:sz w:val="24"/>
          <w:szCs w:val="32"/>
          <w:lang w:val="en-US" w:eastAsia="zh-CN"/>
        </w:rPr>
        <w:t>含</w:t>
      </w:r>
      <w:r>
        <w:rPr>
          <w:rFonts w:hint="eastAsia" w:asciiTheme="minorEastAsia" w:hAnsiTheme="minorEastAsia" w:eastAsiaTheme="minorEastAsia" w:cstheme="minorEastAsia"/>
          <w:sz w:val="24"/>
          <w:szCs w:val="32"/>
          <w:lang w:eastAsia="zh-CN"/>
        </w:rPr>
        <w:t>）及以上资质</w:t>
      </w:r>
    </w:p>
    <w:p w14:paraId="10E0F6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w:t>
      </w:r>
      <w:r>
        <w:rPr>
          <w:rFonts w:hint="eastAsia" w:asciiTheme="minorEastAsia" w:hAnsiTheme="minorEastAsia" w:eastAsiaTheme="minorEastAsia" w:cstheme="minorEastAsia"/>
          <w:sz w:val="24"/>
          <w:szCs w:val="32"/>
          <w:lang w:val="en-US" w:eastAsia="zh-CN"/>
        </w:rPr>
        <w:t>3</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lang w:val="en-US" w:eastAsia="zh-CN"/>
        </w:rPr>
        <w:t>投标人拟派项目总监理工程师须具有相关专业注册监理工程师证书，且符合国家相关规定；供应商与其具有劳动合同关系并为其缴纳了社会保险，提供为其缴纳的社会保险证明。</w:t>
      </w:r>
    </w:p>
    <w:p w14:paraId="12E7BB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w:t>
      </w:r>
      <w:r>
        <w:rPr>
          <w:rFonts w:hint="eastAsia" w:asciiTheme="minorEastAsia" w:hAnsiTheme="minorEastAsia" w:eastAsiaTheme="minorEastAsia" w:cstheme="minorEastAsia"/>
          <w:sz w:val="24"/>
          <w:szCs w:val="32"/>
          <w:lang w:val="en-US" w:eastAsia="zh-CN"/>
        </w:rPr>
        <w:t>.4</w:t>
      </w:r>
      <w:r>
        <w:rPr>
          <w:rFonts w:hint="eastAsia" w:asciiTheme="minorEastAsia" w:hAnsiTheme="minorEastAsia" w:eastAsiaTheme="minorEastAsia" w:cstheme="minorEastAsia"/>
          <w:sz w:val="24"/>
          <w:szCs w:val="32"/>
          <w:lang w:eastAsia="zh-CN"/>
        </w:rPr>
        <w:t>、财务要求：具有良好的商业信誉和健全的财务会计制度（提供加盖单位公章的承诺书）、具有履行合同所必须的设备和专业技术能力（提供加盖单位公章的承诺书）、有依法缴纳税收和社会保障金的良好记录（提供加盖单位公章的承诺书）、参加政府采购活动前三年内，在经营活动中没有重大违法记录（提供加盖单位公章的承诺书）；</w:t>
      </w:r>
    </w:p>
    <w:p w14:paraId="2AEE60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w:t>
      </w:r>
      <w:r>
        <w:rPr>
          <w:rFonts w:hint="eastAsia" w:asciiTheme="minorEastAsia" w:hAnsiTheme="minorEastAsia" w:eastAsiaTheme="minorEastAsia" w:cstheme="minorEastAsia"/>
          <w:sz w:val="24"/>
          <w:szCs w:val="32"/>
          <w:lang w:val="en-US" w:eastAsia="zh-CN"/>
        </w:rPr>
        <w:t>.5</w:t>
      </w:r>
      <w:r>
        <w:rPr>
          <w:rFonts w:hint="eastAsia" w:asciiTheme="minorEastAsia" w:hAnsiTheme="minorEastAsia" w:eastAsiaTheme="minorEastAsia" w:cstheme="minorEastAsia"/>
          <w:sz w:val="24"/>
          <w:szCs w:val="32"/>
          <w:lang w:eastAsia="zh-CN"/>
        </w:rPr>
        <w:t>、信誉要求：投标人须未列入“信用中国”网站的“重大税收违法失信主体”、“中国执行信息公开网”的“失信被执行人”和“中国政府采购”网站的“政府采购严重违法失信行为记录名单”，查询结果页面截图（查询时间为自公告发布之日后），不得有不良记录（执行财库【2016】125号文）</w:t>
      </w:r>
    </w:p>
    <w:p w14:paraId="3BEE23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w:t>
      </w: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lang w:eastAsia="zh-CN"/>
        </w:rPr>
        <w:t>、本项目不接受联合体投标，采用资格后审方式；</w:t>
      </w:r>
    </w:p>
    <w:p w14:paraId="4676AA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w:t>
      </w:r>
      <w:r>
        <w:rPr>
          <w:rFonts w:hint="eastAsia" w:asciiTheme="minorEastAsia" w:hAnsiTheme="minorEastAsia" w:eastAsiaTheme="minorEastAsia" w:cstheme="minorEastAsia"/>
          <w:sz w:val="24"/>
          <w:szCs w:val="32"/>
          <w:lang w:val="en-US" w:eastAsia="zh-CN"/>
        </w:rPr>
        <w:t>7</w:t>
      </w:r>
      <w:r>
        <w:rPr>
          <w:rFonts w:hint="eastAsia" w:asciiTheme="minorEastAsia" w:hAnsiTheme="minorEastAsia" w:eastAsiaTheme="minorEastAsia" w:cstheme="minorEastAsia"/>
          <w:sz w:val="24"/>
          <w:szCs w:val="32"/>
          <w:lang w:eastAsia="zh-CN"/>
        </w:rPr>
        <w:t>、单位负责人为同一人或者存在直接控股、管理关系的不同供应商，不得同时参加本项目的投标；</w:t>
      </w:r>
    </w:p>
    <w:p w14:paraId="61367F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注：若投标单位为新成立企业，可提供注册后的相关证明材料。</w:t>
      </w:r>
    </w:p>
    <w:p w14:paraId="7877E33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三、获取采购文件</w:t>
      </w:r>
    </w:p>
    <w:p w14:paraId="3D23EC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1.时间：202</w:t>
      </w:r>
      <w:r>
        <w:rPr>
          <w:rFonts w:hint="eastAsia" w:asciiTheme="minorEastAsia" w:hAnsiTheme="minorEastAsia" w:eastAsiaTheme="minorEastAsia" w:cstheme="minorEastAsia"/>
          <w:sz w:val="24"/>
          <w:szCs w:val="32"/>
          <w:lang w:val="en-US" w:eastAsia="zh-CN"/>
        </w:rPr>
        <w:t>6年08</w:t>
      </w:r>
      <w:r>
        <w:rPr>
          <w:rFonts w:hint="eastAsia" w:asciiTheme="minorEastAsia" w:hAnsiTheme="minorEastAsia" w:eastAsiaTheme="minorEastAsia" w:cstheme="minorEastAsia"/>
          <w:sz w:val="24"/>
          <w:szCs w:val="32"/>
          <w:lang w:eastAsia="zh-CN"/>
        </w:rPr>
        <w:t>月</w:t>
      </w:r>
      <w:r>
        <w:rPr>
          <w:rFonts w:hint="eastAsia" w:asciiTheme="minorEastAsia" w:hAnsiTheme="minorEastAsia" w:eastAsiaTheme="minorEastAsia" w:cstheme="minorEastAsia"/>
          <w:sz w:val="24"/>
          <w:szCs w:val="32"/>
          <w:lang w:val="en-US" w:eastAsia="zh-CN"/>
        </w:rPr>
        <w:t>18</w:t>
      </w:r>
      <w:r>
        <w:rPr>
          <w:rFonts w:hint="eastAsia" w:asciiTheme="minorEastAsia" w:hAnsiTheme="minorEastAsia" w:eastAsiaTheme="minorEastAsia" w:cstheme="minorEastAsia"/>
          <w:sz w:val="24"/>
          <w:szCs w:val="32"/>
          <w:lang w:eastAsia="zh-CN"/>
        </w:rPr>
        <w:t>日至202</w:t>
      </w: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lang w:eastAsia="zh-CN"/>
        </w:rPr>
        <w:t>年</w:t>
      </w:r>
      <w:r>
        <w:rPr>
          <w:rFonts w:hint="eastAsia" w:asciiTheme="minorEastAsia" w:hAnsiTheme="minorEastAsia" w:eastAsiaTheme="minorEastAsia" w:cstheme="minorEastAsia"/>
          <w:sz w:val="24"/>
          <w:szCs w:val="32"/>
          <w:lang w:val="en-US" w:eastAsia="zh-CN"/>
        </w:rPr>
        <w:t>09</w:t>
      </w:r>
      <w:r>
        <w:rPr>
          <w:rFonts w:hint="eastAsia" w:asciiTheme="minorEastAsia" w:hAnsiTheme="minorEastAsia" w:eastAsiaTheme="minorEastAsia" w:cstheme="minorEastAsia"/>
          <w:sz w:val="24"/>
          <w:szCs w:val="32"/>
          <w:lang w:eastAsia="zh-CN"/>
        </w:rPr>
        <w:t>月</w:t>
      </w:r>
      <w:r>
        <w:rPr>
          <w:rFonts w:hint="eastAsia" w:asciiTheme="minorEastAsia" w:hAnsiTheme="minorEastAsia" w:eastAsiaTheme="minorEastAsia" w:cstheme="minorEastAsia"/>
          <w:sz w:val="24"/>
          <w:szCs w:val="32"/>
          <w:lang w:val="en-US" w:eastAsia="zh-CN"/>
        </w:rPr>
        <w:t>08</w:t>
      </w:r>
      <w:r>
        <w:rPr>
          <w:rFonts w:hint="eastAsia" w:asciiTheme="minorEastAsia" w:hAnsiTheme="minorEastAsia" w:eastAsiaTheme="minorEastAsia" w:cstheme="minorEastAsia"/>
          <w:sz w:val="24"/>
          <w:szCs w:val="32"/>
          <w:lang w:eastAsia="zh-CN"/>
        </w:rPr>
        <w:t>日，每天上午00:00至12:00，下午12:00至23:59（北京时间，法定节假日除外。）</w:t>
      </w:r>
    </w:p>
    <w:p w14:paraId="2AC5EE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2.地点：平顶山市公共资源交易中心电子交易系统；</w:t>
      </w:r>
    </w:p>
    <w:p w14:paraId="3A265B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方式：本项目只接受网上报名，不接受其它形式报名。潜在供应商报名需凭CA数字证书通过平顶山市公共资源交易中心网（网址：http://ggzy.pds.gov.cn）“供应商登录”入口进入交易系统进行报名。具体操作请查看以下链接：</w:t>
      </w:r>
    </w:p>
    <w:p w14:paraId="319BDB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链接地址：http://ggzy.pds.gov.cn/fwzn/11020.jhtml</w:t>
      </w:r>
    </w:p>
    <w:p w14:paraId="2712B1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办理CA证书：http://ggzy.pds.gov.cn/tzgg/10814.jhtml</w:t>
      </w:r>
    </w:p>
    <w:p w14:paraId="740EF9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4.售价：0元</w:t>
      </w:r>
    </w:p>
    <w:p w14:paraId="36B7A4E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四、投标文件提交</w:t>
      </w:r>
    </w:p>
    <w:p w14:paraId="6309BA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1.截止时间：202</w:t>
      </w: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lang w:eastAsia="zh-CN"/>
        </w:rPr>
        <w:t>年</w:t>
      </w:r>
      <w:r>
        <w:rPr>
          <w:rFonts w:hint="eastAsia" w:asciiTheme="minorEastAsia" w:hAnsiTheme="minorEastAsia" w:eastAsiaTheme="minorEastAsia" w:cstheme="minorEastAsia"/>
          <w:sz w:val="24"/>
          <w:szCs w:val="32"/>
          <w:lang w:val="en-US" w:eastAsia="zh-CN"/>
        </w:rPr>
        <w:t>09</w:t>
      </w:r>
      <w:r>
        <w:rPr>
          <w:rFonts w:hint="eastAsia" w:asciiTheme="minorEastAsia" w:hAnsiTheme="minorEastAsia" w:eastAsiaTheme="minorEastAsia" w:cstheme="minorEastAsia"/>
          <w:sz w:val="24"/>
          <w:szCs w:val="32"/>
          <w:lang w:eastAsia="zh-CN"/>
        </w:rPr>
        <w:t>月</w:t>
      </w:r>
      <w:r>
        <w:rPr>
          <w:rFonts w:hint="eastAsia" w:asciiTheme="minorEastAsia" w:hAnsiTheme="minorEastAsia" w:eastAsiaTheme="minorEastAsia" w:cstheme="minorEastAsia"/>
          <w:sz w:val="24"/>
          <w:szCs w:val="32"/>
          <w:lang w:val="en-US" w:eastAsia="zh-CN"/>
        </w:rPr>
        <w:t>09</w:t>
      </w:r>
      <w:r>
        <w:rPr>
          <w:rFonts w:hint="eastAsia" w:asciiTheme="minorEastAsia" w:hAnsiTheme="minorEastAsia" w:eastAsiaTheme="minorEastAsia" w:cstheme="minorEastAsia"/>
          <w:sz w:val="24"/>
          <w:szCs w:val="32"/>
          <w:lang w:eastAsia="zh-CN"/>
        </w:rPr>
        <w:t>日09时00分（北京时间）</w:t>
      </w:r>
    </w:p>
    <w:p w14:paraId="564E0C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2.地点：平顶山市公共资源交易中心网上开标大厅，未按要求上传加密电子投标文件的，采购人不予受理。</w:t>
      </w:r>
    </w:p>
    <w:p w14:paraId="5B78279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五、投标文件开启</w:t>
      </w:r>
    </w:p>
    <w:p w14:paraId="559511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1.时间：202</w:t>
      </w: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lang w:eastAsia="zh-CN"/>
        </w:rPr>
        <w:t>年</w:t>
      </w:r>
      <w:r>
        <w:rPr>
          <w:rFonts w:hint="eastAsia" w:asciiTheme="minorEastAsia" w:hAnsiTheme="minorEastAsia" w:eastAsiaTheme="minorEastAsia" w:cstheme="minorEastAsia"/>
          <w:sz w:val="24"/>
          <w:szCs w:val="32"/>
          <w:lang w:val="en-US" w:eastAsia="zh-CN"/>
        </w:rPr>
        <w:t>09</w:t>
      </w:r>
      <w:r>
        <w:rPr>
          <w:rFonts w:hint="eastAsia" w:asciiTheme="minorEastAsia" w:hAnsiTheme="minorEastAsia" w:eastAsiaTheme="minorEastAsia" w:cstheme="minorEastAsia"/>
          <w:sz w:val="24"/>
          <w:szCs w:val="32"/>
          <w:lang w:eastAsia="zh-CN"/>
        </w:rPr>
        <w:t>月</w:t>
      </w:r>
      <w:r>
        <w:rPr>
          <w:rFonts w:hint="eastAsia" w:asciiTheme="minorEastAsia" w:hAnsiTheme="minorEastAsia" w:eastAsiaTheme="minorEastAsia" w:cstheme="minorEastAsia"/>
          <w:sz w:val="24"/>
          <w:szCs w:val="32"/>
          <w:lang w:val="en-US" w:eastAsia="zh-CN"/>
        </w:rPr>
        <w:t>09</w:t>
      </w:r>
      <w:r>
        <w:rPr>
          <w:rFonts w:hint="eastAsia" w:asciiTheme="minorEastAsia" w:hAnsiTheme="minorEastAsia" w:eastAsiaTheme="minorEastAsia" w:cstheme="minorEastAsia"/>
          <w:sz w:val="24"/>
          <w:szCs w:val="32"/>
          <w:lang w:eastAsia="zh-CN"/>
        </w:rPr>
        <w:t>日09时00分（北京时间）</w:t>
      </w:r>
    </w:p>
    <w:p w14:paraId="1515FA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2.地点：平顶山市公共资源交易中心网上开标大厅。</w:t>
      </w:r>
    </w:p>
    <w:p w14:paraId="6BC9313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六、发布公告的媒介及招标公告期限</w:t>
      </w:r>
    </w:p>
    <w:p w14:paraId="59E7E8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本次招标公告在《河南省政府采购网》、《平顶山市政府采购网》、《全国公共资源交易平台（河南省·平顶山市）》上发布，招标公告期限为</w:t>
      </w:r>
      <w:r>
        <w:rPr>
          <w:rFonts w:hint="eastAsia" w:asciiTheme="minorEastAsia" w:hAnsiTheme="minorEastAsia" w:eastAsiaTheme="minorEastAsia" w:cstheme="minorEastAsia"/>
          <w:sz w:val="24"/>
          <w:szCs w:val="32"/>
          <w:lang w:val="en-US" w:eastAsia="zh-CN"/>
        </w:rPr>
        <w:t>五</w:t>
      </w:r>
      <w:r>
        <w:rPr>
          <w:rFonts w:hint="eastAsia" w:asciiTheme="minorEastAsia" w:hAnsiTheme="minorEastAsia" w:eastAsiaTheme="minorEastAsia" w:cstheme="minorEastAsia"/>
          <w:sz w:val="24"/>
          <w:szCs w:val="32"/>
          <w:lang w:eastAsia="zh-CN"/>
        </w:rPr>
        <w:t>个工作日。</w:t>
      </w:r>
    </w:p>
    <w:p w14:paraId="57397A2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七、其他补充事宜</w:t>
      </w:r>
    </w:p>
    <w:p w14:paraId="03BBFF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1、平顶山市公共资源交易中心全面实行在线“不见面”开标，投标人远程在线解密投标文件，不再到开标现场，投标人开标前应仔细阅读招标文件中《“不见面”开标注意事项及操作流程》。</w:t>
      </w:r>
    </w:p>
    <w:p w14:paraId="5EE82F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投标人或其他利害关系人对本次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219F60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3、监督部门：平顶山市财政局</w:t>
      </w:r>
    </w:p>
    <w:p w14:paraId="16C7F9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联系方式：0375-2627595</w:t>
      </w:r>
    </w:p>
    <w:p w14:paraId="2155275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bookmarkStart w:id="477" w:name="_GoBack"/>
      <w:bookmarkEnd w:id="477"/>
      <w:r>
        <w:rPr>
          <w:rFonts w:hint="eastAsia" w:asciiTheme="minorEastAsia" w:hAnsiTheme="minorEastAsia" w:eastAsiaTheme="minorEastAsia" w:cstheme="minorEastAsia"/>
          <w:b/>
          <w:bCs/>
          <w:sz w:val="24"/>
          <w:szCs w:val="32"/>
          <w:lang w:eastAsia="zh-CN"/>
        </w:rPr>
        <w:t>八、凡对本次招标提出询问，请按照以下方式联系</w:t>
      </w:r>
    </w:p>
    <w:p w14:paraId="4640DF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1.招标人信息</w:t>
      </w:r>
    </w:p>
    <w:p w14:paraId="2ED7C2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名 称：平顶山市林业局</w:t>
      </w:r>
    </w:p>
    <w:p w14:paraId="20EC53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地址：河南省平顶山市新城区滍阳路与夏耘路口东100m路北</w:t>
      </w:r>
    </w:p>
    <w:p w14:paraId="4F4F05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联系人：张先生</w:t>
      </w:r>
    </w:p>
    <w:p w14:paraId="0FAE9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联系方式：0375-3738116</w:t>
      </w:r>
    </w:p>
    <w:p w14:paraId="64986C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2.招标代理机构信息</w:t>
      </w:r>
    </w:p>
    <w:p w14:paraId="6C278D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名称：河南佳晟工程咨询有限公司</w:t>
      </w:r>
    </w:p>
    <w:p w14:paraId="1E2C32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地址：河南省郑州市金水区农业路37号银丰商务港A座615室</w:t>
      </w:r>
    </w:p>
    <w:p w14:paraId="79F650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联系人：胡女士</w:t>
      </w:r>
    </w:p>
    <w:p w14:paraId="6168CA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联系电话：18336387702</w:t>
      </w:r>
    </w:p>
    <w:p w14:paraId="7DC298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3、项目联系方式</w:t>
      </w:r>
    </w:p>
    <w:p w14:paraId="2E1ABE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联系人：胡女士</w:t>
      </w:r>
    </w:p>
    <w:p w14:paraId="31B483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eastAsia="zh-CN"/>
        </w:rPr>
        <w:t>联系方式：18336387702</w:t>
      </w:r>
    </w:p>
    <w:p w14:paraId="4FA205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2026年8月17日</w:t>
      </w:r>
    </w:p>
    <w:p w14:paraId="703F6FF5">
      <w:pPr>
        <w:bidi w:val="0"/>
        <w:rPr>
          <w:rFonts w:hint="eastAsia"/>
        </w:rPr>
        <w:sectPr>
          <w:footerReference r:id="rId8" w:type="first"/>
          <w:headerReference r:id="rId5" w:type="default"/>
          <w:footerReference r:id="rId6" w:type="default"/>
          <w:footerReference r:id="rId7" w:type="even"/>
          <w:pgSz w:w="11907" w:h="16840"/>
          <w:pgMar w:top="1797" w:right="1440" w:bottom="1797" w:left="1440" w:header="851" w:footer="851" w:gutter="0"/>
          <w:pgNumType w:fmt="decimal"/>
          <w:cols w:space="720" w:num="1"/>
          <w:docGrid w:linePitch="600" w:charSpace="0"/>
        </w:sectPr>
      </w:pPr>
      <w:r>
        <w:rPr>
          <w:rFonts w:hint="eastAsia"/>
        </w:rPr>
        <w:br w:type="page"/>
      </w:r>
      <w:bookmarkStart w:id="13" w:name="_Toc16992"/>
      <w:bookmarkStart w:id="14" w:name="_Toc6931_WPSOffice_Level1"/>
      <w:bookmarkStart w:id="15" w:name="_Toc10907_WPSOffice_Level1"/>
    </w:p>
    <w:p w14:paraId="6A872A75">
      <w:pPr>
        <w:bidi w:val="0"/>
        <w:jc w:val="center"/>
        <w:rPr>
          <w:b/>
          <w:bCs/>
          <w:sz w:val="32"/>
          <w:szCs w:val="40"/>
        </w:rPr>
      </w:pPr>
      <w:r>
        <w:rPr>
          <w:b/>
          <w:bCs/>
          <w:sz w:val="32"/>
          <w:szCs w:val="40"/>
        </w:rPr>
        <w:t>温馨提示：</w:t>
      </w:r>
    </w:p>
    <w:p w14:paraId="56F9DE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注：本项目实行在线“不见面”开标，投标人远程在线解密投标文件，不再到开标现场，投标人开标前应仔细阅读《“不见面”开标注意事项及操作流程》，本项目相关要求与《“不见面”开标注意事项及操作流程》不一致之处以《“不见面”开标注意事项及操作流程》为准。</w:t>
      </w:r>
    </w:p>
    <w:p w14:paraId="2184B0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本项目为全流程电子化交易项目，请认真阅读采购文件，并注意以下事项。</w:t>
      </w:r>
    </w:p>
    <w:p w14:paraId="45ED64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1.供应商应按招标文件规定编制、提交电子投标文件。</w:t>
      </w:r>
    </w:p>
    <w:p w14:paraId="543F22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2.本项目供应商不用再提供纸质投标文件。</w:t>
      </w:r>
    </w:p>
    <w:p w14:paraId="2A3CB0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3.电子文件下载、制作、提交期间和开标（电子投标文件的解密）环节，供应商须使用CA数字证书（证书须在有效期内）。</w:t>
      </w:r>
    </w:p>
    <w:p w14:paraId="07D060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4.电子投标文件的制作</w:t>
      </w:r>
    </w:p>
    <w:p w14:paraId="59DDF9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4.1供应商登录《全国公共资源交易平台(河南省▪平顶山市)》公共资源交易系统（http://221.176.192.166:8080/ggzy/）下载“平顶山投标文件制作系统”，按招标文件要求制作电子投标文件。</w:t>
      </w:r>
    </w:p>
    <w:p w14:paraId="3715FF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电子投标文件的制作，参考《全国公共资源交易平台(河南省▪平顶山市)》公共资源交易系统——组件下载——交易系统操作手册（投标人、供应商）。</w:t>
      </w:r>
    </w:p>
    <w:p w14:paraId="70EFAF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4.2供应商须将招标文件要求的资质、业绩、荣誉及相关人员证明材料等资料原件扫描件（或图片）制作到所提交的电子投标文件中。</w:t>
      </w:r>
    </w:p>
    <w:p w14:paraId="2A088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4.3允许供应商对同一项目多个标段进行投标的，应分别下载所投标段的招标文件，按标段制作电子投标文件，并按招标文件要求在相应位置加盖供应商电子印章和法人电子印章。</w:t>
      </w:r>
    </w:p>
    <w:p w14:paraId="14CC38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一个标段对应生成一个文件夹（xxxx项目xx标段）,其中包含2个文件和1个文件夹。后缀名为“.file”的文件用于电子投标使用，名称为“备份”的文件夹使用电子介质存储，供开标现场备用。</w:t>
      </w:r>
    </w:p>
    <w:p w14:paraId="23D3ED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5.加密电子投标文件的提交</w:t>
      </w:r>
    </w:p>
    <w:p w14:paraId="4DBFC2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5.1加密电子投标文件应在招标文件规定的投标截止时间（开标时间）之前成功提交至《全国公共资源交易平台(河南省▪平顶山市)》公共资源交易系统（http://221.176.192.166:8080/ggzy/）。</w:t>
      </w:r>
    </w:p>
    <w:p w14:paraId="752548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供应商应充分考虑并预留技术处理和上传数据所需时间。</w:t>
      </w:r>
    </w:p>
    <w:p w14:paraId="434A633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供应商应在招标文件规定的投标截止时间（开标时间）之前在《河南省政府采购网》上完成账号注册。</w:t>
      </w:r>
    </w:p>
    <w:p w14:paraId="0785E1E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36"/>
        </w:rPr>
      </w:pPr>
    </w:p>
    <w:p w14:paraId="683A601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36"/>
        </w:rPr>
        <w:sectPr>
          <w:pgSz w:w="11907" w:h="16840"/>
          <w:pgMar w:top="1797" w:right="1440" w:bottom="1797" w:left="1440" w:header="851" w:footer="851" w:gutter="0"/>
          <w:pgNumType w:fmt="decimal"/>
          <w:cols w:space="720" w:num="1"/>
          <w:docGrid w:linePitch="600" w:charSpace="0"/>
        </w:sectPr>
      </w:pPr>
    </w:p>
    <w:p w14:paraId="5F23DB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bCs/>
          <w:sz w:val="32"/>
          <w:szCs w:val="40"/>
        </w:rPr>
      </w:pPr>
      <w:r>
        <w:rPr>
          <w:rFonts w:hint="eastAsia"/>
          <w:b/>
          <w:bCs/>
          <w:sz w:val="32"/>
          <w:szCs w:val="40"/>
        </w:rPr>
        <w:t>第二章 投标人须知</w:t>
      </w:r>
      <w:bookmarkEnd w:id="8"/>
      <w:bookmarkEnd w:id="9"/>
      <w:bookmarkEnd w:id="10"/>
      <w:bookmarkEnd w:id="11"/>
      <w:bookmarkEnd w:id="12"/>
      <w:bookmarkEnd w:id="13"/>
      <w:bookmarkEnd w:id="14"/>
      <w:bookmarkEnd w:id="15"/>
    </w:p>
    <w:p w14:paraId="69B0F0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bCs/>
          <w:sz w:val="32"/>
          <w:szCs w:val="40"/>
        </w:rPr>
      </w:pPr>
      <w:bookmarkStart w:id="16" w:name="_Toc247527552"/>
      <w:bookmarkStart w:id="17" w:name="_Toc16529"/>
      <w:bookmarkStart w:id="18" w:name="_Toc247513951"/>
      <w:bookmarkStart w:id="19" w:name="_Toc144974496"/>
      <w:bookmarkStart w:id="20" w:name="_Toc152042304"/>
      <w:bookmarkStart w:id="21" w:name="_Toc152045528"/>
      <w:r>
        <w:rPr>
          <w:rFonts w:hint="eastAsia"/>
          <w:b/>
          <w:bCs/>
          <w:sz w:val="32"/>
          <w:szCs w:val="40"/>
        </w:rPr>
        <w:t>投标人须知前附表</w:t>
      </w:r>
      <w:bookmarkEnd w:id="16"/>
      <w:bookmarkEnd w:id="17"/>
      <w:bookmarkEnd w:id="18"/>
      <w:bookmarkEnd w:id="19"/>
      <w:bookmarkEnd w:id="20"/>
      <w:bookmarkEnd w:id="21"/>
    </w:p>
    <w:tbl>
      <w:tblPr>
        <w:tblStyle w:val="36"/>
        <w:tblW w:w="98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00"/>
        <w:gridCol w:w="2790"/>
        <w:gridCol w:w="6064"/>
      </w:tblGrid>
      <w:tr w14:paraId="6ACB1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49374419">
            <w:pPr>
              <w:spacing w:line="440" w:lineRule="exact"/>
              <w:jc w:val="center"/>
              <w:rPr>
                <w:rFonts w:hint="eastAsia" w:asciiTheme="minorEastAsia" w:hAnsiTheme="minorEastAsia" w:eastAsiaTheme="minorEastAsia" w:cstheme="minorEastAsia"/>
                <w:b/>
                <w:sz w:val="24"/>
                <w:szCs w:val="24"/>
              </w:rPr>
            </w:pPr>
            <w:bookmarkStart w:id="22" w:name="_Toc247527553"/>
            <w:bookmarkStart w:id="23" w:name="_Toc144974497"/>
            <w:bookmarkStart w:id="24" w:name="_Toc247513952"/>
            <w:bookmarkStart w:id="25" w:name="_Toc152045529"/>
            <w:bookmarkStart w:id="26" w:name="_Toc152042305"/>
            <w:r>
              <w:rPr>
                <w:rFonts w:hint="eastAsia" w:asciiTheme="minorEastAsia" w:hAnsiTheme="minorEastAsia" w:eastAsiaTheme="minorEastAsia" w:cstheme="minorEastAsia"/>
                <w:b/>
                <w:sz w:val="24"/>
                <w:szCs w:val="24"/>
              </w:rPr>
              <w:t>条款号</w:t>
            </w:r>
          </w:p>
        </w:tc>
        <w:tc>
          <w:tcPr>
            <w:tcW w:w="2790" w:type="dxa"/>
            <w:vAlign w:val="center"/>
          </w:tcPr>
          <w:p w14:paraId="716204D4">
            <w:pPr>
              <w:spacing w:line="44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条  款  名  称</w:t>
            </w:r>
          </w:p>
        </w:tc>
        <w:tc>
          <w:tcPr>
            <w:tcW w:w="6064" w:type="dxa"/>
            <w:vAlign w:val="center"/>
          </w:tcPr>
          <w:p w14:paraId="4CC07508">
            <w:pPr>
              <w:spacing w:line="44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  列  内  容</w:t>
            </w:r>
          </w:p>
        </w:tc>
      </w:tr>
      <w:tr w14:paraId="456E6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5F893FF9">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p>
        </w:tc>
        <w:tc>
          <w:tcPr>
            <w:tcW w:w="2790" w:type="dxa"/>
            <w:vAlign w:val="center"/>
          </w:tcPr>
          <w:p w14:paraId="4445E482">
            <w:pPr>
              <w:spacing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招标人</w:t>
            </w:r>
          </w:p>
        </w:tc>
        <w:tc>
          <w:tcPr>
            <w:tcW w:w="6064" w:type="dxa"/>
            <w:vAlign w:val="center"/>
          </w:tcPr>
          <w:p w14:paraId="68B087B6">
            <w:pPr>
              <w:spacing w:line="36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名称：平顶山市林业局</w:t>
            </w:r>
          </w:p>
          <w:p w14:paraId="61BAC68D">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地址：河</w:t>
            </w:r>
            <w:r>
              <w:rPr>
                <w:rFonts w:hint="eastAsia" w:asciiTheme="minorEastAsia" w:hAnsiTheme="minorEastAsia" w:eastAsiaTheme="minorEastAsia" w:cstheme="minorEastAsia"/>
                <w:color w:val="auto"/>
                <w:sz w:val="24"/>
                <w:szCs w:val="24"/>
                <w:lang w:eastAsia="zh-CN"/>
              </w:rPr>
              <w:t>南省平顶山市新城区滍阳路与夏耘路口东100m路北</w:t>
            </w:r>
          </w:p>
          <w:p w14:paraId="310E9E58">
            <w:pPr>
              <w:spacing w:line="360" w:lineRule="auto"/>
              <w:rPr>
                <w:rFonts w:hint="eastAsia"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联系人：</w:t>
            </w:r>
            <w:r>
              <w:rPr>
                <w:rFonts w:hint="eastAsia" w:asciiTheme="minorEastAsia" w:hAnsiTheme="minorEastAsia" w:eastAsiaTheme="minorEastAsia" w:cstheme="minorEastAsia"/>
                <w:color w:val="auto"/>
                <w:sz w:val="24"/>
                <w:szCs w:val="24"/>
                <w:lang w:val="en-US" w:eastAsia="zh-CN"/>
              </w:rPr>
              <w:t>张先生</w:t>
            </w:r>
          </w:p>
          <w:p w14:paraId="775DFC12">
            <w:pPr>
              <w:spacing w:line="36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zh-CN" w:eastAsia="zh-CN"/>
              </w:rPr>
              <w:t>联系方式：</w:t>
            </w:r>
            <w:r>
              <w:rPr>
                <w:rFonts w:hint="eastAsia" w:asciiTheme="minorEastAsia" w:hAnsiTheme="minorEastAsia" w:eastAsiaTheme="minorEastAsia" w:cstheme="minorEastAsia"/>
                <w:color w:val="auto"/>
                <w:sz w:val="24"/>
                <w:szCs w:val="24"/>
                <w:lang w:val="en-US" w:eastAsia="zh-CN"/>
              </w:rPr>
              <w:t>0375-3738116</w:t>
            </w:r>
          </w:p>
        </w:tc>
      </w:tr>
      <w:tr w14:paraId="51CF5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0" w:type="dxa"/>
            <w:vAlign w:val="center"/>
          </w:tcPr>
          <w:p w14:paraId="4FC3D68E">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p>
        </w:tc>
        <w:tc>
          <w:tcPr>
            <w:tcW w:w="2790" w:type="dxa"/>
            <w:vAlign w:val="center"/>
          </w:tcPr>
          <w:p w14:paraId="78D9B088">
            <w:pPr>
              <w:spacing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招标代理机构</w:t>
            </w:r>
          </w:p>
        </w:tc>
        <w:tc>
          <w:tcPr>
            <w:tcW w:w="6064" w:type="dxa"/>
            <w:vAlign w:val="center"/>
          </w:tcPr>
          <w:p w14:paraId="40B4B2CE">
            <w:pPr>
              <w:spacing w:line="36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名称：河南佳晟工程咨询有限公司</w:t>
            </w:r>
          </w:p>
          <w:p w14:paraId="227E45D9">
            <w:pPr>
              <w:spacing w:line="36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地址：河南省郑州市金水区农业路37号银丰商务港A座615室</w:t>
            </w:r>
          </w:p>
          <w:p w14:paraId="67A628DA">
            <w:pPr>
              <w:spacing w:line="36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联系人：胡女士</w:t>
            </w:r>
          </w:p>
          <w:p w14:paraId="503009A8">
            <w:pPr>
              <w:spacing w:line="36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电话：18336387702</w:t>
            </w:r>
          </w:p>
        </w:tc>
      </w:tr>
      <w:tr w14:paraId="6ED8C9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2EFEAA61">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p>
        </w:tc>
        <w:tc>
          <w:tcPr>
            <w:tcW w:w="2790" w:type="dxa"/>
            <w:vAlign w:val="center"/>
          </w:tcPr>
          <w:p w14:paraId="5EA49F8A">
            <w:pPr>
              <w:spacing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项目名称</w:t>
            </w:r>
          </w:p>
        </w:tc>
        <w:tc>
          <w:tcPr>
            <w:tcW w:w="6064" w:type="dxa"/>
            <w:vAlign w:val="center"/>
          </w:tcPr>
          <w:p w14:paraId="0D6EEB23">
            <w:pPr>
              <w:spacing w:line="36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平顶山市林业局河南省平顶山市伏牛山—淮河生态屏障区国土绿化示范中幼林抚育项目监理项目</w:t>
            </w:r>
          </w:p>
        </w:tc>
      </w:tr>
      <w:tr w14:paraId="3F4863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1000" w:type="dxa"/>
            <w:vAlign w:val="center"/>
          </w:tcPr>
          <w:p w14:paraId="28CCCDF1">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w:t>
            </w:r>
          </w:p>
        </w:tc>
        <w:tc>
          <w:tcPr>
            <w:tcW w:w="2790" w:type="dxa"/>
            <w:vAlign w:val="center"/>
          </w:tcPr>
          <w:p w14:paraId="32FC5EB5">
            <w:pPr>
              <w:spacing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项目地址</w:t>
            </w:r>
          </w:p>
        </w:tc>
        <w:tc>
          <w:tcPr>
            <w:tcW w:w="6064" w:type="dxa"/>
            <w:vAlign w:val="center"/>
          </w:tcPr>
          <w:p w14:paraId="648E1CCA">
            <w:pPr>
              <w:spacing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平顶山市境内</w:t>
            </w:r>
          </w:p>
        </w:tc>
      </w:tr>
      <w:tr w14:paraId="1A6140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39D04C6D">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w:t>
            </w:r>
          </w:p>
        </w:tc>
        <w:tc>
          <w:tcPr>
            <w:tcW w:w="2790" w:type="dxa"/>
            <w:tcBorders>
              <w:bottom w:val="single" w:color="auto" w:sz="6" w:space="0"/>
            </w:tcBorders>
            <w:vAlign w:val="center"/>
          </w:tcPr>
          <w:p w14:paraId="06EC71EE">
            <w:pPr>
              <w:spacing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资金来源</w:t>
            </w:r>
          </w:p>
        </w:tc>
        <w:tc>
          <w:tcPr>
            <w:tcW w:w="6064" w:type="dxa"/>
            <w:tcBorders>
              <w:bottom w:val="single" w:color="auto" w:sz="6" w:space="0"/>
            </w:tcBorders>
            <w:vAlign w:val="center"/>
          </w:tcPr>
          <w:p w14:paraId="50B3BC7E">
            <w:pPr>
              <w:spacing w:line="440" w:lineRule="exact"/>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财政资金，已落实</w:t>
            </w:r>
          </w:p>
        </w:tc>
      </w:tr>
      <w:tr w14:paraId="286DB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1000" w:type="dxa"/>
            <w:vAlign w:val="center"/>
          </w:tcPr>
          <w:p w14:paraId="65DBBE81">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w:t>
            </w:r>
          </w:p>
        </w:tc>
        <w:tc>
          <w:tcPr>
            <w:tcW w:w="2790" w:type="dxa"/>
            <w:tcBorders>
              <w:top w:val="single" w:color="auto" w:sz="6" w:space="0"/>
              <w:bottom w:val="single" w:color="auto" w:sz="6" w:space="0"/>
            </w:tcBorders>
            <w:vAlign w:val="center"/>
          </w:tcPr>
          <w:p w14:paraId="195A0462">
            <w:pPr>
              <w:pStyle w:val="55"/>
              <w:shd w:val="clear" w:color="auto" w:fill="FFFFFF"/>
              <w:autoSpaceDE w:val="0"/>
              <w:jc w:val="center"/>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招标范围</w:t>
            </w:r>
          </w:p>
        </w:tc>
        <w:tc>
          <w:tcPr>
            <w:tcW w:w="6064" w:type="dxa"/>
            <w:tcBorders>
              <w:top w:val="single" w:color="auto" w:sz="6" w:space="0"/>
              <w:bottom w:val="single" w:color="auto" w:sz="6" w:space="0"/>
            </w:tcBorders>
            <w:vAlign w:val="center"/>
          </w:tcPr>
          <w:p w14:paraId="6C311CD2">
            <w:pPr>
              <w:spacing w:line="420" w:lineRule="exact"/>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对河南省平顶山市伏牛山—淮河生态屏障区国土绿化示范中幼林抚育项目施工期间等全过程监理服务</w:t>
            </w:r>
          </w:p>
        </w:tc>
      </w:tr>
      <w:tr w14:paraId="4653AA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0" w:type="dxa"/>
            <w:vAlign w:val="center"/>
          </w:tcPr>
          <w:p w14:paraId="75A475E5">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w:t>
            </w:r>
          </w:p>
        </w:tc>
        <w:tc>
          <w:tcPr>
            <w:tcW w:w="2790" w:type="dxa"/>
            <w:tcBorders>
              <w:top w:val="single" w:color="auto" w:sz="6" w:space="0"/>
              <w:bottom w:val="single" w:color="auto" w:sz="6" w:space="0"/>
            </w:tcBorders>
            <w:vAlign w:val="center"/>
          </w:tcPr>
          <w:p w14:paraId="470DAB94">
            <w:pPr>
              <w:pStyle w:val="55"/>
              <w:shd w:val="clear" w:color="auto" w:fill="FFFFFF"/>
              <w:autoSpaceDE w:val="0"/>
              <w:jc w:val="center"/>
              <w:rPr>
                <w:rFonts w:hint="eastAsia" w:asciiTheme="minorEastAsia" w:hAnsiTheme="minorEastAsia" w:eastAsiaTheme="minorEastAsia" w:cstheme="minorEastAsia"/>
                <w:color w:val="auto"/>
                <w:kern w:val="2"/>
                <w:sz w:val="24"/>
                <w:szCs w:val="24"/>
                <w:highlight w:val="yellow"/>
                <w:lang w:val="en-US" w:eastAsia="zh-CN"/>
              </w:rPr>
            </w:pPr>
            <w:r>
              <w:rPr>
                <w:rFonts w:hint="eastAsia" w:asciiTheme="minorEastAsia" w:hAnsiTheme="minorEastAsia" w:eastAsiaTheme="minorEastAsia" w:cstheme="minorEastAsia"/>
                <w:color w:val="auto"/>
                <w:kern w:val="2"/>
                <w:sz w:val="24"/>
                <w:szCs w:val="24"/>
                <w:highlight w:val="none"/>
                <w:lang w:val="en-US" w:eastAsia="zh-CN"/>
              </w:rPr>
              <w:t>服务期限</w:t>
            </w:r>
          </w:p>
        </w:tc>
        <w:tc>
          <w:tcPr>
            <w:tcW w:w="6064" w:type="dxa"/>
            <w:tcBorders>
              <w:top w:val="single" w:color="auto" w:sz="6" w:space="0"/>
              <w:bottom w:val="single" w:color="auto" w:sz="6" w:space="0"/>
            </w:tcBorders>
            <w:vAlign w:val="center"/>
          </w:tcPr>
          <w:p w14:paraId="3C9B8DA1">
            <w:pPr>
              <w:pStyle w:val="55"/>
              <w:shd w:val="clear" w:color="auto" w:fill="FFFFFF"/>
              <w:autoSpaceDE w:val="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自签订合同至施工缺陷责任期结束</w:t>
            </w:r>
          </w:p>
        </w:tc>
      </w:tr>
      <w:tr w14:paraId="38F250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1247B832">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w:t>
            </w:r>
          </w:p>
        </w:tc>
        <w:tc>
          <w:tcPr>
            <w:tcW w:w="2790" w:type="dxa"/>
            <w:tcBorders>
              <w:top w:val="single" w:color="auto" w:sz="6" w:space="0"/>
              <w:bottom w:val="single" w:color="auto" w:sz="6" w:space="0"/>
            </w:tcBorders>
            <w:vAlign w:val="center"/>
          </w:tcPr>
          <w:p w14:paraId="3BB8D2C2">
            <w:pPr>
              <w:spacing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质量</w:t>
            </w:r>
            <w:r>
              <w:rPr>
                <w:rFonts w:hint="eastAsia" w:asciiTheme="minorEastAsia" w:hAnsiTheme="minorEastAsia" w:eastAsiaTheme="minorEastAsia" w:cstheme="minorEastAsia"/>
                <w:color w:val="auto"/>
                <w:sz w:val="24"/>
                <w:szCs w:val="24"/>
              </w:rPr>
              <w:t>要求</w:t>
            </w:r>
          </w:p>
        </w:tc>
        <w:tc>
          <w:tcPr>
            <w:tcW w:w="6064" w:type="dxa"/>
            <w:tcBorders>
              <w:top w:val="single" w:color="auto" w:sz="6" w:space="0"/>
              <w:bottom w:val="single" w:color="auto" w:sz="6" w:space="0"/>
            </w:tcBorders>
            <w:vAlign w:val="center"/>
          </w:tcPr>
          <w:p w14:paraId="3C833FF8">
            <w:pPr>
              <w:spacing w:line="420" w:lineRule="exact"/>
              <w:jc w:val="left"/>
              <w:rPr>
                <w:rFonts w:hint="eastAsia" w:asciiTheme="minorEastAsia" w:hAnsiTheme="minorEastAsia" w:eastAsiaTheme="minorEastAsia" w:cstheme="minorEastAsia"/>
                <w:color w:val="0000FF"/>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合格标准，符合国家及行业相关标准、规范要求及采购人要求</w:t>
            </w:r>
          </w:p>
        </w:tc>
      </w:tr>
      <w:tr w14:paraId="27526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1F827111">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w:t>
            </w:r>
          </w:p>
        </w:tc>
        <w:tc>
          <w:tcPr>
            <w:tcW w:w="2790" w:type="dxa"/>
            <w:tcBorders>
              <w:top w:val="single" w:color="auto" w:sz="6" w:space="0"/>
              <w:bottom w:val="single" w:color="auto" w:sz="6" w:space="0"/>
            </w:tcBorders>
            <w:vAlign w:val="center"/>
          </w:tcPr>
          <w:p w14:paraId="477CA449">
            <w:pPr>
              <w:spacing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rPr>
              <w:t>供应商资格要求</w:t>
            </w:r>
          </w:p>
        </w:tc>
        <w:tc>
          <w:tcPr>
            <w:tcW w:w="6064" w:type="dxa"/>
            <w:tcBorders>
              <w:top w:val="single" w:color="auto" w:sz="6" w:space="0"/>
              <w:bottom w:val="single" w:color="auto" w:sz="6" w:space="0"/>
            </w:tcBorders>
            <w:vAlign w:val="center"/>
          </w:tcPr>
          <w:p w14:paraId="25620B49">
            <w:pPr>
              <w:pStyle w:val="152"/>
              <w:spacing w:line="360" w:lineRule="exact"/>
              <w:rPr>
                <w:rFonts w:hint="eastAsia" w:asciiTheme="minorEastAsia" w:hAnsiTheme="minorEastAsia" w:eastAsiaTheme="minorEastAsia" w:cstheme="minorEastAsia"/>
                <w:color w:val="0000FF"/>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详见招标公告中“二、申请人资格要求”要求中资格要求相关内容</w:t>
            </w:r>
          </w:p>
        </w:tc>
      </w:tr>
      <w:tr w14:paraId="7859A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05397611">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w:t>
            </w:r>
          </w:p>
        </w:tc>
        <w:tc>
          <w:tcPr>
            <w:tcW w:w="2790" w:type="dxa"/>
            <w:tcBorders>
              <w:top w:val="single" w:color="auto" w:sz="6" w:space="0"/>
            </w:tcBorders>
            <w:vAlign w:val="center"/>
          </w:tcPr>
          <w:p w14:paraId="2AF69D36">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是否接受联合体投标</w:t>
            </w:r>
          </w:p>
        </w:tc>
        <w:tc>
          <w:tcPr>
            <w:tcW w:w="6064" w:type="dxa"/>
            <w:tcBorders>
              <w:top w:val="single" w:color="auto" w:sz="6" w:space="0"/>
            </w:tcBorders>
            <w:vAlign w:val="center"/>
          </w:tcPr>
          <w:p w14:paraId="175A7BAC">
            <w:pPr>
              <w:pStyle w:val="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w:t>
            </w:r>
          </w:p>
        </w:tc>
      </w:tr>
      <w:tr w14:paraId="7C2C4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0B8FC2B8">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w:t>
            </w:r>
          </w:p>
        </w:tc>
        <w:tc>
          <w:tcPr>
            <w:tcW w:w="2790" w:type="dxa"/>
            <w:vAlign w:val="center"/>
          </w:tcPr>
          <w:p w14:paraId="39ADC6DA">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踏勘</w:t>
            </w:r>
          </w:p>
        </w:tc>
        <w:tc>
          <w:tcPr>
            <w:tcW w:w="6064" w:type="dxa"/>
            <w:vAlign w:val="center"/>
          </w:tcPr>
          <w:p w14:paraId="3D6E539A">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不组织：自行踏勘</w:t>
            </w:r>
          </w:p>
        </w:tc>
      </w:tr>
      <w:tr w14:paraId="4EC80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5E6B2078">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1.10.1</w:t>
            </w:r>
          </w:p>
        </w:tc>
        <w:tc>
          <w:tcPr>
            <w:tcW w:w="2790" w:type="dxa"/>
            <w:vAlign w:val="center"/>
          </w:tcPr>
          <w:p w14:paraId="5AE54AAD">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投标预备会</w:t>
            </w:r>
          </w:p>
        </w:tc>
        <w:tc>
          <w:tcPr>
            <w:tcW w:w="6064" w:type="dxa"/>
            <w:vAlign w:val="center"/>
          </w:tcPr>
          <w:p w14:paraId="1AB9FAA7">
            <w:pPr>
              <w:pStyle w:val="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不召开</w:t>
            </w:r>
          </w:p>
        </w:tc>
      </w:tr>
      <w:tr w14:paraId="40C64D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14E813EC">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1.10.2</w:t>
            </w:r>
          </w:p>
        </w:tc>
        <w:tc>
          <w:tcPr>
            <w:tcW w:w="2790" w:type="dxa"/>
            <w:vAlign w:val="center"/>
          </w:tcPr>
          <w:p w14:paraId="1B5C24E6">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投标人提出问题的截止时间</w:t>
            </w:r>
          </w:p>
        </w:tc>
        <w:tc>
          <w:tcPr>
            <w:tcW w:w="6064" w:type="dxa"/>
            <w:vAlign w:val="center"/>
          </w:tcPr>
          <w:p w14:paraId="075F0578">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递交投标文件截止时间10天前</w:t>
            </w:r>
          </w:p>
        </w:tc>
      </w:tr>
      <w:tr w14:paraId="6EA1D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00FE1A5B">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1.10.3</w:t>
            </w:r>
          </w:p>
        </w:tc>
        <w:tc>
          <w:tcPr>
            <w:tcW w:w="2790" w:type="dxa"/>
            <w:vAlign w:val="center"/>
          </w:tcPr>
          <w:p w14:paraId="34AC3910">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招标人书面澄清的时间</w:t>
            </w:r>
          </w:p>
        </w:tc>
        <w:tc>
          <w:tcPr>
            <w:tcW w:w="6064" w:type="dxa"/>
            <w:vAlign w:val="center"/>
          </w:tcPr>
          <w:p w14:paraId="1FB3BA8E">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递交投标文件截止时间15天前</w:t>
            </w:r>
          </w:p>
        </w:tc>
      </w:tr>
      <w:tr w14:paraId="702A2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0" w:type="dxa"/>
            <w:vAlign w:val="center"/>
          </w:tcPr>
          <w:p w14:paraId="6A438C51">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p>
        </w:tc>
        <w:tc>
          <w:tcPr>
            <w:tcW w:w="2790" w:type="dxa"/>
            <w:vAlign w:val="center"/>
          </w:tcPr>
          <w:p w14:paraId="2FA39E2F">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分包</w:t>
            </w:r>
          </w:p>
        </w:tc>
        <w:tc>
          <w:tcPr>
            <w:tcW w:w="6064" w:type="dxa"/>
            <w:vAlign w:val="center"/>
          </w:tcPr>
          <w:p w14:paraId="5D557AA4">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5646B7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7565AEB6">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p>
        </w:tc>
        <w:tc>
          <w:tcPr>
            <w:tcW w:w="2790" w:type="dxa"/>
            <w:vAlign w:val="center"/>
          </w:tcPr>
          <w:p w14:paraId="3891760C">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偏离</w:t>
            </w:r>
          </w:p>
        </w:tc>
        <w:tc>
          <w:tcPr>
            <w:tcW w:w="6064" w:type="dxa"/>
            <w:vAlign w:val="center"/>
          </w:tcPr>
          <w:p w14:paraId="4B2C7E90">
            <w:pPr>
              <w:pStyle w:val="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不允许</w:t>
            </w:r>
          </w:p>
        </w:tc>
      </w:tr>
      <w:tr w14:paraId="3CEEF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1000" w:type="dxa"/>
            <w:vAlign w:val="center"/>
          </w:tcPr>
          <w:p w14:paraId="74082FE6">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2790" w:type="dxa"/>
            <w:vAlign w:val="center"/>
          </w:tcPr>
          <w:p w14:paraId="564B9724">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构成招标文件的其他资料</w:t>
            </w:r>
          </w:p>
        </w:tc>
        <w:tc>
          <w:tcPr>
            <w:tcW w:w="6064" w:type="dxa"/>
            <w:vAlign w:val="center"/>
          </w:tcPr>
          <w:p w14:paraId="061A6734">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答疑、澄清、修改、补充等</w:t>
            </w:r>
          </w:p>
        </w:tc>
      </w:tr>
      <w:tr w14:paraId="0DC29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0" w:hRule="atLeast"/>
          <w:jc w:val="center"/>
        </w:trPr>
        <w:tc>
          <w:tcPr>
            <w:tcW w:w="1000" w:type="dxa"/>
            <w:vAlign w:val="center"/>
          </w:tcPr>
          <w:p w14:paraId="57ADD0FC">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w:t>
            </w:r>
          </w:p>
        </w:tc>
        <w:tc>
          <w:tcPr>
            <w:tcW w:w="2790" w:type="dxa"/>
            <w:vAlign w:val="center"/>
          </w:tcPr>
          <w:p w14:paraId="236FE3C9">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投标人要求澄清招标文件的截止时间</w:t>
            </w:r>
          </w:p>
        </w:tc>
        <w:tc>
          <w:tcPr>
            <w:tcW w:w="6064" w:type="dxa"/>
            <w:vAlign w:val="center"/>
          </w:tcPr>
          <w:p w14:paraId="50F63015">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同投标人提出问题的截止时间</w:t>
            </w:r>
          </w:p>
        </w:tc>
      </w:tr>
      <w:tr w14:paraId="6BA072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609087AE">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tc>
        <w:tc>
          <w:tcPr>
            <w:tcW w:w="2790" w:type="dxa"/>
            <w:vAlign w:val="center"/>
          </w:tcPr>
          <w:p w14:paraId="15364DC4">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6064" w:type="dxa"/>
            <w:vAlign w:val="center"/>
          </w:tcPr>
          <w:p w14:paraId="5BCC273E">
            <w:pPr>
              <w:spacing w:line="440" w:lineRule="exact"/>
              <w:rPr>
                <w:rFonts w:hint="eastAsia" w:asciiTheme="minorEastAsia" w:hAnsiTheme="minorEastAsia" w:eastAsiaTheme="minorEastAsia" w:cstheme="minorEastAsia"/>
                <w:b/>
                <w:bCs/>
                <w:color w:val="FFFFFF"/>
                <w:sz w:val="24"/>
                <w:szCs w:val="24"/>
              </w:rPr>
            </w:pPr>
            <w:r>
              <w:rPr>
                <w:rFonts w:hint="eastAsia" w:asciiTheme="minorEastAsia" w:hAnsiTheme="minorEastAsia" w:eastAsiaTheme="minorEastAsia" w:cstheme="minorEastAsia"/>
                <w:sz w:val="24"/>
                <w:szCs w:val="24"/>
              </w:rPr>
              <w:t>详见招标公告</w:t>
            </w:r>
          </w:p>
        </w:tc>
      </w:tr>
      <w:tr w14:paraId="4B7AD6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2A17FF25">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w:t>
            </w:r>
          </w:p>
        </w:tc>
        <w:tc>
          <w:tcPr>
            <w:tcW w:w="2790" w:type="dxa"/>
            <w:vAlign w:val="center"/>
          </w:tcPr>
          <w:p w14:paraId="039A1E96">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投标人确认收到招标文件澄清的时间</w:t>
            </w:r>
          </w:p>
        </w:tc>
        <w:tc>
          <w:tcPr>
            <w:tcW w:w="6064" w:type="dxa"/>
            <w:vAlign w:val="center"/>
          </w:tcPr>
          <w:p w14:paraId="7B6A2F2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收到招标文件澄清</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rPr>
              <w:t>小时内</w:t>
            </w:r>
          </w:p>
        </w:tc>
      </w:tr>
      <w:tr w14:paraId="29F01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3E165336">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w:t>
            </w:r>
          </w:p>
        </w:tc>
        <w:tc>
          <w:tcPr>
            <w:tcW w:w="2790" w:type="dxa"/>
            <w:vAlign w:val="center"/>
          </w:tcPr>
          <w:p w14:paraId="00F00737">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投标人确认收到招标文件修改的时间</w:t>
            </w:r>
          </w:p>
        </w:tc>
        <w:tc>
          <w:tcPr>
            <w:tcW w:w="6064" w:type="dxa"/>
            <w:vAlign w:val="center"/>
          </w:tcPr>
          <w:p w14:paraId="46BF9176">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收到招标文件修改</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rPr>
              <w:t>小时内</w:t>
            </w:r>
          </w:p>
        </w:tc>
      </w:tr>
      <w:tr w14:paraId="764875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0" w:type="dxa"/>
            <w:vAlign w:val="center"/>
          </w:tcPr>
          <w:p w14:paraId="5C7059C8">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3.1.1</w:t>
            </w:r>
          </w:p>
        </w:tc>
        <w:tc>
          <w:tcPr>
            <w:tcW w:w="2790" w:type="dxa"/>
            <w:vAlign w:val="center"/>
          </w:tcPr>
          <w:p w14:paraId="021BAFE9">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构成投标文件的其他资料</w:t>
            </w:r>
          </w:p>
        </w:tc>
        <w:tc>
          <w:tcPr>
            <w:tcW w:w="6064" w:type="dxa"/>
            <w:vAlign w:val="center"/>
          </w:tcPr>
          <w:p w14:paraId="4B2ECEB5">
            <w:pPr>
              <w:spacing w:line="28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按招标文件要求。</w:t>
            </w:r>
          </w:p>
        </w:tc>
      </w:tr>
      <w:tr w14:paraId="6D4AE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052BE5E5">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3.3.1</w:t>
            </w:r>
          </w:p>
        </w:tc>
        <w:tc>
          <w:tcPr>
            <w:tcW w:w="2790" w:type="dxa"/>
            <w:vAlign w:val="center"/>
          </w:tcPr>
          <w:p w14:paraId="1AFDC526">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6064" w:type="dxa"/>
            <w:vAlign w:val="center"/>
          </w:tcPr>
          <w:p w14:paraId="1240A009">
            <w:pPr>
              <w:spacing w:line="44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60</w:t>
            </w:r>
            <w:r>
              <w:rPr>
                <w:rFonts w:hint="eastAsia" w:asciiTheme="minorEastAsia" w:hAnsiTheme="minorEastAsia" w:eastAsiaTheme="minorEastAsia" w:cstheme="minorEastAsia"/>
                <w:sz w:val="24"/>
                <w:szCs w:val="24"/>
              </w:rPr>
              <w:t>日历天（从投标截止之日算起）</w:t>
            </w:r>
          </w:p>
        </w:tc>
      </w:tr>
      <w:tr w14:paraId="38EE91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0" w:type="dxa"/>
            <w:tcBorders>
              <w:bottom w:val="single" w:color="auto" w:sz="4" w:space="0"/>
            </w:tcBorders>
            <w:vAlign w:val="center"/>
          </w:tcPr>
          <w:p w14:paraId="1FFF6FDE">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3.4.1</w:t>
            </w:r>
          </w:p>
        </w:tc>
        <w:tc>
          <w:tcPr>
            <w:tcW w:w="2790" w:type="dxa"/>
            <w:tcBorders>
              <w:bottom w:val="single" w:color="auto" w:sz="4" w:space="0"/>
            </w:tcBorders>
            <w:vAlign w:val="center"/>
          </w:tcPr>
          <w:p w14:paraId="1E76568E">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投标保证金</w:t>
            </w:r>
          </w:p>
        </w:tc>
        <w:tc>
          <w:tcPr>
            <w:tcW w:w="6064" w:type="dxa"/>
            <w:tcBorders>
              <w:bottom w:val="single" w:color="auto" w:sz="4" w:space="0"/>
            </w:tcBorders>
            <w:vAlign w:val="center"/>
          </w:tcPr>
          <w:p w14:paraId="6050661C">
            <w:pPr>
              <w:autoSpaceDE w:val="0"/>
              <w:autoSpaceDN w:val="0"/>
              <w:adjustRightInd w:val="0"/>
              <w:spacing w:line="312" w:lineRule="auto"/>
              <w:rPr>
                <w:rFonts w:hint="eastAsia" w:asciiTheme="minorEastAsia" w:hAnsiTheme="minorEastAsia" w:eastAsiaTheme="minorEastAsia" w:cstheme="minorEastAsia"/>
                <w:color w:val="002060"/>
                <w:sz w:val="24"/>
                <w:szCs w:val="24"/>
              </w:rPr>
            </w:pPr>
            <w:r>
              <w:rPr>
                <w:rFonts w:hint="eastAsia" w:asciiTheme="minorEastAsia" w:hAnsiTheme="minorEastAsia" w:eastAsiaTheme="minorEastAsia" w:cstheme="minorEastAsia"/>
                <w:b/>
                <w:sz w:val="24"/>
                <w:szCs w:val="24"/>
              </w:rPr>
              <w:t>本项目不收取投标保证金</w:t>
            </w:r>
          </w:p>
        </w:tc>
      </w:tr>
      <w:tr w14:paraId="695C3E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1000" w:type="dxa"/>
            <w:vAlign w:val="center"/>
          </w:tcPr>
          <w:p w14:paraId="440B5000">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3.5.5</w:t>
            </w:r>
          </w:p>
        </w:tc>
        <w:tc>
          <w:tcPr>
            <w:tcW w:w="2790" w:type="dxa"/>
            <w:vAlign w:val="center"/>
          </w:tcPr>
          <w:p w14:paraId="21C97932">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近年发生的重大诉讼及仲裁情况</w:t>
            </w:r>
          </w:p>
        </w:tc>
        <w:tc>
          <w:tcPr>
            <w:tcW w:w="6064" w:type="dxa"/>
            <w:vAlign w:val="center"/>
          </w:tcPr>
          <w:p w14:paraId="3DE93A29">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不要求</w:t>
            </w:r>
          </w:p>
        </w:tc>
      </w:tr>
      <w:tr w14:paraId="6E747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16AB8966">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2790" w:type="dxa"/>
            <w:vAlign w:val="center"/>
          </w:tcPr>
          <w:p w14:paraId="44C6BA09">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是否允许递交备选投标方案</w:t>
            </w:r>
          </w:p>
        </w:tc>
        <w:tc>
          <w:tcPr>
            <w:tcW w:w="6064" w:type="dxa"/>
            <w:vAlign w:val="center"/>
          </w:tcPr>
          <w:p w14:paraId="080F533A">
            <w:pPr>
              <w:pStyle w:val="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不允许</w:t>
            </w:r>
          </w:p>
        </w:tc>
      </w:tr>
      <w:tr w14:paraId="39443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6F646028">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3.7.3</w:t>
            </w:r>
          </w:p>
        </w:tc>
        <w:tc>
          <w:tcPr>
            <w:tcW w:w="2790" w:type="dxa"/>
            <w:vAlign w:val="center"/>
          </w:tcPr>
          <w:p w14:paraId="11975DF9">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签字或盖章要求</w:t>
            </w:r>
          </w:p>
        </w:tc>
        <w:tc>
          <w:tcPr>
            <w:tcW w:w="6064" w:type="dxa"/>
            <w:vAlign w:val="center"/>
          </w:tcPr>
          <w:p w14:paraId="36108AC5">
            <w:pPr>
              <w:autoSpaceDE w:val="0"/>
              <w:autoSpaceDN w:val="0"/>
              <w:adjustRightInd w:val="0"/>
              <w:spacing w:line="312" w:lineRule="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1、投标文件应按采购文件中的要求进行电子签章。</w:t>
            </w:r>
          </w:p>
          <w:p w14:paraId="47AC315A">
            <w:pPr>
              <w:autoSpaceDE w:val="0"/>
              <w:autoSpaceDN w:val="0"/>
              <w:adjustRightInd w:val="0"/>
              <w:spacing w:line="312" w:lineRule="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注：投标人在生成电子化投标文件后，应对电子化投标文件进行签章，未进行签章的视为无效投标。</w:t>
            </w:r>
          </w:p>
          <w:p w14:paraId="21A735E1">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招标文件中要求法定代表人或授权委托人签字或盖章的，投标人在进行电子化投标文件签章时，以签盖法定代表人签章为准。电子化投标文件具体制作教材请投标人通过CA证书登录平顶山市公共资源电子化交易系统在右上角“组建下载”中查看。</w:t>
            </w:r>
          </w:p>
        </w:tc>
      </w:tr>
      <w:tr w14:paraId="75A7D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131368C9">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3.7.4</w:t>
            </w:r>
          </w:p>
        </w:tc>
        <w:tc>
          <w:tcPr>
            <w:tcW w:w="2790" w:type="dxa"/>
            <w:vAlign w:val="center"/>
          </w:tcPr>
          <w:p w14:paraId="7BE84DBD">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投标文件份数</w:t>
            </w:r>
          </w:p>
        </w:tc>
        <w:tc>
          <w:tcPr>
            <w:tcW w:w="6064" w:type="dxa"/>
            <w:vAlign w:val="center"/>
          </w:tcPr>
          <w:p w14:paraId="499FCEC7">
            <w:pPr>
              <w:spacing w:line="44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除以上传的投标文件外，另需一份纸质版投标文件，参与投标的投标人应在公示期结束后，邮寄或递送纸质版文件一份给</w:t>
            </w:r>
            <w:r>
              <w:rPr>
                <w:rFonts w:hint="eastAsia" w:asciiTheme="minorEastAsia" w:hAnsiTheme="minorEastAsia" w:eastAsiaTheme="minorEastAsia" w:cstheme="minorEastAsia"/>
                <w:color w:val="000000"/>
                <w:sz w:val="24"/>
                <w:szCs w:val="24"/>
              </w:rPr>
              <w:t>招标人，</w:t>
            </w:r>
            <w:r>
              <w:rPr>
                <w:rFonts w:hint="eastAsia" w:asciiTheme="minorEastAsia" w:hAnsiTheme="minorEastAsia" w:eastAsiaTheme="minorEastAsia" w:cstheme="minorEastAsia"/>
                <w:sz w:val="24"/>
                <w:szCs w:val="24"/>
              </w:rPr>
              <w:t>以备招标人存档。</w:t>
            </w:r>
          </w:p>
        </w:tc>
      </w:tr>
      <w:tr w14:paraId="24382A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1CE71F71">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3.7.5</w:t>
            </w:r>
          </w:p>
        </w:tc>
        <w:tc>
          <w:tcPr>
            <w:tcW w:w="2790" w:type="dxa"/>
            <w:vAlign w:val="center"/>
          </w:tcPr>
          <w:p w14:paraId="6319174D">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装订要求</w:t>
            </w:r>
          </w:p>
        </w:tc>
        <w:tc>
          <w:tcPr>
            <w:tcW w:w="6064" w:type="dxa"/>
            <w:vAlign w:val="center"/>
          </w:tcPr>
          <w:p w14:paraId="04F48DA1">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14:paraId="593959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0" w:type="dxa"/>
            <w:vAlign w:val="center"/>
          </w:tcPr>
          <w:p w14:paraId="3D2A970D">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4.1.2</w:t>
            </w:r>
          </w:p>
        </w:tc>
        <w:tc>
          <w:tcPr>
            <w:tcW w:w="2790" w:type="dxa"/>
            <w:vAlign w:val="center"/>
          </w:tcPr>
          <w:p w14:paraId="1D644B15">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电子版封套上应载明的信息</w:t>
            </w:r>
          </w:p>
        </w:tc>
        <w:tc>
          <w:tcPr>
            <w:tcW w:w="6064" w:type="dxa"/>
            <w:vAlign w:val="center"/>
          </w:tcPr>
          <w:p w14:paraId="31633584">
            <w:pPr>
              <w:autoSpaceDE w:val="0"/>
              <w:autoSpaceDN w:val="0"/>
              <w:adjustRightInd w:val="0"/>
              <w:snapToGrid w:val="0"/>
              <w:spacing w:before="50" w:line="300" w:lineRule="exact"/>
              <w:ind w:right="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不要求，需要电子交易系统中提交投标文件。</w:t>
            </w:r>
          </w:p>
        </w:tc>
      </w:tr>
      <w:tr w14:paraId="13310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1AA66550">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4.2.2</w:t>
            </w:r>
          </w:p>
        </w:tc>
        <w:tc>
          <w:tcPr>
            <w:tcW w:w="2790" w:type="dxa"/>
            <w:vAlign w:val="center"/>
          </w:tcPr>
          <w:p w14:paraId="755F4D72">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递交投标文件地点</w:t>
            </w:r>
          </w:p>
        </w:tc>
        <w:tc>
          <w:tcPr>
            <w:tcW w:w="6064" w:type="dxa"/>
            <w:vAlign w:val="center"/>
          </w:tcPr>
          <w:p w14:paraId="08301820">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根据最新政策不要求投标人出场。</w:t>
            </w:r>
          </w:p>
        </w:tc>
      </w:tr>
      <w:tr w14:paraId="574B5C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00" w:type="dxa"/>
            <w:vAlign w:val="center"/>
          </w:tcPr>
          <w:p w14:paraId="5D54772F">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4.2.3</w:t>
            </w:r>
          </w:p>
        </w:tc>
        <w:tc>
          <w:tcPr>
            <w:tcW w:w="2790" w:type="dxa"/>
            <w:vAlign w:val="center"/>
          </w:tcPr>
          <w:p w14:paraId="5C12FDA7">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是否退还投标文件</w:t>
            </w:r>
          </w:p>
        </w:tc>
        <w:tc>
          <w:tcPr>
            <w:tcW w:w="6064" w:type="dxa"/>
            <w:vAlign w:val="center"/>
          </w:tcPr>
          <w:p w14:paraId="2E77E149">
            <w:pPr>
              <w:pStyle w:val="14"/>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否</w:t>
            </w:r>
          </w:p>
        </w:tc>
      </w:tr>
      <w:tr w14:paraId="493749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1000" w:type="dxa"/>
            <w:vAlign w:val="center"/>
          </w:tcPr>
          <w:p w14:paraId="37C68C47">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4.2.4</w:t>
            </w:r>
          </w:p>
        </w:tc>
        <w:tc>
          <w:tcPr>
            <w:tcW w:w="2790" w:type="dxa"/>
            <w:vAlign w:val="center"/>
          </w:tcPr>
          <w:p w14:paraId="54CED9F1">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招标控制价</w:t>
            </w:r>
          </w:p>
        </w:tc>
        <w:tc>
          <w:tcPr>
            <w:tcW w:w="6064" w:type="dxa"/>
            <w:vAlign w:val="center"/>
          </w:tcPr>
          <w:p w14:paraId="39694698">
            <w:pPr>
              <w:spacing w:line="440" w:lineRule="exact"/>
              <w:jc w:val="both"/>
              <w:rPr>
                <w:rFonts w:hint="eastAsia" w:asciiTheme="minorEastAsia" w:hAnsiTheme="minorEastAsia" w:eastAsiaTheme="minorEastAsia" w:cstheme="minorEastAsia"/>
                <w:b/>
                <w:bCs/>
                <w:color w:val="auto"/>
                <w:sz w:val="24"/>
                <w:szCs w:val="24"/>
                <w:lang w:val="en-US"/>
              </w:rPr>
            </w:pPr>
            <w:r>
              <w:rPr>
                <w:rFonts w:hint="eastAsia" w:asciiTheme="minorEastAsia" w:hAnsiTheme="minorEastAsia" w:eastAsiaTheme="minorEastAsia" w:cstheme="minorEastAsia"/>
                <w:b/>
                <w:bCs/>
                <w:color w:val="auto"/>
                <w:sz w:val="24"/>
                <w:szCs w:val="24"/>
                <w:lang w:val="en-US" w:eastAsia="zh-CN"/>
              </w:rPr>
              <w:t>1450000.00元（投标报价超过本金额按无效投标处理）</w:t>
            </w:r>
          </w:p>
        </w:tc>
      </w:tr>
      <w:tr w14:paraId="0C1E0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0" w:hRule="atLeast"/>
          <w:jc w:val="center"/>
        </w:trPr>
        <w:tc>
          <w:tcPr>
            <w:tcW w:w="1000" w:type="dxa"/>
            <w:vAlign w:val="center"/>
          </w:tcPr>
          <w:p w14:paraId="2055BEFA">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w:t>
            </w:r>
          </w:p>
        </w:tc>
        <w:tc>
          <w:tcPr>
            <w:tcW w:w="2790" w:type="dxa"/>
            <w:vAlign w:val="center"/>
          </w:tcPr>
          <w:p w14:paraId="18207154">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开标时间和地点</w:t>
            </w:r>
          </w:p>
        </w:tc>
        <w:tc>
          <w:tcPr>
            <w:tcW w:w="6064" w:type="dxa"/>
            <w:vAlign w:val="center"/>
          </w:tcPr>
          <w:p w14:paraId="73D34E2C">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开标时间：同投标截止时间</w:t>
            </w:r>
          </w:p>
          <w:p w14:paraId="67900B5A">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开标地点：同投标文件递交地点</w:t>
            </w:r>
          </w:p>
        </w:tc>
      </w:tr>
      <w:tr w14:paraId="5D7AE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1000" w:type="dxa"/>
            <w:vAlign w:val="center"/>
          </w:tcPr>
          <w:p w14:paraId="58BD4A81">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w:t>
            </w:r>
          </w:p>
        </w:tc>
        <w:tc>
          <w:tcPr>
            <w:tcW w:w="2790" w:type="dxa"/>
            <w:vAlign w:val="center"/>
          </w:tcPr>
          <w:p w14:paraId="7934CF2F">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开标程序</w:t>
            </w:r>
          </w:p>
        </w:tc>
        <w:tc>
          <w:tcPr>
            <w:tcW w:w="6064" w:type="dxa"/>
            <w:vAlign w:val="center"/>
          </w:tcPr>
          <w:p w14:paraId="68F12121">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1、电子化投标文件采用双重加密方式。开标时，首先由投标人使用CA证书，在规定时间内对其电子化投标文件进行首次解密，投标人解密完成后，再由中介服务机构使用CA证书对投标文件进行再次解密。</w:t>
            </w:r>
          </w:p>
          <w:p w14:paraId="5552F308">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2、电子化投标文件解密异常的处理</w:t>
            </w:r>
          </w:p>
          <w:p w14:paraId="00003273">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如出现投标人的电子投标文件无法解密的情况，投标人应及时联系中介服务机构说明。投标文件解密异常，按以下步骤进行处理：</w:t>
            </w:r>
          </w:p>
          <w:p w14:paraId="546F3223">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（1）首先由技术人员进行问题排查。</w:t>
            </w:r>
          </w:p>
          <w:p w14:paraId="7B4DCA90">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（2）经技术人员排查后，是投标人文件自身问题导致投标文件无法解密的，该投标文件将不予接收、解密和唱标，开标会议继续进行。</w:t>
            </w:r>
          </w:p>
          <w:p w14:paraId="49C9336A">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685BFD96">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（4）投标文件解密后，投标人自行查看各自标段投标报价、工期、质量等，应交易中心要求，不在进行唱标，对报价有异议的，应在开标后5分钟内电话提出，逾期或未提出的视为认同开标结果。</w:t>
            </w:r>
          </w:p>
          <w:p w14:paraId="513EF227">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（5）开标结束。</w:t>
            </w:r>
          </w:p>
        </w:tc>
      </w:tr>
      <w:tr w14:paraId="3564FC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1000" w:type="dxa"/>
            <w:vAlign w:val="center"/>
          </w:tcPr>
          <w:p w14:paraId="0E93C348">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w:t>
            </w:r>
          </w:p>
        </w:tc>
        <w:tc>
          <w:tcPr>
            <w:tcW w:w="2790" w:type="dxa"/>
            <w:vAlign w:val="center"/>
          </w:tcPr>
          <w:p w14:paraId="060A23FB">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废标条件</w:t>
            </w:r>
          </w:p>
        </w:tc>
        <w:tc>
          <w:tcPr>
            <w:tcW w:w="6064" w:type="dxa"/>
            <w:vAlign w:val="center"/>
          </w:tcPr>
          <w:p w14:paraId="0768F029">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按招标文件要求</w:t>
            </w:r>
          </w:p>
        </w:tc>
      </w:tr>
      <w:tr w14:paraId="4C6C4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0" w:hRule="atLeast"/>
          <w:jc w:val="center"/>
        </w:trPr>
        <w:tc>
          <w:tcPr>
            <w:tcW w:w="1000" w:type="dxa"/>
            <w:vAlign w:val="center"/>
          </w:tcPr>
          <w:p w14:paraId="3C7B16AD">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6.1.1</w:t>
            </w:r>
          </w:p>
        </w:tc>
        <w:tc>
          <w:tcPr>
            <w:tcW w:w="2790" w:type="dxa"/>
            <w:vAlign w:val="center"/>
          </w:tcPr>
          <w:p w14:paraId="4FD3B4F2">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评标委员会的组建</w:t>
            </w:r>
          </w:p>
        </w:tc>
        <w:tc>
          <w:tcPr>
            <w:tcW w:w="6064" w:type="dxa"/>
            <w:vAlign w:val="center"/>
          </w:tcPr>
          <w:p w14:paraId="677AC054">
            <w:pPr>
              <w:spacing w:line="44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评标委员会构成：由招标人代表和有关经济、技术等方面的评审专家5人以上单数组成</w:t>
            </w:r>
            <w:r>
              <w:rPr>
                <w:rFonts w:hint="eastAsia" w:asciiTheme="minorEastAsia" w:hAnsiTheme="minorEastAsia" w:eastAsiaTheme="minorEastAsia" w:cstheme="minorEastAsia"/>
                <w:sz w:val="24"/>
                <w:szCs w:val="24"/>
                <w:lang w:eastAsia="zh-CN"/>
              </w:rPr>
              <w:t>。</w:t>
            </w:r>
          </w:p>
          <w:p w14:paraId="2A10D0FC">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评标专家确定方式：由招标人在开标前从相关评标专家库中随机抽取。</w:t>
            </w:r>
          </w:p>
          <w:p w14:paraId="2932D288">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上述规定为一组评标专家组成方式，根据项目标段数量和评标工作量，可由多组专家完成评审，但一个标段只能由一组专家评审。</w:t>
            </w:r>
          </w:p>
        </w:tc>
      </w:tr>
      <w:tr w14:paraId="31AAC3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0" w:type="dxa"/>
            <w:vAlign w:val="center"/>
          </w:tcPr>
          <w:p w14:paraId="4C90E115">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w:t>
            </w:r>
          </w:p>
        </w:tc>
        <w:tc>
          <w:tcPr>
            <w:tcW w:w="2790" w:type="dxa"/>
            <w:vAlign w:val="center"/>
          </w:tcPr>
          <w:p w14:paraId="75274899">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是否授权评标委员会确定中标人</w:t>
            </w:r>
          </w:p>
        </w:tc>
        <w:tc>
          <w:tcPr>
            <w:tcW w:w="6064" w:type="dxa"/>
            <w:vAlign w:val="center"/>
          </w:tcPr>
          <w:p w14:paraId="20F11D4B">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否，按照评审得分由高到低顺序推荐3名成交候选供应商</w:t>
            </w:r>
          </w:p>
        </w:tc>
      </w:tr>
      <w:tr w14:paraId="7A9AE2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0" w:type="dxa"/>
            <w:vAlign w:val="center"/>
          </w:tcPr>
          <w:p w14:paraId="4E1D5A76">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w:t>
            </w:r>
          </w:p>
        </w:tc>
        <w:tc>
          <w:tcPr>
            <w:tcW w:w="2790" w:type="dxa"/>
            <w:vAlign w:val="center"/>
          </w:tcPr>
          <w:p w14:paraId="3C90D0F0">
            <w:pPr>
              <w:spacing w:line="4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中标候选人公示媒介</w:t>
            </w:r>
          </w:p>
        </w:tc>
        <w:tc>
          <w:tcPr>
            <w:tcW w:w="6064" w:type="dxa"/>
            <w:vAlign w:val="center"/>
          </w:tcPr>
          <w:p w14:paraId="18D23A09">
            <w:pPr>
              <w:autoSpaceDE w:val="0"/>
              <w:autoSpaceDN w:val="0"/>
              <w:spacing w:line="32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中标后公示3日历天，在发布招标公告的媒体上公示</w:t>
            </w:r>
          </w:p>
        </w:tc>
      </w:tr>
      <w:tr w14:paraId="7BF41F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3" w:hRule="atLeast"/>
          <w:jc w:val="center"/>
        </w:trPr>
        <w:tc>
          <w:tcPr>
            <w:tcW w:w="1000" w:type="dxa"/>
            <w:vAlign w:val="center"/>
          </w:tcPr>
          <w:p w14:paraId="18A42C5C">
            <w:pPr>
              <w:autoSpaceDE w:val="0"/>
              <w:autoSpaceDN w:val="0"/>
              <w:spacing w:line="3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9.3</w:t>
            </w:r>
          </w:p>
        </w:tc>
        <w:tc>
          <w:tcPr>
            <w:tcW w:w="2790" w:type="dxa"/>
            <w:vAlign w:val="center"/>
          </w:tcPr>
          <w:p w14:paraId="11BCB67A">
            <w:pPr>
              <w:autoSpaceDE w:val="0"/>
              <w:autoSpaceDN w:val="0"/>
              <w:spacing w:line="3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招标文件解释权</w:t>
            </w:r>
          </w:p>
        </w:tc>
        <w:tc>
          <w:tcPr>
            <w:tcW w:w="6064" w:type="dxa"/>
            <w:vAlign w:val="center"/>
          </w:tcPr>
          <w:p w14:paraId="294A7F32">
            <w:pPr>
              <w:autoSpaceDE w:val="0"/>
              <w:autoSpaceDN w:val="0"/>
              <w:spacing w:line="32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本招标文件解释权归招标人</w:t>
            </w:r>
          </w:p>
        </w:tc>
      </w:tr>
      <w:tr w14:paraId="0153D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1000" w:type="dxa"/>
            <w:vAlign w:val="center"/>
          </w:tcPr>
          <w:p w14:paraId="1F0BC7B9">
            <w:pPr>
              <w:autoSpaceDE w:val="0"/>
              <w:autoSpaceDN w:val="0"/>
              <w:spacing w:line="3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9.4</w:t>
            </w:r>
          </w:p>
        </w:tc>
        <w:tc>
          <w:tcPr>
            <w:tcW w:w="2790" w:type="dxa"/>
            <w:vAlign w:val="center"/>
          </w:tcPr>
          <w:p w14:paraId="7F0BDBE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投标人参加开标会的人员</w:t>
            </w:r>
          </w:p>
        </w:tc>
        <w:tc>
          <w:tcPr>
            <w:tcW w:w="6064" w:type="dxa"/>
            <w:vAlign w:val="center"/>
          </w:tcPr>
          <w:p w14:paraId="107E7E3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不要求投标人员到场，但应在规定的时间内上传投标文件。</w:t>
            </w:r>
          </w:p>
        </w:tc>
      </w:tr>
      <w:tr w14:paraId="2AF21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3" w:hRule="atLeast"/>
          <w:jc w:val="center"/>
        </w:trPr>
        <w:tc>
          <w:tcPr>
            <w:tcW w:w="1000" w:type="dxa"/>
            <w:tcBorders>
              <w:bottom w:val="single" w:color="auto" w:sz="4" w:space="0"/>
            </w:tcBorders>
            <w:vAlign w:val="center"/>
          </w:tcPr>
          <w:p w14:paraId="17867A38">
            <w:pPr>
              <w:autoSpaceDE w:val="0"/>
              <w:autoSpaceDN w:val="0"/>
              <w:spacing w:line="320" w:lineRule="exact"/>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9.5</w:t>
            </w:r>
          </w:p>
        </w:tc>
        <w:tc>
          <w:tcPr>
            <w:tcW w:w="2790" w:type="dxa"/>
            <w:tcBorders>
              <w:bottom w:val="single" w:color="auto" w:sz="4" w:space="0"/>
            </w:tcBorders>
            <w:vAlign w:val="center"/>
          </w:tcPr>
          <w:p w14:paraId="3EDCCC82">
            <w:pPr>
              <w:spacing w:line="360" w:lineRule="exact"/>
              <w:ind w:firstLine="723" w:firstLineChars="3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kern w:val="0"/>
                <w:sz w:val="24"/>
                <w:szCs w:val="24"/>
              </w:rPr>
              <w:t>招标代理费</w:t>
            </w:r>
          </w:p>
        </w:tc>
        <w:tc>
          <w:tcPr>
            <w:tcW w:w="6064" w:type="dxa"/>
            <w:tcBorders>
              <w:bottom w:val="single" w:color="auto" w:sz="4" w:space="0"/>
            </w:tcBorders>
            <w:vAlign w:val="center"/>
          </w:tcPr>
          <w:p w14:paraId="7B379B3D">
            <w:pPr>
              <w:spacing w:line="36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kern w:val="0"/>
                <w:sz w:val="24"/>
                <w:szCs w:val="24"/>
                <w:lang w:val="en-US" w:eastAsia="zh-CN"/>
              </w:rPr>
              <w:t>参照豫招协【2023】002文规定收取，由中标人在领取中标通知书时向招标代理机构一次性缴纳，本次招标代理服务费金额为22400元</w:t>
            </w:r>
            <w:r>
              <w:rPr>
                <w:rFonts w:hint="eastAsia" w:asciiTheme="minorEastAsia" w:hAnsiTheme="minorEastAsia" w:eastAsiaTheme="minorEastAsia" w:cstheme="minorEastAsia"/>
                <w:b/>
                <w:bCs/>
                <w:color w:val="auto"/>
                <w:kern w:val="0"/>
                <w:sz w:val="24"/>
                <w:szCs w:val="24"/>
              </w:rPr>
              <w:t>。</w:t>
            </w:r>
          </w:p>
        </w:tc>
      </w:tr>
      <w:tr w14:paraId="396FB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2" w:hRule="atLeast"/>
          <w:jc w:val="center"/>
        </w:trPr>
        <w:tc>
          <w:tcPr>
            <w:tcW w:w="1000" w:type="dxa"/>
            <w:tcBorders>
              <w:top w:val="single" w:color="auto" w:sz="4" w:space="0"/>
            </w:tcBorders>
            <w:vAlign w:val="center"/>
          </w:tcPr>
          <w:p w14:paraId="707633EC">
            <w:pPr>
              <w:autoSpaceDE w:val="0"/>
              <w:autoSpaceDN w:val="0"/>
              <w:spacing w:line="320" w:lineRule="exact"/>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9.6</w:t>
            </w:r>
          </w:p>
        </w:tc>
        <w:tc>
          <w:tcPr>
            <w:tcW w:w="2790" w:type="dxa"/>
            <w:tcBorders>
              <w:top w:val="single" w:color="auto" w:sz="4" w:space="0"/>
            </w:tcBorders>
            <w:vAlign w:val="center"/>
          </w:tcPr>
          <w:p w14:paraId="74AB988E">
            <w:pPr>
              <w:spacing w:line="360" w:lineRule="exact"/>
              <w:ind w:firstLine="723" w:firstLineChars="300"/>
              <w:rPr>
                <w:rFonts w:hint="eastAsia" w:asciiTheme="minorEastAsia" w:hAnsiTheme="minorEastAsia" w:eastAsiaTheme="minorEastAsia" w:cstheme="minorEastAsia"/>
                <w:b/>
                <w:bCs/>
                <w:color w:val="auto"/>
                <w:kern w:val="0"/>
                <w:sz w:val="24"/>
                <w:szCs w:val="24"/>
                <w:lang w:eastAsia="zh-CN"/>
              </w:rPr>
            </w:pPr>
            <w:r>
              <w:rPr>
                <w:rFonts w:hint="eastAsia" w:asciiTheme="minorEastAsia" w:hAnsiTheme="minorEastAsia" w:eastAsiaTheme="minorEastAsia" w:cstheme="minorEastAsia"/>
                <w:b/>
                <w:bCs/>
                <w:color w:val="auto"/>
                <w:kern w:val="0"/>
                <w:sz w:val="24"/>
                <w:szCs w:val="24"/>
                <w:lang w:val="en-US" w:eastAsia="zh-CN"/>
              </w:rPr>
              <w:t>所属行业</w:t>
            </w:r>
          </w:p>
        </w:tc>
        <w:tc>
          <w:tcPr>
            <w:tcW w:w="6064" w:type="dxa"/>
            <w:tcBorders>
              <w:top w:val="single" w:color="auto" w:sz="4" w:space="0"/>
            </w:tcBorders>
            <w:vAlign w:val="center"/>
          </w:tcPr>
          <w:p w14:paraId="4B362ED0">
            <w:pPr>
              <w:spacing w:line="360" w:lineRule="exact"/>
              <w:rPr>
                <w:rFonts w:hint="eastAsia" w:asciiTheme="minorEastAsia" w:hAnsiTheme="minorEastAsia" w:eastAsiaTheme="minorEastAsia" w:cstheme="minorEastAsia"/>
                <w:b/>
                <w:bCs/>
                <w:color w:val="auto"/>
                <w:kern w:val="0"/>
                <w:sz w:val="24"/>
                <w:szCs w:val="24"/>
                <w:lang w:eastAsia="zh-CN"/>
              </w:rPr>
            </w:pPr>
            <w:r>
              <w:rPr>
                <w:rFonts w:hint="eastAsia" w:asciiTheme="minorEastAsia" w:hAnsiTheme="minorEastAsia" w:eastAsiaTheme="minorEastAsia" w:cstheme="minorEastAsia"/>
                <w:b/>
                <w:bCs/>
                <w:color w:val="auto"/>
                <w:kern w:val="0"/>
                <w:sz w:val="24"/>
                <w:szCs w:val="24"/>
                <w:lang w:val="en-US" w:eastAsia="zh-CN"/>
              </w:rPr>
              <w:t>其他未列明行业</w:t>
            </w:r>
          </w:p>
        </w:tc>
      </w:tr>
      <w:tr w14:paraId="1886B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0" w:type="dxa"/>
            <w:tcBorders>
              <w:top w:val="single" w:color="auto" w:sz="4" w:space="0"/>
            </w:tcBorders>
            <w:vAlign w:val="center"/>
          </w:tcPr>
          <w:p w14:paraId="7CB4E500">
            <w:pPr>
              <w:autoSpaceDE w:val="0"/>
              <w:autoSpaceDN w:val="0"/>
              <w:spacing w:line="320" w:lineRule="exact"/>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9.7</w:t>
            </w:r>
          </w:p>
        </w:tc>
        <w:tc>
          <w:tcPr>
            <w:tcW w:w="8854" w:type="dxa"/>
            <w:gridSpan w:val="2"/>
            <w:tcBorders>
              <w:top w:val="single" w:color="auto" w:sz="4" w:space="0"/>
            </w:tcBorders>
            <w:vAlign w:val="center"/>
          </w:tcPr>
          <w:p w14:paraId="68770E98">
            <w:pPr>
              <w:pStyle w:val="159"/>
              <w:spacing w:before="76" w:line="270" w:lineRule="auto"/>
              <w:ind w:left="11" w:hanging="1"/>
              <w:jc w:val="both"/>
              <w:rPr>
                <w:rFonts w:hint="eastAsia" w:asciiTheme="minorEastAsia" w:hAnsiTheme="minorEastAsia" w:eastAsiaTheme="minorEastAsia" w:cstheme="minorEastAsia"/>
                <w:color w:val="auto"/>
                <w:spacing w:val="5"/>
                <w:sz w:val="24"/>
                <w:szCs w:val="24"/>
                <w:lang w:val="en-US" w:eastAsia="zh-CN"/>
              </w:rPr>
            </w:pPr>
            <w:r>
              <w:rPr>
                <w:rFonts w:hint="eastAsia" w:asciiTheme="minorEastAsia" w:hAnsiTheme="minorEastAsia" w:eastAsiaTheme="minorEastAsia" w:cstheme="minorEastAsia"/>
                <w:color w:val="auto"/>
                <w:spacing w:val="5"/>
                <w:sz w:val="24"/>
                <w:szCs w:val="24"/>
                <w:lang w:val="en-US" w:eastAsia="zh-CN"/>
              </w:rPr>
              <w:t>签订合同后，人员进场，拨付合同价的10%，剩余资金根据年度任务完成情况和验收结果按比例进行拨付。</w:t>
            </w:r>
          </w:p>
        </w:tc>
      </w:tr>
      <w:tr w14:paraId="03875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2" w:hRule="atLeast"/>
          <w:jc w:val="center"/>
        </w:trPr>
        <w:tc>
          <w:tcPr>
            <w:tcW w:w="1000" w:type="dxa"/>
            <w:tcBorders>
              <w:top w:val="single" w:color="auto" w:sz="4" w:space="0"/>
            </w:tcBorders>
            <w:vAlign w:val="center"/>
          </w:tcPr>
          <w:p w14:paraId="55BA0D6D">
            <w:pPr>
              <w:autoSpaceDE w:val="0"/>
              <w:autoSpaceDN w:val="0"/>
              <w:spacing w:line="320" w:lineRule="exact"/>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9.8</w:t>
            </w:r>
          </w:p>
        </w:tc>
        <w:tc>
          <w:tcPr>
            <w:tcW w:w="8854" w:type="dxa"/>
            <w:gridSpan w:val="2"/>
            <w:tcBorders>
              <w:top w:val="single" w:color="auto" w:sz="4" w:space="0"/>
            </w:tcBorders>
            <w:vAlign w:val="center"/>
          </w:tcPr>
          <w:p w14:paraId="51E40B0B">
            <w:pPr>
              <w:pStyle w:val="159"/>
              <w:spacing w:before="76" w:line="270" w:lineRule="auto"/>
              <w:ind w:left="11" w:hanging="1"/>
              <w:jc w:val="both"/>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rPr>
              <w:t>合同在线签订，</w:t>
            </w:r>
            <w:r>
              <w:rPr>
                <w:rFonts w:hint="eastAsia" w:asciiTheme="minorEastAsia" w:hAnsiTheme="minorEastAsia" w:eastAsiaTheme="minorEastAsia" w:cstheme="minorEastAsia"/>
                <w:spacing w:val="5"/>
                <w:sz w:val="24"/>
                <w:szCs w:val="24"/>
                <w:lang w:eastAsia="zh-CN"/>
              </w:rPr>
              <w:t>采购人</w:t>
            </w:r>
            <w:r>
              <w:rPr>
                <w:rFonts w:hint="eastAsia" w:asciiTheme="minorEastAsia" w:hAnsiTheme="minorEastAsia" w:eastAsiaTheme="minorEastAsia" w:cstheme="minorEastAsia"/>
                <w:spacing w:val="5"/>
                <w:sz w:val="24"/>
                <w:szCs w:val="24"/>
              </w:rPr>
              <w:t>（采购人）与中标人（供应商）利用平顶山公共资源交易平台“合同在线签订模块”，将电子合同推送至对方进行审核，经双方确认均无异议通过后，进行在线签章，完成合同签订并公示。</w:t>
            </w:r>
          </w:p>
        </w:tc>
      </w:tr>
      <w:tr w14:paraId="23791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2" w:hRule="atLeast"/>
          <w:jc w:val="center"/>
        </w:trPr>
        <w:tc>
          <w:tcPr>
            <w:tcW w:w="1000" w:type="dxa"/>
            <w:tcBorders>
              <w:top w:val="single" w:color="auto" w:sz="4" w:space="0"/>
            </w:tcBorders>
            <w:vAlign w:val="center"/>
          </w:tcPr>
          <w:p w14:paraId="05FDD26B">
            <w:pPr>
              <w:autoSpaceDE w:val="0"/>
              <w:autoSpaceDN w:val="0"/>
              <w:spacing w:line="320" w:lineRule="exact"/>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10.1</w:t>
            </w:r>
          </w:p>
        </w:tc>
        <w:tc>
          <w:tcPr>
            <w:tcW w:w="2790" w:type="dxa"/>
            <w:tcBorders>
              <w:top w:val="single" w:color="auto" w:sz="4" w:space="0"/>
            </w:tcBorders>
            <w:vAlign w:val="center"/>
          </w:tcPr>
          <w:p w14:paraId="753B2BEC">
            <w:pPr>
              <w:spacing w:line="336" w:lineRule="auto"/>
              <w:jc w:val="center"/>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sz w:val="24"/>
                <w:szCs w:val="24"/>
              </w:rPr>
              <w:t>政采领域优化营商环境相关政策</w:t>
            </w:r>
          </w:p>
        </w:tc>
        <w:tc>
          <w:tcPr>
            <w:tcW w:w="6064" w:type="dxa"/>
            <w:tcBorders>
              <w:top w:val="single" w:color="auto" w:sz="4" w:space="0"/>
            </w:tcBorders>
            <w:vAlign w:val="top"/>
          </w:tcPr>
          <w:p w14:paraId="1967A9CC">
            <w:pPr>
              <w:pStyle w:val="159"/>
              <w:spacing w:before="1" w:line="22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lang w:val="en-US" w:eastAsia="zh-CN"/>
              </w:rPr>
              <w:t>一</w:t>
            </w:r>
            <w:r>
              <w:rPr>
                <w:rFonts w:hint="eastAsia" w:asciiTheme="minorEastAsia" w:hAnsiTheme="minorEastAsia" w:eastAsiaTheme="minorEastAsia" w:cstheme="minorEastAsia"/>
                <w:b/>
                <w:bCs/>
                <w:spacing w:val="8"/>
                <w:sz w:val="24"/>
                <w:szCs w:val="24"/>
              </w:rPr>
              <w:t>、保障市场主体自由平等参与政府采购活动</w:t>
            </w:r>
          </w:p>
          <w:p w14:paraId="6616A938">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本文件严格落实《中华人民共和国政府采购法》等相关法律法规的要求，依法保障各类市场主体平等参与政府采购活动的权利。在开展采购活动时无下列情形：</w:t>
            </w:r>
          </w:p>
          <w:p w14:paraId="1808DFAE">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eastAsia="zh-CN"/>
              </w:rPr>
              <w:t>（</w:t>
            </w:r>
            <w:r>
              <w:rPr>
                <w:rFonts w:hint="eastAsia" w:asciiTheme="minorEastAsia" w:hAnsiTheme="minorEastAsia" w:eastAsiaTheme="minorEastAsia" w:cstheme="minorEastAsia"/>
                <w:spacing w:val="5"/>
                <w:sz w:val="24"/>
                <w:szCs w:val="24"/>
                <w:lang w:val="en-US" w:eastAsia="zh-CN"/>
              </w:rPr>
              <w:t>1）</w:t>
            </w:r>
            <w:r>
              <w:rPr>
                <w:rFonts w:hint="eastAsia" w:asciiTheme="minorEastAsia" w:hAnsiTheme="minorEastAsia" w:eastAsiaTheme="minorEastAsia" w:cstheme="minorEastAsia"/>
                <w:spacing w:val="5"/>
                <w:sz w:val="24"/>
                <w:szCs w:val="24"/>
              </w:rPr>
              <w:t>以供应商的所有制形式、组织形式或者股权结构，对供应商实施差别待遇或者歧视待遇，对民营企业设置不平等条款，对内资企业和外资企业在中国境内生产的产品、提供的服务区别对待；</w:t>
            </w:r>
          </w:p>
          <w:p w14:paraId="7F6224C8">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（2）通过入围方式设置备选库、名录库、资格库作为参与政府采购活动的资格条件，妨碍供应商进入政府采购市场；</w:t>
            </w:r>
          </w:p>
          <w:p w14:paraId="62504B52">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（3）要求供应商在政府采购活动前进行不必要的登记、注册，或者要求设立分支机构，设置或者变相设置进入政府采购市场的障碍；</w:t>
            </w:r>
          </w:p>
          <w:p w14:paraId="58809362">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（4）设置或者变相设置供应商规模、成立年限等门槛，限制供应商参与政府采购活动；</w:t>
            </w:r>
          </w:p>
          <w:p w14:paraId="2D46525C">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（5）要求供应商购买指定软件，作为参加电子化政府采购活动的条件；</w:t>
            </w:r>
          </w:p>
          <w:p w14:paraId="7D49ED93">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（6）不依法及时、有效、完整发布或者提供采购项目信息，妨碍供应商参与政府采购活动；</w:t>
            </w:r>
          </w:p>
          <w:p w14:paraId="75AB3E33">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（7）设置没有法律法规依据的审批、备案、监管、处罚、收费等事项；</w:t>
            </w:r>
          </w:p>
          <w:p w14:paraId="5945D4E0">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（8）违反法律法规相关规定的其他妨碍公平竞争的情形。</w:t>
            </w:r>
          </w:p>
          <w:p w14:paraId="10AC7C46">
            <w:pPr>
              <w:pStyle w:val="159"/>
              <w:spacing w:before="192" w:line="228" w:lineRule="auto"/>
              <w:ind w:left="1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lang w:val="en-US" w:eastAsia="zh-CN"/>
              </w:rPr>
              <w:t>二</w:t>
            </w:r>
            <w:r>
              <w:rPr>
                <w:rFonts w:hint="eastAsia" w:asciiTheme="minorEastAsia" w:hAnsiTheme="minorEastAsia" w:eastAsiaTheme="minorEastAsia" w:cstheme="minorEastAsia"/>
                <w:b/>
                <w:bCs/>
                <w:spacing w:val="7"/>
                <w:sz w:val="24"/>
                <w:szCs w:val="24"/>
              </w:rPr>
              <w:t>、落实预留采购份额</w:t>
            </w:r>
          </w:p>
          <w:p w14:paraId="3D859E89">
            <w:pPr>
              <w:pStyle w:val="159"/>
              <w:spacing w:before="76" w:line="270" w:lineRule="auto"/>
              <w:ind w:left="11"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招标人应当按照财政部、工信部印发的《政府采购促进中小企业发展管理办法》的通知精神（财库〔2020〕46号）组织评估本部门及 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万元的工程采购项目中适宜由中小企业提供的，预留该部分采购项目预算总额的 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招标人在坚持公开公正、公平竞争原则和统一质量标准的前提下，2022年下半年面向中小企业的预留份额由30%以上阶段性提高至40%以上，其中预留给小微企业的比例不低于60%。</w:t>
            </w:r>
          </w:p>
          <w:p w14:paraId="1C74A55D">
            <w:pPr>
              <w:pStyle w:val="159"/>
              <w:spacing w:before="192" w:line="227" w:lineRule="auto"/>
              <w:ind w:left="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lang w:val="en-US" w:eastAsia="zh-CN"/>
              </w:rPr>
              <w:t>三</w:t>
            </w:r>
            <w:r>
              <w:rPr>
                <w:rFonts w:hint="eastAsia" w:asciiTheme="minorEastAsia" w:hAnsiTheme="minorEastAsia" w:eastAsiaTheme="minorEastAsia" w:cstheme="minorEastAsia"/>
                <w:b/>
                <w:bCs/>
                <w:spacing w:val="6"/>
                <w:sz w:val="24"/>
                <w:szCs w:val="24"/>
              </w:rPr>
              <w:t>、落实价格评审优惠政策</w:t>
            </w:r>
          </w:p>
          <w:p w14:paraId="04D8028A">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对于未预留份额专门面向中小企业采购的采购项目，以及预留份额项目中的非预留部分采购包，招标人、招标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 1% —2%）的价格扣除优惠，用扣除后的价格参加评审。按照平顶山市财政局出台的《平顶山市财政局关于进一步加大政府采购支持中小企业力度的通知》（平财购〔2022〕8号）的规定：招标人在货物和服务采购项目中，对于经主管预算单位统筹后未预留份额专门面向中小企业的采购项目，以及预留份额项目中的非预留部分采购包，给予小微企业 10% —20%的价格扣除优惠。大中型企业与小微企业组成联合体或者大中型企业向小微企业分包的（联合协议或者分包意向协议约定小微企业的合同份额应占合同总金额的30%以上），给予联合体或大中型企业4%—6% 的价格扣除优惠，用扣除后的价格参加评审。鼓励招标人结合采购标的 相关行业平均利润率、市场竞争状况等从高选择价格扣除比例和评审优 惠幅度，支持中小企业发展。上述政策应当在评审办法中注明确定值。</w:t>
            </w:r>
          </w:p>
          <w:p w14:paraId="04D00B71">
            <w:pPr>
              <w:pStyle w:val="159"/>
              <w:spacing w:before="1" w:line="405" w:lineRule="auto"/>
              <w:ind w:right="1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注：</w:t>
            </w:r>
            <w:r>
              <w:rPr>
                <w:rFonts w:hint="eastAsia" w:asciiTheme="minorEastAsia" w:hAnsiTheme="minorEastAsia" w:eastAsiaTheme="minorEastAsia" w:cstheme="minorEastAsia"/>
                <w:b/>
                <w:bCs/>
                <w:color w:val="000000"/>
                <w:kern w:val="2"/>
                <w:sz w:val="24"/>
                <w:szCs w:val="24"/>
                <w:highlight w:val="none"/>
                <w:lang w:val="en-US" w:eastAsia="zh-CN" w:bidi="ar-SA"/>
              </w:rPr>
              <w:t>本项目属于专门面向中小企业采购的项目，不再执行价格评审优惠</w:t>
            </w:r>
            <w:r>
              <w:rPr>
                <w:rFonts w:hint="eastAsia" w:asciiTheme="minorEastAsia" w:hAnsiTheme="minorEastAsia" w:eastAsiaTheme="minorEastAsia" w:cstheme="minorEastAsia"/>
                <w:b/>
                <w:bCs/>
                <w:spacing w:val="2"/>
                <w:sz w:val="24"/>
                <w:szCs w:val="24"/>
              </w:rPr>
              <w:t>。</w:t>
            </w:r>
          </w:p>
          <w:p w14:paraId="10BA1FD2">
            <w:pPr>
              <w:pStyle w:val="159"/>
              <w:spacing w:before="1" w:line="228"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lang w:val="en-US" w:eastAsia="zh-CN"/>
              </w:rPr>
              <w:t>四</w:t>
            </w:r>
            <w:r>
              <w:rPr>
                <w:rFonts w:hint="eastAsia" w:asciiTheme="minorEastAsia" w:hAnsiTheme="minorEastAsia" w:eastAsiaTheme="minorEastAsia" w:cstheme="minorEastAsia"/>
                <w:b/>
                <w:bCs/>
                <w:spacing w:val="7"/>
                <w:sz w:val="24"/>
                <w:szCs w:val="24"/>
              </w:rPr>
              <w:t>、鼓励实行预付款保函</w:t>
            </w:r>
          </w:p>
          <w:p w14:paraId="632E58F7">
            <w:pPr>
              <w:pStyle w:val="159"/>
              <w:spacing w:before="76" w:line="270" w:lineRule="auto"/>
              <w:ind w:left="11"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采购人可在政府采购合同履约前向中标成交供应商预付一部分合同资金，进一步缓解中标成交供应商运营压力和交易成本。预付款原则上不超过合同金额的30%，采购人向供应商支付预付款的，可要求供应商提交预付款保函。预付款比例、保函提交要求等要在采购文件和合同中约定。</w:t>
            </w:r>
          </w:p>
          <w:p w14:paraId="2746EEF4">
            <w:pPr>
              <w:pStyle w:val="159"/>
              <w:spacing w:before="1" w:line="227" w:lineRule="auto"/>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lang w:val="en-US" w:eastAsia="zh-CN"/>
              </w:rPr>
              <w:t>五</w:t>
            </w:r>
            <w:r>
              <w:rPr>
                <w:rFonts w:hint="eastAsia" w:asciiTheme="minorEastAsia" w:hAnsiTheme="minorEastAsia" w:eastAsiaTheme="minorEastAsia" w:cstheme="minorEastAsia"/>
                <w:b/>
                <w:bCs/>
                <w:spacing w:val="7"/>
                <w:sz w:val="24"/>
                <w:szCs w:val="24"/>
              </w:rPr>
              <w:t>、推广政府采购合同融资</w:t>
            </w:r>
          </w:p>
          <w:p w14:paraId="2011D521">
            <w:pPr>
              <w:pStyle w:val="159"/>
              <w:spacing w:before="178" w:line="405" w:lineRule="auto"/>
              <w:ind w:left="115" w:right="37" w:hanging="5"/>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7"/>
                <w:sz w:val="24"/>
                <w:szCs w:val="24"/>
              </w:rPr>
              <w:t>要</w:t>
            </w:r>
            <w:r>
              <w:rPr>
                <w:rFonts w:hint="eastAsia" w:asciiTheme="minorEastAsia" w:hAnsiTheme="minorEastAsia" w:eastAsiaTheme="minorEastAsia" w:cstheme="minorEastAsia"/>
                <w:spacing w:val="5"/>
                <w:sz w:val="24"/>
                <w:szCs w:val="24"/>
              </w:rPr>
              <w:t>求采购人和代理机构将“政府采购合同融资告知函”写入招标文件，鼓励中标供应商凭借采购合同申请贷款，助力解决中小企业融资难、融资贵的问题。（“政府采购合同融资告知函”详见本采购文件附件）</w:t>
            </w:r>
          </w:p>
          <w:p w14:paraId="4F5017BA">
            <w:pPr>
              <w:pStyle w:val="159"/>
              <w:spacing w:line="227" w:lineRule="auto"/>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lang w:val="en-US" w:eastAsia="zh-CN"/>
              </w:rPr>
              <w:t>六</w:t>
            </w:r>
            <w:r>
              <w:rPr>
                <w:rFonts w:hint="eastAsia" w:asciiTheme="minorEastAsia" w:hAnsiTheme="minorEastAsia" w:eastAsiaTheme="minorEastAsia" w:cstheme="minorEastAsia"/>
                <w:b/>
                <w:bCs/>
                <w:spacing w:val="8"/>
                <w:sz w:val="24"/>
                <w:szCs w:val="24"/>
              </w:rPr>
              <w:t>、维护企业在政府采购活动中的知情权</w:t>
            </w:r>
          </w:p>
          <w:p w14:paraId="01541269">
            <w:pPr>
              <w:pStyle w:val="159"/>
              <w:spacing w:before="178" w:line="405" w:lineRule="auto"/>
              <w:ind w:left="115" w:right="37" w:hanging="5"/>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采用公开招标采购方式的政府采购项目，在公告中标结果的同时，对未通过资格审查的投标人，采购人或者采购代理机构应告知其未通过的原因；采用综合评分法评审的，还应当告知未中标人本人的评审得分与排序。</w:t>
            </w:r>
          </w:p>
          <w:p w14:paraId="43BF2F73">
            <w:pPr>
              <w:pStyle w:val="159"/>
              <w:spacing w:before="1" w:line="227"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lang w:val="en-US" w:eastAsia="zh-CN"/>
              </w:rPr>
              <w:t>七</w:t>
            </w:r>
            <w:r>
              <w:rPr>
                <w:rFonts w:hint="eastAsia" w:asciiTheme="minorEastAsia" w:hAnsiTheme="minorEastAsia" w:eastAsiaTheme="minorEastAsia" w:cstheme="minorEastAsia"/>
                <w:b/>
                <w:bCs/>
                <w:spacing w:val="7"/>
                <w:sz w:val="24"/>
                <w:szCs w:val="24"/>
              </w:rPr>
              <w:t>、提供中小企业声明函格式</w:t>
            </w:r>
          </w:p>
          <w:p w14:paraId="5488A0D3">
            <w:pPr>
              <w:pStyle w:val="159"/>
              <w:spacing w:before="178" w:line="405" w:lineRule="auto"/>
              <w:ind w:left="115" w:right="37" w:hanging="5"/>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在采购文件中，采购代理机构应按照财政部、工信部印发的《政府采购促进中小企业发展管理办法》的通知精神（财库〔2020〕46 号）提供中小企业声明函格式（详见本采购文件附件）。</w:t>
            </w:r>
          </w:p>
          <w:p w14:paraId="1B262BFF">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根据《政府采购促进中小企业发展管理办法》（财库〔2020〕46号）第四条：在政府采购活动中，供应商提供的货物、工程或者服务符合下列情形的，享受本办法规定的中小企业扶持政策：</w:t>
            </w:r>
          </w:p>
          <w:p w14:paraId="5E42A340">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（1）在货物采购项目中，货物由中小企业制造，即货物由中小企业生产且使用该中小企业商号或者注册商标；</w:t>
            </w:r>
          </w:p>
          <w:p w14:paraId="3981FB4E">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（2）在工程采购项目中，工程由中小企业承建，即工程施工单位为中小企业；</w:t>
            </w:r>
          </w:p>
          <w:p w14:paraId="0D415E50">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（3）在服务采购项目中，服务由中小企业承接，即提供服务的人员为中小企业依照《中华人民共和国劳动合同法》订立劳动合同的从业人员。</w:t>
            </w:r>
          </w:p>
          <w:p w14:paraId="5FC97045">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在货物采购项目中，供应商提供的货物既有中小企业制造货物，也有大型企业制造货物的，不享受本办法规定的中小企业扶持政策。</w:t>
            </w:r>
          </w:p>
          <w:p w14:paraId="5DE47CCD">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以联合体形式参加政府采购活动，联合体各方均为中小企业的，联合体视同中小企业。其中，联合体各方均为小微企业的，联合体视同小微企业。</w:t>
            </w:r>
          </w:p>
          <w:p w14:paraId="72DA3646">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 xml:space="preserve">九、电子营业执照应用事项详见《平顶山市公共资源交易中心关于进一步深化电子营业执照在公共资源交易领域应用的通知》（网址：ht </w:t>
            </w:r>
            <w:r>
              <w:rPr>
                <w:rFonts w:hint="eastAsia" w:asciiTheme="minorEastAsia" w:hAnsiTheme="minorEastAsia" w:eastAsiaTheme="minorEastAsia" w:cstheme="minorEastAsia"/>
                <w:spacing w:val="5"/>
                <w:sz w:val="24"/>
                <w:szCs w:val="24"/>
              </w:rPr>
              <w:fldChar w:fldCharType="begin"/>
            </w:r>
            <w:r>
              <w:rPr>
                <w:rFonts w:hint="eastAsia" w:asciiTheme="minorEastAsia" w:hAnsiTheme="minorEastAsia" w:eastAsiaTheme="minorEastAsia" w:cstheme="minorEastAsia"/>
                <w:spacing w:val="5"/>
                <w:sz w:val="24"/>
                <w:szCs w:val="24"/>
              </w:rPr>
              <w:instrText xml:space="preserve"> HYPERLINK "tp://ggzy.pds.gov.cn/tzgg/70301.jhtml" </w:instrText>
            </w:r>
            <w:r>
              <w:rPr>
                <w:rFonts w:hint="eastAsia" w:asciiTheme="minorEastAsia" w:hAnsiTheme="minorEastAsia" w:eastAsiaTheme="minorEastAsia" w:cstheme="minorEastAsia"/>
                <w:spacing w:val="5"/>
                <w:sz w:val="24"/>
                <w:szCs w:val="24"/>
              </w:rPr>
              <w:fldChar w:fldCharType="separate"/>
            </w:r>
            <w:r>
              <w:rPr>
                <w:rFonts w:hint="eastAsia" w:asciiTheme="minorEastAsia" w:hAnsiTheme="minorEastAsia" w:eastAsiaTheme="minorEastAsia" w:cstheme="minorEastAsia"/>
                <w:spacing w:val="5"/>
                <w:sz w:val="24"/>
                <w:szCs w:val="24"/>
              </w:rPr>
              <w:t>tp://ggzy.pds.gov.cn/tzgg/70301.jhtml</w:t>
            </w:r>
            <w:r>
              <w:rPr>
                <w:rFonts w:hint="eastAsia" w:asciiTheme="minorEastAsia" w:hAnsiTheme="minorEastAsia" w:eastAsiaTheme="minorEastAsia" w:cstheme="minorEastAsia"/>
                <w:spacing w:val="5"/>
                <w:sz w:val="24"/>
                <w:szCs w:val="24"/>
              </w:rPr>
              <w:fldChar w:fldCharType="end"/>
            </w:r>
            <w:r>
              <w:rPr>
                <w:rFonts w:hint="eastAsia" w:asciiTheme="minorEastAsia" w:hAnsiTheme="minorEastAsia" w:eastAsiaTheme="minorEastAsia" w:cstheme="minorEastAsia"/>
                <w:spacing w:val="5"/>
                <w:sz w:val="24"/>
                <w:szCs w:val="24"/>
              </w:rPr>
              <w:t>）</w:t>
            </w:r>
          </w:p>
          <w:p w14:paraId="0FAF83F4">
            <w:pPr>
              <w:pStyle w:val="159"/>
              <w:spacing w:before="198" w:line="22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lang w:val="en-US" w:eastAsia="zh-CN"/>
              </w:rPr>
              <w:t>八</w:t>
            </w:r>
            <w:r>
              <w:rPr>
                <w:rFonts w:hint="eastAsia" w:asciiTheme="minorEastAsia" w:hAnsiTheme="minorEastAsia" w:eastAsiaTheme="minorEastAsia" w:cstheme="minorEastAsia"/>
                <w:b/>
                <w:bCs/>
                <w:spacing w:val="7"/>
                <w:sz w:val="24"/>
                <w:szCs w:val="24"/>
              </w:rPr>
              <w:t>、四方信用评价</w:t>
            </w:r>
          </w:p>
          <w:p w14:paraId="5583ECE9">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平顶山市政府采购项目已实行四方信用评价功能，各方主体请登录“平顶山市政府采购网”按照评价要求进行客观公正的评价。</w:t>
            </w:r>
          </w:p>
          <w:p w14:paraId="470E33EE">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1.采购人评价指标</w:t>
            </w:r>
          </w:p>
          <w:p w14:paraId="747CC698">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评价主体:中标、成交供应商。</w:t>
            </w:r>
          </w:p>
          <w:p w14:paraId="7BD22921">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评价节点:合同履约完成后。</w:t>
            </w:r>
          </w:p>
          <w:p w14:paraId="547F668F">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2.对中标、成交供应商评价指标</w:t>
            </w:r>
          </w:p>
          <w:p w14:paraId="37493561">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评价主体为:采购人。</w:t>
            </w:r>
          </w:p>
          <w:p w14:paraId="0C03ED2A">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评价节点:合同履约完成后。</w:t>
            </w:r>
          </w:p>
          <w:p w14:paraId="4ED67B12">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3.评审专家评价指标</w:t>
            </w:r>
          </w:p>
          <w:p w14:paraId="713F4F2C">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评价主体为:采购人、代理机构。</w:t>
            </w:r>
          </w:p>
          <w:p w14:paraId="4B06C556">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评价节点:项目评审结束后。</w:t>
            </w:r>
          </w:p>
          <w:p w14:paraId="55330FF7">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4.代理机构评价指标</w:t>
            </w:r>
          </w:p>
          <w:p w14:paraId="6319D008">
            <w:pPr>
              <w:pStyle w:val="159"/>
              <w:spacing w:before="76" w:line="270" w:lineRule="auto"/>
              <w:ind w:left="11" w:hanging="1"/>
              <w:jc w:val="both"/>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评价主体为:采购人、评审专家、供应商。</w:t>
            </w:r>
          </w:p>
          <w:p w14:paraId="68725177">
            <w:pPr>
              <w:pStyle w:val="159"/>
              <w:spacing w:before="76" w:line="270" w:lineRule="auto"/>
              <w:ind w:left="11" w:leftChars="0" w:hanging="1" w:firstLineChars="0"/>
              <w:jc w:val="both"/>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spacing w:val="5"/>
                <w:sz w:val="24"/>
                <w:szCs w:val="24"/>
              </w:rPr>
              <w:t>评价节点:项目评审结束后。</w:t>
            </w:r>
          </w:p>
        </w:tc>
      </w:tr>
    </w:tbl>
    <w:p w14:paraId="41F68305">
      <w:pPr>
        <w:pStyle w:val="3"/>
        <w:spacing w:before="0" w:after="0" w:line="400" w:lineRule="exact"/>
        <w:rPr>
          <w:rFonts w:hint="eastAsia" w:asciiTheme="minorEastAsia" w:hAnsiTheme="minorEastAsia" w:eastAsiaTheme="minorEastAsia" w:cstheme="minorEastAsia"/>
          <w:sz w:val="24"/>
          <w:szCs w:val="24"/>
        </w:rPr>
      </w:pPr>
      <w:bookmarkStart w:id="27" w:name="_Toc5742"/>
      <w:r>
        <w:rPr>
          <w:rFonts w:hint="eastAsia" w:asciiTheme="minorEastAsia" w:hAnsiTheme="minorEastAsia" w:eastAsiaTheme="minorEastAsia" w:cstheme="minorEastAsia"/>
          <w:sz w:val="24"/>
          <w:szCs w:val="24"/>
        </w:rPr>
        <w:t>1. 总则</w:t>
      </w:r>
      <w:bookmarkEnd w:id="22"/>
      <w:bookmarkEnd w:id="23"/>
      <w:bookmarkEnd w:id="24"/>
      <w:bookmarkEnd w:id="25"/>
      <w:bookmarkEnd w:id="26"/>
      <w:bookmarkEnd w:id="27"/>
    </w:p>
    <w:p w14:paraId="004471DA">
      <w:pPr>
        <w:pStyle w:val="4"/>
        <w:spacing w:before="0" w:after="0" w:line="400" w:lineRule="exact"/>
        <w:rPr>
          <w:rFonts w:hint="eastAsia" w:asciiTheme="minorEastAsia" w:hAnsiTheme="minorEastAsia" w:eastAsiaTheme="minorEastAsia" w:cstheme="minorEastAsia"/>
          <w:sz w:val="24"/>
          <w:szCs w:val="24"/>
        </w:rPr>
      </w:pPr>
      <w:bookmarkStart w:id="28" w:name="_Toc152042306"/>
      <w:bookmarkStart w:id="29" w:name="_Toc144974498"/>
      <w:bookmarkStart w:id="30" w:name="_Toc152045530"/>
      <w:bookmarkStart w:id="31" w:name="_Toc3024"/>
      <w:bookmarkStart w:id="32" w:name="_Toc247513953"/>
      <w:bookmarkStart w:id="33" w:name="_Toc247527554"/>
      <w:r>
        <w:rPr>
          <w:rFonts w:hint="eastAsia" w:asciiTheme="minorEastAsia" w:hAnsiTheme="minorEastAsia" w:eastAsiaTheme="minorEastAsia" w:cstheme="minorEastAsia"/>
          <w:sz w:val="24"/>
          <w:szCs w:val="24"/>
        </w:rPr>
        <w:t>1.1 项目概况</w:t>
      </w:r>
      <w:bookmarkEnd w:id="28"/>
      <w:bookmarkEnd w:id="29"/>
      <w:bookmarkEnd w:id="30"/>
      <w:bookmarkEnd w:id="31"/>
      <w:bookmarkEnd w:id="32"/>
      <w:bookmarkEnd w:id="33"/>
    </w:p>
    <w:p w14:paraId="66B3E685">
      <w:pPr>
        <w:spacing w:line="400" w:lineRule="exact"/>
        <w:ind w:firstLine="470" w:firstLineChars="1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1.1.1项目名称：</w:t>
      </w:r>
      <w:r>
        <w:rPr>
          <w:rFonts w:hint="eastAsia" w:asciiTheme="minorEastAsia" w:hAnsiTheme="minorEastAsia" w:eastAsiaTheme="minorEastAsia" w:cstheme="minorEastAsia"/>
          <w:sz w:val="24"/>
          <w:szCs w:val="24"/>
        </w:rPr>
        <w:t>见投标人须知前附表；</w:t>
      </w:r>
    </w:p>
    <w:p w14:paraId="42E8E65D">
      <w:pPr>
        <w:spacing w:line="400" w:lineRule="exact"/>
        <w:ind w:firstLine="470" w:firstLineChars="1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1.1.2招标人：见投标人须知前附表。</w:t>
      </w:r>
    </w:p>
    <w:p w14:paraId="10A75618">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1.1.3招标代理机构：见投标人须知前附表。</w:t>
      </w:r>
    </w:p>
    <w:p w14:paraId="15CBDED5">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1.1.4项目建设地点：见投标人须知前附表</w:t>
      </w:r>
    </w:p>
    <w:p w14:paraId="2C07325A">
      <w:pPr>
        <w:pStyle w:val="4"/>
        <w:spacing w:before="0" w:after="0" w:line="400" w:lineRule="exact"/>
        <w:rPr>
          <w:rFonts w:hint="eastAsia" w:asciiTheme="minorEastAsia" w:hAnsiTheme="minorEastAsia" w:eastAsiaTheme="minorEastAsia" w:cstheme="minorEastAsia"/>
          <w:sz w:val="24"/>
          <w:szCs w:val="24"/>
        </w:rPr>
      </w:pPr>
      <w:bookmarkStart w:id="34" w:name="_Toc152042307"/>
      <w:bookmarkStart w:id="35" w:name="_Toc144974499"/>
      <w:bookmarkStart w:id="36" w:name="_Toc247527555"/>
      <w:bookmarkStart w:id="37" w:name="_Toc247513954"/>
      <w:bookmarkStart w:id="38" w:name="_Toc7436"/>
      <w:bookmarkStart w:id="39" w:name="_Toc152045531"/>
      <w:r>
        <w:rPr>
          <w:rFonts w:hint="eastAsia" w:asciiTheme="minorEastAsia" w:hAnsiTheme="minorEastAsia" w:eastAsiaTheme="minorEastAsia" w:cstheme="minorEastAsia"/>
          <w:sz w:val="24"/>
          <w:szCs w:val="24"/>
        </w:rPr>
        <w:t>1.2 项目的资金来源和落实情况</w:t>
      </w:r>
      <w:bookmarkEnd w:id="34"/>
      <w:bookmarkEnd w:id="35"/>
      <w:bookmarkEnd w:id="36"/>
      <w:bookmarkEnd w:id="37"/>
      <w:bookmarkEnd w:id="38"/>
      <w:bookmarkEnd w:id="39"/>
    </w:p>
    <w:p w14:paraId="70338E5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1.2.1资金来源：见投标人须知前附表。</w:t>
      </w:r>
    </w:p>
    <w:p w14:paraId="4E582C21">
      <w:pPr>
        <w:pStyle w:val="4"/>
        <w:spacing w:before="0" w:after="0" w:line="400" w:lineRule="exact"/>
        <w:rPr>
          <w:rFonts w:hint="eastAsia" w:asciiTheme="minorEastAsia" w:hAnsiTheme="minorEastAsia" w:eastAsiaTheme="minorEastAsia" w:cstheme="minorEastAsia"/>
          <w:sz w:val="24"/>
          <w:szCs w:val="24"/>
          <w:lang w:val="en-US" w:eastAsia="zh-CN"/>
        </w:rPr>
      </w:pPr>
      <w:bookmarkStart w:id="40" w:name="_Toc247513955"/>
      <w:bookmarkStart w:id="41" w:name="_Toc152042308"/>
      <w:bookmarkStart w:id="42" w:name="_Toc152045532"/>
      <w:bookmarkStart w:id="43" w:name="_Toc247527556"/>
      <w:bookmarkStart w:id="44" w:name="_Toc17505"/>
      <w:bookmarkStart w:id="45" w:name="_Toc144974500"/>
      <w:r>
        <w:rPr>
          <w:rFonts w:hint="eastAsia" w:asciiTheme="minorEastAsia" w:hAnsiTheme="minorEastAsia" w:eastAsiaTheme="minorEastAsia" w:cstheme="minorEastAsia"/>
          <w:sz w:val="24"/>
          <w:szCs w:val="24"/>
        </w:rPr>
        <w:t>1.3 招标范围、</w:t>
      </w:r>
      <w:r>
        <w:rPr>
          <w:rFonts w:hint="eastAsia" w:asciiTheme="minorEastAsia" w:hAnsiTheme="minorEastAsia" w:eastAsiaTheme="minorEastAsia" w:cstheme="minorEastAsia"/>
          <w:sz w:val="24"/>
          <w:szCs w:val="24"/>
          <w:lang w:val="en-US" w:eastAsia="zh-CN"/>
        </w:rPr>
        <w:t>服务期限</w:t>
      </w:r>
      <w:r>
        <w:rPr>
          <w:rFonts w:hint="eastAsia" w:asciiTheme="minorEastAsia" w:hAnsiTheme="minorEastAsia" w:eastAsiaTheme="minorEastAsia" w:cstheme="minorEastAsia"/>
          <w:sz w:val="24"/>
          <w:szCs w:val="24"/>
        </w:rPr>
        <w:t>和</w:t>
      </w:r>
      <w:bookmarkEnd w:id="40"/>
      <w:bookmarkEnd w:id="41"/>
      <w:bookmarkEnd w:id="42"/>
      <w:bookmarkEnd w:id="43"/>
      <w:bookmarkEnd w:id="44"/>
      <w:bookmarkEnd w:id="45"/>
      <w:r>
        <w:rPr>
          <w:rFonts w:hint="eastAsia" w:asciiTheme="minorEastAsia" w:hAnsiTheme="minorEastAsia" w:eastAsiaTheme="minorEastAsia" w:cstheme="minorEastAsia"/>
          <w:sz w:val="24"/>
          <w:szCs w:val="24"/>
          <w:lang w:val="en-US" w:eastAsia="zh-CN"/>
        </w:rPr>
        <w:t>服务要求</w:t>
      </w:r>
    </w:p>
    <w:p w14:paraId="16984A9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1.3.1招标范围：见投标人须知前附表。</w:t>
      </w:r>
    </w:p>
    <w:p w14:paraId="0C0F859C">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1.3.2服务期限：见投标人须知前附表。</w:t>
      </w:r>
    </w:p>
    <w:p w14:paraId="43508F4D">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1.3.3 </w:t>
      </w:r>
      <w:r>
        <w:rPr>
          <w:rFonts w:hint="eastAsia" w:asciiTheme="minorEastAsia" w:hAnsiTheme="minorEastAsia" w:eastAsiaTheme="minorEastAsia" w:cstheme="minorEastAsia"/>
          <w:sz w:val="24"/>
          <w:szCs w:val="24"/>
          <w:lang w:val="en-US" w:eastAsia="zh-CN"/>
        </w:rPr>
        <w:t>服务</w:t>
      </w:r>
      <w:r>
        <w:rPr>
          <w:rFonts w:hint="eastAsia" w:asciiTheme="minorEastAsia" w:hAnsiTheme="minorEastAsia" w:eastAsiaTheme="minorEastAsia" w:cstheme="minorEastAsia"/>
          <w:sz w:val="24"/>
          <w:szCs w:val="24"/>
        </w:rPr>
        <w:t>要求：见投标人须知前附表。</w:t>
      </w:r>
    </w:p>
    <w:p w14:paraId="40716FF8">
      <w:pPr>
        <w:pStyle w:val="4"/>
        <w:spacing w:before="0" w:after="0" w:line="400" w:lineRule="exact"/>
        <w:rPr>
          <w:rFonts w:hint="eastAsia" w:asciiTheme="minorEastAsia" w:hAnsiTheme="minorEastAsia" w:eastAsiaTheme="minorEastAsia" w:cstheme="minorEastAsia"/>
          <w:sz w:val="24"/>
          <w:szCs w:val="24"/>
        </w:rPr>
      </w:pPr>
      <w:bookmarkStart w:id="46" w:name="_Toc144974502"/>
      <w:bookmarkStart w:id="47" w:name="_Toc152045534"/>
      <w:bookmarkStart w:id="48" w:name="_Toc247527558"/>
      <w:bookmarkStart w:id="49" w:name="_Toc152042310"/>
      <w:bookmarkStart w:id="50" w:name="_Toc247513957"/>
      <w:bookmarkStart w:id="51" w:name="_Toc28595"/>
      <w:r>
        <w:rPr>
          <w:rFonts w:hint="eastAsia" w:asciiTheme="minorEastAsia" w:hAnsiTheme="minorEastAsia" w:eastAsiaTheme="minorEastAsia" w:cstheme="minorEastAsia"/>
          <w:sz w:val="24"/>
          <w:szCs w:val="24"/>
        </w:rPr>
        <w:t>1.4 投标人资格要求</w:t>
      </w:r>
      <w:bookmarkEnd w:id="46"/>
      <w:bookmarkEnd w:id="47"/>
      <w:bookmarkEnd w:id="48"/>
      <w:bookmarkEnd w:id="49"/>
      <w:bookmarkEnd w:id="50"/>
      <w:bookmarkEnd w:id="51"/>
    </w:p>
    <w:p w14:paraId="36CEDCB2">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1.4.1投标人应具备承担本招标项目能力和信誉：见投标人须知前附表。</w:t>
      </w:r>
    </w:p>
    <w:p w14:paraId="1027D7E5">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1.4.2不接受联合体投标。</w:t>
      </w:r>
    </w:p>
    <w:p w14:paraId="541B8D73">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1.4.3投标人不得存在下列情形之一：</w:t>
      </w:r>
    </w:p>
    <w:p w14:paraId="0155A485">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（1）为招标人不具有独立法人资格的附属机构（单位）； </w:t>
      </w:r>
    </w:p>
    <w:p w14:paraId="4BB006B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（2）为招标项目前期工作提供咨询服务的；</w:t>
      </w:r>
    </w:p>
    <w:p w14:paraId="26C4BC35">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（3）为本招标项目的代建人； </w:t>
      </w:r>
    </w:p>
    <w:p w14:paraId="388F8E05">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（4）为本招标项目提供招标代理服务的； </w:t>
      </w:r>
    </w:p>
    <w:p w14:paraId="02450BB6">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（5）被责令停业的； </w:t>
      </w:r>
    </w:p>
    <w:p w14:paraId="4BF76FB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（6）被暂停或取消投标资格的； </w:t>
      </w:r>
    </w:p>
    <w:p w14:paraId="26924394">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（7）财产被接管或冻结的；</w:t>
      </w:r>
    </w:p>
    <w:p w14:paraId="35E2D7F6">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（8）在最近三年内有骗取中标或严重违约或重大工程质量问题的；</w:t>
      </w:r>
    </w:p>
    <w:p w14:paraId="54605952">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（9）与本招标项目的代建人或招标代理机构同为一个法定代表人的；</w:t>
      </w:r>
    </w:p>
    <w:p w14:paraId="4B8A1411">
      <w:pPr>
        <w:spacing w:line="40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（10）与本招标项目的代建人或招标代理机构相互控股或参股的；</w:t>
      </w:r>
    </w:p>
    <w:p w14:paraId="1C3E6350">
      <w:pPr>
        <w:spacing w:line="40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（11）与本招标项目的代建人或招标代理机构相互任职或工作的。</w:t>
      </w:r>
    </w:p>
    <w:p w14:paraId="05F655D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1.4.4单位负责人为同一人或者存在控股、管理关系的不同单位，不得同时参加本招标项目投标。</w:t>
      </w:r>
    </w:p>
    <w:p w14:paraId="33A79495">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1.4.5参与同一个标段（包）的投标人存在下列情形之一的，其投标（响应）文件无效：</w:t>
      </w:r>
    </w:p>
    <w:p w14:paraId="5F62705C">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（1）不同投标人的电子投标（响应）文件上传计算机的网卡MAC地址、CPU序列号和硬盘序列号等硬件信息相同的；</w:t>
      </w:r>
    </w:p>
    <w:p w14:paraId="4FFA1FB8">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(2)不同投标人的投标（响应）文件由同一设备编制、打印加密上传；</w:t>
      </w:r>
    </w:p>
    <w:p w14:paraId="6B537DF3">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(3)不同投标人的投标（响应）文件由同一设备打印、复印；</w:t>
      </w:r>
    </w:p>
    <w:p w14:paraId="0670873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(4)不同投标人的投标（响应）文件由同一人送达或分发，或者不同投标人联系人为同一人或不同联系人的联系电话一致的；</w:t>
      </w:r>
    </w:p>
    <w:p w14:paraId="40B939F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(5)不同投标人的投标（响应）文件的内容存在两处以上细节错误一致的；</w:t>
      </w:r>
    </w:p>
    <w:p w14:paraId="4B58CD4D">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(6)不同投标人的法定代表人、委托代理人、项目经理、项目负责人等由同一单位缴纳社会保险或者领取报酬的；</w:t>
      </w:r>
    </w:p>
    <w:p w14:paraId="52256044">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(7)不同投标人的投标（响应）文件中法定代表人或者负责人签字出自同一人之手；</w:t>
      </w:r>
    </w:p>
    <w:p w14:paraId="68F00BBD">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(8)其他涉嫌串标的情形。</w:t>
      </w:r>
    </w:p>
    <w:p w14:paraId="5ABB79C6">
      <w:pPr>
        <w:pStyle w:val="4"/>
        <w:spacing w:before="0" w:after="0" w:line="400" w:lineRule="exact"/>
        <w:rPr>
          <w:rFonts w:hint="eastAsia" w:asciiTheme="minorEastAsia" w:hAnsiTheme="minorEastAsia" w:eastAsiaTheme="minorEastAsia" w:cstheme="minorEastAsia"/>
          <w:sz w:val="24"/>
          <w:szCs w:val="24"/>
        </w:rPr>
      </w:pPr>
      <w:bookmarkStart w:id="52" w:name="_Toc152042311"/>
      <w:bookmarkStart w:id="53" w:name="_Toc247513958"/>
      <w:bookmarkStart w:id="54" w:name="_Toc152045535"/>
      <w:bookmarkStart w:id="55" w:name="_Toc12918"/>
      <w:bookmarkStart w:id="56" w:name="_Toc247527559"/>
      <w:bookmarkStart w:id="57" w:name="_Toc144974503"/>
      <w:r>
        <w:rPr>
          <w:rFonts w:hint="eastAsia" w:asciiTheme="minorEastAsia" w:hAnsiTheme="minorEastAsia" w:eastAsiaTheme="minorEastAsia" w:cstheme="minorEastAsia"/>
          <w:sz w:val="24"/>
          <w:szCs w:val="24"/>
        </w:rPr>
        <w:t>1.5 费用承担</w:t>
      </w:r>
      <w:bookmarkEnd w:id="52"/>
      <w:bookmarkEnd w:id="53"/>
      <w:bookmarkEnd w:id="54"/>
      <w:bookmarkEnd w:id="55"/>
      <w:bookmarkEnd w:id="56"/>
      <w:bookmarkEnd w:id="57"/>
    </w:p>
    <w:p w14:paraId="2151D0C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 投标人准备和参加投标活动发生的费用自理。</w:t>
      </w:r>
    </w:p>
    <w:p w14:paraId="0B8DD6BF">
      <w:pPr>
        <w:pStyle w:val="4"/>
        <w:spacing w:before="0" w:after="0" w:line="400" w:lineRule="exact"/>
        <w:rPr>
          <w:rFonts w:hint="eastAsia" w:asciiTheme="minorEastAsia" w:hAnsiTheme="minorEastAsia" w:eastAsiaTheme="minorEastAsia" w:cstheme="minorEastAsia"/>
          <w:sz w:val="24"/>
          <w:szCs w:val="24"/>
        </w:rPr>
      </w:pPr>
      <w:bookmarkStart w:id="58" w:name="_Toc152042312"/>
      <w:bookmarkStart w:id="59" w:name="_Toc152045536"/>
      <w:bookmarkStart w:id="60" w:name="_Toc247527560"/>
      <w:bookmarkStart w:id="61" w:name="_Toc247513959"/>
      <w:bookmarkStart w:id="62" w:name="_Toc144974504"/>
      <w:bookmarkStart w:id="63" w:name="_Toc25076"/>
      <w:r>
        <w:rPr>
          <w:rFonts w:hint="eastAsia" w:asciiTheme="minorEastAsia" w:hAnsiTheme="minorEastAsia" w:eastAsiaTheme="minorEastAsia" w:cstheme="minorEastAsia"/>
          <w:sz w:val="24"/>
          <w:szCs w:val="24"/>
        </w:rPr>
        <w:t>1.6 保密</w:t>
      </w:r>
      <w:bookmarkEnd w:id="58"/>
      <w:bookmarkEnd w:id="59"/>
      <w:bookmarkEnd w:id="60"/>
      <w:bookmarkEnd w:id="61"/>
      <w:bookmarkEnd w:id="62"/>
      <w:bookmarkEnd w:id="63"/>
    </w:p>
    <w:p w14:paraId="75B44774">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参与招标投标活动的各方应对招标文件和投标文件中的商业和技术等秘密保密，否则应承担相应的法律责任。</w:t>
      </w:r>
    </w:p>
    <w:p w14:paraId="5F441453">
      <w:pPr>
        <w:pStyle w:val="4"/>
        <w:spacing w:before="0" w:after="0" w:line="400" w:lineRule="exact"/>
        <w:rPr>
          <w:rFonts w:hint="eastAsia" w:asciiTheme="minorEastAsia" w:hAnsiTheme="minorEastAsia" w:eastAsiaTheme="minorEastAsia" w:cstheme="minorEastAsia"/>
          <w:sz w:val="24"/>
          <w:szCs w:val="24"/>
        </w:rPr>
      </w:pPr>
      <w:bookmarkStart w:id="64" w:name="_Toc144974505"/>
      <w:bookmarkStart w:id="65" w:name="_Toc247513960"/>
      <w:bookmarkStart w:id="66" w:name="_Toc23130"/>
      <w:bookmarkStart w:id="67" w:name="_Toc152042313"/>
      <w:bookmarkStart w:id="68" w:name="_Toc247527561"/>
      <w:bookmarkStart w:id="69" w:name="_Toc152045537"/>
      <w:r>
        <w:rPr>
          <w:rFonts w:hint="eastAsia" w:asciiTheme="minorEastAsia" w:hAnsiTheme="minorEastAsia" w:eastAsiaTheme="minorEastAsia" w:cstheme="minorEastAsia"/>
          <w:sz w:val="24"/>
          <w:szCs w:val="24"/>
        </w:rPr>
        <w:t>1.7 语言</w:t>
      </w:r>
      <w:bookmarkEnd w:id="64"/>
      <w:r>
        <w:rPr>
          <w:rFonts w:hint="eastAsia" w:asciiTheme="minorEastAsia" w:hAnsiTheme="minorEastAsia" w:eastAsiaTheme="minorEastAsia" w:cstheme="minorEastAsia"/>
          <w:sz w:val="24"/>
          <w:szCs w:val="24"/>
        </w:rPr>
        <w:t>文字</w:t>
      </w:r>
      <w:bookmarkEnd w:id="65"/>
      <w:bookmarkEnd w:id="66"/>
      <w:bookmarkEnd w:id="67"/>
      <w:bookmarkEnd w:id="68"/>
      <w:bookmarkEnd w:id="69"/>
    </w:p>
    <w:p w14:paraId="164D91AF">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招标投标文件使用的语言文字为中文。专用术语使用外文的，应附有中文注释。</w:t>
      </w:r>
    </w:p>
    <w:p w14:paraId="604949E4">
      <w:pPr>
        <w:pStyle w:val="4"/>
        <w:spacing w:before="0" w:after="0" w:line="400" w:lineRule="exact"/>
        <w:rPr>
          <w:rFonts w:hint="eastAsia" w:asciiTheme="minorEastAsia" w:hAnsiTheme="minorEastAsia" w:eastAsiaTheme="minorEastAsia" w:cstheme="minorEastAsia"/>
          <w:sz w:val="24"/>
          <w:szCs w:val="24"/>
        </w:rPr>
      </w:pPr>
      <w:bookmarkStart w:id="70" w:name="_Toc247513961"/>
      <w:bookmarkStart w:id="71" w:name="_Toc152045538"/>
      <w:bookmarkStart w:id="72" w:name="_Toc247527562"/>
      <w:bookmarkStart w:id="73" w:name="_Toc152042314"/>
      <w:bookmarkStart w:id="74" w:name="_Toc20988"/>
      <w:bookmarkStart w:id="75" w:name="_Toc144974506"/>
      <w:r>
        <w:rPr>
          <w:rFonts w:hint="eastAsia" w:asciiTheme="minorEastAsia" w:hAnsiTheme="minorEastAsia" w:eastAsiaTheme="minorEastAsia" w:cstheme="minorEastAsia"/>
          <w:sz w:val="24"/>
          <w:szCs w:val="24"/>
        </w:rPr>
        <w:t>1.8 计量单位</w:t>
      </w:r>
      <w:bookmarkEnd w:id="70"/>
      <w:bookmarkEnd w:id="71"/>
      <w:bookmarkEnd w:id="72"/>
      <w:bookmarkEnd w:id="73"/>
      <w:bookmarkEnd w:id="74"/>
      <w:bookmarkEnd w:id="75"/>
    </w:p>
    <w:p w14:paraId="133E17B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所有计量均采用中华人民共和国法定计量单位。</w:t>
      </w:r>
    </w:p>
    <w:p w14:paraId="1AAA0938">
      <w:pPr>
        <w:pStyle w:val="4"/>
        <w:spacing w:before="0" w:after="0" w:line="400" w:lineRule="exact"/>
        <w:rPr>
          <w:rFonts w:hint="eastAsia" w:asciiTheme="minorEastAsia" w:hAnsiTheme="minorEastAsia" w:eastAsiaTheme="minorEastAsia" w:cstheme="minorEastAsia"/>
          <w:sz w:val="24"/>
          <w:szCs w:val="24"/>
        </w:rPr>
      </w:pPr>
      <w:bookmarkStart w:id="76" w:name="_Toc247527563"/>
      <w:bookmarkStart w:id="77" w:name="_Toc144974507"/>
      <w:bookmarkStart w:id="78" w:name="_Toc10312"/>
      <w:bookmarkStart w:id="79" w:name="_Toc152042315"/>
      <w:bookmarkStart w:id="80" w:name="_Toc152045539"/>
      <w:bookmarkStart w:id="81" w:name="_Toc247513962"/>
      <w:r>
        <w:rPr>
          <w:rFonts w:hint="eastAsia" w:asciiTheme="minorEastAsia" w:hAnsiTheme="minorEastAsia" w:eastAsiaTheme="minorEastAsia" w:cstheme="minorEastAsia"/>
          <w:sz w:val="24"/>
          <w:szCs w:val="24"/>
        </w:rPr>
        <w:t>1.9 踏勘现场</w:t>
      </w:r>
      <w:bookmarkEnd w:id="76"/>
      <w:bookmarkEnd w:id="77"/>
      <w:bookmarkEnd w:id="78"/>
      <w:bookmarkEnd w:id="79"/>
      <w:bookmarkEnd w:id="80"/>
      <w:bookmarkEnd w:id="81"/>
    </w:p>
    <w:p w14:paraId="53E83AA4">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 投标人不组织踏勘现场。</w:t>
      </w:r>
    </w:p>
    <w:p w14:paraId="0A6700E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 投标人踏勘现场发生的费用自理。</w:t>
      </w:r>
    </w:p>
    <w:p w14:paraId="0FFF2DD9">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1.9.3 除招标人的原因外，投标人自行负责在踏勘现场中所发生的人员伤亡和财产损失。</w:t>
      </w:r>
    </w:p>
    <w:p w14:paraId="4B63ECCF">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1.9.4 招标人在踏勘现场中介绍的工程场地和相关的周边环境情况，供投标人在编制投标文件时参考，招标人不对投标人据此踏勘的判断和决策负责。</w:t>
      </w:r>
    </w:p>
    <w:p w14:paraId="7EBFF502">
      <w:pPr>
        <w:pStyle w:val="4"/>
        <w:spacing w:before="0" w:after="0" w:line="400" w:lineRule="exact"/>
        <w:rPr>
          <w:rFonts w:hint="eastAsia" w:asciiTheme="minorEastAsia" w:hAnsiTheme="minorEastAsia" w:eastAsiaTheme="minorEastAsia" w:cstheme="minorEastAsia"/>
          <w:sz w:val="24"/>
          <w:szCs w:val="24"/>
        </w:rPr>
      </w:pPr>
      <w:bookmarkStart w:id="82" w:name="_Toc3769"/>
      <w:bookmarkStart w:id="83" w:name="_Toc247527564"/>
      <w:bookmarkStart w:id="84" w:name="_Toc247513963"/>
      <w:bookmarkStart w:id="85" w:name="_Toc144974508"/>
      <w:bookmarkStart w:id="86" w:name="_Toc152045540"/>
      <w:bookmarkStart w:id="87" w:name="_Toc152042316"/>
      <w:r>
        <w:rPr>
          <w:rFonts w:hint="eastAsia" w:asciiTheme="minorEastAsia" w:hAnsiTheme="minorEastAsia" w:eastAsiaTheme="minorEastAsia" w:cstheme="minorEastAsia"/>
          <w:sz w:val="24"/>
          <w:szCs w:val="24"/>
        </w:rPr>
        <w:t>1.10 投标预备会</w:t>
      </w:r>
      <w:bookmarkEnd w:id="82"/>
      <w:bookmarkEnd w:id="83"/>
      <w:bookmarkEnd w:id="84"/>
      <w:bookmarkEnd w:id="85"/>
      <w:bookmarkEnd w:id="86"/>
      <w:bookmarkEnd w:id="87"/>
    </w:p>
    <w:p w14:paraId="66F9CBF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1.10.1 招标人不召开投标预备会的。</w:t>
      </w:r>
    </w:p>
    <w:p w14:paraId="787FA148">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1.10.2 投标人应在投标人须知前附表规定的时间前，在电子交易系统中提，以便招标人在规定时间内澄清。</w:t>
      </w:r>
    </w:p>
    <w:p w14:paraId="613807A0">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1.10.3 招标人在投标人须知前附表规定的时间内，将对投标人所提问题的澄清，在电子交易系统中通知所有购买招标文件的投标人。该澄清内容为招标文件的组成部分。</w:t>
      </w:r>
    </w:p>
    <w:p w14:paraId="4D6BA926">
      <w:pPr>
        <w:pStyle w:val="4"/>
        <w:spacing w:before="0" w:after="0" w:line="400" w:lineRule="exact"/>
        <w:rPr>
          <w:rFonts w:hint="eastAsia" w:asciiTheme="minorEastAsia" w:hAnsiTheme="minorEastAsia" w:eastAsiaTheme="minorEastAsia" w:cstheme="minorEastAsia"/>
          <w:sz w:val="24"/>
          <w:szCs w:val="24"/>
        </w:rPr>
      </w:pPr>
      <w:bookmarkStart w:id="88" w:name="_Toc152045541"/>
      <w:bookmarkStart w:id="89" w:name="_Toc31895"/>
      <w:bookmarkStart w:id="90" w:name="_Toc247527565"/>
      <w:bookmarkStart w:id="91" w:name="_Toc152042317"/>
      <w:bookmarkStart w:id="92" w:name="_Toc247513964"/>
      <w:bookmarkStart w:id="93" w:name="_Toc144974509"/>
      <w:r>
        <w:rPr>
          <w:rFonts w:hint="eastAsia" w:asciiTheme="minorEastAsia" w:hAnsiTheme="minorEastAsia" w:eastAsiaTheme="minorEastAsia" w:cstheme="minorEastAsia"/>
          <w:sz w:val="24"/>
          <w:szCs w:val="24"/>
        </w:rPr>
        <w:t>1.11 分包</w:t>
      </w:r>
      <w:bookmarkEnd w:id="88"/>
      <w:bookmarkEnd w:id="89"/>
      <w:bookmarkEnd w:id="90"/>
      <w:bookmarkEnd w:id="91"/>
      <w:bookmarkEnd w:id="92"/>
      <w:bookmarkEnd w:id="93"/>
    </w:p>
    <w:p w14:paraId="0C329E07">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见投标人须知前附表。</w:t>
      </w:r>
    </w:p>
    <w:p w14:paraId="39972349">
      <w:pPr>
        <w:pStyle w:val="4"/>
        <w:spacing w:before="0" w:after="0" w:line="400" w:lineRule="exact"/>
        <w:rPr>
          <w:rFonts w:hint="eastAsia" w:asciiTheme="minorEastAsia" w:hAnsiTheme="minorEastAsia" w:eastAsiaTheme="minorEastAsia" w:cstheme="minorEastAsia"/>
          <w:sz w:val="24"/>
          <w:szCs w:val="24"/>
        </w:rPr>
      </w:pPr>
      <w:bookmarkStart w:id="94" w:name="_Toc30687"/>
      <w:bookmarkStart w:id="95" w:name="_Toc247527566"/>
      <w:bookmarkStart w:id="96" w:name="_Toc247513965"/>
      <w:r>
        <w:rPr>
          <w:rFonts w:hint="eastAsia" w:asciiTheme="minorEastAsia" w:hAnsiTheme="minorEastAsia" w:eastAsiaTheme="minorEastAsia" w:cstheme="minorEastAsia"/>
          <w:sz w:val="24"/>
          <w:szCs w:val="24"/>
        </w:rPr>
        <w:t>1.12 偏离</w:t>
      </w:r>
      <w:bookmarkEnd w:id="94"/>
      <w:bookmarkEnd w:id="95"/>
      <w:bookmarkEnd w:id="96"/>
    </w:p>
    <w:p w14:paraId="4F6F7985">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不允许偏离。</w:t>
      </w:r>
      <w:bookmarkStart w:id="97" w:name="_Toc152045542"/>
      <w:bookmarkStart w:id="98" w:name="_Toc152042318"/>
      <w:bookmarkStart w:id="99" w:name="_Toc247513966"/>
      <w:bookmarkStart w:id="100" w:name="_Toc144974510"/>
      <w:bookmarkStart w:id="101" w:name="_Toc247527567"/>
    </w:p>
    <w:p w14:paraId="62D3564F">
      <w:pPr>
        <w:pStyle w:val="3"/>
        <w:spacing w:before="0" w:after="0" w:line="400" w:lineRule="exact"/>
        <w:rPr>
          <w:rFonts w:hint="eastAsia" w:asciiTheme="minorEastAsia" w:hAnsiTheme="minorEastAsia" w:eastAsiaTheme="minorEastAsia" w:cstheme="minorEastAsia"/>
          <w:sz w:val="24"/>
          <w:szCs w:val="24"/>
        </w:rPr>
      </w:pPr>
      <w:bookmarkStart w:id="102" w:name="_Toc32274"/>
      <w:r>
        <w:rPr>
          <w:rFonts w:hint="eastAsia" w:asciiTheme="minorEastAsia" w:hAnsiTheme="minorEastAsia" w:eastAsiaTheme="minorEastAsia" w:cstheme="minorEastAsia"/>
          <w:sz w:val="24"/>
          <w:szCs w:val="24"/>
        </w:rPr>
        <w:t>2. 招标文件</w:t>
      </w:r>
      <w:bookmarkEnd w:id="97"/>
      <w:bookmarkEnd w:id="98"/>
      <w:bookmarkEnd w:id="99"/>
      <w:bookmarkEnd w:id="100"/>
      <w:bookmarkEnd w:id="101"/>
      <w:bookmarkEnd w:id="102"/>
    </w:p>
    <w:p w14:paraId="7C943BD5">
      <w:pPr>
        <w:pStyle w:val="4"/>
        <w:spacing w:before="0" w:after="0" w:line="400" w:lineRule="exact"/>
        <w:rPr>
          <w:rFonts w:hint="eastAsia" w:asciiTheme="minorEastAsia" w:hAnsiTheme="minorEastAsia" w:eastAsiaTheme="minorEastAsia" w:cstheme="minorEastAsia"/>
          <w:sz w:val="24"/>
          <w:szCs w:val="24"/>
        </w:rPr>
      </w:pPr>
      <w:bookmarkStart w:id="103" w:name="_Toc247513967"/>
      <w:bookmarkStart w:id="104" w:name="_Toc152042319"/>
      <w:bookmarkStart w:id="105" w:name="_Toc247527568"/>
      <w:bookmarkStart w:id="106" w:name="_Toc144974511"/>
      <w:bookmarkStart w:id="107" w:name="_Toc28489"/>
      <w:bookmarkStart w:id="108" w:name="_Toc152045543"/>
      <w:r>
        <w:rPr>
          <w:rFonts w:hint="eastAsia" w:asciiTheme="minorEastAsia" w:hAnsiTheme="minorEastAsia" w:eastAsiaTheme="minorEastAsia" w:cstheme="minorEastAsia"/>
          <w:sz w:val="24"/>
          <w:szCs w:val="24"/>
        </w:rPr>
        <w:t>2.1 招标文件的组成</w:t>
      </w:r>
      <w:bookmarkEnd w:id="103"/>
      <w:bookmarkEnd w:id="104"/>
      <w:bookmarkEnd w:id="105"/>
      <w:bookmarkEnd w:id="106"/>
      <w:bookmarkEnd w:id="107"/>
      <w:bookmarkEnd w:id="108"/>
    </w:p>
    <w:p w14:paraId="45F2ECEB">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本招标文件包括：</w:t>
      </w:r>
    </w:p>
    <w:p w14:paraId="33217146">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（1）招标公告；</w:t>
      </w:r>
    </w:p>
    <w:p w14:paraId="6F537305">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（2）投标人须知；</w:t>
      </w:r>
    </w:p>
    <w:p w14:paraId="0462B9A8">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（3）评标办法；</w:t>
      </w:r>
    </w:p>
    <w:p w14:paraId="39E3EE15">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（4）合同条款及格式；</w:t>
      </w:r>
    </w:p>
    <w:p w14:paraId="7D180273">
      <w:pPr>
        <w:spacing w:line="400" w:lineRule="exact"/>
        <w:ind w:firstLine="410" w:firstLineChars="17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服务要求</w:t>
      </w:r>
    </w:p>
    <w:p w14:paraId="5A2389FA">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）投标文件格式。</w:t>
      </w:r>
    </w:p>
    <w:p w14:paraId="2D0E315C">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招标文件所作的澄清、修改，构成招标文件的组成部分。</w:t>
      </w:r>
    </w:p>
    <w:p w14:paraId="7530351D">
      <w:pPr>
        <w:pStyle w:val="4"/>
        <w:spacing w:before="0" w:after="0" w:line="400" w:lineRule="exact"/>
        <w:rPr>
          <w:rFonts w:hint="eastAsia" w:asciiTheme="minorEastAsia" w:hAnsiTheme="minorEastAsia" w:eastAsiaTheme="minorEastAsia" w:cstheme="minorEastAsia"/>
          <w:sz w:val="24"/>
          <w:szCs w:val="24"/>
        </w:rPr>
      </w:pPr>
      <w:bookmarkStart w:id="109" w:name="_Toc152042320"/>
      <w:bookmarkStart w:id="110" w:name="_Toc152045544"/>
      <w:bookmarkStart w:id="111" w:name="_Toc144974512"/>
      <w:bookmarkStart w:id="112" w:name="_Toc247527569"/>
      <w:bookmarkStart w:id="113" w:name="_Toc3167"/>
      <w:bookmarkStart w:id="114" w:name="_Toc247513968"/>
      <w:r>
        <w:rPr>
          <w:rFonts w:hint="eastAsia" w:asciiTheme="minorEastAsia" w:hAnsiTheme="minorEastAsia" w:eastAsiaTheme="minorEastAsia" w:cstheme="minorEastAsia"/>
          <w:sz w:val="24"/>
          <w:szCs w:val="24"/>
        </w:rPr>
        <w:t>2.2 招标文件的澄清</w:t>
      </w:r>
      <w:bookmarkEnd w:id="109"/>
      <w:bookmarkEnd w:id="110"/>
      <w:bookmarkEnd w:id="111"/>
      <w:bookmarkEnd w:id="112"/>
      <w:bookmarkEnd w:id="113"/>
      <w:bookmarkEnd w:id="114"/>
    </w:p>
    <w:p w14:paraId="04B24906">
      <w:pPr>
        <w:spacing w:line="400" w:lineRule="exact"/>
        <w:ind w:firstLine="480" w:firstLineChars="200"/>
        <w:rPr>
          <w:rFonts w:hint="eastAsia" w:asciiTheme="minorEastAsia" w:hAnsiTheme="minorEastAsia" w:eastAsiaTheme="minorEastAsia" w:cstheme="minorEastAsia"/>
          <w:sz w:val="24"/>
          <w:szCs w:val="24"/>
        </w:rPr>
      </w:pPr>
      <w:bookmarkStart w:id="115" w:name="_Toc247527570"/>
      <w:bookmarkStart w:id="116" w:name="_Toc11865"/>
      <w:bookmarkStart w:id="117" w:name="_Toc152042321"/>
      <w:bookmarkStart w:id="118" w:name="_Toc152045545"/>
      <w:bookmarkStart w:id="119" w:name="_Toc247513969"/>
      <w:bookmarkStart w:id="120" w:name="_Toc144974513"/>
      <w:r>
        <w:rPr>
          <w:rFonts w:hint="eastAsia" w:asciiTheme="minorEastAsia" w:hAnsiTheme="minorEastAsia" w:eastAsiaTheme="minorEastAsia" w:cstheme="minorEastAsia"/>
          <w:sz w:val="24"/>
          <w:szCs w:val="24"/>
        </w:rPr>
        <w:t>2.2.1  投标人应仔细阅读和检查招标文件的全部内容。如发现缺页或附件不全，应及时提出，以便补齐。如有疑问，应在投标人须知前附表规定的时间前提出，要求招标人对招标文件予以澄清。电子交易系统内提出</w:t>
      </w:r>
    </w:p>
    <w:p w14:paraId="32F5881C">
      <w:pPr>
        <w:spacing w:line="40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  招标文件的澄清将在投标人须知前附表规定的投标截止时间15天前发出，但不指明澄清问题的来源。如果澄清发出的时间距投标截止时间不足 15 天，相应延长投标截止时间。电子交易系统内提出</w:t>
      </w:r>
    </w:p>
    <w:p w14:paraId="5E46E4BF">
      <w:pPr>
        <w:pStyle w:val="4"/>
        <w:spacing w:before="0"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 招标文件的修改</w:t>
      </w:r>
      <w:bookmarkEnd w:id="115"/>
      <w:bookmarkEnd w:id="116"/>
      <w:bookmarkEnd w:id="117"/>
      <w:bookmarkEnd w:id="118"/>
      <w:bookmarkEnd w:id="119"/>
      <w:bookmarkEnd w:id="120"/>
    </w:p>
    <w:p w14:paraId="7BCEAC44">
      <w:pPr>
        <w:spacing w:line="400" w:lineRule="exact"/>
        <w:ind w:firstLine="360" w:firstLineChars="150"/>
        <w:rPr>
          <w:rFonts w:hint="eastAsia" w:asciiTheme="minorEastAsia" w:hAnsiTheme="minorEastAsia" w:eastAsiaTheme="minorEastAsia" w:cstheme="minorEastAsia"/>
          <w:sz w:val="24"/>
          <w:szCs w:val="24"/>
        </w:rPr>
      </w:pPr>
      <w:bookmarkStart w:id="121" w:name="_Toc247513970"/>
      <w:bookmarkStart w:id="122" w:name="_Toc14952"/>
      <w:bookmarkStart w:id="123" w:name="_Toc152042322"/>
      <w:bookmarkStart w:id="124" w:name="_Toc247527571"/>
      <w:bookmarkStart w:id="125" w:name="_Toc152045546"/>
      <w:bookmarkStart w:id="126" w:name="_Toc144974514"/>
      <w:r>
        <w:rPr>
          <w:rFonts w:hint="eastAsia" w:asciiTheme="minorEastAsia" w:hAnsiTheme="minorEastAsia" w:eastAsiaTheme="minorEastAsia" w:cstheme="minorEastAsia"/>
          <w:sz w:val="24"/>
          <w:szCs w:val="24"/>
        </w:rPr>
        <w:t>2.3.1在投标截止时间 15 天前，招标人可修改招标文件。如果修改招标文件的时间距投标截止时间不足 15 天，相应延长投标截止时间。</w:t>
      </w:r>
    </w:p>
    <w:p w14:paraId="2F55187B">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投标文件</w:t>
      </w:r>
      <w:bookmarkEnd w:id="121"/>
      <w:bookmarkEnd w:id="122"/>
      <w:bookmarkEnd w:id="123"/>
      <w:bookmarkEnd w:id="124"/>
      <w:bookmarkEnd w:id="125"/>
      <w:bookmarkEnd w:id="126"/>
    </w:p>
    <w:p w14:paraId="3F99657F">
      <w:pPr>
        <w:pStyle w:val="4"/>
        <w:spacing w:before="0" w:after="0" w:line="400" w:lineRule="exact"/>
        <w:rPr>
          <w:rFonts w:hint="eastAsia" w:asciiTheme="minorEastAsia" w:hAnsiTheme="minorEastAsia" w:eastAsiaTheme="minorEastAsia" w:cstheme="minorEastAsia"/>
          <w:sz w:val="24"/>
          <w:szCs w:val="24"/>
        </w:rPr>
      </w:pPr>
      <w:bookmarkStart w:id="127" w:name="_Toc247527572"/>
      <w:bookmarkStart w:id="128" w:name="_Toc247513971"/>
      <w:bookmarkStart w:id="129" w:name="_Toc26420"/>
      <w:bookmarkStart w:id="130" w:name="_Toc152042323"/>
      <w:bookmarkStart w:id="131" w:name="_Toc152045547"/>
      <w:bookmarkStart w:id="132" w:name="_Toc144974515"/>
      <w:r>
        <w:rPr>
          <w:rFonts w:hint="eastAsia" w:asciiTheme="minorEastAsia" w:hAnsiTheme="minorEastAsia" w:eastAsiaTheme="minorEastAsia" w:cstheme="minorEastAsia"/>
          <w:sz w:val="24"/>
          <w:szCs w:val="24"/>
        </w:rPr>
        <w:t>3.1 投标文件的组成</w:t>
      </w:r>
      <w:bookmarkEnd w:id="127"/>
      <w:bookmarkEnd w:id="128"/>
      <w:bookmarkEnd w:id="129"/>
      <w:bookmarkEnd w:id="130"/>
      <w:bookmarkEnd w:id="131"/>
      <w:bookmarkEnd w:id="132"/>
    </w:p>
    <w:p w14:paraId="0B004746">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3.1.1 投标文件应包括下列内容：</w:t>
      </w:r>
    </w:p>
    <w:p w14:paraId="4D45BCB1">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（1）投标函及投标函附录；</w:t>
      </w:r>
    </w:p>
    <w:p w14:paraId="4DDE5450">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（2）法定代表人身份证明</w:t>
      </w:r>
    </w:p>
    <w:p w14:paraId="52DF8380">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（3）授权委托书；</w:t>
      </w:r>
    </w:p>
    <w:p w14:paraId="52C6F79D">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技术方案</w:t>
      </w:r>
      <w:r>
        <w:rPr>
          <w:rFonts w:hint="eastAsia" w:asciiTheme="minorEastAsia" w:hAnsiTheme="minorEastAsia" w:eastAsiaTheme="minorEastAsia" w:cstheme="minorEastAsia"/>
          <w:sz w:val="24"/>
          <w:szCs w:val="24"/>
        </w:rPr>
        <w:t>；</w:t>
      </w:r>
    </w:p>
    <w:p w14:paraId="4324CBEC">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）资格审查资料；</w:t>
      </w:r>
    </w:p>
    <w:p w14:paraId="696475E3">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）其他资料；</w:t>
      </w:r>
    </w:p>
    <w:p w14:paraId="568874C3">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）附件</w:t>
      </w:r>
    </w:p>
    <w:p w14:paraId="1A805C4A">
      <w:pPr>
        <w:pStyle w:val="4"/>
        <w:spacing w:before="0" w:after="0" w:line="400" w:lineRule="exact"/>
        <w:rPr>
          <w:rFonts w:hint="eastAsia" w:asciiTheme="minorEastAsia" w:hAnsiTheme="minorEastAsia" w:eastAsiaTheme="minorEastAsia" w:cstheme="minorEastAsia"/>
          <w:sz w:val="24"/>
          <w:szCs w:val="24"/>
        </w:rPr>
      </w:pPr>
      <w:bookmarkStart w:id="133" w:name="_Toc152045548"/>
      <w:bookmarkStart w:id="134" w:name="_Toc247527573"/>
      <w:bookmarkStart w:id="135" w:name="_Toc247513972"/>
      <w:bookmarkStart w:id="136" w:name="_Toc152042324"/>
      <w:bookmarkStart w:id="137" w:name="_Toc144974516"/>
      <w:bookmarkStart w:id="138" w:name="_Toc14613"/>
      <w:r>
        <w:rPr>
          <w:rFonts w:hint="eastAsia" w:asciiTheme="minorEastAsia" w:hAnsiTheme="minorEastAsia" w:eastAsiaTheme="minorEastAsia" w:cstheme="minorEastAsia"/>
          <w:sz w:val="24"/>
          <w:szCs w:val="24"/>
        </w:rPr>
        <w:t>3.2 投标报价</w:t>
      </w:r>
      <w:bookmarkEnd w:id="133"/>
      <w:bookmarkEnd w:id="134"/>
      <w:bookmarkEnd w:id="135"/>
      <w:bookmarkEnd w:id="136"/>
      <w:bookmarkEnd w:id="137"/>
      <w:bookmarkEnd w:id="138"/>
    </w:p>
    <w:p w14:paraId="170A0533">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 投标人应按第五章“投标文件格式”的要求填写投标报价。</w:t>
      </w:r>
    </w:p>
    <w:p w14:paraId="5898248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3.2.2 投标人自主报价。</w:t>
      </w:r>
    </w:p>
    <w:p w14:paraId="27495938">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3.2.3作为投标人，应在报价中充分考虑到在正常情况下可能发生的所有费用。</w:t>
      </w:r>
    </w:p>
    <w:p w14:paraId="3146315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3.2.4招标人设有招标控制价的，投标人的投标报价不得超过招标控制价。</w:t>
      </w:r>
    </w:p>
    <w:p w14:paraId="38D4A0B5">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3.2.5 投标报价见投标人须知前附表。</w:t>
      </w:r>
    </w:p>
    <w:p w14:paraId="60A71867">
      <w:pPr>
        <w:pStyle w:val="4"/>
        <w:spacing w:before="0" w:after="0" w:line="400" w:lineRule="exact"/>
        <w:rPr>
          <w:rFonts w:hint="eastAsia" w:asciiTheme="minorEastAsia" w:hAnsiTheme="minorEastAsia" w:eastAsiaTheme="minorEastAsia" w:cstheme="minorEastAsia"/>
          <w:sz w:val="24"/>
          <w:szCs w:val="24"/>
        </w:rPr>
      </w:pPr>
      <w:bookmarkStart w:id="139" w:name="_Toc6421"/>
      <w:bookmarkStart w:id="140" w:name="_Toc144974517"/>
      <w:bookmarkStart w:id="141" w:name="_Toc152042325"/>
      <w:bookmarkStart w:id="142" w:name="_Toc152045549"/>
      <w:bookmarkStart w:id="143" w:name="_Toc247513973"/>
      <w:bookmarkStart w:id="144" w:name="_Toc247527574"/>
      <w:r>
        <w:rPr>
          <w:rFonts w:hint="eastAsia" w:asciiTheme="minorEastAsia" w:hAnsiTheme="minorEastAsia" w:eastAsiaTheme="minorEastAsia" w:cstheme="minorEastAsia"/>
          <w:sz w:val="24"/>
          <w:szCs w:val="24"/>
        </w:rPr>
        <w:t>3.3 投标有效期</w:t>
      </w:r>
      <w:bookmarkEnd w:id="139"/>
      <w:bookmarkEnd w:id="140"/>
      <w:bookmarkEnd w:id="141"/>
      <w:bookmarkEnd w:id="142"/>
      <w:bookmarkEnd w:id="143"/>
      <w:bookmarkEnd w:id="144"/>
    </w:p>
    <w:p w14:paraId="24EE0943">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3.3.1 投标有效期按投标人须知前附表规定。</w:t>
      </w:r>
    </w:p>
    <w:p w14:paraId="253F584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3.3.2 在投标有效期内，投标人撤销或修改其投标文件的，应承担招标文件和法律规定的责任。</w:t>
      </w:r>
    </w:p>
    <w:p w14:paraId="693A27C5">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3.3.3 出现特殊情况需要延长投标有效期的，招标人以书面形式通知所有投标人延长投标有效期。投标人同意延长的，不得要求或被允许修改或撤销其投标文件；投标人拒绝延长的，其投标失效。 </w:t>
      </w:r>
    </w:p>
    <w:p w14:paraId="4263F8DB">
      <w:pPr>
        <w:pStyle w:val="4"/>
        <w:spacing w:before="0" w:after="0" w:line="400" w:lineRule="exact"/>
        <w:rPr>
          <w:rFonts w:hint="eastAsia" w:asciiTheme="minorEastAsia" w:hAnsiTheme="minorEastAsia" w:eastAsiaTheme="minorEastAsia" w:cstheme="minorEastAsia"/>
          <w:sz w:val="24"/>
          <w:szCs w:val="24"/>
          <w:lang w:eastAsia="zh-CN"/>
        </w:rPr>
      </w:pPr>
      <w:bookmarkStart w:id="145" w:name="_Toc7391"/>
      <w:bookmarkStart w:id="146" w:name="_Toc247513974"/>
      <w:bookmarkStart w:id="147" w:name="_Toc152042326"/>
      <w:bookmarkStart w:id="148" w:name="_Toc152045550"/>
      <w:bookmarkStart w:id="149" w:name="_Toc144974518"/>
      <w:bookmarkStart w:id="150" w:name="_Toc247527575"/>
      <w:r>
        <w:rPr>
          <w:rFonts w:hint="eastAsia" w:asciiTheme="minorEastAsia" w:hAnsiTheme="minorEastAsia" w:eastAsiaTheme="minorEastAsia" w:cstheme="minorEastAsia"/>
          <w:sz w:val="24"/>
          <w:szCs w:val="24"/>
        </w:rPr>
        <w:t>3.4 投标保证金</w:t>
      </w:r>
      <w:bookmarkEnd w:id="145"/>
      <w:bookmarkEnd w:id="146"/>
      <w:bookmarkEnd w:id="147"/>
      <w:bookmarkEnd w:id="148"/>
      <w:bookmarkEnd w:id="149"/>
      <w:bookmarkEnd w:id="150"/>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本项目不适应</w:t>
      </w:r>
      <w:r>
        <w:rPr>
          <w:rFonts w:hint="eastAsia" w:asciiTheme="minorEastAsia" w:hAnsiTheme="minorEastAsia" w:eastAsiaTheme="minorEastAsia" w:cstheme="minorEastAsia"/>
          <w:sz w:val="24"/>
          <w:szCs w:val="24"/>
          <w:lang w:eastAsia="zh-CN"/>
        </w:rPr>
        <w:t>）</w:t>
      </w:r>
    </w:p>
    <w:p w14:paraId="283324E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3.4.1 投标人在递交投标文件的同时，应按投标人须知前附表规定的金额、担保形式和第五章“投标文件格式”规定的投标保证金格式递交投标保证金，并作为其投标文件的组成部分。</w:t>
      </w:r>
    </w:p>
    <w:p w14:paraId="1D9862CD">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3.4.2 投标人不按本章第3.4.1项要求提交投标保证金的，评标委员会将否决其投标。</w:t>
      </w:r>
    </w:p>
    <w:p w14:paraId="48AC024F">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3.4.3 招标人与中标人签订合同后5日内，向未中标的投标人和中标人退还投标保证金。</w:t>
      </w:r>
    </w:p>
    <w:p w14:paraId="363330A9">
      <w:pPr>
        <w:pStyle w:val="4"/>
        <w:spacing w:before="0" w:after="0" w:line="400" w:lineRule="exact"/>
        <w:rPr>
          <w:rFonts w:hint="eastAsia" w:asciiTheme="minorEastAsia" w:hAnsiTheme="minorEastAsia" w:eastAsiaTheme="minorEastAsia" w:cstheme="minorEastAsia"/>
          <w:sz w:val="24"/>
          <w:szCs w:val="24"/>
        </w:rPr>
      </w:pPr>
      <w:bookmarkStart w:id="151" w:name="_Toc30734"/>
      <w:bookmarkStart w:id="152" w:name="_Toc247527577"/>
      <w:bookmarkStart w:id="153" w:name="_Toc152045552"/>
      <w:bookmarkStart w:id="154" w:name="_Toc144974520"/>
      <w:bookmarkStart w:id="155" w:name="_Toc152042328"/>
      <w:bookmarkStart w:id="156" w:name="_Toc247513976"/>
      <w:r>
        <w:rPr>
          <w:rFonts w:hint="eastAsia" w:asciiTheme="minorEastAsia" w:hAnsiTheme="minorEastAsia" w:eastAsiaTheme="minorEastAsia" w:cstheme="minorEastAsia"/>
          <w:sz w:val="24"/>
          <w:szCs w:val="24"/>
        </w:rPr>
        <w:t>3.5 资格审查资料</w:t>
      </w:r>
      <w:bookmarkEnd w:id="151"/>
      <w:bookmarkEnd w:id="152"/>
      <w:bookmarkEnd w:id="153"/>
      <w:bookmarkEnd w:id="154"/>
      <w:bookmarkEnd w:id="155"/>
      <w:bookmarkEnd w:id="156"/>
    </w:p>
    <w:p w14:paraId="7C15CBE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3.5.1 “投标人基本情况表”应附投标人营业执照等材料。</w:t>
      </w:r>
    </w:p>
    <w:p w14:paraId="62FC3093">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3.5.2 具体其他要求见投标人须知前附表。</w:t>
      </w:r>
    </w:p>
    <w:p w14:paraId="58399BBE">
      <w:pPr>
        <w:pStyle w:val="4"/>
        <w:spacing w:before="0" w:after="0" w:line="400" w:lineRule="exact"/>
        <w:rPr>
          <w:rFonts w:hint="eastAsia" w:asciiTheme="minorEastAsia" w:hAnsiTheme="minorEastAsia" w:eastAsiaTheme="minorEastAsia" w:cstheme="minorEastAsia"/>
          <w:sz w:val="24"/>
          <w:szCs w:val="24"/>
        </w:rPr>
      </w:pPr>
      <w:bookmarkStart w:id="157" w:name="_Toc144974521"/>
      <w:bookmarkStart w:id="158" w:name="_Toc247527578"/>
      <w:bookmarkStart w:id="159" w:name="_Toc247513977"/>
      <w:bookmarkStart w:id="160" w:name="_Toc32010"/>
      <w:bookmarkStart w:id="161" w:name="_Toc152042329"/>
      <w:bookmarkStart w:id="162" w:name="_Toc152045553"/>
      <w:r>
        <w:rPr>
          <w:rFonts w:hint="eastAsia" w:asciiTheme="minorEastAsia" w:hAnsiTheme="minorEastAsia" w:eastAsiaTheme="minorEastAsia" w:cstheme="minorEastAsia"/>
          <w:sz w:val="24"/>
          <w:szCs w:val="24"/>
        </w:rPr>
        <w:t>3.6 备选投标方案</w:t>
      </w:r>
      <w:bookmarkEnd w:id="157"/>
      <w:bookmarkEnd w:id="158"/>
      <w:bookmarkEnd w:id="159"/>
      <w:bookmarkEnd w:id="160"/>
      <w:bookmarkEnd w:id="161"/>
      <w:bookmarkEnd w:id="162"/>
    </w:p>
    <w:p w14:paraId="718B8FD9">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投标人不得递交备选投标方案。</w:t>
      </w:r>
    </w:p>
    <w:p w14:paraId="30D56303">
      <w:pPr>
        <w:pStyle w:val="4"/>
        <w:spacing w:before="0" w:after="0" w:line="400" w:lineRule="exact"/>
        <w:rPr>
          <w:rFonts w:hint="eastAsia" w:asciiTheme="minorEastAsia" w:hAnsiTheme="minorEastAsia" w:eastAsiaTheme="minorEastAsia" w:cstheme="minorEastAsia"/>
          <w:sz w:val="24"/>
          <w:szCs w:val="24"/>
        </w:rPr>
      </w:pPr>
      <w:bookmarkStart w:id="163" w:name="_Toc144974522"/>
      <w:bookmarkStart w:id="164" w:name="_Toc247513978"/>
      <w:bookmarkStart w:id="165" w:name="_Toc152042330"/>
      <w:bookmarkStart w:id="166" w:name="_Toc3051"/>
      <w:bookmarkStart w:id="167" w:name="_Toc152045554"/>
      <w:bookmarkStart w:id="168" w:name="_Toc247527579"/>
      <w:r>
        <w:rPr>
          <w:rFonts w:hint="eastAsia" w:asciiTheme="minorEastAsia" w:hAnsiTheme="minorEastAsia" w:eastAsiaTheme="minorEastAsia" w:cstheme="minorEastAsia"/>
          <w:sz w:val="24"/>
          <w:szCs w:val="24"/>
        </w:rPr>
        <w:t>3.7 投标文件的编制</w:t>
      </w:r>
      <w:bookmarkEnd w:id="163"/>
      <w:bookmarkEnd w:id="164"/>
      <w:bookmarkEnd w:id="165"/>
      <w:bookmarkEnd w:id="166"/>
      <w:bookmarkEnd w:id="167"/>
      <w:bookmarkEnd w:id="168"/>
    </w:p>
    <w:p w14:paraId="380DD459">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3.7.1 投标文件应按第五章“投标文件格式”进行编写，如有必要，可以增加附页，作为投标文件的组成部分。其中，投标函附录在满足招标文件实质性要求的基础上，可以提出比招标文件要求更有利于招标人的承诺。</w:t>
      </w:r>
    </w:p>
    <w:p w14:paraId="179A1F99">
      <w:pPr>
        <w:spacing w:line="4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3.7.2 投标文件应当对招标文件实质性内容作出响应。</w:t>
      </w:r>
    </w:p>
    <w:p w14:paraId="2DCA6BC4">
      <w:pPr>
        <w:snapToGrid w:val="0"/>
        <w:spacing w:line="400" w:lineRule="exact"/>
        <w:ind w:firstLine="480"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3.7.3签字或盖章的具体要求见投标人须知前附表。</w:t>
      </w:r>
    </w:p>
    <w:p w14:paraId="69F71F60">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3.7.4 投标文件正本,副本份数见投标人须知前附表。</w:t>
      </w:r>
    </w:p>
    <w:p w14:paraId="2EF45504">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3.7.5</w:t>
      </w:r>
      <w:r>
        <w:rPr>
          <w:rFonts w:hint="eastAsia" w:asciiTheme="minorEastAsia" w:hAnsiTheme="minorEastAsia" w:eastAsiaTheme="minorEastAsia" w:cstheme="minorEastAsia"/>
          <w:b/>
          <w:sz w:val="24"/>
          <w:szCs w:val="24"/>
        </w:rPr>
        <w:t xml:space="preserve"> 投标文件份数见投标人须知前附表规定。</w:t>
      </w:r>
    </w:p>
    <w:p w14:paraId="508115F6">
      <w:pPr>
        <w:pStyle w:val="3"/>
        <w:spacing w:before="0" w:after="0" w:line="400" w:lineRule="exact"/>
        <w:rPr>
          <w:rFonts w:hint="eastAsia" w:asciiTheme="minorEastAsia" w:hAnsiTheme="minorEastAsia" w:eastAsiaTheme="minorEastAsia" w:cstheme="minorEastAsia"/>
          <w:sz w:val="24"/>
          <w:szCs w:val="24"/>
        </w:rPr>
      </w:pPr>
      <w:bookmarkStart w:id="169" w:name="_Toc247513979"/>
      <w:bookmarkStart w:id="170" w:name="_Toc152042331"/>
      <w:bookmarkStart w:id="171" w:name="_Toc144974523"/>
      <w:bookmarkStart w:id="172" w:name="_Toc152045555"/>
      <w:bookmarkStart w:id="173" w:name="_Toc247527580"/>
      <w:bookmarkStart w:id="174" w:name="_Toc8573"/>
      <w:r>
        <w:rPr>
          <w:rFonts w:hint="eastAsia" w:asciiTheme="minorEastAsia" w:hAnsiTheme="minorEastAsia" w:eastAsiaTheme="minorEastAsia" w:cstheme="minorEastAsia"/>
          <w:sz w:val="24"/>
          <w:szCs w:val="24"/>
        </w:rPr>
        <w:t>4. 投标</w:t>
      </w:r>
      <w:bookmarkEnd w:id="169"/>
      <w:bookmarkEnd w:id="170"/>
      <w:bookmarkEnd w:id="171"/>
      <w:bookmarkEnd w:id="172"/>
      <w:bookmarkEnd w:id="173"/>
      <w:bookmarkEnd w:id="174"/>
    </w:p>
    <w:p w14:paraId="14287FFF">
      <w:pPr>
        <w:pStyle w:val="4"/>
        <w:spacing w:before="0" w:after="0" w:line="400" w:lineRule="exact"/>
        <w:rPr>
          <w:rFonts w:hint="eastAsia" w:asciiTheme="minorEastAsia" w:hAnsiTheme="minorEastAsia" w:eastAsiaTheme="minorEastAsia" w:cstheme="minorEastAsia"/>
          <w:sz w:val="24"/>
          <w:szCs w:val="24"/>
        </w:rPr>
      </w:pPr>
      <w:bookmarkStart w:id="175" w:name="_Toc247527581"/>
      <w:bookmarkStart w:id="176" w:name="_Toc1814"/>
      <w:bookmarkStart w:id="177" w:name="_Toc144974524"/>
      <w:bookmarkStart w:id="178" w:name="_Toc247513980"/>
      <w:bookmarkStart w:id="179" w:name="_Toc152042332"/>
      <w:bookmarkStart w:id="180" w:name="_Toc152045556"/>
      <w:r>
        <w:rPr>
          <w:rFonts w:hint="eastAsia" w:asciiTheme="minorEastAsia" w:hAnsiTheme="minorEastAsia" w:eastAsiaTheme="minorEastAsia" w:cstheme="minorEastAsia"/>
          <w:sz w:val="24"/>
          <w:szCs w:val="24"/>
        </w:rPr>
        <w:t>4.1 投标文件电子版的密封和标记</w:t>
      </w:r>
      <w:bookmarkEnd w:id="175"/>
      <w:bookmarkEnd w:id="176"/>
      <w:bookmarkEnd w:id="177"/>
      <w:bookmarkEnd w:id="178"/>
      <w:bookmarkEnd w:id="179"/>
      <w:bookmarkEnd w:id="180"/>
    </w:p>
    <w:p w14:paraId="3594A3BF">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4.1.2投标文件的封套上应写明的内容见投标人须知前附表。</w:t>
      </w:r>
    </w:p>
    <w:p w14:paraId="70F2D45E">
      <w:pPr>
        <w:pStyle w:val="4"/>
        <w:spacing w:before="0" w:after="0" w:line="400" w:lineRule="exact"/>
        <w:rPr>
          <w:rFonts w:hint="eastAsia" w:asciiTheme="minorEastAsia" w:hAnsiTheme="minorEastAsia" w:eastAsiaTheme="minorEastAsia" w:cstheme="minorEastAsia"/>
          <w:sz w:val="24"/>
          <w:szCs w:val="24"/>
        </w:rPr>
      </w:pPr>
      <w:bookmarkStart w:id="181" w:name="_Toc144974525"/>
      <w:bookmarkStart w:id="182" w:name="_Toc247527582"/>
      <w:bookmarkStart w:id="183" w:name="_Toc152045557"/>
      <w:bookmarkStart w:id="184" w:name="_Toc23701"/>
      <w:bookmarkStart w:id="185" w:name="_Toc152042333"/>
      <w:bookmarkStart w:id="186" w:name="_Toc247513981"/>
      <w:r>
        <w:rPr>
          <w:rFonts w:hint="eastAsia" w:asciiTheme="minorEastAsia" w:hAnsiTheme="minorEastAsia" w:eastAsiaTheme="minorEastAsia" w:cstheme="minorEastAsia"/>
          <w:sz w:val="24"/>
          <w:szCs w:val="24"/>
        </w:rPr>
        <w:t>4.2 投标文件的递交</w:t>
      </w:r>
      <w:bookmarkEnd w:id="181"/>
      <w:bookmarkEnd w:id="182"/>
      <w:bookmarkEnd w:id="183"/>
      <w:bookmarkEnd w:id="184"/>
      <w:bookmarkEnd w:id="185"/>
      <w:bookmarkEnd w:id="186"/>
    </w:p>
    <w:p w14:paraId="3E57D670">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4.2.1 投标人应在规定的投标截止时间前递交投标文件。</w:t>
      </w:r>
    </w:p>
    <w:p w14:paraId="66F5C9E5">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4.2.2 投标人递交投标文件的地点：见投标人须知前附表。</w:t>
      </w:r>
    </w:p>
    <w:p w14:paraId="5EB72C4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4.2.3 除投标人须知前附表另有规定外，投标人所递交的投标文件不予退还。</w:t>
      </w:r>
    </w:p>
    <w:p w14:paraId="0E122A6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4.2.4 逾期送达的或者未送达指定地点的投标文件，招标人不予受理。</w:t>
      </w:r>
    </w:p>
    <w:p w14:paraId="35A6064D">
      <w:pPr>
        <w:pStyle w:val="4"/>
        <w:spacing w:before="0" w:after="0" w:line="400" w:lineRule="exact"/>
        <w:rPr>
          <w:rFonts w:hint="eastAsia" w:asciiTheme="minorEastAsia" w:hAnsiTheme="minorEastAsia" w:eastAsiaTheme="minorEastAsia" w:cstheme="minorEastAsia"/>
          <w:sz w:val="24"/>
          <w:szCs w:val="24"/>
        </w:rPr>
      </w:pPr>
      <w:bookmarkStart w:id="187" w:name="_Toc247527583"/>
      <w:bookmarkStart w:id="188" w:name="_Toc7592"/>
      <w:bookmarkStart w:id="189" w:name="_Toc247513982"/>
      <w:bookmarkStart w:id="190" w:name="_Toc152045558"/>
      <w:bookmarkStart w:id="191" w:name="_Toc144974526"/>
      <w:bookmarkStart w:id="192" w:name="_Toc152042334"/>
      <w:r>
        <w:rPr>
          <w:rFonts w:hint="eastAsia" w:asciiTheme="minorEastAsia" w:hAnsiTheme="minorEastAsia" w:eastAsiaTheme="minorEastAsia" w:cstheme="minorEastAsia"/>
          <w:sz w:val="24"/>
          <w:szCs w:val="24"/>
        </w:rPr>
        <w:t>4.3 投标文件的修改与撤回</w:t>
      </w:r>
      <w:bookmarkEnd w:id="187"/>
      <w:bookmarkEnd w:id="188"/>
      <w:bookmarkEnd w:id="189"/>
      <w:bookmarkEnd w:id="190"/>
      <w:bookmarkEnd w:id="191"/>
      <w:bookmarkEnd w:id="192"/>
    </w:p>
    <w:p w14:paraId="25CB6D4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4.3.1 在规定的投标截止时间前，投标人可以修改或撤回已递交的投标文件，但应以书面形式通知招标人。</w:t>
      </w:r>
    </w:p>
    <w:p w14:paraId="2042FC30">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4.3.2 投标人修改或撤回已递交投标文件的书面通知应按照要求签字或盖章。</w:t>
      </w:r>
    </w:p>
    <w:p w14:paraId="64E9D8AC">
      <w:pPr>
        <w:pStyle w:val="3"/>
        <w:spacing w:before="0" w:after="0" w:line="400" w:lineRule="exact"/>
        <w:rPr>
          <w:rFonts w:hint="eastAsia" w:asciiTheme="minorEastAsia" w:hAnsiTheme="minorEastAsia" w:eastAsiaTheme="minorEastAsia" w:cstheme="minorEastAsia"/>
          <w:sz w:val="24"/>
          <w:szCs w:val="24"/>
        </w:rPr>
      </w:pPr>
      <w:bookmarkStart w:id="193" w:name="_Toc144974527"/>
      <w:bookmarkStart w:id="194" w:name="_Toc152045559"/>
      <w:bookmarkStart w:id="195" w:name="_Toc247527584"/>
      <w:bookmarkStart w:id="196" w:name="_Toc247513983"/>
      <w:bookmarkStart w:id="197" w:name="_Toc22637"/>
      <w:bookmarkStart w:id="198" w:name="_Toc152042335"/>
      <w:r>
        <w:rPr>
          <w:rFonts w:hint="eastAsia" w:asciiTheme="minorEastAsia" w:hAnsiTheme="minorEastAsia" w:eastAsiaTheme="minorEastAsia" w:cstheme="minorEastAsia"/>
          <w:sz w:val="24"/>
          <w:szCs w:val="24"/>
        </w:rPr>
        <w:t>5. 开标</w:t>
      </w:r>
      <w:bookmarkEnd w:id="193"/>
      <w:bookmarkEnd w:id="194"/>
      <w:bookmarkEnd w:id="195"/>
      <w:bookmarkEnd w:id="196"/>
      <w:bookmarkEnd w:id="197"/>
      <w:bookmarkEnd w:id="198"/>
    </w:p>
    <w:p w14:paraId="1E116E82">
      <w:pPr>
        <w:pStyle w:val="4"/>
        <w:spacing w:before="0" w:after="0" w:line="400" w:lineRule="exact"/>
        <w:rPr>
          <w:rFonts w:hint="eastAsia" w:asciiTheme="minorEastAsia" w:hAnsiTheme="minorEastAsia" w:eastAsiaTheme="minorEastAsia" w:cstheme="minorEastAsia"/>
          <w:sz w:val="24"/>
          <w:szCs w:val="24"/>
        </w:rPr>
      </w:pPr>
      <w:bookmarkStart w:id="199" w:name="_Toc247527585"/>
      <w:bookmarkStart w:id="200" w:name="_Toc247513984"/>
      <w:bookmarkStart w:id="201" w:name="_Toc9748"/>
      <w:bookmarkStart w:id="202" w:name="_Toc152045560"/>
      <w:bookmarkStart w:id="203" w:name="_Toc144974528"/>
      <w:bookmarkStart w:id="204" w:name="_Toc152042336"/>
      <w:r>
        <w:rPr>
          <w:rFonts w:hint="eastAsia" w:asciiTheme="minorEastAsia" w:hAnsiTheme="minorEastAsia" w:eastAsiaTheme="minorEastAsia" w:cstheme="minorEastAsia"/>
          <w:sz w:val="24"/>
          <w:szCs w:val="24"/>
        </w:rPr>
        <w:t>5.1 开标时间和地点</w:t>
      </w:r>
      <w:bookmarkEnd w:id="199"/>
      <w:bookmarkEnd w:id="200"/>
      <w:bookmarkEnd w:id="201"/>
      <w:bookmarkEnd w:id="202"/>
      <w:bookmarkEnd w:id="203"/>
      <w:bookmarkEnd w:id="204"/>
    </w:p>
    <w:p w14:paraId="5EDBBE3D">
      <w:pPr>
        <w:spacing w:line="400" w:lineRule="exact"/>
        <w:ind w:firstLine="482"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bCs/>
          <w:color w:val="000000"/>
          <w:sz w:val="24"/>
          <w:szCs w:val="24"/>
        </w:rPr>
        <w:t>本项目采取“不见面”开标，不再到开标现场，投标人开标前应仔细阅读《“不见面”开标注意事项及操作流程》。投标人采用网上远程异地解密，在投标时间截止前完成投标文件解密，未按规定进行解密，视为投标人自动弃权，在开标期间投标人应保证电话、电脑、网络等能够正常使用。</w:t>
      </w:r>
    </w:p>
    <w:p w14:paraId="6224C2DC">
      <w:pPr>
        <w:pStyle w:val="4"/>
        <w:spacing w:before="0" w:after="0" w:line="400" w:lineRule="exact"/>
        <w:rPr>
          <w:rFonts w:hint="eastAsia" w:asciiTheme="minorEastAsia" w:hAnsiTheme="minorEastAsia" w:eastAsiaTheme="minorEastAsia" w:cstheme="minorEastAsia"/>
          <w:color w:val="000000"/>
          <w:sz w:val="24"/>
          <w:szCs w:val="24"/>
        </w:rPr>
      </w:pPr>
      <w:bookmarkStart w:id="205" w:name="_Toc152042337"/>
      <w:bookmarkStart w:id="206" w:name="_Toc152045561"/>
      <w:bookmarkStart w:id="207" w:name="_Toc247527586"/>
      <w:bookmarkStart w:id="208" w:name="_Toc247513985"/>
      <w:bookmarkStart w:id="209" w:name="_Toc144974529"/>
      <w:bookmarkStart w:id="210" w:name="_Toc7014"/>
      <w:r>
        <w:rPr>
          <w:rFonts w:hint="eastAsia" w:asciiTheme="minorEastAsia" w:hAnsiTheme="minorEastAsia" w:eastAsiaTheme="minorEastAsia" w:cstheme="minorEastAsia"/>
          <w:color w:val="000000"/>
          <w:sz w:val="24"/>
          <w:szCs w:val="24"/>
        </w:rPr>
        <w:t>5.2 开标程序</w:t>
      </w:r>
      <w:bookmarkEnd w:id="205"/>
      <w:bookmarkEnd w:id="206"/>
      <w:bookmarkEnd w:id="207"/>
      <w:bookmarkEnd w:id="208"/>
      <w:bookmarkEnd w:id="209"/>
      <w:bookmarkEnd w:id="210"/>
      <w:r>
        <w:rPr>
          <w:rFonts w:hint="eastAsia" w:asciiTheme="minorEastAsia" w:hAnsiTheme="minorEastAsia" w:eastAsiaTheme="minorEastAsia" w:cstheme="minorEastAsia"/>
          <w:color w:val="000000"/>
          <w:sz w:val="24"/>
          <w:szCs w:val="24"/>
        </w:rPr>
        <w:t>（疫情期间不适用）</w:t>
      </w:r>
    </w:p>
    <w:p w14:paraId="136C8886">
      <w:pPr>
        <w:spacing w:line="40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主持人按下列程序进行开标：</w:t>
      </w:r>
    </w:p>
    <w:p w14:paraId="0219874A">
      <w:pPr>
        <w:spacing w:line="400" w:lineRule="exact"/>
        <w:ind w:firstLine="410" w:firstLineChars="171"/>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（1）宣布开标纪律；</w:t>
      </w:r>
    </w:p>
    <w:p w14:paraId="417AE38C">
      <w:pPr>
        <w:spacing w:line="400" w:lineRule="exact"/>
        <w:ind w:firstLine="410" w:firstLineChars="171"/>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（2）公布在投标截止时间前递交投标文件的投标人名称，并点名确认投标人是否派人到场；</w:t>
      </w:r>
    </w:p>
    <w:p w14:paraId="0571D8BD">
      <w:pPr>
        <w:spacing w:line="400" w:lineRule="exact"/>
        <w:ind w:firstLine="410" w:firstLineChars="171"/>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（3）宣布开标人、唱标人、记录人、监标人等有关人员姓名；</w:t>
      </w:r>
    </w:p>
    <w:p w14:paraId="5F7A5077">
      <w:pPr>
        <w:spacing w:line="400" w:lineRule="exact"/>
        <w:ind w:firstLine="410" w:firstLineChars="171"/>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（4）按照投标人须知前附表规定检查投标文件的密封情况；</w:t>
      </w:r>
    </w:p>
    <w:p w14:paraId="035C4BB4">
      <w:pPr>
        <w:spacing w:line="400" w:lineRule="exact"/>
        <w:ind w:firstLine="410" w:firstLineChars="171"/>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（5）按照投标人须知前附表的规定确定并宣布投标文件开标顺序；</w:t>
      </w:r>
    </w:p>
    <w:p w14:paraId="08B24FC9">
      <w:pPr>
        <w:spacing w:line="400" w:lineRule="exact"/>
        <w:ind w:firstLine="410" w:firstLineChars="171"/>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（6）开标结束。</w:t>
      </w:r>
    </w:p>
    <w:p w14:paraId="5279441B">
      <w:pPr>
        <w:pStyle w:val="4"/>
        <w:spacing w:before="0" w:after="0" w:line="400" w:lineRule="exact"/>
        <w:rPr>
          <w:rFonts w:hint="eastAsia" w:asciiTheme="minorEastAsia" w:hAnsiTheme="minorEastAsia" w:eastAsiaTheme="minorEastAsia" w:cstheme="minorEastAsia"/>
          <w:color w:val="000000"/>
          <w:sz w:val="24"/>
          <w:szCs w:val="24"/>
        </w:rPr>
      </w:pPr>
      <w:bookmarkStart w:id="211" w:name="_Toc22541"/>
      <w:r>
        <w:rPr>
          <w:rFonts w:hint="eastAsia" w:asciiTheme="minorEastAsia" w:hAnsiTheme="minorEastAsia" w:eastAsiaTheme="minorEastAsia" w:cstheme="minorEastAsia"/>
          <w:color w:val="000000"/>
          <w:sz w:val="24"/>
          <w:szCs w:val="24"/>
        </w:rPr>
        <w:t>5.3 开标异议</w:t>
      </w:r>
      <w:bookmarkEnd w:id="211"/>
    </w:p>
    <w:p w14:paraId="0475D18D">
      <w:pPr>
        <w:spacing w:line="400" w:lineRule="exact"/>
        <w:ind w:firstLine="410" w:firstLine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投标人对开标有异议的，应当</w:t>
      </w:r>
      <w:r>
        <w:rPr>
          <w:rStyle w:val="154"/>
          <w:rFonts w:hint="eastAsia" w:asciiTheme="minorEastAsia" w:hAnsiTheme="minorEastAsia" w:eastAsiaTheme="minorEastAsia" w:cstheme="minorEastAsia"/>
          <w:color w:val="000000"/>
          <w:kern w:val="0"/>
          <w:sz w:val="24"/>
          <w:szCs w:val="24"/>
        </w:rPr>
        <w:t>报价内容显示后20分钟内联系招标人（代理机构）进行质疑</w:t>
      </w:r>
      <w:r>
        <w:rPr>
          <w:rFonts w:hint="eastAsia" w:asciiTheme="minorEastAsia" w:hAnsiTheme="minorEastAsia" w:eastAsiaTheme="minorEastAsia" w:cstheme="minorEastAsia"/>
          <w:sz w:val="24"/>
          <w:szCs w:val="24"/>
        </w:rPr>
        <w:t>，</w:t>
      </w:r>
      <w:r>
        <w:rPr>
          <w:rStyle w:val="154"/>
          <w:rFonts w:hint="eastAsia" w:asciiTheme="minorEastAsia" w:hAnsiTheme="minorEastAsia" w:eastAsiaTheme="minorEastAsia" w:cstheme="minorEastAsia"/>
          <w:color w:val="000000"/>
          <w:kern w:val="0"/>
          <w:sz w:val="24"/>
          <w:szCs w:val="24"/>
        </w:rPr>
        <w:t>投标人未在规定时间内提出质疑的，视为认可开标结果。</w:t>
      </w:r>
    </w:p>
    <w:p w14:paraId="7B409756">
      <w:pPr>
        <w:pStyle w:val="3"/>
        <w:spacing w:before="0" w:after="0" w:line="400" w:lineRule="exact"/>
        <w:rPr>
          <w:rFonts w:hint="eastAsia" w:asciiTheme="minorEastAsia" w:hAnsiTheme="minorEastAsia" w:eastAsiaTheme="minorEastAsia" w:cstheme="minorEastAsia"/>
          <w:sz w:val="24"/>
          <w:szCs w:val="24"/>
        </w:rPr>
      </w:pPr>
      <w:bookmarkStart w:id="212" w:name="_Toc247513986"/>
      <w:bookmarkStart w:id="213" w:name="_Toc144974530"/>
      <w:bookmarkStart w:id="214" w:name="_Toc26103"/>
      <w:bookmarkStart w:id="215" w:name="_Toc152045562"/>
      <w:bookmarkStart w:id="216" w:name="_Toc247527587"/>
      <w:bookmarkStart w:id="217" w:name="_Toc152042338"/>
      <w:r>
        <w:rPr>
          <w:rFonts w:hint="eastAsia" w:asciiTheme="minorEastAsia" w:hAnsiTheme="minorEastAsia" w:eastAsiaTheme="minorEastAsia" w:cstheme="minorEastAsia"/>
          <w:sz w:val="24"/>
          <w:szCs w:val="24"/>
        </w:rPr>
        <w:t>6. 评标</w:t>
      </w:r>
      <w:bookmarkEnd w:id="212"/>
      <w:bookmarkEnd w:id="213"/>
      <w:bookmarkEnd w:id="214"/>
      <w:bookmarkEnd w:id="215"/>
      <w:bookmarkEnd w:id="216"/>
      <w:bookmarkEnd w:id="217"/>
    </w:p>
    <w:p w14:paraId="34991912">
      <w:pPr>
        <w:pStyle w:val="4"/>
        <w:spacing w:before="0" w:after="0" w:line="400" w:lineRule="exact"/>
        <w:rPr>
          <w:rFonts w:hint="eastAsia" w:asciiTheme="minorEastAsia" w:hAnsiTheme="minorEastAsia" w:eastAsiaTheme="minorEastAsia" w:cstheme="minorEastAsia"/>
          <w:sz w:val="24"/>
          <w:szCs w:val="24"/>
        </w:rPr>
      </w:pPr>
      <w:bookmarkStart w:id="218" w:name="_Toc152045563"/>
      <w:bookmarkStart w:id="219" w:name="_Toc152042339"/>
      <w:bookmarkStart w:id="220" w:name="_Toc25480"/>
      <w:bookmarkStart w:id="221" w:name="_Toc247527588"/>
      <w:bookmarkStart w:id="222" w:name="_Toc247513987"/>
      <w:bookmarkStart w:id="223" w:name="_Toc144974531"/>
      <w:r>
        <w:rPr>
          <w:rFonts w:hint="eastAsia" w:asciiTheme="minorEastAsia" w:hAnsiTheme="minorEastAsia" w:eastAsiaTheme="minorEastAsia" w:cstheme="minorEastAsia"/>
          <w:sz w:val="24"/>
          <w:szCs w:val="24"/>
        </w:rPr>
        <w:t>6.1 评标委员会</w:t>
      </w:r>
      <w:bookmarkEnd w:id="218"/>
      <w:bookmarkEnd w:id="219"/>
      <w:bookmarkEnd w:id="220"/>
      <w:bookmarkEnd w:id="221"/>
      <w:bookmarkEnd w:id="222"/>
      <w:bookmarkEnd w:id="223"/>
    </w:p>
    <w:p w14:paraId="167A9C74">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6.1.1 评标由招标人依法组建的评标委员会负责。评标委员会由技术方面的专家及业主代表组成。评标委员会成员人数以及技术方面专家的确定方式见投标人须知前附表。</w:t>
      </w:r>
    </w:p>
    <w:p w14:paraId="7A9DE5A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6.1.2 评标委员会成员有下列情形之一的，应当回避：</w:t>
      </w:r>
    </w:p>
    <w:p w14:paraId="43D74ABF">
      <w:pPr>
        <w:spacing w:line="400" w:lineRule="exact"/>
        <w:ind w:firstLine="820" w:firstLineChars="3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（1）投标人或投标人主要负责人的近亲属；</w:t>
      </w:r>
    </w:p>
    <w:p w14:paraId="2137D4B6">
      <w:pPr>
        <w:spacing w:line="400" w:lineRule="exact"/>
        <w:ind w:firstLine="820" w:firstLineChars="3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（2）项目主管部门或者行政监督部门的人员；</w:t>
      </w:r>
    </w:p>
    <w:p w14:paraId="30CE3DEE">
      <w:pPr>
        <w:spacing w:line="400" w:lineRule="exact"/>
        <w:ind w:firstLine="820" w:firstLineChars="3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（3）与投标人有经济利益关系，可能影响对投标公正评审的；</w:t>
      </w:r>
    </w:p>
    <w:p w14:paraId="49703B83">
      <w:pPr>
        <w:spacing w:line="400" w:lineRule="exact"/>
        <w:ind w:firstLine="820" w:firstLineChars="3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（4）曾因在招标、评标以及其他与招标投标有关活动中从事违法行为而受过行政处罚或刑事处罚的；</w:t>
      </w:r>
    </w:p>
    <w:p w14:paraId="1A0D7A6E">
      <w:pPr>
        <w:spacing w:line="400" w:lineRule="exact"/>
        <w:ind w:firstLine="820" w:firstLineChars="3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（5）与投标人有其他利害关系。</w:t>
      </w:r>
    </w:p>
    <w:p w14:paraId="580EB524">
      <w:pPr>
        <w:pStyle w:val="4"/>
        <w:spacing w:before="0" w:after="0" w:line="400" w:lineRule="exact"/>
        <w:rPr>
          <w:rFonts w:hint="eastAsia" w:asciiTheme="minorEastAsia" w:hAnsiTheme="minorEastAsia" w:eastAsiaTheme="minorEastAsia" w:cstheme="minorEastAsia"/>
          <w:sz w:val="24"/>
          <w:szCs w:val="24"/>
        </w:rPr>
      </w:pPr>
      <w:bookmarkStart w:id="224" w:name="_Toc247527589"/>
      <w:bookmarkStart w:id="225" w:name="_Toc152042340"/>
      <w:bookmarkStart w:id="226" w:name="_Toc23575"/>
      <w:bookmarkStart w:id="227" w:name="_Toc144974532"/>
      <w:bookmarkStart w:id="228" w:name="_Toc247513988"/>
      <w:bookmarkStart w:id="229" w:name="_Toc152045564"/>
      <w:r>
        <w:rPr>
          <w:rFonts w:hint="eastAsia" w:asciiTheme="minorEastAsia" w:hAnsiTheme="minorEastAsia" w:eastAsiaTheme="minorEastAsia" w:cstheme="minorEastAsia"/>
          <w:sz w:val="24"/>
          <w:szCs w:val="24"/>
        </w:rPr>
        <w:t>6.2 评标原则</w:t>
      </w:r>
      <w:bookmarkEnd w:id="224"/>
      <w:bookmarkEnd w:id="225"/>
      <w:bookmarkEnd w:id="226"/>
      <w:bookmarkEnd w:id="227"/>
      <w:bookmarkEnd w:id="228"/>
      <w:bookmarkEnd w:id="229"/>
    </w:p>
    <w:p w14:paraId="421F2658">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评标活动遵循公平、公正、科学和择优的原则。</w:t>
      </w:r>
    </w:p>
    <w:p w14:paraId="333EC75A">
      <w:pPr>
        <w:pStyle w:val="4"/>
        <w:spacing w:before="0" w:after="0" w:line="400" w:lineRule="exact"/>
        <w:rPr>
          <w:rFonts w:hint="eastAsia" w:asciiTheme="minorEastAsia" w:hAnsiTheme="minorEastAsia" w:eastAsiaTheme="minorEastAsia" w:cstheme="minorEastAsia"/>
          <w:sz w:val="24"/>
          <w:szCs w:val="24"/>
        </w:rPr>
      </w:pPr>
      <w:bookmarkStart w:id="230" w:name="_Toc10522"/>
      <w:bookmarkStart w:id="231" w:name="_Toc247513989"/>
      <w:bookmarkStart w:id="232" w:name="_Toc152042341"/>
      <w:bookmarkStart w:id="233" w:name="_Toc144974533"/>
      <w:bookmarkStart w:id="234" w:name="_Toc152045565"/>
      <w:bookmarkStart w:id="235" w:name="_Toc247527590"/>
      <w:r>
        <w:rPr>
          <w:rFonts w:hint="eastAsia" w:asciiTheme="minorEastAsia" w:hAnsiTheme="minorEastAsia" w:eastAsiaTheme="minorEastAsia" w:cstheme="minorEastAsia"/>
          <w:sz w:val="24"/>
          <w:szCs w:val="24"/>
        </w:rPr>
        <w:t>6.3 评标</w:t>
      </w:r>
      <w:bookmarkEnd w:id="230"/>
      <w:bookmarkEnd w:id="231"/>
      <w:bookmarkEnd w:id="232"/>
      <w:bookmarkEnd w:id="233"/>
      <w:bookmarkEnd w:id="234"/>
      <w:bookmarkEnd w:id="235"/>
    </w:p>
    <w:p w14:paraId="5D8B5953">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评标委员会按照第三章“评标办法”规定的方法、评审因素、标准和程序对投标文件进行评审。第三章“评标办法”没有规定的方法、评审因素和标准，不作为评标依据。</w:t>
      </w:r>
    </w:p>
    <w:p w14:paraId="53BCB8D5">
      <w:pPr>
        <w:pStyle w:val="3"/>
        <w:spacing w:before="0" w:after="0" w:line="400" w:lineRule="exact"/>
        <w:rPr>
          <w:rFonts w:hint="eastAsia" w:asciiTheme="minorEastAsia" w:hAnsiTheme="minorEastAsia" w:eastAsiaTheme="minorEastAsia" w:cstheme="minorEastAsia"/>
          <w:sz w:val="24"/>
          <w:szCs w:val="24"/>
        </w:rPr>
      </w:pPr>
      <w:bookmarkStart w:id="236" w:name="_Toc247513990"/>
      <w:bookmarkStart w:id="237" w:name="_Toc247527591"/>
      <w:bookmarkStart w:id="238" w:name="_Toc16048"/>
      <w:bookmarkStart w:id="239" w:name="_Toc144974534"/>
      <w:bookmarkStart w:id="240" w:name="_Toc152042342"/>
      <w:bookmarkStart w:id="241" w:name="_Toc152045566"/>
      <w:r>
        <w:rPr>
          <w:rFonts w:hint="eastAsia" w:asciiTheme="minorEastAsia" w:hAnsiTheme="minorEastAsia" w:eastAsiaTheme="minorEastAsia" w:cstheme="minorEastAsia"/>
          <w:sz w:val="24"/>
          <w:szCs w:val="24"/>
        </w:rPr>
        <w:t>7. 合同授予</w:t>
      </w:r>
      <w:bookmarkEnd w:id="236"/>
      <w:bookmarkEnd w:id="237"/>
      <w:bookmarkEnd w:id="238"/>
      <w:bookmarkEnd w:id="239"/>
      <w:bookmarkEnd w:id="240"/>
      <w:bookmarkEnd w:id="241"/>
    </w:p>
    <w:p w14:paraId="38F74D3E">
      <w:pPr>
        <w:pStyle w:val="4"/>
        <w:spacing w:before="0" w:after="0" w:line="400" w:lineRule="exact"/>
        <w:rPr>
          <w:rFonts w:hint="eastAsia" w:asciiTheme="minorEastAsia" w:hAnsiTheme="minorEastAsia" w:eastAsiaTheme="minorEastAsia" w:cstheme="minorEastAsia"/>
          <w:sz w:val="24"/>
          <w:szCs w:val="24"/>
        </w:rPr>
      </w:pPr>
      <w:bookmarkStart w:id="242" w:name="_Toc26112"/>
      <w:bookmarkStart w:id="243" w:name="_Toc247513991"/>
      <w:bookmarkStart w:id="244" w:name="_Toc144974535"/>
      <w:bookmarkStart w:id="245" w:name="_Toc152042343"/>
      <w:bookmarkStart w:id="246" w:name="_Toc247527592"/>
      <w:bookmarkStart w:id="247" w:name="_Toc152045567"/>
      <w:r>
        <w:rPr>
          <w:rFonts w:hint="eastAsia" w:asciiTheme="minorEastAsia" w:hAnsiTheme="minorEastAsia" w:eastAsiaTheme="minorEastAsia" w:cstheme="minorEastAsia"/>
          <w:sz w:val="24"/>
          <w:szCs w:val="24"/>
        </w:rPr>
        <w:t>7.1 定标方式</w:t>
      </w:r>
      <w:bookmarkEnd w:id="242"/>
      <w:bookmarkEnd w:id="243"/>
      <w:bookmarkEnd w:id="244"/>
      <w:bookmarkEnd w:id="245"/>
      <w:bookmarkEnd w:id="246"/>
      <w:bookmarkEnd w:id="247"/>
    </w:p>
    <w:p w14:paraId="5EC0D155">
      <w:pPr>
        <w:pStyle w:val="4"/>
        <w:spacing w:before="0" w:after="0" w:line="400" w:lineRule="exact"/>
        <w:ind w:firstLine="480" w:firstLineChars="200"/>
        <w:rPr>
          <w:rFonts w:hint="eastAsia" w:asciiTheme="minorEastAsia" w:hAnsiTheme="minorEastAsia" w:eastAsiaTheme="minorEastAsia" w:cstheme="minorEastAsia"/>
          <w:b w:val="0"/>
          <w:bCs w:val="0"/>
          <w:kern w:val="2"/>
          <w:sz w:val="24"/>
          <w:szCs w:val="24"/>
          <w:lang w:val="en-US" w:eastAsia="zh-CN" w:bidi="ar-SA"/>
        </w:rPr>
      </w:pPr>
      <w:bookmarkStart w:id="248" w:name="_Toc24068"/>
      <w:r>
        <w:rPr>
          <w:rFonts w:hint="eastAsia" w:asciiTheme="minorEastAsia" w:hAnsiTheme="minorEastAsia" w:eastAsiaTheme="minorEastAsia" w:cstheme="minorEastAsia"/>
          <w:b w:val="0"/>
          <w:bCs w:val="0"/>
          <w:kern w:val="2"/>
          <w:sz w:val="24"/>
          <w:szCs w:val="24"/>
          <w:lang w:val="en-US" w:eastAsia="zh-CN" w:bidi="ar-SA"/>
        </w:rPr>
        <w:t>本次评标采用综合评估法。评标委员会对满足招标文件实质性要求的投标文件，按照本章第2.2款规定的评分标准进行打分，并按得分由高到低顺序对投标人排序，并推荐1至3名中标候选人。综合评分相等时，以投标报价低的优先。</w:t>
      </w:r>
    </w:p>
    <w:p w14:paraId="21A4FECA">
      <w:pPr>
        <w:pStyle w:val="4"/>
        <w:spacing w:before="0"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 中标候选人公示</w:t>
      </w:r>
      <w:bookmarkEnd w:id="248"/>
    </w:p>
    <w:p w14:paraId="208492A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招标人在投标人须知前附表规定的媒介公示中标候选人。</w:t>
      </w:r>
    </w:p>
    <w:p w14:paraId="6C650EEB">
      <w:pPr>
        <w:pStyle w:val="4"/>
        <w:spacing w:before="0" w:after="0" w:line="400" w:lineRule="exact"/>
        <w:rPr>
          <w:rFonts w:hint="eastAsia" w:asciiTheme="minorEastAsia" w:hAnsiTheme="minorEastAsia" w:eastAsiaTheme="minorEastAsia" w:cstheme="minorEastAsia"/>
          <w:sz w:val="24"/>
          <w:szCs w:val="24"/>
        </w:rPr>
      </w:pPr>
      <w:bookmarkStart w:id="249" w:name="_Toc247513992"/>
      <w:bookmarkStart w:id="250" w:name="_Toc247527593"/>
      <w:bookmarkStart w:id="251" w:name="_Toc31116"/>
      <w:bookmarkStart w:id="252" w:name="_Toc152045568"/>
      <w:bookmarkStart w:id="253" w:name="_Toc152042344"/>
      <w:bookmarkStart w:id="254" w:name="_Toc144974536"/>
      <w:r>
        <w:rPr>
          <w:rFonts w:hint="eastAsia" w:asciiTheme="minorEastAsia" w:hAnsiTheme="minorEastAsia" w:eastAsiaTheme="minorEastAsia" w:cstheme="minorEastAsia"/>
          <w:sz w:val="24"/>
          <w:szCs w:val="24"/>
        </w:rPr>
        <w:t>7.3 中标通知</w:t>
      </w:r>
      <w:bookmarkEnd w:id="249"/>
      <w:bookmarkEnd w:id="250"/>
      <w:bookmarkEnd w:id="251"/>
      <w:bookmarkEnd w:id="252"/>
      <w:bookmarkEnd w:id="253"/>
      <w:bookmarkEnd w:id="254"/>
    </w:p>
    <w:p w14:paraId="087882B2">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在规定的投标有效期内，招标人以书面形式向中标人发出中标通知书，中标结果不通知未中标的投标人。</w:t>
      </w:r>
    </w:p>
    <w:p w14:paraId="3396864B">
      <w:pPr>
        <w:pStyle w:val="4"/>
        <w:spacing w:before="0" w:after="0" w:line="400" w:lineRule="exact"/>
        <w:rPr>
          <w:rFonts w:hint="eastAsia" w:asciiTheme="minorEastAsia" w:hAnsiTheme="minorEastAsia" w:eastAsiaTheme="minorEastAsia" w:cstheme="minorEastAsia"/>
          <w:sz w:val="24"/>
          <w:szCs w:val="24"/>
        </w:rPr>
      </w:pPr>
      <w:bookmarkStart w:id="255" w:name="_Toc247513994"/>
      <w:bookmarkStart w:id="256" w:name="_Toc247527595"/>
      <w:bookmarkStart w:id="257" w:name="_Toc152045570"/>
      <w:bookmarkStart w:id="258" w:name="_Toc29678"/>
      <w:bookmarkStart w:id="259" w:name="_Toc144974538"/>
      <w:bookmarkStart w:id="260" w:name="_Toc152042346"/>
      <w:r>
        <w:rPr>
          <w:rFonts w:hint="eastAsia" w:asciiTheme="minorEastAsia" w:hAnsiTheme="minorEastAsia" w:eastAsiaTheme="minorEastAsia" w:cstheme="minorEastAsia"/>
          <w:sz w:val="24"/>
          <w:szCs w:val="24"/>
        </w:rPr>
        <w:t>7.4 签订合同</w:t>
      </w:r>
      <w:bookmarkEnd w:id="255"/>
      <w:bookmarkEnd w:id="256"/>
      <w:bookmarkEnd w:id="257"/>
      <w:bookmarkEnd w:id="258"/>
      <w:bookmarkEnd w:id="259"/>
      <w:bookmarkEnd w:id="260"/>
    </w:p>
    <w:p w14:paraId="016C5E76">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7.4.1 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50E27CA2">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7.4.2 发出中标通知书后，招标人无正当理由拒签合同的，招标人向中标人退还投标保证金；给中标人造成损失的，还应当赔偿损失。 </w:t>
      </w:r>
    </w:p>
    <w:p w14:paraId="32CF9725">
      <w:pPr>
        <w:pStyle w:val="3"/>
        <w:spacing w:before="0" w:after="0" w:line="400" w:lineRule="exact"/>
        <w:rPr>
          <w:rFonts w:hint="eastAsia" w:asciiTheme="minorEastAsia" w:hAnsiTheme="minorEastAsia" w:eastAsiaTheme="minorEastAsia" w:cstheme="minorEastAsia"/>
          <w:sz w:val="24"/>
          <w:szCs w:val="24"/>
        </w:rPr>
      </w:pPr>
      <w:bookmarkStart w:id="261" w:name="_Toc152042347"/>
      <w:bookmarkStart w:id="262" w:name="_Toc152045571"/>
      <w:bookmarkStart w:id="263" w:name="_Toc247513995"/>
      <w:bookmarkStart w:id="264" w:name="_Toc247527596"/>
      <w:bookmarkStart w:id="265" w:name="_Toc144974539"/>
      <w:bookmarkStart w:id="266" w:name="_Toc22218"/>
      <w:r>
        <w:rPr>
          <w:rFonts w:hint="eastAsia" w:asciiTheme="minorEastAsia" w:hAnsiTheme="minorEastAsia" w:eastAsiaTheme="minorEastAsia" w:cstheme="minorEastAsia"/>
          <w:sz w:val="24"/>
          <w:szCs w:val="24"/>
        </w:rPr>
        <w:t>8.</w:t>
      </w:r>
      <w:bookmarkEnd w:id="261"/>
      <w:bookmarkEnd w:id="262"/>
      <w:bookmarkEnd w:id="263"/>
      <w:bookmarkEnd w:id="264"/>
      <w:bookmarkEnd w:id="265"/>
      <w:bookmarkStart w:id="267" w:name="_Toc247513998"/>
      <w:bookmarkStart w:id="268" w:name="_Toc144974542"/>
      <w:bookmarkStart w:id="269" w:name="_Toc247527599"/>
      <w:bookmarkStart w:id="270" w:name="_Toc152045574"/>
      <w:bookmarkStart w:id="271" w:name="_Toc152042350"/>
      <w:r>
        <w:rPr>
          <w:rFonts w:hint="eastAsia" w:asciiTheme="minorEastAsia" w:hAnsiTheme="minorEastAsia" w:eastAsiaTheme="minorEastAsia" w:cstheme="minorEastAsia"/>
          <w:sz w:val="24"/>
          <w:szCs w:val="24"/>
        </w:rPr>
        <w:t xml:space="preserve"> 纪律和监督</w:t>
      </w:r>
      <w:bookmarkEnd w:id="266"/>
      <w:bookmarkEnd w:id="267"/>
      <w:bookmarkEnd w:id="268"/>
      <w:bookmarkEnd w:id="269"/>
      <w:bookmarkEnd w:id="270"/>
      <w:bookmarkEnd w:id="271"/>
    </w:p>
    <w:p w14:paraId="07CC8701">
      <w:pPr>
        <w:pStyle w:val="4"/>
        <w:spacing w:before="0" w:after="0" w:line="400" w:lineRule="exact"/>
        <w:rPr>
          <w:rFonts w:hint="eastAsia" w:asciiTheme="minorEastAsia" w:hAnsiTheme="minorEastAsia" w:eastAsiaTheme="minorEastAsia" w:cstheme="minorEastAsia"/>
          <w:sz w:val="24"/>
          <w:szCs w:val="24"/>
        </w:rPr>
      </w:pPr>
      <w:bookmarkStart w:id="272" w:name="_Toc19805"/>
      <w:bookmarkStart w:id="273" w:name="_Toc144974543"/>
      <w:bookmarkStart w:id="274" w:name="_Toc152042351"/>
      <w:bookmarkStart w:id="275" w:name="_Toc152045575"/>
      <w:bookmarkStart w:id="276" w:name="_Toc247513999"/>
      <w:bookmarkStart w:id="277" w:name="_Toc247527600"/>
      <w:r>
        <w:rPr>
          <w:rFonts w:hint="eastAsia" w:asciiTheme="minorEastAsia" w:hAnsiTheme="minorEastAsia" w:eastAsiaTheme="minorEastAsia" w:cstheme="minorEastAsia"/>
          <w:sz w:val="24"/>
          <w:szCs w:val="24"/>
        </w:rPr>
        <w:t>8.1 对招标人的纪律要求</w:t>
      </w:r>
      <w:bookmarkEnd w:id="272"/>
      <w:bookmarkEnd w:id="273"/>
      <w:bookmarkEnd w:id="274"/>
      <w:bookmarkEnd w:id="275"/>
      <w:bookmarkEnd w:id="276"/>
      <w:bookmarkEnd w:id="277"/>
    </w:p>
    <w:p w14:paraId="3DBB9B20">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招标人不得泄漏招标投标活动中应当保密的情况和资料，不得与投标人串通损害国家利益、社会公共利益或者他人合法权益。</w:t>
      </w:r>
    </w:p>
    <w:p w14:paraId="2091F283">
      <w:pPr>
        <w:pStyle w:val="4"/>
        <w:spacing w:before="0" w:after="0" w:line="400" w:lineRule="exact"/>
        <w:rPr>
          <w:rFonts w:hint="eastAsia" w:asciiTheme="minorEastAsia" w:hAnsiTheme="minorEastAsia" w:eastAsiaTheme="minorEastAsia" w:cstheme="minorEastAsia"/>
          <w:sz w:val="24"/>
          <w:szCs w:val="24"/>
        </w:rPr>
      </w:pPr>
      <w:bookmarkStart w:id="278" w:name="_Toc152045576"/>
      <w:bookmarkStart w:id="279" w:name="_Toc247514000"/>
      <w:bookmarkStart w:id="280" w:name="_Toc247527601"/>
      <w:bookmarkStart w:id="281" w:name="_Toc152042352"/>
      <w:bookmarkStart w:id="282" w:name="_Toc144974544"/>
      <w:bookmarkStart w:id="283" w:name="_Toc3236"/>
      <w:r>
        <w:rPr>
          <w:rFonts w:hint="eastAsia" w:asciiTheme="minorEastAsia" w:hAnsiTheme="minorEastAsia" w:eastAsiaTheme="minorEastAsia" w:cstheme="minorEastAsia"/>
          <w:sz w:val="24"/>
          <w:szCs w:val="24"/>
        </w:rPr>
        <w:t>8.2 对投标人的纪律要求</w:t>
      </w:r>
      <w:bookmarkEnd w:id="278"/>
      <w:bookmarkEnd w:id="279"/>
      <w:bookmarkEnd w:id="280"/>
      <w:bookmarkEnd w:id="281"/>
      <w:bookmarkEnd w:id="282"/>
      <w:bookmarkEnd w:id="283"/>
    </w:p>
    <w:p w14:paraId="1661B23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C47173D">
      <w:pPr>
        <w:pStyle w:val="4"/>
        <w:spacing w:before="0" w:after="0" w:line="400" w:lineRule="exact"/>
        <w:rPr>
          <w:rFonts w:hint="eastAsia" w:asciiTheme="minorEastAsia" w:hAnsiTheme="minorEastAsia" w:eastAsiaTheme="minorEastAsia" w:cstheme="minorEastAsia"/>
          <w:sz w:val="24"/>
          <w:szCs w:val="24"/>
        </w:rPr>
      </w:pPr>
      <w:bookmarkStart w:id="284" w:name="_Toc247527602"/>
      <w:bookmarkStart w:id="285" w:name="_Toc152042353"/>
      <w:bookmarkStart w:id="286" w:name="_Toc9343"/>
      <w:bookmarkStart w:id="287" w:name="_Toc144974545"/>
      <w:bookmarkStart w:id="288" w:name="_Toc152045577"/>
      <w:bookmarkStart w:id="289" w:name="_Toc247514001"/>
      <w:r>
        <w:rPr>
          <w:rFonts w:hint="eastAsia" w:asciiTheme="minorEastAsia" w:hAnsiTheme="minorEastAsia" w:eastAsiaTheme="minorEastAsia" w:cstheme="minorEastAsia"/>
          <w:sz w:val="24"/>
          <w:szCs w:val="24"/>
        </w:rPr>
        <w:t>8.3 对评标委员会成员的纪律要求</w:t>
      </w:r>
      <w:bookmarkEnd w:id="284"/>
      <w:bookmarkEnd w:id="285"/>
      <w:bookmarkEnd w:id="286"/>
      <w:bookmarkEnd w:id="287"/>
      <w:bookmarkEnd w:id="288"/>
      <w:bookmarkEnd w:id="289"/>
    </w:p>
    <w:p w14:paraId="4D3D97A9">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BE577C8">
      <w:pPr>
        <w:pStyle w:val="4"/>
        <w:spacing w:before="0" w:after="0" w:line="400" w:lineRule="exact"/>
        <w:rPr>
          <w:rFonts w:hint="eastAsia" w:asciiTheme="minorEastAsia" w:hAnsiTheme="minorEastAsia" w:eastAsiaTheme="minorEastAsia" w:cstheme="minorEastAsia"/>
          <w:sz w:val="24"/>
          <w:szCs w:val="24"/>
        </w:rPr>
      </w:pPr>
      <w:bookmarkStart w:id="290" w:name="_Toc152045578"/>
      <w:bookmarkStart w:id="291" w:name="_Toc152042354"/>
      <w:bookmarkStart w:id="292" w:name="_Toc24523"/>
      <w:bookmarkStart w:id="293" w:name="_Toc247527603"/>
      <w:bookmarkStart w:id="294" w:name="_Toc247514002"/>
      <w:bookmarkStart w:id="295" w:name="_Toc144974546"/>
      <w:r>
        <w:rPr>
          <w:rFonts w:hint="eastAsia" w:asciiTheme="minorEastAsia" w:hAnsiTheme="minorEastAsia" w:eastAsiaTheme="minorEastAsia" w:cstheme="minorEastAsia"/>
          <w:sz w:val="24"/>
          <w:szCs w:val="24"/>
        </w:rPr>
        <w:t>8.4 对与评标活动有关的工作人员的纪律要求</w:t>
      </w:r>
      <w:bookmarkEnd w:id="290"/>
      <w:bookmarkEnd w:id="291"/>
      <w:bookmarkEnd w:id="292"/>
      <w:bookmarkEnd w:id="293"/>
      <w:bookmarkEnd w:id="294"/>
    </w:p>
    <w:p w14:paraId="0B6CD2CA">
      <w:pPr>
        <w:spacing w:line="400" w:lineRule="exact"/>
        <w:ind w:firstLine="480" w:firstLineChars="200"/>
        <w:rPr>
          <w:rFonts w:hint="eastAsia" w:asciiTheme="minorEastAsia" w:hAnsiTheme="minorEastAsia" w:eastAsiaTheme="minorEastAsia" w:cstheme="minorEastAsia"/>
          <w:sz w:val="24"/>
          <w:szCs w:val="24"/>
        </w:rPr>
      </w:pPr>
      <w:bookmarkStart w:id="296" w:name="_Toc152042355"/>
      <w:r>
        <w:rPr>
          <w:rFonts w:hint="eastAsia" w:asciiTheme="minorEastAsia" w:hAnsiTheme="minorEastAsia" w:eastAsiaTheme="minorEastAsia" w:cstheme="minorEastAsia"/>
          <w:sz w:val="24"/>
          <w:szCs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296"/>
    </w:p>
    <w:p w14:paraId="57F32FCE">
      <w:pPr>
        <w:pStyle w:val="4"/>
        <w:spacing w:before="0" w:after="0" w:line="400" w:lineRule="exact"/>
        <w:rPr>
          <w:rFonts w:hint="eastAsia" w:asciiTheme="minorEastAsia" w:hAnsiTheme="minorEastAsia" w:eastAsiaTheme="minorEastAsia" w:cstheme="minorEastAsia"/>
          <w:sz w:val="24"/>
          <w:szCs w:val="24"/>
        </w:rPr>
      </w:pPr>
      <w:bookmarkStart w:id="297" w:name="_Toc152045579"/>
      <w:bookmarkStart w:id="298" w:name="_Toc247514003"/>
      <w:bookmarkStart w:id="299" w:name="_Toc22905"/>
      <w:bookmarkStart w:id="300" w:name="_Toc247527604"/>
      <w:bookmarkStart w:id="301" w:name="_Toc152042356"/>
      <w:r>
        <w:rPr>
          <w:rFonts w:hint="eastAsia" w:asciiTheme="minorEastAsia" w:hAnsiTheme="minorEastAsia" w:eastAsiaTheme="minorEastAsia" w:cstheme="minorEastAsia"/>
          <w:sz w:val="24"/>
          <w:szCs w:val="24"/>
        </w:rPr>
        <w:t>8.5 投诉</w:t>
      </w:r>
      <w:bookmarkEnd w:id="295"/>
      <w:bookmarkEnd w:id="297"/>
      <w:bookmarkEnd w:id="298"/>
      <w:bookmarkEnd w:id="299"/>
      <w:bookmarkEnd w:id="300"/>
      <w:bookmarkEnd w:id="301"/>
    </w:p>
    <w:p w14:paraId="13C91E6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投标人和其他利害关系人认为本次招标活动违反法律、法规和规章规定的，有权向有关行政监督部门投诉。</w:t>
      </w:r>
    </w:p>
    <w:p w14:paraId="1F4C1E78">
      <w:pPr>
        <w:pStyle w:val="3"/>
        <w:spacing w:before="0" w:after="0" w:line="400" w:lineRule="exact"/>
        <w:rPr>
          <w:rFonts w:hint="eastAsia" w:asciiTheme="minorEastAsia" w:hAnsiTheme="minorEastAsia" w:eastAsiaTheme="minorEastAsia" w:cstheme="minorEastAsia"/>
          <w:sz w:val="24"/>
          <w:szCs w:val="24"/>
        </w:rPr>
      </w:pPr>
      <w:bookmarkStart w:id="302" w:name="_Toc152045580"/>
      <w:bookmarkStart w:id="303" w:name="_Toc247514004"/>
      <w:bookmarkStart w:id="304" w:name="_Toc3370"/>
      <w:bookmarkStart w:id="305" w:name="_Toc152042357"/>
      <w:bookmarkStart w:id="306" w:name="_Toc247527605"/>
      <w:bookmarkStart w:id="307" w:name="_Toc144974547"/>
      <w:r>
        <w:rPr>
          <w:rFonts w:hint="eastAsia" w:asciiTheme="minorEastAsia" w:hAnsiTheme="minorEastAsia" w:eastAsiaTheme="minorEastAsia" w:cstheme="minorEastAsia"/>
          <w:sz w:val="24"/>
          <w:szCs w:val="24"/>
        </w:rPr>
        <w:t>9. 需要补充的其他内容</w:t>
      </w:r>
      <w:bookmarkEnd w:id="302"/>
      <w:bookmarkEnd w:id="303"/>
      <w:bookmarkEnd w:id="304"/>
      <w:bookmarkEnd w:id="305"/>
      <w:bookmarkEnd w:id="306"/>
      <w:bookmarkEnd w:id="307"/>
    </w:p>
    <w:p w14:paraId="3F6C2924">
      <w:pPr>
        <w:spacing w:line="400" w:lineRule="exact"/>
        <w:ind w:firstLine="480" w:firstLineChars="200"/>
        <w:rPr>
          <w:rFonts w:ascii="宋体" w:hAnsi="宋体"/>
          <w:sz w:val="32"/>
          <w:szCs w:val="32"/>
        </w:rPr>
        <w:sectPr>
          <w:pgSz w:w="11907" w:h="16840"/>
          <w:pgMar w:top="1797" w:right="1440" w:bottom="1797" w:left="1440" w:header="851" w:footer="851" w:gutter="0"/>
          <w:pgNumType w:fmt="decimal"/>
          <w:cols w:space="720" w:num="1"/>
          <w:docGrid w:linePitch="600" w:charSpace="0"/>
        </w:sectPr>
      </w:pPr>
      <w:r>
        <w:rPr>
          <w:rFonts w:hint="eastAsia" w:asciiTheme="minorEastAsia" w:hAnsiTheme="minorEastAsia" w:eastAsiaTheme="minorEastAsia" w:cstheme="minorEastAsia"/>
          <w:sz w:val="24"/>
          <w:szCs w:val="24"/>
        </w:rPr>
        <w:t>需要补充的其他内容：见投标人须知前附表</w:t>
      </w:r>
      <w:r>
        <w:rPr>
          <w:rFonts w:hint="eastAsia" w:asciiTheme="minorEastAsia" w:hAnsiTheme="minorEastAsia" w:eastAsiaTheme="minorEastAsia"/>
          <w:szCs w:val="21"/>
        </w:rPr>
        <w:t>。</w:t>
      </w:r>
      <w:bookmarkStart w:id="308" w:name="_Toc144974565"/>
      <w:bookmarkStart w:id="309" w:name="_Toc23162_WPSOffice_Level1"/>
      <w:bookmarkStart w:id="310" w:name="_Toc247514022"/>
      <w:bookmarkStart w:id="311" w:name="_Toc1607_WPSOffice_Level1"/>
      <w:bookmarkStart w:id="312" w:name="_Toc247527623"/>
      <w:bookmarkStart w:id="313" w:name="_Toc1389"/>
      <w:bookmarkStart w:id="314" w:name="_Toc152045598"/>
      <w:bookmarkStart w:id="315" w:name="_Toc152042375"/>
    </w:p>
    <w:p w14:paraId="13B7EDC1">
      <w:pPr>
        <w:pStyle w:val="2"/>
        <w:spacing w:before="120" w:after="120"/>
        <w:jc w:val="center"/>
        <w:rPr>
          <w:rFonts w:ascii="宋体" w:hAnsi="宋体"/>
          <w:sz w:val="32"/>
          <w:szCs w:val="32"/>
        </w:rPr>
      </w:pPr>
      <w:r>
        <w:rPr>
          <w:rFonts w:hint="eastAsia" w:ascii="宋体" w:hAnsi="宋体"/>
          <w:sz w:val="32"/>
          <w:szCs w:val="32"/>
        </w:rPr>
        <w:t>第三章 评标办法（综合评估法）</w:t>
      </w:r>
      <w:bookmarkEnd w:id="308"/>
      <w:bookmarkEnd w:id="309"/>
      <w:bookmarkEnd w:id="310"/>
      <w:bookmarkEnd w:id="311"/>
      <w:bookmarkEnd w:id="312"/>
      <w:bookmarkEnd w:id="313"/>
      <w:bookmarkEnd w:id="314"/>
      <w:bookmarkEnd w:id="315"/>
    </w:p>
    <w:p w14:paraId="236EC5F4">
      <w:pPr>
        <w:spacing w:after="240" w:afterLines="100" w:line="360" w:lineRule="auto"/>
        <w:jc w:val="center"/>
        <w:rPr>
          <w:b/>
        </w:rPr>
      </w:pPr>
      <w:r>
        <w:rPr>
          <w:rFonts w:hint="eastAsia"/>
          <w:b/>
        </w:rPr>
        <w:t>评标办法前附表</w:t>
      </w:r>
    </w:p>
    <w:tbl>
      <w:tblPr>
        <w:tblStyle w:val="36"/>
        <w:tblpPr w:leftFromText="180" w:rightFromText="180" w:vertAnchor="text" w:tblpY="1"/>
        <w:tblOverlap w:val="never"/>
        <w:tblW w:w="10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304"/>
        <w:gridCol w:w="60"/>
        <w:gridCol w:w="1198"/>
        <w:gridCol w:w="1725"/>
        <w:gridCol w:w="6139"/>
      </w:tblGrid>
      <w:tr w14:paraId="243A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1" w:type="dxa"/>
            <w:gridSpan w:val="4"/>
            <w:tcBorders>
              <w:top w:val="single" w:color="auto" w:sz="4" w:space="0"/>
              <w:left w:val="single" w:color="auto" w:sz="4" w:space="0"/>
              <w:bottom w:val="single" w:color="auto" w:sz="4" w:space="0"/>
              <w:right w:val="single" w:color="auto" w:sz="4" w:space="0"/>
            </w:tcBorders>
            <w:noWrap w:val="0"/>
            <w:vAlign w:val="center"/>
          </w:tcPr>
          <w:p w14:paraId="12136729">
            <w:pPr>
              <w:spacing w:line="360" w:lineRule="auto"/>
              <w:jc w:val="center"/>
              <w:rPr>
                <w:rFonts w:hint="eastAsia" w:asciiTheme="minorEastAsia" w:hAnsiTheme="minorEastAsia" w:eastAsiaTheme="minorEastAsia" w:cstheme="minorEastAsia"/>
                <w:b/>
                <w:color w:val="000000"/>
                <w:sz w:val="24"/>
                <w:szCs w:val="24"/>
              </w:rPr>
            </w:pPr>
            <w:bookmarkStart w:id="316" w:name="_Toc152045600"/>
            <w:bookmarkStart w:id="317" w:name="_Toc152042377"/>
            <w:bookmarkStart w:id="318" w:name="_Toc144974567"/>
            <w:bookmarkStart w:id="319" w:name="_Toc247527625"/>
            <w:bookmarkStart w:id="320" w:name="_Toc247514024"/>
            <w:bookmarkStart w:id="321" w:name="_Toc14358"/>
            <w:r>
              <w:rPr>
                <w:rFonts w:hint="eastAsia" w:asciiTheme="minorEastAsia" w:hAnsiTheme="minorEastAsia" w:eastAsiaTheme="minorEastAsia" w:cstheme="minorEastAsia"/>
                <w:b/>
                <w:color w:val="000000"/>
                <w:sz w:val="24"/>
                <w:szCs w:val="24"/>
              </w:rPr>
              <w:t>条款号</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97F44F7">
            <w:pPr>
              <w:spacing w:line="360" w:lineRule="auto"/>
              <w:jc w:val="center"/>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评审因素</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0553D55F">
            <w:pPr>
              <w:spacing w:line="360" w:lineRule="auto"/>
              <w:jc w:val="center"/>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评审标准</w:t>
            </w:r>
          </w:p>
        </w:tc>
      </w:tr>
      <w:tr w14:paraId="038A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589" w:type="dxa"/>
            <w:vMerge w:val="restart"/>
            <w:tcBorders>
              <w:top w:val="single" w:color="auto" w:sz="4" w:space="0"/>
              <w:left w:val="single" w:color="auto" w:sz="4" w:space="0"/>
              <w:bottom w:val="single" w:color="auto" w:sz="4" w:space="0"/>
              <w:right w:val="single" w:color="auto" w:sz="4" w:space="0"/>
            </w:tcBorders>
            <w:noWrap w:val="0"/>
            <w:vAlign w:val="center"/>
          </w:tcPr>
          <w:p w14:paraId="3EC37DA0">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c>
          <w:tcPr>
            <w:tcW w:w="1562"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2C29EBD8">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形式</w:t>
            </w:r>
          </w:p>
          <w:p w14:paraId="2EE21BB6">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评审</w:t>
            </w:r>
          </w:p>
          <w:p w14:paraId="282CAD3E">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标准</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7737E6D">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供应商名称</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5564700C">
            <w:pPr>
              <w:spacing w:line="36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与营业执照、资质证书一致</w:t>
            </w:r>
          </w:p>
        </w:tc>
      </w:tr>
      <w:tr w14:paraId="261D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14:paraId="3275CA30">
            <w:pPr>
              <w:widowControl/>
              <w:jc w:val="left"/>
              <w:rPr>
                <w:rFonts w:hint="eastAsia" w:asciiTheme="minorEastAsia" w:hAnsiTheme="minorEastAsia" w:eastAsiaTheme="minorEastAsia" w:cstheme="minorEastAsia"/>
                <w:color w:val="000000"/>
                <w:sz w:val="24"/>
                <w:szCs w:val="24"/>
              </w:rPr>
            </w:pPr>
          </w:p>
        </w:tc>
        <w:tc>
          <w:tcPr>
            <w:tcW w:w="15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A89B059">
            <w:pPr>
              <w:widowControl/>
              <w:jc w:val="left"/>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A8FD6EF">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响应文件格式</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25132DC0">
            <w:pPr>
              <w:spacing w:line="36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符合第</w:t>
            </w:r>
            <w:r>
              <w:rPr>
                <w:rFonts w:hint="eastAsia" w:asciiTheme="minorEastAsia" w:hAnsiTheme="minorEastAsia" w:eastAsiaTheme="minorEastAsia" w:cstheme="minorEastAsia"/>
                <w:color w:val="000000"/>
                <w:sz w:val="24"/>
                <w:szCs w:val="24"/>
                <w:lang w:val="en-US" w:eastAsia="zh-CN"/>
              </w:rPr>
              <w:t>六</w:t>
            </w:r>
            <w:r>
              <w:rPr>
                <w:rFonts w:hint="eastAsia" w:asciiTheme="minorEastAsia" w:hAnsiTheme="minorEastAsia" w:eastAsiaTheme="minorEastAsia" w:cstheme="minorEastAsia"/>
                <w:color w:val="000000"/>
                <w:sz w:val="24"/>
                <w:szCs w:val="24"/>
              </w:rPr>
              <w:t>章“</w:t>
            </w:r>
            <w:r>
              <w:rPr>
                <w:rFonts w:hint="eastAsia" w:asciiTheme="minorEastAsia" w:hAnsiTheme="minorEastAsia" w:eastAsiaTheme="minorEastAsia" w:cstheme="minorEastAsia"/>
                <w:color w:val="000000"/>
                <w:sz w:val="24"/>
                <w:szCs w:val="24"/>
                <w:lang w:val="en-US" w:eastAsia="zh-CN"/>
              </w:rPr>
              <w:t>投标</w:t>
            </w:r>
            <w:r>
              <w:rPr>
                <w:rFonts w:hint="eastAsia" w:asciiTheme="minorEastAsia" w:hAnsiTheme="minorEastAsia" w:eastAsiaTheme="minorEastAsia" w:cstheme="minorEastAsia"/>
                <w:color w:val="000000"/>
                <w:sz w:val="24"/>
                <w:szCs w:val="24"/>
              </w:rPr>
              <w:t>文件格式”的要求</w:t>
            </w:r>
          </w:p>
        </w:tc>
      </w:tr>
      <w:tr w14:paraId="4F28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14:paraId="183F1A60">
            <w:pPr>
              <w:widowControl/>
              <w:jc w:val="left"/>
              <w:rPr>
                <w:rFonts w:hint="eastAsia" w:asciiTheme="minorEastAsia" w:hAnsiTheme="minorEastAsia" w:eastAsiaTheme="minorEastAsia" w:cstheme="minorEastAsia"/>
                <w:color w:val="000000"/>
                <w:sz w:val="24"/>
                <w:szCs w:val="24"/>
              </w:rPr>
            </w:pPr>
          </w:p>
        </w:tc>
        <w:tc>
          <w:tcPr>
            <w:tcW w:w="15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897F9DB">
            <w:pPr>
              <w:widowControl/>
              <w:jc w:val="left"/>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1C6628B">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报价唯一</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0D34578B">
            <w:pPr>
              <w:spacing w:line="36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只能有一个有效报价</w:t>
            </w:r>
          </w:p>
        </w:tc>
      </w:tr>
      <w:tr w14:paraId="69C3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trPr>
        <w:tc>
          <w:tcPr>
            <w:tcW w:w="589" w:type="dxa"/>
            <w:tcBorders>
              <w:top w:val="single" w:color="auto" w:sz="4" w:space="0"/>
              <w:left w:val="single" w:color="auto" w:sz="4" w:space="0"/>
              <w:bottom w:val="single" w:color="auto" w:sz="4" w:space="0"/>
              <w:right w:val="single" w:color="auto" w:sz="4" w:space="0"/>
            </w:tcBorders>
            <w:noWrap w:val="0"/>
            <w:vAlign w:val="center"/>
          </w:tcPr>
          <w:p w14:paraId="5DD2A143">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p>
        </w:tc>
        <w:tc>
          <w:tcPr>
            <w:tcW w:w="1562" w:type="dxa"/>
            <w:gridSpan w:val="3"/>
            <w:tcBorders>
              <w:top w:val="single" w:color="auto" w:sz="4" w:space="0"/>
              <w:left w:val="single" w:color="auto" w:sz="4" w:space="0"/>
              <w:bottom w:val="single" w:color="auto" w:sz="4" w:space="0"/>
              <w:right w:val="single" w:color="auto" w:sz="4" w:space="0"/>
            </w:tcBorders>
            <w:noWrap w:val="0"/>
            <w:vAlign w:val="center"/>
          </w:tcPr>
          <w:p w14:paraId="14689583">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资格</w:t>
            </w:r>
          </w:p>
          <w:p w14:paraId="26F1C044">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评审</w:t>
            </w:r>
          </w:p>
          <w:p w14:paraId="191146F1">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标准</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ED5E4B6">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供应商资格</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3007D715">
            <w:pPr>
              <w:spacing w:line="36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符合第二章“供应商须知前附表”中供应商资格要求的规定</w:t>
            </w:r>
          </w:p>
        </w:tc>
      </w:tr>
      <w:tr w14:paraId="1FA9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589" w:type="dxa"/>
            <w:vMerge w:val="restart"/>
            <w:tcBorders>
              <w:top w:val="single" w:color="auto" w:sz="4" w:space="0"/>
              <w:left w:val="single" w:color="auto" w:sz="4" w:space="0"/>
              <w:bottom w:val="single" w:color="auto" w:sz="4" w:space="0"/>
              <w:right w:val="single" w:color="auto" w:sz="4" w:space="0"/>
            </w:tcBorders>
            <w:noWrap w:val="0"/>
            <w:vAlign w:val="center"/>
          </w:tcPr>
          <w:p w14:paraId="19B39A52">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c>
          <w:tcPr>
            <w:tcW w:w="1562"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258A4336">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响应性评审标准</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5DF3434">
            <w:pPr>
              <w:spacing w:line="360" w:lineRule="auto"/>
              <w:jc w:val="center"/>
              <w:rPr>
                <w:rFonts w:hint="eastAsia" w:asciiTheme="minorEastAsia" w:hAnsiTheme="minorEastAsia" w:eastAsiaTheme="minorEastAsia" w:cstheme="minorEastAsia"/>
                <w:bCs/>
                <w:color w:val="000000"/>
                <w:kern w:val="0"/>
                <w:sz w:val="24"/>
                <w:szCs w:val="24"/>
              </w:rPr>
            </w:pPr>
            <w:r>
              <w:rPr>
                <w:rFonts w:hint="eastAsia" w:asciiTheme="minorEastAsia" w:hAnsiTheme="minorEastAsia" w:eastAsiaTheme="minorEastAsia" w:cstheme="minorEastAsia"/>
                <w:color w:val="000000"/>
                <w:sz w:val="24"/>
                <w:szCs w:val="24"/>
                <w:lang w:val="en-US" w:eastAsia="zh-CN"/>
              </w:rPr>
              <w:t>投标</w:t>
            </w:r>
            <w:r>
              <w:rPr>
                <w:rFonts w:hint="eastAsia" w:asciiTheme="minorEastAsia" w:hAnsiTheme="minorEastAsia" w:eastAsiaTheme="minorEastAsia" w:cstheme="minorEastAsia"/>
                <w:color w:val="000000"/>
                <w:sz w:val="24"/>
                <w:szCs w:val="24"/>
              </w:rPr>
              <w:t>报价</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357505EC">
            <w:pPr>
              <w:spacing w:line="44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符合第二章“供应商须知”规定</w:t>
            </w:r>
          </w:p>
        </w:tc>
      </w:tr>
      <w:tr w14:paraId="584F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14:paraId="098D9B53">
            <w:pPr>
              <w:widowControl/>
              <w:jc w:val="left"/>
              <w:rPr>
                <w:rFonts w:hint="eastAsia" w:asciiTheme="minorEastAsia" w:hAnsiTheme="minorEastAsia" w:eastAsiaTheme="minorEastAsia" w:cstheme="minorEastAsia"/>
                <w:color w:val="000000"/>
                <w:sz w:val="24"/>
                <w:szCs w:val="24"/>
              </w:rPr>
            </w:pPr>
          </w:p>
        </w:tc>
        <w:tc>
          <w:tcPr>
            <w:tcW w:w="15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48F57F49">
            <w:pPr>
              <w:widowControl/>
              <w:jc w:val="left"/>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A648CAB">
            <w:pPr>
              <w:spacing w:line="4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招标</w:t>
            </w:r>
            <w:r>
              <w:rPr>
                <w:rFonts w:hint="eastAsia" w:asciiTheme="minorEastAsia" w:hAnsiTheme="minorEastAsia" w:eastAsiaTheme="minorEastAsia" w:cstheme="minorEastAsia"/>
                <w:color w:val="000000"/>
                <w:sz w:val="24"/>
                <w:szCs w:val="24"/>
              </w:rPr>
              <w:t>范围</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57E64B63">
            <w:pPr>
              <w:spacing w:line="44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符合第二章“供应商须知”规定</w:t>
            </w:r>
          </w:p>
        </w:tc>
      </w:tr>
      <w:tr w14:paraId="638E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14:paraId="4BEEF6B9">
            <w:pPr>
              <w:widowControl/>
              <w:jc w:val="left"/>
              <w:rPr>
                <w:rFonts w:hint="eastAsia" w:asciiTheme="minorEastAsia" w:hAnsiTheme="minorEastAsia" w:eastAsiaTheme="minorEastAsia" w:cstheme="minorEastAsia"/>
                <w:color w:val="000000"/>
                <w:sz w:val="24"/>
                <w:szCs w:val="24"/>
              </w:rPr>
            </w:pPr>
          </w:p>
        </w:tc>
        <w:tc>
          <w:tcPr>
            <w:tcW w:w="15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1F7BFC9A">
            <w:pPr>
              <w:widowControl/>
              <w:jc w:val="left"/>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FA82598">
            <w:pPr>
              <w:spacing w:line="360" w:lineRule="auto"/>
              <w:jc w:val="center"/>
              <w:rPr>
                <w:rFonts w:hint="eastAsia" w:asciiTheme="minorEastAsia" w:hAnsiTheme="minorEastAsia" w:eastAsiaTheme="minorEastAsia" w:cstheme="minorEastAsia"/>
                <w:bCs/>
                <w:color w:val="000000"/>
                <w:kern w:val="0"/>
                <w:sz w:val="24"/>
                <w:szCs w:val="24"/>
              </w:rPr>
            </w:pPr>
            <w:r>
              <w:rPr>
                <w:rFonts w:hint="eastAsia" w:asciiTheme="minorEastAsia" w:hAnsiTheme="minorEastAsia" w:eastAsiaTheme="minorEastAsia" w:cstheme="minorEastAsia"/>
                <w:bCs/>
                <w:color w:val="000000"/>
                <w:kern w:val="0"/>
                <w:sz w:val="24"/>
                <w:szCs w:val="24"/>
              </w:rPr>
              <w:t>监理服务期限</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318FF226">
            <w:pPr>
              <w:spacing w:line="44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符合第二章“供应商须知”规定</w:t>
            </w:r>
          </w:p>
        </w:tc>
      </w:tr>
      <w:tr w14:paraId="5008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14:paraId="7C90CADE">
            <w:pPr>
              <w:widowControl/>
              <w:jc w:val="left"/>
              <w:rPr>
                <w:rFonts w:hint="eastAsia" w:asciiTheme="minorEastAsia" w:hAnsiTheme="minorEastAsia" w:eastAsiaTheme="minorEastAsia" w:cstheme="minorEastAsia"/>
                <w:color w:val="000000"/>
                <w:sz w:val="24"/>
                <w:szCs w:val="24"/>
              </w:rPr>
            </w:pPr>
          </w:p>
        </w:tc>
        <w:tc>
          <w:tcPr>
            <w:tcW w:w="15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B9FB0C5">
            <w:pPr>
              <w:widowControl/>
              <w:jc w:val="left"/>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87B47D1">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质量</w:t>
            </w:r>
            <w:r>
              <w:rPr>
                <w:rFonts w:hint="eastAsia" w:asciiTheme="minorEastAsia" w:hAnsiTheme="minorEastAsia" w:eastAsiaTheme="minorEastAsia" w:cstheme="minorEastAsia"/>
                <w:color w:val="000000"/>
                <w:sz w:val="24"/>
                <w:szCs w:val="24"/>
              </w:rPr>
              <w:t>要求</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426506DE">
            <w:pPr>
              <w:spacing w:line="44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符合第二章“供应商须知”规定</w:t>
            </w:r>
          </w:p>
        </w:tc>
      </w:tr>
      <w:tr w14:paraId="1162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14:paraId="4E03BED3">
            <w:pPr>
              <w:widowControl/>
              <w:jc w:val="left"/>
              <w:rPr>
                <w:rFonts w:hint="eastAsia" w:asciiTheme="minorEastAsia" w:hAnsiTheme="minorEastAsia" w:eastAsiaTheme="minorEastAsia" w:cstheme="minorEastAsia"/>
                <w:color w:val="000000"/>
                <w:sz w:val="24"/>
                <w:szCs w:val="24"/>
              </w:rPr>
            </w:pPr>
          </w:p>
        </w:tc>
        <w:tc>
          <w:tcPr>
            <w:tcW w:w="15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06F58702">
            <w:pPr>
              <w:widowControl/>
              <w:jc w:val="left"/>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139E747">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投标</w:t>
            </w:r>
            <w:r>
              <w:rPr>
                <w:rFonts w:hint="eastAsia" w:asciiTheme="minorEastAsia" w:hAnsiTheme="minorEastAsia" w:eastAsiaTheme="minorEastAsia" w:cstheme="minorEastAsia"/>
                <w:color w:val="000000"/>
                <w:sz w:val="24"/>
                <w:szCs w:val="24"/>
              </w:rPr>
              <w:t>有效期</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0E376478">
            <w:pPr>
              <w:spacing w:line="44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符合第二章“供应商须知”规定</w:t>
            </w:r>
          </w:p>
        </w:tc>
      </w:tr>
      <w:tr w14:paraId="7FA6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14:paraId="393A9D23">
            <w:pPr>
              <w:widowControl/>
              <w:jc w:val="left"/>
              <w:rPr>
                <w:rFonts w:hint="eastAsia" w:asciiTheme="minorEastAsia" w:hAnsiTheme="minorEastAsia" w:eastAsiaTheme="minorEastAsia" w:cstheme="minorEastAsia"/>
                <w:color w:val="000000"/>
                <w:sz w:val="24"/>
                <w:szCs w:val="24"/>
              </w:rPr>
            </w:pPr>
          </w:p>
        </w:tc>
        <w:tc>
          <w:tcPr>
            <w:tcW w:w="1562"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736B825F">
            <w:pPr>
              <w:widowControl/>
              <w:jc w:val="left"/>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6CEAC84">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61234465">
            <w:pPr>
              <w:spacing w:line="44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投标</w:t>
            </w:r>
            <w:r>
              <w:rPr>
                <w:rFonts w:hint="eastAsia" w:asciiTheme="minorEastAsia" w:hAnsiTheme="minorEastAsia" w:eastAsiaTheme="minorEastAsia" w:cstheme="minorEastAsia"/>
                <w:color w:val="000000"/>
                <w:sz w:val="24"/>
                <w:szCs w:val="24"/>
              </w:rPr>
              <w:t>文件其它实质性内容</w:t>
            </w:r>
          </w:p>
        </w:tc>
      </w:tr>
      <w:tr w14:paraId="09F3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151" w:type="dxa"/>
            <w:gridSpan w:val="4"/>
            <w:tcBorders>
              <w:top w:val="single" w:color="auto" w:sz="4" w:space="0"/>
              <w:left w:val="single" w:color="auto" w:sz="4" w:space="0"/>
              <w:bottom w:val="single" w:color="auto" w:sz="4" w:space="0"/>
              <w:right w:val="single" w:color="auto" w:sz="4" w:space="0"/>
            </w:tcBorders>
            <w:noWrap w:val="0"/>
            <w:vAlign w:val="center"/>
          </w:tcPr>
          <w:p w14:paraId="2F471C8E">
            <w:pPr>
              <w:spacing w:line="360" w:lineRule="auto"/>
              <w:jc w:val="center"/>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条款号</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F520A6A">
            <w:pPr>
              <w:spacing w:line="360" w:lineRule="auto"/>
              <w:jc w:val="center"/>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条款内容</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27EF5C5D">
            <w:pPr>
              <w:spacing w:line="360" w:lineRule="auto"/>
              <w:jc w:val="center"/>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编列内容</w:t>
            </w:r>
          </w:p>
        </w:tc>
      </w:tr>
      <w:tr w14:paraId="283C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1" w:type="dxa"/>
            <w:gridSpan w:val="4"/>
            <w:tcBorders>
              <w:top w:val="single" w:color="auto" w:sz="4" w:space="0"/>
              <w:left w:val="single" w:color="auto" w:sz="4" w:space="0"/>
              <w:bottom w:val="single" w:color="auto" w:sz="4" w:space="0"/>
              <w:right w:val="single" w:color="auto" w:sz="4" w:space="0"/>
            </w:tcBorders>
            <w:noWrap w:val="0"/>
            <w:vAlign w:val="center"/>
          </w:tcPr>
          <w:p w14:paraId="78FA9D22">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2.2.1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9F70C1A">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分值构成</w:t>
            </w:r>
          </w:p>
          <w:p w14:paraId="0DF98EAC">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(总分100分)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01981CDC">
            <w:pPr>
              <w:spacing w:line="360"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投标</w:t>
            </w:r>
            <w:r>
              <w:rPr>
                <w:rFonts w:hint="eastAsia" w:asciiTheme="minorEastAsia" w:hAnsiTheme="minorEastAsia" w:eastAsiaTheme="minorEastAsia" w:cstheme="minorEastAsia"/>
                <w:color w:val="000000"/>
                <w:sz w:val="24"/>
                <w:szCs w:val="24"/>
              </w:rPr>
              <w:t>报价：</w:t>
            </w:r>
            <w:r>
              <w:rPr>
                <w:rFonts w:hint="eastAsia" w:asciiTheme="minorEastAsia" w:hAnsiTheme="minorEastAsia" w:eastAsiaTheme="minorEastAsia" w:cstheme="minorEastAsia"/>
                <w:color w:val="000000"/>
                <w:sz w:val="24"/>
                <w:szCs w:val="24"/>
                <w:lang w:val="en-US" w:eastAsia="zh-CN"/>
              </w:rPr>
              <w:t>20</w:t>
            </w:r>
            <w:r>
              <w:rPr>
                <w:rFonts w:hint="eastAsia" w:asciiTheme="minorEastAsia" w:hAnsiTheme="minorEastAsia" w:eastAsiaTheme="minorEastAsia" w:cstheme="minorEastAsia"/>
                <w:color w:val="000000"/>
                <w:sz w:val="24"/>
                <w:szCs w:val="24"/>
              </w:rPr>
              <w:t>分</w:t>
            </w:r>
          </w:p>
          <w:p w14:paraId="02186A59">
            <w:pPr>
              <w:spacing w:line="360"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综合标：</w:t>
            </w:r>
            <w:r>
              <w:rPr>
                <w:rFonts w:hint="eastAsia" w:asciiTheme="minorEastAsia" w:hAnsiTheme="minorEastAsia" w:eastAsiaTheme="minorEastAsia" w:cstheme="minorEastAsia"/>
                <w:color w:val="000000"/>
                <w:sz w:val="24"/>
                <w:szCs w:val="24"/>
                <w:lang w:val="en-US" w:eastAsia="zh-CN"/>
              </w:rPr>
              <w:t>15</w:t>
            </w:r>
            <w:r>
              <w:rPr>
                <w:rFonts w:hint="eastAsia" w:asciiTheme="minorEastAsia" w:hAnsiTheme="minorEastAsia" w:eastAsiaTheme="minorEastAsia" w:cstheme="minorEastAsia"/>
                <w:color w:val="000000"/>
                <w:sz w:val="24"/>
                <w:szCs w:val="24"/>
              </w:rPr>
              <w:t>分</w:t>
            </w:r>
          </w:p>
          <w:p w14:paraId="46A68FBD">
            <w:pPr>
              <w:spacing w:line="360"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技术标：</w:t>
            </w:r>
            <w:r>
              <w:rPr>
                <w:rFonts w:hint="eastAsia" w:asciiTheme="minorEastAsia" w:hAnsiTheme="minorEastAsia" w:eastAsiaTheme="minorEastAsia" w:cstheme="minorEastAsia"/>
                <w:color w:val="000000"/>
                <w:sz w:val="24"/>
                <w:szCs w:val="24"/>
                <w:lang w:val="en-US" w:eastAsia="zh-CN"/>
              </w:rPr>
              <w:t>65</w:t>
            </w:r>
            <w:r>
              <w:rPr>
                <w:rFonts w:hint="eastAsia" w:asciiTheme="minorEastAsia" w:hAnsiTheme="minorEastAsia" w:eastAsiaTheme="minorEastAsia" w:cstheme="minorEastAsia"/>
                <w:color w:val="000000"/>
                <w:sz w:val="24"/>
                <w:szCs w:val="24"/>
              </w:rPr>
              <w:t>分</w:t>
            </w:r>
          </w:p>
        </w:tc>
      </w:tr>
      <w:tr w14:paraId="4E3E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1" w:type="dxa"/>
            <w:gridSpan w:val="4"/>
            <w:tcBorders>
              <w:top w:val="single" w:color="auto" w:sz="4" w:space="0"/>
              <w:left w:val="single" w:color="auto" w:sz="4" w:space="0"/>
              <w:bottom w:val="single" w:color="auto" w:sz="4" w:space="0"/>
              <w:right w:val="single" w:color="auto" w:sz="4" w:space="0"/>
            </w:tcBorders>
            <w:noWrap w:val="0"/>
            <w:vAlign w:val="center"/>
          </w:tcPr>
          <w:p w14:paraId="7AB5324E">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条款号</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99F4621">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条款号</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3E8AC88F">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评审标准</w:t>
            </w:r>
          </w:p>
        </w:tc>
      </w:tr>
      <w:tr w14:paraId="16B4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151" w:type="dxa"/>
            <w:gridSpan w:val="4"/>
            <w:tcBorders>
              <w:top w:val="single" w:color="auto" w:sz="4" w:space="0"/>
              <w:left w:val="single" w:color="auto" w:sz="4" w:space="0"/>
              <w:bottom w:val="single" w:color="auto" w:sz="4" w:space="0"/>
              <w:right w:val="single" w:color="auto" w:sz="4" w:space="0"/>
            </w:tcBorders>
            <w:noWrap w:val="0"/>
            <w:vAlign w:val="center"/>
          </w:tcPr>
          <w:p w14:paraId="11EF4508">
            <w:pPr>
              <w:spacing w:line="360" w:lineRule="auto"/>
              <w:jc w:val="center"/>
              <w:rPr>
                <w:rFonts w:hint="eastAsia" w:asciiTheme="minorEastAsia" w:hAnsiTheme="minorEastAsia" w:eastAsiaTheme="minorEastAsia" w:cstheme="minorEastAsia"/>
                <w:color w:val="000000"/>
                <w:sz w:val="24"/>
                <w:szCs w:val="24"/>
                <w:highlight w:val="yellow"/>
              </w:rPr>
            </w:pPr>
            <w:r>
              <w:rPr>
                <w:rFonts w:hint="eastAsia" w:asciiTheme="minorEastAsia" w:hAnsiTheme="minorEastAsia" w:eastAsiaTheme="minorEastAsia" w:cstheme="minorEastAsia"/>
                <w:color w:val="000000"/>
                <w:sz w:val="24"/>
                <w:szCs w:val="24"/>
              </w:rPr>
              <w:t>2.2.2</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E10FF0B">
            <w:pPr>
              <w:spacing w:line="360" w:lineRule="auto"/>
              <w:jc w:val="center"/>
              <w:rPr>
                <w:rFonts w:hint="eastAsia" w:asciiTheme="minorEastAsia" w:hAnsiTheme="minorEastAsia" w:eastAsiaTheme="minorEastAsia" w:cstheme="minorEastAsia"/>
                <w:color w:val="000000"/>
                <w:sz w:val="24"/>
                <w:szCs w:val="24"/>
                <w:highlight w:val="yellow"/>
              </w:rPr>
            </w:pPr>
            <w:r>
              <w:rPr>
                <w:rFonts w:hint="eastAsia" w:asciiTheme="minorEastAsia" w:hAnsiTheme="minorEastAsia" w:eastAsiaTheme="minorEastAsia" w:cstheme="minorEastAsia"/>
                <w:color w:val="000000"/>
                <w:sz w:val="24"/>
                <w:szCs w:val="24"/>
                <w:lang w:val="en-US" w:eastAsia="zh-CN"/>
              </w:rPr>
              <w:t>投标</w:t>
            </w:r>
            <w:r>
              <w:rPr>
                <w:rFonts w:hint="eastAsia" w:asciiTheme="minorEastAsia" w:hAnsiTheme="minorEastAsia" w:eastAsiaTheme="minorEastAsia" w:cstheme="minorEastAsia"/>
                <w:color w:val="000000"/>
                <w:sz w:val="24"/>
                <w:szCs w:val="24"/>
              </w:rPr>
              <w:t>报价（</w:t>
            </w:r>
            <w:r>
              <w:rPr>
                <w:rFonts w:hint="eastAsia" w:asciiTheme="minorEastAsia" w:hAnsiTheme="minorEastAsia" w:eastAsiaTheme="minorEastAsia" w:cstheme="minorEastAsia"/>
                <w:color w:val="000000"/>
                <w:sz w:val="24"/>
                <w:szCs w:val="24"/>
                <w:lang w:val="en-US" w:eastAsia="zh-CN"/>
              </w:rPr>
              <w:t>20</w:t>
            </w:r>
            <w:r>
              <w:rPr>
                <w:rFonts w:hint="eastAsia" w:asciiTheme="minorEastAsia" w:hAnsiTheme="minorEastAsia" w:eastAsiaTheme="minorEastAsia" w:cstheme="minorEastAsia"/>
                <w:color w:val="000000"/>
                <w:sz w:val="24"/>
                <w:szCs w:val="24"/>
              </w:rPr>
              <w:t>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152F0621">
            <w:pPr>
              <w:autoSpaceDE w:val="0"/>
              <w:autoSpaceDN w:val="0"/>
              <w:adjustRightInd w:val="0"/>
              <w:spacing w:before="50" w:line="360" w:lineRule="exact"/>
              <w:ind w:right="96"/>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超过采购预算价（最高限价）的投标报价采购人不予接受，按无效标处理。</w:t>
            </w:r>
          </w:p>
          <w:p w14:paraId="107AE55B">
            <w:pPr>
              <w:pStyle w:val="152"/>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kern w:val="2"/>
                <w:sz w:val="24"/>
                <w:szCs w:val="24"/>
                <w:lang w:val="en-US" w:eastAsia="zh-CN" w:bidi="ar-SA"/>
              </w:rPr>
              <w:t>说明：评标</w:t>
            </w:r>
            <w:r>
              <w:rPr>
                <w:rFonts w:hint="eastAsia" w:asciiTheme="minorEastAsia" w:hAnsiTheme="minorEastAsia" w:eastAsiaTheme="minorEastAsia" w:cstheme="minorEastAsia"/>
                <w:spacing w:val="1"/>
                <w:sz w:val="24"/>
                <w:szCs w:val="24"/>
              </w:rPr>
              <w:t>委员会认为供应商的报价明显低于其他通过符合性审</w:t>
            </w:r>
            <w:r>
              <w:rPr>
                <w:rFonts w:hint="eastAsia" w:asciiTheme="minorEastAsia" w:hAnsiTheme="minorEastAsia" w:eastAsiaTheme="minorEastAsia" w:cstheme="minorEastAsia"/>
                <w:spacing w:val="1"/>
                <w:sz w:val="24"/>
                <w:szCs w:val="24"/>
                <w:lang w:eastAsia="zh-CN"/>
              </w:rPr>
              <w:t>查的</w:t>
            </w:r>
            <w:r>
              <w:rPr>
                <w:rFonts w:hint="eastAsia" w:asciiTheme="minorEastAsia" w:hAnsiTheme="minorEastAsia" w:eastAsiaTheme="minorEastAsia" w:cstheme="minorEastAsia"/>
                <w:spacing w:val="1"/>
                <w:sz w:val="24"/>
                <w:szCs w:val="24"/>
              </w:rPr>
              <w:t>供应商的报价，有可能影响产品质量或者不能诚信履约的，应当要求其在评标现场合理的时间内提供书面说明，必要时提交相关证明材料，供应商不能证明其报价合理性的，评标委员会应当将其作为无效标处理。</w:t>
            </w:r>
          </w:p>
          <w:p w14:paraId="4F143E7C">
            <w:pPr>
              <w:spacing w:line="360" w:lineRule="auto"/>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b/>
                <w:sz w:val="24"/>
                <w:szCs w:val="24"/>
              </w:rPr>
              <w:t>价格分采用低价优先法计算，</w:t>
            </w:r>
            <w:r>
              <w:rPr>
                <w:rFonts w:hint="eastAsia" w:asciiTheme="minorEastAsia" w:hAnsiTheme="minorEastAsia" w:eastAsiaTheme="minorEastAsia" w:cstheme="minorEastAsia"/>
                <w:sz w:val="24"/>
                <w:szCs w:val="24"/>
              </w:rPr>
              <w:t>即满足招标文件要求且投标报价最低的投标报价为评标基准价，其价格分为满分。其他供应商的价格分统一按照下列公式计算：</w:t>
            </w:r>
          </w:p>
          <w:p w14:paraId="00BFA84B">
            <w:pPr>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sz w:val="24"/>
                <w:szCs w:val="24"/>
              </w:rPr>
              <w:t>投标报价得分=(评标基准价／投标报价)×</w:t>
            </w:r>
            <w:r>
              <w:rPr>
                <w:rFonts w:hint="eastAsia" w:asciiTheme="minorEastAsia" w:hAnsiTheme="minorEastAsia" w:eastAsiaTheme="minorEastAsia" w:cstheme="minorEastAsia"/>
                <w:b/>
                <w:sz w:val="24"/>
                <w:szCs w:val="24"/>
                <w:lang w:val="en-US" w:eastAsia="zh-CN"/>
              </w:rPr>
              <w:t>20</w:t>
            </w:r>
          </w:p>
          <w:p w14:paraId="1EC3C335">
            <w:pPr>
              <w:rPr>
                <w:rFonts w:hint="eastAsia" w:asciiTheme="minorEastAsia" w:hAnsiTheme="minorEastAsia" w:eastAsiaTheme="minorEastAsia" w:cstheme="minorEastAsia"/>
                <w:color w:val="000000"/>
                <w:sz w:val="24"/>
                <w:szCs w:val="24"/>
                <w:highlight w:val="yellow"/>
              </w:rPr>
            </w:pPr>
            <w:r>
              <w:rPr>
                <w:rFonts w:hint="eastAsia" w:asciiTheme="minorEastAsia" w:hAnsiTheme="minorEastAsia" w:eastAsiaTheme="minorEastAsia" w:cstheme="minorEastAsia"/>
                <w:b/>
                <w:bCs/>
                <w:color w:val="auto"/>
                <w:kern w:val="2"/>
                <w:sz w:val="24"/>
                <w:szCs w:val="24"/>
                <w:lang w:val="en-US" w:eastAsia="zh-CN" w:bidi="ar-SA"/>
              </w:rPr>
              <w:t>本项目属于专门面向中小企业采购的项目，不再执行价格评审优惠。</w:t>
            </w:r>
          </w:p>
        </w:tc>
      </w:tr>
      <w:tr w14:paraId="6E30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51" w:type="dxa"/>
            <w:gridSpan w:val="4"/>
            <w:tcBorders>
              <w:top w:val="single" w:color="auto" w:sz="4" w:space="0"/>
              <w:left w:val="single" w:color="auto" w:sz="4" w:space="0"/>
              <w:bottom w:val="single" w:color="auto" w:sz="4" w:space="0"/>
              <w:right w:val="single" w:color="auto" w:sz="4" w:space="0"/>
            </w:tcBorders>
            <w:noWrap w:val="0"/>
            <w:vAlign w:val="center"/>
          </w:tcPr>
          <w:p w14:paraId="152FCF62">
            <w:pPr>
              <w:widowControl/>
              <w:adjustRightInd w:val="0"/>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kern w:val="0"/>
                <w:sz w:val="24"/>
                <w:szCs w:val="24"/>
              </w:rPr>
              <w:t>条款号</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B60393E">
            <w:pPr>
              <w:widowControl/>
              <w:adjustRightInd w:val="0"/>
              <w:spacing w:line="360" w:lineRule="auto"/>
              <w:ind w:right="-107" w:rightChars="-51"/>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kern w:val="0"/>
                <w:sz w:val="24"/>
                <w:szCs w:val="24"/>
              </w:rPr>
              <w:t>评分因素</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71BBED08">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kern w:val="0"/>
                <w:sz w:val="24"/>
                <w:szCs w:val="24"/>
              </w:rPr>
              <w:t>评分标准</w:t>
            </w:r>
          </w:p>
        </w:tc>
      </w:tr>
      <w:tr w14:paraId="04FA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953"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5F7F134D">
            <w:pPr>
              <w:bidi w:val="0"/>
              <w:rPr>
                <w:rFonts w:hint="eastAsia"/>
                <w:sz w:val="24"/>
                <w:szCs w:val="24"/>
              </w:rPr>
            </w:pPr>
            <w:r>
              <w:rPr>
                <w:rFonts w:hint="eastAsia"/>
                <w:sz w:val="24"/>
                <w:szCs w:val="24"/>
              </w:rPr>
              <w:t>2.2.3</w:t>
            </w:r>
          </w:p>
        </w:tc>
        <w:tc>
          <w:tcPr>
            <w:tcW w:w="1198" w:type="dxa"/>
            <w:vMerge w:val="restart"/>
            <w:tcBorders>
              <w:top w:val="single" w:color="auto" w:sz="4" w:space="0"/>
              <w:left w:val="single" w:color="auto" w:sz="4" w:space="0"/>
              <w:bottom w:val="single" w:color="auto" w:sz="4" w:space="0"/>
              <w:right w:val="single" w:color="auto" w:sz="4" w:space="0"/>
            </w:tcBorders>
            <w:noWrap w:val="0"/>
            <w:vAlign w:val="center"/>
          </w:tcPr>
          <w:p w14:paraId="34412C29">
            <w:pPr>
              <w:bidi w:val="0"/>
              <w:rPr>
                <w:rFonts w:hint="eastAsia"/>
                <w:sz w:val="24"/>
                <w:szCs w:val="24"/>
              </w:rPr>
            </w:pPr>
            <w:r>
              <w:rPr>
                <w:rFonts w:hint="eastAsia"/>
                <w:sz w:val="24"/>
                <w:szCs w:val="24"/>
              </w:rPr>
              <w:t>综合标</w:t>
            </w:r>
          </w:p>
          <w:p w14:paraId="3E7DD451">
            <w:pPr>
              <w:bidi w:val="0"/>
              <w:rPr>
                <w:rFonts w:hint="eastAsia"/>
                <w:sz w:val="24"/>
                <w:szCs w:val="24"/>
              </w:rPr>
            </w:pPr>
            <w:r>
              <w:rPr>
                <w:rFonts w:hint="eastAsia"/>
                <w:sz w:val="24"/>
                <w:szCs w:val="24"/>
              </w:rPr>
              <w:t>（</w:t>
            </w:r>
            <w:r>
              <w:rPr>
                <w:rFonts w:hint="eastAsia"/>
                <w:sz w:val="24"/>
                <w:szCs w:val="24"/>
                <w:lang w:val="en-US" w:eastAsia="zh-CN"/>
              </w:rPr>
              <w:t>15</w:t>
            </w:r>
            <w:r>
              <w:rPr>
                <w:rFonts w:hint="eastAsia"/>
                <w:sz w:val="24"/>
                <w:szCs w:val="24"/>
              </w:rPr>
              <w:t>分）</w:t>
            </w:r>
          </w:p>
        </w:tc>
        <w:tc>
          <w:tcPr>
            <w:tcW w:w="1725" w:type="dxa"/>
            <w:vMerge w:val="restart"/>
            <w:tcBorders>
              <w:top w:val="single" w:color="auto" w:sz="4" w:space="0"/>
              <w:left w:val="single" w:color="auto" w:sz="4" w:space="0"/>
              <w:bottom w:val="single" w:color="auto" w:sz="4" w:space="0"/>
              <w:right w:val="single" w:color="auto" w:sz="4" w:space="0"/>
            </w:tcBorders>
            <w:noWrap w:val="0"/>
            <w:vAlign w:val="center"/>
          </w:tcPr>
          <w:p w14:paraId="0E773ABB">
            <w:pPr>
              <w:bidi w:val="0"/>
              <w:rPr>
                <w:rFonts w:hint="eastAsia"/>
                <w:sz w:val="24"/>
                <w:szCs w:val="24"/>
              </w:rPr>
            </w:pPr>
            <w:r>
              <w:rPr>
                <w:rFonts w:hint="eastAsia"/>
                <w:sz w:val="24"/>
                <w:szCs w:val="24"/>
              </w:rPr>
              <w:t>监理成员配备（0-</w:t>
            </w:r>
            <w:r>
              <w:rPr>
                <w:rFonts w:hint="eastAsia"/>
                <w:sz w:val="24"/>
                <w:szCs w:val="24"/>
                <w:lang w:val="en-US" w:eastAsia="zh-CN"/>
              </w:rPr>
              <w:t>7</w:t>
            </w:r>
            <w:r>
              <w:rPr>
                <w:rFonts w:hint="eastAsia"/>
                <w:sz w:val="24"/>
                <w:szCs w:val="24"/>
              </w:rPr>
              <w:t>分）</w:t>
            </w:r>
          </w:p>
        </w:tc>
        <w:tc>
          <w:tcPr>
            <w:tcW w:w="6139" w:type="dxa"/>
            <w:vMerge w:val="restart"/>
            <w:tcBorders>
              <w:top w:val="single" w:color="auto" w:sz="4" w:space="0"/>
              <w:left w:val="single" w:color="auto" w:sz="4" w:space="0"/>
              <w:bottom w:val="single" w:color="auto" w:sz="4" w:space="0"/>
              <w:right w:val="single" w:color="auto" w:sz="4" w:space="0"/>
            </w:tcBorders>
            <w:noWrap w:val="0"/>
            <w:vAlign w:val="top"/>
          </w:tcPr>
          <w:p w14:paraId="22B63233">
            <w:pPr>
              <w:bidi w:val="0"/>
              <w:rPr>
                <w:rFonts w:hint="eastAsia"/>
                <w:sz w:val="24"/>
                <w:szCs w:val="24"/>
                <w:lang w:val="en-US" w:eastAsia="zh-CN"/>
              </w:rPr>
            </w:pPr>
            <w:r>
              <w:rPr>
                <w:rFonts w:hint="eastAsia"/>
                <w:sz w:val="24"/>
                <w:szCs w:val="24"/>
                <w:lang w:val="en-US" w:eastAsia="zh-CN"/>
              </w:rPr>
              <w:t>①有现场监理组织结构图的得1分，组织机构设置中考虑到公司对现场监理部监督管理的得1分，此项最多得2分</w:t>
            </w:r>
          </w:p>
          <w:p w14:paraId="1B38539F">
            <w:pPr>
              <w:bidi w:val="0"/>
              <w:rPr>
                <w:rFonts w:hint="eastAsia"/>
                <w:sz w:val="24"/>
                <w:szCs w:val="24"/>
              </w:rPr>
            </w:pPr>
            <w:r>
              <w:rPr>
                <w:rFonts w:hint="eastAsia"/>
                <w:sz w:val="24"/>
                <w:szCs w:val="24"/>
                <w:lang w:val="en-US" w:eastAsia="zh-CN"/>
              </w:rPr>
              <w:t>②有明确的各级监理人员（包括总监理工程师、总监代表、专业监理工程师、监理员及资料员）岗位职责，齐全者得5分，缺一个岗位职责扣1分，此项扣完为止</w:t>
            </w:r>
          </w:p>
        </w:tc>
      </w:tr>
      <w:tr w14:paraId="0A25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953"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5557F104">
            <w:pPr>
              <w:bidi w:val="0"/>
              <w:rPr>
                <w:rFonts w:hint="eastAsia"/>
                <w:sz w:val="24"/>
                <w:szCs w:val="24"/>
              </w:rPr>
            </w:pPr>
          </w:p>
        </w:tc>
        <w:tc>
          <w:tcPr>
            <w:tcW w:w="1198" w:type="dxa"/>
            <w:vMerge w:val="continue"/>
            <w:tcBorders>
              <w:top w:val="single" w:color="auto" w:sz="4" w:space="0"/>
              <w:left w:val="single" w:color="auto" w:sz="4" w:space="0"/>
              <w:bottom w:val="single" w:color="auto" w:sz="4" w:space="0"/>
              <w:right w:val="single" w:color="auto" w:sz="4" w:space="0"/>
            </w:tcBorders>
            <w:noWrap w:val="0"/>
            <w:vAlign w:val="center"/>
          </w:tcPr>
          <w:p w14:paraId="68CB50AB">
            <w:pPr>
              <w:bidi w:val="0"/>
              <w:rPr>
                <w:rFonts w:hint="eastAsia"/>
                <w:sz w:val="24"/>
                <w:szCs w:val="24"/>
              </w:rPr>
            </w:pPr>
          </w:p>
        </w:tc>
        <w:tc>
          <w:tcPr>
            <w:tcW w:w="1725" w:type="dxa"/>
            <w:vMerge w:val="continue"/>
            <w:tcBorders>
              <w:top w:val="single" w:color="auto" w:sz="4" w:space="0"/>
              <w:left w:val="single" w:color="auto" w:sz="4" w:space="0"/>
              <w:bottom w:val="single" w:color="auto" w:sz="4" w:space="0"/>
              <w:right w:val="single" w:color="auto" w:sz="4" w:space="0"/>
            </w:tcBorders>
            <w:noWrap w:val="0"/>
            <w:vAlign w:val="center"/>
          </w:tcPr>
          <w:p w14:paraId="5B5617D1">
            <w:pPr>
              <w:bidi w:val="0"/>
              <w:rPr>
                <w:rFonts w:hint="eastAsia"/>
                <w:sz w:val="24"/>
                <w:szCs w:val="24"/>
              </w:rPr>
            </w:pPr>
          </w:p>
        </w:tc>
        <w:tc>
          <w:tcPr>
            <w:tcW w:w="6139" w:type="dxa"/>
            <w:vMerge w:val="continue"/>
            <w:tcBorders>
              <w:top w:val="single" w:color="auto" w:sz="4" w:space="0"/>
              <w:left w:val="single" w:color="auto" w:sz="4" w:space="0"/>
              <w:bottom w:val="single" w:color="auto" w:sz="4" w:space="0"/>
              <w:right w:val="single" w:color="auto" w:sz="4" w:space="0"/>
            </w:tcBorders>
            <w:noWrap w:val="0"/>
            <w:vAlign w:val="center"/>
          </w:tcPr>
          <w:p w14:paraId="57A93C68">
            <w:pPr>
              <w:bidi w:val="0"/>
              <w:rPr>
                <w:rFonts w:hint="eastAsia"/>
                <w:sz w:val="24"/>
                <w:szCs w:val="24"/>
              </w:rPr>
            </w:pPr>
          </w:p>
        </w:tc>
      </w:tr>
      <w:tr w14:paraId="4F60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6" w:hRule="atLeast"/>
        </w:trPr>
        <w:tc>
          <w:tcPr>
            <w:tcW w:w="953"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12E46C5">
            <w:pPr>
              <w:bidi w:val="0"/>
              <w:rPr>
                <w:rFonts w:hint="eastAsia"/>
                <w:sz w:val="24"/>
                <w:szCs w:val="24"/>
              </w:rPr>
            </w:pPr>
          </w:p>
        </w:tc>
        <w:tc>
          <w:tcPr>
            <w:tcW w:w="1198" w:type="dxa"/>
            <w:vMerge w:val="continue"/>
            <w:tcBorders>
              <w:top w:val="single" w:color="auto" w:sz="4" w:space="0"/>
              <w:left w:val="single" w:color="auto" w:sz="4" w:space="0"/>
              <w:bottom w:val="single" w:color="auto" w:sz="4" w:space="0"/>
              <w:right w:val="single" w:color="auto" w:sz="4" w:space="0"/>
            </w:tcBorders>
            <w:noWrap w:val="0"/>
            <w:vAlign w:val="center"/>
          </w:tcPr>
          <w:p w14:paraId="6A9093D8">
            <w:pPr>
              <w:bidi w:val="0"/>
              <w:rPr>
                <w:rFonts w:hint="eastAsia"/>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9F1F9E3">
            <w:pPr>
              <w:bidi w:val="0"/>
              <w:rPr>
                <w:rFonts w:hint="eastAsia"/>
                <w:sz w:val="24"/>
                <w:szCs w:val="24"/>
              </w:rPr>
            </w:pPr>
            <w:r>
              <w:rPr>
                <w:rFonts w:hint="eastAsia"/>
                <w:sz w:val="24"/>
                <w:szCs w:val="24"/>
              </w:rPr>
              <w:t>投标单位业绩（0-</w:t>
            </w:r>
            <w:r>
              <w:rPr>
                <w:rFonts w:hint="eastAsia"/>
                <w:sz w:val="24"/>
                <w:szCs w:val="24"/>
                <w:lang w:val="en-US" w:eastAsia="zh-CN"/>
              </w:rPr>
              <w:t>2</w:t>
            </w:r>
            <w:r>
              <w:rPr>
                <w:rFonts w:hint="eastAsia"/>
                <w:sz w:val="24"/>
                <w:szCs w:val="24"/>
              </w:rPr>
              <w:t>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1D9A7D5D">
            <w:pPr>
              <w:bidi w:val="0"/>
              <w:rPr>
                <w:rFonts w:hint="eastAsia"/>
                <w:sz w:val="24"/>
                <w:szCs w:val="24"/>
              </w:rPr>
            </w:pPr>
            <w:r>
              <w:rPr>
                <w:rFonts w:hint="eastAsia"/>
                <w:sz w:val="24"/>
                <w:szCs w:val="24"/>
              </w:rPr>
              <w:t>2022年1月1日以来供应商具有类似监理业绩（森林抚育、国土绿化、生态修复、园林绿化、林业营造林、市政生态治理</w:t>
            </w:r>
            <w:r>
              <w:rPr>
                <w:rFonts w:hint="eastAsia"/>
                <w:sz w:val="24"/>
                <w:szCs w:val="24"/>
                <w:lang w:val="en-US" w:eastAsia="zh-CN"/>
              </w:rPr>
              <w:t>等</w:t>
            </w:r>
            <w:r>
              <w:rPr>
                <w:rFonts w:hint="eastAsia"/>
                <w:sz w:val="24"/>
                <w:szCs w:val="24"/>
              </w:rPr>
              <w:t>）的，每提供1项得</w:t>
            </w:r>
            <w:r>
              <w:rPr>
                <w:rFonts w:hint="eastAsia"/>
                <w:sz w:val="24"/>
                <w:szCs w:val="24"/>
                <w:lang w:val="en-US" w:eastAsia="zh-CN"/>
              </w:rPr>
              <w:t>1</w:t>
            </w:r>
            <w:r>
              <w:rPr>
                <w:rFonts w:hint="eastAsia"/>
                <w:sz w:val="24"/>
                <w:szCs w:val="24"/>
              </w:rPr>
              <w:t>分，本项最多得</w:t>
            </w:r>
            <w:r>
              <w:rPr>
                <w:rFonts w:hint="eastAsia"/>
                <w:sz w:val="24"/>
                <w:szCs w:val="24"/>
                <w:lang w:val="en-US" w:eastAsia="zh-CN"/>
              </w:rPr>
              <w:t>2</w:t>
            </w:r>
            <w:r>
              <w:rPr>
                <w:rFonts w:hint="eastAsia"/>
                <w:sz w:val="24"/>
                <w:szCs w:val="24"/>
              </w:rPr>
              <w:t>分。(时间以项目合同签订时间为准，投标文件中需提供中标通知书和合同关键页扫描件)</w:t>
            </w:r>
          </w:p>
        </w:tc>
      </w:tr>
      <w:tr w14:paraId="0E54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53"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05DCB39F">
            <w:pPr>
              <w:widowControl/>
              <w:jc w:val="left"/>
              <w:rPr>
                <w:rFonts w:hint="eastAsia" w:asciiTheme="minorEastAsia" w:hAnsiTheme="minorEastAsia" w:eastAsiaTheme="minorEastAsia" w:cstheme="minorEastAsia"/>
                <w:color w:val="000000"/>
                <w:sz w:val="24"/>
                <w:szCs w:val="24"/>
              </w:rPr>
            </w:pPr>
          </w:p>
        </w:tc>
        <w:tc>
          <w:tcPr>
            <w:tcW w:w="1198" w:type="dxa"/>
            <w:vMerge w:val="continue"/>
            <w:tcBorders>
              <w:top w:val="single" w:color="auto" w:sz="4" w:space="0"/>
              <w:left w:val="single" w:color="auto" w:sz="4" w:space="0"/>
              <w:bottom w:val="single" w:color="auto" w:sz="4" w:space="0"/>
              <w:right w:val="single" w:color="auto" w:sz="4" w:space="0"/>
            </w:tcBorders>
            <w:noWrap w:val="0"/>
            <w:vAlign w:val="center"/>
          </w:tcPr>
          <w:p w14:paraId="4EE9CAF4">
            <w:pPr>
              <w:widowControl/>
              <w:jc w:val="left"/>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right w:val="single" w:color="auto" w:sz="4" w:space="0"/>
            </w:tcBorders>
            <w:noWrap w:val="0"/>
            <w:vAlign w:val="center"/>
          </w:tcPr>
          <w:p w14:paraId="0777F064">
            <w:pPr>
              <w:adjustRightInd w:val="0"/>
              <w:snapToGrid w:val="0"/>
              <w:spacing w:line="360" w:lineRule="auto"/>
              <w:jc w:val="left"/>
              <w:textAlignment w:val="bottom"/>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监理服务承诺（0-6分）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58F35FB7">
            <w:pPr>
              <w:numPr>
                <w:ilvl w:val="0"/>
                <w:numId w:val="2"/>
              </w:numPr>
              <w:adjustRightInd w:val="0"/>
              <w:snapToGrid w:val="0"/>
              <w:spacing w:line="360" w:lineRule="auto"/>
              <w:jc w:val="left"/>
              <w:textAlignment w:val="bottom"/>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承诺全面贴合本项目大面积山区森林抚育监理全过程工作实际，覆盖人员驻场管理、小班现场巡查、质量管控、问题整改闭环、影像留存、各级验收配合、缺陷期跟踪等全维度保障内容，所有承诺内容完全符合《森林抚育规程》及林业、工程监理相关法律法规要求得6分；</w:t>
            </w:r>
          </w:p>
          <w:p w14:paraId="1ECF1A01">
            <w:pPr>
              <w:numPr>
                <w:ilvl w:val="0"/>
                <w:numId w:val="2"/>
              </w:numPr>
              <w:adjustRightInd w:val="0"/>
              <w:snapToGrid w:val="0"/>
              <w:spacing w:line="360" w:lineRule="auto"/>
              <w:jc w:val="left"/>
              <w:textAlignment w:val="bottom"/>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承诺基本匹配本项目森林抚育监理工作需求，包含现场监理、质量管控、资料报送、整改复查等核心基础保障内容，承诺内容均符合相关法律法规；具备常规监理保障措施，整体内容详实度尚可、具备基本可操作性，但缺少针对山区大面积抚育、跨县域多点作业等本项目专属细化保障条款，专项优惠及强化保障措施较少得3分</w:t>
            </w:r>
          </w:p>
          <w:p w14:paraId="2A47291F">
            <w:pPr>
              <w:numPr>
                <w:ilvl w:val="0"/>
                <w:numId w:val="2"/>
              </w:numPr>
              <w:adjustRightInd w:val="0"/>
              <w:snapToGrid w:val="0"/>
              <w:spacing w:line="360" w:lineRule="auto"/>
              <w:jc w:val="left"/>
              <w:textAlignment w:val="bottom"/>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仅提供简单、基础的通用性监理服务承诺，仅覆盖少量常规监理基础内容，对本项目大面积中幼林抚育、多点小班外勤巡查、长期服务等项目特点贴合度不足得1分。</w:t>
            </w:r>
          </w:p>
          <w:p w14:paraId="78ACA6AB">
            <w:pPr>
              <w:adjustRightInd w:val="0"/>
              <w:snapToGrid w:val="0"/>
              <w:spacing w:line="360" w:lineRule="auto"/>
              <w:jc w:val="left"/>
              <w:textAlignment w:val="bottom"/>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缺项得0分</w:t>
            </w:r>
          </w:p>
        </w:tc>
      </w:tr>
      <w:tr w14:paraId="2D88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953"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0A16B24E">
            <w:pPr>
              <w:widowControl/>
              <w:jc w:val="left"/>
              <w:rPr>
                <w:rFonts w:hint="eastAsia" w:asciiTheme="minorEastAsia" w:hAnsiTheme="minorEastAsia" w:eastAsiaTheme="minorEastAsia" w:cstheme="minorEastAsia"/>
                <w:color w:val="000000"/>
                <w:sz w:val="24"/>
                <w:szCs w:val="24"/>
              </w:rPr>
            </w:pPr>
          </w:p>
        </w:tc>
        <w:tc>
          <w:tcPr>
            <w:tcW w:w="1198" w:type="dxa"/>
            <w:vMerge w:val="continue"/>
            <w:tcBorders>
              <w:top w:val="single" w:color="auto" w:sz="4" w:space="0"/>
              <w:left w:val="single" w:color="auto" w:sz="4" w:space="0"/>
              <w:bottom w:val="single" w:color="auto" w:sz="4" w:space="0"/>
              <w:right w:val="single" w:color="auto" w:sz="4" w:space="0"/>
            </w:tcBorders>
            <w:noWrap w:val="0"/>
            <w:vAlign w:val="center"/>
          </w:tcPr>
          <w:p w14:paraId="7F971CFE">
            <w:pPr>
              <w:widowControl/>
              <w:jc w:val="left"/>
              <w:rPr>
                <w:rFonts w:hint="eastAsia" w:asciiTheme="minorEastAsia" w:hAnsiTheme="minorEastAsia" w:eastAsiaTheme="minorEastAsia" w:cstheme="minorEastAsia"/>
                <w:color w:val="000000"/>
                <w:sz w:val="24"/>
                <w:szCs w:val="24"/>
              </w:rPr>
            </w:pPr>
          </w:p>
        </w:tc>
        <w:tc>
          <w:tcPr>
            <w:tcW w:w="7864" w:type="dxa"/>
            <w:gridSpan w:val="2"/>
            <w:tcBorders>
              <w:top w:val="single" w:color="auto" w:sz="4" w:space="0"/>
              <w:left w:val="single" w:color="auto" w:sz="4" w:space="0"/>
              <w:bottom w:val="single" w:color="auto" w:sz="4" w:space="0"/>
              <w:right w:val="single" w:color="auto" w:sz="4" w:space="0"/>
            </w:tcBorders>
            <w:noWrap w:val="0"/>
            <w:vAlign w:val="center"/>
          </w:tcPr>
          <w:p w14:paraId="36C6A762">
            <w:pPr>
              <w:adjustRightInd w:val="0"/>
              <w:snapToGrid w:val="0"/>
              <w:spacing w:line="360" w:lineRule="auto"/>
              <w:jc w:val="left"/>
              <w:textAlignment w:val="bottom"/>
              <w:rPr>
                <w:rFonts w:hint="eastAsia" w:asciiTheme="minorEastAsia" w:hAnsiTheme="minorEastAsia" w:eastAsiaTheme="minorEastAsia" w:cstheme="minorEastAsia"/>
                <w:color w:val="000000"/>
                <w:sz w:val="24"/>
                <w:szCs w:val="24"/>
                <w:lang w:val="zh-CN"/>
              </w:rPr>
            </w:pPr>
            <w:r>
              <w:rPr>
                <w:rFonts w:hint="eastAsia" w:asciiTheme="minorEastAsia" w:hAnsiTheme="minorEastAsia" w:eastAsiaTheme="minorEastAsia" w:cstheme="minorEastAsia"/>
                <w:color w:val="000000"/>
                <w:sz w:val="24"/>
                <w:szCs w:val="24"/>
                <w:lang w:val="zh-CN"/>
              </w:rPr>
              <w:t>注：</w:t>
            </w:r>
          </w:p>
          <w:p w14:paraId="710CB596">
            <w:pPr>
              <w:adjustRightInd w:val="0"/>
              <w:snapToGrid w:val="0"/>
              <w:spacing w:line="360" w:lineRule="auto"/>
              <w:jc w:val="left"/>
              <w:textAlignment w:val="bottom"/>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zh-CN"/>
              </w:rPr>
              <w:t>以上涉及到的证明材料响应文件中附相应证明材料复印件并加盖单位公章。</w:t>
            </w:r>
            <w:r>
              <w:rPr>
                <w:rFonts w:hint="eastAsia" w:asciiTheme="minorEastAsia" w:hAnsiTheme="minorEastAsia" w:eastAsiaTheme="minorEastAsia" w:cstheme="minorEastAsia"/>
                <w:color w:val="000000"/>
                <w:sz w:val="24"/>
                <w:szCs w:val="24"/>
              </w:rPr>
              <w:t>缺项为0分。</w:t>
            </w:r>
          </w:p>
        </w:tc>
      </w:tr>
      <w:tr w14:paraId="462E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51" w:type="dxa"/>
            <w:gridSpan w:val="4"/>
            <w:tcBorders>
              <w:top w:val="single" w:color="auto" w:sz="4" w:space="0"/>
              <w:left w:val="single" w:color="auto" w:sz="4" w:space="0"/>
              <w:bottom w:val="single" w:color="auto" w:sz="4" w:space="0"/>
              <w:right w:val="single" w:color="auto" w:sz="4" w:space="0"/>
            </w:tcBorders>
            <w:noWrap w:val="0"/>
            <w:vAlign w:val="center"/>
          </w:tcPr>
          <w:p w14:paraId="235B2ECA">
            <w:pPr>
              <w:widowControl/>
              <w:adjustRightInd w:val="0"/>
              <w:spacing w:line="36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kern w:val="0"/>
                <w:sz w:val="24"/>
                <w:szCs w:val="24"/>
              </w:rPr>
              <w:t>条款号</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1DB263A">
            <w:pPr>
              <w:widowControl/>
              <w:adjustRightInd w:val="0"/>
              <w:spacing w:line="360" w:lineRule="auto"/>
              <w:ind w:right="-107" w:rightChars="-51"/>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kern w:val="0"/>
                <w:sz w:val="24"/>
                <w:szCs w:val="24"/>
              </w:rPr>
              <w:t>评分因素</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1FC37E83">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kern w:val="0"/>
                <w:sz w:val="24"/>
                <w:szCs w:val="24"/>
              </w:rPr>
              <w:t>评分标准</w:t>
            </w:r>
          </w:p>
        </w:tc>
      </w:tr>
      <w:tr w14:paraId="238F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7" w:hRule="atLeast"/>
        </w:trPr>
        <w:tc>
          <w:tcPr>
            <w:tcW w:w="89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543AEB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2.2.4</w:t>
            </w:r>
          </w:p>
        </w:tc>
        <w:tc>
          <w:tcPr>
            <w:tcW w:w="1258"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063F32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技术标(监理大纲)（</w:t>
            </w:r>
            <w:r>
              <w:rPr>
                <w:rFonts w:hint="eastAsia" w:asciiTheme="minorEastAsia" w:hAnsiTheme="minorEastAsia" w:eastAsiaTheme="minorEastAsia" w:cstheme="minorEastAsia"/>
                <w:color w:val="000000"/>
                <w:sz w:val="24"/>
                <w:szCs w:val="24"/>
                <w:lang w:val="en-US" w:eastAsia="zh-CN"/>
              </w:rPr>
              <w:t>65</w:t>
            </w:r>
            <w:r>
              <w:rPr>
                <w:rFonts w:hint="eastAsia" w:asciiTheme="minorEastAsia" w:hAnsiTheme="minorEastAsia" w:eastAsiaTheme="minorEastAsia" w:cstheme="minorEastAsia"/>
                <w:color w:val="000000"/>
                <w:sz w:val="24"/>
                <w:szCs w:val="24"/>
              </w:rPr>
              <w:t>分）</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8FB5FF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重点、难点分析及监理工作总体计划（8分）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1CBDAC43">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1）对项目重点、难点剖析全面透彻，监理总体工作计划科学合理；拟定管控措施扎实有力，贴合森林抚育项目现场实际，针对性、可操作性极强得8分；</w:t>
            </w:r>
          </w:p>
          <w:p w14:paraId="041E7EDB">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2）能够梳理项目主要重点、难点，监理总体工作计划思路清晰；相关管控措施基本可行，具备一定针对性，但深度与细节尚有提升空间得6分；</w:t>
            </w:r>
          </w:p>
          <w:p w14:paraId="00D5BD0A">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3）对项目重点、难点分析不够完整，监理总体工作计划基本可行；措施表述较为笼统，针对性不足，部分内容缺乏落地支撑得4分；</w:t>
            </w:r>
          </w:p>
          <w:p w14:paraId="17A96D29">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4）项目重点、难点分析缺失或偏差较大，监理工作计划安排不合理；管控措施空洞，缺少对应处置方案，无实际针对性得1分；</w:t>
            </w:r>
          </w:p>
          <w:p w14:paraId="020A1C9F">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缺项得0分。</w:t>
            </w:r>
          </w:p>
        </w:tc>
      </w:tr>
      <w:tr w14:paraId="64FF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 w:hRule="atLeast"/>
        </w:trPr>
        <w:tc>
          <w:tcPr>
            <w:tcW w:w="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DDB198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sz w:val="24"/>
                <w:szCs w:val="24"/>
              </w:rPr>
            </w:pPr>
          </w:p>
        </w:tc>
        <w:tc>
          <w:tcPr>
            <w:tcW w:w="125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724DB6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9A7EE9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质量控制的措施和方法（8分）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0A487B8B">
            <w:pPr>
              <w:keepNext w:val="0"/>
              <w:keepLines w:val="0"/>
              <w:pageBreakBefore w:val="0"/>
              <w:numPr>
                <w:ilvl w:val="0"/>
                <w:numId w:val="3"/>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质量控制体系完整、思路清晰、贴合本项目森林抚育施工特点；质量管控措施全面细致、方法科学规范，事前、事中、事后全过程管控到位，针对性、可操作性极强，能够有效保障项目施工质量</w:t>
            </w:r>
            <w:r>
              <w:rPr>
                <w:rFonts w:hint="eastAsia" w:asciiTheme="minorEastAsia" w:hAnsiTheme="minorEastAsia" w:eastAsiaTheme="minorEastAsia" w:cstheme="minorEastAsia"/>
                <w:color w:val="000000"/>
                <w:sz w:val="24"/>
                <w:szCs w:val="24"/>
                <w:lang w:val="en-US" w:eastAsia="zh-CN"/>
              </w:rPr>
              <w:t>得8分</w:t>
            </w:r>
            <w:r>
              <w:rPr>
                <w:rFonts w:hint="eastAsia" w:asciiTheme="minorEastAsia" w:hAnsiTheme="minorEastAsia" w:eastAsiaTheme="minorEastAsia" w:cstheme="minorEastAsia"/>
                <w:color w:val="000000"/>
                <w:sz w:val="24"/>
                <w:szCs w:val="24"/>
              </w:rPr>
              <w:t>。</w:t>
            </w:r>
          </w:p>
          <w:p w14:paraId="0D6570C8">
            <w:pPr>
              <w:keepNext w:val="0"/>
              <w:keepLines w:val="0"/>
              <w:pageBreakBefore w:val="0"/>
              <w:numPr>
                <w:ilvl w:val="0"/>
                <w:numId w:val="3"/>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质量控制措施较为齐全，管控方法合理，覆盖主要施工环节，基本满足本项目质量管控要求；整体方案可行、具备一定针对性，但个别管控细节不够细化、完善度一般得6分</w:t>
            </w:r>
          </w:p>
          <w:p w14:paraId="532D574E">
            <w:pPr>
              <w:keepNext w:val="0"/>
              <w:keepLines w:val="0"/>
              <w:pageBreakBefore w:val="0"/>
              <w:numPr>
                <w:ilvl w:val="0"/>
                <w:numId w:val="3"/>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有基本的质量控制措施和方法，但内容较为笼统、表述简单；管控环节覆盖不全，针对性不足得4分</w:t>
            </w:r>
          </w:p>
          <w:p w14:paraId="280BBF32">
            <w:pPr>
              <w:keepNext w:val="0"/>
              <w:keepLines w:val="0"/>
              <w:pageBreakBefore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未结合本项目实际，无针对性、无实操性，无法满足项目质量控制基本要求得1分</w:t>
            </w:r>
          </w:p>
          <w:p w14:paraId="727B5521">
            <w:pPr>
              <w:keepNext w:val="0"/>
              <w:keepLines w:val="0"/>
              <w:pageBreakBefore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缺项得0分</w:t>
            </w:r>
          </w:p>
        </w:tc>
      </w:tr>
      <w:tr w14:paraId="2624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8" w:hRule="atLeast"/>
        </w:trPr>
        <w:tc>
          <w:tcPr>
            <w:tcW w:w="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A10630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sz w:val="24"/>
                <w:szCs w:val="24"/>
              </w:rPr>
            </w:pPr>
          </w:p>
        </w:tc>
        <w:tc>
          <w:tcPr>
            <w:tcW w:w="125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12620A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9889596">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工期控制的措施和方法（8分）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62CDA20E">
            <w:pPr>
              <w:keepNext w:val="0"/>
              <w:keepLines w:val="0"/>
              <w:pageBreakBefore w:val="0"/>
              <w:numPr>
                <w:ilvl w:val="0"/>
                <w:numId w:val="4"/>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工期控制措施和方法切实、合理、科学、有保证的得4分；</w:t>
            </w:r>
            <w:r>
              <w:rPr>
                <w:rFonts w:hint="eastAsia" w:asciiTheme="minorEastAsia" w:hAnsiTheme="minorEastAsia" w:eastAsiaTheme="minorEastAsia" w:cstheme="minorEastAsia"/>
                <w:color w:val="000000"/>
                <w:sz w:val="24"/>
                <w:szCs w:val="24"/>
                <w:lang w:val="en-US" w:eastAsia="zh-CN"/>
              </w:rPr>
              <w:t>工</w:t>
            </w:r>
            <w:r>
              <w:rPr>
                <w:rFonts w:hint="eastAsia" w:asciiTheme="minorEastAsia" w:hAnsiTheme="minorEastAsia" w:eastAsiaTheme="minorEastAsia" w:cstheme="minorEastAsia"/>
                <w:color w:val="000000"/>
                <w:sz w:val="24"/>
                <w:szCs w:val="24"/>
              </w:rPr>
              <w:t>期控制措施和方法</w:t>
            </w:r>
            <w:r>
              <w:rPr>
                <w:rFonts w:hint="eastAsia" w:asciiTheme="minorEastAsia" w:hAnsiTheme="minorEastAsia" w:eastAsiaTheme="minorEastAsia" w:cstheme="minorEastAsia"/>
                <w:color w:val="000000"/>
                <w:sz w:val="24"/>
                <w:szCs w:val="24"/>
                <w:lang w:val="en-US" w:eastAsia="zh-CN"/>
              </w:rPr>
              <w:t>较</w:t>
            </w:r>
            <w:r>
              <w:rPr>
                <w:rFonts w:hint="eastAsia" w:asciiTheme="minorEastAsia" w:hAnsiTheme="minorEastAsia" w:eastAsiaTheme="minorEastAsia" w:cstheme="minorEastAsia"/>
                <w:color w:val="000000"/>
                <w:sz w:val="24"/>
                <w:szCs w:val="24"/>
              </w:rPr>
              <w:t>切实、合理、科学、有保证的得</w:t>
            </w: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分</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基本满足需求得</w:t>
            </w: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分；</w:t>
            </w:r>
          </w:p>
          <w:p w14:paraId="0C43D789">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措施和方法中对实现工期目标可行性论述、有进度控制的监理工作内容、原则、程序、有进度控制的监理工作方法和措施，且监理措施详细，技术措施、组织措施、经济措施、合同措施齐全得4分</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较</w:t>
            </w:r>
            <w:r>
              <w:rPr>
                <w:rFonts w:hint="eastAsia" w:asciiTheme="minorEastAsia" w:hAnsiTheme="minorEastAsia" w:eastAsiaTheme="minorEastAsia" w:cstheme="minorEastAsia"/>
                <w:color w:val="000000"/>
                <w:sz w:val="24"/>
                <w:szCs w:val="24"/>
              </w:rPr>
              <w:t>满足需求得2分；</w:t>
            </w:r>
            <w:r>
              <w:rPr>
                <w:rFonts w:hint="eastAsia" w:asciiTheme="minorEastAsia" w:hAnsiTheme="minorEastAsia" w:eastAsiaTheme="minorEastAsia" w:cstheme="minorEastAsia"/>
                <w:color w:val="000000"/>
                <w:sz w:val="24"/>
                <w:szCs w:val="24"/>
                <w:lang w:val="en-US" w:eastAsia="zh-CN"/>
              </w:rPr>
              <w:t>仅满足需求得1分；</w:t>
            </w:r>
          </w:p>
          <w:p w14:paraId="5826FD50">
            <w:pPr>
              <w:keepNext w:val="0"/>
              <w:keepLines w:val="0"/>
              <w:pageBreakBefore w:val="0"/>
              <w:numPr>
                <w:ilvl w:val="0"/>
                <w:numId w:val="0"/>
              </w:numPr>
              <w:kinsoku/>
              <w:wordWrap/>
              <w:overflowPunct/>
              <w:topLinePunct w:val="0"/>
              <w:autoSpaceDE/>
              <w:autoSpaceDN/>
              <w:bidi w:val="0"/>
              <w:adjustRightInd/>
              <w:snapToGrid/>
              <w:spacing w:line="240" w:lineRule="auto"/>
              <w:ind w:leftChars="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缺项得0分。</w:t>
            </w:r>
          </w:p>
        </w:tc>
      </w:tr>
      <w:tr w14:paraId="4BEF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6" w:hRule="atLeast"/>
        </w:trPr>
        <w:tc>
          <w:tcPr>
            <w:tcW w:w="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F4C3B2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sz w:val="24"/>
                <w:szCs w:val="24"/>
              </w:rPr>
            </w:pPr>
          </w:p>
        </w:tc>
        <w:tc>
          <w:tcPr>
            <w:tcW w:w="125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DDC1E2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3BB394A">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投资控制的措施和方法（8分）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1C4E8E21">
            <w:pPr>
              <w:keepNext w:val="0"/>
              <w:keepLines w:val="0"/>
              <w:pageBreakBefore w:val="0"/>
              <w:numPr>
                <w:ilvl w:val="0"/>
                <w:numId w:val="5"/>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投资控制的措施和方法切实、合理、科学、有保证的得4分；</w:t>
            </w:r>
            <w:r>
              <w:rPr>
                <w:rFonts w:hint="eastAsia" w:asciiTheme="minorEastAsia" w:hAnsiTheme="minorEastAsia" w:eastAsiaTheme="minorEastAsia" w:cstheme="minorEastAsia"/>
                <w:color w:val="000000"/>
                <w:sz w:val="24"/>
                <w:szCs w:val="24"/>
                <w:lang w:val="en-US" w:eastAsia="zh-CN"/>
              </w:rPr>
              <w:t>较</w:t>
            </w:r>
            <w:r>
              <w:rPr>
                <w:rFonts w:hint="eastAsia" w:asciiTheme="minorEastAsia" w:hAnsiTheme="minorEastAsia" w:eastAsiaTheme="minorEastAsia" w:cstheme="minorEastAsia"/>
                <w:color w:val="000000"/>
                <w:sz w:val="24"/>
                <w:szCs w:val="24"/>
              </w:rPr>
              <w:t>满足需求的得2分；</w:t>
            </w:r>
            <w:r>
              <w:rPr>
                <w:rFonts w:hint="eastAsia" w:asciiTheme="minorEastAsia" w:hAnsiTheme="minorEastAsia" w:eastAsiaTheme="minorEastAsia" w:cstheme="minorEastAsia"/>
                <w:color w:val="000000"/>
                <w:sz w:val="24"/>
                <w:szCs w:val="24"/>
                <w:lang w:val="en-US" w:eastAsia="zh-CN"/>
              </w:rPr>
              <w:t>仅满足需求得1分；</w:t>
            </w:r>
            <w:r>
              <w:rPr>
                <w:rFonts w:hint="eastAsia" w:asciiTheme="minorEastAsia" w:hAnsiTheme="minorEastAsia" w:eastAsiaTheme="minorEastAsia" w:cstheme="minorEastAsia"/>
                <w:color w:val="000000"/>
                <w:sz w:val="24"/>
                <w:szCs w:val="24"/>
              </w:rPr>
              <w:t>缺项得0分。</w:t>
            </w:r>
          </w:p>
          <w:p w14:paraId="7CB0F35B">
            <w:pPr>
              <w:keepNext w:val="0"/>
              <w:keepLines w:val="0"/>
              <w:pageBreakBefore w:val="0"/>
              <w:numPr>
                <w:ilvl w:val="0"/>
                <w:numId w:val="5"/>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监理措施详细，技术措施、组织措施、经济措施、合同措施齐全的，且工程变更管理方法得当、费用索赔的处理方法可行的得4分；</w:t>
            </w:r>
            <w:r>
              <w:rPr>
                <w:rFonts w:hint="eastAsia" w:asciiTheme="minorEastAsia" w:hAnsiTheme="minorEastAsia" w:eastAsiaTheme="minorEastAsia" w:cstheme="minorEastAsia"/>
                <w:color w:val="000000"/>
                <w:sz w:val="24"/>
                <w:szCs w:val="24"/>
                <w:lang w:val="en-US" w:eastAsia="zh-CN"/>
              </w:rPr>
              <w:t>较</w:t>
            </w:r>
            <w:r>
              <w:rPr>
                <w:rFonts w:hint="eastAsia" w:asciiTheme="minorEastAsia" w:hAnsiTheme="minorEastAsia" w:eastAsiaTheme="minorEastAsia" w:cstheme="minorEastAsia"/>
                <w:color w:val="000000"/>
                <w:sz w:val="24"/>
                <w:szCs w:val="24"/>
              </w:rPr>
              <w:t>满足需求的得2分；</w:t>
            </w:r>
            <w:r>
              <w:rPr>
                <w:rFonts w:hint="eastAsia" w:asciiTheme="minorEastAsia" w:hAnsiTheme="minorEastAsia" w:eastAsiaTheme="minorEastAsia" w:cstheme="minorEastAsia"/>
                <w:color w:val="000000"/>
                <w:sz w:val="24"/>
                <w:szCs w:val="24"/>
                <w:lang w:val="en-US" w:eastAsia="zh-CN"/>
              </w:rPr>
              <w:t>仅满足需求得1分；</w:t>
            </w:r>
          </w:p>
          <w:p w14:paraId="0CB683BB">
            <w:pPr>
              <w:keepNext w:val="0"/>
              <w:keepLines w:val="0"/>
              <w:pageBreakBefore w:val="0"/>
              <w:numPr>
                <w:ilvl w:val="0"/>
                <w:numId w:val="5"/>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缺项得0分。</w:t>
            </w:r>
          </w:p>
        </w:tc>
      </w:tr>
      <w:tr w14:paraId="42DC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6" w:hRule="atLeast"/>
        </w:trPr>
        <w:tc>
          <w:tcPr>
            <w:tcW w:w="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058F9F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sz w:val="24"/>
                <w:szCs w:val="24"/>
              </w:rPr>
            </w:pPr>
          </w:p>
        </w:tc>
        <w:tc>
          <w:tcPr>
            <w:tcW w:w="125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103FF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49A05D8">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文明施工、安全生产及森林防火监理措施（</w:t>
            </w:r>
            <w:r>
              <w:rPr>
                <w:rFonts w:hint="eastAsia" w:asciiTheme="minorEastAsia" w:hAnsiTheme="minorEastAsia" w:eastAsiaTheme="minorEastAsia" w:cstheme="minorEastAsia"/>
                <w:color w:val="000000"/>
                <w:sz w:val="24"/>
                <w:szCs w:val="24"/>
                <w:lang w:val="en-US" w:eastAsia="zh-CN"/>
              </w:rPr>
              <w:t>6</w:t>
            </w:r>
            <w:r>
              <w:rPr>
                <w:rFonts w:hint="eastAsia" w:asciiTheme="minorEastAsia" w:hAnsiTheme="minorEastAsia" w:eastAsiaTheme="minorEastAsia" w:cstheme="minorEastAsia"/>
                <w:color w:val="000000"/>
                <w:sz w:val="24"/>
                <w:szCs w:val="24"/>
              </w:rPr>
              <w:t>分）</w:t>
            </w:r>
          </w:p>
        </w:tc>
        <w:tc>
          <w:tcPr>
            <w:tcW w:w="6139" w:type="dxa"/>
            <w:tcBorders>
              <w:top w:val="single" w:color="auto" w:sz="4" w:space="0"/>
              <w:left w:val="single" w:color="auto" w:sz="4" w:space="0"/>
              <w:right w:val="single" w:color="auto" w:sz="4" w:space="0"/>
            </w:tcBorders>
            <w:noWrap w:val="0"/>
            <w:vAlign w:val="center"/>
          </w:tcPr>
          <w:p w14:paraId="32F552B4">
            <w:pPr>
              <w:keepNext w:val="0"/>
              <w:keepLines w:val="0"/>
              <w:pageBreakBefore w:val="0"/>
              <w:numPr>
                <w:ilvl w:val="0"/>
                <w:numId w:val="6"/>
              </w:numPr>
              <w:kinsoku/>
              <w:wordWrap/>
              <w:overflowPunct/>
              <w:topLinePunct w:val="0"/>
              <w:autoSpaceDE/>
              <w:autoSpaceDN/>
              <w:bidi w:val="0"/>
              <w:adjustRightInd/>
              <w:snapToGrid/>
              <w:spacing w:line="240" w:lineRule="auto"/>
              <w:textAlignment w:val="auto"/>
              <w:rPr>
                <w:rFonts w:ascii="宋体" w:hAnsi="宋体" w:eastAsia="宋体" w:cs="宋体"/>
                <w:sz w:val="24"/>
                <w:szCs w:val="24"/>
              </w:rPr>
            </w:pPr>
            <w:r>
              <w:rPr>
                <w:rFonts w:ascii="宋体" w:hAnsi="宋体" w:eastAsia="宋体" w:cs="宋体"/>
                <w:sz w:val="24"/>
                <w:szCs w:val="24"/>
              </w:rPr>
              <w:t>针对林区野外作业、采伐运输、野外用火制定全套安全监理方案，防火巡查、隐患停工、应急处置机制完整，四类管控措施齐全，得6分；</w:t>
            </w:r>
          </w:p>
          <w:p w14:paraId="7AC35FD4">
            <w:pPr>
              <w:keepNext w:val="0"/>
              <w:keepLines w:val="0"/>
              <w:pageBreakBefore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ascii="宋体" w:hAnsi="宋体" w:eastAsia="宋体" w:cs="宋体"/>
                <w:sz w:val="24"/>
                <w:szCs w:val="24"/>
              </w:rPr>
            </w:pPr>
            <w:r>
              <w:rPr>
                <w:rFonts w:ascii="宋体" w:hAnsi="宋体" w:eastAsia="宋体" w:cs="宋体"/>
                <w:sz w:val="24"/>
                <w:szCs w:val="24"/>
              </w:rPr>
              <w:t>安全管控体系完整，防火专项方案可行，措施较完善，得4分；</w:t>
            </w:r>
          </w:p>
          <w:p w14:paraId="42913F4A">
            <w:pPr>
              <w:keepNext w:val="0"/>
              <w:keepLines w:val="0"/>
              <w:pageBreakBefore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ascii="宋体" w:hAnsi="宋体" w:eastAsia="宋体" w:cs="宋体"/>
                <w:sz w:val="24"/>
                <w:szCs w:val="24"/>
              </w:rPr>
            </w:pPr>
            <w:r>
              <w:rPr>
                <w:rFonts w:ascii="宋体" w:hAnsi="宋体" w:eastAsia="宋体" w:cs="宋体"/>
                <w:sz w:val="24"/>
                <w:szCs w:val="24"/>
              </w:rPr>
              <w:t>仅有基础安全条款，防火管控内容缺失，得2分； 4）无林区防火、人身安全管控方案，得1分；</w:t>
            </w:r>
          </w:p>
          <w:p w14:paraId="465617F2">
            <w:pPr>
              <w:keepNext w:val="0"/>
              <w:keepLines w:val="0"/>
              <w:pageBreakBefore w:val="0"/>
              <w:numPr>
                <w:ilvl w:val="0"/>
                <w:numId w:val="0"/>
              </w:numPr>
              <w:kinsoku/>
              <w:wordWrap/>
              <w:overflowPunct/>
              <w:topLinePunct w:val="0"/>
              <w:autoSpaceDE/>
              <w:autoSpaceDN/>
              <w:bidi w:val="0"/>
              <w:adjustRightInd/>
              <w:snapToGrid/>
              <w:spacing w:line="240" w:lineRule="auto"/>
              <w:ind w:leftChars="0"/>
              <w:textAlignment w:val="auto"/>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sz w:val="24"/>
                <w:szCs w:val="24"/>
                <w:lang w:val="en-US" w:eastAsia="zh-CN"/>
              </w:rPr>
              <w:t>5）</w:t>
            </w:r>
            <w:r>
              <w:rPr>
                <w:rFonts w:ascii="宋体" w:hAnsi="宋体" w:eastAsia="宋体" w:cs="宋体"/>
                <w:sz w:val="24"/>
                <w:szCs w:val="24"/>
              </w:rPr>
              <w:t>缺项0分。</w:t>
            </w:r>
          </w:p>
        </w:tc>
      </w:tr>
      <w:tr w14:paraId="2415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7" w:hRule="atLeast"/>
        </w:trPr>
        <w:tc>
          <w:tcPr>
            <w:tcW w:w="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00C22B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sz w:val="24"/>
                <w:szCs w:val="24"/>
              </w:rPr>
            </w:pPr>
          </w:p>
        </w:tc>
        <w:tc>
          <w:tcPr>
            <w:tcW w:w="125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9E428C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18CB75D">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工作协调的措施和方法（6分）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41EF43FE">
            <w:pPr>
              <w:keepNext w:val="0"/>
              <w:keepLines w:val="0"/>
              <w:pageBreakBefore w:val="0"/>
              <w:numPr>
                <w:ilvl w:val="0"/>
                <w:numId w:val="7"/>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项目工作协调的内容、原则和程序切实、合理、科学、有保证得3分；</w:t>
            </w:r>
            <w:r>
              <w:rPr>
                <w:rFonts w:hint="eastAsia" w:asciiTheme="minorEastAsia" w:hAnsiTheme="minorEastAsia" w:eastAsiaTheme="minorEastAsia" w:cstheme="minorEastAsia"/>
                <w:color w:val="000000"/>
                <w:sz w:val="24"/>
                <w:szCs w:val="24"/>
                <w:lang w:val="en-US" w:eastAsia="zh-CN"/>
              </w:rPr>
              <w:t>较</w:t>
            </w:r>
            <w:r>
              <w:rPr>
                <w:rFonts w:hint="eastAsia" w:asciiTheme="minorEastAsia" w:hAnsiTheme="minorEastAsia" w:eastAsiaTheme="minorEastAsia" w:cstheme="minorEastAsia"/>
                <w:color w:val="000000"/>
                <w:sz w:val="24"/>
                <w:szCs w:val="24"/>
              </w:rPr>
              <w:t>满足需求的得</w:t>
            </w: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分；</w:t>
            </w:r>
            <w:r>
              <w:rPr>
                <w:rFonts w:hint="eastAsia" w:asciiTheme="minorEastAsia" w:hAnsiTheme="minorEastAsia" w:eastAsiaTheme="minorEastAsia" w:cstheme="minorEastAsia"/>
                <w:color w:val="000000"/>
                <w:sz w:val="24"/>
                <w:szCs w:val="24"/>
                <w:lang w:val="en-US" w:eastAsia="zh-CN"/>
              </w:rPr>
              <w:t>仅满足需求得1分；</w:t>
            </w:r>
            <w:r>
              <w:rPr>
                <w:rFonts w:hint="eastAsia" w:asciiTheme="minorEastAsia" w:hAnsiTheme="minorEastAsia" w:eastAsiaTheme="minorEastAsia" w:cstheme="minorEastAsia"/>
                <w:color w:val="000000"/>
                <w:sz w:val="24"/>
                <w:szCs w:val="24"/>
              </w:rPr>
              <w:t>缺项得0分。</w:t>
            </w:r>
          </w:p>
          <w:p w14:paraId="557C5372">
            <w:pPr>
              <w:keepNext w:val="0"/>
              <w:keepLines w:val="0"/>
              <w:pageBreakBefore w:val="0"/>
              <w:numPr>
                <w:ilvl w:val="0"/>
                <w:numId w:val="7"/>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项目协调的工作方法和措施切实、合理、科学、有保证得</w:t>
            </w: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分；监理措施详细，技术措施、组织措施、经济措施、合同措施齐全得1分。此项最多得3分。</w:t>
            </w:r>
          </w:p>
          <w:p w14:paraId="31F33124">
            <w:pPr>
              <w:keepNext w:val="0"/>
              <w:keepLines w:val="0"/>
              <w:pageBreakBefore w:val="0"/>
              <w:numPr>
                <w:ilvl w:val="0"/>
                <w:numId w:val="7"/>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ascii="宋体" w:hAnsi="宋体" w:eastAsia="宋体" w:cs="宋体"/>
                <w:sz w:val="24"/>
                <w:szCs w:val="24"/>
              </w:rPr>
              <w:t>缺项0分。</w:t>
            </w:r>
          </w:p>
        </w:tc>
      </w:tr>
      <w:tr w14:paraId="1523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A1E829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sz w:val="24"/>
                <w:szCs w:val="24"/>
              </w:rPr>
            </w:pPr>
          </w:p>
        </w:tc>
        <w:tc>
          <w:tcPr>
            <w:tcW w:w="125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EBF8EC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F1F1526">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合同管理的措施和方法（</w:t>
            </w:r>
            <w:r>
              <w:rPr>
                <w:rFonts w:hint="eastAsia" w:asciiTheme="minorEastAsia" w:hAnsiTheme="minorEastAsia" w:eastAsiaTheme="minorEastAsia" w:cstheme="minorEastAsia"/>
                <w:color w:val="000000"/>
                <w:sz w:val="24"/>
                <w:szCs w:val="24"/>
                <w:lang w:val="en-US" w:eastAsia="zh-CN"/>
              </w:rPr>
              <w:t>7</w:t>
            </w:r>
            <w:r>
              <w:rPr>
                <w:rFonts w:hint="eastAsia" w:asciiTheme="minorEastAsia" w:hAnsiTheme="minorEastAsia" w:eastAsiaTheme="minorEastAsia" w:cstheme="minorEastAsia"/>
                <w:color w:val="000000"/>
                <w:sz w:val="24"/>
                <w:szCs w:val="24"/>
              </w:rPr>
              <w:t>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4795B529">
            <w:pPr>
              <w:keepNext w:val="0"/>
              <w:keepLines w:val="0"/>
              <w:pageBreakBefore w:val="0"/>
              <w:numPr>
                <w:ilvl w:val="0"/>
                <w:numId w:val="8"/>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合同管理的内容、原则和程序切实、合理、科学、有保证得</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r>
              <w:rPr>
                <w:rFonts w:hint="eastAsia" w:asciiTheme="minorEastAsia" w:hAnsiTheme="minorEastAsia" w:eastAsiaTheme="minorEastAsia" w:cstheme="minorEastAsia"/>
                <w:color w:val="000000"/>
                <w:sz w:val="24"/>
                <w:szCs w:val="24"/>
                <w:lang w:val="en-US" w:eastAsia="zh-CN"/>
              </w:rPr>
              <w:t>较</w:t>
            </w:r>
            <w:r>
              <w:rPr>
                <w:rFonts w:hint="eastAsia" w:asciiTheme="minorEastAsia" w:hAnsiTheme="minorEastAsia" w:eastAsiaTheme="minorEastAsia" w:cstheme="minorEastAsia"/>
                <w:color w:val="000000"/>
                <w:sz w:val="24"/>
                <w:szCs w:val="24"/>
              </w:rPr>
              <w:t>满足需求的得</w:t>
            </w: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分；</w:t>
            </w:r>
            <w:r>
              <w:rPr>
                <w:rFonts w:hint="eastAsia" w:asciiTheme="minorEastAsia" w:hAnsiTheme="minorEastAsia" w:eastAsiaTheme="minorEastAsia" w:cstheme="minorEastAsia"/>
                <w:color w:val="000000"/>
                <w:sz w:val="24"/>
                <w:szCs w:val="24"/>
                <w:lang w:val="en-US" w:eastAsia="zh-CN"/>
              </w:rPr>
              <w:t>仅满足需求得1分；</w:t>
            </w:r>
            <w:r>
              <w:rPr>
                <w:rFonts w:hint="eastAsia" w:asciiTheme="minorEastAsia" w:hAnsiTheme="minorEastAsia" w:eastAsiaTheme="minorEastAsia" w:cstheme="minorEastAsia"/>
                <w:color w:val="000000"/>
                <w:sz w:val="24"/>
                <w:szCs w:val="24"/>
              </w:rPr>
              <w:t>缺项得0分。</w:t>
            </w:r>
          </w:p>
          <w:p w14:paraId="3580684F">
            <w:pPr>
              <w:keepNext w:val="0"/>
              <w:keepLines w:val="0"/>
              <w:pageBreakBefore w:val="0"/>
              <w:numPr>
                <w:ilvl w:val="0"/>
                <w:numId w:val="8"/>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合同管理的工作方法和措施切实、合理、科学、有保证得2分；监理措施详细，技术措施、组织措施、经济措施、合同措施齐全得2分。此项最多得4分。</w:t>
            </w:r>
          </w:p>
          <w:p w14:paraId="0F199258">
            <w:pPr>
              <w:keepNext w:val="0"/>
              <w:keepLines w:val="0"/>
              <w:pageBreakBefore w:val="0"/>
              <w:numPr>
                <w:ilvl w:val="0"/>
                <w:numId w:val="8"/>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eastAsia="zh-CN"/>
              </w:rPr>
            </w:pPr>
            <w:r>
              <w:rPr>
                <w:rFonts w:ascii="宋体" w:hAnsi="宋体" w:eastAsia="宋体" w:cs="宋体"/>
                <w:sz w:val="24"/>
                <w:szCs w:val="24"/>
              </w:rPr>
              <w:t>缺项0分。</w:t>
            </w:r>
          </w:p>
        </w:tc>
      </w:tr>
      <w:tr w14:paraId="44D5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0" w:hRule="atLeast"/>
        </w:trPr>
        <w:tc>
          <w:tcPr>
            <w:tcW w:w="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CFF506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sz w:val="24"/>
                <w:szCs w:val="24"/>
              </w:rPr>
            </w:pPr>
          </w:p>
        </w:tc>
        <w:tc>
          <w:tcPr>
            <w:tcW w:w="125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EBB30D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17B9B26">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信息管理的措施和方法（</w:t>
            </w:r>
            <w:r>
              <w:rPr>
                <w:rFonts w:hint="eastAsia" w:asciiTheme="minorEastAsia" w:hAnsiTheme="minorEastAsia" w:eastAsiaTheme="minorEastAsia" w:cstheme="minorEastAsia"/>
                <w:color w:val="000000"/>
                <w:sz w:val="24"/>
                <w:szCs w:val="24"/>
                <w:lang w:val="en-US" w:eastAsia="zh-CN"/>
              </w:rPr>
              <w:t>7</w:t>
            </w:r>
            <w:r>
              <w:rPr>
                <w:rFonts w:hint="eastAsia" w:asciiTheme="minorEastAsia" w:hAnsiTheme="minorEastAsia" w:eastAsiaTheme="minorEastAsia" w:cstheme="minorEastAsia"/>
                <w:color w:val="000000"/>
                <w:sz w:val="24"/>
                <w:szCs w:val="24"/>
              </w:rPr>
              <w:t>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1DC29D41">
            <w:pPr>
              <w:keepNext w:val="0"/>
              <w:keepLines w:val="0"/>
              <w:pageBreakBefore w:val="0"/>
              <w:numPr>
                <w:ilvl w:val="0"/>
                <w:numId w:val="9"/>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信息管理的内容、原则和程序切实、合理、科学、有保证得</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r>
              <w:rPr>
                <w:rFonts w:hint="eastAsia" w:asciiTheme="minorEastAsia" w:hAnsiTheme="minorEastAsia" w:eastAsiaTheme="minorEastAsia" w:cstheme="minorEastAsia"/>
                <w:color w:val="000000"/>
                <w:sz w:val="24"/>
                <w:szCs w:val="24"/>
                <w:lang w:val="en-US" w:eastAsia="zh-CN"/>
              </w:rPr>
              <w:t>较</w:t>
            </w:r>
            <w:r>
              <w:rPr>
                <w:rFonts w:hint="eastAsia" w:asciiTheme="minorEastAsia" w:hAnsiTheme="minorEastAsia" w:eastAsiaTheme="minorEastAsia" w:cstheme="minorEastAsia"/>
                <w:color w:val="000000"/>
                <w:sz w:val="24"/>
                <w:szCs w:val="24"/>
              </w:rPr>
              <w:t>满足需求的得2分；</w:t>
            </w:r>
            <w:r>
              <w:rPr>
                <w:rFonts w:hint="eastAsia" w:asciiTheme="minorEastAsia" w:hAnsiTheme="minorEastAsia" w:eastAsiaTheme="minorEastAsia" w:cstheme="minorEastAsia"/>
                <w:color w:val="000000"/>
                <w:sz w:val="24"/>
                <w:szCs w:val="24"/>
                <w:lang w:val="en-US" w:eastAsia="zh-CN"/>
              </w:rPr>
              <w:t>仅满足需求得1分；</w:t>
            </w:r>
            <w:r>
              <w:rPr>
                <w:rFonts w:hint="eastAsia" w:asciiTheme="minorEastAsia" w:hAnsiTheme="minorEastAsia" w:eastAsiaTheme="minorEastAsia" w:cstheme="minorEastAsia"/>
                <w:color w:val="000000"/>
                <w:sz w:val="24"/>
                <w:szCs w:val="24"/>
              </w:rPr>
              <w:t>缺项得0分。</w:t>
            </w:r>
          </w:p>
          <w:p w14:paraId="6847CCA3">
            <w:pPr>
              <w:keepNext w:val="0"/>
              <w:keepLines w:val="0"/>
              <w:pageBreakBefore w:val="0"/>
              <w:numPr>
                <w:ilvl w:val="0"/>
                <w:numId w:val="9"/>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信息管理的工作方法和措施切实、合理、科学、有保证得2分；监理措施详细，技术措施、组织措施、经济措施、合同措施齐全得2分。此项最多得4分。</w:t>
            </w:r>
          </w:p>
          <w:p w14:paraId="3C2DB897">
            <w:pPr>
              <w:keepNext w:val="0"/>
              <w:keepLines w:val="0"/>
              <w:pageBreakBefore w:val="0"/>
              <w:numPr>
                <w:ilvl w:val="0"/>
                <w:numId w:val="9"/>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eastAsia="zh-CN"/>
              </w:rPr>
            </w:pPr>
            <w:r>
              <w:rPr>
                <w:rFonts w:ascii="宋体" w:hAnsi="宋体" w:eastAsia="宋体" w:cs="宋体"/>
                <w:sz w:val="24"/>
                <w:szCs w:val="24"/>
              </w:rPr>
              <w:t>缺项0分。</w:t>
            </w:r>
          </w:p>
        </w:tc>
      </w:tr>
      <w:tr w14:paraId="6205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8" w:hRule="atLeast"/>
        </w:trPr>
        <w:tc>
          <w:tcPr>
            <w:tcW w:w="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4A8C29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sz w:val="24"/>
                <w:szCs w:val="24"/>
              </w:rPr>
            </w:pPr>
          </w:p>
        </w:tc>
        <w:tc>
          <w:tcPr>
            <w:tcW w:w="125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D5C409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1FACA09">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auto"/>
                <w:sz w:val="24"/>
                <w:szCs w:val="24"/>
                <w:highlight w:val="none"/>
              </w:rPr>
              <w:t>保证旁站监理措施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78798A35">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旁站监理措施设置切实、合理、科学、有保证的得</w:t>
            </w:r>
            <w:r>
              <w:rPr>
                <w:rFonts w:hint="eastAsia" w:asciiTheme="minorEastAsia" w:hAnsiTheme="minorEastAsia" w:eastAsiaTheme="minorEastAsia" w:cstheme="minorEastAsia"/>
                <w:color w:val="000000"/>
                <w:sz w:val="24"/>
                <w:szCs w:val="24"/>
                <w:lang w:val="en-US" w:eastAsia="zh-CN"/>
              </w:rPr>
              <w:t>2分</w:t>
            </w:r>
            <w:r>
              <w:rPr>
                <w:rFonts w:hint="eastAsia" w:asciiTheme="minorEastAsia" w:hAnsiTheme="minorEastAsia" w:eastAsiaTheme="minorEastAsia" w:cstheme="minorEastAsia"/>
                <w:color w:val="000000"/>
                <w:sz w:val="24"/>
                <w:szCs w:val="24"/>
              </w:rPr>
              <w:t>；设置基本满足需求得</w:t>
            </w:r>
            <w:r>
              <w:rPr>
                <w:rFonts w:hint="eastAsia" w:asciiTheme="minorEastAsia" w:hAnsiTheme="minorEastAsia" w:eastAsiaTheme="minorEastAsia" w:cstheme="minorEastAsia"/>
                <w:color w:val="000000"/>
                <w:sz w:val="24"/>
                <w:szCs w:val="24"/>
                <w:lang w:val="en-US" w:eastAsia="zh-CN"/>
              </w:rPr>
              <w:t>1分</w:t>
            </w:r>
            <w:r>
              <w:rPr>
                <w:rFonts w:hint="eastAsia" w:asciiTheme="minorEastAsia" w:hAnsiTheme="minorEastAsia" w:eastAsiaTheme="minorEastAsia" w:cstheme="minorEastAsia"/>
                <w:color w:val="000000"/>
                <w:sz w:val="24"/>
                <w:szCs w:val="24"/>
              </w:rPr>
              <w:t>；缺项得0分。</w:t>
            </w:r>
          </w:p>
          <w:p w14:paraId="73F0E843">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2）工程旁站监理部位（过程）的，旁站监理部位（过程）设置切实、合理、科学、有保证的得</w:t>
            </w:r>
            <w:r>
              <w:rPr>
                <w:rFonts w:hint="eastAsia" w:asciiTheme="minorEastAsia" w:hAnsiTheme="minorEastAsia" w:eastAsiaTheme="minorEastAsia" w:cstheme="minorEastAsia"/>
                <w:color w:val="000000"/>
                <w:sz w:val="24"/>
                <w:szCs w:val="24"/>
                <w:lang w:val="en-US" w:eastAsia="zh-CN"/>
              </w:rPr>
              <w:t>2分</w:t>
            </w:r>
            <w:r>
              <w:rPr>
                <w:rFonts w:hint="eastAsia" w:asciiTheme="minorEastAsia" w:hAnsiTheme="minorEastAsia" w:eastAsiaTheme="minorEastAsia" w:cstheme="minorEastAsia"/>
                <w:color w:val="000000"/>
                <w:sz w:val="24"/>
                <w:szCs w:val="24"/>
              </w:rPr>
              <w:t>；设置基本满足需求得</w:t>
            </w:r>
            <w:r>
              <w:rPr>
                <w:rFonts w:hint="eastAsia" w:asciiTheme="minorEastAsia" w:hAnsiTheme="minorEastAsia" w:eastAsiaTheme="minorEastAsia" w:cstheme="minorEastAsia"/>
                <w:color w:val="000000"/>
                <w:sz w:val="24"/>
                <w:szCs w:val="24"/>
                <w:lang w:val="en-US" w:eastAsia="zh-CN"/>
              </w:rPr>
              <w:t>1分</w:t>
            </w:r>
            <w:r>
              <w:rPr>
                <w:rFonts w:hint="eastAsia" w:asciiTheme="minorEastAsia" w:hAnsiTheme="minorEastAsia" w:eastAsiaTheme="minorEastAsia" w:cstheme="minorEastAsia"/>
                <w:color w:val="000000"/>
                <w:sz w:val="24"/>
                <w:szCs w:val="24"/>
              </w:rPr>
              <w:t>；</w:t>
            </w:r>
          </w:p>
          <w:p w14:paraId="66AA7E89">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缺项得0分。</w:t>
            </w:r>
          </w:p>
        </w:tc>
      </w:tr>
      <w:tr w14:paraId="3DC6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9" w:hRule="atLeast"/>
        </w:trPr>
        <w:tc>
          <w:tcPr>
            <w:tcW w:w="89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2B7EB7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000000"/>
                <w:sz w:val="24"/>
                <w:szCs w:val="24"/>
              </w:rPr>
            </w:pPr>
          </w:p>
        </w:tc>
        <w:tc>
          <w:tcPr>
            <w:tcW w:w="125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0ED06F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sz w:val="24"/>
                <w:szCs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D1898F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
              </w:rPr>
              <w:t>竣工验收阶段工程监理方案(3分)</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49B4EE2C">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竣工验收阶段监理方案完整详实、科学合理，完全贴合森林抚育项目验收规范及行业要求；验收流程、核查内容、抽检标准、问题整改、竣工资料审核等管控措施全面到位，针对性、实操性极强，可全面保障项目竣工验收工作规范有序开展</w:t>
            </w:r>
            <w:r>
              <w:rPr>
                <w:rFonts w:hint="eastAsia" w:asciiTheme="minorEastAsia" w:hAnsiTheme="minorEastAsia" w:eastAsiaTheme="minorEastAsia" w:cstheme="minorEastAsia"/>
                <w:color w:val="000000"/>
                <w:sz w:val="24"/>
                <w:szCs w:val="24"/>
                <w:lang w:val="en-US" w:eastAsia="zh-CN"/>
              </w:rPr>
              <w:t>得3分</w:t>
            </w:r>
          </w:p>
          <w:p w14:paraId="659060B0">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2）竣工验收阶段监理方案整体完整，验收工作流程和管控措施合理，覆盖主要验收环节，满足项目基本验收要求得2分</w:t>
            </w:r>
          </w:p>
          <w:p w14:paraId="1F8722DE">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3）竣工验收监理方案内容空洞、关键流程缺失，管控措施不合理或严重不全得1分</w:t>
            </w:r>
          </w:p>
          <w:p w14:paraId="610D06D8">
            <w:pPr>
              <w:keepNext w:val="0"/>
              <w:keepLines w:val="0"/>
              <w:pageBreakBefore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缺项得0分。</w:t>
            </w:r>
          </w:p>
        </w:tc>
      </w:tr>
    </w:tbl>
    <w:p w14:paraId="1CC22592">
      <w:pPr>
        <w:pStyle w:val="3"/>
        <w:spacing w:before="0"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评标方法</w:t>
      </w:r>
      <w:bookmarkEnd w:id="316"/>
      <w:bookmarkEnd w:id="317"/>
      <w:bookmarkEnd w:id="318"/>
      <w:bookmarkEnd w:id="319"/>
      <w:bookmarkEnd w:id="320"/>
      <w:bookmarkEnd w:id="321"/>
    </w:p>
    <w:p w14:paraId="48B510E1">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评标采用综合评估法。评标委员会对满足招标文件实质性要求的投标文件，按照本章第2.2款规定的评分标准进行打分，并按得分由高到低顺序对投标人排序，并推荐1至3名中标候选人。综合评分相等时，以投标报价低的优先。</w:t>
      </w:r>
    </w:p>
    <w:p w14:paraId="0EDC4A3E">
      <w:pPr>
        <w:pStyle w:val="3"/>
        <w:spacing w:before="0" w:after="0" w:line="400" w:lineRule="exact"/>
        <w:rPr>
          <w:rFonts w:hint="eastAsia" w:asciiTheme="minorEastAsia" w:hAnsiTheme="minorEastAsia" w:eastAsiaTheme="minorEastAsia" w:cstheme="minorEastAsia"/>
          <w:sz w:val="24"/>
          <w:szCs w:val="24"/>
        </w:rPr>
      </w:pPr>
      <w:bookmarkStart w:id="322" w:name="_Toc16195"/>
      <w:r>
        <w:rPr>
          <w:rFonts w:hint="eastAsia" w:asciiTheme="minorEastAsia" w:hAnsiTheme="minorEastAsia" w:eastAsiaTheme="minorEastAsia" w:cstheme="minorEastAsia"/>
          <w:sz w:val="24"/>
          <w:szCs w:val="24"/>
        </w:rPr>
        <w:t>2．评审标准</w:t>
      </w:r>
      <w:bookmarkEnd w:id="322"/>
    </w:p>
    <w:p w14:paraId="3678133A">
      <w:pPr>
        <w:pStyle w:val="4"/>
        <w:spacing w:before="0" w:after="0" w:line="400" w:lineRule="exact"/>
        <w:rPr>
          <w:rFonts w:hint="eastAsia" w:asciiTheme="minorEastAsia" w:hAnsiTheme="minorEastAsia" w:eastAsiaTheme="minorEastAsia" w:cstheme="minorEastAsia"/>
          <w:sz w:val="24"/>
          <w:szCs w:val="24"/>
        </w:rPr>
      </w:pPr>
      <w:bookmarkStart w:id="323" w:name="_Toc247514026"/>
      <w:bookmarkStart w:id="324" w:name="_Toc152045602"/>
      <w:bookmarkStart w:id="325" w:name="_Toc247527627"/>
      <w:bookmarkStart w:id="326" w:name="_Toc152042379"/>
      <w:bookmarkStart w:id="327" w:name="_Toc26334"/>
      <w:bookmarkStart w:id="328" w:name="_Toc144974569"/>
      <w:r>
        <w:rPr>
          <w:rFonts w:hint="eastAsia" w:asciiTheme="minorEastAsia" w:hAnsiTheme="minorEastAsia" w:eastAsiaTheme="minorEastAsia" w:cstheme="minorEastAsia"/>
          <w:sz w:val="24"/>
          <w:szCs w:val="24"/>
        </w:rPr>
        <w:t>2.1 初步评审标准</w:t>
      </w:r>
      <w:bookmarkEnd w:id="323"/>
      <w:bookmarkEnd w:id="324"/>
      <w:bookmarkEnd w:id="325"/>
      <w:bookmarkEnd w:id="326"/>
      <w:bookmarkEnd w:id="327"/>
      <w:bookmarkEnd w:id="328"/>
    </w:p>
    <w:p w14:paraId="50671DA7">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 形式评审标准：见评标办法前附表。</w:t>
      </w:r>
    </w:p>
    <w:p w14:paraId="3B72373D">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 资格评审标准：见评标办法前附表。</w:t>
      </w:r>
    </w:p>
    <w:p w14:paraId="483E51E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 响应性评审标准：见评标办法前附表。</w:t>
      </w:r>
    </w:p>
    <w:p w14:paraId="79099BD7">
      <w:pPr>
        <w:pStyle w:val="4"/>
        <w:spacing w:before="0" w:after="0" w:line="400" w:lineRule="exact"/>
        <w:rPr>
          <w:rFonts w:hint="eastAsia" w:asciiTheme="minorEastAsia" w:hAnsiTheme="minorEastAsia" w:eastAsiaTheme="minorEastAsia" w:cstheme="minorEastAsia"/>
          <w:sz w:val="24"/>
          <w:szCs w:val="24"/>
        </w:rPr>
      </w:pPr>
      <w:bookmarkStart w:id="329" w:name="_Toc152042380"/>
      <w:bookmarkStart w:id="330" w:name="_Toc29214"/>
      <w:bookmarkStart w:id="331" w:name="_Toc247514027"/>
      <w:bookmarkStart w:id="332" w:name="_Toc152045603"/>
      <w:bookmarkStart w:id="333" w:name="_Toc247527628"/>
      <w:bookmarkStart w:id="334" w:name="_Toc144974570"/>
      <w:r>
        <w:rPr>
          <w:rFonts w:hint="eastAsia" w:asciiTheme="minorEastAsia" w:hAnsiTheme="minorEastAsia" w:eastAsiaTheme="minorEastAsia" w:cstheme="minorEastAsia"/>
          <w:sz w:val="24"/>
          <w:szCs w:val="24"/>
        </w:rPr>
        <w:t>2.2 分值构成与评分标准</w:t>
      </w:r>
      <w:bookmarkEnd w:id="329"/>
      <w:bookmarkEnd w:id="330"/>
      <w:bookmarkEnd w:id="331"/>
      <w:bookmarkEnd w:id="332"/>
      <w:bookmarkEnd w:id="333"/>
      <w:bookmarkEnd w:id="334"/>
    </w:p>
    <w:p w14:paraId="26ED3BF9">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 分值构成</w:t>
      </w:r>
    </w:p>
    <w:p w14:paraId="6E17399D">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（1）技术部分：见评标办法前附表；</w:t>
      </w:r>
    </w:p>
    <w:p w14:paraId="08BB755C">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（2）商务部分：见评标办法前附表。</w:t>
      </w:r>
    </w:p>
    <w:p w14:paraId="5AFFB19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（3）综合部分：见评标办法前附表。</w:t>
      </w:r>
    </w:p>
    <w:p w14:paraId="56C7874F">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2.2.4评分标准</w:t>
      </w:r>
    </w:p>
    <w:p w14:paraId="280C3C1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（1）技术标评分标准：见评标办法前附表；</w:t>
      </w:r>
    </w:p>
    <w:p w14:paraId="4452B19C">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（2）商务标评分标准：见评标办法前附表。</w:t>
      </w:r>
    </w:p>
    <w:p w14:paraId="043D9EB9">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（3）综合标评分标准：见评标办法前附表。</w:t>
      </w:r>
    </w:p>
    <w:p w14:paraId="6D1AB3F6">
      <w:pPr>
        <w:pStyle w:val="3"/>
        <w:spacing w:before="0" w:after="0" w:line="400" w:lineRule="exact"/>
        <w:rPr>
          <w:rFonts w:hint="eastAsia" w:asciiTheme="minorEastAsia" w:hAnsiTheme="minorEastAsia" w:eastAsiaTheme="minorEastAsia" w:cstheme="minorEastAsia"/>
          <w:sz w:val="24"/>
          <w:szCs w:val="24"/>
        </w:rPr>
      </w:pPr>
      <w:bookmarkStart w:id="335" w:name="_Toc247514028"/>
      <w:bookmarkStart w:id="336" w:name="_Toc152045604"/>
      <w:bookmarkStart w:id="337" w:name="_Toc247527629"/>
      <w:bookmarkStart w:id="338" w:name="_Toc144974571"/>
      <w:bookmarkStart w:id="339" w:name="_Toc152042381"/>
      <w:bookmarkStart w:id="340" w:name="_Toc24026"/>
      <w:r>
        <w:rPr>
          <w:rFonts w:hint="eastAsia" w:asciiTheme="minorEastAsia" w:hAnsiTheme="minorEastAsia" w:eastAsiaTheme="minorEastAsia" w:cstheme="minorEastAsia"/>
          <w:sz w:val="24"/>
          <w:szCs w:val="24"/>
        </w:rPr>
        <w:t>3. 评标程序</w:t>
      </w:r>
      <w:bookmarkEnd w:id="335"/>
      <w:bookmarkEnd w:id="336"/>
      <w:bookmarkEnd w:id="337"/>
      <w:bookmarkEnd w:id="338"/>
      <w:bookmarkEnd w:id="339"/>
      <w:bookmarkEnd w:id="340"/>
    </w:p>
    <w:p w14:paraId="0C96EF72">
      <w:pPr>
        <w:pStyle w:val="4"/>
        <w:spacing w:before="0" w:after="0" w:line="400" w:lineRule="exact"/>
        <w:rPr>
          <w:rFonts w:hint="eastAsia" w:asciiTheme="minorEastAsia" w:hAnsiTheme="minorEastAsia" w:eastAsiaTheme="minorEastAsia" w:cstheme="minorEastAsia"/>
          <w:sz w:val="24"/>
          <w:szCs w:val="24"/>
        </w:rPr>
      </w:pPr>
      <w:bookmarkStart w:id="341" w:name="_Toc247514029"/>
      <w:bookmarkStart w:id="342" w:name="_Toc152045605"/>
      <w:bookmarkStart w:id="343" w:name="_Toc152042382"/>
      <w:bookmarkStart w:id="344" w:name="_Toc30494"/>
      <w:bookmarkStart w:id="345" w:name="_Toc144974572"/>
      <w:bookmarkStart w:id="346" w:name="_Toc247527630"/>
      <w:r>
        <w:rPr>
          <w:rFonts w:hint="eastAsia" w:asciiTheme="minorEastAsia" w:hAnsiTheme="minorEastAsia" w:eastAsiaTheme="minorEastAsia" w:cstheme="minorEastAsia"/>
          <w:sz w:val="24"/>
          <w:szCs w:val="24"/>
        </w:rPr>
        <w:t>3.1 初步评审</w:t>
      </w:r>
      <w:bookmarkEnd w:id="341"/>
      <w:bookmarkEnd w:id="342"/>
      <w:bookmarkEnd w:id="343"/>
      <w:bookmarkEnd w:id="344"/>
      <w:bookmarkEnd w:id="345"/>
      <w:bookmarkEnd w:id="346"/>
    </w:p>
    <w:p w14:paraId="195189FC">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3.1.1 评标委员会依据招标文件规定的标准对投标文件进行初步评审。</w:t>
      </w:r>
    </w:p>
    <w:p w14:paraId="2A388450">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3.1.2 投标人有以下情形之一的，评标委员会应当否决其投标：</w:t>
      </w:r>
    </w:p>
    <w:p w14:paraId="362E07D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（1）未按规定的格式填写，内容不全，关键字迹模糊或无法辨认的；</w:t>
      </w:r>
    </w:p>
    <w:p w14:paraId="4B277E42">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（2）未按招标文件要求提交投标保证金的；</w:t>
      </w:r>
    </w:p>
    <w:p w14:paraId="2BAB4792">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（3）投标人资格条件不符合国家有关规定和招标文件要求的；</w:t>
      </w:r>
    </w:p>
    <w:p w14:paraId="12DEB224">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（4）违反国家强制性标准的；</w:t>
      </w:r>
    </w:p>
    <w:p w14:paraId="4A6D79ED">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（5）是否按照要求对投标报价进行确认、对投标文件进行澄清、说明或者补充的；</w:t>
      </w:r>
    </w:p>
    <w:p w14:paraId="65AF1C60">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（6）投标文件附有招标人不能接受的条件的或不符合招标文件规定的其它情况的；</w:t>
      </w:r>
    </w:p>
    <w:p w14:paraId="3C14B3E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（7）以他人名义投标、串通投标、弄虚作假的；</w:t>
      </w:r>
    </w:p>
    <w:p w14:paraId="73C392D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（8）未响应招标文件要求的。</w:t>
      </w:r>
    </w:p>
    <w:p w14:paraId="1C6A3354">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3.1.3 投标报价有算术错误的，评标委员会按以下原则对投标报价进行修正，修正的价格经投标人书面确认后具有约束力。投标人不接受修正价格的，评标委员会应当否决其投标。</w:t>
      </w:r>
    </w:p>
    <w:p w14:paraId="037BD937">
      <w:pPr>
        <w:spacing w:line="400" w:lineRule="exact"/>
        <w:ind w:firstLine="480" w:firstLineChars="200"/>
        <w:rPr>
          <w:rFonts w:hint="eastAsia" w:asciiTheme="minorEastAsia" w:hAnsiTheme="minorEastAsia" w:eastAsiaTheme="minorEastAsia" w:cstheme="minorEastAsia"/>
          <w:sz w:val="24"/>
          <w:szCs w:val="24"/>
        </w:rPr>
      </w:pPr>
      <w:bookmarkStart w:id="347" w:name="_Toc152042383"/>
      <w:r>
        <w:rPr>
          <w:rFonts w:hint="eastAsia" w:asciiTheme="minorEastAsia" w:hAnsiTheme="minorEastAsia" w:eastAsiaTheme="minorEastAsia" w:cstheme="minorEastAsia"/>
          <w:sz w:val="24"/>
          <w:szCs w:val="24"/>
        </w:rPr>
        <w:t>（1）投标文件中的大写金额与小写金额不一致的，以大写金额为准；</w:t>
      </w:r>
      <w:bookmarkEnd w:id="347"/>
    </w:p>
    <w:p w14:paraId="409709DB">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（2）总价金额与依据单价计算出的结果不一致的，以单价金额为准修正总价，但单价金额小数点有明显错误的除外。</w:t>
      </w:r>
    </w:p>
    <w:p w14:paraId="76EE1A75">
      <w:pPr>
        <w:pStyle w:val="4"/>
        <w:spacing w:before="0" w:after="0" w:line="400" w:lineRule="exact"/>
        <w:rPr>
          <w:rFonts w:hint="eastAsia" w:asciiTheme="minorEastAsia" w:hAnsiTheme="minorEastAsia" w:eastAsiaTheme="minorEastAsia" w:cstheme="minorEastAsia"/>
          <w:sz w:val="24"/>
          <w:szCs w:val="24"/>
        </w:rPr>
      </w:pPr>
      <w:bookmarkStart w:id="348" w:name="_Toc18195"/>
      <w:bookmarkStart w:id="349" w:name="_Toc247527631"/>
      <w:bookmarkStart w:id="350" w:name="_Toc247514030"/>
      <w:bookmarkStart w:id="351" w:name="_Toc144974573"/>
      <w:bookmarkStart w:id="352" w:name="_Toc152042384"/>
      <w:bookmarkStart w:id="353" w:name="_Toc152045606"/>
      <w:r>
        <w:rPr>
          <w:rFonts w:hint="eastAsia" w:asciiTheme="minorEastAsia" w:hAnsiTheme="minorEastAsia" w:eastAsiaTheme="minorEastAsia" w:cstheme="minorEastAsia"/>
          <w:sz w:val="24"/>
          <w:szCs w:val="24"/>
        </w:rPr>
        <w:t>3.2 详细评审</w:t>
      </w:r>
      <w:bookmarkEnd w:id="348"/>
      <w:bookmarkEnd w:id="349"/>
      <w:bookmarkEnd w:id="350"/>
      <w:bookmarkEnd w:id="351"/>
      <w:bookmarkEnd w:id="352"/>
      <w:bookmarkEnd w:id="353"/>
    </w:p>
    <w:p w14:paraId="50122CC3">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 评标委员会按本章第2.2款规定的量化因素和分值进行打分，并计算出综合评估得分。评标办法前附表对承包人建议书中的文件评审有特殊规定的，从其规定。</w:t>
      </w:r>
    </w:p>
    <w:p w14:paraId="0776625D">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（1）按本章规定的评审因素和分值对技术部分计算出得分A；</w:t>
      </w:r>
    </w:p>
    <w:p w14:paraId="67DBC457">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（2）按本章规定的评审因素和分值对商务部分计算出得分B。</w:t>
      </w:r>
    </w:p>
    <w:p w14:paraId="183A0861">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（3）按本章规定的评审因素和分值对综合部分计算出得分C。</w:t>
      </w:r>
    </w:p>
    <w:p w14:paraId="77F8264F">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3.2.2 评分分值计算保留小数点后两位，小数点后第三位“四舍五入”。</w:t>
      </w:r>
    </w:p>
    <w:p w14:paraId="05909BFE">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3.2.3 投标人得分=A+B+C。</w:t>
      </w:r>
    </w:p>
    <w:p w14:paraId="70AF8C5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14:paraId="70DB398B">
      <w:pPr>
        <w:pStyle w:val="4"/>
        <w:spacing w:before="0" w:after="0" w:line="400" w:lineRule="exact"/>
        <w:rPr>
          <w:rFonts w:hint="eastAsia" w:asciiTheme="minorEastAsia" w:hAnsiTheme="minorEastAsia" w:eastAsiaTheme="minorEastAsia" w:cstheme="minorEastAsia"/>
          <w:sz w:val="24"/>
          <w:szCs w:val="24"/>
        </w:rPr>
      </w:pPr>
      <w:bookmarkStart w:id="354" w:name="_Toc144974575"/>
      <w:bookmarkStart w:id="355" w:name="_Toc247527632"/>
      <w:bookmarkStart w:id="356" w:name="_Toc152045607"/>
      <w:bookmarkStart w:id="357" w:name="_Toc152042385"/>
      <w:bookmarkStart w:id="358" w:name="_Toc247514031"/>
      <w:bookmarkStart w:id="359" w:name="_Toc12388"/>
      <w:r>
        <w:rPr>
          <w:rFonts w:hint="eastAsia" w:asciiTheme="minorEastAsia" w:hAnsiTheme="minorEastAsia" w:eastAsiaTheme="minorEastAsia" w:cstheme="minorEastAsia"/>
          <w:sz w:val="24"/>
          <w:szCs w:val="24"/>
        </w:rPr>
        <w:t>3.3 投标文件的澄清</w:t>
      </w:r>
      <w:bookmarkEnd w:id="354"/>
      <w:r>
        <w:rPr>
          <w:rFonts w:hint="eastAsia" w:asciiTheme="minorEastAsia" w:hAnsiTheme="minorEastAsia" w:eastAsiaTheme="minorEastAsia" w:cstheme="minorEastAsia"/>
          <w:sz w:val="24"/>
          <w:szCs w:val="24"/>
        </w:rPr>
        <w:t>和补正</w:t>
      </w:r>
      <w:bookmarkEnd w:id="355"/>
      <w:bookmarkEnd w:id="356"/>
      <w:bookmarkEnd w:id="357"/>
      <w:bookmarkEnd w:id="358"/>
      <w:bookmarkEnd w:id="359"/>
    </w:p>
    <w:p w14:paraId="4715F676">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3.3.1 在评标过程中，评标委员会可以要求投标人对所提交投标文件中不明确的内容进行澄清或说明，或者对细微偏差进行补正。评标委员会不接受投标人主动提出的澄清、说明或补正。</w:t>
      </w:r>
    </w:p>
    <w:p w14:paraId="6C1155F0">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3.3.2 澄清、说明和补正不得改变投标文件的实质性内容。投标人的澄清、说明和补正属于投标文件的组成部分。</w:t>
      </w:r>
    </w:p>
    <w:p w14:paraId="2253DA9A">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3.3.3 评标委员会对投标人提交的澄清、说明或补正有疑问的，可以要求投标人进一步澄清、说明或补正，直至满足评标委员会的要求。</w:t>
      </w:r>
    </w:p>
    <w:p w14:paraId="65368C12">
      <w:pPr>
        <w:pStyle w:val="4"/>
        <w:spacing w:before="0" w:after="0" w:line="400" w:lineRule="exact"/>
        <w:rPr>
          <w:rFonts w:hint="eastAsia" w:asciiTheme="minorEastAsia" w:hAnsiTheme="minorEastAsia" w:eastAsiaTheme="minorEastAsia" w:cstheme="minorEastAsia"/>
          <w:sz w:val="24"/>
          <w:szCs w:val="24"/>
        </w:rPr>
      </w:pPr>
      <w:bookmarkStart w:id="360" w:name="_Toc144974576"/>
      <w:bookmarkStart w:id="361" w:name="_Toc152045608"/>
      <w:bookmarkStart w:id="362" w:name="_Toc247514032"/>
      <w:bookmarkStart w:id="363" w:name="_Toc152042386"/>
      <w:bookmarkStart w:id="364" w:name="_Toc9109"/>
      <w:bookmarkStart w:id="365" w:name="_Toc247527633"/>
      <w:r>
        <w:rPr>
          <w:rFonts w:hint="eastAsia" w:asciiTheme="minorEastAsia" w:hAnsiTheme="minorEastAsia" w:eastAsiaTheme="minorEastAsia" w:cstheme="minorEastAsia"/>
          <w:sz w:val="24"/>
          <w:szCs w:val="24"/>
        </w:rPr>
        <w:t>3.4 评标结果</w:t>
      </w:r>
      <w:bookmarkEnd w:id="360"/>
      <w:bookmarkEnd w:id="361"/>
      <w:bookmarkEnd w:id="362"/>
      <w:bookmarkEnd w:id="363"/>
      <w:bookmarkEnd w:id="364"/>
      <w:bookmarkEnd w:id="365"/>
    </w:p>
    <w:p w14:paraId="2468B68F">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3.4.1 评标委员会对满足招标文件实质性要求的投标文件，按照本章第2.2款规定的评分标准进行打分，并按得分由高到低顺序对投标人排序，推荐1-3名中标候选人。</w:t>
      </w:r>
    </w:p>
    <w:p w14:paraId="6CAA408C">
      <w:pPr>
        <w:spacing w:line="400" w:lineRule="exact"/>
        <w:ind w:firstLine="480" w:firstLineChars="200"/>
        <w:rPr>
          <w:rFonts w:ascii="宋体" w:hAnsi="宋体"/>
          <w:szCs w:val="21"/>
        </w:rPr>
      </w:pPr>
      <w:r>
        <w:rPr>
          <w:rFonts w:hint="eastAsia" w:asciiTheme="minorEastAsia" w:hAnsiTheme="minorEastAsia" w:eastAsiaTheme="minorEastAsia" w:cstheme="minorEastAsia"/>
          <w:sz w:val="24"/>
          <w:szCs w:val="24"/>
        </w:rPr>
        <w:t>3.4.2 评标委员会完成评标后，应当向招标人提交书面评标报告。</w:t>
      </w:r>
    </w:p>
    <w:p w14:paraId="200B5C5B">
      <w:pPr>
        <w:rPr>
          <w:rFonts w:hint="eastAsia" w:ascii="宋体" w:hAnsi="宋体"/>
          <w:sz w:val="32"/>
          <w:szCs w:val="32"/>
        </w:rPr>
      </w:pPr>
      <w:bookmarkStart w:id="366" w:name="_Toc19591"/>
      <w:bookmarkStart w:id="367" w:name="_Toc6229_WPSOffice_Level1"/>
      <w:bookmarkStart w:id="368" w:name="_Toc152045609"/>
      <w:bookmarkStart w:id="369" w:name="_Toc152042387"/>
      <w:bookmarkStart w:id="370" w:name="_Toc247527634"/>
      <w:bookmarkStart w:id="371" w:name="_Toc247514033"/>
      <w:bookmarkStart w:id="372" w:name="_Toc144974577"/>
      <w:bookmarkStart w:id="373" w:name="_Toc22883_WPSOffice_Level1"/>
      <w:r>
        <w:rPr>
          <w:rFonts w:hint="eastAsia" w:ascii="宋体" w:hAnsi="宋体"/>
          <w:sz w:val="32"/>
          <w:szCs w:val="32"/>
        </w:rPr>
        <w:br w:type="page"/>
      </w:r>
    </w:p>
    <w:p w14:paraId="2E799E47">
      <w:pPr>
        <w:pStyle w:val="2"/>
        <w:spacing w:before="120" w:after="120" w:line="360" w:lineRule="auto"/>
        <w:jc w:val="center"/>
        <w:rPr>
          <w:rFonts w:hint="eastAsia" w:ascii="宋体" w:hAnsi="宋体"/>
          <w:sz w:val="32"/>
          <w:szCs w:val="32"/>
        </w:rPr>
        <w:sectPr>
          <w:footerReference r:id="rId9" w:type="default"/>
          <w:pgSz w:w="11906" w:h="16838"/>
          <w:pgMar w:top="1418" w:right="1134" w:bottom="1418" w:left="1134" w:header="851" w:footer="992" w:gutter="0"/>
          <w:pgNumType w:fmt="decimal"/>
          <w:cols w:space="720" w:num="1"/>
          <w:docGrid w:type="lines" w:linePitch="312" w:charSpace="0"/>
        </w:sectPr>
      </w:pPr>
    </w:p>
    <w:p w14:paraId="5CBC6A3A">
      <w:pPr>
        <w:pStyle w:val="2"/>
        <w:spacing w:before="120" w:after="120" w:line="360" w:lineRule="auto"/>
        <w:jc w:val="center"/>
        <w:rPr>
          <w:rFonts w:ascii="宋体" w:hAnsi="宋体"/>
          <w:sz w:val="32"/>
          <w:szCs w:val="32"/>
        </w:rPr>
      </w:pPr>
      <w:r>
        <w:rPr>
          <w:rFonts w:hint="eastAsia" w:ascii="宋体" w:hAnsi="宋体"/>
          <w:sz w:val="32"/>
          <w:szCs w:val="32"/>
        </w:rPr>
        <w:t>第四章 合同条款及格式</w:t>
      </w:r>
      <w:bookmarkEnd w:id="366"/>
      <w:bookmarkEnd w:id="367"/>
      <w:bookmarkEnd w:id="368"/>
      <w:bookmarkEnd w:id="369"/>
      <w:bookmarkEnd w:id="370"/>
      <w:bookmarkEnd w:id="371"/>
      <w:bookmarkEnd w:id="372"/>
      <w:bookmarkEnd w:id="373"/>
      <w:bookmarkStart w:id="374" w:name="_Toc247514034"/>
      <w:bookmarkStart w:id="375" w:name="_Toc184635097"/>
      <w:bookmarkStart w:id="376" w:name="_Toc152042388"/>
      <w:bookmarkStart w:id="377" w:name="_Toc152045610"/>
      <w:bookmarkStart w:id="378" w:name="_Toc144974578"/>
      <w:bookmarkStart w:id="379" w:name="_Toc247527635"/>
    </w:p>
    <w:bookmarkEnd w:id="374"/>
    <w:bookmarkEnd w:id="375"/>
    <w:bookmarkEnd w:id="376"/>
    <w:bookmarkEnd w:id="377"/>
    <w:bookmarkEnd w:id="378"/>
    <w:bookmarkEnd w:id="379"/>
    <w:p w14:paraId="709ACA83">
      <w:pPr>
        <w:pStyle w:val="15"/>
        <w:spacing w:before="233" w:line="219" w:lineRule="auto"/>
        <w:ind w:left="3048"/>
        <w:rPr>
          <w:sz w:val="24"/>
          <w:szCs w:val="24"/>
        </w:rPr>
      </w:pPr>
      <w:bookmarkStart w:id="380" w:name="_Toc247527826"/>
      <w:bookmarkStart w:id="381" w:name="_Toc247514245"/>
      <w:bookmarkStart w:id="382" w:name="_Toc23550_WPSOffice_Level1"/>
      <w:bookmarkStart w:id="383" w:name="_Toc9064_WPSOffice_Level1"/>
      <w:bookmarkStart w:id="384" w:name="_Toc152045786"/>
      <w:bookmarkStart w:id="385" w:name="_Toc152042575"/>
      <w:bookmarkStart w:id="386" w:name="_Toc144974855"/>
      <w:bookmarkStart w:id="387" w:name="_Toc1683"/>
      <w:r>
        <w:rPr>
          <w:b/>
          <w:bCs/>
          <w:spacing w:val="-1"/>
          <w:sz w:val="24"/>
          <w:szCs w:val="24"/>
        </w:rPr>
        <w:t>合同协议书（仅供参考）</w:t>
      </w:r>
    </w:p>
    <w:p w14:paraId="153E257B">
      <w:pPr>
        <w:pStyle w:val="15"/>
        <w:keepNext w:val="0"/>
        <w:keepLines w:val="0"/>
        <w:pageBreakBefore w:val="0"/>
        <w:widowControl w:val="0"/>
        <w:kinsoku/>
        <w:wordWrap/>
        <w:overflowPunct/>
        <w:topLinePunct w:val="0"/>
        <w:autoSpaceDE/>
        <w:autoSpaceDN/>
        <w:bidi w:val="0"/>
        <w:adjustRightInd/>
        <w:snapToGrid/>
        <w:spacing w:before="193" w:line="240" w:lineRule="auto"/>
        <w:ind w:left="481"/>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sz w:val="24"/>
          <w:szCs w:val="24"/>
        </w:rPr>
        <w:t>甲</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17"/>
          <w:sz w:val="24"/>
          <w:szCs w:val="24"/>
        </w:rPr>
        <w:t>方：</w:t>
      </w:r>
    </w:p>
    <w:p w14:paraId="3B1BF6F1">
      <w:pPr>
        <w:pStyle w:val="15"/>
        <w:keepNext w:val="0"/>
        <w:keepLines w:val="0"/>
        <w:pageBreakBefore w:val="0"/>
        <w:widowControl w:val="0"/>
        <w:kinsoku/>
        <w:wordWrap/>
        <w:overflowPunct/>
        <w:topLinePunct w:val="0"/>
        <w:autoSpaceDE/>
        <w:autoSpaceDN/>
        <w:bidi w:val="0"/>
        <w:adjustRightInd/>
        <w:snapToGrid/>
        <w:spacing w:before="192" w:line="240" w:lineRule="auto"/>
        <w:ind w:left="47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乙</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5"/>
          <w:sz w:val="24"/>
          <w:szCs w:val="24"/>
        </w:rPr>
        <w:t>方：</w:t>
      </w:r>
    </w:p>
    <w:p w14:paraId="5F649D02">
      <w:pPr>
        <w:pStyle w:val="15"/>
        <w:keepNext w:val="0"/>
        <w:keepLines w:val="0"/>
        <w:pageBreakBefore w:val="0"/>
        <w:widowControl w:val="0"/>
        <w:kinsoku/>
        <w:wordWrap/>
        <w:overflowPunct/>
        <w:topLinePunct w:val="0"/>
        <w:autoSpaceDE/>
        <w:autoSpaceDN/>
        <w:bidi w:val="0"/>
        <w:adjustRightInd/>
        <w:snapToGrid/>
        <w:spacing w:before="190" w:line="240" w:lineRule="auto"/>
        <w:ind w:left="32" w:right="80" w:firstLine="418"/>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根据《中华人民共和国民法典》等有关规定，为保证</w:t>
      </w:r>
      <w:r>
        <w:rPr>
          <w:rFonts w:hint="eastAsia" w:asciiTheme="minorEastAsia" w:hAnsiTheme="minorEastAsia" w:eastAsiaTheme="minorEastAsia" w:cstheme="minorEastAsia"/>
          <w:spacing w:val="5"/>
          <w:sz w:val="24"/>
          <w:szCs w:val="24"/>
        </w:rPr>
        <w:t>服务质量，明确双方</w:t>
      </w:r>
      <w:r>
        <w:rPr>
          <w:rFonts w:hint="eastAsia" w:asciiTheme="minorEastAsia" w:hAnsiTheme="minorEastAsia" w:eastAsiaTheme="minorEastAsia" w:cstheme="minorEastAsia"/>
          <w:spacing w:val="3"/>
          <w:sz w:val="24"/>
          <w:szCs w:val="24"/>
        </w:rPr>
        <w:t>的权利义务，经甲乙双方协商，本着平等互利和诚实信用的原则，双方一致同</w:t>
      </w:r>
      <w:r>
        <w:rPr>
          <w:rFonts w:hint="eastAsia" w:asciiTheme="minorEastAsia" w:hAnsiTheme="minorEastAsia" w:eastAsiaTheme="minorEastAsia" w:cstheme="minorEastAsia"/>
          <w:sz w:val="24"/>
          <w:szCs w:val="24"/>
        </w:rPr>
        <w:t>意，签订本合同。</w:t>
      </w:r>
    </w:p>
    <w:p w14:paraId="2659032B">
      <w:pPr>
        <w:pStyle w:val="15"/>
        <w:keepNext w:val="0"/>
        <w:keepLines w:val="0"/>
        <w:pageBreakBefore w:val="0"/>
        <w:widowControl w:val="0"/>
        <w:kinsoku/>
        <w:wordWrap/>
        <w:overflowPunct/>
        <w:topLinePunct w:val="0"/>
        <w:autoSpaceDE/>
        <w:autoSpaceDN/>
        <w:bidi w:val="0"/>
        <w:adjustRightInd/>
        <w:snapToGrid/>
        <w:spacing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第一条</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b/>
          <w:bCs/>
          <w:spacing w:val="-2"/>
          <w:sz w:val="24"/>
          <w:szCs w:val="24"/>
        </w:rPr>
        <w:t>服务项目内容</w:t>
      </w:r>
    </w:p>
    <w:p w14:paraId="1EE7CAFE">
      <w:pPr>
        <w:pStyle w:val="15"/>
        <w:keepNext w:val="0"/>
        <w:keepLines w:val="0"/>
        <w:pageBreakBefore w:val="0"/>
        <w:widowControl w:val="0"/>
        <w:kinsoku/>
        <w:wordWrap/>
        <w:overflowPunct/>
        <w:topLinePunct w:val="0"/>
        <w:autoSpaceDE/>
        <w:autoSpaceDN/>
        <w:bidi w:val="0"/>
        <w:adjustRightInd/>
        <w:snapToGrid/>
        <w:spacing w:before="194" w:line="240" w:lineRule="auto"/>
        <w:ind w:left="46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1.甲方通过</w:t>
      </w:r>
      <w:r>
        <w:rPr>
          <w:rFonts w:hint="eastAsia" w:asciiTheme="minorEastAsia" w:hAnsiTheme="minorEastAsia" w:eastAsiaTheme="minorEastAsia" w:cstheme="minorEastAsia"/>
          <w:spacing w:val="1"/>
          <w:sz w:val="24"/>
          <w:szCs w:val="24"/>
          <w:u w:val="single" w:color="auto"/>
        </w:rPr>
        <w:t xml:space="preserve"> 公开招标</w:t>
      </w:r>
      <w:r>
        <w:rPr>
          <w:rFonts w:hint="eastAsia" w:asciiTheme="minorEastAsia" w:hAnsiTheme="minorEastAsia" w:eastAsiaTheme="minorEastAsia" w:cstheme="minorEastAsia"/>
          <w:spacing w:val="96"/>
          <w:sz w:val="24"/>
          <w:szCs w:val="24"/>
          <w:u w:val="single" w:color="auto"/>
        </w:rPr>
        <w:t xml:space="preserve"> </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1"/>
          <w:sz w:val="24"/>
          <w:szCs w:val="24"/>
        </w:rPr>
        <w:t>采购方式确定由乙方提供以下服务：</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
          <w:sz w:val="24"/>
          <w:szCs w:val="24"/>
        </w:rPr>
        <w:t>。</w:t>
      </w:r>
    </w:p>
    <w:p w14:paraId="45B6BA70">
      <w:pPr>
        <w:pStyle w:val="15"/>
        <w:keepNext w:val="0"/>
        <w:keepLines w:val="0"/>
        <w:pageBreakBefore w:val="0"/>
        <w:widowControl w:val="0"/>
        <w:kinsoku/>
        <w:wordWrap/>
        <w:overflowPunct/>
        <w:topLinePunct w:val="0"/>
        <w:autoSpaceDE/>
        <w:autoSpaceDN/>
        <w:bidi w:val="0"/>
        <w:adjustRightInd/>
        <w:snapToGrid/>
        <w:spacing w:before="193" w:line="240" w:lineRule="auto"/>
        <w:ind w:left="45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2.服务内容及数量（可另附明细附件</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
          <w:sz w:val="24"/>
          <w:szCs w:val="24"/>
        </w:rPr>
        <w:t>。</w:t>
      </w:r>
    </w:p>
    <w:p w14:paraId="4159DE9E">
      <w:pPr>
        <w:pStyle w:val="15"/>
        <w:keepNext w:val="0"/>
        <w:keepLines w:val="0"/>
        <w:pageBreakBefore w:val="0"/>
        <w:widowControl w:val="0"/>
        <w:kinsoku/>
        <w:wordWrap/>
        <w:overflowPunct/>
        <w:topLinePunct w:val="0"/>
        <w:autoSpaceDE/>
        <w:autoSpaceDN/>
        <w:bidi w:val="0"/>
        <w:adjustRightInd/>
        <w:snapToGrid/>
        <w:spacing w:before="194" w:line="240" w:lineRule="auto"/>
        <w:ind w:left="45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3.服务地点：</w:t>
      </w:r>
      <w:r>
        <w:rPr>
          <w:rFonts w:hint="eastAsia" w:asciiTheme="minorEastAsia" w:hAnsiTheme="minorEastAsia" w:eastAsiaTheme="minorEastAsia" w:cstheme="minorEastAsia"/>
          <w:spacing w:val="1"/>
          <w:sz w:val="24"/>
          <w:szCs w:val="24"/>
          <w:u w:val="single" w:color="auto"/>
        </w:rPr>
        <w:t>甲方指定地点</w:t>
      </w:r>
      <w:r>
        <w:rPr>
          <w:rFonts w:hint="eastAsia" w:asciiTheme="minorEastAsia" w:hAnsiTheme="minorEastAsia" w:eastAsiaTheme="minorEastAsia" w:cstheme="minorEastAsia"/>
          <w:spacing w:val="1"/>
          <w:sz w:val="24"/>
          <w:szCs w:val="24"/>
        </w:rPr>
        <w:t>。</w:t>
      </w:r>
    </w:p>
    <w:p w14:paraId="283A2DA2">
      <w:pPr>
        <w:pStyle w:val="15"/>
        <w:keepNext w:val="0"/>
        <w:keepLines w:val="0"/>
        <w:pageBreakBefore w:val="0"/>
        <w:widowControl w:val="0"/>
        <w:kinsoku/>
        <w:wordWrap/>
        <w:overflowPunct/>
        <w:topLinePunct w:val="0"/>
        <w:autoSpaceDE/>
        <w:autoSpaceDN/>
        <w:bidi w:val="0"/>
        <w:adjustRightInd/>
        <w:snapToGrid/>
        <w:spacing w:before="195" w:line="240" w:lineRule="auto"/>
        <w:ind w:left="44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4.服务期限：</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13"/>
          <w:sz w:val="24"/>
          <w:szCs w:val="24"/>
        </w:rPr>
        <w:t>自</w:t>
      </w:r>
      <w:r>
        <w:rPr>
          <w:rFonts w:hint="eastAsia" w:asciiTheme="minorEastAsia" w:hAnsiTheme="minorEastAsia" w:eastAsiaTheme="minorEastAsia" w:cstheme="minorEastAsia"/>
          <w:spacing w:val="-118"/>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
          <w:sz w:val="24"/>
          <w:szCs w:val="24"/>
          <w:u w:val="single" w:color="auto"/>
          <w:lang w:val="en-US" w:eastAsia="zh-CN"/>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09"/>
          <w:sz w:val="24"/>
          <w:szCs w:val="24"/>
        </w:rPr>
        <w:t xml:space="preserve">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16"/>
          <w:sz w:val="24"/>
          <w:szCs w:val="24"/>
        </w:rPr>
        <w:t xml:space="preserve"> </w:t>
      </w:r>
      <w:r>
        <w:rPr>
          <w:rFonts w:hint="eastAsia" w:asciiTheme="minorEastAsia" w:hAnsiTheme="minorEastAsia" w:eastAsiaTheme="minorEastAsia" w:cstheme="minorEastAsia"/>
          <w:spacing w:val="44"/>
          <w:sz w:val="24"/>
          <w:szCs w:val="24"/>
          <w:u w:val="single" w:color="auto"/>
        </w:rPr>
        <w:t xml:space="preserve">  </w:t>
      </w:r>
      <w:r>
        <w:rPr>
          <w:rFonts w:hint="eastAsia" w:asciiTheme="minorEastAsia" w:hAnsiTheme="minorEastAsia" w:eastAsiaTheme="minorEastAsia" w:cstheme="minorEastAsia"/>
          <w:spacing w:val="-103"/>
          <w:sz w:val="24"/>
          <w:szCs w:val="24"/>
        </w:rPr>
        <w:t xml:space="preserve">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18"/>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69"/>
          <w:sz w:val="24"/>
          <w:szCs w:val="24"/>
        </w:rPr>
        <w:t xml:space="preserve">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15"/>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09"/>
          <w:sz w:val="24"/>
          <w:szCs w:val="24"/>
        </w:rPr>
        <w:t xml:space="preserve">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18"/>
          <w:sz w:val="24"/>
          <w:szCs w:val="24"/>
        </w:rPr>
        <w:t xml:space="preserve"> </w:t>
      </w:r>
      <w:r>
        <w:rPr>
          <w:rFonts w:hint="eastAsia" w:asciiTheme="minorEastAsia" w:hAnsiTheme="minorEastAsia" w:eastAsiaTheme="minorEastAsia" w:cstheme="minorEastAsia"/>
          <w:spacing w:val="103"/>
          <w:sz w:val="24"/>
          <w:szCs w:val="24"/>
          <w:u w:val="single" w:color="auto"/>
        </w:rPr>
        <w:t xml:space="preserve"> </w:t>
      </w:r>
      <w:r>
        <w:rPr>
          <w:rFonts w:hint="eastAsia" w:asciiTheme="minorEastAsia" w:hAnsiTheme="minorEastAsia" w:eastAsiaTheme="minorEastAsia" w:cstheme="minorEastAsia"/>
          <w:spacing w:val="-104"/>
          <w:sz w:val="24"/>
          <w:szCs w:val="24"/>
        </w:rPr>
        <w:t xml:space="preserve">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19"/>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13"/>
          <w:sz w:val="24"/>
          <w:szCs w:val="24"/>
        </w:rPr>
        <w:t>日。</w:t>
      </w:r>
    </w:p>
    <w:p w14:paraId="5E31EE66">
      <w:pPr>
        <w:pStyle w:val="15"/>
        <w:keepNext w:val="0"/>
        <w:keepLines w:val="0"/>
        <w:pageBreakBefore w:val="0"/>
        <w:widowControl w:val="0"/>
        <w:kinsoku/>
        <w:wordWrap/>
        <w:overflowPunct/>
        <w:topLinePunct w:val="0"/>
        <w:autoSpaceDE/>
        <w:autoSpaceDN/>
        <w:bidi w:val="0"/>
        <w:adjustRightInd/>
        <w:snapToGrid/>
        <w:spacing w:before="192"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第二条</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b/>
          <w:bCs/>
          <w:spacing w:val="-1"/>
          <w:sz w:val="24"/>
          <w:szCs w:val="24"/>
        </w:rPr>
        <w:t>服务项目质量标准和要求（可另附明细附件）</w:t>
      </w:r>
    </w:p>
    <w:p w14:paraId="49D413AE">
      <w:pPr>
        <w:pStyle w:val="15"/>
        <w:keepNext w:val="0"/>
        <w:keepLines w:val="0"/>
        <w:pageBreakBefore w:val="0"/>
        <w:widowControl w:val="0"/>
        <w:kinsoku/>
        <w:wordWrap/>
        <w:overflowPunct/>
        <w:topLinePunct w:val="0"/>
        <w:autoSpaceDE/>
        <w:autoSpaceDN/>
        <w:bidi w:val="0"/>
        <w:adjustRightInd/>
        <w:snapToGrid/>
        <w:spacing w:before="196"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第三条</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b/>
          <w:bCs/>
          <w:spacing w:val="-2"/>
          <w:sz w:val="24"/>
          <w:szCs w:val="24"/>
        </w:rPr>
        <w:t>合同金额及报价明细</w:t>
      </w:r>
    </w:p>
    <w:p w14:paraId="70868039">
      <w:pPr>
        <w:pStyle w:val="15"/>
        <w:keepNext w:val="0"/>
        <w:keepLines w:val="0"/>
        <w:pageBreakBefore w:val="0"/>
        <w:widowControl w:val="0"/>
        <w:kinsoku/>
        <w:wordWrap/>
        <w:overflowPunct/>
        <w:topLinePunct w:val="0"/>
        <w:autoSpaceDE/>
        <w:autoSpaceDN/>
        <w:bidi w:val="0"/>
        <w:adjustRightInd/>
        <w:snapToGrid/>
        <w:spacing w:before="194" w:line="240" w:lineRule="auto"/>
        <w:ind w:firstLine="456"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w:t>
      </w:r>
      <w:r>
        <w:rPr>
          <w:rFonts w:hint="eastAsia" w:asciiTheme="minorEastAsia" w:hAnsiTheme="minorEastAsia" w:eastAsiaTheme="minorEastAsia" w:cstheme="minorEastAsia"/>
          <w:spacing w:val="-6"/>
          <w:sz w:val="24"/>
          <w:szCs w:val="24"/>
          <w:lang w:eastAsia="zh-CN"/>
        </w:rPr>
        <w:t>、</w:t>
      </w:r>
      <w:r>
        <w:rPr>
          <w:rFonts w:hint="eastAsia" w:asciiTheme="minorEastAsia" w:hAnsiTheme="minorEastAsia" w:eastAsiaTheme="minorEastAsia" w:cstheme="minorEastAsia"/>
          <w:spacing w:val="-6"/>
          <w:sz w:val="24"/>
          <w:szCs w:val="24"/>
        </w:rPr>
        <w:t>本合同服务费用总金额为人民币</w:t>
      </w:r>
      <w:r>
        <w:rPr>
          <w:rFonts w:hint="eastAsia" w:asciiTheme="minorEastAsia" w:hAnsiTheme="minorEastAsia" w:eastAsiaTheme="minorEastAsia" w:cstheme="minorEastAsia"/>
          <w:spacing w:val="-116"/>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87"/>
          <w:sz w:val="24"/>
          <w:szCs w:val="24"/>
        </w:rPr>
        <w:t xml:space="preserve"> </w:t>
      </w:r>
      <w:r>
        <w:rPr>
          <w:rFonts w:hint="eastAsia" w:asciiTheme="minorEastAsia" w:hAnsiTheme="minorEastAsia" w:eastAsiaTheme="minorEastAsia" w:cstheme="minorEastAsia"/>
          <w:spacing w:val="-6"/>
          <w:sz w:val="24"/>
          <w:szCs w:val="24"/>
        </w:rPr>
        <w:t>圆整</w:t>
      </w:r>
      <w:r>
        <w:rPr>
          <w:rFonts w:hint="eastAsia" w:asciiTheme="minorEastAsia" w:hAnsiTheme="minorEastAsia" w:eastAsiaTheme="minorEastAsia" w:cstheme="minorEastAsia"/>
          <w:spacing w:val="-44"/>
          <w:sz w:val="24"/>
          <w:szCs w:val="24"/>
        </w:rPr>
        <w:t xml:space="preserve"> </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04"/>
          <w:sz w:val="24"/>
          <w:szCs w:val="24"/>
        </w:rPr>
        <w:t xml:space="preserve"> </w:t>
      </w:r>
      <w:r>
        <w:rPr>
          <w:rFonts w:hint="eastAsia" w:asciiTheme="minorEastAsia" w:hAnsiTheme="minorEastAsia" w:eastAsiaTheme="minorEastAsia" w:cstheme="minorEastAsia"/>
          <w:spacing w:val="-6"/>
          <w:sz w:val="24"/>
          <w:szCs w:val="24"/>
        </w:rPr>
        <w:t>元</w:t>
      </w:r>
      <w:r>
        <w:rPr>
          <w:rFonts w:hint="eastAsia" w:asciiTheme="minorEastAsia" w:hAnsiTheme="minorEastAsia" w:eastAsiaTheme="minorEastAsia" w:cstheme="minorEastAsia"/>
          <w:spacing w:val="-7"/>
          <w:sz w:val="24"/>
          <w:szCs w:val="24"/>
        </w:rPr>
        <w:t>）。</w:t>
      </w:r>
    </w:p>
    <w:p w14:paraId="57E48B59">
      <w:pPr>
        <w:pStyle w:val="15"/>
        <w:keepNext w:val="0"/>
        <w:keepLines w:val="0"/>
        <w:pageBreakBefore w:val="0"/>
        <w:widowControl w:val="0"/>
        <w:kinsoku/>
        <w:wordWrap/>
        <w:overflowPunct/>
        <w:topLinePunct w:val="0"/>
        <w:autoSpaceDE/>
        <w:autoSpaceDN/>
        <w:bidi w:val="0"/>
        <w:adjustRightInd/>
        <w:snapToGrid/>
        <w:spacing w:before="193" w:line="240" w:lineRule="auto"/>
        <w:ind w:left="45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报价明细：</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
          <w:sz w:val="24"/>
          <w:szCs w:val="24"/>
        </w:rPr>
        <w:t>。</w:t>
      </w:r>
    </w:p>
    <w:p w14:paraId="394D1480">
      <w:pPr>
        <w:pStyle w:val="15"/>
        <w:keepNext w:val="0"/>
        <w:keepLines w:val="0"/>
        <w:pageBreakBefore w:val="0"/>
        <w:widowControl w:val="0"/>
        <w:kinsoku/>
        <w:wordWrap/>
        <w:overflowPunct/>
        <w:topLinePunct w:val="0"/>
        <w:autoSpaceDE/>
        <w:autoSpaceDN/>
        <w:bidi w:val="0"/>
        <w:adjustRightInd/>
        <w:snapToGrid/>
        <w:spacing w:before="197" w:line="240" w:lineRule="auto"/>
        <w:ind w:left="45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乙方开户名称：</w:t>
      </w:r>
    </w:p>
    <w:p w14:paraId="1384651E">
      <w:pPr>
        <w:pStyle w:val="15"/>
        <w:keepNext w:val="0"/>
        <w:keepLines w:val="0"/>
        <w:pageBreakBefore w:val="0"/>
        <w:widowControl w:val="0"/>
        <w:kinsoku/>
        <w:wordWrap/>
        <w:overflowPunct/>
        <w:topLinePunct w:val="0"/>
        <w:autoSpaceDE/>
        <w:autoSpaceDN/>
        <w:bidi w:val="0"/>
        <w:adjustRightInd/>
        <w:snapToGrid/>
        <w:spacing w:before="192" w:line="240" w:lineRule="auto"/>
        <w:ind w:left="451"/>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开户银行：</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w:t>
      </w:r>
    </w:p>
    <w:p w14:paraId="6B63518B">
      <w:pPr>
        <w:pStyle w:val="15"/>
        <w:keepNext w:val="0"/>
        <w:keepLines w:val="0"/>
        <w:pageBreakBefore w:val="0"/>
        <w:widowControl w:val="0"/>
        <w:kinsoku/>
        <w:wordWrap/>
        <w:overflowPunct/>
        <w:topLinePunct w:val="0"/>
        <w:autoSpaceDE/>
        <w:autoSpaceDN/>
        <w:bidi w:val="0"/>
        <w:adjustRightInd/>
        <w:snapToGrid/>
        <w:spacing w:before="191" w:line="240" w:lineRule="auto"/>
        <w:ind w:left="451"/>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银行帐号：</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
          <w:sz w:val="24"/>
          <w:szCs w:val="24"/>
        </w:rPr>
        <w:t>。</w:t>
      </w:r>
    </w:p>
    <w:p w14:paraId="1C6907CF">
      <w:pPr>
        <w:pStyle w:val="15"/>
        <w:keepNext w:val="0"/>
        <w:keepLines w:val="0"/>
        <w:pageBreakBefore w:val="0"/>
        <w:widowControl w:val="0"/>
        <w:numPr>
          <w:ilvl w:val="0"/>
          <w:numId w:val="10"/>
        </w:numPr>
        <w:kinsoku/>
        <w:wordWrap/>
        <w:overflowPunct/>
        <w:topLinePunct w:val="0"/>
        <w:autoSpaceDE/>
        <w:autoSpaceDN/>
        <w:bidi w:val="0"/>
        <w:adjustRightInd/>
        <w:snapToGrid/>
        <w:spacing w:before="195" w:line="240" w:lineRule="auto"/>
        <w:ind w:left="45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pacing w:val="-3"/>
          <w:sz w:val="24"/>
          <w:szCs w:val="24"/>
        </w:rPr>
        <w:t>付款方式</w:t>
      </w:r>
    </w:p>
    <w:p w14:paraId="12528B3C">
      <w:pPr>
        <w:pStyle w:val="15"/>
        <w:keepNext w:val="0"/>
        <w:keepLines w:val="0"/>
        <w:pageBreakBefore w:val="0"/>
        <w:widowControl w:val="0"/>
        <w:numPr>
          <w:ilvl w:val="0"/>
          <w:numId w:val="0"/>
        </w:numPr>
        <w:kinsoku/>
        <w:wordWrap/>
        <w:overflowPunct/>
        <w:topLinePunct w:val="0"/>
        <w:autoSpaceDE/>
        <w:autoSpaceDN/>
        <w:bidi w:val="0"/>
        <w:adjustRightInd/>
        <w:snapToGrid/>
        <w:spacing w:before="195" w:line="240" w:lineRule="auto"/>
        <w:ind w:firstLine="488"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签订合同后，人员进场，拨付合同价的10%，剩余资金根据年度任务完成情况和验收结果按比例进行拨付。</w:t>
      </w:r>
    </w:p>
    <w:p w14:paraId="6992D8D7">
      <w:pPr>
        <w:pStyle w:val="15"/>
        <w:keepNext w:val="0"/>
        <w:keepLines w:val="0"/>
        <w:pageBreakBefore w:val="0"/>
        <w:widowControl w:val="0"/>
        <w:kinsoku/>
        <w:wordWrap/>
        <w:overflowPunct/>
        <w:topLinePunct w:val="0"/>
        <w:autoSpaceDE/>
        <w:autoSpaceDN/>
        <w:bidi w:val="0"/>
        <w:adjustRightInd/>
        <w:snapToGrid/>
        <w:spacing w:before="170"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第五条</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b/>
          <w:bCs/>
          <w:spacing w:val="-3"/>
          <w:sz w:val="24"/>
          <w:szCs w:val="24"/>
        </w:rPr>
        <w:t>履约保证金</w:t>
      </w:r>
    </w:p>
    <w:p w14:paraId="3811933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乙方是否提供履约担保：</w:t>
      </w:r>
      <w:r>
        <w:rPr>
          <w:rFonts w:hint="eastAsia" w:asciiTheme="minorEastAsia" w:hAnsiTheme="minorEastAsia" w:eastAsiaTheme="minorEastAsia" w:cstheme="minorEastAsia"/>
          <w:sz w:val="24"/>
          <w:szCs w:val="24"/>
          <w:u w:val="single" w:color="auto"/>
        </w:rPr>
        <w:t xml:space="preserve">     否      </w:t>
      </w:r>
      <w:r>
        <w:rPr>
          <w:rFonts w:hint="eastAsia" w:asciiTheme="minorEastAsia" w:hAnsiTheme="minorEastAsia" w:eastAsiaTheme="minorEastAsia" w:cstheme="minorEastAsia"/>
          <w:sz w:val="24"/>
          <w:szCs w:val="24"/>
        </w:rPr>
        <w:t>。</w:t>
      </w:r>
    </w:p>
    <w:p w14:paraId="4A2C35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74" w:firstLineChars="200"/>
        <w:textAlignment w:val="auto"/>
        <w:rPr>
          <w:rFonts w:hint="eastAsia" w:asciiTheme="minorEastAsia" w:hAnsiTheme="minorEastAsia" w:eastAsiaTheme="minorEastAsia" w:cstheme="minorEastAsia"/>
          <w:b/>
          <w:bCs/>
          <w:spacing w:val="-2"/>
          <w:sz w:val="24"/>
          <w:szCs w:val="24"/>
        </w:rPr>
      </w:pPr>
      <w:r>
        <w:rPr>
          <w:rFonts w:hint="eastAsia" w:asciiTheme="minorEastAsia" w:hAnsiTheme="minorEastAsia" w:eastAsiaTheme="minorEastAsia" w:cstheme="minorEastAsia"/>
          <w:b/>
          <w:bCs/>
          <w:spacing w:val="-2"/>
          <w:sz w:val="24"/>
          <w:szCs w:val="24"/>
          <w:lang w:val="en-US" w:eastAsia="zh-CN"/>
        </w:rPr>
        <w:t xml:space="preserve">第六条 </w:t>
      </w:r>
      <w:r>
        <w:rPr>
          <w:rFonts w:hint="eastAsia" w:asciiTheme="minorEastAsia" w:hAnsiTheme="minorEastAsia" w:eastAsiaTheme="minorEastAsia" w:cstheme="minorEastAsia"/>
          <w:b/>
          <w:bCs/>
          <w:spacing w:val="-2"/>
          <w:sz w:val="24"/>
          <w:szCs w:val="24"/>
        </w:rPr>
        <w:t>验收方及验收标准</w:t>
      </w:r>
    </w:p>
    <w:p w14:paraId="26F45124">
      <w:pPr>
        <w:pStyle w:val="15"/>
        <w:keepNext w:val="0"/>
        <w:keepLines w:val="0"/>
        <w:pageBreakBefore w:val="0"/>
        <w:widowControl w:val="0"/>
        <w:kinsoku/>
        <w:wordWrap/>
        <w:overflowPunct/>
        <w:topLinePunct w:val="0"/>
        <w:autoSpaceDE/>
        <w:autoSpaceDN/>
        <w:bidi w:val="0"/>
        <w:adjustRightInd/>
        <w:snapToGrid/>
        <w:spacing w:before="78" w:line="240" w:lineRule="auto"/>
        <w:ind w:left="31" w:right="18" w:firstLine="436"/>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1.由甲乙双方按照招标文件、投标文件及合同要求，一同对服务内容验收</w:t>
      </w:r>
      <w:r>
        <w:rPr>
          <w:rFonts w:hint="eastAsia" w:asciiTheme="minorEastAsia" w:hAnsiTheme="minorEastAsia" w:eastAsiaTheme="minorEastAsia" w:cstheme="minorEastAsia"/>
          <w:spacing w:val="-1"/>
          <w:sz w:val="24"/>
          <w:szCs w:val="24"/>
        </w:rPr>
        <w:t>并签字确认。</w:t>
      </w:r>
    </w:p>
    <w:p w14:paraId="623370B9">
      <w:pPr>
        <w:pStyle w:val="15"/>
        <w:keepNext w:val="0"/>
        <w:keepLines w:val="0"/>
        <w:pageBreakBefore w:val="0"/>
        <w:widowControl w:val="0"/>
        <w:kinsoku/>
        <w:wordWrap/>
        <w:overflowPunct/>
        <w:topLinePunct w:val="0"/>
        <w:autoSpaceDE/>
        <w:autoSpaceDN/>
        <w:bidi w:val="0"/>
        <w:adjustRightInd/>
        <w:snapToGrid/>
        <w:spacing w:before="1" w:line="240" w:lineRule="auto"/>
        <w:ind w:left="45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2.验收通过后</w:t>
      </w:r>
      <w:r>
        <w:rPr>
          <w:rFonts w:hint="eastAsia" w:asciiTheme="minorEastAsia" w:hAnsiTheme="minorEastAsia" w:eastAsiaTheme="minorEastAsia" w:cstheme="minorEastAsia"/>
          <w:spacing w:val="-106"/>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10"/>
          <w:sz w:val="24"/>
          <w:szCs w:val="24"/>
        </w:rPr>
        <w:t xml:space="preserve"> </w:t>
      </w:r>
      <w:r>
        <w:rPr>
          <w:rFonts w:hint="eastAsia" w:asciiTheme="minorEastAsia" w:hAnsiTheme="minorEastAsia" w:eastAsiaTheme="minorEastAsia" w:cstheme="minorEastAsia"/>
          <w:spacing w:val="1"/>
          <w:sz w:val="24"/>
          <w:szCs w:val="24"/>
        </w:rPr>
        <w:t>个工作日内，甲方出具验收报告给乙方。</w:t>
      </w:r>
    </w:p>
    <w:p w14:paraId="5167065D">
      <w:pPr>
        <w:pStyle w:val="15"/>
        <w:keepNext w:val="0"/>
        <w:keepLines w:val="0"/>
        <w:pageBreakBefore w:val="0"/>
        <w:widowControl w:val="0"/>
        <w:kinsoku/>
        <w:wordWrap/>
        <w:overflowPunct/>
        <w:topLinePunct w:val="0"/>
        <w:autoSpaceDE/>
        <w:autoSpaceDN/>
        <w:bidi w:val="0"/>
        <w:adjustRightInd/>
        <w:snapToGrid/>
        <w:spacing w:before="193" w:line="240" w:lineRule="auto"/>
        <w:ind w:left="45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3.如果本项目需通过省级或国家级验收，乙方需全力配合甲方完成验收。</w:t>
      </w:r>
    </w:p>
    <w:p w14:paraId="254A60E2">
      <w:pPr>
        <w:pStyle w:val="15"/>
        <w:keepNext w:val="0"/>
        <w:keepLines w:val="0"/>
        <w:pageBreakBefore w:val="0"/>
        <w:widowControl w:val="0"/>
        <w:kinsoku/>
        <w:wordWrap/>
        <w:overflowPunct/>
        <w:topLinePunct w:val="0"/>
        <w:autoSpaceDE/>
        <w:autoSpaceDN/>
        <w:bidi w:val="0"/>
        <w:adjustRightInd/>
        <w:snapToGrid/>
        <w:spacing w:before="196"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第七条</w:t>
      </w:r>
      <w:r>
        <w:rPr>
          <w:rFonts w:hint="eastAsia" w:asciiTheme="minorEastAsia" w:hAnsiTheme="minorEastAsia" w:eastAsiaTheme="minorEastAsia" w:cstheme="minorEastAsia"/>
          <w:spacing w:val="45"/>
          <w:sz w:val="24"/>
          <w:szCs w:val="24"/>
        </w:rPr>
        <w:t xml:space="preserve"> </w:t>
      </w:r>
      <w:r>
        <w:rPr>
          <w:rFonts w:hint="eastAsia" w:asciiTheme="minorEastAsia" w:hAnsiTheme="minorEastAsia" w:eastAsiaTheme="minorEastAsia" w:cstheme="minorEastAsia"/>
          <w:b/>
          <w:bCs/>
          <w:spacing w:val="-4"/>
          <w:sz w:val="24"/>
          <w:szCs w:val="24"/>
        </w:rPr>
        <w:t>甲方的权利和义务</w:t>
      </w:r>
    </w:p>
    <w:p w14:paraId="1E509920">
      <w:pPr>
        <w:pStyle w:val="15"/>
        <w:keepNext w:val="0"/>
        <w:keepLines w:val="0"/>
        <w:pageBreakBefore w:val="0"/>
        <w:widowControl w:val="0"/>
        <w:kinsoku/>
        <w:wordWrap/>
        <w:overflowPunct/>
        <w:topLinePunct w:val="0"/>
        <w:autoSpaceDE/>
        <w:autoSpaceDN/>
        <w:bidi w:val="0"/>
        <w:adjustRightInd/>
        <w:snapToGrid/>
        <w:spacing w:before="192" w:line="240" w:lineRule="auto"/>
        <w:ind w:left="46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（一）甲方的权利</w:t>
      </w:r>
    </w:p>
    <w:p w14:paraId="0D229D73">
      <w:pPr>
        <w:pStyle w:val="15"/>
        <w:keepNext w:val="0"/>
        <w:keepLines w:val="0"/>
        <w:pageBreakBefore w:val="0"/>
        <w:widowControl w:val="0"/>
        <w:kinsoku/>
        <w:wordWrap/>
        <w:overflowPunct/>
        <w:topLinePunct w:val="0"/>
        <w:autoSpaceDE/>
        <w:autoSpaceDN/>
        <w:bidi w:val="0"/>
        <w:adjustRightInd/>
        <w:snapToGrid/>
        <w:spacing w:before="194" w:line="240" w:lineRule="auto"/>
        <w:ind w:left="46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1.甲方有权随时向乙方了解项目进度，并要求</w:t>
      </w:r>
      <w:r>
        <w:rPr>
          <w:rFonts w:hint="eastAsia" w:asciiTheme="minorEastAsia" w:hAnsiTheme="minorEastAsia" w:eastAsiaTheme="minorEastAsia" w:cstheme="minorEastAsia"/>
          <w:spacing w:val="1"/>
          <w:sz w:val="24"/>
          <w:szCs w:val="24"/>
        </w:rPr>
        <w:t>乙方提供项目相关资料。</w:t>
      </w:r>
    </w:p>
    <w:p w14:paraId="4BB37E09">
      <w:pPr>
        <w:pStyle w:val="15"/>
        <w:keepNext w:val="0"/>
        <w:keepLines w:val="0"/>
        <w:pageBreakBefore w:val="0"/>
        <w:widowControl w:val="0"/>
        <w:kinsoku/>
        <w:wordWrap/>
        <w:overflowPunct/>
        <w:topLinePunct w:val="0"/>
        <w:autoSpaceDE/>
        <w:autoSpaceDN/>
        <w:bidi w:val="0"/>
        <w:adjustRightInd/>
        <w:snapToGrid/>
        <w:spacing w:before="194" w:line="240" w:lineRule="auto"/>
        <w:ind w:left="25" w:right="18" w:firstLine="427"/>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2.甲方有权对项目资金使用情况进行监督、检查，并要求乙方提供相关资</w:t>
      </w:r>
      <w:r>
        <w:rPr>
          <w:rFonts w:hint="eastAsia" w:asciiTheme="minorEastAsia" w:hAnsiTheme="minorEastAsia" w:eastAsiaTheme="minorEastAsia" w:cstheme="minorEastAsia"/>
          <w:spacing w:val="-5"/>
          <w:sz w:val="24"/>
          <w:szCs w:val="24"/>
        </w:rPr>
        <w:t>料。</w:t>
      </w:r>
    </w:p>
    <w:p w14:paraId="4272DF77">
      <w:pPr>
        <w:pStyle w:val="15"/>
        <w:keepNext w:val="0"/>
        <w:keepLines w:val="0"/>
        <w:pageBreakBefore w:val="0"/>
        <w:widowControl w:val="0"/>
        <w:kinsoku/>
        <w:wordWrap/>
        <w:overflowPunct/>
        <w:topLinePunct w:val="0"/>
        <w:autoSpaceDE/>
        <w:autoSpaceDN/>
        <w:bidi w:val="0"/>
        <w:adjustRightInd/>
        <w:snapToGrid/>
        <w:spacing w:before="5" w:line="240" w:lineRule="auto"/>
        <w:ind w:left="24" w:right="21" w:firstLine="43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3.甲方有权按照本合同约定或有关法律法规、政府管理的相关职能规定，</w:t>
      </w:r>
      <w:r>
        <w:rPr>
          <w:rFonts w:hint="eastAsia" w:asciiTheme="minorEastAsia" w:hAnsiTheme="minorEastAsia" w:eastAsiaTheme="minorEastAsia" w:cstheme="minorEastAsia"/>
          <w:spacing w:val="4"/>
          <w:sz w:val="24"/>
          <w:szCs w:val="24"/>
        </w:rPr>
        <w:t>对本项目进行监督和检查，有权要求乙方按照监督检查情</w:t>
      </w:r>
      <w:r>
        <w:rPr>
          <w:rFonts w:hint="eastAsia" w:asciiTheme="minorEastAsia" w:hAnsiTheme="minorEastAsia" w:eastAsiaTheme="minorEastAsia" w:cstheme="minorEastAsia"/>
          <w:spacing w:val="3"/>
          <w:sz w:val="24"/>
          <w:szCs w:val="24"/>
        </w:rPr>
        <w:t>况制定相应措施并加</w:t>
      </w:r>
      <w:r>
        <w:rPr>
          <w:rFonts w:hint="eastAsia" w:asciiTheme="minorEastAsia" w:hAnsiTheme="minorEastAsia" w:eastAsiaTheme="minorEastAsia" w:cstheme="minorEastAsia"/>
          <w:spacing w:val="4"/>
          <w:sz w:val="24"/>
          <w:szCs w:val="24"/>
        </w:rPr>
        <w:t>以整改。甲方不因行使该监督和检查权而承担任何责任，</w:t>
      </w:r>
      <w:r>
        <w:rPr>
          <w:rFonts w:hint="eastAsia" w:asciiTheme="minorEastAsia" w:hAnsiTheme="minorEastAsia" w:eastAsiaTheme="minorEastAsia" w:cstheme="minorEastAsia"/>
          <w:spacing w:val="3"/>
          <w:sz w:val="24"/>
          <w:szCs w:val="24"/>
        </w:rPr>
        <w:t>也不因此减轻或免除</w:t>
      </w:r>
      <w:r>
        <w:rPr>
          <w:rFonts w:hint="eastAsia" w:asciiTheme="minorEastAsia" w:hAnsiTheme="minorEastAsia" w:eastAsiaTheme="minorEastAsia" w:cstheme="minorEastAsia"/>
          <w:spacing w:val="2"/>
          <w:sz w:val="24"/>
          <w:szCs w:val="24"/>
        </w:rPr>
        <w:t>乙方根据本合同约定或相关法律法规规定应承担的任何义务或责任。</w:t>
      </w:r>
    </w:p>
    <w:p w14:paraId="609E0605">
      <w:pPr>
        <w:pStyle w:val="15"/>
        <w:keepNext w:val="0"/>
        <w:keepLines w:val="0"/>
        <w:pageBreakBefore w:val="0"/>
        <w:widowControl w:val="0"/>
        <w:kinsoku/>
        <w:wordWrap/>
        <w:overflowPunct/>
        <w:topLinePunct w:val="0"/>
        <w:autoSpaceDE/>
        <w:autoSpaceDN/>
        <w:bidi w:val="0"/>
        <w:adjustRightInd/>
        <w:snapToGrid/>
        <w:spacing w:before="1" w:line="240" w:lineRule="auto"/>
        <w:ind w:left="25" w:right="18" w:firstLine="42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4.甲方有权在乙方履行合同过程中出现损</w:t>
      </w:r>
      <w:r>
        <w:rPr>
          <w:rFonts w:hint="eastAsia" w:asciiTheme="minorEastAsia" w:hAnsiTheme="minorEastAsia" w:eastAsiaTheme="minorEastAsia" w:cstheme="minorEastAsia"/>
          <w:spacing w:val="5"/>
          <w:sz w:val="24"/>
          <w:szCs w:val="24"/>
        </w:rPr>
        <w:t>害或可能损害公共利益、公共安</w:t>
      </w:r>
      <w:r>
        <w:rPr>
          <w:rFonts w:hint="eastAsia" w:asciiTheme="minorEastAsia" w:hAnsiTheme="minorEastAsia" w:eastAsiaTheme="minorEastAsia" w:cstheme="minorEastAsia"/>
          <w:spacing w:val="1"/>
          <w:sz w:val="24"/>
          <w:szCs w:val="24"/>
        </w:rPr>
        <w:t>全情形时终止本合同。</w:t>
      </w:r>
    </w:p>
    <w:p w14:paraId="52A52D95">
      <w:pPr>
        <w:pStyle w:val="15"/>
        <w:keepNext w:val="0"/>
        <w:keepLines w:val="0"/>
        <w:pageBreakBefore w:val="0"/>
        <w:widowControl w:val="0"/>
        <w:kinsoku/>
        <w:wordWrap/>
        <w:overflowPunct/>
        <w:topLinePunct w:val="0"/>
        <w:autoSpaceDE/>
        <w:autoSpaceDN/>
        <w:bidi w:val="0"/>
        <w:adjustRightInd/>
        <w:snapToGrid/>
        <w:spacing w:line="240" w:lineRule="auto"/>
        <w:ind w:left="26" w:right="18" w:firstLine="42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5.甲方有权根据国家政策或法律法规的变动对服务项目的需求标准和质量</w:t>
      </w:r>
      <w:r>
        <w:rPr>
          <w:rFonts w:hint="eastAsia" w:asciiTheme="minorEastAsia" w:hAnsiTheme="minorEastAsia" w:eastAsiaTheme="minorEastAsia" w:cstheme="minorEastAsia"/>
          <w:spacing w:val="1"/>
          <w:sz w:val="24"/>
          <w:szCs w:val="24"/>
        </w:rPr>
        <w:t>要求作出相应变动或者取消项目。</w:t>
      </w:r>
    </w:p>
    <w:p w14:paraId="696FC08B">
      <w:pPr>
        <w:pStyle w:val="15"/>
        <w:keepNext w:val="0"/>
        <w:keepLines w:val="0"/>
        <w:pageBreakBefore w:val="0"/>
        <w:widowControl w:val="0"/>
        <w:kinsoku/>
        <w:wordWrap/>
        <w:overflowPunct/>
        <w:topLinePunct w:val="0"/>
        <w:autoSpaceDE/>
        <w:autoSpaceDN/>
        <w:bidi w:val="0"/>
        <w:adjustRightInd/>
        <w:snapToGrid/>
        <w:spacing w:before="1" w:line="240" w:lineRule="auto"/>
        <w:ind w:left="28" w:right="18" w:firstLine="42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6.甲方有权将乙方履行合同情况及不符合政府采购管理规定情况，向相关</w:t>
      </w:r>
      <w:r>
        <w:rPr>
          <w:rFonts w:hint="eastAsia" w:asciiTheme="minorEastAsia" w:hAnsiTheme="minorEastAsia" w:eastAsiaTheme="minorEastAsia" w:cstheme="minorEastAsia"/>
          <w:spacing w:val="2"/>
          <w:sz w:val="24"/>
          <w:szCs w:val="24"/>
        </w:rPr>
        <w:t>部门报告并纳入不良信用记录、年检（报）、评估、执法等监管体系中。</w:t>
      </w:r>
    </w:p>
    <w:p w14:paraId="00FD7ADA">
      <w:pPr>
        <w:pStyle w:val="15"/>
        <w:keepNext w:val="0"/>
        <w:keepLines w:val="0"/>
        <w:pageBreakBefore w:val="0"/>
        <w:widowControl w:val="0"/>
        <w:kinsoku/>
        <w:wordWrap/>
        <w:overflowPunct/>
        <w:topLinePunct w:val="0"/>
        <w:autoSpaceDE/>
        <w:autoSpaceDN/>
        <w:bidi w:val="0"/>
        <w:adjustRightInd/>
        <w:snapToGrid/>
        <w:spacing w:before="1" w:line="240" w:lineRule="auto"/>
        <w:ind w:left="46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（二）甲方的义务</w:t>
      </w:r>
    </w:p>
    <w:p w14:paraId="6DA5A65F">
      <w:pPr>
        <w:pStyle w:val="15"/>
        <w:keepNext w:val="0"/>
        <w:keepLines w:val="0"/>
        <w:pageBreakBefore w:val="0"/>
        <w:widowControl w:val="0"/>
        <w:kinsoku/>
        <w:wordWrap/>
        <w:overflowPunct/>
        <w:topLinePunct w:val="0"/>
        <w:autoSpaceDE/>
        <w:autoSpaceDN/>
        <w:bidi w:val="0"/>
        <w:adjustRightInd/>
        <w:snapToGrid/>
        <w:spacing w:before="194" w:line="240" w:lineRule="auto"/>
        <w:ind w:left="46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1.甲方应及时向乙方提供与履行本合同相关的必须的文件、资料。</w:t>
      </w:r>
    </w:p>
    <w:p w14:paraId="66A479CD">
      <w:pPr>
        <w:pStyle w:val="15"/>
        <w:keepNext w:val="0"/>
        <w:keepLines w:val="0"/>
        <w:pageBreakBefore w:val="0"/>
        <w:widowControl w:val="0"/>
        <w:kinsoku/>
        <w:wordWrap/>
        <w:overflowPunct/>
        <w:topLinePunct w:val="0"/>
        <w:autoSpaceDE/>
        <w:autoSpaceDN/>
        <w:bidi w:val="0"/>
        <w:adjustRightInd/>
        <w:snapToGrid/>
        <w:spacing w:before="194" w:line="240" w:lineRule="auto"/>
        <w:ind w:left="26" w:right="58" w:firstLine="426"/>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2.甲方应为乙方履行本合同过程中与相关政府部门及其他第三方的沟通、</w:t>
      </w:r>
      <w:r>
        <w:rPr>
          <w:rFonts w:hint="eastAsia" w:asciiTheme="minorEastAsia" w:hAnsiTheme="minorEastAsia" w:eastAsiaTheme="minorEastAsia" w:cstheme="minorEastAsia"/>
          <w:spacing w:val="1"/>
          <w:sz w:val="24"/>
          <w:szCs w:val="24"/>
        </w:rPr>
        <w:t>协调提供必要的协助。</w:t>
      </w:r>
    </w:p>
    <w:p w14:paraId="1A61DF80">
      <w:pPr>
        <w:pStyle w:val="15"/>
        <w:keepNext w:val="0"/>
        <w:keepLines w:val="0"/>
        <w:pageBreakBefore w:val="0"/>
        <w:widowControl w:val="0"/>
        <w:kinsoku/>
        <w:wordWrap/>
        <w:overflowPunct/>
        <w:topLinePunct w:val="0"/>
        <w:autoSpaceDE/>
        <w:autoSpaceDN/>
        <w:bidi w:val="0"/>
        <w:adjustRightInd/>
        <w:snapToGrid/>
        <w:spacing w:before="1" w:line="240" w:lineRule="auto"/>
        <w:ind w:left="45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3.甲方应按照合同约定支付服务费用。</w:t>
      </w:r>
    </w:p>
    <w:p w14:paraId="7737F34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pacing w:val="-2"/>
          <w:sz w:val="24"/>
          <w:szCs w:val="24"/>
        </w:rPr>
        <w:t>第八条</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b/>
          <w:bCs/>
          <w:spacing w:val="-2"/>
          <w:sz w:val="24"/>
          <w:szCs w:val="24"/>
        </w:rPr>
        <w:t>乙方的权利和义务</w:t>
      </w:r>
    </w:p>
    <w:p w14:paraId="4C061202">
      <w:pPr>
        <w:pStyle w:val="15"/>
        <w:keepNext w:val="0"/>
        <w:keepLines w:val="0"/>
        <w:pageBreakBefore w:val="0"/>
        <w:widowControl w:val="0"/>
        <w:kinsoku/>
        <w:wordWrap/>
        <w:overflowPunct/>
        <w:topLinePunct w:val="0"/>
        <w:autoSpaceDE/>
        <w:autoSpaceDN/>
        <w:bidi w:val="0"/>
        <w:adjustRightInd/>
        <w:snapToGrid/>
        <w:spacing w:before="195" w:line="240" w:lineRule="auto"/>
        <w:ind w:left="46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（一）乙方的权利</w:t>
      </w:r>
    </w:p>
    <w:p w14:paraId="1D61F843">
      <w:pPr>
        <w:pStyle w:val="15"/>
        <w:keepNext w:val="0"/>
        <w:keepLines w:val="0"/>
        <w:pageBreakBefore w:val="0"/>
        <w:widowControl w:val="0"/>
        <w:kinsoku/>
        <w:wordWrap/>
        <w:overflowPunct/>
        <w:topLinePunct w:val="0"/>
        <w:autoSpaceDE/>
        <w:autoSpaceDN/>
        <w:bidi w:val="0"/>
        <w:adjustRightInd/>
        <w:snapToGrid/>
        <w:spacing w:before="192" w:line="240" w:lineRule="auto"/>
        <w:ind w:left="46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1.乙方有权按照本合同约定向甲方收取服务费用。</w:t>
      </w:r>
    </w:p>
    <w:p w14:paraId="48B74B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96"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4"/>
          <w:sz w:val="24"/>
          <w:szCs w:val="24"/>
        </w:rPr>
        <w:t>2.乙方有权自甲方处获得与提供本合同项下服务相关的所有必须的文件、</w:t>
      </w:r>
      <w:r>
        <w:rPr>
          <w:rFonts w:hint="eastAsia" w:asciiTheme="minorEastAsia" w:hAnsiTheme="minorEastAsia" w:eastAsiaTheme="minorEastAsia" w:cstheme="minorEastAsia"/>
          <w:spacing w:val="-6"/>
          <w:sz w:val="24"/>
          <w:szCs w:val="24"/>
        </w:rPr>
        <w:t>资料。</w:t>
      </w:r>
    </w:p>
    <w:p w14:paraId="70111857">
      <w:pPr>
        <w:pStyle w:val="15"/>
        <w:keepNext w:val="0"/>
        <w:keepLines w:val="0"/>
        <w:pageBreakBefore w:val="0"/>
        <w:widowControl w:val="0"/>
        <w:kinsoku/>
        <w:wordWrap/>
        <w:overflowPunct/>
        <w:topLinePunct w:val="0"/>
        <w:autoSpaceDE/>
        <w:autoSpaceDN/>
        <w:bidi w:val="0"/>
        <w:adjustRightInd/>
        <w:snapToGrid/>
        <w:spacing w:before="78" w:line="240" w:lineRule="auto"/>
        <w:ind w:left="46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（二）乙方的义务</w:t>
      </w:r>
    </w:p>
    <w:p w14:paraId="5105FB5D">
      <w:pPr>
        <w:pStyle w:val="15"/>
        <w:keepNext w:val="0"/>
        <w:keepLines w:val="0"/>
        <w:pageBreakBefore w:val="0"/>
        <w:widowControl w:val="0"/>
        <w:kinsoku/>
        <w:wordWrap/>
        <w:overflowPunct/>
        <w:topLinePunct w:val="0"/>
        <w:autoSpaceDE/>
        <w:autoSpaceDN/>
        <w:bidi w:val="0"/>
        <w:adjustRightInd/>
        <w:snapToGrid/>
        <w:spacing w:before="195" w:line="240" w:lineRule="auto"/>
        <w:ind w:left="26" w:right="61" w:firstLine="441"/>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1.乙方应配备具有相应资质、特定经验的工作人员负责项目实施，按照本</w:t>
      </w:r>
      <w:r>
        <w:rPr>
          <w:rFonts w:hint="eastAsia" w:asciiTheme="minorEastAsia" w:hAnsiTheme="minorEastAsia" w:eastAsiaTheme="minorEastAsia" w:cstheme="minorEastAsia"/>
          <w:spacing w:val="1"/>
          <w:sz w:val="24"/>
          <w:szCs w:val="24"/>
        </w:rPr>
        <w:t>合同约定的标准、要求和时间完成项目。</w:t>
      </w:r>
    </w:p>
    <w:p w14:paraId="37CB8E33">
      <w:pPr>
        <w:pStyle w:val="15"/>
        <w:keepNext w:val="0"/>
        <w:keepLines w:val="0"/>
        <w:pageBreakBefore w:val="0"/>
        <w:widowControl w:val="0"/>
        <w:kinsoku/>
        <w:wordWrap/>
        <w:overflowPunct/>
        <w:topLinePunct w:val="0"/>
        <w:autoSpaceDE/>
        <w:autoSpaceDN/>
        <w:bidi w:val="0"/>
        <w:adjustRightInd/>
        <w:snapToGrid/>
        <w:spacing w:line="240" w:lineRule="auto"/>
        <w:ind w:left="31" w:right="61" w:firstLine="421"/>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2.乙方应全面履行本项目实施过程中的相关安全管理职责，因乙方未尽到</w:t>
      </w:r>
      <w:r>
        <w:rPr>
          <w:rFonts w:hint="eastAsia" w:asciiTheme="minorEastAsia" w:hAnsiTheme="minorEastAsia" w:eastAsiaTheme="minorEastAsia" w:cstheme="minorEastAsia"/>
          <w:spacing w:val="2"/>
          <w:sz w:val="24"/>
          <w:szCs w:val="24"/>
        </w:rPr>
        <w:t>管理职责发生安全事故的，由乙方承担相应的法律责</w:t>
      </w:r>
      <w:r>
        <w:rPr>
          <w:rFonts w:hint="eastAsia" w:asciiTheme="minorEastAsia" w:hAnsiTheme="minorEastAsia" w:eastAsiaTheme="minorEastAsia" w:cstheme="minorEastAsia"/>
          <w:spacing w:val="1"/>
          <w:sz w:val="24"/>
          <w:szCs w:val="24"/>
        </w:rPr>
        <w:t>任。</w:t>
      </w:r>
    </w:p>
    <w:p w14:paraId="301063B7">
      <w:pPr>
        <w:pStyle w:val="15"/>
        <w:keepNext w:val="0"/>
        <w:keepLines w:val="0"/>
        <w:pageBreakBefore w:val="0"/>
        <w:widowControl w:val="0"/>
        <w:kinsoku/>
        <w:wordWrap/>
        <w:overflowPunct/>
        <w:topLinePunct w:val="0"/>
        <w:autoSpaceDE/>
        <w:autoSpaceDN/>
        <w:bidi w:val="0"/>
        <w:adjustRightInd/>
        <w:snapToGrid/>
        <w:spacing w:line="240" w:lineRule="auto"/>
        <w:ind w:left="27" w:right="61" w:firstLine="427"/>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3.乙方承诺根据本合同提供的服务及相关的软件和技术资料，均已取得有</w:t>
      </w:r>
      <w:r>
        <w:rPr>
          <w:rFonts w:hint="eastAsia" w:asciiTheme="minorEastAsia" w:hAnsiTheme="minorEastAsia" w:eastAsiaTheme="minorEastAsia" w:cstheme="minorEastAsia"/>
          <w:spacing w:val="4"/>
          <w:sz w:val="24"/>
          <w:szCs w:val="24"/>
        </w:rPr>
        <w:t>关知识产权的权利人的合法授权。如发生涉及到专</w:t>
      </w:r>
      <w:r>
        <w:rPr>
          <w:rFonts w:hint="eastAsia" w:asciiTheme="minorEastAsia" w:hAnsiTheme="minorEastAsia" w:eastAsiaTheme="minorEastAsia" w:cstheme="minorEastAsia"/>
          <w:spacing w:val="3"/>
          <w:sz w:val="24"/>
          <w:szCs w:val="24"/>
        </w:rPr>
        <w:t>利权、著作权、商标权等争</w:t>
      </w:r>
      <w:r>
        <w:rPr>
          <w:rFonts w:hint="eastAsia" w:asciiTheme="minorEastAsia" w:hAnsiTheme="minorEastAsia" w:eastAsiaTheme="minorEastAsia" w:cstheme="minorEastAsia"/>
          <w:spacing w:val="2"/>
          <w:sz w:val="24"/>
          <w:szCs w:val="24"/>
        </w:rPr>
        <w:t>议，乙方负责处理并承担由此引起的全部法律及经济责任。</w:t>
      </w:r>
    </w:p>
    <w:p w14:paraId="6E01DC31">
      <w:pPr>
        <w:pStyle w:val="15"/>
        <w:keepNext w:val="0"/>
        <w:keepLines w:val="0"/>
        <w:pageBreakBefore w:val="0"/>
        <w:widowControl w:val="0"/>
        <w:kinsoku/>
        <w:wordWrap/>
        <w:overflowPunct/>
        <w:topLinePunct w:val="0"/>
        <w:autoSpaceDE/>
        <w:autoSpaceDN/>
        <w:bidi w:val="0"/>
        <w:adjustRightInd/>
        <w:snapToGrid/>
        <w:spacing w:before="1" w:line="240" w:lineRule="auto"/>
        <w:ind w:left="24" w:right="120" w:firstLine="42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4.乙方应接受并配合甲方或甲方组织的对本合同履行情况的</w:t>
      </w:r>
      <w:r>
        <w:rPr>
          <w:rFonts w:hint="eastAsia" w:asciiTheme="minorEastAsia" w:hAnsiTheme="minorEastAsia" w:eastAsiaTheme="minorEastAsia" w:cstheme="minorEastAsia"/>
          <w:spacing w:val="3"/>
          <w:sz w:val="24"/>
          <w:szCs w:val="24"/>
        </w:rPr>
        <w:t>监督与检查，</w:t>
      </w:r>
      <w:r>
        <w:rPr>
          <w:rFonts w:hint="eastAsia" w:asciiTheme="minorEastAsia" w:hAnsiTheme="minorEastAsia" w:eastAsiaTheme="minorEastAsia" w:cstheme="minorEastAsia"/>
          <w:spacing w:val="2"/>
          <w:sz w:val="24"/>
          <w:szCs w:val="24"/>
        </w:rPr>
        <w:t>对于甲方指出的问题，应及时作出合理解释或予以纠正。</w:t>
      </w:r>
    </w:p>
    <w:p w14:paraId="10A48A55">
      <w:pPr>
        <w:pStyle w:val="15"/>
        <w:keepNext w:val="0"/>
        <w:keepLines w:val="0"/>
        <w:pageBreakBefore w:val="0"/>
        <w:widowControl w:val="0"/>
        <w:kinsoku/>
        <w:wordWrap/>
        <w:overflowPunct/>
        <w:topLinePunct w:val="0"/>
        <w:autoSpaceDE/>
        <w:autoSpaceDN/>
        <w:bidi w:val="0"/>
        <w:adjustRightInd/>
        <w:snapToGrid/>
        <w:spacing w:before="1" w:line="240" w:lineRule="auto"/>
        <w:ind w:left="26" w:right="61" w:firstLine="42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5.乙方应对项目资金进行规范的财务管理和会计核算，加强自身监督，确</w:t>
      </w:r>
      <w:r>
        <w:rPr>
          <w:rFonts w:hint="eastAsia" w:asciiTheme="minorEastAsia" w:hAnsiTheme="minorEastAsia" w:eastAsiaTheme="minorEastAsia" w:cstheme="minorEastAsia"/>
          <w:spacing w:val="1"/>
          <w:sz w:val="24"/>
          <w:szCs w:val="24"/>
        </w:rPr>
        <w:t>保资金规范管理和使用。</w:t>
      </w:r>
    </w:p>
    <w:p w14:paraId="0EB94ACB">
      <w:pPr>
        <w:pStyle w:val="15"/>
        <w:keepNext w:val="0"/>
        <w:keepLines w:val="0"/>
        <w:pageBreakBefore w:val="0"/>
        <w:widowControl w:val="0"/>
        <w:kinsoku/>
        <w:wordWrap/>
        <w:overflowPunct/>
        <w:topLinePunct w:val="0"/>
        <w:autoSpaceDE/>
        <w:autoSpaceDN/>
        <w:bidi w:val="0"/>
        <w:adjustRightInd/>
        <w:snapToGrid/>
        <w:spacing w:line="240" w:lineRule="auto"/>
        <w:ind w:left="25" w:right="61" w:firstLine="426"/>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6.乙方应建立报告制度，按要求向甲方提供项目执行情况、成果总结等材</w:t>
      </w:r>
      <w:r>
        <w:rPr>
          <w:rFonts w:hint="eastAsia" w:asciiTheme="minorEastAsia" w:hAnsiTheme="minorEastAsia" w:eastAsiaTheme="minorEastAsia" w:cstheme="minorEastAsia"/>
          <w:spacing w:val="2"/>
          <w:sz w:val="24"/>
          <w:szCs w:val="24"/>
        </w:rPr>
        <w:t>料，并配合甲方及甲方组织的监督检查或绩效评价。</w:t>
      </w:r>
    </w:p>
    <w:p w14:paraId="6B842CF1">
      <w:pPr>
        <w:pStyle w:val="15"/>
        <w:keepNext w:val="0"/>
        <w:keepLines w:val="0"/>
        <w:pageBreakBefore w:val="0"/>
        <w:widowControl w:val="0"/>
        <w:kinsoku/>
        <w:wordWrap/>
        <w:overflowPunct/>
        <w:topLinePunct w:val="0"/>
        <w:autoSpaceDE/>
        <w:autoSpaceDN/>
        <w:bidi w:val="0"/>
        <w:adjustRightInd/>
        <w:snapToGrid/>
        <w:spacing w:before="1" w:line="240" w:lineRule="auto"/>
        <w:ind w:left="30" w:right="61" w:firstLine="42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7.项目交付后，乙方应无条件返还甲方向其提供的文件、资料并向甲方移</w:t>
      </w:r>
      <w:r>
        <w:rPr>
          <w:rFonts w:hint="eastAsia" w:asciiTheme="minorEastAsia" w:hAnsiTheme="minorEastAsia" w:eastAsiaTheme="minorEastAsia" w:cstheme="minorEastAsia"/>
          <w:spacing w:val="2"/>
          <w:sz w:val="24"/>
          <w:szCs w:val="24"/>
        </w:rPr>
        <w:t>交项目资料，同时乙方应当对留存的项目档案予以妥善保存。</w:t>
      </w:r>
    </w:p>
    <w:p w14:paraId="2FC60039">
      <w:pPr>
        <w:pStyle w:val="15"/>
        <w:keepNext w:val="0"/>
        <w:keepLines w:val="0"/>
        <w:pageBreakBefore w:val="0"/>
        <w:widowControl w:val="0"/>
        <w:kinsoku/>
        <w:wordWrap/>
        <w:overflowPunct/>
        <w:topLinePunct w:val="0"/>
        <w:autoSpaceDE/>
        <w:autoSpaceDN/>
        <w:bidi w:val="0"/>
        <w:adjustRightInd/>
        <w:snapToGrid/>
        <w:spacing w:before="1"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第九条</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b/>
          <w:bCs/>
          <w:spacing w:val="-3"/>
          <w:sz w:val="24"/>
          <w:szCs w:val="24"/>
        </w:rPr>
        <w:t>违约责任</w:t>
      </w:r>
    </w:p>
    <w:p w14:paraId="0D788CF3">
      <w:pPr>
        <w:pStyle w:val="15"/>
        <w:keepNext w:val="0"/>
        <w:keepLines w:val="0"/>
        <w:pageBreakBefore w:val="0"/>
        <w:widowControl w:val="0"/>
        <w:kinsoku/>
        <w:wordWrap/>
        <w:overflowPunct/>
        <w:topLinePunct w:val="0"/>
        <w:autoSpaceDE/>
        <w:autoSpaceDN/>
        <w:bidi w:val="0"/>
        <w:adjustRightInd/>
        <w:snapToGrid/>
        <w:spacing w:before="196" w:line="240" w:lineRule="auto"/>
        <w:ind w:left="40" w:right="61" w:firstLine="40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在本合同履行过程中，双方因违约或造成对方经济、社</w:t>
      </w:r>
      <w:r>
        <w:rPr>
          <w:rFonts w:hint="eastAsia" w:asciiTheme="minorEastAsia" w:hAnsiTheme="minorEastAsia" w:eastAsiaTheme="minorEastAsia" w:cstheme="minorEastAsia"/>
          <w:spacing w:val="5"/>
          <w:sz w:val="24"/>
          <w:szCs w:val="24"/>
        </w:rPr>
        <w:t>会效益等损失的应</w:t>
      </w:r>
      <w:r>
        <w:rPr>
          <w:rFonts w:hint="eastAsia" w:asciiTheme="minorEastAsia" w:hAnsiTheme="minorEastAsia" w:eastAsiaTheme="minorEastAsia" w:cstheme="minorEastAsia"/>
          <w:spacing w:val="-5"/>
          <w:sz w:val="24"/>
          <w:szCs w:val="24"/>
        </w:rPr>
        <w:t>当赔偿。</w:t>
      </w:r>
    </w:p>
    <w:p w14:paraId="7F1BE8BF">
      <w:pPr>
        <w:pStyle w:val="15"/>
        <w:keepNext w:val="0"/>
        <w:keepLines w:val="0"/>
        <w:pageBreakBefore w:val="0"/>
        <w:widowControl w:val="0"/>
        <w:kinsoku/>
        <w:wordWrap/>
        <w:overflowPunct/>
        <w:topLinePunct w:val="0"/>
        <w:autoSpaceDE/>
        <w:autoSpaceDN/>
        <w:bidi w:val="0"/>
        <w:adjustRightInd/>
        <w:snapToGrid/>
        <w:spacing w:before="2" w:line="240" w:lineRule="auto"/>
        <w:ind w:left="25" w:firstLine="44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1.乙方提供的服务不符合本合同约定的，乙方应当按照甲方要求更正或修</w:t>
      </w:r>
      <w:r>
        <w:rPr>
          <w:rFonts w:hint="eastAsia" w:asciiTheme="minorEastAsia" w:hAnsiTheme="minorEastAsia" w:eastAsiaTheme="minorEastAsia" w:cstheme="minorEastAsia"/>
          <w:spacing w:val="-1"/>
          <w:sz w:val="24"/>
          <w:szCs w:val="24"/>
        </w:rPr>
        <w:t>改，并承担由此产生的全部费用，乙方提供的</w:t>
      </w:r>
      <w:r>
        <w:rPr>
          <w:rFonts w:hint="eastAsia" w:asciiTheme="minorEastAsia" w:hAnsiTheme="minorEastAsia" w:eastAsiaTheme="minorEastAsia" w:cstheme="minorEastAsia"/>
          <w:spacing w:val="-2"/>
          <w:sz w:val="24"/>
          <w:szCs w:val="24"/>
        </w:rPr>
        <w:t>服务若未能最终通过甲方验收的，</w:t>
      </w:r>
      <w:r>
        <w:rPr>
          <w:rFonts w:hint="eastAsia" w:asciiTheme="minorEastAsia" w:hAnsiTheme="minorEastAsia" w:eastAsiaTheme="minorEastAsia" w:cstheme="minorEastAsia"/>
          <w:spacing w:val="2"/>
          <w:sz w:val="24"/>
          <w:szCs w:val="24"/>
        </w:rPr>
        <w:t>应当退还已收取的所有款项并赔偿甲方因此造成的全部损失。</w:t>
      </w:r>
    </w:p>
    <w:p w14:paraId="66B82869">
      <w:pPr>
        <w:pStyle w:val="15"/>
        <w:keepNext w:val="0"/>
        <w:keepLines w:val="0"/>
        <w:pageBreakBefore w:val="0"/>
        <w:widowControl w:val="0"/>
        <w:kinsoku/>
        <w:wordWrap/>
        <w:overflowPunct/>
        <w:topLinePunct w:val="0"/>
        <w:autoSpaceDE/>
        <w:autoSpaceDN/>
        <w:bidi w:val="0"/>
        <w:adjustRightInd/>
        <w:snapToGrid/>
        <w:spacing w:before="5" w:line="240" w:lineRule="auto"/>
        <w:ind w:left="29" w:right="61" w:firstLine="42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2．乙方未能按本合同约定的时间提供最终成果，从逾期之日起</w:t>
      </w:r>
      <w:r>
        <w:rPr>
          <w:rFonts w:hint="eastAsia" w:asciiTheme="minorEastAsia" w:hAnsiTheme="minorEastAsia" w:eastAsiaTheme="minorEastAsia" w:cstheme="minorEastAsia"/>
          <w:spacing w:val="1"/>
          <w:sz w:val="24"/>
          <w:szCs w:val="24"/>
        </w:rPr>
        <w:t>每日按本合</w:t>
      </w:r>
      <w:r>
        <w:rPr>
          <w:rFonts w:hint="eastAsia" w:asciiTheme="minorEastAsia" w:hAnsiTheme="minorEastAsia" w:eastAsiaTheme="minorEastAsia" w:cstheme="minorEastAsia"/>
          <w:spacing w:val="4"/>
          <w:sz w:val="24"/>
          <w:szCs w:val="24"/>
        </w:rPr>
        <w:t>同总价万分之三的数额向甲方支付违约金；但</w:t>
      </w:r>
      <w:r>
        <w:rPr>
          <w:rFonts w:hint="eastAsia" w:asciiTheme="minorEastAsia" w:hAnsiTheme="minorEastAsia" w:eastAsiaTheme="minorEastAsia" w:cstheme="minorEastAsia"/>
          <w:spacing w:val="3"/>
          <w:sz w:val="24"/>
          <w:szCs w:val="24"/>
        </w:rPr>
        <w:t>因不可归责于乙方原因（包括但</w:t>
      </w:r>
      <w:r>
        <w:rPr>
          <w:rFonts w:hint="eastAsia" w:asciiTheme="minorEastAsia" w:hAnsiTheme="minorEastAsia" w:eastAsiaTheme="minorEastAsia" w:cstheme="minorEastAsia"/>
          <w:spacing w:val="4"/>
          <w:sz w:val="24"/>
          <w:szCs w:val="24"/>
        </w:rPr>
        <w:t>不限于甲方原因、政府行为、客观事实、标准</w:t>
      </w:r>
      <w:r>
        <w:rPr>
          <w:rFonts w:hint="eastAsia" w:asciiTheme="minorEastAsia" w:hAnsiTheme="minorEastAsia" w:eastAsiaTheme="minorEastAsia" w:cstheme="minorEastAsia"/>
          <w:spacing w:val="3"/>
          <w:sz w:val="24"/>
          <w:szCs w:val="24"/>
        </w:rPr>
        <w:t>变动、不可抗力等）导致的逾期</w:t>
      </w:r>
      <w:r>
        <w:rPr>
          <w:rFonts w:hint="eastAsia" w:asciiTheme="minorEastAsia" w:hAnsiTheme="minorEastAsia" w:eastAsiaTheme="minorEastAsia" w:cstheme="minorEastAsia"/>
          <w:spacing w:val="1"/>
          <w:sz w:val="24"/>
          <w:szCs w:val="24"/>
        </w:rPr>
        <w:t>交付，甲方应与乙方协商顺延服务期。</w:t>
      </w:r>
    </w:p>
    <w:p w14:paraId="27B0582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8"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rPr>
        <w:t>3、其他违约责任按《中华人民共和国民法典</w:t>
      </w:r>
      <w:r>
        <w:rPr>
          <w:rFonts w:hint="eastAsia" w:asciiTheme="minorEastAsia" w:hAnsiTheme="minorEastAsia" w:eastAsiaTheme="minorEastAsia" w:cstheme="minorEastAsia"/>
          <w:spacing w:val="1"/>
          <w:sz w:val="24"/>
          <w:szCs w:val="24"/>
        </w:rPr>
        <w:t>》处理。</w:t>
      </w:r>
    </w:p>
    <w:p w14:paraId="1D055182">
      <w:pPr>
        <w:pStyle w:val="15"/>
        <w:keepNext w:val="0"/>
        <w:keepLines w:val="0"/>
        <w:pageBreakBefore w:val="0"/>
        <w:widowControl w:val="0"/>
        <w:kinsoku/>
        <w:wordWrap/>
        <w:overflowPunct/>
        <w:topLinePunct w:val="0"/>
        <w:autoSpaceDE/>
        <w:autoSpaceDN/>
        <w:bidi w:val="0"/>
        <w:adjustRightInd/>
        <w:snapToGrid/>
        <w:spacing w:before="193"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第十条</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b/>
          <w:bCs/>
          <w:spacing w:val="-2"/>
          <w:sz w:val="24"/>
          <w:szCs w:val="24"/>
        </w:rPr>
        <w:t>知识产权归属</w:t>
      </w:r>
    </w:p>
    <w:p w14:paraId="5DAD29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52"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本合同履行过程中，乙方为甲方提供服务产生服务</w:t>
      </w:r>
      <w:r>
        <w:rPr>
          <w:rFonts w:hint="eastAsia" w:asciiTheme="minorEastAsia" w:hAnsiTheme="minorEastAsia" w:eastAsiaTheme="minorEastAsia" w:cstheme="minorEastAsia"/>
          <w:spacing w:val="5"/>
          <w:sz w:val="24"/>
          <w:szCs w:val="24"/>
        </w:rPr>
        <w:t>成果的所有权及知识产</w:t>
      </w:r>
      <w:r>
        <w:rPr>
          <w:rFonts w:hint="eastAsia" w:asciiTheme="minorEastAsia" w:hAnsiTheme="minorEastAsia" w:eastAsiaTheme="minorEastAsia" w:cstheme="minorEastAsia"/>
          <w:spacing w:val="1"/>
          <w:sz w:val="24"/>
          <w:szCs w:val="24"/>
        </w:rPr>
        <w:t>权应归甲方所有。</w:t>
      </w:r>
    </w:p>
    <w:p w14:paraId="50D81CB5">
      <w:pPr>
        <w:pStyle w:val="15"/>
        <w:keepNext w:val="0"/>
        <w:keepLines w:val="0"/>
        <w:pageBreakBefore w:val="0"/>
        <w:widowControl w:val="0"/>
        <w:kinsoku/>
        <w:wordWrap/>
        <w:overflowPunct/>
        <w:topLinePunct w:val="0"/>
        <w:autoSpaceDE/>
        <w:autoSpaceDN/>
        <w:bidi w:val="0"/>
        <w:adjustRightInd/>
        <w:snapToGrid/>
        <w:spacing w:before="195"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第十一条</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b/>
          <w:bCs/>
          <w:spacing w:val="-1"/>
          <w:sz w:val="24"/>
          <w:szCs w:val="24"/>
        </w:rPr>
        <w:t>保密条款</w:t>
      </w:r>
    </w:p>
    <w:p w14:paraId="3BC3862C">
      <w:pPr>
        <w:pStyle w:val="15"/>
        <w:keepNext w:val="0"/>
        <w:keepLines w:val="0"/>
        <w:pageBreakBefore w:val="0"/>
        <w:widowControl w:val="0"/>
        <w:kinsoku/>
        <w:wordWrap/>
        <w:overflowPunct/>
        <w:topLinePunct w:val="0"/>
        <w:autoSpaceDE/>
        <w:autoSpaceDN/>
        <w:bidi w:val="0"/>
        <w:adjustRightInd/>
        <w:snapToGrid/>
        <w:spacing w:before="194" w:line="240" w:lineRule="auto"/>
        <w:ind w:left="30" w:right="18" w:firstLine="437"/>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1.乙方应遵守国家有关保密的法律法规和行业规定，并对甲方提供的资料</w:t>
      </w:r>
      <w:r>
        <w:rPr>
          <w:rFonts w:hint="eastAsia" w:asciiTheme="minorEastAsia" w:hAnsiTheme="minorEastAsia" w:eastAsiaTheme="minorEastAsia" w:cstheme="minorEastAsia"/>
          <w:spacing w:val="4"/>
          <w:sz w:val="24"/>
          <w:szCs w:val="24"/>
        </w:rPr>
        <w:t>负有保密义务。未经甲方同意，不得将承接</w:t>
      </w:r>
      <w:r>
        <w:rPr>
          <w:rFonts w:hint="eastAsia" w:asciiTheme="minorEastAsia" w:hAnsiTheme="minorEastAsia" w:eastAsiaTheme="minorEastAsia" w:cstheme="minorEastAsia"/>
          <w:spacing w:val="3"/>
          <w:sz w:val="24"/>
          <w:szCs w:val="24"/>
        </w:rPr>
        <w:t>政府公共服务项目获得的政府、公</w:t>
      </w:r>
      <w:r>
        <w:rPr>
          <w:rFonts w:hint="eastAsia" w:asciiTheme="minorEastAsia" w:hAnsiTheme="minorEastAsia" w:eastAsiaTheme="minorEastAsia" w:cstheme="minorEastAsia"/>
          <w:spacing w:val="4"/>
          <w:sz w:val="24"/>
          <w:szCs w:val="24"/>
        </w:rPr>
        <w:t>民个人等各种信息和资料提供给其他单位和</w:t>
      </w:r>
      <w:r>
        <w:rPr>
          <w:rFonts w:hint="eastAsia" w:asciiTheme="minorEastAsia" w:hAnsiTheme="minorEastAsia" w:eastAsiaTheme="minorEastAsia" w:cstheme="minorEastAsia"/>
          <w:spacing w:val="3"/>
          <w:sz w:val="24"/>
          <w:szCs w:val="24"/>
        </w:rPr>
        <w:t>个人。如发生以上情况，甲方有权</w:t>
      </w:r>
      <w:r>
        <w:rPr>
          <w:rFonts w:hint="eastAsia" w:asciiTheme="minorEastAsia" w:hAnsiTheme="minorEastAsia" w:eastAsiaTheme="minorEastAsia" w:cstheme="minorEastAsia"/>
          <w:spacing w:val="-4"/>
          <w:sz w:val="24"/>
          <w:szCs w:val="24"/>
        </w:rPr>
        <w:t>索赔。</w:t>
      </w:r>
    </w:p>
    <w:p w14:paraId="145B3973">
      <w:pPr>
        <w:pStyle w:val="15"/>
        <w:keepNext w:val="0"/>
        <w:keepLines w:val="0"/>
        <w:pageBreakBefore w:val="0"/>
        <w:widowControl w:val="0"/>
        <w:kinsoku/>
        <w:wordWrap/>
        <w:overflowPunct/>
        <w:topLinePunct w:val="0"/>
        <w:autoSpaceDE/>
        <w:autoSpaceDN/>
        <w:bidi w:val="0"/>
        <w:adjustRightInd/>
        <w:snapToGrid/>
        <w:spacing w:line="240" w:lineRule="auto"/>
        <w:ind w:left="26" w:right="18" w:firstLine="426"/>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2.甲方有义务保护乙方的知识产权，未经乙方同意，不得将乙方交付的具</w:t>
      </w:r>
      <w:r>
        <w:rPr>
          <w:rFonts w:hint="eastAsia" w:asciiTheme="minorEastAsia" w:hAnsiTheme="minorEastAsia" w:eastAsiaTheme="minorEastAsia" w:cstheme="minorEastAsia"/>
          <w:spacing w:val="4"/>
          <w:sz w:val="24"/>
          <w:szCs w:val="24"/>
        </w:rPr>
        <w:t>有知识产权性质的成果文件、资料向第三方转让或用</w:t>
      </w:r>
      <w:r>
        <w:rPr>
          <w:rFonts w:hint="eastAsia" w:asciiTheme="minorEastAsia" w:hAnsiTheme="minorEastAsia" w:eastAsiaTheme="minorEastAsia" w:cstheme="minorEastAsia"/>
          <w:spacing w:val="3"/>
          <w:sz w:val="24"/>
          <w:szCs w:val="24"/>
        </w:rPr>
        <w:t>于本合同以外的项目。如</w:t>
      </w:r>
      <w:r>
        <w:rPr>
          <w:rFonts w:hint="eastAsia" w:asciiTheme="minorEastAsia" w:hAnsiTheme="minorEastAsia" w:eastAsiaTheme="minorEastAsia" w:cstheme="minorEastAsia"/>
          <w:spacing w:val="2"/>
          <w:sz w:val="24"/>
          <w:szCs w:val="24"/>
        </w:rPr>
        <w:t>发生以上情况，乙方有权索赔，但甲方依据相关法定职责对外公开的除外。</w:t>
      </w:r>
    </w:p>
    <w:p w14:paraId="714250AD">
      <w:pPr>
        <w:pStyle w:val="15"/>
        <w:keepNext w:val="0"/>
        <w:keepLines w:val="0"/>
        <w:pageBreakBefore w:val="0"/>
        <w:widowControl w:val="0"/>
        <w:kinsoku/>
        <w:wordWrap/>
        <w:overflowPunct/>
        <w:topLinePunct w:val="0"/>
        <w:autoSpaceDE/>
        <w:autoSpaceDN/>
        <w:bidi w:val="0"/>
        <w:adjustRightInd/>
        <w:snapToGrid/>
        <w:spacing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第十二条</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b/>
          <w:bCs/>
          <w:spacing w:val="-1"/>
          <w:sz w:val="24"/>
          <w:szCs w:val="24"/>
        </w:rPr>
        <w:t>争议的解决</w:t>
      </w:r>
    </w:p>
    <w:p w14:paraId="64D221F9">
      <w:pPr>
        <w:pStyle w:val="15"/>
        <w:keepNext w:val="0"/>
        <w:keepLines w:val="0"/>
        <w:pageBreakBefore w:val="0"/>
        <w:widowControl w:val="0"/>
        <w:kinsoku/>
        <w:wordWrap/>
        <w:overflowPunct/>
        <w:topLinePunct w:val="0"/>
        <w:autoSpaceDE/>
        <w:autoSpaceDN/>
        <w:bidi w:val="0"/>
        <w:adjustRightInd/>
        <w:snapToGrid/>
        <w:spacing w:before="193" w:line="240" w:lineRule="auto"/>
        <w:ind w:left="26" w:right="18" w:firstLine="42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本合同在履行过程中发生的任何争议，如双方不能</w:t>
      </w:r>
      <w:r>
        <w:rPr>
          <w:rFonts w:hint="eastAsia" w:asciiTheme="minorEastAsia" w:hAnsiTheme="minorEastAsia" w:eastAsiaTheme="minorEastAsia" w:cstheme="minorEastAsia"/>
          <w:spacing w:val="5"/>
          <w:sz w:val="24"/>
          <w:szCs w:val="24"/>
        </w:rPr>
        <w:t>通过友好协商解决，通</w:t>
      </w:r>
      <w:r>
        <w:rPr>
          <w:rFonts w:hint="eastAsia" w:asciiTheme="minorEastAsia" w:hAnsiTheme="minorEastAsia" w:eastAsiaTheme="minorEastAsia" w:cstheme="minorEastAsia"/>
          <w:spacing w:val="1"/>
          <w:sz w:val="24"/>
          <w:szCs w:val="24"/>
        </w:rPr>
        <w:t>过甲方所在地有管辖权的人民法院诉讼处理。</w:t>
      </w:r>
    </w:p>
    <w:p w14:paraId="271AA765">
      <w:pPr>
        <w:pStyle w:val="15"/>
        <w:keepNext w:val="0"/>
        <w:keepLines w:val="0"/>
        <w:pageBreakBefore w:val="0"/>
        <w:widowControl w:val="0"/>
        <w:kinsoku/>
        <w:wordWrap/>
        <w:overflowPunct/>
        <w:topLinePunct w:val="0"/>
        <w:autoSpaceDE/>
        <w:autoSpaceDN/>
        <w:bidi w:val="0"/>
        <w:adjustRightInd/>
        <w:snapToGrid/>
        <w:spacing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第十三条</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b/>
          <w:bCs/>
          <w:spacing w:val="-1"/>
          <w:sz w:val="24"/>
          <w:szCs w:val="24"/>
        </w:rPr>
        <w:t>不可抗力</w:t>
      </w:r>
    </w:p>
    <w:p w14:paraId="1E57FC79">
      <w:pPr>
        <w:pStyle w:val="15"/>
        <w:keepNext w:val="0"/>
        <w:keepLines w:val="0"/>
        <w:pageBreakBefore w:val="0"/>
        <w:widowControl w:val="0"/>
        <w:kinsoku/>
        <w:wordWrap/>
        <w:overflowPunct/>
        <w:topLinePunct w:val="0"/>
        <w:autoSpaceDE/>
        <w:autoSpaceDN/>
        <w:bidi w:val="0"/>
        <w:adjustRightInd/>
        <w:snapToGrid/>
        <w:spacing w:before="194" w:line="240" w:lineRule="auto"/>
        <w:ind w:left="25" w:right="18" w:firstLine="423"/>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任何一方由于不可抗力原因不能履行合同时，</w:t>
      </w:r>
      <w:r>
        <w:rPr>
          <w:rFonts w:hint="eastAsia" w:asciiTheme="minorEastAsia" w:hAnsiTheme="minorEastAsia" w:eastAsiaTheme="minorEastAsia" w:cstheme="minorEastAsia"/>
          <w:spacing w:val="4"/>
          <w:sz w:val="24"/>
          <w:szCs w:val="24"/>
        </w:rPr>
        <w:t>应在不可抗力事件发生后</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4"/>
          <w:sz w:val="24"/>
          <w:szCs w:val="24"/>
        </w:rPr>
        <w:t>1日内向对方通报，以减轻可能给对方造成的损失，在取</w:t>
      </w:r>
      <w:r>
        <w:rPr>
          <w:rFonts w:hint="eastAsia" w:asciiTheme="minorEastAsia" w:hAnsiTheme="minorEastAsia" w:eastAsiaTheme="minorEastAsia" w:cstheme="minorEastAsia"/>
          <w:spacing w:val="3"/>
          <w:sz w:val="24"/>
          <w:szCs w:val="24"/>
        </w:rPr>
        <w:t>得有关机构的不可抗力</w:t>
      </w:r>
      <w:r>
        <w:rPr>
          <w:rFonts w:hint="eastAsia" w:asciiTheme="minorEastAsia" w:hAnsiTheme="minorEastAsia" w:eastAsiaTheme="minorEastAsia" w:cstheme="minorEastAsia"/>
          <w:spacing w:val="4"/>
          <w:sz w:val="24"/>
          <w:szCs w:val="24"/>
        </w:rPr>
        <w:t>证明或双方谅解确认后，允许延期履行或修订合同，并</w:t>
      </w:r>
      <w:r>
        <w:rPr>
          <w:rFonts w:hint="eastAsia" w:asciiTheme="minorEastAsia" w:hAnsiTheme="minorEastAsia" w:eastAsiaTheme="minorEastAsia" w:cstheme="minorEastAsia"/>
          <w:spacing w:val="3"/>
          <w:sz w:val="24"/>
          <w:szCs w:val="24"/>
        </w:rPr>
        <w:t>可根据具体情况部分或</w:t>
      </w:r>
      <w:r>
        <w:rPr>
          <w:rFonts w:hint="eastAsia" w:asciiTheme="minorEastAsia" w:hAnsiTheme="minorEastAsia" w:eastAsiaTheme="minorEastAsia" w:cstheme="minorEastAsia"/>
          <w:spacing w:val="1"/>
          <w:sz w:val="24"/>
          <w:szCs w:val="24"/>
        </w:rPr>
        <w:t>全部免于承担违约责任。</w:t>
      </w:r>
    </w:p>
    <w:p w14:paraId="3698DD4B">
      <w:pPr>
        <w:pStyle w:val="15"/>
        <w:keepNext w:val="0"/>
        <w:keepLines w:val="0"/>
        <w:pageBreakBefore w:val="0"/>
        <w:widowControl w:val="0"/>
        <w:kinsoku/>
        <w:wordWrap/>
        <w:overflowPunct/>
        <w:topLinePunct w:val="0"/>
        <w:autoSpaceDE/>
        <w:autoSpaceDN/>
        <w:bidi w:val="0"/>
        <w:adjustRightInd/>
        <w:snapToGrid/>
        <w:spacing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第十四条</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b/>
          <w:bCs/>
          <w:spacing w:val="-1"/>
          <w:sz w:val="24"/>
          <w:szCs w:val="24"/>
        </w:rPr>
        <w:t>合同的终止</w:t>
      </w:r>
    </w:p>
    <w:p w14:paraId="4F9C4FC8">
      <w:pPr>
        <w:pStyle w:val="15"/>
        <w:keepNext w:val="0"/>
        <w:keepLines w:val="0"/>
        <w:pageBreakBefore w:val="0"/>
        <w:widowControl w:val="0"/>
        <w:kinsoku/>
        <w:wordWrap/>
        <w:overflowPunct/>
        <w:topLinePunct w:val="0"/>
        <w:autoSpaceDE/>
        <w:autoSpaceDN/>
        <w:bidi w:val="0"/>
        <w:adjustRightInd/>
        <w:snapToGrid/>
        <w:spacing w:before="192" w:line="240" w:lineRule="auto"/>
        <w:ind w:left="46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1.本合同期满，双方未续签合同的；</w:t>
      </w:r>
    </w:p>
    <w:p w14:paraId="26FF3781">
      <w:pPr>
        <w:pStyle w:val="15"/>
        <w:keepNext w:val="0"/>
        <w:keepLines w:val="0"/>
        <w:pageBreakBefore w:val="0"/>
        <w:widowControl w:val="0"/>
        <w:kinsoku/>
        <w:wordWrap/>
        <w:overflowPunct/>
        <w:topLinePunct w:val="0"/>
        <w:autoSpaceDE/>
        <w:autoSpaceDN/>
        <w:bidi w:val="0"/>
        <w:adjustRightInd/>
        <w:snapToGrid/>
        <w:spacing w:before="193" w:line="240" w:lineRule="auto"/>
        <w:ind w:left="45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2.乙方服务能力丧失，致使本合同服务无法正常提供的；</w:t>
      </w:r>
    </w:p>
    <w:p w14:paraId="6B7C64BA">
      <w:pPr>
        <w:pStyle w:val="15"/>
        <w:keepNext w:val="0"/>
        <w:keepLines w:val="0"/>
        <w:pageBreakBefore w:val="0"/>
        <w:widowControl w:val="0"/>
        <w:kinsoku/>
        <w:wordWrap/>
        <w:overflowPunct/>
        <w:topLinePunct w:val="0"/>
        <w:autoSpaceDE/>
        <w:autoSpaceDN/>
        <w:bidi w:val="0"/>
        <w:adjustRightInd/>
        <w:snapToGrid/>
        <w:spacing w:before="197" w:line="240" w:lineRule="auto"/>
        <w:ind w:left="49" w:right="18" w:firstLine="406"/>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3.在履行合同过程中，发现乙方已不符合承接主体应具备的条件，造成合</w:t>
      </w:r>
      <w:r>
        <w:rPr>
          <w:rFonts w:hint="eastAsia" w:asciiTheme="minorEastAsia" w:hAnsiTheme="minorEastAsia" w:eastAsiaTheme="minorEastAsia" w:cstheme="minorEastAsia"/>
          <w:spacing w:val="-3"/>
          <w:sz w:val="24"/>
          <w:szCs w:val="24"/>
        </w:rPr>
        <w:t>同无法履行的；</w:t>
      </w:r>
    </w:p>
    <w:p w14:paraId="3F468F46">
      <w:pPr>
        <w:pStyle w:val="15"/>
        <w:keepNext w:val="0"/>
        <w:keepLines w:val="0"/>
        <w:pageBreakBefore w:val="0"/>
        <w:widowControl w:val="0"/>
        <w:kinsoku/>
        <w:wordWrap/>
        <w:overflowPunct/>
        <w:topLinePunct w:val="0"/>
        <w:autoSpaceDE/>
        <w:autoSpaceDN/>
        <w:bidi w:val="0"/>
        <w:adjustRightInd/>
        <w:snapToGrid/>
        <w:spacing w:before="1" w:line="240" w:lineRule="auto"/>
        <w:ind w:left="44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4.受国家政策或法律法规变动影响，经双方协商终止本合同的。</w:t>
      </w:r>
    </w:p>
    <w:p w14:paraId="5428AD05">
      <w:pPr>
        <w:pStyle w:val="15"/>
        <w:keepNext w:val="0"/>
        <w:keepLines w:val="0"/>
        <w:pageBreakBefore w:val="0"/>
        <w:widowControl w:val="0"/>
        <w:kinsoku/>
        <w:wordWrap/>
        <w:overflowPunct/>
        <w:topLinePunct w:val="0"/>
        <w:autoSpaceDE/>
        <w:autoSpaceDN/>
        <w:bidi w:val="0"/>
        <w:adjustRightInd/>
        <w:snapToGrid/>
        <w:spacing w:before="193"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第十五条</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b/>
          <w:bCs/>
          <w:sz w:val="24"/>
          <w:szCs w:val="24"/>
        </w:rPr>
        <w:t>税费发生与履行</w:t>
      </w:r>
    </w:p>
    <w:p w14:paraId="45F3EC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4"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
          <w:sz w:val="24"/>
          <w:szCs w:val="24"/>
        </w:rPr>
        <w:t>本合同有关的一切税费均由乙方负担。</w:t>
      </w:r>
    </w:p>
    <w:p w14:paraId="65FE0F01">
      <w:pPr>
        <w:pStyle w:val="15"/>
        <w:keepNext w:val="0"/>
        <w:keepLines w:val="0"/>
        <w:pageBreakBefore w:val="0"/>
        <w:widowControl w:val="0"/>
        <w:kinsoku/>
        <w:wordWrap/>
        <w:overflowPunct/>
        <w:topLinePunct w:val="0"/>
        <w:autoSpaceDE/>
        <w:autoSpaceDN/>
        <w:bidi w:val="0"/>
        <w:adjustRightInd/>
        <w:snapToGrid/>
        <w:spacing w:before="197"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第十六条</w:t>
      </w:r>
      <w:r>
        <w:rPr>
          <w:rFonts w:hint="eastAsia" w:asciiTheme="minorEastAsia" w:hAnsiTheme="minorEastAsia" w:eastAsiaTheme="minorEastAsia" w:cstheme="minorEastAsia"/>
          <w:spacing w:val="20"/>
          <w:sz w:val="24"/>
          <w:szCs w:val="24"/>
        </w:rPr>
        <w:t xml:space="preserve"> </w:t>
      </w:r>
      <w:r>
        <w:rPr>
          <w:rFonts w:hint="eastAsia" w:asciiTheme="minorEastAsia" w:hAnsiTheme="minorEastAsia" w:eastAsiaTheme="minorEastAsia" w:cstheme="minorEastAsia"/>
          <w:b/>
          <w:bCs/>
          <w:spacing w:val="-4"/>
          <w:sz w:val="24"/>
          <w:szCs w:val="24"/>
        </w:rPr>
        <w:t>其他</w:t>
      </w:r>
    </w:p>
    <w:p w14:paraId="5182448C">
      <w:pPr>
        <w:pStyle w:val="15"/>
        <w:keepNext w:val="0"/>
        <w:keepLines w:val="0"/>
        <w:pageBreakBefore w:val="0"/>
        <w:widowControl w:val="0"/>
        <w:kinsoku/>
        <w:wordWrap/>
        <w:overflowPunct/>
        <w:topLinePunct w:val="0"/>
        <w:autoSpaceDE/>
        <w:autoSpaceDN/>
        <w:bidi w:val="0"/>
        <w:adjustRightInd/>
        <w:snapToGrid/>
        <w:spacing w:before="193" w:line="240" w:lineRule="auto"/>
        <w:ind w:left="30" w:right="18" w:firstLine="437"/>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1.本合同所有附件及相关招标文件均为本合同的有效组成部分，与本合同</w:t>
      </w:r>
      <w:r>
        <w:rPr>
          <w:rFonts w:hint="eastAsia" w:asciiTheme="minorEastAsia" w:hAnsiTheme="minorEastAsia" w:eastAsiaTheme="minorEastAsia" w:cstheme="minorEastAsia"/>
          <w:spacing w:val="2"/>
          <w:sz w:val="24"/>
          <w:szCs w:val="24"/>
        </w:rPr>
        <w:t>具有同等法律效力。若合同附件与本合同存在不一致的，则以本合同为准。</w:t>
      </w:r>
    </w:p>
    <w:p w14:paraId="74866228">
      <w:pPr>
        <w:pStyle w:val="15"/>
        <w:keepNext w:val="0"/>
        <w:keepLines w:val="0"/>
        <w:pageBreakBefore w:val="0"/>
        <w:widowControl w:val="0"/>
        <w:kinsoku/>
        <w:wordWrap/>
        <w:overflowPunct/>
        <w:topLinePunct w:val="0"/>
        <w:autoSpaceDE/>
        <w:autoSpaceDN/>
        <w:bidi w:val="0"/>
        <w:adjustRightInd/>
        <w:snapToGrid/>
        <w:spacing w:before="78" w:line="240" w:lineRule="auto"/>
        <w:ind w:left="26" w:firstLine="50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2.在履行本合同过程中，所有经双方签字或盖章确认的文件（包括会议纪</w:t>
      </w:r>
      <w:r>
        <w:rPr>
          <w:rFonts w:hint="eastAsia" w:asciiTheme="minorEastAsia" w:hAnsiTheme="minorEastAsia" w:eastAsiaTheme="minorEastAsia" w:cstheme="minorEastAsia"/>
          <w:spacing w:val="2"/>
          <w:sz w:val="24"/>
          <w:szCs w:val="24"/>
        </w:rPr>
        <w:t>要、补充协议、往来信函）即成为本合同的有效组成部分。</w:t>
      </w:r>
    </w:p>
    <w:p w14:paraId="3AE3486E">
      <w:pPr>
        <w:pStyle w:val="15"/>
        <w:keepNext w:val="0"/>
        <w:keepLines w:val="0"/>
        <w:pageBreakBefore w:val="0"/>
        <w:widowControl w:val="0"/>
        <w:kinsoku/>
        <w:wordWrap/>
        <w:overflowPunct/>
        <w:topLinePunct w:val="0"/>
        <w:autoSpaceDE/>
        <w:autoSpaceDN/>
        <w:bidi w:val="0"/>
        <w:adjustRightInd/>
        <w:snapToGrid/>
        <w:spacing w:before="196" w:line="240" w:lineRule="auto"/>
        <w:ind w:left="67" w:right="18" w:firstLine="38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3.如一方地址、电话、传真号码及乙方银行账户信息有变更，应在变更当</w:t>
      </w:r>
      <w:r>
        <w:rPr>
          <w:rFonts w:hint="eastAsia" w:asciiTheme="minorEastAsia" w:hAnsiTheme="minorEastAsia" w:eastAsiaTheme="minorEastAsia" w:cstheme="minorEastAsia"/>
          <w:spacing w:val="-1"/>
          <w:sz w:val="24"/>
          <w:szCs w:val="24"/>
        </w:rPr>
        <w:t>日书面通知对方，否则，应承担相应责任。</w:t>
      </w:r>
    </w:p>
    <w:p w14:paraId="49933E4E">
      <w:pPr>
        <w:pStyle w:val="15"/>
        <w:keepNext w:val="0"/>
        <w:keepLines w:val="0"/>
        <w:pageBreakBefore w:val="0"/>
        <w:widowControl w:val="0"/>
        <w:kinsoku/>
        <w:wordWrap/>
        <w:overflowPunct/>
        <w:topLinePunct w:val="0"/>
        <w:autoSpaceDE/>
        <w:autoSpaceDN/>
        <w:bidi w:val="0"/>
        <w:adjustRightInd/>
        <w:snapToGrid/>
        <w:spacing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第十七条</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b/>
          <w:bCs/>
          <w:spacing w:val="-1"/>
          <w:sz w:val="24"/>
          <w:szCs w:val="24"/>
        </w:rPr>
        <w:t>补充条款</w:t>
      </w:r>
    </w:p>
    <w:p w14:paraId="3A6E8B19">
      <w:pPr>
        <w:pStyle w:val="15"/>
        <w:keepNext w:val="0"/>
        <w:keepLines w:val="0"/>
        <w:pageBreakBefore w:val="0"/>
        <w:widowControl w:val="0"/>
        <w:kinsoku/>
        <w:wordWrap/>
        <w:overflowPunct/>
        <w:topLinePunct w:val="0"/>
        <w:autoSpaceDE/>
        <w:autoSpaceDN/>
        <w:bidi w:val="0"/>
        <w:adjustRightInd/>
        <w:snapToGrid/>
        <w:spacing w:before="195" w:line="240" w:lineRule="auto"/>
        <w:ind w:left="46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1.谅解与备忘条款：</w:t>
      </w:r>
    </w:p>
    <w:p w14:paraId="6810BC5F">
      <w:pPr>
        <w:pStyle w:val="15"/>
        <w:keepNext w:val="0"/>
        <w:keepLines w:val="0"/>
        <w:pageBreakBefore w:val="0"/>
        <w:widowControl w:val="0"/>
        <w:kinsoku/>
        <w:wordWrap/>
        <w:overflowPunct/>
        <w:topLinePunct w:val="0"/>
        <w:autoSpaceDE/>
        <w:autoSpaceDN/>
        <w:bidi w:val="0"/>
        <w:adjustRightInd/>
        <w:snapToGrid/>
        <w:spacing w:before="193" w:line="240" w:lineRule="auto"/>
        <w:ind w:left="45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2.双方不可撤销的责任与义务：</w:t>
      </w:r>
    </w:p>
    <w:p w14:paraId="092E64C3">
      <w:pPr>
        <w:pStyle w:val="15"/>
        <w:keepNext w:val="0"/>
        <w:keepLines w:val="0"/>
        <w:pageBreakBefore w:val="0"/>
        <w:widowControl w:val="0"/>
        <w:kinsoku/>
        <w:wordWrap/>
        <w:overflowPunct/>
        <w:topLinePunct w:val="0"/>
        <w:autoSpaceDE/>
        <w:autoSpaceDN/>
        <w:bidi w:val="0"/>
        <w:adjustRightInd/>
        <w:snapToGrid/>
        <w:spacing w:before="195" w:line="240" w:lineRule="auto"/>
        <w:ind w:left="45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3.双方约定以下补充条款：</w:t>
      </w:r>
    </w:p>
    <w:p w14:paraId="7F1A755E">
      <w:pPr>
        <w:pStyle w:val="15"/>
        <w:keepNext w:val="0"/>
        <w:keepLines w:val="0"/>
        <w:pageBreakBefore w:val="0"/>
        <w:widowControl w:val="0"/>
        <w:kinsoku/>
        <w:wordWrap/>
        <w:overflowPunct/>
        <w:topLinePunct w:val="0"/>
        <w:autoSpaceDE/>
        <w:autoSpaceDN/>
        <w:bidi w:val="0"/>
        <w:adjustRightInd/>
        <w:snapToGrid/>
        <w:spacing w:before="193"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第十八条</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b/>
          <w:bCs/>
          <w:spacing w:val="-1"/>
          <w:sz w:val="24"/>
          <w:szCs w:val="24"/>
        </w:rPr>
        <w:t>合同生效</w:t>
      </w:r>
    </w:p>
    <w:p w14:paraId="7525DC40">
      <w:pPr>
        <w:pStyle w:val="15"/>
        <w:keepNext w:val="0"/>
        <w:keepLines w:val="0"/>
        <w:pageBreakBefore w:val="0"/>
        <w:widowControl w:val="0"/>
        <w:kinsoku/>
        <w:wordWrap/>
        <w:overflowPunct/>
        <w:topLinePunct w:val="0"/>
        <w:autoSpaceDE/>
        <w:autoSpaceDN/>
        <w:bidi w:val="0"/>
        <w:adjustRightInd/>
        <w:snapToGrid/>
        <w:spacing w:before="192" w:line="240" w:lineRule="auto"/>
        <w:ind w:left="46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1.本合同订立时间：</w:t>
      </w:r>
      <w:r>
        <w:rPr>
          <w:rFonts w:hint="eastAsia" w:asciiTheme="minorEastAsia" w:hAnsiTheme="minorEastAsia" w:eastAsiaTheme="minorEastAsia" w:cstheme="minorEastAsia"/>
          <w:spacing w:val="49"/>
          <w:sz w:val="24"/>
          <w:szCs w:val="24"/>
          <w:u w:val="single" w:color="auto"/>
        </w:rPr>
        <w:t xml:space="preserve">  </w:t>
      </w:r>
      <w:r>
        <w:rPr>
          <w:rFonts w:hint="eastAsia" w:asciiTheme="minorEastAsia" w:hAnsiTheme="minorEastAsia" w:eastAsiaTheme="minorEastAsia" w:cstheme="minorEastAsia"/>
          <w:spacing w:val="-110"/>
          <w:sz w:val="24"/>
          <w:szCs w:val="24"/>
        </w:rPr>
        <w:t xml:space="preserve"> </w:t>
      </w:r>
      <w:r>
        <w:rPr>
          <w:rFonts w:hint="eastAsia" w:asciiTheme="minorEastAsia" w:hAnsiTheme="minorEastAsia" w:eastAsiaTheme="minorEastAsia" w:cstheme="minorEastAsia"/>
          <w:spacing w:val="-4"/>
          <w:sz w:val="24"/>
          <w:szCs w:val="24"/>
        </w:rPr>
        <w:t xml:space="preserve">年 </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104"/>
          <w:sz w:val="24"/>
          <w:szCs w:val="24"/>
        </w:rPr>
        <w:t xml:space="preserve"> </w:t>
      </w:r>
      <w:r>
        <w:rPr>
          <w:rFonts w:hint="eastAsia" w:asciiTheme="minorEastAsia" w:hAnsiTheme="minorEastAsia" w:eastAsiaTheme="minorEastAsia" w:cstheme="minorEastAsia"/>
          <w:spacing w:val="-4"/>
          <w:sz w:val="24"/>
          <w:szCs w:val="24"/>
        </w:rPr>
        <w:t xml:space="preserve">月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4"/>
          <w:sz w:val="24"/>
          <w:szCs w:val="24"/>
        </w:rPr>
        <w:t>日。</w:t>
      </w:r>
    </w:p>
    <w:p w14:paraId="2B42C5A2">
      <w:pPr>
        <w:pStyle w:val="15"/>
        <w:keepNext w:val="0"/>
        <w:keepLines w:val="0"/>
        <w:pageBreakBefore w:val="0"/>
        <w:widowControl w:val="0"/>
        <w:kinsoku/>
        <w:wordWrap/>
        <w:overflowPunct/>
        <w:topLinePunct w:val="0"/>
        <w:autoSpaceDE/>
        <w:autoSpaceDN/>
        <w:bidi w:val="0"/>
        <w:adjustRightInd/>
        <w:snapToGrid/>
        <w:spacing w:before="195" w:line="240" w:lineRule="auto"/>
        <w:ind w:left="45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2.本合同订立地点：</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
          <w:sz w:val="24"/>
          <w:szCs w:val="24"/>
        </w:rPr>
        <w:t>。</w:t>
      </w:r>
    </w:p>
    <w:p w14:paraId="72CE3E0E">
      <w:pPr>
        <w:pStyle w:val="15"/>
        <w:keepNext w:val="0"/>
        <w:keepLines w:val="0"/>
        <w:pageBreakBefore w:val="0"/>
        <w:widowControl w:val="0"/>
        <w:kinsoku/>
        <w:wordWrap/>
        <w:overflowPunct/>
        <w:topLinePunct w:val="0"/>
        <w:autoSpaceDE/>
        <w:autoSpaceDN/>
        <w:bidi w:val="0"/>
        <w:adjustRightInd/>
        <w:snapToGrid/>
        <w:spacing w:before="193" w:line="240" w:lineRule="auto"/>
        <w:ind w:left="45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3.本合同在甲、乙双方法人代表或其授权代表签章之日起生</w:t>
      </w:r>
      <w:r>
        <w:rPr>
          <w:rFonts w:hint="eastAsia" w:asciiTheme="minorEastAsia" w:hAnsiTheme="minorEastAsia" w:eastAsiaTheme="minorEastAsia" w:cstheme="minorEastAsia"/>
          <w:spacing w:val="1"/>
          <w:sz w:val="24"/>
          <w:szCs w:val="24"/>
        </w:rPr>
        <w:t>效。</w:t>
      </w:r>
    </w:p>
    <w:p w14:paraId="731AE104">
      <w:pPr>
        <w:pStyle w:val="15"/>
        <w:keepNext w:val="0"/>
        <w:keepLines w:val="0"/>
        <w:pageBreakBefore w:val="0"/>
        <w:widowControl w:val="0"/>
        <w:kinsoku/>
        <w:wordWrap/>
        <w:overflowPunct/>
        <w:topLinePunct w:val="0"/>
        <w:autoSpaceDE/>
        <w:autoSpaceDN/>
        <w:bidi w:val="0"/>
        <w:adjustRightInd/>
        <w:snapToGrid/>
        <w:spacing w:before="193" w:line="240" w:lineRule="auto"/>
        <w:ind w:left="44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4.本合同一式</w:t>
      </w:r>
      <w:r>
        <w:rPr>
          <w:rFonts w:hint="eastAsia" w:asciiTheme="minorEastAsia" w:hAnsiTheme="minorEastAsia" w:eastAsiaTheme="minorEastAsia" w:cstheme="minorEastAsia"/>
          <w:spacing w:val="-117"/>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09"/>
          <w:sz w:val="24"/>
          <w:szCs w:val="24"/>
        </w:rPr>
        <w:t xml:space="preserve"> </w:t>
      </w:r>
      <w:r>
        <w:rPr>
          <w:rFonts w:hint="eastAsia" w:asciiTheme="minorEastAsia" w:hAnsiTheme="minorEastAsia" w:eastAsiaTheme="minorEastAsia" w:cstheme="minorEastAsia"/>
          <w:spacing w:val="1"/>
          <w:sz w:val="24"/>
          <w:szCs w:val="24"/>
        </w:rPr>
        <w:t>份，具有同等法律效力，甲方执</w:t>
      </w:r>
      <w:r>
        <w:rPr>
          <w:rFonts w:hint="eastAsia" w:asciiTheme="minorEastAsia" w:hAnsiTheme="minorEastAsia" w:eastAsiaTheme="minorEastAsia" w:cstheme="minorEastAsia"/>
          <w:spacing w:val="-118"/>
          <w:sz w:val="24"/>
          <w:szCs w:val="24"/>
        </w:rPr>
        <w:t xml:space="preserve"> </w:t>
      </w:r>
      <w:r>
        <w:rPr>
          <w:rFonts w:hint="eastAsia" w:asciiTheme="minorEastAsia" w:hAnsiTheme="minorEastAsia" w:eastAsiaTheme="minorEastAsia" w:cstheme="minorEastAsia"/>
          <w:spacing w:val="115"/>
          <w:sz w:val="24"/>
          <w:szCs w:val="24"/>
          <w:u w:val="single" w:color="auto"/>
        </w:rPr>
        <w:t xml:space="preserve"> </w:t>
      </w:r>
      <w:r>
        <w:rPr>
          <w:rFonts w:hint="eastAsia" w:asciiTheme="minorEastAsia" w:hAnsiTheme="minorEastAsia" w:eastAsiaTheme="minorEastAsia" w:cstheme="minorEastAsia"/>
          <w:spacing w:val="-110"/>
          <w:sz w:val="24"/>
          <w:szCs w:val="24"/>
        </w:rPr>
        <w:t xml:space="preserve"> </w:t>
      </w:r>
      <w:r>
        <w:rPr>
          <w:rFonts w:hint="eastAsia" w:asciiTheme="minorEastAsia" w:hAnsiTheme="minorEastAsia" w:eastAsiaTheme="minorEastAsia" w:cstheme="minorEastAsia"/>
          <w:spacing w:val="1"/>
          <w:sz w:val="24"/>
          <w:szCs w:val="24"/>
        </w:rPr>
        <w:t>份，乙</w:t>
      </w:r>
      <w:r>
        <w:rPr>
          <w:rFonts w:hint="eastAsia" w:asciiTheme="minorEastAsia" w:hAnsiTheme="minorEastAsia" w:eastAsiaTheme="minorEastAsia" w:cstheme="minorEastAsia"/>
          <w:sz w:val="24"/>
          <w:szCs w:val="24"/>
        </w:rPr>
        <w:t>方执</w:t>
      </w:r>
      <w:r>
        <w:rPr>
          <w:rFonts w:hint="eastAsia" w:asciiTheme="minorEastAsia" w:hAnsiTheme="minorEastAsia" w:eastAsiaTheme="minorEastAsia" w:cstheme="minorEastAsia"/>
          <w:spacing w:val="-118"/>
          <w:sz w:val="24"/>
          <w:szCs w:val="24"/>
        </w:rPr>
        <w:t xml:space="preserve"> </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110"/>
          <w:sz w:val="24"/>
          <w:szCs w:val="24"/>
        </w:rPr>
        <w:t xml:space="preserve"> </w:t>
      </w:r>
      <w:r>
        <w:rPr>
          <w:rFonts w:hint="eastAsia" w:asciiTheme="minorEastAsia" w:hAnsiTheme="minorEastAsia" w:eastAsiaTheme="minorEastAsia" w:cstheme="minorEastAsia"/>
          <w:sz w:val="24"/>
          <w:szCs w:val="24"/>
        </w:rPr>
        <w:t>份。</w:t>
      </w:r>
    </w:p>
    <w:p w14:paraId="4B62FA9E">
      <w:pPr>
        <w:pStyle w:val="15"/>
        <w:keepNext w:val="0"/>
        <w:keepLines w:val="0"/>
        <w:pageBreakBefore w:val="0"/>
        <w:widowControl w:val="0"/>
        <w:kinsoku/>
        <w:wordWrap/>
        <w:overflowPunct/>
        <w:topLinePunct w:val="0"/>
        <w:autoSpaceDE/>
        <w:autoSpaceDN/>
        <w:bidi w:val="0"/>
        <w:adjustRightInd/>
        <w:snapToGrid/>
        <w:spacing w:before="195"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第十九条</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b/>
          <w:bCs/>
          <w:spacing w:val="1"/>
          <w:sz w:val="24"/>
          <w:szCs w:val="24"/>
        </w:rPr>
        <w:t>合同附件</w:t>
      </w:r>
      <w:r>
        <w:rPr>
          <w:rFonts w:hint="eastAsia" w:asciiTheme="minorEastAsia" w:hAnsiTheme="minorEastAsia" w:eastAsiaTheme="minorEastAsia" w:cstheme="minorEastAsia"/>
          <w:spacing w:val="1"/>
          <w:sz w:val="24"/>
          <w:szCs w:val="24"/>
        </w:rPr>
        <w:t>（若有附件应注明附件名称）</w:t>
      </w:r>
    </w:p>
    <w:p w14:paraId="121E77C2">
      <w:pPr>
        <w:pStyle w:val="15"/>
        <w:keepNext w:val="0"/>
        <w:keepLines w:val="0"/>
        <w:pageBreakBefore w:val="0"/>
        <w:widowControl w:val="0"/>
        <w:kinsoku/>
        <w:wordWrap/>
        <w:overflowPunct/>
        <w:topLinePunct w:val="0"/>
        <w:autoSpaceDE/>
        <w:autoSpaceDN/>
        <w:bidi w:val="0"/>
        <w:adjustRightInd/>
        <w:snapToGrid/>
        <w:spacing w:before="194" w:line="240" w:lineRule="auto"/>
        <w:ind w:left="46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1.</w:t>
      </w:r>
    </w:p>
    <w:p w14:paraId="214F8B46">
      <w:pPr>
        <w:pStyle w:val="15"/>
        <w:keepNext w:val="0"/>
        <w:keepLines w:val="0"/>
        <w:pageBreakBefore w:val="0"/>
        <w:widowControl w:val="0"/>
        <w:kinsoku/>
        <w:wordWrap/>
        <w:overflowPunct/>
        <w:topLinePunct w:val="0"/>
        <w:autoSpaceDE/>
        <w:autoSpaceDN/>
        <w:bidi w:val="0"/>
        <w:adjustRightInd/>
        <w:snapToGrid/>
        <w:spacing w:before="169" w:line="240" w:lineRule="auto"/>
        <w:ind w:left="45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p>
    <w:p w14:paraId="184C841C">
      <w:pPr>
        <w:pStyle w:val="15"/>
        <w:keepNext w:val="0"/>
        <w:keepLines w:val="0"/>
        <w:pageBreakBefore w:val="0"/>
        <w:widowControl w:val="0"/>
        <w:kinsoku/>
        <w:wordWrap/>
        <w:overflowPunct/>
        <w:topLinePunct w:val="0"/>
        <w:autoSpaceDE/>
        <w:autoSpaceDN/>
        <w:bidi w:val="0"/>
        <w:adjustRightInd/>
        <w:snapToGrid/>
        <w:spacing w:before="166" w:line="240" w:lineRule="auto"/>
        <w:ind w:left="481"/>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甲方（盖章）</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pacing w:val="-5"/>
          <w:sz w:val="24"/>
          <w:szCs w:val="24"/>
        </w:rPr>
        <w:t>乙方（盖章）</w:t>
      </w:r>
    </w:p>
    <w:p w14:paraId="6453A5EE">
      <w:pPr>
        <w:pStyle w:val="15"/>
        <w:keepNext w:val="0"/>
        <w:keepLines w:val="0"/>
        <w:pageBreakBefore w:val="0"/>
        <w:widowControl w:val="0"/>
        <w:kinsoku/>
        <w:wordWrap/>
        <w:overflowPunct/>
        <w:topLinePunct w:val="0"/>
        <w:autoSpaceDE/>
        <w:autoSpaceDN/>
        <w:bidi w:val="0"/>
        <w:adjustRightInd/>
        <w:snapToGrid/>
        <w:spacing w:before="194" w:line="240" w:lineRule="auto"/>
        <w:ind w:left="45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单位名称：</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spacing w:val="-1"/>
          <w:sz w:val="24"/>
          <w:szCs w:val="24"/>
        </w:rPr>
        <w:t>单位名称：</w:t>
      </w:r>
    </w:p>
    <w:p w14:paraId="42F64228">
      <w:pPr>
        <w:pStyle w:val="15"/>
        <w:keepNext w:val="0"/>
        <w:keepLines w:val="0"/>
        <w:pageBreakBefore w:val="0"/>
        <w:widowControl w:val="0"/>
        <w:kinsoku/>
        <w:wordWrap/>
        <w:overflowPunct/>
        <w:topLinePunct w:val="0"/>
        <w:autoSpaceDE/>
        <w:autoSpaceDN/>
        <w:bidi w:val="0"/>
        <w:adjustRightInd/>
        <w:snapToGrid/>
        <w:spacing w:before="78" w:line="240" w:lineRule="auto"/>
        <w:ind w:left="451"/>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法定代表人或委托代理人               法定代表人或委</w:t>
      </w:r>
      <w:r>
        <w:rPr>
          <w:rFonts w:hint="eastAsia" w:asciiTheme="minorEastAsia" w:hAnsiTheme="minorEastAsia" w:eastAsiaTheme="minorEastAsia" w:cstheme="minorEastAsia"/>
          <w:spacing w:val="1"/>
          <w:sz w:val="24"/>
          <w:szCs w:val="24"/>
        </w:rPr>
        <w:t>托代理人</w:t>
      </w:r>
    </w:p>
    <w:p w14:paraId="7A90216E">
      <w:pPr>
        <w:pStyle w:val="15"/>
        <w:keepNext w:val="0"/>
        <w:keepLines w:val="0"/>
        <w:pageBreakBefore w:val="0"/>
        <w:widowControl w:val="0"/>
        <w:kinsoku/>
        <w:wordWrap/>
        <w:overflowPunct/>
        <w:topLinePunct w:val="0"/>
        <w:autoSpaceDE/>
        <w:autoSpaceDN/>
        <w:bidi w:val="0"/>
        <w:adjustRightInd/>
        <w:snapToGrid/>
        <w:spacing w:before="193" w:line="240" w:lineRule="auto"/>
        <w:ind w:left="46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（签字</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4"/>
          <w:sz w:val="24"/>
          <w:szCs w:val="24"/>
        </w:rPr>
        <w:t>签字</w:t>
      </w:r>
      <w:r>
        <w:rPr>
          <w:rFonts w:hint="eastAsia" w:asciiTheme="minorEastAsia" w:hAnsiTheme="minorEastAsia" w:eastAsiaTheme="minorEastAsia" w:cstheme="minorEastAsia"/>
          <w:spacing w:val="-5"/>
          <w:sz w:val="24"/>
          <w:szCs w:val="24"/>
        </w:rPr>
        <w:t>）：</w:t>
      </w:r>
    </w:p>
    <w:p w14:paraId="02B0B66A">
      <w:pPr>
        <w:pStyle w:val="15"/>
        <w:keepNext w:val="0"/>
        <w:keepLines w:val="0"/>
        <w:pageBreakBefore w:val="0"/>
        <w:widowControl w:val="0"/>
        <w:kinsoku/>
        <w:wordWrap/>
        <w:overflowPunct/>
        <w:topLinePunct w:val="0"/>
        <w:autoSpaceDE/>
        <w:autoSpaceDN/>
        <w:bidi w:val="0"/>
        <w:adjustRightInd/>
        <w:snapToGrid/>
        <w:spacing w:before="195" w:line="240" w:lineRule="auto"/>
        <w:ind w:left="4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地址：</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3"/>
          <w:sz w:val="24"/>
          <w:szCs w:val="24"/>
        </w:rPr>
        <w:t>地址：</w:t>
      </w:r>
    </w:p>
    <w:p w14:paraId="3C27C06F">
      <w:pPr>
        <w:pStyle w:val="15"/>
        <w:keepNext w:val="0"/>
        <w:keepLines w:val="0"/>
        <w:pageBreakBefore w:val="0"/>
        <w:widowControl w:val="0"/>
        <w:kinsoku/>
        <w:wordWrap/>
        <w:overflowPunct/>
        <w:topLinePunct w:val="0"/>
        <w:autoSpaceDE/>
        <w:autoSpaceDN/>
        <w:bidi w:val="0"/>
        <w:adjustRightInd/>
        <w:snapToGrid/>
        <w:spacing w:before="181" w:line="240" w:lineRule="auto"/>
        <w:ind w:left="47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 xml:space="preserve">电话：                               </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7"/>
          <w:sz w:val="24"/>
          <w:szCs w:val="24"/>
        </w:rPr>
        <w:t xml:space="preserve"> 电话：</w:t>
      </w:r>
    </w:p>
    <w:p w14:paraId="24CEACD3">
      <w:pPr>
        <w:pStyle w:val="15"/>
        <w:keepNext w:val="0"/>
        <w:keepLines w:val="0"/>
        <w:pageBreakBefore w:val="0"/>
        <w:widowControl w:val="0"/>
        <w:kinsoku/>
        <w:wordWrap/>
        <w:overflowPunct/>
        <w:topLinePunct w:val="0"/>
        <w:autoSpaceDE/>
        <w:autoSpaceDN/>
        <w:bidi w:val="0"/>
        <w:adjustRightInd/>
        <w:snapToGrid/>
        <w:spacing w:before="191" w:line="240" w:lineRule="auto"/>
        <w:ind w:left="44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传真：</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2"/>
          <w:sz w:val="24"/>
          <w:szCs w:val="24"/>
        </w:rPr>
        <w:t>传真：</w:t>
      </w:r>
    </w:p>
    <w:p w14:paraId="1DD50914">
      <w:pPr>
        <w:pStyle w:val="13"/>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3"/>
          <w:sz w:val="24"/>
          <w:szCs w:val="24"/>
        </w:rPr>
        <w:t>日期： 年</w:t>
      </w:r>
      <w:r>
        <w:rPr>
          <w:rFonts w:hint="eastAsia" w:asciiTheme="minorEastAsia" w:hAnsiTheme="minorEastAsia" w:eastAsiaTheme="minorEastAsia" w:cstheme="minorEastAsia"/>
          <w:spacing w:val="86"/>
          <w:sz w:val="24"/>
          <w:szCs w:val="24"/>
        </w:rPr>
        <w:t xml:space="preserve"> </w:t>
      </w:r>
      <w:r>
        <w:rPr>
          <w:rFonts w:hint="eastAsia" w:asciiTheme="minorEastAsia" w:hAnsiTheme="minorEastAsia" w:eastAsiaTheme="minorEastAsia" w:cstheme="minorEastAsia"/>
          <w:spacing w:val="-13"/>
          <w:sz w:val="24"/>
          <w:szCs w:val="24"/>
        </w:rPr>
        <w:t>月  日</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3"/>
          <w:sz w:val="24"/>
          <w:szCs w:val="24"/>
        </w:rPr>
        <w:t>日期：  年</w:t>
      </w:r>
      <w:r>
        <w:rPr>
          <w:rFonts w:hint="eastAsia" w:asciiTheme="minorEastAsia" w:hAnsiTheme="minorEastAsia" w:eastAsiaTheme="minorEastAsia" w:cstheme="minorEastAsia"/>
          <w:spacing w:val="76"/>
          <w:sz w:val="24"/>
          <w:szCs w:val="24"/>
        </w:rPr>
        <w:t xml:space="preserve"> </w:t>
      </w:r>
      <w:r>
        <w:rPr>
          <w:rFonts w:hint="eastAsia" w:asciiTheme="minorEastAsia" w:hAnsiTheme="minorEastAsia" w:eastAsiaTheme="minorEastAsia" w:cstheme="minorEastAsia"/>
          <w:spacing w:val="-13"/>
          <w:sz w:val="24"/>
          <w:szCs w:val="24"/>
        </w:rPr>
        <w:t>月  日</w:t>
      </w:r>
    </w:p>
    <w:p w14:paraId="2792E9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723" w:firstLineChars="300"/>
        <w:jc w:val="both"/>
        <w:textAlignment w:val="auto"/>
        <w:rPr>
          <w:rFonts w:hint="default" w:ascii="仿宋" w:hAnsi="仿宋" w:eastAsia="仿宋" w:cs="仿宋"/>
          <w:color w:val="000000"/>
          <w:kern w:val="0"/>
          <w:sz w:val="28"/>
          <w:szCs w:val="28"/>
          <w:lang w:val="en-US" w:eastAsia="zh-CN" w:bidi="ar"/>
        </w:rPr>
        <w:sectPr>
          <w:headerReference r:id="rId10" w:type="default"/>
          <w:footerReference r:id="rId11" w:type="default"/>
          <w:pgSz w:w="11906" w:h="16838"/>
          <w:pgMar w:top="1418" w:right="1134" w:bottom="1418" w:left="1134" w:header="851" w:footer="992" w:gutter="0"/>
          <w:pgNumType w:fmt="decimal"/>
          <w:cols w:space="720" w:num="1"/>
          <w:docGrid w:type="lines" w:linePitch="312" w:charSpace="0"/>
        </w:sectPr>
      </w:pPr>
      <w:r>
        <w:rPr>
          <w:rFonts w:hint="eastAsia" w:asciiTheme="minorEastAsia" w:hAnsiTheme="minorEastAsia" w:eastAsiaTheme="minorEastAsia" w:cstheme="minorEastAsia"/>
          <w:b/>
          <w:bCs/>
          <w:sz w:val="24"/>
          <w:szCs w:val="24"/>
        </w:rPr>
        <w:t>该合同仅作为参考，具体以双方协商签订的合同为准。</w:t>
      </w:r>
    </w:p>
    <w:p w14:paraId="5C3AB29C">
      <w:pPr>
        <w:pStyle w:val="2"/>
        <w:numPr>
          <w:ilvl w:val="0"/>
          <w:numId w:val="0"/>
        </w:numPr>
        <w:spacing w:before="120" w:after="120" w:line="360" w:lineRule="auto"/>
        <w:jc w:val="center"/>
        <w:rPr>
          <w:rFonts w:hint="eastAsia" w:ascii="宋体" w:hAnsi="宋体"/>
          <w:sz w:val="32"/>
          <w:szCs w:val="32"/>
          <w:lang w:val="en-US" w:eastAsia="zh-CN"/>
        </w:rPr>
      </w:pPr>
      <w:r>
        <w:rPr>
          <w:rFonts w:hint="eastAsia" w:ascii="宋体" w:hAnsi="宋体"/>
          <w:sz w:val="32"/>
          <w:szCs w:val="32"/>
          <w:lang w:val="en-US" w:eastAsia="zh-CN"/>
        </w:rPr>
        <w:t>第五章、服务要求</w:t>
      </w:r>
    </w:p>
    <w:p w14:paraId="29B129A3">
      <w:pPr>
        <w:spacing w:line="360" w:lineRule="auto"/>
        <w:ind w:firstLine="482" w:firstLineChars="200"/>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1.项目概况：</w:t>
      </w:r>
    </w:p>
    <w:p w14:paraId="4A400EF3">
      <w:pPr>
        <w:spacing w:line="360" w:lineRule="auto"/>
        <w:ind w:firstLine="720" w:firstLineChars="3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对</w:t>
      </w:r>
      <w:r>
        <w:rPr>
          <w:rFonts w:hint="eastAsia" w:ascii="宋体" w:hAnsi="宋体" w:eastAsia="宋体" w:cs="宋体"/>
          <w:color w:val="000000"/>
          <w:sz w:val="24"/>
          <w:szCs w:val="24"/>
          <w:lang w:eastAsia="zh-CN"/>
        </w:rPr>
        <w:t>河南省平顶山市伏牛山—淮河生态屏障区</w:t>
      </w:r>
      <w:r>
        <w:rPr>
          <w:rFonts w:hint="default" w:ascii="宋体" w:hAnsi="宋体" w:eastAsia="宋体" w:cs="宋体"/>
          <w:color w:val="000000"/>
          <w:sz w:val="24"/>
          <w:szCs w:val="24"/>
          <w:lang w:val="en-US" w:eastAsia="zh-CN"/>
        </w:rPr>
        <w:t>262140.99</w:t>
      </w:r>
      <w:r>
        <w:rPr>
          <w:rFonts w:hint="eastAsia" w:ascii="宋体" w:hAnsi="宋体" w:eastAsia="宋体" w:cs="宋体"/>
          <w:color w:val="000000"/>
          <w:sz w:val="24"/>
          <w:szCs w:val="24"/>
          <w:lang w:val="en-US" w:eastAsia="zh-CN"/>
        </w:rPr>
        <w:t>亩森林进行</w:t>
      </w:r>
      <w:r>
        <w:rPr>
          <w:rFonts w:hint="eastAsia" w:ascii="宋体" w:hAnsi="宋体" w:eastAsia="宋体" w:cs="宋体"/>
          <w:color w:val="000000"/>
          <w:sz w:val="24"/>
          <w:szCs w:val="24"/>
          <w:lang w:eastAsia="zh-CN"/>
        </w:rPr>
        <w:t>中幼林抚育</w:t>
      </w:r>
      <w:r>
        <w:rPr>
          <w:rFonts w:hint="eastAsia" w:ascii="宋体" w:hAnsi="宋体" w:eastAsia="宋体" w:cs="宋体"/>
          <w:color w:val="000000"/>
          <w:sz w:val="24"/>
          <w:szCs w:val="24"/>
          <w:lang w:val="en-US" w:eastAsia="zh-CN"/>
        </w:rPr>
        <w:t>。主要内容包括但不限于主要措施包括抚育间伐、割灌除草和修枝，伐除林分中生长不良木、病虫木、劣势木和修枝和抚育剩余物等。</w:t>
      </w:r>
    </w:p>
    <w:p w14:paraId="47726A22">
      <w:pPr>
        <w:numPr>
          <w:ilvl w:val="0"/>
          <w:numId w:val="0"/>
        </w:numPr>
        <w:spacing w:line="360" w:lineRule="auto"/>
        <w:ind w:firstLine="482" w:firstLineChars="200"/>
        <w:rPr>
          <w:rFonts w:hint="eastAsia" w:ascii="宋体" w:hAnsi="宋体" w:eastAsia="宋体" w:cs="宋体"/>
          <w:color w:val="000000"/>
          <w:sz w:val="24"/>
          <w:szCs w:val="24"/>
          <w:lang w:val="en-US" w:eastAsia="zh-CN"/>
        </w:rPr>
      </w:pPr>
      <w:r>
        <w:rPr>
          <w:rFonts w:hint="eastAsia" w:ascii="宋体" w:hAnsi="宋体" w:eastAsia="宋体" w:cs="宋体"/>
          <w:b/>
          <w:bCs/>
          <w:color w:val="000000"/>
          <w:sz w:val="24"/>
          <w:szCs w:val="24"/>
          <w:lang w:val="en-US" w:eastAsia="zh-CN"/>
        </w:rPr>
        <w:t>2.监理范围</w:t>
      </w:r>
      <w:r>
        <w:rPr>
          <w:rFonts w:hint="eastAsia" w:ascii="宋体" w:hAnsi="宋体" w:eastAsia="宋体" w:cs="宋体"/>
          <w:color w:val="000000"/>
          <w:sz w:val="24"/>
          <w:szCs w:val="24"/>
          <w:lang w:val="en-US" w:eastAsia="zh-CN"/>
        </w:rPr>
        <w:t>：</w:t>
      </w:r>
    </w:p>
    <w:p w14:paraId="5389C2E7">
      <w:pPr>
        <w:numPr>
          <w:ilvl w:val="0"/>
          <w:numId w:val="0"/>
        </w:numPr>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对河南省平顶山市伏牛山—淮河生态屏障区国土绿化示范中幼林抚育项目施工期间等全过程监理服务。</w:t>
      </w:r>
    </w:p>
    <w:p w14:paraId="2ED8F783">
      <w:pPr>
        <w:spacing w:line="360" w:lineRule="auto"/>
        <w:ind w:firstLine="482" w:firstLineChars="200"/>
        <w:rPr>
          <w:b/>
          <w:color w:val="000000"/>
          <w:sz w:val="24"/>
          <w:szCs w:val="24"/>
        </w:rPr>
      </w:pPr>
      <w:r>
        <w:rPr>
          <w:rFonts w:hint="eastAsia"/>
          <w:b/>
          <w:color w:val="000000"/>
          <w:sz w:val="24"/>
          <w:szCs w:val="24"/>
          <w:lang w:val="en-US" w:eastAsia="zh-CN"/>
        </w:rPr>
        <w:t>3.</w:t>
      </w:r>
      <w:r>
        <w:rPr>
          <w:rFonts w:hint="eastAsia"/>
          <w:b/>
          <w:color w:val="000000"/>
          <w:sz w:val="24"/>
          <w:szCs w:val="24"/>
        </w:rPr>
        <w:t xml:space="preserve"> 适用的规范、标准和规程</w:t>
      </w:r>
    </w:p>
    <w:p w14:paraId="04460CFB">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lang w:val="en-US" w:eastAsia="zh-CN"/>
        </w:rPr>
        <w:t>3</w:t>
      </w:r>
      <w:r>
        <w:rPr>
          <w:rFonts w:ascii="宋体" w:hAnsi="宋体" w:cs="宋体"/>
          <w:color w:val="000000"/>
          <w:sz w:val="24"/>
          <w:szCs w:val="24"/>
        </w:rPr>
        <w:t>.1本工程适用现行国家、行业和地方规范、标准和规程。构成合同文件的任何内容与适用的规范、标准和规程之间出现矛盾，监理人应书面要求发包人予以澄清，除发包人有特别指示外，监理人应按照最严格的标准执行。</w:t>
      </w:r>
    </w:p>
    <w:p w14:paraId="4400FD28">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lang w:val="en-US" w:eastAsia="zh-CN"/>
        </w:rPr>
        <w:t>3</w:t>
      </w:r>
      <w:r>
        <w:rPr>
          <w:rFonts w:ascii="宋体" w:hAnsi="宋体" w:cs="宋体"/>
          <w:color w:val="000000"/>
          <w:sz w:val="24"/>
          <w:szCs w:val="24"/>
        </w:rPr>
        <w:t>.2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w:t>
      </w:r>
    </w:p>
    <w:p w14:paraId="2FAB8536">
      <w:pPr>
        <w:spacing w:line="360" w:lineRule="auto"/>
        <w:ind w:firstLine="482" w:firstLineChars="200"/>
        <w:rPr>
          <w:b/>
          <w:color w:val="000000"/>
          <w:sz w:val="24"/>
          <w:szCs w:val="24"/>
        </w:rPr>
      </w:pPr>
      <w:bookmarkStart w:id="388" w:name="_Toc290577187"/>
      <w:bookmarkStart w:id="389" w:name="_Toc330056514"/>
      <w:bookmarkStart w:id="390" w:name="_Toc285539109"/>
      <w:bookmarkStart w:id="391" w:name="_Toc282615321"/>
      <w:bookmarkStart w:id="392" w:name="_Toc287621015"/>
      <w:r>
        <w:rPr>
          <w:rFonts w:hint="eastAsia"/>
          <w:b/>
          <w:color w:val="000000"/>
          <w:sz w:val="24"/>
          <w:szCs w:val="24"/>
          <w:lang w:val="en-US" w:eastAsia="zh-CN"/>
        </w:rPr>
        <w:t>4.</w:t>
      </w:r>
      <w:r>
        <w:rPr>
          <w:rFonts w:hint="eastAsia"/>
          <w:b/>
          <w:color w:val="000000"/>
          <w:sz w:val="24"/>
          <w:szCs w:val="24"/>
        </w:rPr>
        <w:t xml:space="preserve"> 施工、监理及验收规范</w:t>
      </w:r>
      <w:bookmarkEnd w:id="388"/>
      <w:bookmarkEnd w:id="389"/>
      <w:bookmarkEnd w:id="390"/>
      <w:bookmarkEnd w:id="391"/>
      <w:bookmarkEnd w:id="392"/>
    </w:p>
    <w:p w14:paraId="23EBC99B">
      <w:pPr>
        <w:spacing w:line="360" w:lineRule="auto"/>
        <w:ind w:firstLine="480" w:firstLineChars="200"/>
        <w:rPr>
          <w:rFonts w:ascii="宋体" w:hAnsi="宋体" w:cs="宋体"/>
          <w:color w:val="000000"/>
          <w:sz w:val="24"/>
          <w:szCs w:val="24"/>
        </w:rPr>
      </w:pPr>
      <w:r>
        <w:rPr>
          <w:rFonts w:ascii="宋体" w:hAnsi="宋体" w:cs="宋体"/>
          <w:color w:val="000000"/>
          <w:sz w:val="24"/>
          <w:szCs w:val="24"/>
        </w:rPr>
        <w:t>本工程执行国家现行的与本工程有关的施工、监理及验收规范、标准图集、图纸设计等。</w:t>
      </w:r>
    </w:p>
    <w:p w14:paraId="0CC002D9">
      <w:pPr>
        <w:spacing w:line="360" w:lineRule="auto"/>
        <w:ind w:firstLine="482" w:firstLineChars="200"/>
        <w:rPr>
          <w:b/>
          <w:color w:val="000000"/>
          <w:sz w:val="24"/>
          <w:szCs w:val="24"/>
        </w:rPr>
      </w:pPr>
      <w:bookmarkStart w:id="393" w:name="_Toc287621016"/>
      <w:bookmarkStart w:id="394" w:name="_Toc285539110"/>
      <w:bookmarkStart w:id="395" w:name="_Toc290577188"/>
      <w:bookmarkStart w:id="396" w:name="_Toc330056515"/>
      <w:bookmarkStart w:id="397" w:name="_Toc282615322"/>
      <w:r>
        <w:rPr>
          <w:rFonts w:hint="eastAsia"/>
          <w:b/>
          <w:color w:val="000000"/>
          <w:sz w:val="24"/>
          <w:szCs w:val="24"/>
          <w:lang w:val="en-US" w:eastAsia="zh-CN"/>
        </w:rPr>
        <w:t>5</w:t>
      </w:r>
      <w:r>
        <w:rPr>
          <w:rFonts w:hint="eastAsia"/>
          <w:b/>
          <w:color w:val="000000"/>
          <w:sz w:val="24"/>
          <w:szCs w:val="24"/>
        </w:rPr>
        <w:t>. 主要质量检验评定标准</w:t>
      </w:r>
      <w:bookmarkEnd w:id="393"/>
      <w:bookmarkEnd w:id="394"/>
      <w:bookmarkEnd w:id="395"/>
      <w:bookmarkEnd w:id="396"/>
      <w:bookmarkEnd w:id="397"/>
    </w:p>
    <w:p w14:paraId="0CB861D0">
      <w:pPr>
        <w:spacing w:line="360" w:lineRule="auto"/>
        <w:ind w:firstLine="480" w:firstLineChars="200"/>
        <w:rPr>
          <w:rFonts w:ascii="宋体" w:hAnsi="宋体" w:cs="宋体"/>
          <w:color w:val="000000"/>
          <w:sz w:val="24"/>
          <w:szCs w:val="24"/>
        </w:rPr>
      </w:pPr>
      <w:r>
        <w:rPr>
          <w:rFonts w:ascii="宋体" w:hAnsi="宋体" w:cs="宋体"/>
          <w:color w:val="000000"/>
          <w:sz w:val="24"/>
          <w:szCs w:val="24"/>
        </w:rPr>
        <w:t>本工程执行国家现行的与本工程有关的质量检验评定标准。</w:t>
      </w:r>
    </w:p>
    <w:p w14:paraId="3D97C338">
      <w:pPr>
        <w:rPr>
          <w:rFonts w:hint="eastAsia" w:ascii="宋体" w:hAnsi="宋体"/>
          <w:sz w:val="32"/>
          <w:szCs w:val="32"/>
        </w:rPr>
      </w:pPr>
      <w:r>
        <w:rPr>
          <w:rFonts w:hint="eastAsia" w:ascii="宋体" w:hAnsi="宋体"/>
          <w:sz w:val="32"/>
          <w:szCs w:val="32"/>
        </w:rPr>
        <w:br w:type="page"/>
      </w:r>
    </w:p>
    <w:p w14:paraId="40672D3C">
      <w:pPr>
        <w:pStyle w:val="2"/>
        <w:jc w:val="center"/>
        <w:rPr>
          <w:rFonts w:ascii="宋体" w:hAnsi="宋体"/>
          <w:sz w:val="32"/>
          <w:szCs w:val="32"/>
        </w:rPr>
      </w:pPr>
      <w:r>
        <w:rPr>
          <w:rFonts w:hint="eastAsia" w:ascii="宋体" w:hAnsi="宋体"/>
          <w:sz w:val="32"/>
          <w:szCs w:val="32"/>
        </w:rPr>
        <w:t>第</w:t>
      </w:r>
      <w:r>
        <w:rPr>
          <w:rFonts w:hint="eastAsia" w:ascii="宋体" w:hAnsi="宋体"/>
          <w:sz w:val="32"/>
          <w:szCs w:val="32"/>
          <w:lang w:val="en-US" w:eastAsia="zh-CN"/>
        </w:rPr>
        <w:t>六</w:t>
      </w:r>
      <w:r>
        <w:rPr>
          <w:rFonts w:hint="eastAsia" w:ascii="宋体" w:hAnsi="宋体"/>
          <w:sz w:val="32"/>
          <w:szCs w:val="32"/>
        </w:rPr>
        <w:t>章  投标文件格式</w:t>
      </w:r>
      <w:bookmarkEnd w:id="380"/>
      <w:bookmarkEnd w:id="381"/>
      <w:bookmarkEnd w:id="382"/>
      <w:bookmarkEnd w:id="383"/>
      <w:bookmarkEnd w:id="384"/>
      <w:bookmarkEnd w:id="385"/>
      <w:bookmarkEnd w:id="386"/>
      <w:bookmarkEnd w:id="387"/>
    </w:p>
    <w:p w14:paraId="3EF20C24">
      <w:pPr>
        <w:snapToGrid w:val="0"/>
        <w:spacing w:line="360" w:lineRule="auto"/>
        <w:jc w:val="right"/>
        <w:rPr>
          <w:rFonts w:ascii="宋体" w:hAnsi="宋体" w:cs="宋体"/>
          <w:b/>
          <w:sz w:val="28"/>
          <w:szCs w:val="28"/>
        </w:rPr>
      </w:pPr>
    </w:p>
    <w:p w14:paraId="64BA57AD">
      <w:pPr>
        <w:snapToGrid w:val="0"/>
        <w:spacing w:line="360" w:lineRule="auto"/>
        <w:jc w:val="center"/>
        <w:rPr>
          <w:rFonts w:hint="eastAsia" w:ascii="宋体" w:hAnsi="宋体" w:eastAsia="宋体" w:cs="宋体"/>
          <w:sz w:val="28"/>
          <w:szCs w:val="28"/>
          <w:u w:val="single"/>
          <w:lang w:eastAsia="zh-CN"/>
        </w:rPr>
      </w:pPr>
      <w:bookmarkStart w:id="398" w:name="_Toc29210_WPSOffice_Level1"/>
      <w:bookmarkStart w:id="399" w:name="_Toc27946_WPSOffice_Level1"/>
      <w:r>
        <w:rPr>
          <w:rFonts w:hint="eastAsia" w:ascii="宋体" w:hAnsi="宋体" w:cs="宋体"/>
          <w:sz w:val="28"/>
          <w:szCs w:val="28"/>
          <w:u w:val="single"/>
        </w:rPr>
        <w:t>(项目名称</w:t>
      </w:r>
      <w:bookmarkEnd w:id="398"/>
      <w:bookmarkEnd w:id="399"/>
      <w:r>
        <w:rPr>
          <w:rFonts w:hint="eastAsia" w:ascii="宋体" w:hAnsi="宋体" w:cs="宋体"/>
          <w:sz w:val="28"/>
          <w:szCs w:val="28"/>
          <w:u w:val="single"/>
          <w:lang w:eastAsia="zh-CN"/>
        </w:rPr>
        <w:t>）</w:t>
      </w:r>
    </w:p>
    <w:p w14:paraId="09F1788F">
      <w:pPr>
        <w:snapToGrid w:val="0"/>
        <w:spacing w:line="360" w:lineRule="auto"/>
        <w:rPr>
          <w:rFonts w:ascii="宋体" w:hAnsi="宋体" w:cs="宋体"/>
          <w:sz w:val="20"/>
          <w:szCs w:val="20"/>
        </w:rPr>
      </w:pPr>
    </w:p>
    <w:p w14:paraId="699E225F">
      <w:pPr>
        <w:snapToGrid w:val="0"/>
        <w:spacing w:line="360" w:lineRule="auto"/>
        <w:rPr>
          <w:rFonts w:ascii="宋体" w:hAnsi="宋体" w:cs="宋体"/>
          <w:sz w:val="20"/>
          <w:szCs w:val="20"/>
        </w:rPr>
      </w:pPr>
    </w:p>
    <w:p w14:paraId="72327256">
      <w:pPr>
        <w:snapToGrid w:val="0"/>
        <w:spacing w:line="360" w:lineRule="auto"/>
        <w:jc w:val="center"/>
        <w:rPr>
          <w:rFonts w:ascii="宋体" w:hAnsi="宋体" w:cs="宋体"/>
          <w:sz w:val="44"/>
          <w:szCs w:val="44"/>
        </w:rPr>
      </w:pPr>
      <w:r>
        <w:rPr>
          <w:rFonts w:hint="eastAsia" w:ascii="宋体" w:hAnsi="宋体" w:cs="宋体"/>
          <w:sz w:val="44"/>
          <w:szCs w:val="44"/>
        </w:rPr>
        <w:t>投  标  文  件</w:t>
      </w:r>
    </w:p>
    <w:p w14:paraId="747810EC">
      <w:pPr>
        <w:snapToGrid w:val="0"/>
        <w:spacing w:line="360" w:lineRule="auto"/>
        <w:rPr>
          <w:rFonts w:ascii="宋体" w:hAnsi="宋体" w:cs="宋体"/>
          <w:sz w:val="28"/>
          <w:szCs w:val="28"/>
        </w:rPr>
      </w:pPr>
    </w:p>
    <w:p w14:paraId="35B744E4">
      <w:pPr>
        <w:snapToGrid w:val="0"/>
        <w:spacing w:line="360" w:lineRule="auto"/>
        <w:rPr>
          <w:rFonts w:ascii="宋体" w:hAnsi="宋体" w:cs="宋体"/>
          <w:sz w:val="28"/>
          <w:szCs w:val="28"/>
        </w:rPr>
      </w:pPr>
    </w:p>
    <w:p w14:paraId="086AC8CD">
      <w:pPr>
        <w:snapToGrid w:val="0"/>
        <w:spacing w:line="360" w:lineRule="auto"/>
        <w:rPr>
          <w:rFonts w:ascii="宋体" w:hAnsi="宋体" w:cs="宋体"/>
          <w:sz w:val="28"/>
          <w:szCs w:val="28"/>
        </w:rPr>
      </w:pPr>
    </w:p>
    <w:p w14:paraId="5A7B69FB">
      <w:pPr>
        <w:snapToGrid w:val="0"/>
        <w:spacing w:line="360" w:lineRule="auto"/>
        <w:rPr>
          <w:rFonts w:ascii="宋体" w:hAnsi="宋体" w:cs="宋体"/>
          <w:sz w:val="28"/>
          <w:szCs w:val="28"/>
        </w:rPr>
      </w:pPr>
    </w:p>
    <w:p w14:paraId="741E2266">
      <w:pPr>
        <w:snapToGrid w:val="0"/>
        <w:spacing w:line="360" w:lineRule="auto"/>
        <w:rPr>
          <w:rFonts w:ascii="宋体" w:hAnsi="宋体" w:cs="宋体"/>
          <w:sz w:val="28"/>
          <w:szCs w:val="28"/>
        </w:rPr>
      </w:pPr>
    </w:p>
    <w:p w14:paraId="43F85E6B">
      <w:pPr>
        <w:snapToGrid w:val="0"/>
        <w:spacing w:line="360" w:lineRule="auto"/>
        <w:rPr>
          <w:rFonts w:ascii="宋体" w:hAnsi="宋体" w:cs="宋体"/>
          <w:sz w:val="28"/>
          <w:szCs w:val="28"/>
        </w:rPr>
      </w:pPr>
    </w:p>
    <w:p w14:paraId="310905A2">
      <w:pPr>
        <w:snapToGrid w:val="0"/>
        <w:spacing w:line="360" w:lineRule="auto"/>
        <w:rPr>
          <w:rFonts w:ascii="宋体" w:hAnsi="宋体" w:cs="宋体"/>
          <w:sz w:val="28"/>
          <w:szCs w:val="28"/>
        </w:rPr>
      </w:pPr>
    </w:p>
    <w:p w14:paraId="315C42AC">
      <w:pPr>
        <w:snapToGrid w:val="0"/>
        <w:spacing w:line="360" w:lineRule="auto"/>
        <w:rPr>
          <w:rFonts w:ascii="宋体" w:hAnsi="宋体" w:cs="宋体"/>
          <w:sz w:val="28"/>
          <w:szCs w:val="28"/>
        </w:rPr>
      </w:pPr>
    </w:p>
    <w:p w14:paraId="4A353CF9">
      <w:pPr>
        <w:snapToGrid w:val="0"/>
        <w:spacing w:line="360" w:lineRule="auto"/>
        <w:rPr>
          <w:rFonts w:ascii="宋体" w:hAnsi="宋体" w:cs="宋体"/>
          <w:sz w:val="28"/>
          <w:szCs w:val="28"/>
        </w:rPr>
      </w:pPr>
    </w:p>
    <w:p w14:paraId="21163B9D">
      <w:pPr>
        <w:snapToGrid w:val="0"/>
        <w:spacing w:line="360" w:lineRule="auto"/>
        <w:rPr>
          <w:rFonts w:ascii="宋体" w:hAnsi="宋体" w:cs="宋体"/>
          <w:sz w:val="28"/>
          <w:szCs w:val="28"/>
        </w:rPr>
      </w:pPr>
    </w:p>
    <w:p w14:paraId="4FCD3AE6">
      <w:pPr>
        <w:snapToGrid w:val="0"/>
        <w:spacing w:line="360" w:lineRule="auto"/>
        <w:ind w:firstLine="3220" w:firstLineChars="1150"/>
        <w:rPr>
          <w:rFonts w:ascii="宋体" w:hAnsi="宋体" w:cs="宋体"/>
          <w:sz w:val="28"/>
          <w:szCs w:val="28"/>
          <w:u w:val="single"/>
        </w:rPr>
      </w:pPr>
      <w:r>
        <w:rPr>
          <w:rFonts w:hint="eastAsia" w:ascii="宋体" w:hAnsi="宋体" w:cs="宋体"/>
          <w:sz w:val="28"/>
          <w:szCs w:val="28"/>
        </w:rPr>
        <w:t>投标人： (电子签章)</w:t>
      </w:r>
    </w:p>
    <w:p w14:paraId="495633B7">
      <w:pPr>
        <w:snapToGrid w:val="0"/>
        <w:spacing w:line="360" w:lineRule="auto"/>
        <w:jc w:val="center"/>
        <w:rPr>
          <w:rFonts w:ascii="宋体" w:hAnsi="宋体" w:cs="宋体"/>
          <w:sz w:val="28"/>
          <w:szCs w:val="28"/>
        </w:rPr>
      </w:pPr>
      <w:bookmarkStart w:id="400" w:name="_Toc5673_WPSOffice_Level1"/>
      <w:bookmarkStart w:id="401" w:name="_Toc3319_WPSOffice_Level1"/>
      <w:r>
        <w:rPr>
          <w:rFonts w:hint="eastAsia" w:ascii="宋体" w:hAnsi="宋体" w:cs="宋体"/>
          <w:sz w:val="28"/>
          <w:szCs w:val="28"/>
        </w:rPr>
        <w:t>法定代表人：(电子签章)</w:t>
      </w:r>
      <w:bookmarkEnd w:id="400"/>
      <w:bookmarkEnd w:id="401"/>
    </w:p>
    <w:p w14:paraId="15037E07">
      <w:pPr>
        <w:snapToGrid w:val="0"/>
        <w:spacing w:line="360" w:lineRule="auto"/>
        <w:jc w:val="center"/>
        <w:rPr>
          <w:rFonts w:ascii="宋体" w:hAnsi="宋体" w:cs="宋体"/>
          <w:sz w:val="28"/>
          <w:szCs w:val="28"/>
        </w:rPr>
      </w:pPr>
      <w:bookmarkStart w:id="402" w:name="_Toc24684_WPSOffice_Level1"/>
      <w:bookmarkStart w:id="403" w:name="_Toc6979_WPSOffice_Level1"/>
      <w:r>
        <w:rPr>
          <w:rFonts w:hint="eastAsia" w:ascii="宋体" w:hAnsi="宋体" w:cs="宋体"/>
          <w:sz w:val="28"/>
          <w:szCs w:val="28"/>
        </w:rPr>
        <w:t>年  月  日</w:t>
      </w:r>
      <w:bookmarkEnd w:id="402"/>
      <w:bookmarkEnd w:id="403"/>
    </w:p>
    <w:p w14:paraId="6F48BBCE">
      <w:pPr>
        <w:snapToGrid w:val="0"/>
        <w:spacing w:line="360" w:lineRule="auto"/>
        <w:rPr>
          <w:rFonts w:ascii="宋体" w:hAnsi="宋体" w:cs="宋体"/>
          <w:sz w:val="20"/>
          <w:szCs w:val="20"/>
        </w:rPr>
      </w:pPr>
    </w:p>
    <w:p w14:paraId="5D320306">
      <w:pPr>
        <w:snapToGrid w:val="0"/>
        <w:spacing w:line="360" w:lineRule="auto"/>
        <w:jc w:val="center"/>
        <w:rPr>
          <w:rFonts w:ascii="宋体" w:hAnsi="宋体" w:cs="宋体"/>
          <w:sz w:val="30"/>
          <w:szCs w:val="30"/>
        </w:rPr>
      </w:pPr>
      <w:r>
        <w:rPr>
          <w:rFonts w:hint="eastAsia" w:ascii="宋体" w:hAnsi="宋体" w:cs="宋体"/>
        </w:rPr>
        <w:br w:type="page"/>
      </w:r>
      <w:bookmarkStart w:id="404" w:name="_Toc300835209"/>
      <w:bookmarkStart w:id="405" w:name="_Toc23838"/>
      <w:bookmarkStart w:id="406" w:name="_Toc349"/>
      <w:r>
        <w:rPr>
          <w:rFonts w:hint="eastAsia" w:ascii="宋体" w:hAnsi="宋体" w:cs="宋体"/>
          <w:sz w:val="30"/>
          <w:szCs w:val="30"/>
        </w:rPr>
        <w:t>目    录</w:t>
      </w:r>
      <w:bookmarkEnd w:id="404"/>
      <w:bookmarkEnd w:id="405"/>
      <w:bookmarkEnd w:id="406"/>
    </w:p>
    <w:p w14:paraId="61A32BCF">
      <w:pPr>
        <w:rPr>
          <w:rFonts w:ascii="宋体" w:hAnsi="宋体"/>
        </w:rPr>
      </w:pPr>
    </w:p>
    <w:p w14:paraId="3718E456">
      <w:pPr>
        <w:snapToGrid w:val="0"/>
        <w:spacing w:line="360" w:lineRule="auto"/>
        <w:jc w:val="left"/>
        <w:rPr>
          <w:rFonts w:ascii="宋体" w:hAnsi="宋体" w:cs="宋体"/>
        </w:rPr>
      </w:pPr>
    </w:p>
    <w:p w14:paraId="2291DA61">
      <w:pPr>
        <w:snapToGrid w:val="0"/>
        <w:spacing w:line="360" w:lineRule="auto"/>
        <w:rPr>
          <w:rFonts w:ascii="宋体" w:hAnsi="宋体" w:cs="宋体"/>
        </w:rPr>
      </w:pPr>
    </w:p>
    <w:p w14:paraId="63913C34">
      <w:pPr>
        <w:snapToGrid w:val="0"/>
        <w:spacing w:line="360" w:lineRule="auto"/>
        <w:rPr>
          <w:rFonts w:ascii="宋体" w:hAnsi="宋体" w:cs="宋体"/>
        </w:rPr>
      </w:pPr>
    </w:p>
    <w:p w14:paraId="548ACE4F">
      <w:pPr>
        <w:snapToGrid w:val="0"/>
        <w:spacing w:line="360" w:lineRule="auto"/>
        <w:rPr>
          <w:rFonts w:ascii="宋体" w:hAnsi="宋体" w:cs="宋体"/>
        </w:rPr>
      </w:pPr>
    </w:p>
    <w:p w14:paraId="78DB292D">
      <w:pPr>
        <w:snapToGrid w:val="0"/>
        <w:spacing w:line="360" w:lineRule="auto"/>
        <w:rPr>
          <w:rFonts w:ascii="宋体" w:hAnsi="宋体" w:cs="宋体"/>
        </w:rPr>
      </w:pPr>
    </w:p>
    <w:p w14:paraId="55FDC418">
      <w:pPr>
        <w:snapToGrid w:val="0"/>
        <w:spacing w:line="360" w:lineRule="auto"/>
        <w:rPr>
          <w:rFonts w:ascii="宋体" w:hAnsi="宋体" w:cs="宋体"/>
        </w:rPr>
      </w:pPr>
    </w:p>
    <w:p w14:paraId="2D766DAF">
      <w:pPr>
        <w:snapToGrid w:val="0"/>
        <w:spacing w:line="360" w:lineRule="auto"/>
        <w:rPr>
          <w:rFonts w:ascii="宋体" w:hAnsi="宋体" w:cs="宋体"/>
        </w:rPr>
      </w:pPr>
    </w:p>
    <w:p w14:paraId="63E572AE">
      <w:pPr>
        <w:snapToGrid w:val="0"/>
        <w:spacing w:line="360" w:lineRule="auto"/>
        <w:rPr>
          <w:rFonts w:ascii="宋体" w:hAnsi="宋体" w:cs="宋体"/>
        </w:rPr>
      </w:pPr>
    </w:p>
    <w:p w14:paraId="48E500BB">
      <w:pPr>
        <w:snapToGrid w:val="0"/>
        <w:spacing w:line="360" w:lineRule="auto"/>
        <w:rPr>
          <w:rFonts w:ascii="宋体" w:hAnsi="宋体" w:cs="宋体"/>
        </w:rPr>
      </w:pPr>
    </w:p>
    <w:p w14:paraId="42214003">
      <w:pPr>
        <w:snapToGrid w:val="0"/>
        <w:spacing w:line="360" w:lineRule="auto"/>
        <w:rPr>
          <w:rFonts w:ascii="宋体" w:hAnsi="宋体" w:cs="宋体"/>
        </w:rPr>
      </w:pPr>
    </w:p>
    <w:p w14:paraId="721665F1">
      <w:pPr>
        <w:snapToGrid w:val="0"/>
        <w:spacing w:line="360" w:lineRule="auto"/>
        <w:rPr>
          <w:rFonts w:ascii="宋体" w:hAnsi="宋体" w:cs="宋体"/>
        </w:rPr>
      </w:pPr>
    </w:p>
    <w:p w14:paraId="0A3C3C39">
      <w:pPr>
        <w:snapToGrid w:val="0"/>
        <w:spacing w:line="360" w:lineRule="auto"/>
        <w:rPr>
          <w:rFonts w:ascii="宋体" w:hAnsi="宋体" w:cs="宋体"/>
        </w:rPr>
      </w:pPr>
    </w:p>
    <w:p w14:paraId="7A8A03AA">
      <w:pPr>
        <w:snapToGrid w:val="0"/>
        <w:spacing w:line="360" w:lineRule="auto"/>
        <w:rPr>
          <w:rFonts w:ascii="宋体" w:hAnsi="宋体" w:cs="宋体"/>
        </w:rPr>
      </w:pPr>
    </w:p>
    <w:p w14:paraId="4412C4E1">
      <w:pPr>
        <w:snapToGrid w:val="0"/>
        <w:spacing w:line="360" w:lineRule="auto"/>
        <w:rPr>
          <w:rFonts w:ascii="宋体" w:hAnsi="宋体" w:cs="宋体"/>
        </w:rPr>
      </w:pPr>
    </w:p>
    <w:p w14:paraId="67091D22">
      <w:pPr>
        <w:snapToGrid w:val="0"/>
        <w:spacing w:line="360" w:lineRule="auto"/>
        <w:rPr>
          <w:rFonts w:ascii="宋体" w:hAnsi="宋体" w:cs="宋体"/>
        </w:rPr>
      </w:pPr>
      <w:bookmarkStart w:id="407" w:name="_Toc300835210"/>
    </w:p>
    <w:p w14:paraId="0B146850">
      <w:pPr>
        <w:snapToGrid w:val="0"/>
        <w:spacing w:line="360" w:lineRule="auto"/>
        <w:rPr>
          <w:rFonts w:ascii="宋体" w:hAnsi="宋体" w:cs="宋体"/>
        </w:rPr>
      </w:pPr>
    </w:p>
    <w:bookmarkEnd w:id="407"/>
    <w:p w14:paraId="178AAFC2">
      <w:pPr>
        <w:rPr>
          <w:rStyle w:val="46"/>
          <w:rFonts w:ascii="宋体" w:cs="宋体"/>
          <w:b w:val="0"/>
          <w:bCs w:val="0"/>
        </w:rPr>
      </w:pPr>
      <w:bookmarkStart w:id="408" w:name="_Toc475109670"/>
      <w:bookmarkStart w:id="409" w:name="_Toc247514247"/>
      <w:bookmarkStart w:id="410" w:name="_Toc19952_WPSOffice_Level1"/>
      <w:bookmarkStart w:id="411" w:name="_Toc152042577"/>
      <w:bookmarkStart w:id="412" w:name="_Toc20494"/>
      <w:bookmarkStart w:id="413" w:name="_Toc247527828"/>
      <w:bookmarkStart w:id="414" w:name="_Toc32559_WPSOffice_Level1"/>
      <w:bookmarkStart w:id="415" w:name="_Toc152045788"/>
      <w:bookmarkStart w:id="416" w:name="_Toc144974857"/>
      <w:bookmarkStart w:id="417" w:name="_Toc300835212"/>
      <w:r>
        <w:rPr>
          <w:rStyle w:val="46"/>
          <w:rFonts w:ascii="宋体" w:cs="宋体"/>
          <w:b w:val="0"/>
          <w:bCs w:val="0"/>
        </w:rPr>
        <w:br w:type="page"/>
      </w:r>
    </w:p>
    <w:p w14:paraId="7E70DB65">
      <w:pPr>
        <w:pStyle w:val="4"/>
        <w:snapToGrid w:val="0"/>
        <w:spacing w:before="0" w:after="0" w:line="360" w:lineRule="auto"/>
        <w:ind w:firstLine="157"/>
        <w:jc w:val="center"/>
        <w:rPr>
          <w:rStyle w:val="46"/>
          <w:rFonts w:ascii="宋体" w:cs="宋体"/>
          <w:b w:val="0"/>
          <w:bCs w:val="0"/>
        </w:rPr>
      </w:pPr>
      <w:r>
        <w:rPr>
          <w:rStyle w:val="46"/>
          <w:rFonts w:ascii="宋体" w:cs="宋体"/>
          <w:b w:val="0"/>
          <w:bCs w:val="0"/>
        </w:rPr>
        <w:t>一、投标函及投标函附录</w:t>
      </w:r>
      <w:bookmarkEnd w:id="408"/>
      <w:bookmarkEnd w:id="409"/>
      <w:bookmarkEnd w:id="410"/>
      <w:bookmarkEnd w:id="411"/>
      <w:bookmarkEnd w:id="412"/>
      <w:bookmarkEnd w:id="413"/>
      <w:bookmarkEnd w:id="414"/>
      <w:bookmarkEnd w:id="415"/>
      <w:bookmarkEnd w:id="416"/>
    </w:p>
    <w:p w14:paraId="2FB32A68">
      <w:pPr>
        <w:pStyle w:val="5"/>
        <w:spacing w:line="416" w:lineRule="auto"/>
        <w:ind w:firstLine="103"/>
        <w:jc w:val="center"/>
        <w:rPr>
          <w:rFonts w:ascii="宋体" w:hAnsi="宋体"/>
          <w:sz w:val="21"/>
          <w:szCs w:val="21"/>
        </w:rPr>
      </w:pPr>
      <w:bookmarkStart w:id="418" w:name="_Toc144974858"/>
      <w:bookmarkStart w:id="419" w:name="_Toc475109671"/>
      <w:bookmarkStart w:id="420" w:name="_Toc16255"/>
      <w:bookmarkStart w:id="421" w:name="_Toc247527829"/>
      <w:bookmarkStart w:id="422" w:name="_Toc152045789"/>
      <w:bookmarkStart w:id="423" w:name="_Toc247514248"/>
      <w:bookmarkStart w:id="424" w:name="_Toc152042578"/>
      <w:r>
        <w:rPr>
          <w:rFonts w:ascii="宋体" w:hAnsi="宋体"/>
          <w:sz w:val="21"/>
          <w:szCs w:val="21"/>
        </w:rPr>
        <w:t>（一）投标函</w:t>
      </w:r>
      <w:bookmarkEnd w:id="418"/>
      <w:bookmarkEnd w:id="419"/>
      <w:bookmarkEnd w:id="420"/>
      <w:bookmarkEnd w:id="421"/>
      <w:bookmarkEnd w:id="422"/>
      <w:bookmarkEnd w:id="423"/>
      <w:bookmarkEnd w:id="424"/>
    </w:p>
    <w:p w14:paraId="0C13C863">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致：</w:t>
      </w:r>
      <w:r>
        <w:rPr>
          <w:rFonts w:hint="eastAsia" w:ascii="宋体" w:hAnsi="宋体" w:cs="Arial"/>
          <w:kern w:val="0"/>
          <w:sz w:val="24"/>
          <w:u w:val="single"/>
        </w:rPr>
        <w:t xml:space="preserve">  </w:t>
      </w:r>
      <w:r>
        <w:rPr>
          <w:rFonts w:hint="eastAsia" w:ascii="宋体" w:hAnsi="宋体" w:cs="Arial"/>
          <w:kern w:val="0"/>
          <w:sz w:val="24"/>
          <w:u w:val="single"/>
          <w:lang w:val="en-US" w:eastAsia="zh-CN"/>
        </w:rPr>
        <w:t xml:space="preserve">    </w:t>
      </w:r>
      <w:r>
        <w:rPr>
          <w:rFonts w:hint="eastAsia" w:ascii="宋体" w:hAnsi="宋体" w:cs="Arial"/>
          <w:kern w:val="0"/>
          <w:sz w:val="24"/>
          <w:u w:val="single"/>
        </w:rPr>
        <w:t xml:space="preserve">   </w:t>
      </w:r>
      <w:r>
        <w:rPr>
          <w:rFonts w:hint="eastAsia" w:ascii="宋体" w:hAnsi="宋体" w:cs="Arial"/>
          <w:kern w:val="0"/>
          <w:sz w:val="24"/>
        </w:rPr>
        <w:t>(招标人名称)</w:t>
      </w:r>
    </w:p>
    <w:p w14:paraId="7EBF089F">
      <w:pPr>
        <w:widowControl/>
        <w:spacing w:before="75" w:after="75" w:line="435" w:lineRule="atLeast"/>
        <w:ind w:firstLine="720"/>
        <w:jc w:val="left"/>
        <w:rPr>
          <w:rFonts w:ascii="宋体" w:hAnsi="宋体" w:cs="Arial"/>
          <w:kern w:val="0"/>
          <w:sz w:val="24"/>
        </w:rPr>
      </w:pPr>
      <w:r>
        <w:rPr>
          <w:rFonts w:ascii="宋体" w:hAnsi="宋体" w:cs="Arial"/>
          <w:kern w:val="0"/>
          <w:sz w:val="24"/>
        </w:rPr>
        <w:t>1</w:t>
      </w:r>
      <w:r>
        <w:rPr>
          <w:rFonts w:hint="eastAsia" w:ascii="宋体" w:hAnsi="宋体" w:cs="Arial"/>
          <w:kern w:val="0"/>
          <w:sz w:val="24"/>
        </w:rPr>
        <w:t>．我方已仔细研究了（</w:t>
      </w:r>
      <w:r>
        <w:rPr>
          <w:rFonts w:hint="eastAsia" w:ascii="宋体" w:hAnsi="宋体" w:cs="Arial"/>
          <w:kern w:val="0"/>
          <w:sz w:val="24"/>
          <w:u w:val="single"/>
        </w:rPr>
        <w:t xml:space="preserve">  </w:t>
      </w:r>
      <w:r>
        <w:rPr>
          <w:rFonts w:hint="eastAsia" w:ascii="宋体" w:hAnsi="宋体" w:cs="Arial"/>
          <w:kern w:val="0"/>
          <w:sz w:val="24"/>
          <w:u w:val="single"/>
          <w:lang w:val="en-US" w:eastAsia="zh-CN"/>
        </w:rPr>
        <w:t xml:space="preserve">     </w:t>
      </w:r>
      <w:r>
        <w:rPr>
          <w:rFonts w:hint="eastAsia" w:ascii="宋体" w:hAnsi="宋体" w:cs="Arial"/>
          <w:kern w:val="0"/>
          <w:sz w:val="24"/>
          <w:u w:val="single"/>
        </w:rPr>
        <w:t>项目名称</w:t>
      </w:r>
      <w:r>
        <w:rPr>
          <w:rFonts w:hint="eastAsia" w:ascii="宋体" w:hAnsi="宋体" w:cs="Arial"/>
          <w:kern w:val="0"/>
          <w:sz w:val="24"/>
        </w:rPr>
        <w:t>）招标文件的全部内容，愿意以（大写：</w:t>
      </w:r>
      <w:r>
        <w:rPr>
          <w:rFonts w:hint="eastAsia" w:ascii="宋体" w:hAnsi="宋体" w:cs="Arial"/>
          <w:kern w:val="0"/>
          <w:sz w:val="24"/>
          <w:u w:val="single"/>
        </w:rPr>
        <w:t xml:space="preserve">      </w:t>
      </w:r>
      <w:r>
        <w:rPr>
          <w:rFonts w:hint="eastAsia" w:ascii="宋体" w:hAnsi="宋体" w:cs="Arial"/>
          <w:kern w:val="0"/>
          <w:sz w:val="24"/>
        </w:rPr>
        <w:t>）（小写</w:t>
      </w:r>
      <w:r>
        <w:rPr>
          <w:rFonts w:ascii="宋体" w:hAnsi="宋体" w:cs="Arial"/>
          <w:kern w:val="0"/>
          <w:sz w:val="24"/>
        </w:rPr>
        <w:t>：</w:t>
      </w:r>
      <w:r>
        <w:rPr>
          <w:rFonts w:hint="eastAsia" w:ascii="宋体" w:hAnsi="宋体" w:cs="Arial"/>
          <w:kern w:val="0"/>
          <w:sz w:val="24"/>
          <w:u w:val="single"/>
        </w:rPr>
        <w:t xml:space="preserve">      </w:t>
      </w:r>
      <w:r>
        <w:rPr>
          <w:rFonts w:hint="eastAsia" w:ascii="宋体" w:hAnsi="宋体" w:cs="Arial"/>
          <w:kern w:val="0"/>
          <w:sz w:val="24"/>
        </w:rPr>
        <w:t>）的投标报价，服务期限</w:t>
      </w:r>
      <w:r>
        <w:rPr>
          <w:rFonts w:hint="eastAsia" w:ascii="宋体" w:hAnsi="宋体" w:cs="Arial"/>
          <w:kern w:val="0"/>
          <w:sz w:val="24"/>
          <w:u w:val="single"/>
        </w:rPr>
        <w:t xml:space="preserve">   </w:t>
      </w:r>
      <w:r>
        <w:rPr>
          <w:rFonts w:hint="eastAsia" w:ascii="宋体" w:hAnsi="宋体" w:cs="Arial"/>
          <w:kern w:val="0"/>
          <w:sz w:val="24"/>
          <w:u w:val="single"/>
          <w:lang w:val="en-US" w:eastAsia="zh-CN"/>
        </w:rPr>
        <w:t xml:space="preserve">     </w:t>
      </w:r>
      <w:r>
        <w:rPr>
          <w:rFonts w:hint="eastAsia" w:ascii="宋体" w:hAnsi="宋体" w:cs="Arial"/>
          <w:kern w:val="0"/>
          <w:sz w:val="24"/>
          <w:u w:val="single"/>
        </w:rPr>
        <w:t xml:space="preserve"> </w:t>
      </w:r>
      <w:r>
        <w:rPr>
          <w:rFonts w:hint="eastAsia" w:ascii="宋体" w:hAnsi="宋体" w:cs="Arial"/>
          <w:kern w:val="0"/>
          <w:sz w:val="24"/>
        </w:rPr>
        <w:t>，按合同约定完成全部合同内容，质量达到：</w:t>
      </w:r>
      <w:r>
        <w:rPr>
          <w:rFonts w:hint="eastAsia" w:ascii="宋体" w:hAnsi="宋体" w:cs="Arial"/>
          <w:kern w:val="0"/>
          <w:sz w:val="24"/>
          <w:u w:val="single"/>
        </w:rPr>
        <w:t xml:space="preserve">         </w:t>
      </w:r>
      <w:r>
        <w:rPr>
          <w:rFonts w:hint="eastAsia" w:ascii="宋体" w:hAnsi="宋体" w:cs="Arial"/>
          <w:kern w:val="0"/>
          <w:sz w:val="24"/>
        </w:rPr>
        <w:t xml:space="preserve"> 。</w:t>
      </w:r>
    </w:p>
    <w:p w14:paraId="26F4F3AD">
      <w:pPr>
        <w:widowControl/>
        <w:spacing w:before="75" w:after="75" w:line="435" w:lineRule="atLeast"/>
        <w:ind w:firstLine="720"/>
        <w:jc w:val="left"/>
        <w:rPr>
          <w:rFonts w:ascii="宋体" w:hAnsi="宋体" w:cs="Arial"/>
          <w:kern w:val="0"/>
          <w:sz w:val="24"/>
        </w:rPr>
      </w:pPr>
      <w:r>
        <w:rPr>
          <w:rFonts w:ascii="宋体" w:hAnsi="宋体" w:cs="Arial"/>
          <w:kern w:val="0"/>
          <w:sz w:val="24"/>
        </w:rPr>
        <w:t>2</w:t>
      </w:r>
      <w:r>
        <w:rPr>
          <w:rFonts w:hint="eastAsia" w:ascii="宋体" w:hAnsi="宋体" w:cs="Arial"/>
          <w:kern w:val="0"/>
          <w:sz w:val="24"/>
        </w:rPr>
        <w:t>．我方承诺在投标有效期内不修改、撤销投标文件。</w:t>
      </w:r>
    </w:p>
    <w:p w14:paraId="3B49C0DC">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3．如我方中标：</w:t>
      </w:r>
    </w:p>
    <w:p w14:paraId="2D353BAA">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w:t>
      </w:r>
      <w:r>
        <w:rPr>
          <w:rFonts w:ascii="宋体" w:hAnsi="宋体" w:cs="Arial"/>
          <w:kern w:val="0"/>
          <w:sz w:val="24"/>
        </w:rPr>
        <w:t>1</w:t>
      </w:r>
      <w:r>
        <w:rPr>
          <w:rFonts w:hint="eastAsia" w:ascii="宋体" w:hAnsi="宋体" w:cs="Arial"/>
          <w:kern w:val="0"/>
          <w:sz w:val="24"/>
        </w:rPr>
        <w:t>）我方承诺在收到中标通知书后，在中标通知书规定的期限内与你方签订合同。</w:t>
      </w:r>
    </w:p>
    <w:p w14:paraId="7216465C">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w:t>
      </w:r>
      <w:r>
        <w:rPr>
          <w:rFonts w:ascii="宋体" w:hAnsi="宋体" w:cs="Arial"/>
          <w:kern w:val="0"/>
          <w:sz w:val="24"/>
        </w:rPr>
        <w:t>2</w:t>
      </w:r>
      <w:r>
        <w:rPr>
          <w:rFonts w:hint="eastAsia" w:ascii="宋体" w:hAnsi="宋体" w:cs="Arial"/>
          <w:kern w:val="0"/>
          <w:sz w:val="24"/>
        </w:rPr>
        <w:t>）随同本投标函递交的投标函附录属于合同文件的组成部分。</w:t>
      </w:r>
    </w:p>
    <w:p w14:paraId="7DE71D6C">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w:t>
      </w:r>
      <w:r>
        <w:rPr>
          <w:rFonts w:ascii="宋体" w:hAnsi="宋体" w:cs="Arial"/>
          <w:kern w:val="0"/>
          <w:sz w:val="24"/>
        </w:rPr>
        <w:t>3</w:t>
      </w:r>
      <w:r>
        <w:rPr>
          <w:rFonts w:hint="eastAsia" w:ascii="宋体" w:hAnsi="宋体" w:cs="Arial"/>
          <w:kern w:val="0"/>
          <w:sz w:val="24"/>
        </w:rPr>
        <w:t>）我方承诺在合同约定的期限内完成全部合同内容。</w:t>
      </w:r>
    </w:p>
    <w:p w14:paraId="543DC36C">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4．我方在此声明，所递交的投标文件及有关资料内容完整、真实和准确，且不存在第二章“投标人须知”第</w:t>
      </w:r>
      <w:r>
        <w:rPr>
          <w:rFonts w:ascii="宋体" w:hAnsi="宋体" w:cs="Arial"/>
          <w:kern w:val="0"/>
          <w:sz w:val="24"/>
        </w:rPr>
        <w:t>1.4.3</w:t>
      </w:r>
      <w:r>
        <w:rPr>
          <w:rFonts w:hint="eastAsia" w:ascii="宋体" w:hAnsi="宋体" w:cs="Arial"/>
          <w:kern w:val="0"/>
          <w:sz w:val="24"/>
        </w:rPr>
        <w:t>项规定的任何一种情形。</w:t>
      </w:r>
    </w:p>
    <w:p w14:paraId="4489B61D">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5．</w:t>
      </w:r>
      <w:r>
        <w:rPr>
          <w:rFonts w:hint="eastAsia" w:ascii="宋体" w:hAnsi="宋体" w:cs="Arial"/>
          <w:kern w:val="0"/>
          <w:sz w:val="24"/>
          <w:u w:val="single"/>
        </w:rPr>
        <w:t xml:space="preserve">（其他补充说明）         </w:t>
      </w:r>
    </w:p>
    <w:p w14:paraId="4D800C8E">
      <w:pPr>
        <w:widowControl/>
        <w:spacing w:before="75" w:after="75" w:line="435" w:lineRule="atLeast"/>
        <w:ind w:firstLine="720"/>
        <w:jc w:val="left"/>
        <w:rPr>
          <w:rFonts w:ascii="宋体" w:hAnsi="宋体" w:cs="Arial"/>
          <w:kern w:val="0"/>
          <w:sz w:val="24"/>
        </w:rPr>
      </w:pPr>
    </w:p>
    <w:p w14:paraId="2FEA592A">
      <w:pPr>
        <w:widowControl/>
        <w:spacing w:before="75" w:after="75" w:line="435" w:lineRule="atLeast"/>
        <w:ind w:firstLine="720"/>
        <w:jc w:val="left"/>
        <w:rPr>
          <w:rFonts w:ascii="宋体" w:hAnsi="宋体" w:cs="Arial"/>
          <w:kern w:val="0"/>
          <w:sz w:val="24"/>
          <w:highlight w:val="yellow"/>
        </w:rPr>
      </w:pPr>
      <w:r>
        <w:rPr>
          <w:rFonts w:hint="eastAsia" w:ascii="宋体" w:hAnsi="宋体" w:cs="Arial"/>
          <w:kern w:val="0"/>
          <w:sz w:val="24"/>
        </w:rPr>
        <w:t>投标人：</w:t>
      </w:r>
      <w:r>
        <w:rPr>
          <w:rFonts w:hint="eastAsia" w:ascii="宋体" w:hAnsi="宋体" w:cs="Arial"/>
          <w:kern w:val="0"/>
          <w:sz w:val="24"/>
          <w:u w:val="single"/>
        </w:rPr>
        <w:t xml:space="preserve">                     </w:t>
      </w:r>
      <w:r>
        <w:rPr>
          <w:rFonts w:hint="eastAsia" w:ascii="宋体" w:hAnsi="宋体" w:cs="Arial"/>
          <w:kern w:val="0"/>
          <w:sz w:val="24"/>
        </w:rPr>
        <w:t>（电子签章）</w:t>
      </w:r>
    </w:p>
    <w:p w14:paraId="2824E109">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法定代表人：</w:t>
      </w:r>
      <w:r>
        <w:rPr>
          <w:rFonts w:hint="eastAsia" w:ascii="宋体" w:hAnsi="宋体" w:cs="Arial"/>
          <w:kern w:val="0"/>
          <w:sz w:val="24"/>
          <w:u w:val="single"/>
        </w:rPr>
        <w:t xml:space="preserve">         </w:t>
      </w:r>
      <w:r>
        <w:rPr>
          <w:rFonts w:hint="eastAsia" w:ascii="宋体" w:hAnsi="宋体" w:cs="Arial"/>
          <w:kern w:val="0"/>
          <w:sz w:val="24"/>
        </w:rPr>
        <w:t>（电子签章）</w:t>
      </w:r>
    </w:p>
    <w:p w14:paraId="51A9EFC7">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日期：</w:t>
      </w:r>
      <w:r>
        <w:rPr>
          <w:rFonts w:hint="eastAsia" w:ascii="宋体" w:hAnsi="宋体" w:cs="Arial"/>
          <w:kern w:val="0"/>
          <w:sz w:val="24"/>
          <w:u w:val="single"/>
        </w:rPr>
        <w:t xml:space="preserve">         </w:t>
      </w:r>
    </w:p>
    <w:p w14:paraId="090F69C9">
      <w:pPr>
        <w:widowControl/>
        <w:spacing w:before="75" w:after="75" w:line="435" w:lineRule="atLeast"/>
        <w:ind w:firstLine="720"/>
        <w:jc w:val="center"/>
        <w:rPr>
          <w:rStyle w:val="46"/>
          <w:rFonts w:ascii="宋体" w:hAnsi="宋体"/>
          <w:b w:val="0"/>
          <w:sz w:val="24"/>
          <w:szCs w:val="24"/>
        </w:rPr>
      </w:pPr>
      <w:r>
        <w:rPr>
          <w:rFonts w:hint="eastAsia" w:ascii="宋体" w:hAnsi="宋体" w:cs="Arial"/>
          <w:kern w:val="0"/>
          <w:sz w:val="24"/>
        </w:rPr>
        <w:br w:type="page"/>
      </w:r>
      <w:bookmarkEnd w:id="417"/>
      <w:bookmarkStart w:id="425" w:name="_Toc475109672"/>
      <w:bookmarkStart w:id="426" w:name="_Toc21646"/>
      <w:r>
        <w:rPr>
          <w:rFonts w:ascii="宋体" w:hAnsi="宋体"/>
          <w:sz w:val="24"/>
        </w:rPr>
        <w:t>（二）投标函附录</w:t>
      </w:r>
      <w:bookmarkEnd w:id="425"/>
      <w:bookmarkEnd w:id="426"/>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7"/>
        <w:gridCol w:w="851"/>
        <w:gridCol w:w="1134"/>
        <w:gridCol w:w="879"/>
        <w:gridCol w:w="1247"/>
        <w:gridCol w:w="851"/>
        <w:gridCol w:w="1283"/>
      </w:tblGrid>
      <w:tr w14:paraId="50E0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3D4B97C2">
            <w:pPr>
              <w:snapToGrid w:val="0"/>
              <w:spacing w:line="360" w:lineRule="auto"/>
              <w:jc w:val="center"/>
              <w:rPr>
                <w:rFonts w:hint="default" w:ascii="宋体" w:hAnsi="宋体" w:eastAsia="宋体" w:cs="宋体"/>
                <w:sz w:val="24"/>
                <w:lang w:val="en-US" w:eastAsia="zh-CN"/>
              </w:rPr>
            </w:pPr>
            <w:r>
              <w:rPr>
                <w:rFonts w:hint="eastAsia" w:ascii="宋体" w:hAnsi="宋体" w:cs="宋体"/>
                <w:sz w:val="24"/>
              </w:rPr>
              <w:t>项目名称</w:t>
            </w:r>
          </w:p>
        </w:tc>
        <w:tc>
          <w:tcPr>
            <w:tcW w:w="6245" w:type="dxa"/>
            <w:gridSpan w:val="6"/>
            <w:vAlign w:val="center"/>
          </w:tcPr>
          <w:p w14:paraId="6C05D365">
            <w:pPr>
              <w:snapToGrid w:val="0"/>
              <w:spacing w:line="360" w:lineRule="auto"/>
              <w:jc w:val="center"/>
              <w:rPr>
                <w:rFonts w:ascii="宋体" w:hAnsi="宋体" w:cs="宋体"/>
                <w:sz w:val="24"/>
              </w:rPr>
            </w:pPr>
          </w:p>
        </w:tc>
      </w:tr>
      <w:tr w14:paraId="63EF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1A15BFBC">
            <w:pPr>
              <w:snapToGrid w:val="0"/>
              <w:spacing w:line="360" w:lineRule="auto"/>
              <w:jc w:val="center"/>
              <w:rPr>
                <w:rFonts w:ascii="宋体" w:hAnsi="宋体" w:cs="宋体"/>
                <w:sz w:val="24"/>
              </w:rPr>
            </w:pPr>
            <w:r>
              <w:rPr>
                <w:rFonts w:hint="eastAsia" w:ascii="宋体" w:hAnsi="宋体" w:cs="宋体"/>
                <w:sz w:val="24"/>
              </w:rPr>
              <w:t>投标人名称</w:t>
            </w:r>
          </w:p>
        </w:tc>
        <w:tc>
          <w:tcPr>
            <w:tcW w:w="6245" w:type="dxa"/>
            <w:gridSpan w:val="6"/>
            <w:vAlign w:val="center"/>
          </w:tcPr>
          <w:p w14:paraId="44BBC4D7">
            <w:pPr>
              <w:snapToGrid w:val="0"/>
              <w:spacing w:line="360" w:lineRule="auto"/>
              <w:jc w:val="center"/>
              <w:rPr>
                <w:rFonts w:ascii="宋体" w:hAnsi="宋体" w:cs="宋体"/>
                <w:sz w:val="24"/>
              </w:rPr>
            </w:pPr>
          </w:p>
        </w:tc>
      </w:tr>
      <w:tr w14:paraId="75F7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4EF07AF1">
            <w:pPr>
              <w:snapToGrid w:val="0"/>
              <w:spacing w:line="360" w:lineRule="auto"/>
              <w:jc w:val="center"/>
              <w:rPr>
                <w:rFonts w:ascii="宋体" w:hAnsi="宋体" w:cs="宋体"/>
                <w:sz w:val="24"/>
              </w:rPr>
            </w:pPr>
            <w:r>
              <w:rPr>
                <w:rFonts w:hint="eastAsia" w:ascii="宋体" w:hAnsi="宋体" w:cs="宋体"/>
                <w:sz w:val="24"/>
              </w:rPr>
              <w:t>投标报价</w:t>
            </w:r>
          </w:p>
        </w:tc>
        <w:tc>
          <w:tcPr>
            <w:tcW w:w="6245" w:type="dxa"/>
            <w:gridSpan w:val="6"/>
            <w:vAlign w:val="center"/>
          </w:tcPr>
          <w:p w14:paraId="1E2FD150">
            <w:pPr>
              <w:snapToGrid w:val="0"/>
              <w:spacing w:line="360" w:lineRule="auto"/>
              <w:rPr>
                <w:rFonts w:ascii="宋体" w:hAnsi="宋体" w:cs="宋体"/>
                <w:sz w:val="24"/>
              </w:rPr>
            </w:pPr>
            <w:r>
              <w:rPr>
                <w:rFonts w:hint="eastAsia" w:ascii="宋体" w:hAnsi="宋体" w:cs="宋体"/>
                <w:sz w:val="24"/>
              </w:rPr>
              <w:t>大写：</w:t>
            </w:r>
          </w:p>
          <w:p w14:paraId="2B7D9FCA">
            <w:pPr>
              <w:pStyle w:val="28"/>
              <w:ind w:left="1124" w:leftChars="21" w:hangingChars="450"/>
            </w:pPr>
            <w:r>
              <w:rPr>
                <w:rFonts w:hint="eastAsia"/>
              </w:rPr>
              <w:t>小写：</w:t>
            </w:r>
          </w:p>
        </w:tc>
      </w:tr>
      <w:tr w14:paraId="3C0B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08C74B3B">
            <w:pPr>
              <w:snapToGrid w:val="0"/>
              <w:spacing w:line="360" w:lineRule="auto"/>
              <w:jc w:val="center"/>
              <w:rPr>
                <w:rFonts w:ascii="宋体" w:hAnsi="宋体" w:cs="宋体"/>
                <w:sz w:val="24"/>
              </w:rPr>
            </w:pPr>
            <w:r>
              <w:rPr>
                <w:rFonts w:hint="eastAsia" w:ascii="宋体" w:hAnsi="宋体" w:cs="宋体"/>
                <w:sz w:val="24"/>
              </w:rPr>
              <w:t>服务期限</w:t>
            </w:r>
          </w:p>
        </w:tc>
        <w:tc>
          <w:tcPr>
            <w:tcW w:w="6245" w:type="dxa"/>
            <w:gridSpan w:val="6"/>
            <w:vAlign w:val="center"/>
          </w:tcPr>
          <w:p w14:paraId="01C54275">
            <w:pPr>
              <w:snapToGrid w:val="0"/>
              <w:spacing w:line="360" w:lineRule="auto"/>
              <w:jc w:val="center"/>
              <w:rPr>
                <w:rFonts w:ascii="宋体" w:hAnsi="宋体" w:cs="宋体"/>
                <w:sz w:val="24"/>
              </w:rPr>
            </w:pPr>
          </w:p>
        </w:tc>
      </w:tr>
      <w:tr w14:paraId="12E0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24EC7E1E">
            <w:pPr>
              <w:snapToGrid w:val="0"/>
              <w:spacing w:line="360" w:lineRule="auto"/>
              <w:jc w:val="center"/>
              <w:rPr>
                <w:rFonts w:ascii="宋体" w:hAnsi="宋体" w:cs="宋体"/>
                <w:sz w:val="24"/>
              </w:rPr>
            </w:pPr>
            <w:r>
              <w:rPr>
                <w:rFonts w:hint="eastAsia" w:ascii="宋体" w:hAnsi="宋体" w:cs="宋体"/>
                <w:sz w:val="24"/>
              </w:rPr>
              <w:t>投标有效期</w:t>
            </w:r>
          </w:p>
        </w:tc>
        <w:tc>
          <w:tcPr>
            <w:tcW w:w="6245" w:type="dxa"/>
            <w:gridSpan w:val="6"/>
            <w:vAlign w:val="center"/>
          </w:tcPr>
          <w:p w14:paraId="50752581">
            <w:pPr>
              <w:snapToGrid w:val="0"/>
              <w:spacing w:line="360" w:lineRule="auto"/>
              <w:jc w:val="center"/>
              <w:rPr>
                <w:rFonts w:ascii="宋体" w:hAnsi="宋体" w:cs="宋体"/>
                <w:sz w:val="24"/>
              </w:rPr>
            </w:pPr>
            <w:r>
              <w:rPr>
                <w:rFonts w:hint="eastAsia" w:ascii="宋体" w:hAnsi="宋体" w:cs="宋体"/>
                <w:sz w:val="24"/>
              </w:rPr>
              <w:t>（从投标截止之日算起）</w:t>
            </w:r>
          </w:p>
        </w:tc>
      </w:tr>
      <w:tr w14:paraId="07CD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0B1CEEC0">
            <w:pPr>
              <w:snapToGrid w:val="0"/>
              <w:spacing w:line="360" w:lineRule="auto"/>
              <w:jc w:val="center"/>
              <w:rPr>
                <w:rFonts w:ascii="宋体" w:hAnsi="宋体" w:cs="宋体"/>
                <w:sz w:val="24"/>
              </w:rPr>
            </w:pPr>
            <w:r>
              <w:rPr>
                <w:rFonts w:hint="eastAsia" w:ascii="宋体" w:hAnsi="宋体" w:cs="宋体"/>
                <w:sz w:val="24"/>
              </w:rPr>
              <w:t>质量要求</w:t>
            </w:r>
          </w:p>
        </w:tc>
        <w:tc>
          <w:tcPr>
            <w:tcW w:w="6245" w:type="dxa"/>
            <w:gridSpan w:val="6"/>
            <w:vAlign w:val="center"/>
          </w:tcPr>
          <w:p w14:paraId="018DC4EA">
            <w:pPr>
              <w:snapToGrid w:val="0"/>
              <w:spacing w:line="360" w:lineRule="auto"/>
              <w:jc w:val="center"/>
              <w:rPr>
                <w:rFonts w:ascii="宋体" w:hAnsi="宋体" w:cs="宋体"/>
                <w:sz w:val="24"/>
              </w:rPr>
            </w:pPr>
          </w:p>
        </w:tc>
      </w:tr>
      <w:tr w14:paraId="592D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064DE9AE">
            <w:pPr>
              <w:snapToGrid w:val="0"/>
              <w:spacing w:line="360" w:lineRule="auto"/>
              <w:jc w:val="center"/>
              <w:rPr>
                <w:rFonts w:ascii="宋体" w:hAnsi="宋体" w:cs="宋体"/>
                <w:sz w:val="24"/>
              </w:rPr>
            </w:pPr>
            <w:r>
              <w:rPr>
                <w:rFonts w:hint="eastAsia" w:ascii="宋体" w:hAnsi="宋体" w:cs="宋体"/>
                <w:sz w:val="24"/>
              </w:rPr>
              <w:t>项目负责人</w:t>
            </w:r>
          </w:p>
        </w:tc>
        <w:tc>
          <w:tcPr>
            <w:tcW w:w="851" w:type="dxa"/>
            <w:vAlign w:val="center"/>
          </w:tcPr>
          <w:p w14:paraId="1693C610">
            <w:pPr>
              <w:snapToGrid w:val="0"/>
              <w:spacing w:line="360" w:lineRule="auto"/>
              <w:jc w:val="center"/>
              <w:rPr>
                <w:rFonts w:ascii="宋体" w:hAnsi="宋体" w:cs="宋体"/>
                <w:sz w:val="24"/>
              </w:rPr>
            </w:pPr>
            <w:r>
              <w:rPr>
                <w:rFonts w:hint="eastAsia" w:ascii="宋体" w:hAnsi="宋体" w:cs="宋体"/>
                <w:sz w:val="24"/>
              </w:rPr>
              <w:t>姓名</w:t>
            </w:r>
          </w:p>
        </w:tc>
        <w:tc>
          <w:tcPr>
            <w:tcW w:w="1134" w:type="dxa"/>
            <w:vAlign w:val="center"/>
          </w:tcPr>
          <w:p w14:paraId="3DF41587">
            <w:pPr>
              <w:snapToGrid w:val="0"/>
              <w:spacing w:line="360" w:lineRule="auto"/>
              <w:jc w:val="center"/>
              <w:rPr>
                <w:rFonts w:ascii="宋体" w:hAnsi="宋体" w:cs="宋体"/>
                <w:sz w:val="24"/>
              </w:rPr>
            </w:pPr>
          </w:p>
        </w:tc>
        <w:tc>
          <w:tcPr>
            <w:tcW w:w="879" w:type="dxa"/>
            <w:vAlign w:val="center"/>
          </w:tcPr>
          <w:p w14:paraId="28CB375E">
            <w:pPr>
              <w:snapToGrid w:val="0"/>
              <w:spacing w:line="360" w:lineRule="auto"/>
              <w:jc w:val="center"/>
              <w:rPr>
                <w:rFonts w:ascii="宋体" w:hAnsi="宋体" w:cs="宋体"/>
                <w:sz w:val="24"/>
              </w:rPr>
            </w:pPr>
            <w:r>
              <w:rPr>
                <w:rFonts w:hint="eastAsia" w:ascii="宋体" w:hAnsi="宋体" w:cs="宋体"/>
                <w:sz w:val="24"/>
              </w:rPr>
              <w:t>专业</w:t>
            </w:r>
          </w:p>
        </w:tc>
        <w:tc>
          <w:tcPr>
            <w:tcW w:w="1247" w:type="dxa"/>
            <w:vAlign w:val="center"/>
          </w:tcPr>
          <w:p w14:paraId="619EC8A8">
            <w:pPr>
              <w:snapToGrid w:val="0"/>
              <w:spacing w:line="360" w:lineRule="auto"/>
              <w:jc w:val="center"/>
              <w:rPr>
                <w:rFonts w:ascii="宋体" w:hAnsi="宋体" w:cs="宋体"/>
                <w:sz w:val="24"/>
              </w:rPr>
            </w:pPr>
          </w:p>
        </w:tc>
        <w:tc>
          <w:tcPr>
            <w:tcW w:w="851" w:type="dxa"/>
            <w:vAlign w:val="center"/>
          </w:tcPr>
          <w:p w14:paraId="23E7D644">
            <w:pPr>
              <w:snapToGrid w:val="0"/>
              <w:spacing w:line="360" w:lineRule="auto"/>
              <w:jc w:val="center"/>
              <w:rPr>
                <w:rFonts w:ascii="宋体" w:hAnsi="宋体" w:cs="宋体"/>
                <w:sz w:val="24"/>
              </w:rPr>
            </w:pPr>
            <w:r>
              <w:rPr>
                <w:rFonts w:hint="eastAsia" w:ascii="宋体" w:hAnsi="宋体" w:cs="宋体"/>
                <w:sz w:val="24"/>
              </w:rPr>
              <w:t>职称</w:t>
            </w:r>
          </w:p>
        </w:tc>
        <w:tc>
          <w:tcPr>
            <w:tcW w:w="1283" w:type="dxa"/>
            <w:vAlign w:val="center"/>
          </w:tcPr>
          <w:p w14:paraId="314E6CFF">
            <w:pPr>
              <w:snapToGrid w:val="0"/>
              <w:spacing w:line="360" w:lineRule="auto"/>
              <w:jc w:val="center"/>
              <w:rPr>
                <w:rFonts w:ascii="宋体" w:hAnsi="宋体" w:cs="宋体"/>
                <w:sz w:val="24"/>
              </w:rPr>
            </w:pPr>
          </w:p>
        </w:tc>
      </w:tr>
      <w:tr w14:paraId="78A4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2277" w:type="dxa"/>
            <w:vAlign w:val="center"/>
          </w:tcPr>
          <w:p w14:paraId="3C02BCBA">
            <w:pPr>
              <w:snapToGrid w:val="0"/>
              <w:spacing w:line="360" w:lineRule="auto"/>
              <w:jc w:val="center"/>
              <w:rPr>
                <w:rFonts w:ascii="宋体" w:hAnsi="宋体" w:cs="宋体"/>
                <w:sz w:val="24"/>
              </w:rPr>
            </w:pPr>
            <w:r>
              <w:rPr>
                <w:rFonts w:hint="eastAsia" w:ascii="宋体" w:hAnsi="宋体" w:cs="宋体"/>
                <w:sz w:val="24"/>
              </w:rPr>
              <w:t>备注</w:t>
            </w:r>
          </w:p>
        </w:tc>
        <w:tc>
          <w:tcPr>
            <w:tcW w:w="6245" w:type="dxa"/>
            <w:gridSpan w:val="6"/>
            <w:vAlign w:val="center"/>
          </w:tcPr>
          <w:p w14:paraId="59E7F05E">
            <w:pPr>
              <w:snapToGrid w:val="0"/>
              <w:spacing w:line="360" w:lineRule="auto"/>
              <w:jc w:val="left"/>
              <w:rPr>
                <w:rFonts w:ascii="宋体" w:hAnsi="宋体" w:cs="宋体"/>
                <w:sz w:val="24"/>
              </w:rPr>
            </w:pPr>
          </w:p>
        </w:tc>
      </w:tr>
    </w:tbl>
    <w:p w14:paraId="283EA9C1">
      <w:pPr>
        <w:snapToGrid w:val="0"/>
        <w:spacing w:line="360" w:lineRule="auto"/>
        <w:jc w:val="left"/>
        <w:rPr>
          <w:rFonts w:ascii="宋体" w:hAnsi="宋体" w:cs="宋体"/>
          <w:sz w:val="24"/>
        </w:rPr>
      </w:pPr>
    </w:p>
    <w:p w14:paraId="28A9E771">
      <w:pPr>
        <w:snapToGrid w:val="0"/>
        <w:spacing w:line="360" w:lineRule="auto"/>
        <w:ind w:right="525"/>
        <w:jc w:val="center"/>
        <w:rPr>
          <w:rFonts w:ascii="宋体" w:hAnsi="宋体" w:cs="宋体"/>
          <w:sz w:val="24"/>
        </w:rPr>
      </w:pPr>
      <w:r>
        <w:rPr>
          <w:rFonts w:hint="eastAsia" w:ascii="宋体" w:hAnsi="宋体" w:cs="宋体"/>
          <w:sz w:val="24"/>
        </w:rPr>
        <w:t xml:space="preserve">           投标人：(电子签章)</w:t>
      </w:r>
    </w:p>
    <w:p w14:paraId="7691D07A">
      <w:pPr>
        <w:snapToGrid w:val="0"/>
        <w:spacing w:line="360" w:lineRule="auto"/>
        <w:ind w:firstLine="4512" w:firstLineChars="1880"/>
        <w:rPr>
          <w:rFonts w:ascii="宋体" w:hAnsi="宋体" w:cs="宋体"/>
          <w:sz w:val="24"/>
        </w:rPr>
      </w:pPr>
      <w:r>
        <w:rPr>
          <w:rFonts w:hint="eastAsia" w:ascii="宋体" w:hAnsi="宋体" w:cs="宋体"/>
          <w:sz w:val="24"/>
        </w:rPr>
        <w:t>法定代表人：(电子签章)</w:t>
      </w:r>
    </w:p>
    <w:p w14:paraId="594EFE26">
      <w:pPr>
        <w:snapToGrid w:val="0"/>
        <w:spacing w:line="360" w:lineRule="auto"/>
        <w:ind w:firstLine="5400" w:firstLineChars="2250"/>
        <w:rPr>
          <w:rFonts w:ascii="宋体" w:hAnsi="宋体" w:cs="宋体"/>
          <w:sz w:val="24"/>
        </w:rPr>
      </w:pPr>
      <w:r>
        <w:rPr>
          <w:rFonts w:hint="eastAsia" w:ascii="宋体" w:hAnsi="宋体" w:cs="宋体"/>
          <w:sz w:val="24"/>
        </w:rPr>
        <w:t>年  月  日</w:t>
      </w:r>
    </w:p>
    <w:p w14:paraId="614CDCC5">
      <w:pPr>
        <w:snapToGrid w:val="0"/>
        <w:spacing w:line="360" w:lineRule="auto"/>
        <w:ind w:firstLine="4725" w:firstLineChars="2250"/>
        <w:rPr>
          <w:rFonts w:ascii="宋体" w:hAnsi="宋体" w:cs="宋体"/>
          <w:szCs w:val="21"/>
        </w:rPr>
      </w:pPr>
    </w:p>
    <w:p w14:paraId="16C964EF">
      <w:pPr>
        <w:snapToGrid w:val="0"/>
        <w:spacing w:line="360" w:lineRule="auto"/>
        <w:ind w:firstLine="4725" w:firstLineChars="2250"/>
        <w:rPr>
          <w:rFonts w:ascii="宋体" w:hAnsi="宋体" w:cs="宋体"/>
          <w:szCs w:val="21"/>
        </w:rPr>
      </w:pPr>
    </w:p>
    <w:p w14:paraId="66D81CB2">
      <w:pPr>
        <w:pStyle w:val="4"/>
        <w:snapToGrid w:val="0"/>
        <w:spacing w:before="0" w:after="0" w:line="360" w:lineRule="auto"/>
        <w:ind w:firstLine="157"/>
        <w:jc w:val="center"/>
        <w:rPr>
          <w:rFonts w:ascii="宋体" w:hAnsi="Cambria" w:cs="宋体"/>
          <w:b w:val="0"/>
          <w:bCs w:val="0"/>
          <w:sz w:val="28"/>
          <w:szCs w:val="28"/>
        </w:rPr>
      </w:pPr>
      <w:bookmarkStart w:id="427" w:name="_Toc5100"/>
      <w:bookmarkStart w:id="428" w:name="_Toc18796"/>
      <w:bookmarkStart w:id="429" w:name="_Toc20132_WPSOffice_Level1"/>
      <w:bookmarkStart w:id="430" w:name="_Toc23160_WPSOffice_Level1"/>
      <w:bookmarkStart w:id="431" w:name="_Toc300835213"/>
      <w:r>
        <w:rPr>
          <w:rStyle w:val="46"/>
          <w:rFonts w:ascii="宋体" w:cs="宋体"/>
          <w:b w:val="0"/>
          <w:bCs w:val="0"/>
        </w:rPr>
        <w:br w:type="page"/>
      </w:r>
      <w:r>
        <w:rPr>
          <w:rStyle w:val="46"/>
          <w:rFonts w:hint="eastAsia" w:ascii="宋体" w:cs="宋体"/>
          <w:b w:val="0"/>
          <w:bCs w:val="0"/>
        </w:rPr>
        <w:t>二、法定代表人身份证明</w:t>
      </w:r>
      <w:bookmarkEnd w:id="427"/>
      <w:bookmarkEnd w:id="428"/>
      <w:bookmarkEnd w:id="429"/>
      <w:bookmarkEnd w:id="430"/>
      <w:bookmarkEnd w:id="431"/>
    </w:p>
    <w:p w14:paraId="7AC65ADD">
      <w:pPr>
        <w:snapToGrid w:val="0"/>
        <w:spacing w:line="360" w:lineRule="auto"/>
        <w:rPr>
          <w:rFonts w:ascii="宋体" w:hAnsi="宋体" w:cs="宋体"/>
          <w:szCs w:val="21"/>
        </w:rPr>
      </w:pPr>
    </w:p>
    <w:p w14:paraId="0A102CF7">
      <w:pPr>
        <w:snapToGrid w:val="0"/>
        <w:spacing w:line="420" w:lineRule="auto"/>
        <w:rPr>
          <w:rFonts w:ascii="宋体" w:hAnsi="宋体" w:cs="宋体"/>
          <w:sz w:val="24"/>
        </w:rPr>
      </w:pPr>
      <w:r>
        <w:rPr>
          <w:rFonts w:hint="eastAsia" w:ascii="宋体" w:hAnsi="宋体" w:cs="宋体"/>
          <w:sz w:val="24"/>
        </w:rPr>
        <w:t>投标人名称：</w:t>
      </w:r>
    </w:p>
    <w:p w14:paraId="5894434E">
      <w:pPr>
        <w:snapToGrid w:val="0"/>
        <w:spacing w:line="420" w:lineRule="auto"/>
        <w:rPr>
          <w:rFonts w:ascii="宋体" w:hAnsi="宋体" w:cs="宋体"/>
          <w:sz w:val="24"/>
        </w:rPr>
      </w:pPr>
      <w:r>
        <w:rPr>
          <w:rFonts w:hint="eastAsia" w:ascii="宋体" w:hAnsi="宋体" w:cs="宋体"/>
          <w:sz w:val="24"/>
        </w:rPr>
        <w:t>单位性质：</w:t>
      </w:r>
    </w:p>
    <w:p w14:paraId="733A7A41">
      <w:pPr>
        <w:snapToGrid w:val="0"/>
        <w:spacing w:line="420" w:lineRule="auto"/>
        <w:rPr>
          <w:rFonts w:ascii="宋体" w:hAnsi="宋体" w:cs="宋体"/>
          <w:sz w:val="24"/>
        </w:rPr>
      </w:pPr>
      <w:r>
        <w:rPr>
          <w:rFonts w:hint="eastAsia" w:ascii="宋体" w:hAnsi="宋体" w:cs="宋体"/>
          <w:sz w:val="24"/>
        </w:rPr>
        <w:t>地址：</w:t>
      </w:r>
    </w:p>
    <w:p w14:paraId="6D5151FB">
      <w:pPr>
        <w:snapToGrid w:val="0"/>
        <w:spacing w:line="420" w:lineRule="auto"/>
        <w:rPr>
          <w:rFonts w:ascii="宋体" w:hAnsi="宋体" w:cs="宋体"/>
          <w:sz w:val="24"/>
        </w:rPr>
      </w:pPr>
      <w:r>
        <w:rPr>
          <w:rFonts w:hint="eastAsia" w:ascii="宋体" w:hAnsi="宋体" w:cs="宋体"/>
          <w:sz w:val="24"/>
        </w:rPr>
        <w:t>成立时间：年月日</w:t>
      </w:r>
    </w:p>
    <w:p w14:paraId="75DA560A">
      <w:pPr>
        <w:snapToGrid w:val="0"/>
        <w:spacing w:line="420" w:lineRule="auto"/>
        <w:rPr>
          <w:rFonts w:ascii="宋体" w:hAnsi="宋体" w:cs="宋体"/>
          <w:sz w:val="24"/>
        </w:rPr>
      </w:pPr>
      <w:r>
        <w:rPr>
          <w:rFonts w:hint="eastAsia" w:ascii="宋体" w:hAnsi="宋体" w:cs="宋体"/>
          <w:sz w:val="24"/>
        </w:rPr>
        <w:t>经营期限：</w:t>
      </w:r>
    </w:p>
    <w:p w14:paraId="766CACBB">
      <w:pPr>
        <w:snapToGrid w:val="0"/>
        <w:spacing w:line="420" w:lineRule="auto"/>
        <w:rPr>
          <w:rFonts w:ascii="宋体" w:hAnsi="宋体" w:cs="宋体"/>
          <w:sz w:val="24"/>
        </w:rPr>
      </w:pPr>
      <w:r>
        <w:rPr>
          <w:rFonts w:hint="eastAsia" w:ascii="宋体" w:hAnsi="宋体" w:cs="宋体"/>
          <w:sz w:val="24"/>
        </w:rPr>
        <w:t>姓名： 性别： 年龄：职务：</w:t>
      </w:r>
    </w:p>
    <w:p w14:paraId="18B3015B">
      <w:pPr>
        <w:snapToGrid w:val="0"/>
        <w:spacing w:line="420" w:lineRule="auto"/>
        <w:rPr>
          <w:rFonts w:ascii="宋体" w:hAnsi="宋体" w:cs="宋体"/>
          <w:sz w:val="24"/>
        </w:rPr>
      </w:pPr>
      <w:r>
        <w:rPr>
          <w:rFonts w:hint="eastAsia" w:ascii="宋体" w:hAnsi="宋体" w:cs="宋体"/>
          <w:sz w:val="24"/>
        </w:rPr>
        <w:t>系 (投标人名称)的法定代表人。</w:t>
      </w:r>
    </w:p>
    <w:p w14:paraId="1242D8CC">
      <w:pPr>
        <w:snapToGrid w:val="0"/>
        <w:spacing w:line="420" w:lineRule="auto"/>
        <w:ind w:firstLine="480" w:firstLineChars="200"/>
        <w:rPr>
          <w:rFonts w:ascii="宋体" w:hAnsi="宋体" w:cs="宋体"/>
          <w:sz w:val="24"/>
        </w:rPr>
      </w:pPr>
    </w:p>
    <w:p w14:paraId="169F851B">
      <w:pPr>
        <w:snapToGrid w:val="0"/>
        <w:spacing w:line="420" w:lineRule="auto"/>
        <w:ind w:firstLine="480" w:firstLineChars="200"/>
        <w:rPr>
          <w:rFonts w:ascii="宋体" w:hAnsi="宋体" w:cs="宋体"/>
          <w:sz w:val="24"/>
        </w:rPr>
      </w:pPr>
      <w:r>
        <w:rPr>
          <w:rFonts w:hint="eastAsia" w:ascii="宋体" w:hAnsi="宋体" w:cs="宋体"/>
          <w:sz w:val="24"/>
        </w:rPr>
        <w:t>特此证明。</w:t>
      </w:r>
    </w:p>
    <w:p w14:paraId="1C977BE6">
      <w:pPr>
        <w:spacing w:line="420" w:lineRule="auto"/>
        <w:rPr>
          <w:rFonts w:ascii="宋体" w:hAnsi="宋体"/>
          <w:sz w:val="24"/>
        </w:rPr>
      </w:pPr>
      <w:r>
        <w:rPr>
          <w:rFonts w:hint="eastAsia" w:ascii="宋体" w:hAnsi="宋体"/>
          <w:sz w:val="24"/>
        </w:rPr>
        <w:t>附：法定代表人身份证扫描</w:t>
      </w:r>
      <w:r>
        <w:rPr>
          <w:rFonts w:ascii="宋体" w:hAnsi="宋体"/>
          <w:sz w:val="24"/>
        </w:rPr>
        <w:t>件</w:t>
      </w:r>
      <w:r>
        <w:rPr>
          <w:rFonts w:hint="eastAsia" w:ascii="宋体" w:hAnsi="宋体"/>
          <w:sz w:val="24"/>
        </w:rPr>
        <w:t>。</w:t>
      </w:r>
    </w:p>
    <w:p w14:paraId="5D0D6335">
      <w:pPr>
        <w:snapToGrid w:val="0"/>
        <w:spacing w:line="420" w:lineRule="auto"/>
        <w:rPr>
          <w:rFonts w:ascii="宋体" w:hAnsi="宋体" w:cs="宋体"/>
          <w:sz w:val="24"/>
        </w:rPr>
      </w:pPr>
    </w:p>
    <w:p w14:paraId="6757D3BC">
      <w:pPr>
        <w:snapToGrid w:val="0"/>
        <w:spacing w:line="360" w:lineRule="auto"/>
        <w:rPr>
          <w:rFonts w:ascii="宋体" w:hAnsi="宋体" w:cs="宋体"/>
          <w:sz w:val="24"/>
        </w:rPr>
      </w:pPr>
      <w:r>
        <w:rPr>
          <w:rFonts w:hint="eastAsia" w:ascii="宋体" w:hAnsi="宋体" w:cs="宋体"/>
          <w:sz w:val="24"/>
        </w:rPr>
        <w:t xml:space="preserve">                                                   </w:t>
      </w:r>
    </w:p>
    <w:p w14:paraId="1FAD884E">
      <w:pPr>
        <w:snapToGrid w:val="0"/>
        <w:spacing w:line="360" w:lineRule="auto"/>
        <w:rPr>
          <w:rFonts w:ascii="宋体" w:hAnsi="宋体" w:cs="宋体"/>
          <w:sz w:val="24"/>
        </w:rPr>
      </w:pPr>
    </w:p>
    <w:p w14:paraId="37834972">
      <w:pPr>
        <w:snapToGrid w:val="0"/>
        <w:spacing w:line="360" w:lineRule="auto"/>
        <w:rPr>
          <w:rFonts w:ascii="宋体" w:hAnsi="宋体" w:cs="宋体"/>
          <w:sz w:val="24"/>
        </w:rPr>
      </w:pPr>
      <w:r>
        <w:rPr>
          <w:rFonts w:hint="eastAsia" w:ascii="宋体" w:hAnsi="宋体" w:cs="宋体"/>
          <w:sz w:val="24"/>
        </w:rPr>
        <w:t xml:space="preserve"> 投标人：(电子签章)</w:t>
      </w:r>
    </w:p>
    <w:p w14:paraId="6CF7AE66">
      <w:pPr>
        <w:snapToGrid w:val="0"/>
        <w:spacing w:line="360" w:lineRule="auto"/>
        <w:ind w:firstLine="480" w:firstLineChars="200"/>
        <w:rPr>
          <w:rFonts w:ascii="宋体" w:hAnsi="宋体" w:cs="宋体"/>
          <w:sz w:val="24"/>
        </w:rPr>
      </w:pPr>
      <w:r>
        <w:rPr>
          <w:rFonts w:hint="eastAsia" w:ascii="宋体" w:hAnsi="宋体" w:cs="宋体"/>
          <w:sz w:val="24"/>
        </w:rPr>
        <w:t xml:space="preserve">年  月  日           </w:t>
      </w:r>
    </w:p>
    <w:p w14:paraId="0187005C">
      <w:pPr>
        <w:pStyle w:val="4"/>
        <w:snapToGrid w:val="0"/>
        <w:spacing w:before="0" w:after="0" w:line="360" w:lineRule="auto"/>
        <w:ind w:firstLine="98"/>
        <w:jc w:val="center"/>
        <w:rPr>
          <w:rStyle w:val="46"/>
          <w:rFonts w:ascii="宋体" w:cs="宋体"/>
          <w:b w:val="0"/>
          <w:bCs w:val="0"/>
        </w:rPr>
      </w:pPr>
      <w:r>
        <w:rPr>
          <w:rFonts w:hint="eastAsia" w:ascii="宋体" w:cs="宋体"/>
          <w:sz w:val="20"/>
          <w:szCs w:val="20"/>
        </w:rPr>
        <w:br w:type="page"/>
      </w:r>
      <w:bookmarkStart w:id="432" w:name="_Toc12427"/>
      <w:bookmarkStart w:id="433" w:name="_Toc29730"/>
      <w:bookmarkStart w:id="434" w:name="_Toc30058_WPSOffice_Level1"/>
      <w:bookmarkStart w:id="435" w:name="_Toc300835214"/>
      <w:bookmarkStart w:id="436" w:name="_Toc7476_WPSOffice_Level1"/>
      <w:r>
        <w:rPr>
          <w:rStyle w:val="46"/>
          <w:rFonts w:hint="eastAsia" w:ascii="宋体" w:cs="宋体"/>
          <w:b w:val="0"/>
          <w:bCs w:val="0"/>
        </w:rPr>
        <w:t>三、授权委托书</w:t>
      </w:r>
      <w:bookmarkEnd w:id="432"/>
      <w:bookmarkEnd w:id="433"/>
      <w:bookmarkEnd w:id="434"/>
      <w:bookmarkEnd w:id="435"/>
      <w:bookmarkEnd w:id="436"/>
    </w:p>
    <w:p w14:paraId="2F75F5A7">
      <w:pPr>
        <w:snapToGrid w:val="0"/>
        <w:spacing w:line="360" w:lineRule="auto"/>
        <w:rPr>
          <w:rFonts w:ascii="宋体" w:hAnsi="宋体" w:cs="宋体"/>
          <w:szCs w:val="21"/>
        </w:rPr>
      </w:pPr>
    </w:p>
    <w:p w14:paraId="255D74CD">
      <w:pPr>
        <w:topLinePunct/>
        <w:snapToGrid w:val="0"/>
        <w:spacing w:line="360" w:lineRule="auto"/>
        <w:ind w:firstLine="480" w:firstLineChars="200"/>
        <w:rPr>
          <w:rFonts w:ascii="宋体" w:hAnsi="宋体" w:cs="宋体"/>
          <w:sz w:val="24"/>
        </w:rPr>
      </w:pPr>
      <w:r>
        <w:rPr>
          <w:rFonts w:hint="eastAsia" w:ascii="宋体" w:hAnsi="宋体" w:cs="宋体"/>
          <w:sz w:val="24"/>
        </w:rPr>
        <w:t>本人(姓名)系</w:t>
      </w:r>
      <w:r>
        <w:rPr>
          <w:rFonts w:hint="eastAsia" w:ascii="宋体" w:hAnsi="宋体" w:cs="宋体"/>
          <w:sz w:val="24"/>
          <w:u w:val="single"/>
          <w:lang w:val="en-US" w:eastAsia="zh-CN"/>
        </w:rPr>
        <w:t xml:space="preserve">        </w:t>
      </w:r>
      <w:r>
        <w:rPr>
          <w:rFonts w:hint="eastAsia" w:ascii="宋体" w:hAnsi="宋体" w:cs="宋体"/>
          <w:sz w:val="24"/>
        </w:rPr>
        <w:t>(投标人名称)的法定代表人，现委托</w:t>
      </w:r>
      <w:r>
        <w:rPr>
          <w:rFonts w:hint="eastAsia" w:ascii="宋体" w:hAnsi="宋体" w:cs="宋体"/>
          <w:sz w:val="24"/>
          <w:u w:val="single"/>
          <w:lang w:val="en-US" w:eastAsia="zh-CN"/>
        </w:rPr>
        <w:t xml:space="preserve">      </w:t>
      </w:r>
      <w:r>
        <w:rPr>
          <w:rFonts w:hint="eastAsia" w:ascii="宋体" w:hAnsi="宋体" w:cs="宋体"/>
          <w:sz w:val="24"/>
        </w:rPr>
        <w:t>(姓名)为我方代理人。代理人根据授权，以我方名义签署、澄清、说明、补正、递交、撤回、修改</w:t>
      </w:r>
      <w:r>
        <w:rPr>
          <w:rFonts w:hint="eastAsia" w:ascii="宋体" w:hAnsi="宋体" w:cs="宋体"/>
          <w:sz w:val="24"/>
          <w:u w:val="single"/>
          <w:lang w:val="en-US" w:eastAsia="zh-CN"/>
        </w:rPr>
        <w:t xml:space="preserve">          </w:t>
      </w:r>
      <w:r>
        <w:rPr>
          <w:rFonts w:hint="eastAsia" w:ascii="宋体" w:hAnsi="宋体" w:cs="宋体"/>
          <w:sz w:val="24"/>
        </w:rPr>
        <w:t>(项目名称)投标文件、签订合同和处理有关事宜，其法律后果由我方承担。</w:t>
      </w:r>
    </w:p>
    <w:p w14:paraId="69C5725F">
      <w:pPr>
        <w:snapToGrid w:val="0"/>
        <w:spacing w:line="360" w:lineRule="auto"/>
        <w:rPr>
          <w:rFonts w:ascii="宋体" w:hAnsi="宋体" w:cs="宋体"/>
          <w:sz w:val="24"/>
        </w:rPr>
      </w:pPr>
      <w:r>
        <w:rPr>
          <w:rFonts w:hint="eastAsia" w:ascii="宋体" w:hAnsi="宋体" w:cs="宋体"/>
          <w:sz w:val="24"/>
        </w:rPr>
        <w:t xml:space="preserve">    委托期限：</w:t>
      </w:r>
      <w:r>
        <w:rPr>
          <w:rFonts w:hint="eastAsia" w:ascii="宋体" w:hAnsi="宋体"/>
          <w:sz w:val="24"/>
          <w:u w:val="single"/>
        </w:rPr>
        <w:t>90</w:t>
      </w:r>
      <w:r>
        <w:rPr>
          <w:rFonts w:hint="eastAsia" w:ascii="宋体" w:hAnsi="宋体"/>
          <w:sz w:val="24"/>
        </w:rPr>
        <w:t>日历天（从投标截止之日算起）</w:t>
      </w:r>
      <w:r>
        <w:rPr>
          <w:rFonts w:hint="eastAsia" w:ascii="宋体" w:hAnsi="宋体" w:cs="宋体"/>
          <w:sz w:val="24"/>
        </w:rPr>
        <w:t>。</w:t>
      </w:r>
    </w:p>
    <w:p w14:paraId="797DB1FB">
      <w:pPr>
        <w:snapToGrid w:val="0"/>
        <w:spacing w:line="360" w:lineRule="auto"/>
        <w:ind w:firstLine="480" w:firstLineChars="200"/>
        <w:rPr>
          <w:rFonts w:ascii="宋体" w:hAnsi="宋体" w:cs="宋体"/>
          <w:sz w:val="24"/>
        </w:rPr>
      </w:pPr>
      <w:r>
        <w:rPr>
          <w:rFonts w:hint="eastAsia" w:ascii="宋体" w:hAnsi="宋体" w:cs="宋体"/>
          <w:sz w:val="24"/>
        </w:rPr>
        <w:t>代理人无转委托权。</w:t>
      </w:r>
    </w:p>
    <w:p w14:paraId="4C1EF046">
      <w:pPr>
        <w:snapToGrid w:val="0"/>
        <w:spacing w:line="360" w:lineRule="auto"/>
        <w:rPr>
          <w:rFonts w:ascii="宋体" w:hAnsi="宋体" w:cs="宋体"/>
          <w:sz w:val="24"/>
        </w:rPr>
      </w:pPr>
      <w:r>
        <w:rPr>
          <w:rFonts w:hint="eastAsia" w:ascii="宋体" w:hAnsi="宋体" w:cs="宋体"/>
          <w:sz w:val="24"/>
        </w:rPr>
        <w:t>附：</w:t>
      </w:r>
      <w:r>
        <w:rPr>
          <w:rFonts w:hint="eastAsia" w:ascii="宋体" w:hAnsi="宋体"/>
          <w:sz w:val="24"/>
        </w:rPr>
        <w:t>法定代表人身份证扫描件、委托代理人身份证扫描件</w:t>
      </w:r>
    </w:p>
    <w:p w14:paraId="58CE76F0">
      <w:pPr>
        <w:snapToGrid w:val="0"/>
        <w:spacing w:line="360" w:lineRule="auto"/>
        <w:rPr>
          <w:rFonts w:ascii="宋体" w:hAnsi="宋体" w:cs="宋体"/>
          <w:sz w:val="24"/>
        </w:rPr>
      </w:pPr>
    </w:p>
    <w:p w14:paraId="61D0C325">
      <w:pPr>
        <w:snapToGrid w:val="0"/>
        <w:spacing w:line="360" w:lineRule="auto"/>
        <w:rPr>
          <w:rFonts w:ascii="宋体" w:hAnsi="宋体" w:cs="宋体"/>
          <w:sz w:val="24"/>
        </w:rPr>
      </w:pPr>
    </w:p>
    <w:p w14:paraId="4A67EA9C">
      <w:pPr>
        <w:snapToGrid w:val="0"/>
        <w:spacing w:line="360" w:lineRule="auto"/>
        <w:rPr>
          <w:rFonts w:ascii="宋体" w:hAnsi="宋体" w:cs="宋体"/>
          <w:sz w:val="24"/>
        </w:rPr>
      </w:pPr>
    </w:p>
    <w:p w14:paraId="069C8B8F">
      <w:pPr>
        <w:snapToGrid w:val="0"/>
        <w:spacing w:line="360" w:lineRule="auto"/>
        <w:rPr>
          <w:rFonts w:ascii="宋体" w:hAnsi="宋体" w:cs="宋体"/>
          <w:sz w:val="24"/>
        </w:rPr>
      </w:pPr>
      <w:r>
        <w:rPr>
          <w:rFonts w:hint="eastAsia" w:ascii="宋体" w:hAnsi="宋体" w:cs="宋体"/>
          <w:sz w:val="24"/>
        </w:rPr>
        <w:t>投标人：(电子签章)</w:t>
      </w:r>
    </w:p>
    <w:p w14:paraId="6061DF9D">
      <w:pPr>
        <w:snapToGrid w:val="0"/>
        <w:spacing w:line="360" w:lineRule="auto"/>
        <w:rPr>
          <w:rFonts w:ascii="宋体" w:hAnsi="宋体" w:cs="宋体"/>
          <w:sz w:val="24"/>
        </w:rPr>
      </w:pPr>
    </w:p>
    <w:p w14:paraId="226C262D">
      <w:pPr>
        <w:snapToGrid w:val="0"/>
        <w:spacing w:line="360" w:lineRule="auto"/>
        <w:rPr>
          <w:rFonts w:ascii="宋体" w:hAnsi="宋体" w:cs="宋体"/>
          <w:sz w:val="24"/>
        </w:rPr>
      </w:pPr>
      <w:r>
        <w:rPr>
          <w:rFonts w:hint="eastAsia" w:ascii="宋体" w:hAnsi="宋体" w:cs="宋体"/>
          <w:sz w:val="24"/>
        </w:rPr>
        <w:t>法定代表人：(电子签章)</w:t>
      </w:r>
    </w:p>
    <w:p w14:paraId="1778548A">
      <w:pPr>
        <w:snapToGrid w:val="0"/>
        <w:spacing w:line="360" w:lineRule="auto"/>
        <w:rPr>
          <w:rFonts w:ascii="宋体" w:hAnsi="宋体" w:cs="宋体"/>
          <w:sz w:val="24"/>
        </w:rPr>
      </w:pPr>
    </w:p>
    <w:p w14:paraId="3BA18FBD">
      <w:pPr>
        <w:snapToGrid w:val="0"/>
        <w:spacing w:line="360" w:lineRule="auto"/>
        <w:rPr>
          <w:rFonts w:ascii="宋体" w:hAnsi="宋体" w:cs="宋体"/>
          <w:sz w:val="24"/>
        </w:rPr>
      </w:pPr>
    </w:p>
    <w:p w14:paraId="4494FB04">
      <w:pPr>
        <w:snapToGrid w:val="0"/>
        <w:spacing w:line="360" w:lineRule="auto"/>
        <w:rPr>
          <w:rFonts w:ascii="宋体" w:hAnsi="宋体" w:cs="宋体"/>
          <w:sz w:val="24"/>
        </w:rPr>
      </w:pPr>
    </w:p>
    <w:p w14:paraId="698862C3">
      <w:pPr>
        <w:snapToGrid w:val="0"/>
        <w:spacing w:line="360" w:lineRule="auto"/>
        <w:rPr>
          <w:rFonts w:ascii="宋体" w:hAnsi="宋体" w:cs="宋体"/>
          <w:sz w:val="24"/>
        </w:rPr>
      </w:pPr>
    </w:p>
    <w:p w14:paraId="527DF5C6">
      <w:pPr>
        <w:snapToGrid w:val="0"/>
        <w:spacing w:line="360" w:lineRule="auto"/>
        <w:ind w:firstLine="1800" w:firstLineChars="750"/>
        <w:rPr>
          <w:rFonts w:ascii="宋体" w:hAnsi="宋体" w:cs="宋体"/>
          <w:sz w:val="24"/>
        </w:rPr>
      </w:pPr>
      <w:r>
        <w:rPr>
          <w:rFonts w:hint="eastAsia" w:ascii="宋体" w:hAnsi="宋体" w:cs="宋体"/>
          <w:sz w:val="24"/>
        </w:rPr>
        <w:t>年   月   日</w:t>
      </w:r>
    </w:p>
    <w:p w14:paraId="6466923A">
      <w:pPr>
        <w:pStyle w:val="4"/>
        <w:snapToGrid w:val="0"/>
        <w:spacing w:before="0" w:after="0" w:line="360" w:lineRule="auto"/>
        <w:ind w:firstLine="157"/>
        <w:jc w:val="center"/>
        <w:rPr>
          <w:rStyle w:val="46"/>
          <w:rFonts w:ascii="宋体" w:cs="宋体"/>
          <w:b w:val="0"/>
          <w:bCs w:val="0"/>
        </w:rPr>
      </w:pPr>
      <w:r>
        <w:rPr>
          <w:rFonts w:hint="eastAsia" w:ascii="宋体" w:hAnsi="宋体" w:cs="宋体"/>
          <w:sz w:val="20"/>
          <w:szCs w:val="20"/>
        </w:rPr>
        <w:br w:type="page"/>
      </w:r>
      <w:bookmarkStart w:id="437" w:name="_Toc475109677"/>
      <w:bookmarkStart w:id="438" w:name="_Toc3682_WPSOffice_Level1"/>
      <w:bookmarkStart w:id="439" w:name="_Toc15126_WPSOffice_Level1"/>
      <w:bookmarkStart w:id="440" w:name="_Toc7709"/>
      <w:bookmarkStart w:id="441" w:name="_Toc300835223"/>
      <w:r>
        <w:rPr>
          <w:rStyle w:val="46"/>
          <w:rFonts w:hint="eastAsia" w:ascii="宋体" w:cs="宋体"/>
          <w:b w:val="0"/>
          <w:bCs w:val="0"/>
          <w:lang w:val="en-US" w:eastAsia="zh-CN"/>
        </w:rPr>
        <w:t>四</w:t>
      </w:r>
      <w:r>
        <w:rPr>
          <w:rStyle w:val="46"/>
          <w:rFonts w:hint="eastAsia" w:ascii="宋体" w:cs="宋体"/>
          <w:b w:val="0"/>
          <w:bCs w:val="0"/>
        </w:rPr>
        <w:t>、</w:t>
      </w:r>
      <w:bookmarkEnd w:id="437"/>
      <w:r>
        <w:rPr>
          <w:rStyle w:val="46"/>
          <w:rFonts w:hint="eastAsia" w:ascii="宋体" w:cs="宋体"/>
          <w:b w:val="0"/>
          <w:bCs w:val="0"/>
        </w:rPr>
        <w:t>技术方案</w:t>
      </w:r>
      <w:bookmarkEnd w:id="438"/>
      <w:bookmarkEnd w:id="439"/>
      <w:bookmarkEnd w:id="440"/>
      <w:r>
        <w:rPr>
          <w:rStyle w:val="46"/>
          <w:rFonts w:hint="eastAsia" w:ascii="宋体" w:cs="宋体"/>
          <w:b w:val="0"/>
          <w:bCs w:val="0"/>
        </w:rPr>
        <w:t>（格式自拟）</w:t>
      </w:r>
    </w:p>
    <w:p w14:paraId="3AF99A07">
      <w:pPr>
        <w:rPr>
          <w:rFonts w:ascii="宋体" w:hAnsi="宋体"/>
          <w:szCs w:val="21"/>
        </w:rPr>
      </w:pPr>
    </w:p>
    <w:p w14:paraId="68603246">
      <w:pPr>
        <w:rPr>
          <w:rFonts w:ascii="宋体" w:hAnsi="宋体"/>
          <w:szCs w:val="21"/>
        </w:rPr>
      </w:pPr>
    </w:p>
    <w:p w14:paraId="18D72E76">
      <w:pPr>
        <w:rPr>
          <w:rFonts w:ascii="宋体" w:hAnsi="宋体"/>
          <w:szCs w:val="21"/>
        </w:rPr>
      </w:pPr>
    </w:p>
    <w:p w14:paraId="69684955">
      <w:pPr>
        <w:rPr>
          <w:rFonts w:ascii="宋体" w:hAnsi="宋体"/>
          <w:szCs w:val="21"/>
        </w:rPr>
      </w:pPr>
    </w:p>
    <w:p w14:paraId="1A54FC98">
      <w:pPr>
        <w:rPr>
          <w:rFonts w:ascii="宋体" w:hAnsi="宋体"/>
          <w:szCs w:val="21"/>
        </w:rPr>
      </w:pPr>
    </w:p>
    <w:p w14:paraId="742A0514">
      <w:pPr>
        <w:rPr>
          <w:rFonts w:ascii="宋体" w:hAnsi="宋体"/>
          <w:szCs w:val="21"/>
        </w:rPr>
      </w:pPr>
    </w:p>
    <w:p w14:paraId="7D4AD8E6">
      <w:pPr>
        <w:rPr>
          <w:rFonts w:ascii="宋体" w:hAnsi="宋体"/>
          <w:szCs w:val="21"/>
        </w:rPr>
      </w:pPr>
    </w:p>
    <w:p w14:paraId="7AFF0E53">
      <w:pPr>
        <w:rPr>
          <w:rFonts w:ascii="宋体" w:hAnsi="宋体"/>
          <w:szCs w:val="21"/>
        </w:rPr>
      </w:pPr>
    </w:p>
    <w:p w14:paraId="66E16D88">
      <w:pPr>
        <w:rPr>
          <w:rFonts w:ascii="宋体" w:hAnsi="宋体"/>
          <w:szCs w:val="21"/>
        </w:rPr>
      </w:pPr>
    </w:p>
    <w:p w14:paraId="20A4D794">
      <w:pPr>
        <w:rPr>
          <w:rFonts w:ascii="宋体" w:hAnsi="宋体"/>
          <w:szCs w:val="21"/>
        </w:rPr>
      </w:pPr>
    </w:p>
    <w:p w14:paraId="57C9D9FA">
      <w:pPr>
        <w:rPr>
          <w:rFonts w:ascii="宋体" w:hAnsi="宋体"/>
          <w:szCs w:val="21"/>
        </w:rPr>
      </w:pPr>
    </w:p>
    <w:p w14:paraId="61D91935">
      <w:pPr>
        <w:rPr>
          <w:rFonts w:ascii="宋体" w:hAnsi="宋体"/>
          <w:szCs w:val="21"/>
        </w:rPr>
      </w:pPr>
    </w:p>
    <w:p w14:paraId="7B874B3D">
      <w:pPr>
        <w:rPr>
          <w:rFonts w:ascii="宋体" w:hAnsi="宋体"/>
          <w:szCs w:val="21"/>
        </w:rPr>
      </w:pPr>
    </w:p>
    <w:p w14:paraId="2BBEC5C2">
      <w:pPr>
        <w:rPr>
          <w:rFonts w:ascii="宋体" w:hAnsi="宋体"/>
          <w:szCs w:val="21"/>
        </w:rPr>
      </w:pPr>
    </w:p>
    <w:p w14:paraId="4EE69F3E">
      <w:pPr>
        <w:rPr>
          <w:rFonts w:ascii="宋体" w:hAnsi="宋体"/>
          <w:szCs w:val="21"/>
        </w:rPr>
      </w:pPr>
    </w:p>
    <w:p w14:paraId="2B45B331">
      <w:pPr>
        <w:rPr>
          <w:rFonts w:ascii="宋体" w:hAnsi="宋体"/>
          <w:szCs w:val="21"/>
        </w:rPr>
      </w:pPr>
    </w:p>
    <w:p w14:paraId="0CFB62D8">
      <w:pPr>
        <w:rPr>
          <w:rFonts w:ascii="宋体" w:hAnsi="宋体"/>
          <w:szCs w:val="21"/>
        </w:rPr>
      </w:pPr>
    </w:p>
    <w:p w14:paraId="778FF2AF">
      <w:pPr>
        <w:rPr>
          <w:rFonts w:ascii="宋体" w:hAnsi="宋体"/>
          <w:szCs w:val="21"/>
        </w:rPr>
      </w:pPr>
    </w:p>
    <w:p w14:paraId="270A2C99">
      <w:pPr>
        <w:rPr>
          <w:rFonts w:ascii="宋体" w:hAnsi="宋体"/>
          <w:szCs w:val="21"/>
        </w:rPr>
      </w:pPr>
    </w:p>
    <w:p w14:paraId="49EBB514">
      <w:pPr>
        <w:rPr>
          <w:rFonts w:ascii="宋体" w:hAnsi="宋体"/>
          <w:szCs w:val="21"/>
        </w:rPr>
      </w:pPr>
    </w:p>
    <w:p w14:paraId="50E3D643">
      <w:pPr>
        <w:rPr>
          <w:rFonts w:ascii="宋体" w:hAnsi="宋体"/>
          <w:szCs w:val="21"/>
        </w:rPr>
      </w:pPr>
    </w:p>
    <w:p w14:paraId="0955E56E">
      <w:pPr>
        <w:rPr>
          <w:rFonts w:ascii="宋体" w:hAnsi="宋体"/>
          <w:szCs w:val="21"/>
        </w:rPr>
      </w:pPr>
    </w:p>
    <w:p w14:paraId="184A7691">
      <w:pPr>
        <w:rPr>
          <w:rFonts w:ascii="宋体" w:hAnsi="宋体"/>
          <w:szCs w:val="21"/>
        </w:rPr>
      </w:pPr>
    </w:p>
    <w:p w14:paraId="3B37288A">
      <w:pPr>
        <w:rPr>
          <w:rFonts w:ascii="宋体" w:hAnsi="宋体"/>
          <w:szCs w:val="21"/>
        </w:rPr>
      </w:pPr>
    </w:p>
    <w:p w14:paraId="65AE377D">
      <w:pPr>
        <w:rPr>
          <w:rFonts w:ascii="宋体" w:hAnsi="宋体"/>
          <w:szCs w:val="21"/>
        </w:rPr>
      </w:pPr>
    </w:p>
    <w:p w14:paraId="2936C74D">
      <w:pPr>
        <w:rPr>
          <w:rFonts w:ascii="宋体" w:hAnsi="宋体"/>
          <w:szCs w:val="21"/>
        </w:rPr>
      </w:pPr>
    </w:p>
    <w:p w14:paraId="738EFAC1">
      <w:pPr>
        <w:rPr>
          <w:rFonts w:ascii="宋体" w:hAnsi="宋体"/>
          <w:szCs w:val="21"/>
        </w:rPr>
      </w:pPr>
    </w:p>
    <w:p w14:paraId="4264B8D6">
      <w:pPr>
        <w:rPr>
          <w:rFonts w:ascii="宋体" w:hAnsi="宋体"/>
          <w:szCs w:val="21"/>
        </w:rPr>
      </w:pPr>
    </w:p>
    <w:p w14:paraId="50B6C0BD">
      <w:pPr>
        <w:rPr>
          <w:rFonts w:ascii="宋体" w:hAnsi="宋体"/>
          <w:szCs w:val="21"/>
        </w:rPr>
      </w:pPr>
    </w:p>
    <w:p w14:paraId="2799B86F">
      <w:pPr>
        <w:rPr>
          <w:rFonts w:ascii="宋体" w:hAnsi="宋体"/>
          <w:szCs w:val="21"/>
        </w:rPr>
      </w:pPr>
    </w:p>
    <w:p w14:paraId="6D1C0CD1">
      <w:pPr>
        <w:rPr>
          <w:rFonts w:ascii="宋体" w:hAnsi="宋体"/>
          <w:szCs w:val="21"/>
        </w:rPr>
      </w:pPr>
    </w:p>
    <w:p w14:paraId="2686E763">
      <w:pPr>
        <w:rPr>
          <w:rFonts w:ascii="宋体" w:hAnsi="宋体"/>
          <w:szCs w:val="21"/>
        </w:rPr>
      </w:pPr>
    </w:p>
    <w:p w14:paraId="670196D5">
      <w:pPr>
        <w:rPr>
          <w:rFonts w:ascii="宋体" w:hAnsi="宋体"/>
          <w:szCs w:val="21"/>
        </w:rPr>
      </w:pPr>
    </w:p>
    <w:p w14:paraId="20DA041B">
      <w:pPr>
        <w:rPr>
          <w:rFonts w:ascii="宋体" w:hAnsi="宋体"/>
          <w:szCs w:val="21"/>
        </w:rPr>
      </w:pPr>
    </w:p>
    <w:p w14:paraId="76A524B1">
      <w:pPr>
        <w:rPr>
          <w:rFonts w:ascii="宋体" w:hAnsi="宋体"/>
          <w:szCs w:val="21"/>
        </w:rPr>
      </w:pPr>
    </w:p>
    <w:p w14:paraId="4356E8AD">
      <w:pPr>
        <w:rPr>
          <w:rFonts w:ascii="宋体" w:hAnsi="宋体"/>
          <w:szCs w:val="21"/>
        </w:rPr>
      </w:pPr>
    </w:p>
    <w:p w14:paraId="62A1A664">
      <w:pPr>
        <w:rPr>
          <w:rFonts w:ascii="宋体" w:hAnsi="宋体"/>
          <w:szCs w:val="21"/>
        </w:rPr>
      </w:pPr>
    </w:p>
    <w:p w14:paraId="4E911BA8">
      <w:pPr>
        <w:rPr>
          <w:rFonts w:ascii="宋体" w:hAnsi="宋体"/>
          <w:szCs w:val="21"/>
        </w:rPr>
      </w:pPr>
    </w:p>
    <w:p w14:paraId="79C40E7D">
      <w:pPr>
        <w:rPr>
          <w:rFonts w:ascii="宋体" w:hAnsi="宋体"/>
          <w:szCs w:val="21"/>
        </w:rPr>
      </w:pPr>
    </w:p>
    <w:p w14:paraId="50A62B17">
      <w:pPr>
        <w:pStyle w:val="4"/>
        <w:snapToGrid w:val="0"/>
        <w:spacing w:before="0" w:after="0" w:line="360" w:lineRule="auto"/>
        <w:ind w:firstLine="157"/>
        <w:jc w:val="center"/>
        <w:rPr>
          <w:rStyle w:val="46"/>
          <w:rFonts w:ascii="宋体" w:cs="宋体"/>
          <w:b w:val="0"/>
          <w:bCs w:val="0"/>
        </w:rPr>
      </w:pPr>
      <w:bookmarkStart w:id="442" w:name="_Toc24505"/>
      <w:bookmarkStart w:id="443" w:name="_Toc21140_WPSOffice_Level1"/>
      <w:bookmarkStart w:id="444" w:name="_Toc12962_WPSOffice_Level1"/>
      <w:bookmarkStart w:id="445" w:name="_Toc475109678"/>
      <w:r>
        <w:rPr>
          <w:rStyle w:val="46"/>
          <w:rFonts w:hint="eastAsia" w:ascii="宋体" w:cs="宋体"/>
          <w:b w:val="0"/>
          <w:bCs w:val="0"/>
          <w:lang w:val="en-US" w:eastAsia="zh-CN"/>
        </w:rPr>
        <w:t>五</w:t>
      </w:r>
      <w:r>
        <w:rPr>
          <w:rStyle w:val="46"/>
          <w:rFonts w:hint="eastAsia" w:ascii="宋体" w:cs="宋体"/>
          <w:b w:val="0"/>
          <w:bCs w:val="0"/>
        </w:rPr>
        <w:t>、资格审查资料</w:t>
      </w:r>
      <w:bookmarkEnd w:id="442"/>
      <w:bookmarkEnd w:id="443"/>
      <w:bookmarkEnd w:id="444"/>
      <w:bookmarkEnd w:id="445"/>
    </w:p>
    <w:p w14:paraId="71EA3768">
      <w:pPr>
        <w:pStyle w:val="4"/>
        <w:ind w:firstLine="103"/>
        <w:rPr>
          <w:rFonts w:ascii="宋体"/>
          <w:sz w:val="21"/>
          <w:szCs w:val="21"/>
        </w:rPr>
      </w:pPr>
      <w:bookmarkStart w:id="446" w:name="_Toc21820"/>
      <w:bookmarkStart w:id="447" w:name="_Toc475109679"/>
      <w:r>
        <w:rPr>
          <w:rFonts w:hint="eastAsia" w:ascii="宋体"/>
          <w:sz w:val="21"/>
          <w:szCs w:val="21"/>
        </w:rPr>
        <w:t>（一）投标人基本情况表</w:t>
      </w:r>
      <w:bookmarkEnd w:id="446"/>
      <w:bookmarkEnd w:id="447"/>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88"/>
        <w:gridCol w:w="2340"/>
        <w:gridCol w:w="1440"/>
        <w:gridCol w:w="1754"/>
      </w:tblGrid>
      <w:tr w14:paraId="19A9F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08870443">
            <w:pPr>
              <w:jc w:val="center"/>
              <w:rPr>
                <w:rFonts w:ascii="宋体" w:hAnsi="宋体" w:cs="仿宋_GB2312"/>
                <w:spacing w:val="14"/>
                <w:kern w:val="0"/>
                <w:sz w:val="24"/>
              </w:rPr>
            </w:pPr>
            <w:r>
              <w:rPr>
                <w:rFonts w:hint="eastAsia" w:ascii="宋体" w:hAnsi="宋体" w:cs="仿宋_GB2312"/>
                <w:spacing w:val="14"/>
                <w:kern w:val="0"/>
                <w:sz w:val="24"/>
              </w:rPr>
              <w:t>投标人全称</w:t>
            </w:r>
          </w:p>
        </w:tc>
        <w:tc>
          <w:tcPr>
            <w:tcW w:w="5534" w:type="dxa"/>
            <w:gridSpan w:val="3"/>
            <w:vAlign w:val="center"/>
          </w:tcPr>
          <w:p w14:paraId="07D3DC78">
            <w:pPr>
              <w:jc w:val="center"/>
              <w:rPr>
                <w:rFonts w:ascii="宋体" w:hAnsi="宋体" w:cs="仿宋_GB2312"/>
                <w:spacing w:val="14"/>
                <w:kern w:val="0"/>
                <w:sz w:val="24"/>
              </w:rPr>
            </w:pPr>
          </w:p>
        </w:tc>
      </w:tr>
      <w:tr w14:paraId="1982F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6FE1BC11">
            <w:pPr>
              <w:jc w:val="center"/>
              <w:rPr>
                <w:rFonts w:ascii="宋体" w:hAnsi="宋体" w:cs="仿宋_GB2312"/>
                <w:spacing w:val="14"/>
                <w:kern w:val="0"/>
                <w:sz w:val="24"/>
              </w:rPr>
            </w:pPr>
            <w:r>
              <w:rPr>
                <w:rFonts w:hint="eastAsia" w:ascii="宋体" w:hAnsi="宋体" w:cs="仿宋_GB2312"/>
                <w:spacing w:val="14"/>
                <w:kern w:val="0"/>
                <w:sz w:val="24"/>
              </w:rPr>
              <w:t>主要业务范围</w:t>
            </w:r>
          </w:p>
        </w:tc>
        <w:tc>
          <w:tcPr>
            <w:tcW w:w="5534" w:type="dxa"/>
            <w:gridSpan w:val="3"/>
            <w:vAlign w:val="center"/>
          </w:tcPr>
          <w:p w14:paraId="0C8B57B8">
            <w:pPr>
              <w:jc w:val="center"/>
              <w:rPr>
                <w:rFonts w:ascii="宋体" w:hAnsi="宋体" w:cs="仿宋_GB2312"/>
                <w:spacing w:val="14"/>
                <w:kern w:val="0"/>
                <w:sz w:val="24"/>
              </w:rPr>
            </w:pPr>
          </w:p>
        </w:tc>
      </w:tr>
      <w:tr w14:paraId="1165A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60915396">
            <w:pPr>
              <w:jc w:val="center"/>
              <w:rPr>
                <w:rFonts w:ascii="宋体" w:hAnsi="宋体" w:cs="仿宋_GB2312"/>
                <w:spacing w:val="14"/>
                <w:kern w:val="0"/>
                <w:sz w:val="24"/>
              </w:rPr>
            </w:pPr>
            <w:r>
              <w:rPr>
                <w:rFonts w:hint="eastAsia" w:ascii="宋体" w:hAnsi="宋体" w:cs="仿宋_GB2312"/>
                <w:spacing w:val="14"/>
                <w:kern w:val="0"/>
                <w:sz w:val="24"/>
              </w:rPr>
              <w:t>法定代表人名称</w:t>
            </w:r>
          </w:p>
        </w:tc>
        <w:tc>
          <w:tcPr>
            <w:tcW w:w="2340" w:type="dxa"/>
            <w:vAlign w:val="center"/>
          </w:tcPr>
          <w:p w14:paraId="611D7B5F">
            <w:pPr>
              <w:jc w:val="center"/>
              <w:rPr>
                <w:rFonts w:ascii="宋体" w:hAnsi="宋体" w:cs="仿宋_GB2312"/>
                <w:spacing w:val="14"/>
                <w:kern w:val="0"/>
                <w:sz w:val="24"/>
              </w:rPr>
            </w:pPr>
          </w:p>
        </w:tc>
        <w:tc>
          <w:tcPr>
            <w:tcW w:w="1440" w:type="dxa"/>
            <w:vAlign w:val="center"/>
          </w:tcPr>
          <w:p w14:paraId="33941F8F">
            <w:pPr>
              <w:jc w:val="center"/>
              <w:rPr>
                <w:rFonts w:ascii="宋体" w:hAnsi="宋体" w:cs="仿宋_GB2312"/>
                <w:spacing w:val="14"/>
                <w:kern w:val="0"/>
                <w:sz w:val="24"/>
              </w:rPr>
            </w:pPr>
            <w:r>
              <w:rPr>
                <w:rFonts w:hint="eastAsia" w:ascii="宋体" w:hAnsi="宋体" w:cs="仿宋_GB2312"/>
                <w:spacing w:val="14"/>
                <w:kern w:val="0"/>
                <w:sz w:val="24"/>
              </w:rPr>
              <w:t>职   务</w:t>
            </w:r>
          </w:p>
        </w:tc>
        <w:tc>
          <w:tcPr>
            <w:tcW w:w="1754" w:type="dxa"/>
            <w:vAlign w:val="center"/>
          </w:tcPr>
          <w:p w14:paraId="043B62C9">
            <w:pPr>
              <w:jc w:val="center"/>
              <w:rPr>
                <w:rFonts w:ascii="宋体" w:hAnsi="宋体" w:cs="仿宋_GB2312"/>
                <w:spacing w:val="14"/>
                <w:kern w:val="0"/>
                <w:sz w:val="24"/>
              </w:rPr>
            </w:pPr>
          </w:p>
        </w:tc>
      </w:tr>
      <w:tr w14:paraId="1432D2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67E05DA0">
            <w:pPr>
              <w:jc w:val="center"/>
              <w:rPr>
                <w:rFonts w:ascii="宋体" w:hAnsi="宋体" w:cs="仿宋_GB2312"/>
                <w:spacing w:val="14"/>
                <w:kern w:val="0"/>
                <w:sz w:val="24"/>
              </w:rPr>
            </w:pPr>
            <w:r>
              <w:rPr>
                <w:rFonts w:hint="eastAsia" w:ascii="宋体" w:hAnsi="宋体" w:cs="仿宋_GB2312"/>
                <w:spacing w:val="14"/>
                <w:kern w:val="0"/>
                <w:sz w:val="24"/>
              </w:rPr>
              <w:t>投标人地址</w:t>
            </w:r>
          </w:p>
        </w:tc>
        <w:tc>
          <w:tcPr>
            <w:tcW w:w="2340" w:type="dxa"/>
            <w:vAlign w:val="center"/>
          </w:tcPr>
          <w:p w14:paraId="00EB17EB">
            <w:pPr>
              <w:jc w:val="center"/>
              <w:rPr>
                <w:rFonts w:ascii="宋体" w:hAnsi="宋体" w:cs="仿宋_GB2312"/>
                <w:spacing w:val="14"/>
                <w:kern w:val="0"/>
                <w:sz w:val="24"/>
              </w:rPr>
            </w:pPr>
          </w:p>
        </w:tc>
        <w:tc>
          <w:tcPr>
            <w:tcW w:w="1440" w:type="dxa"/>
            <w:vAlign w:val="center"/>
          </w:tcPr>
          <w:p w14:paraId="22B61D78">
            <w:pPr>
              <w:jc w:val="center"/>
              <w:rPr>
                <w:rFonts w:ascii="宋体" w:hAnsi="宋体" w:cs="仿宋_GB2312"/>
                <w:spacing w:val="14"/>
                <w:kern w:val="0"/>
                <w:sz w:val="24"/>
              </w:rPr>
            </w:pPr>
            <w:r>
              <w:rPr>
                <w:rFonts w:hint="eastAsia" w:ascii="宋体" w:hAnsi="宋体" w:cs="仿宋_GB2312"/>
                <w:spacing w:val="14"/>
                <w:kern w:val="0"/>
                <w:sz w:val="24"/>
              </w:rPr>
              <w:t>邮政编码</w:t>
            </w:r>
          </w:p>
        </w:tc>
        <w:tc>
          <w:tcPr>
            <w:tcW w:w="1754" w:type="dxa"/>
            <w:vAlign w:val="center"/>
          </w:tcPr>
          <w:p w14:paraId="04ADEB12">
            <w:pPr>
              <w:jc w:val="center"/>
              <w:rPr>
                <w:rFonts w:ascii="宋体" w:hAnsi="宋体" w:cs="仿宋_GB2312"/>
                <w:spacing w:val="14"/>
                <w:kern w:val="0"/>
                <w:sz w:val="24"/>
              </w:rPr>
            </w:pPr>
          </w:p>
        </w:tc>
      </w:tr>
      <w:tr w14:paraId="3BEAD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78754787">
            <w:pPr>
              <w:jc w:val="center"/>
              <w:rPr>
                <w:rFonts w:ascii="宋体" w:hAnsi="宋体" w:cs="仿宋_GB2312"/>
                <w:spacing w:val="14"/>
                <w:kern w:val="0"/>
                <w:sz w:val="24"/>
              </w:rPr>
            </w:pPr>
            <w:r>
              <w:rPr>
                <w:rFonts w:hint="eastAsia" w:ascii="宋体" w:hAnsi="宋体" w:cs="仿宋_GB2312"/>
                <w:spacing w:val="14"/>
                <w:kern w:val="0"/>
                <w:sz w:val="24"/>
              </w:rPr>
              <w:t>电      话</w:t>
            </w:r>
          </w:p>
        </w:tc>
        <w:tc>
          <w:tcPr>
            <w:tcW w:w="2340" w:type="dxa"/>
            <w:vAlign w:val="center"/>
          </w:tcPr>
          <w:p w14:paraId="6189AF0A">
            <w:pPr>
              <w:jc w:val="center"/>
              <w:rPr>
                <w:rFonts w:ascii="宋体" w:hAnsi="宋体" w:cs="仿宋_GB2312"/>
                <w:spacing w:val="14"/>
                <w:kern w:val="0"/>
                <w:sz w:val="24"/>
              </w:rPr>
            </w:pPr>
          </w:p>
        </w:tc>
        <w:tc>
          <w:tcPr>
            <w:tcW w:w="1440" w:type="dxa"/>
            <w:vAlign w:val="center"/>
          </w:tcPr>
          <w:p w14:paraId="0AB9420F">
            <w:pPr>
              <w:jc w:val="center"/>
              <w:rPr>
                <w:rFonts w:ascii="宋体" w:hAnsi="宋体" w:cs="仿宋_GB2312"/>
                <w:spacing w:val="14"/>
                <w:kern w:val="0"/>
                <w:sz w:val="24"/>
              </w:rPr>
            </w:pPr>
            <w:r>
              <w:rPr>
                <w:rFonts w:hint="eastAsia" w:ascii="宋体" w:hAnsi="宋体" w:cs="仿宋_GB2312"/>
                <w:spacing w:val="14"/>
                <w:kern w:val="0"/>
                <w:sz w:val="24"/>
              </w:rPr>
              <w:t>传   真</w:t>
            </w:r>
          </w:p>
        </w:tc>
        <w:tc>
          <w:tcPr>
            <w:tcW w:w="1754" w:type="dxa"/>
            <w:vAlign w:val="center"/>
          </w:tcPr>
          <w:p w14:paraId="4804084C">
            <w:pPr>
              <w:jc w:val="center"/>
              <w:rPr>
                <w:rFonts w:ascii="宋体" w:hAnsi="宋体" w:cs="仿宋_GB2312"/>
                <w:spacing w:val="14"/>
                <w:kern w:val="0"/>
                <w:sz w:val="24"/>
              </w:rPr>
            </w:pPr>
          </w:p>
        </w:tc>
      </w:tr>
      <w:tr w14:paraId="7A3A6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3C76B5E2">
            <w:pPr>
              <w:jc w:val="center"/>
              <w:rPr>
                <w:rFonts w:ascii="宋体" w:hAnsi="宋体" w:cs="仿宋_GB2312"/>
                <w:spacing w:val="14"/>
                <w:kern w:val="0"/>
                <w:sz w:val="24"/>
              </w:rPr>
            </w:pPr>
            <w:r>
              <w:rPr>
                <w:rFonts w:hint="eastAsia" w:ascii="宋体" w:hAnsi="宋体" w:cs="仿宋_GB2312"/>
                <w:spacing w:val="14"/>
                <w:kern w:val="0"/>
                <w:sz w:val="24"/>
              </w:rPr>
              <w:t>成立日期</w:t>
            </w:r>
          </w:p>
        </w:tc>
        <w:tc>
          <w:tcPr>
            <w:tcW w:w="2340" w:type="dxa"/>
            <w:vAlign w:val="center"/>
          </w:tcPr>
          <w:p w14:paraId="640BE52F">
            <w:pPr>
              <w:jc w:val="center"/>
              <w:rPr>
                <w:rFonts w:ascii="宋体" w:hAnsi="宋体" w:cs="仿宋_GB2312"/>
                <w:spacing w:val="14"/>
                <w:kern w:val="0"/>
                <w:sz w:val="24"/>
              </w:rPr>
            </w:pPr>
          </w:p>
        </w:tc>
        <w:tc>
          <w:tcPr>
            <w:tcW w:w="1440" w:type="dxa"/>
            <w:vAlign w:val="center"/>
          </w:tcPr>
          <w:p w14:paraId="67D5F127">
            <w:pPr>
              <w:jc w:val="center"/>
              <w:rPr>
                <w:rFonts w:ascii="宋体" w:hAnsi="宋体" w:cs="仿宋_GB2312"/>
                <w:spacing w:val="14"/>
                <w:kern w:val="0"/>
                <w:sz w:val="24"/>
              </w:rPr>
            </w:pPr>
            <w:r>
              <w:rPr>
                <w:rFonts w:hint="eastAsia" w:ascii="宋体" w:hAnsi="宋体" w:cs="仿宋_GB2312"/>
                <w:spacing w:val="14"/>
                <w:kern w:val="0"/>
                <w:sz w:val="24"/>
              </w:rPr>
              <w:t>现有职</w:t>
            </w:r>
          </w:p>
          <w:p w14:paraId="499E3A04">
            <w:pPr>
              <w:jc w:val="center"/>
              <w:rPr>
                <w:rFonts w:ascii="宋体" w:hAnsi="宋体" w:cs="仿宋_GB2312"/>
                <w:spacing w:val="14"/>
                <w:kern w:val="0"/>
                <w:sz w:val="24"/>
              </w:rPr>
            </w:pPr>
            <w:r>
              <w:rPr>
                <w:rFonts w:hint="eastAsia" w:ascii="宋体" w:hAnsi="宋体" w:cs="仿宋_GB2312"/>
                <w:spacing w:val="14"/>
                <w:kern w:val="0"/>
                <w:sz w:val="24"/>
              </w:rPr>
              <w:t>工人数</w:t>
            </w:r>
          </w:p>
        </w:tc>
        <w:tc>
          <w:tcPr>
            <w:tcW w:w="1754" w:type="dxa"/>
            <w:vAlign w:val="center"/>
          </w:tcPr>
          <w:p w14:paraId="7525D85A">
            <w:pPr>
              <w:jc w:val="center"/>
              <w:rPr>
                <w:rFonts w:ascii="宋体" w:hAnsi="宋体" w:cs="仿宋_GB2312"/>
                <w:spacing w:val="14"/>
                <w:kern w:val="0"/>
                <w:sz w:val="24"/>
              </w:rPr>
            </w:pPr>
          </w:p>
        </w:tc>
      </w:tr>
      <w:tr w14:paraId="1FDCA6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64" w:hRule="atLeast"/>
          <w:jc w:val="center"/>
        </w:trPr>
        <w:tc>
          <w:tcPr>
            <w:tcW w:w="8522" w:type="dxa"/>
            <w:gridSpan w:val="4"/>
          </w:tcPr>
          <w:p w14:paraId="419E1F49">
            <w:pPr>
              <w:spacing w:before="156" w:beforeLines="50" w:line="360" w:lineRule="auto"/>
              <w:ind w:firstLine="480" w:firstLineChars="200"/>
              <w:rPr>
                <w:rFonts w:ascii="宋体" w:hAnsi="宋体" w:cs="仿宋_GB2312"/>
                <w:kern w:val="0"/>
                <w:sz w:val="24"/>
              </w:rPr>
            </w:pPr>
            <w:r>
              <w:rPr>
                <w:rFonts w:hint="eastAsia" w:ascii="宋体" w:hAnsi="宋体" w:cs="仿宋_GB2312"/>
                <w:kern w:val="0"/>
                <w:sz w:val="24"/>
              </w:rPr>
              <w:t>单位组织机构简介：</w:t>
            </w:r>
          </w:p>
          <w:p w14:paraId="3EAC9C12">
            <w:pPr>
              <w:spacing w:line="360" w:lineRule="auto"/>
              <w:ind w:firstLine="480" w:firstLineChars="200"/>
              <w:jc w:val="center"/>
              <w:rPr>
                <w:rFonts w:ascii="宋体" w:hAnsi="宋体" w:cs="仿宋_GB2312"/>
                <w:kern w:val="0"/>
                <w:sz w:val="24"/>
              </w:rPr>
            </w:pPr>
          </w:p>
        </w:tc>
      </w:tr>
    </w:tbl>
    <w:p w14:paraId="0762106E">
      <w:pPr>
        <w:autoSpaceDE w:val="0"/>
        <w:autoSpaceDN w:val="0"/>
        <w:adjustRightInd w:val="0"/>
        <w:snapToGrid w:val="0"/>
        <w:spacing w:line="360" w:lineRule="auto"/>
        <w:rPr>
          <w:rFonts w:ascii="宋体" w:hAnsi="宋体"/>
          <w:b/>
          <w:szCs w:val="21"/>
        </w:rPr>
      </w:pPr>
    </w:p>
    <w:p w14:paraId="326A0790">
      <w:pPr>
        <w:autoSpaceDE w:val="0"/>
        <w:autoSpaceDN w:val="0"/>
        <w:adjustRightInd w:val="0"/>
        <w:snapToGrid w:val="0"/>
        <w:spacing w:line="360" w:lineRule="auto"/>
        <w:ind w:firstLine="630" w:firstLineChars="300"/>
        <w:rPr>
          <w:rFonts w:ascii="宋体" w:hAnsi="宋体" w:cs="宋体"/>
          <w:szCs w:val="21"/>
        </w:rPr>
      </w:pPr>
      <w:r>
        <w:rPr>
          <w:rFonts w:hint="eastAsia" w:ascii="宋体" w:hAnsi="宋体" w:cs="宋体"/>
          <w:kern w:val="0"/>
          <w:szCs w:val="21"/>
        </w:rPr>
        <w:t>投标人：</w:t>
      </w:r>
      <w:r>
        <w:rPr>
          <w:rFonts w:hint="eastAsia" w:ascii="宋体" w:hAnsi="宋体" w:cs="宋体"/>
          <w:spacing w:val="14"/>
          <w:kern w:val="0"/>
          <w:szCs w:val="21"/>
          <w:u w:val="single"/>
        </w:rPr>
        <w:t>（单位全称） （电子签章）</w:t>
      </w:r>
    </w:p>
    <w:p w14:paraId="18CED292">
      <w:pPr>
        <w:autoSpaceDE w:val="0"/>
        <w:autoSpaceDN w:val="0"/>
        <w:adjustRightInd w:val="0"/>
        <w:snapToGrid w:val="0"/>
        <w:spacing w:after="100" w:afterAutospacing="1" w:line="360" w:lineRule="auto"/>
        <w:rPr>
          <w:rFonts w:ascii="宋体" w:hAnsi="宋体" w:cs="宋体"/>
          <w:szCs w:val="21"/>
        </w:rPr>
      </w:pPr>
      <w:r>
        <w:rPr>
          <w:rFonts w:hint="eastAsia" w:ascii="宋体" w:hAnsi="宋体" w:cs="宋体"/>
          <w:szCs w:val="21"/>
        </w:rPr>
        <w:t xml:space="preserve">      日期：年月日</w:t>
      </w:r>
    </w:p>
    <w:p w14:paraId="5BAFD2A7">
      <w:pPr>
        <w:rPr>
          <w:rFonts w:ascii="宋体" w:hAnsi="宋体"/>
          <w:b/>
          <w:szCs w:val="21"/>
        </w:rPr>
      </w:pPr>
      <w:r>
        <w:rPr>
          <w:rFonts w:hint="eastAsia" w:ascii="宋体" w:hAnsi="宋体"/>
          <w:b/>
          <w:szCs w:val="21"/>
        </w:rPr>
        <w:t>注：投</w:t>
      </w:r>
      <w:r>
        <w:rPr>
          <w:rFonts w:hint="eastAsia" w:ascii="宋体" w:hAnsi="宋体" w:cs="宋体"/>
          <w:b/>
          <w:szCs w:val="21"/>
        </w:rPr>
        <w:t>标</w:t>
      </w:r>
      <w:r>
        <w:rPr>
          <w:rFonts w:hint="eastAsia" w:ascii="宋体" w:hAnsi="宋体"/>
          <w:b/>
          <w:szCs w:val="21"/>
        </w:rPr>
        <w:t>人需随此表附上</w:t>
      </w:r>
      <w:r>
        <w:rPr>
          <w:rFonts w:hint="eastAsia" w:ascii="宋体" w:hAnsi="宋体" w:cs="宋体"/>
          <w:b/>
          <w:szCs w:val="21"/>
        </w:rPr>
        <w:t>营业执</w:t>
      </w:r>
      <w:r>
        <w:rPr>
          <w:rFonts w:hint="eastAsia" w:ascii="宋体" w:hAnsi="宋体"/>
          <w:b/>
          <w:szCs w:val="21"/>
        </w:rPr>
        <w:t>照等文件的</w:t>
      </w:r>
      <w:r>
        <w:rPr>
          <w:rFonts w:hint="eastAsia" w:ascii="宋体" w:hAnsi="宋体" w:cs="宋体"/>
          <w:b/>
          <w:szCs w:val="21"/>
        </w:rPr>
        <w:t>复</w:t>
      </w:r>
      <w:r>
        <w:rPr>
          <w:rFonts w:hint="eastAsia" w:ascii="宋体" w:hAnsi="宋体"/>
          <w:b/>
          <w:szCs w:val="21"/>
        </w:rPr>
        <w:t xml:space="preserve">印件。    </w:t>
      </w:r>
    </w:p>
    <w:p w14:paraId="03970B8B">
      <w:pPr>
        <w:pStyle w:val="4"/>
        <w:ind w:firstLine="103"/>
        <w:rPr>
          <w:rFonts w:ascii="宋体" w:cs="黑体"/>
          <w:b w:val="0"/>
          <w:sz w:val="21"/>
          <w:szCs w:val="21"/>
        </w:rPr>
      </w:pPr>
      <w:bookmarkStart w:id="448" w:name="_Toc247514301"/>
      <w:bookmarkStart w:id="449" w:name="_Toc152042598"/>
      <w:bookmarkStart w:id="450" w:name="_Toc152045809"/>
      <w:bookmarkStart w:id="451" w:name="_Toc144974877"/>
      <w:bookmarkStart w:id="452" w:name="_Toc247527849"/>
      <w:r>
        <w:rPr>
          <w:rFonts w:ascii="宋体"/>
          <w:sz w:val="21"/>
          <w:szCs w:val="21"/>
        </w:rPr>
        <w:br w:type="page"/>
      </w:r>
      <w:bookmarkStart w:id="453" w:name="_Toc475109680"/>
      <w:bookmarkStart w:id="454" w:name="_Toc24992"/>
      <w:r>
        <w:rPr>
          <w:rFonts w:ascii="宋体"/>
          <w:sz w:val="21"/>
          <w:szCs w:val="21"/>
        </w:rPr>
        <w:t>（二）</w:t>
      </w:r>
      <w:bookmarkEnd w:id="448"/>
      <w:bookmarkEnd w:id="449"/>
      <w:bookmarkEnd w:id="450"/>
      <w:bookmarkEnd w:id="451"/>
      <w:bookmarkEnd w:id="452"/>
      <w:bookmarkEnd w:id="453"/>
      <w:r>
        <w:rPr>
          <w:rFonts w:hint="eastAsia" w:ascii="宋体"/>
          <w:sz w:val="21"/>
          <w:szCs w:val="21"/>
        </w:rPr>
        <w:t>近年完成的类似项目情况表</w:t>
      </w:r>
      <w:bookmarkEnd w:id="454"/>
    </w:p>
    <w:tbl>
      <w:tblPr>
        <w:tblStyle w:val="36"/>
        <w:tblW w:w="0" w:type="auto"/>
        <w:tblInd w:w="2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88"/>
        <w:gridCol w:w="6901"/>
      </w:tblGrid>
      <w:tr w14:paraId="08C65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2C0D6244">
            <w:pPr>
              <w:spacing w:line="360" w:lineRule="auto"/>
              <w:ind w:firstLine="420" w:firstLineChars="200"/>
              <w:rPr>
                <w:rFonts w:ascii="宋体" w:hAnsi="宋体"/>
                <w:szCs w:val="21"/>
              </w:rPr>
            </w:pPr>
            <w:r>
              <w:rPr>
                <w:rFonts w:hint="eastAsia" w:ascii="宋体" w:hAnsi="宋体"/>
                <w:szCs w:val="21"/>
              </w:rPr>
              <w:t>项目名称</w:t>
            </w:r>
          </w:p>
        </w:tc>
        <w:tc>
          <w:tcPr>
            <w:tcW w:w="6901" w:type="dxa"/>
            <w:vAlign w:val="center"/>
          </w:tcPr>
          <w:p w14:paraId="36EC5E98">
            <w:pPr>
              <w:spacing w:line="360" w:lineRule="auto"/>
              <w:ind w:firstLine="420" w:firstLineChars="200"/>
              <w:rPr>
                <w:rFonts w:ascii="宋体" w:hAnsi="宋体"/>
                <w:szCs w:val="21"/>
              </w:rPr>
            </w:pPr>
          </w:p>
        </w:tc>
      </w:tr>
      <w:tr w14:paraId="6E7314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3A763D11">
            <w:pPr>
              <w:spacing w:line="360" w:lineRule="auto"/>
              <w:ind w:firstLine="420" w:firstLineChars="200"/>
              <w:rPr>
                <w:rFonts w:ascii="宋体" w:hAnsi="宋体"/>
                <w:szCs w:val="21"/>
              </w:rPr>
            </w:pPr>
            <w:r>
              <w:rPr>
                <w:rFonts w:hint="eastAsia" w:ascii="宋体" w:hAnsi="宋体"/>
                <w:szCs w:val="21"/>
              </w:rPr>
              <w:t>项目所在地</w:t>
            </w:r>
          </w:p>
        </w:tc>
        <w:tc>
          <w:tcPr>
            <w:tcW w:w="6901" w:type="dxa"/>
            <w:vAlign w:val="center"/>
          </w:tcPr>
          <w:p w14:paraId="52A0DB2A">
            <w:pPr>
              <w:spacing w:line="360" w:lineRule="auto"/>
              <w:ind w:firstLine="420" w:firstLineChars="200"/>
              <w:rPr>
                <w:rFonts w:ascii="宋体" w:hAnsi="宋体"/>
                <w:szCs w:val="21"/>
              </w:rPr>
            </w:pPr>
          </w:p>
        </w:tc>
      </w:tr>
      <w:tr w14:paraId="37C69F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678CA94B">
            <w:pPr>
              <w:spacing w:line="360" w:lineRule="auto"/>
              <w:ind w:firstLine="420" w:firstLineChars="200"/>
              <w:rPr>
                <w:rFonts w:ascii="宋体" w:hAnsi="宋体"/>
                <w:szCs w:val="21"/>
              </w:rPr>
            </w:pPr>
            <w:r>
              <w:rPr>
                <w:rFonts w:hint="eastAsia" w:ascii="宋体" w:hAnsi="宋体"/>
                <w:szCs w:val="21"/>
              </w:rPr>
              <w:t>发包人名称</w:t>
            </w:r>
          </w:p>
        </w:tc>
        <w:tc>
          <w:tcPr>
            <w:tcW w:w="6901" w:type="dxa"/>
            <w:vAlign w:val="center"/>
          </w:tcPr>
          <w:p w14:paraId="62E547EA">
            <w:pPr>
              <w:spacing w:line="360" w:lineRule="auto"/>
              <w:ind w:firstLine="420" w:firstLineChars="200"/>
              <w:rPr>
                <w:rFonts w:ascii="宋体" w:hAnsi="宋体"/>
                <w:szCs w:val="21"/>
              </w:rPr>
            </w:pPr>
          </w:p>
        </w:tc>
      </w:tr>
      <w:tr w14:paraId="08E31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456FC95C">
            <w:pPr>
              <w:spacing w:line="360" w:lineRule="auto"/>
              <w:ind w:firstLine="420" w:firstLineChars="200"/>
              <w:rPr>
                <w:rFonts w:ascii="宋体" w:hAnsi="宋体"/>
                <w:szCs w:val="21"/>
              </w:rPr>
            </w:pPr>
            <w:r>
              <w:rPr>
                <w:rFonts w:hint="eastAsia" w:ascii="宋体" w:hAnsi="宋体"/>
                <w:szCs w:val="21"/>
              </w:rPr>
              <w:t>发包人地址</w:t>
            </w:r>
          </w:p>
        </w:tc>
        <w:tc>
          <w:tcPr>
            <w:tcW w:w="6901" w:type="dxa"/>
            <w:vAlign w:val="center"/>
          </w:tcPr>
          <w:p w14:paraId="5BA59052">
            <w:pPr>
              <w:spacing w:line="360" w:lineRule="auto"/>
              <w:ind w:firstLine="420" w:firstLineChars="200"/>
              <w:rPr>
                <w:rFonts w:ascii="宋体" w:hAnsi="宋体"/>
                <w:szCs w:val="21"/>
              </w:rPr>
            </w:pPr>
          </w:p>
        </w:tc>
      </w:tr>
      <w:tr w14:paraId="1C7C3D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66B111E6">
            <w:pPr>
              <w:spacing w:line="360" w:lineRule="auto"/>
              <w:ind w:firstLine="420" w:firstLineChars="200"/>
              <w:rPr>
                <w:rFonts w:ascii="宋体" w:hAnsi="宋体"/>
                <w:szCs w:val="21"/>
              </w:rPr>
            </w:pPr>
            <w:r>
              <w:rPr>
                <w:rFonts w:hint="eastAsia" w:ascii="宋体" w:hAnsi="宋体"/>
                <w:szCs w:val="21"/>
              </w:rPr>
              <w:t>发包人电话</w:t>
            </w:r>
          </w:p>
        </w:tc>
        <w:tc>
          <w:tcPr>
            <w:tcW w:w="6901" w:type="dxa"/>
            <w:vAlign w:val="center"/>
          </w:tcPr>
          <w:p w14:paraId="24545BD2">
            <w:pPr>
              <w:spacing w:line="360" w:lineRule="auto"/>
              <w:ind w:firstLine="420" w:firstLineChars="200"/>
              <w:rPr>
                <w:rFonts w:ascii="宋体" w:hAnsi="宋体"/>
                <w:szCs w:val="21"/>
              </w:rPr>
            </w:pPr>
          </w:p>
        </w:tc>
      </w:tr>
      <w:tr w14:paraId="465BA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49FC0565">
            <w:pPr>
              <w:spacing w:line="360" w:lineRule="auto"/>
              <w:ind w:firstLine="420" w:firstLineChars="200"/>
              <w:rPr>
                <w:rFonts w:ascii="宋体" w:hAnsi="宋体"/>
                <w:szCs w:val="21"/>
              </w:rPr>
            </w:pPr>
            <w:r>
              <w:rPr>
                <w:rFonts w:hint="eastAsia" w:ascii="宋体" w:hAnsi="宋体"/>
                <w:szCs w:val="21"/>
              </w:rPr>
              <w:t>合同价格</w:t>
            </w:r>
          </w:p>
        </w:tc>
        <w:tc>
          <w:tcPr>
            <w:tcW w:w="6901" w:type="dxa"/>
            <w:vAlign w:val="center"/>
          </w:tcPr>
          <w:p w14:paraId="0FBAE17A">
            <w:pPr>
              <w:spacing w:line="360" w:lineRule="auto"/>
              <w:ind w:firstLine="420" w:firstLineChars="200"/>
              <w:rPr>
                <w:rFonts w:ascii="宋体" w:hAnsi="宋体"/>
                <w:szCs w:val="21"/>
              </w:rPr>
            </w:pPr>
          </w:p>
        </w:tc>
      </w:tr>
      <w:tr w14:paraId="3C39CB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45DB89EF">
            <w:pPr>
              <w:spacing w:line="360" w:lineRule="auto"/>
              <w:ind w:firstLine="420" w:firstLineChars="200"/>
              <w:rPr>
                <w:rFonts w:ascii="宋体" w:hAnsi="宋体"/>
                <w:szCs w:val="21"/>
              </w:rPr>
            </w:pPr>
            <w:r>
              <w:rPr>
                <w:rFonts w:hint="eastAsia" w:ascii="宋体" w:hAnsi="宋体"/>
                <w:szCs w:val="21"/>
              </w:rPr>
              <w:t>承担的工作</w:t>
            </w:r>
          </w:p>
        </w:tc>
        <w:tc>
          <w:tcPr>
            <w:tcW w:w="6901" w:type="dxa"/>
            <w:vAlign w:val="center"/>
          </w:tcPr>
          <w:p w14:paraId="6F865090">
            <w:pPr>
              <w:spacing w:line="360" w:lineRule="auto"/>
              <w:ind w:firstLine="420" w:firstLineChars="200"/>
              <w:rPr>
                <w:rFonts w:ascii="宋体" w:hAnsi="宋体"/>
                <w:szCs w:val="21"/>
              </w:rPr>
            </w:pPr>
          </w:p>
        </w:tc>
      </w:tr>
      <w:tr w14:paraId="40DF52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789B6CAD">
            <w:pPr>
              <w:spacing w:line="360" w:lineRule="auto"/>
              <w:ind w:firstLine="420" w:firstLineChars="200"/>
              <w:rPr>
                <w:rFonts w:ascii="宋体" w:hAnsi="宋体"/>
                <w:szCs w:val="21"/>
              </w:rPr>
            </w:pPr>
            <w:r>
              <w:rPr>
                <w:rFonts w:hint="eastAsia" w:ascii="宋体" w:hAnsi="宋体"/>
                <w:szCs w:val="21"/>
              </w:rPr>
              <w:t>质    量</w:t>
            </w:r>
          </w:p>
        </w:tc>
        <w:tc>
          <w:tcPr>
            <w:tcW w:w="6901" w:type="dxa"/>
            <w:vAlign w:val="center"/>
          </w:tcPr>
          <w:p w14:paraId="6B49898A">
            <w:pPr>
              <w:spacing w:line="360" w:lineRule="auto"/>
              <w:ind w:firstLine="420" w:firstLineChars="200"/>
              <w:rPr>
                <w:rFonts w:ascii="宋体" w:hAnsi="宋体"/>
                <w:szCs w:val="21"/>
              </w:rPr>
            </w:pPr>
          </w:p>
        </w:tc>
      </w:tr>
      <w:tr w14:paraId="3326E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223A5476">
            <w:pPr>
              <w:spacing w:line="360" w:lineRule="auto"/>
              <w:ind w:firstLine="420" w:firstLineChars="200"/>
              <w:rPr>
                <w:rFonts w:ascii="宋体" w:hAnsi="宋体"/>
                <w:szCs w:val="21"/>
              </w:rPr>
            </w:pPr>
            <w:r>
              <w:rPr>
                <w:rFonts w:hint="eastAsia" w:ascii="宋体" w:hAnsi="宋体"/>
                <w:szCs w:val="21"/>
              </w:rPr>
              <w:t>项目负责人</w:t>
            </w:r>
          </w:p>
        </w:tc>
        <w:tc>
          <w:tcPr>
            <w:tcW w:w="6901" w:type="dxa"/>
            <w:vAlign w:val="center"/>
          </w:tcPr>
          <w:p w14:paraId="2F641E5D">
            <w:pPr>
              <w:spacing w:line="360" w:lineRule="auto"/>
              <w:ind w:firstLine="420" w:firstLineChars="200"/>
              <w:rPr>
                <w:rFonts w:ascii="宋体" w:hAnsi="宋体"/>
                <w:szCs w:val="21"/>
              </w:rPr>
            </w:pPr>
          </w:p>
        </w:tc>
      </w:tr>
      <w:tr w14:paraId="15CBC8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4" w:hRule="atLeast"/>
        </w:trPr>
        <w:tc>
          <w:tcPr>
            <w:tcW w:w="2288" w:type="dxa"/>
            <w:vAlign w:val="center"/>
          </w:tcPr>
          <w:p w14:paraId="59EE872F">
            <w:pPr>
              <w:spacing w:line="360" w:lineRule="auto"/>
              <w:ind w:firstLine="420" w:firstLineChars="200"/>
              <w:rPr>
                <w:rFonts w:ascii="宋体" w:hAnsi="宋体"/>
                <w:szCs w:val="21"/>
              </w:rPr>
            </w:pPr>
            <w:r>
              <w:rPr>
                <w:rFonts w:hint="eastAsia" w:ascii="宋体" w:hAnsi="宋体"/>
                <w:szCs w:val="21"/>
              </w:rPr>
              <w:t>项目描述</w:t>
            </w:r>
          </w:p>
        </w:tc>
        <w:tc>
          <w:tcPr>
            <w:tcW w:w="6901" w:type="dxa"/>
            <w:vAlign w:val="center"/>
          </w:tcPr>
          <w:p w14:paraId="5B1C8C00">
            <w:pPr>
              <w:spacing w:line="360" w:lineRule="auto"/>
              <w:ind w:firstLine="420" w:firstLineChars="200"/>
              <w:rPr>
                <w:rFonts w:ascii="宋体" w:hAnsi="宋体"/>
                <w:szCs w:val="21"/>
              </w:rPr>
            </w:pPr>
          </w:p>
        </w:tc>
      </w:tr>
      <w:tr w14:paraId="7C25A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6" w:hRule="atLeast"/>
        </w:trPr>
        <w:tc>
          <w:tcPr>
            <w:tcW w:w="2288" w:type="dxa"/>
            <w:vAlign w:val="center"/>
          </w:tcPr>
          <w:p w14:paraId="6E3A00ED">
            <w:pPr>
              <w:spacing w:line="360" w:lineRule="auto"/>
              <w:ind w:firstLine="420" w:firstLineChars="200"/>
              <w:rPr>
                <w:rFonts w:ascii="宋体" w:hAnsi="宋体"/>
                <w:szCs w:val="21"/>
              </w:rPr>
            </w:pPr>
            <w:r>
              <w:rPr>
                <w:rFonts w:hint="eastAsia" w:ascii="宋体" w:hAnsi="宋体"/>
                <w:szCs w:val="21"/>
              </w:rPr>
              <w:t>备注</w:t>
            </w:r>
          </w:p>
        </w:tc>
        <w:tc>
          <w:tcPr>
            <w:tcW w:w="6901" w:type="dxa"/>
            <w:vAlign w:val="center"/>
          </w:tcPr>
          <w:p w14:paraId="608BFC78">
            <w:pPr>
              <w:spacing w:line="360" w:lineRule="auto"/>
              <w:ind w:firstLine="420" w:firstLineChars="200"/>
              <w:rPr>
                <w:rFonts w:ascii="宋体" w:hAnsi="宋体"/>
                <w:szCs w:val="21"/>
              </w:rPr>
            </w:pPr>
          </w:p>
        </w:tc>
      </w:tr>
    </w:tbl>
    <w:p w14:paraId="4840F25B">
      <w:pPr>
        <w:autoSpaceDE w:val="0"/>
        <w:autoSpaceDN w:val="0"/>
        <w:adjustRightInd w:val="0"/>
        <w:spacing w:line="440" w:lineRule="exact"/>
        <w:rPr>
          <w:rFonts w:ascii="宋体" w:hAnsi="宋体" w:cs="黑体"/>
          <w:kern w:val="0"/>
          <w:szCs w:val="21"/>
        </w:rPr>
        <w:sectPr>
          <w:headerReference r:id="rId12" w:type="default"/>
          <w:footerReference r:id="rId13" w:type="default"/>
          <w:pgSz w:w="11906" w:h="16838"/>
          <w:pgMar w:top="1418" w:right="1134" w:bottom="1418" w:left="1134" w:header="851" w:footer="992" w:gutter="0"/>
          <w:pgNumType w:fmt="decimal"/>
          <w:cols w:space="720" w:num="1"/>
          <w:docGrid w:type="lines" w:linePitch="312" w:charSpace="0"/>
        </w:sectPr>
      </w:pPr>
      <w:r>
        <w:rPr>
          <w:rFonts w:hint="eastAsia" w:ascii="宋体" w:hAnsi="宋体" w:cs="黑体"/>
          <w:kern w:val="0"/>
          <w:szCs w:val="21"/>
        </w:rPr>
        <w:t>填表说明：业绩要求应与招标文件要求一致，每个项目填一张表。</w:t>
      </w:r>
    </w:p>
    <w:p w14:paraId="3BA6A28F">
      <w:pPr>
        <w:pStyle w:val="4"/>
        <w:ind w:firstLine="103"/>
        <w:rPr>
          <w:rFonts w:ascii="宋体"/>
          <w:sz w:val="21"/>
          <w:szCs w:val="21"/>
        </w:rPr>
      </w:pPr>
      <w:bookmarkStart w:id="455" w:name="_Toc247527850"/>
      <w:bookmarkStart w:id="456" w:name="_Toc144974878"/>
      <w:bookmarkStart w:id="457" w:name="_Toc152045810"/>
      <w:bookmarkStart w:id="458" w:name="_Toc152042599"/>
      <w:bookmarkStart w:id="459" w:name="_Toc247514302"/>
      <w:bookmarkStart w:id="460" w:name="_Toc25051"/>
      <w:r>
        <w:rPr>
          <w:rFonts w:ascii="宋体"/>
          <w:sz w:val="21"/>
          <w:szCs w:val="21"/>
        </w:rPr>
        <w:t>（三）</w:t>
      </w:r>
      <w:bookmarkEnd w:id="455"/>
      <w:bookmarkEnd w:id="456"/>
      <w:bookmarkEnd w:id="457"/>
      <w:bookmarkEnd w:id="458"/>
      <w:bookmarkEnd w:id="459"/>
      <w:r>
        <w:rPr>
          <w:rFonts w:hint="eastAsia" w:ascii="宋体"/>
          <w:sz w:val="21"/>
          <w:szCs w:val="21"/>
        </w:rPr>
        <w:t>项目负责人基本情况表</w:t>
      </w:r>
      <w:bookmarkEnd w:id="460"/>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454"/>
        <w:gridCol w:w="643"/>
        <w:gridCol w:w="1047"/>
        <w:gridCol w:w="729"/>
        <w:gridCol w:w="941"/>
        <w:gridCol w:w="1469"/>
        <w:gridCol w:w="211"/>
        <w:gridCol w:w="2496"/>
      </w:tblGrid>
      <w:tr w14:paraId="1282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0" w:hRule="exact"/>
          <w:jc w:val="center"/>
        </w:trPr>
        <w:tc>
          <w:tcPr>
            <w:tcW w:w="1454" w:type="dxa"/>
            <w:vAlign w:val="center"/>
          </w:tcPr>
          <w:p w14:paraId="74589CF0">
            <w:pPr>
              <w:jc w:val="center"/>
              <w:rPr>
                <w:rFonts w:ascii="宋体" w:hAnsi="宋体"/>
                <w:sz w:val="24"/>
              </w:rPr>
            </w:pPr>
            <w:r>
              <w:rPr>
                <w:rFonts w:hint="eastAsia" w:ascii="宋体" w:hAnsi="宋体"/>
                <w:sz w:val="24"/>
              </w:rPr>
              <w:t>姓  名</w:t>
            </w:r>
          </w:p>
        </w:tc>
        <w:tc>
          <w:tcPr>
            <w:tcW w:w="1690" w:type="dxa"/>
            <w:gridSpan w:val="2"/>
            <w:vAlign w:val="center"/>
          </w:tcPr>
          <w:p w14:paraId="1F3C8FC2">
            <w:pPr>
              <w:jc w:val="center"/>
              <w:rPr>
                <w:rFonts w:ascii="宋体" w:hAnsi="宋体"/>
                <w:sz w:val="24"/>
              </w:rPr>
            </w:pPr>
          </w:p>
        </w:tc>
        <w:tc>
          <w:tcPr>
            <w:tcW w:w="729" w:type="dxa"/>
            <w:vAlign w:val="center"/>
          </w:tcPr>
          <w:p w14:paraId="5C067992">
            <w:pPr>
              <w:jc w:val="center"/>
              <w:rPr>
                <w:rFonts w:ascii="宋体" w:hAnsi="宋体"/>
                <w:sz w:val="24"/>
              </w:rPr>
            </w:pPr>
            <w:r>
              <w:rPr>
                <w:rFonts w:hint="eastAsia" w:ascii="宋体" w:hAnsi="宋体"/>
                <w:sz w:val="24"/>
              </w:rPr>
              <w:t>性</w:t>
            </w:r>
            <w:r>
              <w:rPr>
                <w:rFonts w:hint="eastAsia" w:ascii="宋体" w:hAnsi="宋体" w:cs="宋体"/>
                <w:sz w:val="24"/>
              </w:rPr>
              <w:t>别</w:t>
            </w:r>
          </w:p>
        </w:tc>
        <w:tc>
          <w:tcPr>
            <w:tcW w:w="941" w:type="dxa"/>
            <w:vAlign w:val="center"/>
          </w:tcPr>
          <w:p w14:paraId="10587F3F">
            <w:pPr>
              <w:jc w:val="center"/>
              <w:rPr>
                <w:rFonts w:ascii="宋体" w:hAnsi="宋体"/>
                <w:sz w:val="24"/>
              </w:rPr>
            </w:pPr>
          </w:p>
        </w:tc>
        <w:tc>
          <w:tcPr>
            <w:tcW w:w="1680" w:type="dxa"/>
            <w:gridSpan w:val="2"/>
            <w:vAlign w:val="center"/>
          </w:tcPr>
          <w:p w14:paraId="4D8A38CF">
            <w:pPr>
              <w:jc w:val="center"/>
              <w:rPr>
                <w:rFonts w:ascii="宋体" w:hAnsi="宋体"/>
                <w:sz w:val="24"/>
              </w:rPr>
            </w:pPr>
            <w:r>
              <w:rPr>
                <w:rFonts w:hint="eastAsia" w:ascii="宋体" w:hAnsi="宋体"/>
                <w:sz w:val="24"/>
              </w:rPr>
              <w:t>出生</w:t>
            </w:r>
          </w:p>
          <w:p w14:paraId="6C69C1D8">
            <w:pPr>
              <w:jc w:val="center"/>
              <w:rPr>
                <w:rFonts w:ascii="宋体" w:hAnsi="宋体"/>
                <w:sz w:val="24"/>
              </w:rPr>
            </w:pPr>
            <w:r>
              <w:rPr>
                <w:rFonts w:hint="eastAsia" w:ascii="宋体" w:hAnsi="宋体"/>
                <w:sz w:val="24"/>
              </w:rPr>
              <w:t>日期</w:t>
            </w:r>
          </w:p>
        </w:tc>
        <w:tc>
          <w:tcPr>
            <w:tcW w:w="2496" w:type="dxa"/>
            <w:vAlign w:val="center"/>
          </w:tcPr>
          <w:p w14:paraId="1C8E2834">
            <w:pPr>
              <w:jc w:val="center"/>
              <w:rPr>
                <w:rFonts w:ascii="宋体" w:hAnsi="宋体"/>
                <w:sz w:val="24"/>
              </w:rPr>
            </w:pPr>
            <w:r>
              <w:rPr>
                <w:rFonts w:hint="eastAsia" w:ascii="宋体" w:hAnsi="宋体"/>
                <w:sz w:val="24"/>
              </w:rPr>
              <w:t>年  月  日</w:t>
            </w:r>
          </w:p>
        </w:tc>
      </w:tr>
      <w:tr w14:paraId="612532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0" w:hRule="exact"/>
          <w:jc w:val="center"/>
        </w:trPr>
        <w:tc>
          <w:tcPr>
            <w:tcW w:w="1454" w:type="dxa"/>
            <w:vAlign w:val="center"/>
          </w:tcPr>
          <w:p w14:paraId="067B289A">
            <w:pPr>
              <w:jc w:val="center"/>
              <w:rPr>
                <w:rFonts w:ascii="宋体" w:hAnsi="宋体"/>
                <w:sz w:val="24"/>
              </w:rPr>
            </w:pPr>
            <w:r>
              <w:rPr>
                <w:rFonts w:hint="eastAsia" w:ascii="宋体" w:hAnsi="宋体" w:cs="宋体"/>
                <w:sz w:val="24"/>
              </w:rPr>
              <w:t>毕业</w:t>
            </w:r>
            <w:r>
              <w:rPr>
                <w:rFonts w:hint="eastAsia" w:ascii="宋体" w:hAnsi="宋体"/>
                <w:sz w:val="24"/>
              </w:rPr>
              <w:t xml:space="preserve">院校及    </w:t>
            </w:r>
            <w:r>
              <w:rPr>
                <w:rFonts w:hint="eastAsia" w:ascii="宋体" w:hAnsi="宋体" w:cs="宋体"/>
                <w:sz w:val="24"/>
              </w:rPr>
              <w:t>专业</w:t>
            </w:r>
          </w:p>
          <w:p w14:paraId="7C2BB148">
            <w:pPr>
              <w:jc w:val="center"/>
              <w:rPr>
                <w:rFonts w:ascii="宋体" w:hAnsi="宋体"/>
                <w:sz w:val="24"/>
              </w:rPr>
            </w:pPr>
          </w:p>
        </w:tc>
        <w:tc>
          <w:tcPr>
            <w:tcW w:w="3360" w:type="dxa"/>
            <w:gridSpan w:val="4"/>
            <w:vAlign w:val="center"/>
          </w:tcPr>
          <w:p w14:paraId="3B2CFE2E">
            <w:pPr>
              <w:jc w:val="center"/>
              <w:rPr>
                <w:rFonts w:ascii="宋体" w:hAnsi="宋体"/>
                <w:sz w:val="24"/>
              </w:rPr>
            </w:pPr>
          </w:p>
        </w:tc>
        <w:tc>
          <w:tcPr>
            <w:tcW w:w="1680" w:type="dxa"/>
            <w:gridSpan w:val="2"/>
            <w:vAlign w:val="center"/>
          </w:tcPr>
          <w:p w14:paraId="17E7ADC4">
            <w:pPr>
              <w:jc w:val="center"/>
              <w:rPr>
                <w:rFonts w:ascii="宋体" w:hAnsi="宋体"/>
                <w:sz w:val="24"/>
              </w:rPr>
            </w:pPr>
            <w:r>
              <w:rPr>
                <w:rFonts w:hint="eastAsia" w:ascii="宋体" w:hAnsi="宋体" w:cs="宋体"/>
                <w:sz w:val="24"/>
              </w:rPr>
              <w:t>毕业</w:t>
            </w:r>
          </w:p>
          <w:p w14:paraId="3688E7C4">
            <w:pPr>
              <w:jc w:val="center"/>
              <w:rPr>
                <w:rFonts w:ascii="宋体" w:hAnsi="宋体"/>
                <w:sz w:val="24"/>
              </w:rPr>
            </w:pPr>
            <w:r>
              <w:rPr>
                <w:rFonts w:hint="eastAsia" w:ascii="宋体" w:hAnsi="宋体" w:cs="宋体"/>
                <w:sz w:val="24"/>
              </w:rPr>
              <w:t>时间</w:t>
            </w:r>
          </w:p>
        </w:tc>
        <w:tc>
          <w:tcPr>
            <w:tcW w:w="2496" w:type="dxa"/>
            <w:vAlign w:val="center"/>
          </w:tcPr>
          <w:p w14:paraId="2926F17E">
            <w:pPr>
              <w:jc w:val="center"/>
              <w:rPr>
                <w:rFonts w:ascii="宋体" w:hAnsi="宋体"/>
                <w:sz w:val="24"/>
              </w:rPr>
            </w:pPr>
            <w:r>
              <w:rPr>
                <w:rFonts w:hint="eastAsia" w:ascii="宋体" w:hAnsi="宋体"/>
                <w:sz w:val="24"/>
              </w:rPr>
              <w:t>年  月  日</w:t>
            </w:r>
          </w:p>
        </w:tc>
      </w:tr>
      <w:tr w14:paraId="05F51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0" w:hRule="exact"/>
          <w:jc w:val="center"/>
        </w:trPr>
        <w:tc>
          <w:tcPr>
            <w:tcW w:w="1454" w:type="dxa"/>
            <w:vAlign w:val="center"/>
          </w:tcPr>
          <w:p w14:paraId="15557765">
            <w:pPr>
              <w:jc w:val="center"/>
              <w:rPr>
                <w:rFonts w:ascii="宋体" w:hAnsi="宋体"/>
                <w:sz w:val="24"/>
              </w:rPr>
            </w:pPr>
            <w:r>
              <w:rPr>
                <w:rFonts w:hint="eastAsia" w:ascii="宋体" w:hAnsi="宋体"/>
                <w:sz w:val="24"/>
              </w:rPr>
              <w:t>从事本</w:t>
            </w:r>
            <w:r>
              <w:rPr>
                <w:rFonts w:hint="eastAsia" w:ascii="宋体" w:hAnsi="宋体" w:cs="宋体"/>
                <w:sz w:val="24"/>
              </w:rPr>
              <w:t>专业时间</w:t>
            </w:r>
          </w:p>
          <w:p w14:paraId="7337E7BA">
            <w:pPr>
              <w:jc w:val="center"/>
              <w:rPr>
                <w:rFonts w:ascii="宋体" w:hAnsi="宋体"/>
                <w:sz w:val="24"/>
              </w:rPr>
            </w:pPr>
          </w:p>
        </w:tc>
        <w:tc>
          <w:tcPr>
            <w:tcW w:w="3360" w:type="dxa"/>
            <w:gridSpan w:val="4"/>
            <w:vAlign w:val="center"/>
          </w:tcPr>
          <w:p w14:paraId="2B88B8CA">
            <w:pPr>
              <w:jc w:val="center"/>
              <w:rPr>
                <w:rFonts w:ascii="宋体" w:hAnsi="宋体"/>
                <w:sz w:val="24"/>
              </w:rPr>
            </w:pPr>
          </w:p>
        </w:tc>
        <w:tc>
          <w:tcPr>
            <w:tcW w:w="1680" w:type="dxa"/>
            <w:gridSpan w:val="2"/>
            <w:vAlign w:val="center"/>
          </w:tcPr>
          <w:p w14:paraId="18515F3B">
            <w:pPr>
              <w:jc w:val="center"/>
              <w:rPr>
                <w:rFonts w:ascii="宋体" w:hAnsi="宋体"/>
                <w:sz w:val="24"/>
              </w:rPr>
            </w:pPr>
            <w:r>
              <w:rPr>
                <w:rFonts w:hint="eastAsia" w:ascii="宋体" w:hAnsi="宋体" w:cs="宋体"/>
                <w:sz w:val="24"/>
              </w:rPr>
              <w:t>为</w:t>
            </w:r>
            <w:r>
              <w:rPr>
                <w:rFonts w:hint="eastAsia" w:ascii="宋体" w:hAnsi="宋体"/>
                <w:sz w:val="24"/>
              </w:rPr>
              <w:t>申</w:t>
            </w:r>
            <w:r>
              <w:rPr>
                <w:rFonts w:hint="eastAsia" w:ascii="宋体" w:hAnsi="宋体" w:cs="宋体"/>
                <w:sz w:val="24"/>
              </w:rPr>
              <w:t>请</w:t>
            </w:r>
            <w:r>
              <w:rPr>
                <w:rFonts w:hint="eastAsia" w:ascii="宋体" w:hAnsi="宋体"/>
                <w:sz w:val="24"/>
              </w:rPr>
              <w:t>人服</w:t>
            </w:r>
            <w:r>
              <w:rPr>
                <w:rFonts w:hint="eastAsia" w:ascii="宋体" w:hAnsi="宋体" w:cs="宋体"/>
                <w:sz w:val="24"/>
              </w:rPr>
              <w:t>务时间</w:t>
            </w:r>
          </w:p>
          <w:p w14:paraId="31ADEEC9">
            <w:pPr>
              <w:jc w:val="center"/>
              <w:rPr>
                <w:rFonts w:ascii="宋体" w:hAnsi="宋体"/>
                <w:sz w:val="24"/>
              </w:rPr>
            </w:pPr>
          </w:p>
        </w:tc>
        <w:tc>
          <w:tcPr>
            <w:tcW w:w="2496" w:type="dxa"/>
            <w:vAlign w:val="center"/>
          </w:tcPr>
          <w:p w14:paraId="62A1C1D0">
            <w:pPr>
              <w:jc w:val="center"/>
              <w:rPr>
                <w:rFonts w:ascii="宋体" w:hAnsi="宋体"/>
                <w:sz w:val="24"/>
              </w:rPr>
            </w:pPr>
          </w:p>
        </w:tc>
      </w:tr>
      <w:tr w14:paraId="7595C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9" w:hRule="exact"/>
          <w:jc w:val="center"/>
        </w:trPr>
        <w:tc>
          <w:tcPr>
            <w:tcW w:w="1454" w:type="dxa"/>
            <w:vAlign w:val="center"/>
          </w:tcPr>
          <w:p w14:paraId="01052135">
            <w:pPr>
              <w:jc w:val="center"/>
              <w:rPr>
                <w:rFonts w:ascii="宋体" w:hAnsi="宋体"/>
                <w:sz w:val="24"/>
              </w:rPr>
            </w:pPr>
            <w:r>
              <w:rPr>
                <w:rFonts w:hint="eastAsia" w:ascii="宋体" w:hAnsi="宋体" w:cs="宋体"/>
                <w:sz w:val="24"/>
              </w:rPr>
              <w:t>职称</w:t>
            </w:r>
          </w:p>
        </w:tc>
        <w:tc>
          <w:tcPr>
            <w:tcW w:w="3360" w:type="dxa"/>
            <w:gridSpan w:val="4"/>
            <w:vAlign w:val="center"/>
          </w:tcPr>
          <w:p w14:paraId="5ACDC32E">
            <w:pPr>
              <w:jc w:val="center"/>
              <w:rPr>
                <w:rFonts w:ascii="宋体" w:hAnsi="宋体"/>
                <w:sz w:val="24"/>
              </w:rPr>
            </w:pPr>
          </w:p>
        </w:tc>
        <w:tc>
          <w:tcPr>
            <w:tcW w:w="1680" w:type="dxa"/>
            <w:gridSpan w:val="2"/>
            <w:vAlign w:val="center"/>
          </w:tcPr>
          <w:p w14:paraId="38BF904F">
            <w:pPr>
              <w:jc w:val="center"/>
              <w:rPr>
                <w:rFonts w:ascii="宋体" w:hAnsi="宋体"/>
                <w:sz w:val="24"/>
              </w:rPr>
            </w:pPr>
            <w:r>
              <w:rPr>
                <w:rFonts w:hint="eastAsia" w:ascii="宋体" w:hAnsi="宋体" w:cs="宋体"/>
                <w:sz w:val="24"/>
              </w:rPr>
              <w:t>职称证书号</w:t>
            </w:r>
          </w:p>
        </w:tc>
        <w:tc>
          <w:tcPr>
            <w:tcW w:w="2496" w:type="dxa"/>
            <w:vAlign w:val="center"/>
          </w:tcPr>
          <w:p w14:paraId="15FB6585">
            <w:pPr>
              <w:jc w:val="center"/>
              <w:rPr>
                <w:rFonts w:ascii="宋体" w:hAnsi="宋体"/>
                <w:sz w:val="24"/>
              </w:rPr>
            </w:pPr>
          </w:p>
        </w:tc>
      </w:tr>
      <w:tr w14:paraId="60202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0" w:hRule="exact"/>
          <w:jc w:val="center"/>
        </w:trPr>
        <w:tc>
          <w:tcPr>
            <w:tcW w:w="1454" w:type="dxa"/>
            <w:vAlign w:val="center"/>
          </w:tcPr>
          <w:p w14:paraId="79933F23">
            <w:pPr>
              <w:jc w:val="center"/>
              <w:rPr>
                <w:rFonts w:ascii="宋体" w:hAnsi="宋体"/>
                <w:sz w:val="24"/>
              </w:rPr>
            </w:pPr>
            <w:r>
              <w:rPr>
                <w:rFonts w:hint="eastAsia" w:ascii="宋体" w:hAnsi="宋体"/>
                <w:sz w:val="24"/>
              </w:rPr>
              <w:t>在本</w:t>
            </w:r>
            <w:r>
              <w:rPr>
                <w:rFonts w:hint="eastAsia" w:ascii="宋体" w:hAnsi="宋体" w:cs="宋体"/>
                <w:sz w:val="24"/>
              </w:rPr>
              <w:t>项</w:t>
            </w:r>
            <w:r>
              <w:rPr>
                <w:rFonts w:hint="eastAsia" w:ascii="宋体" w:hAnsi="宋体"/>
                <w:sz w:val="24"/>
              </w:rPr>
              <w:t>目中  担任任</w:t>
            </w:r>
            <w:r>
              <w:rPr>
                <w:rFonts w:hint="eastAsia" w:ascii="宋体" w:hAnsi="宋体" w:cs="宋体"/>
                <w:sz w:val="24"/>
              </w:rPr>
              <w:t>务</w:t>
            </w:r>
          </w:p>
          <w:p w14:paraId="76212795">
            <w:pPr>
              <w:jc w:val="center"/>
              <w:rPr>
                <w:rFonts w:ascii="宋体" w:hAnsi="宋体"/>
                <w:sz w:val="24"/>
              </w:rPr>
            </w:pPr>
          </w:p>
        </w:tc>
        <w:tc>
          <w:tcPr>
            <w:tcW w:w="7536" w:type="dxa"/>
            <w:gridSpan w:val="7"/>
            <w:vAlign w:val="center"/>
          </w:tcPr>
          <w:p w14:paraId="2E1C4C78">
            <w:pPr>
              <w:jc w:val="center"/>
              <w:rPr>
                <w:rFonts w:ascii="宋体" w:hAnsi="宋体"/>
                <w:sz w:val="24"/>
              </w:rPr>
            </w:pPr>
          </w:p>
        </w:tc>
      </w:tr>
      <w:tr w14:paraId="568AC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00" w:hRule="exact"/>
          <w:jc w:val="center"/>
        </w:trPr>
        <w:tc>
          <w:tcPr>
            <w:tcW w:w="1454" w:type="dxa"/>
            <w:vMerge w:val="restart"/>
            <w:vAlign w:val="center"/>
          </w:tcPr>
          <w:p w14:paraId="0ED94B75">
            <w:pPr>
              <w:jc w:val="center"/>
              <w:rPr>
                <w:rFonts w:ascii="宋体" w:hAnsi="宋体"/>
                <w:sz w:val="24"/>
              </w:rPr>
            </w:pPr>
            <w:r>
              <w:rPr>
                <w:rFonts w:hint="eastAsia" w:ascii="宋体" w:hAnsi="宋体"/>
                <w:sz w:val="24"/>
              </w:rPr>
              <w:t>本</w:t>
            </w:r>
          </w:p>
          <w:p w14:paraId="6994D5F1">
            <w:pPr>
              <w:jc w:val="center"/>
              <w:rPr>
                <w:rFonts w:ascii="宋体" w:hAnsi="宋体"/>
                <w:sz w:val="24"/>
              </w:rPr>
            </w:pPr>
            <w:r>
              <w:rPr>
                <w:rFonts w:hint="eastAsia" w:ascii="宋体" w:hAnsi="宋体"/>
                <w:sz w:val="24"/>
              </w:rPr>
              <w:t>人</w:t>
            </w:r>
          </w:p>
          <w:p w14:paraId="5A90C5E6">
            <w:pPr>
              <w:jc w:val="center"/>
              <w:rPr>
                <w:rFonts w:ascii="宋体" w:hAnsi="宋体"/>
                <w:sz w:val="24"/>
              </w:rPr>
            </w:pPr>
            <w:r>
              <w:rPr>
                <w:rFonts w:hint="eastAsia" w:ascii="宋体" w:hAnsi="宋体"/>
                <w:sz w:val="24"/>
              </w:rPr>
              <w:t>主</w:t>
            </w:r>
          </w:p>
          <w:p w14:paraId="7ED17DF0">
            <w:pPr>
              <w:jc w:val="center"/>
              <w:rPr>
                <w:rFonts w:ascii="宋体" w:hAnsi="宋体"/>
                <w:sz w:val="24"/>
              </w:rPr>
            </w:pPr>
            <w:r>
              <w:rPr>
                <w:rFonts w:hint="eastAsia" w:ascii="宋体" w:hAnsi="宋体"/>
                <w:sz w:val="24"/>
              </w:rPr>
              <w:t>要</w:t>
            </w:r>
          </w:p>
          <w:p w14:paraId="251A3E95">
            <w:pPr>
              <w:jc w:val="center"/>
              <w:rPr>
                <w:rFonts w:ascii="宋体" w:hAnsi="宋体"/>
                <w:sz w:val="24"/>
              </w:rPr>
            </w:pPr>
            <w:r>
              <w:rPr>
                <w:rFonts w:hint="eastAsia" w:ascii="宋体" w:hAnsi="宋体" w:cs="宋体"/>
                <w:sz w:val="24"/>
              </w:rPr>
              <w:t>设</w:t>
            </w:r>
          </w:p>
          <w:p w14:paraId="1DD9DA83">
            <w:pPr>
              <w:jc w:val="center"/>
              <w:rPr>
                <w:rFonts w:ascii="宋体" w:hAnsi="宋体"/>
                <w:sz w:val="24"/>
              </w:rPr>
            </w:pPr>
            <w:r>
              <w:rPr>
                <w:rFonts w:hint="eastAsia" w:ascii="宋体" w:hAnsi="宋体" w:cs="宋体"/>
                <w:sz w:val="24"/>
              </w:rPr>
              <w:t>计</w:t>
            </w:r>
          </w:p>
          <w:p w14:paraId="623C76A0">
            <w:pPr>
              <w:jc w:val="center"/>
              <w:rPr>
                <w:rFonts w:ascii="宋体" w:hAnsi="宋体"/>
                <w:sz w:val="24"/>
              </w:rPr>
            </w:pPr>
            <w:r>
              <w:rPr>
                <w:rFonts w:hint="eastAsia" w:ascii="宋体" w:hAnsi="宋体"/>
                <w:sz w:val="24"/>
              </w:rPr>
              <w:t>成</w:t>
            </w:r>
          </w:p>
          <w:p w14:paraId="70915F51">
            <w:pPr>
              <w:jc w:val="center"/>
              <w:rPr>
                <w:rFonts w:ascii="宋体" w:hAnsi="宋体"/>
                <w:sz w:val="24"/>
              </w:rPr>
            </w:pPr>
            <w:r>
              <w:rPr>
                <w:rFonts w:hint="eastAsia" w:ascii="宋体" w:hAnsi="宋体"/>
                <w:sz w:val="24"/>
              </w:rPr>
              <w:t>果</w:t>
            </w:r>
          </w:p>
          <w:p w14:paraId="1989B8F4">
            <w:pPr>
              <w:jc w:val="center"/>
              <w:rPr>
                <w:rFonts w:ascii="宋体" w:hAnsi="宋体"/>
                <w:sz w:val="24"/>
              </w:rPr>
            </w:pPr>
          </w:p>
        </w:tc>
        <w:tc>
          <w:tcPr>
            <w:tcW w:w="643" w:type="dxa"/>
            <w:vAlign w:val="center"/>
          </w:tcPr>
          <w:p w14:paraId="42B53F56">
            <w:pPr>
              <w:jc w:val="center"/>
              <w:rPr>
                <w:rFonts w:ascii="宋体" w:hAnsi="宋体"/>
                <w:sz w:val="24"/>
              </w:rPr>
            </w:pPr>
            <w:r>
              <w:rPr>
                <w:rFonts w:hint="eastAsia" w:ascii="宋体" w:hAnsi="宋体"/>
                <w:sz w:val="24"/>
              </w:rPr>
              <w:t>1</w:t>
            </w:r>
          </w:p>
          <w:p w14:paraId="22A2FF69">
            <w:pPr>
              <w:jc w:val="center"/>
              <w:rPr>
                <w:rFonts w:ascii="宋体" w:hAnsi="宋体"/>
                <w:sz w:val="24"/>
              </w:rPr>
            </w:pPr>
          </w:p>
        </w:tc>
        <w:tc>
          <w:tcPr>
            <w:tcW w:w="2717" w:type="dxa"/>
            <w:gridSpan w:val="3"/>
            <w:vAlign w:val="center"/>
          </w:tcPr>
          <w:p w14:paraId="146E0D50">
            <w:pPr>
              <w:jc w:val="center"/>
              <w:rPr>
                <w:rFonts w:ascii="宋体" w:hAnsi="宋体"/>
                <w:sz w:val="24"/>
              </w:rPr>
            </w:pPr>
            <w:r>
              <w:rPr>
                <w:rFonts w:hint="eastAsia" w:ascii="宋体" w:hAnsi="宋体"/>
                <w:sz w:val="24"/>
              </w:rPr>
              <w:t>工程</w:t>
            </w:r>
            <w:r>
              <w:rPr>
                <w:rFonts w:hint="eastAsia" w:ascii="宋体" w:hAnsi="宋体" w:cs="宋体"/>
                <w:sz w:val="24"/>
              </w:rPr>
              <w:t>项</w:t>
            </w:r>
            <w:r>
              <w:rPr>
                <w:rFonts w:hint="eastAsia" w:ascii="宋体" w:hAnsi="宋体"/>
                <w:sz w:val="24"/>
              </w:rPr>
              <w:t>目名称及</w:t>
            </w:r>
            <w:r>
              <w:rPr>
                <w:rFonts w:hint="eastAsia" w:ascii="宋体" w:hAnsi="宋体" w:cs="宋体"/>
                <w:sz w:val="24"/>
              </w:rPr>
              <w:t>规</w:t>
            </w:r>
            <w:r>
              <w:rPr>
                <w:rFonts w:hint="eastAsia" w:ascii="宋体" w:hAnsi="宋体"/>
                <w:sz w:val="24"/>
              </w:rPr>
              <w:t>模</w:t>
            </w:r>
          </w:p>
          <w:p w14:paraId="6FBC568A">
            <w:pPr>
              <w:jc w:val="center"/>
              <w:rPr>
                <w:rFonts w:ascii="宋体" w:hAnsi="宋体"/>
                <w:sz w:val="24"/>
              </w:rPr>
            </w:pPr>
          </w:p>
        </w:tc>
        <w:tc>
          <w:tcPr>
            <w:tcW w:w="1469" w:type="dxa"/>
            <w:vAlign w:val="center"/>
          </w:tcPr>
          <w:p w14:paraId="7005792B">
            <w:pPr>
              <w:jc w:val="center"/>
              <w:rPr>
                <w:rFonts w:ascii="宋体" w:hAnsi="宋体"/>
                <w:sz w:val="24"/>
              </w:rPr>
            </w:pPr>
            <w:r>
              <w:rPr>
                <w:rFonts w:hint="eastAsia" w:ascii="宋体" w:hAnsi="宋体"/>
                <w:sz w:val="24"/>
              </w:rPr>
              <w:t>时间</w:t>
            </w:r>
          </w:p>
        </w:tc>
        <w:tc>
          <w:tcPr>
            <w:tcW w:w="2707" w:type="dxa"/>
            <w:gridSpan w:val="2"/>
            <w:vAlign w:val="center"/>
          </w:tcPr>
          <w:p w14:paraId="737C4B6A">
            <w:pPr>
              <w:jc w:val="center"/>
              <w:rPr>
                <w:rFonts w:ascii="宋体" w:hAnsi="宋体"/>
                <w:sz w:val="24"/>
              </w:rPr>
            </w:pPr>
            <w:r>
              <w:rPr>
                <w:rFonts w:hint="eastAsia" w:ascii="宋体" w:hAnsi="宋体"/>
                <w:sz w:val="24"/>
              </w:rPr>
              <w:t>在</w:t>
            </w:r>
            <w:r>
              <w:rPr>
                <w:rFonts w:hint="eastAsia" w:ascii="宋体" w:hAnsi="宋体" w:cs="宋体"/>
                <w:sz w:val="24"/>
              </w:rPr>
              <w:t>该项</w:t>
            </w:r>
            <w:r>
              <w:rPr>
                <w:rFonts w:hint="eastAsia" w:ascii="宋体" w:hAnsi="宋体"/>
                <w:sz w:val="24"/>
              </w:rPr>
              <w:t>目中任何</w:t>
            </w:r>
            <w:r>
              <w:rPr>
                <w:rFonts w:hint="eastAsia" w:ascii="宋体" w:hAnsi="宋体" w:cs="宋体"/>
                <w:sz w:val="24"/>
              </w:rPr>
              <w:t>职</w:t>
            </w:r>
          </w:p>
          <w:p w14:paraId="0C866902">
            <w:pPr>
              <w:jc w:val="center"/>
              <w:rPr>
                <w:rFonts w:ascii="宋体" w:hAnsi="宋体"/>
                <w:sz w:val="24"/>
              </w:rPr>
            </w:pPr>
          </w:p>
        </w:tc>
      </w:tr>
      <w:tr w14:paraId="21765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exact"/>
          <w:jc w:val="center"/>
        </w:trPr>
        <w:tc>
          <w:tcPr>
            <w:tcW w:w="1454" w:type="dxa"/>
            <w:vMerge w:val="continue"/>
            <w:vAlign w:val="center"/>
          </w:tcPr>
          <w:p w14:paraId="6E513437">
            <w:pPr>
              <w:jc w:val="center"/>
              <w:rPr>
                <w:rFonts w:ascii="宋体" w:hAnsi="宋体"/>
                <w:sz w:val="24"/>
              </w:rPr>
            </w:pPr>
          </w:p>
        </w:tc>
        <w:tc>
          <w:tcPr>
            <w:tcW w:w="643" w:type="dxa"/>
            <w:vAlign w:val="center"/>
          </w:tcPr>
          <w:p w14:paraId="5829B65F">
            <w:pPr>
              <w:jc w:val="center"/>
              <w:rPr>
                <w:rFonts w:ascii="宋体" w:hAnsi="宋体"/>
                <w:sz w:val="24"/>
              </w:rPr>
            </w:pPr>
            <w:r>
              <w:rPr>
                <w:rFonts w:hint="eastAsia" w:ascii="宋体" w:hAnsi="宋体"/>
                <w:sz w:val="24"/>
              </w:rPr>
              <w:t>2</w:t>
            </w:r>
          </w:p>
          <w:p w14:paraId="7C5D0A22">
            <w:pPr>
              <w:jc w:val="center"/>
              <w:rPr>
                <w:rFonts w:ascii="宋体" w:hAnsi="宋体"/>
                <w:sz w:val="24"/>
              </w:rPr>
            </w:pPr>
          </w:p>
        </w:tc>
        <w:tc>
          <w:tcPr>
            <w:tcW w:w="2717" w:type="dxa"/>
            <w:gridSpan w:val="3"/>
            <w:vAlign w:val="center"/>
          </w:tcPr>
          <w:p w14:paraId="15947DD4">
            <w:pPr>
              <w:jc w:val="center"/>
              <w:rPr>
                <w:rFonts w:ascii="宋体" w:hAnsi="宋体"/>
                <w:sz w:val="24"/>
              </w:rPr>
            </w:pPr>
          </w:p>
        </w:tc>
        <w:tc>
          <w:tcPr>
            <w:tcW w:w="1469" w:type="dxa"/>
            <w:vAlign w:val="center"/>
          </w:tcPr>
          <w:p w14:paraId="704050E6">
            <w:pPr>
              <w:jc w:val="center"/>
              <w:rPr>
                <w:rFonts w:ascii="宋体" w:hAnsi="宋体"/>
                <w:sz w:val="24"/>
              </w:rPr>
            </w:pPr>
          </w:p>
        </w:tc>
        <w:tc>
          <w:tcPr>
            <w:tcW w:w="2707" w:type="dxa"/>
            <w:gridSpan w:val="2"/>
            <w:vAlign w:val="center"/>
          </w:tcPr>
          <w:p w14:paraId="1EB99119">
            <w:pPr>
              <w:jc w:val="center"/>
              <w:rPr>
                <w:rFonts w:ascii="宋体" w:hAnsi="宋体"/>
                <w:sz w:val="24"/>
              </w:rPr>
            </w:pPr>
          </w:p>
        </w:tc>
      </w:tr>
      <w:tr w14:paraId="4C522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0" w:hRule="exact"/>
          <w:jc w:val="center"/>
        </w:trPr>
        <w:tc>
          <w:tcPr>
            <w:tcW w:w="1454" w:type="dxa"/>
            <w:vMerge w:val="continue"/>
            <w:vAlign w:val="center"/>
          </w:tcPr>
          <w:p w14:paraId="45EE5FB1">
            <w:pPr>
              <w:jc w:val="center"/>
              <w:rPr>
                <w:rFonts w:ascii="宋体" w:hAnsi="宋体"/>
                <w:sz w:val="24"/>
              </w:rPr>
            </w:pPr>
          </w:p>
        </w:tc>
        <w:tc>
          <w:tcPr>
            <w:tcW w:w="643" w:type="dxa"/>
            <w:vAlign w:val="center"/>
          </w:tcPr>
          <w:p w14:paraId="10AACA2E">
            <w:pPr>
              <w:jc w:val="center"/>
              <w:rPr>
                <w:rFonts w:ascii="宋体" w:hAnsi="宋体"/>
                <w:sz w:val="24"/>
              </w:rPr>
            </w:pPr>
            <w:r>
              <w:rPr>
                <w:rFonts w:hint="eastAsia" w:ascii="宋体" w:hAnsi="宋体"/>
                <w:sz w:val="24"/>
              </w:rPr>
              <w:t>3</w:t>
            </w:r>
          </w:p>
          <w:p w14:paraId="6E06FC9D">
            <w:pPr>
              <w:jc w:val="center"/>
              <w:rPr>
                <w:rFonts w:ascii="宋体" w:hAnsi="宋体"/>
                <w:sz w:val="24"/>
              </w:rPr>
            </w:pPr>
          </w:p>
        </w:tc>
        <w:tc>
          <w:tcPr>
            <w:tcW w:w="2717" w:type="dxa"/>
            <w:gridSpan w:val="3"/>
            <w:vAlign w:val="center"/>
          </w:tcPr>
          <w:p w14:paraId="7E0B3968">
            <w:pPr>
              <w:jc w:val="center"/>
              <w:rPr>
                <w:rFonts w:ascii="宋体" w:hAnsi="宋体"/>
                <w:sz w:val="24"/>
              </w:rPr>
            </w:pPr>
          </w:p>
        </w:tc>
        <w:tc>
          <w:tcPr>
            <w:tcW w:w="1469" w:type="dxa"/>
            <w:vAlign w:val="center"/>
          </w:tcPr>
          <w:p w14:paraId="0B521D38">
            <w:pPr>
              <w:jc w:val="center"/>
              <w:rPr>
                <w:rFonts w:ascii="宋体" w:hAnsi="宋体"/>
                <w:sz w:val="24"/>
              </w:rPr>
            </w:pPr>
          </w:p>
        </w:tc>
        <w:tc>
          <w:tcPr>
            <w:tcW w:w="2707" w:type="dxa"/>
            <w:gridSpan w:val="2"/>
            <w:vAlign w:val="center"/>
          </w:tcPr>
          <w:p w14:paraId="6E383166">
            <w:pPr>
              <w:jc w:val="center"/>
              <w:rPr>
                <w:rFonts w:ascii="宋体" w:hAnsi="宋体"/>
                <w:sz w:val="24"/>
              </w:rPr>
            </w:pPr>
          </w:p>
        </w:tc>
      </w:tr>
      <w:tr w14:paraId="3EC02A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0" w:hRule="exact"/>
          <w:jc w:val="center"/>
        </w:trPr>
        <w:tc>
          <w:tcPr>
            <w:tcW w:w="1454" w:type="dxa"/>
            <w:vMerge w:val="continue"/>
            <w:vAlign w:val="center"/>
          </w:tcPr>
          <w:p w14:paraId="20028C4F">
            <w:pPr>
              <w:jc w:val="center"/>
              <w:rPr>
                <w:rFonts w:ascii="宋体" w:hAnsi="宋体"/>
                <w:sz w:val="24"/>
              </w:rPr>
            </w:pPr>
          </w:p>
        </w:tc>
        <w:tc>
          <w:tcPr>
            <w:tcW w:w="643" w:type="dxa"/>
            <w:vAlign w:val="center"/>
          </w:tcPr>
          <w:p w14:paraId="241C29D3">
            <w:pPr>
              <w:jc w:val="center"/>
              <w:rPr>
                <w:rFonts w:ascii="宋体" w:hAnsi="宋体"/>
                <w:sz w:val="24"/>
              </w:rPr>
            </w:pPr>
            <w:r>
              <w:rPr>
                <w:rFonts w:hint="eastAsia" w:ascii="宋体" w:hAnsi="宋体"/>
                <w:sz w:val="24"/>
              </w:rPr>
              <w:t>4</w:t>
            </w:r>
          </w:p>
          <w:p w14:paraId="2268D9BA">
            <w:pPr>
              <w:jc w:val="center"/>
              <w:rPr>
                <w:rFonts w:ascii="宋体" w:hAnsi="宋体"/>
                <w:sz w:val="24"/>
              </w:rPr>
            </w:pPr>
          </w:p>
        </w:tc>
        <w:tc>
          <w:tcPr>
            <w:tcW w:w="2717" w:type="dxa"/>
            <w:gridSpan w:val="3"/>
            <w:vAlign w:val="center"/>
          </w:tcPr>
          <w:p w14:paraId="41503032">
            <w:pPr>
              <w:jc w:val="center"/>
              <w:rPr>
                <w:rFonts w:ascii="宋体" w:hAnsi="宋体"/>
                <w:sz w:val="24"/>
              </w:rPr>
            </w:pPr>
          </w:p>
        </w:tc>
        <w:tc>
          <w:tcPr>
            <w:tcW w:w="1469" w:type="dxa"/>
            <w:vAlign w:val="center"/>
          </w:tcPr>
          <w:p w14:paraId="021C929B">
            <w:pPr>
              <w:jc w:val="center"/>
              <w:rPr>
                <w:rFonts w:ascii="宋体" w:hAnsi="宋体"/>
                <w:sz w:val="24"/>
              </w:rPr>
            </w:pPr>
          </w:p>
        </w:tc>
        <w:tc>
          <w:tcPr>
            <w:tcW w:w="2707" w:type="dxa"/>
            <w:gridSpan w:val="2"/>
            <w:vAlign w:val="center"/>
          </w:tcPr>
          <w:p w14:paraId="05D270B8">
            <w:pPr>
              <w:jc w:val="center"/>
              <w:rPr>
                <w:rFonts w:ascii="宋体" w:hAnsi="宋体"/>
                <w:sz w:val="24"/>
              </w:rPr>
            </w:pPr>
          </w:p>
        </w:tc>
      </w:tr>
      <w:tr w14:paraId="4EF9A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exact"/>
          <w:jc w:val="center"/>
        </w:trPr>
        <w:tc>
          <w:tcPr>
            <w:tcW w:w="1454" w:type="dxa"/>
            <w:vMerge w:val="continue"/>
            <w:vAlign w:val="center"/>
          </w:tcPr>
          <w:p w14:paraId="1F993308">
            <w:pPr>
              <w:jc w:val="center"/>
              <w:rPr>
                <w:rFonts w:ascii="宋体" w:hAnsi="宋体"/>
                <w:sz w:val="24"/>
              </w:rPr>
            </w:pPr>
          </w:p>
        </w:tc>
        <w:tc>
          <w:tcPr>
            <w:tcW w:w="643" w:type="dxa"/>
            <w:vAlign w:val="center"/>
          </w:tcPr>
          <w:p w14:paraId="5043DF25">
            <w:pPr>
              <w:jc w:val="center"/>
              <w:rPr>
                <w:rFonts w:ascii="宋体" w:hAnsi="宋体"/>
                <w:sz w:val="24"/>
              </w:rPr>
            </w:pPr>
            <w:r>
              <w:rPr>
                <w:rFonts w:hint="eastAsia" w:ascii="宋体" w:hAnsi="宋体"/>
                <w:sz w:val="24"/>
              </w:rPr>
              <w:t>5</w:t>
            </w:r>
          </w:p>
          <w:p w14:paraId="56E8809C">
            <w:pPr>
              <w:jc w:val="center"/>
              <w:rPr>
                <w:rFonts w:ascii="宋体" w:hAnsi="宋体"/>
                <w:sz w:val="24"/>
              </w:rPr>
            </w:pPr>
          </w:p>
        </w:tc>
        <w:tc>
          <w:tcPr>
            <w:tcW w:w="2717" w:type="dxa"/>
            <w:gridSpan w:val="3"/>
            <w:vAlign w:val="center"/>
          </w:tcPr>
          <w:p w14:paraId="617B62BD">
            <w:pPr>
              <w:jc w:val="center"/>
              <w:rPr>
                <w:rFonts w:ascii="宋体" w:hAnsi="宋体"/>
                <w:sz w:val="24"/>
              </w:rPr>
            </w:pPr>
          </w:p>
        </w:tc>
        <w:tc>
          <w:tcPr>
            <w:tcW w:w="1469" w:type="dxa"/>
            <w:vAlign w:val="center"/>
          </w:tcPr>
          <w:p w14:paraId="4CC79E3F">
            <w:pPr>
              <w:jc w:val="center"/>
              <w:rPr>
                <w:rFonts w:ascii="宋体" w:hAnsi="宋体"/>
                <w:sz w:val="24"/>
              </w:rPr>
            </w:pPr>
          </w:p>
        </w:tc>
        <w:tc>
          <w:tcPr>
            <w:tcW w:w="2707" w:type="dxa"/>
            <w:gridSpan w:val="2"/>
            <w:vAlign w:val="center"/>
          </w:tcPr>
          <w:p w14:paraId="6F344535">
            <w:pPr>
              <w:jc w:val="center"/>
              <w:rPr>
                <w:rFonts w:ascii="宋体" w:hAnsi="宋体"/>
                <w:sz w:val="24"/>
              </w:rPr>
            </w:pPr>
          </w:p>
        </w:tc>
      </w:tr>
      <w:tr w14:paraId="487BFE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0" w:hRule="exact"/>
          <w:jc w:val="center"/>
        </w:trPr>
        <w:tc>
          <w:tcPr>
            <w:tcW w:w="1454" w:type="dxa"/>
            <w:vMerge w:val="continue"/>
            <w:vAlign w:val="center"/>
          </w:tcPr>
          <w:p w14:paraId="5735B7DD">
            <w:pPr>
              <w:jc w:val="center"/>
              <w:rPr>
                <w:rFonts w:ascii="宋体" w:hAnsi="宋体"/>
                <w:sz w:val="24"/>
              </w:rPr>
            </w:pPr>
          </w:p>
        </w:tc>
        <w:tc>
          <w:tcPr>
            <w:tcW w:w="643" w:type="dxa"/>
            <w:vAlign w:val="center"/>
          </w:tcPr>
          <w:p w14:paraId="7855F661">
            <w:pPr>
              <w:jc w:val="center"/>
              <w:rPr>
                <w:rFonts w:ascii="宋体" w:hAnsi="宋体"/>
                <w:sz w:val="24"/>
              </w:rPr>
            </w:pPr>
            <w:r>
              <w:rPr>
                <w:rFonts w:hint="eastAsia" w:ascii="宋体" w:hAnsi="宋体"/>
                <w:sz w:val="24"/>
              </w:rPr>
              <w:t>6</w:t>
            </w:r>
          </w:p>
          <w:p w14:paraId="4A01C27C">
            <w:pPr>
              <w:jc w:val="center"/>
              <w:rPr>
                <w:rFonts w:ascii="宋体" w:hAnsi="宋体"/>
                <w:sz w:val="24"/>
              </w:rPr>
            </w:pPr>
          </w:p>
        </w:tc>
        <w:tc>
          <w:tcPr>
            <w:tcW w:w="2717" w:type="dxa"/>
            <w:gridSpan w:val="3"/>
            <w:vAlign w:val="center"/>
          </w:tcPr>
          <w:p w14:paraId="0FD6FD5C">
            <w:pPr>
              <w:jc w:val="center"/>
              <w:rPr>
                <w:rFonts w:ascii="宋体" w:hAnsi="宋体"/>
                <w:sz w:val="24"/>
              </w:rPr>
            </w:pPr>
          </w:p>
        </w:tc>
        <w:tc>
          <w:tcPr>
            <w:tcW w:w="1469" w:type="dxa"/>
            <w:vAlign w:val="center"/>
          </w:tcPr>
          <w:p w14:paraId="4EA46F1A">
            <w:pPr>
              <w:jc w:val="center"/>
              <w:rPr>
                <w:rFonts w:ascii="宋体" w:hAnsi="宋体"/>
                <w:sz w:val="24"/>
              </w:rPr>
            </w:pPr>
          </w:p>
        </w:tc>
        <w:tc>
          <w:tcPr>
            <w:tcW w:w="2707" w:type="dxa"/>
            <w:gridSpan w:val="2"/>
            <w:vAlign w:val="center"/>
          </w:tcPr>
          <w:p w14:paraId="0823AB3F">
            <w:pPr>
              <w:jc w:val="center"/>
              <w:rPr>
                <w:rFonts w:ascii="宋体" w:hAnsi="宋体"/>
                <w:sz w:val="24"/>
              </w:rPr>
            </w:pPr>
          </w:p>
        </w:tc>
      </w:tr>
      <w:tr w14:paraId="632B0C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20" w:hRule="exact"/>
          <w:jc w:val="center"/>
        </w:trPr>
        <w:tc>
          <w:tcPr>
            <w:tcW w:w="1454" w:type="dxa"/>
            <w:vMerge w:val="continue"/>
            <w:vAlign w:val="center"/>
          </w:tcPr>
          <w:p w14:paraId="6E42EB76">
            <w:pPr>
              <w:jc w:val="center"/>
              <w:rPr>
                <w:rFonts w:ascii="宋体" w:hAnsi="宋体"/>
                <w:sz w:val="24"/>
              </w:rPr>
            </w:pPr>
          </w:p>
        </w:tc>
        <w:tc>
          <w:tcPr>
            <w:tcW w:w="643" w:type="dxa"/>
            <w:vAlign w:val="center"/>
          </w:tcPr>
          <w:p w14:paraId="1A8210DD">
            <w:pPr>
              <w:jc w:val="center"/>
              <w:rPr>
                <w:rFonts w:ascii="宋体" w:hAnsi="宋体"/>
                <w:sz w:val="24"/>
              </w:rPr>
            </w:pPr>
            <w:r>
              <w:rPr>
                <w:rFonts w:hint="eastAsia" w:ascii="宋体" w:hAnsi="宋体"/>
                <w:sz w:val="24"/>
              </w:rPr>
              <w:t>7</w:t>
            </w:r>
          </w:p>
          <w:p w14:paraId="58D12A85">
            <w:pPr>
              <w:jc w:val="center"/>
              <w:rPr>
                <w:rFonts w:ascii="宋体" w:hAnsi="宋体"/>
                <w:sz w:val="24"/>
              </w:rPr>
            </w:pPr>
          </w:p>
        </w:tc>
        <w:tc>
          <w:tcPr>
            <w:tcW w:w="2717" w:type="dxa"/>
            <w:gridSpan w:val="3"/>
            <w:vAlign w:val="center"/>
          </w:tcPr>
          <w:p w14:paraId="026CD02F">
            <w:pPr>
              <w:jc w:val="center"/>
              <w:rPr>
                <w:rFonts w:ascii="宋体" w:hAnsi="宋体"/>
                <w:sz w:val="24"/>
              </w:rPr>
            </w:pPr>
          </w:p>
        </w:tc>
        <w:tc>
          <w:tcPr>
            <w:tcW w:w="1469" w:type="dxa"/>
            <w:vAlign w:val="center"/>
          </w:tcPr>
          <w:p w14:paraId="680D83B2">
            <w:pPr>
              <w:jc w:val="center"/>
              <w:rPr>
                <w:rFonts w:ascii="宋体" w:hAnsi="宋体"/>
                <w:sz w:val="24"/>
              </w:rPr>
            </w:pPr>
          </w:p>
        </w:tc>
        <w:tc>
          <w:tcPr>
            <w:tcW w:w="2707" w:type="dxa"/>
            <w:gridSpan w:val="2"/>
            <w:vAlign w:val="center"/>
          </w:tcPr>
          <w:p w14:paraId="254A4F34">
            <w:pPr>
              <w:jc w:val="center"/>
              <w:rPr>
                <w:rFonts w:ascii="宋体" w:hAnsi="宋体"/>
                <w:sz w:val="24"/>
              </w:rPr>
            </w:pPr>
          </w:p>
        </w:tc>
      </w:tr>
      <w:tr w14:paraId="2F3F73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20" w:hRule="exact"/>
          <w:jc w:val="center"/>
        </w:trPr>
        <w:tc>
          <w:tcPr>
            <w:tcW w:w="1454" w:type="dxa"/>
            <w:vMerge w:val="continue"/>
            <w:vAlign w:val="center"/>
          </w:tcPr>
          <w:p w14:paraId="3AF3ED5C">
            <w:pPr>
              <w:jc w:val="center"/>
              <w:rPr>
                <w:rFonts w:ascii="宋体" w:hAnsi="宋体"/>
                <w:sz w:val="24"/>
              </w:rPr>
            </w:pPr>
          </w:p>
        </w:tc>
        <w:tc>
          <w:tcPr>
            <w:tcW w:w="643" w:type="dxa"/>
            <w:vAlign w:val="center"/>
          </w:tcPr>
          <w:p w14:paraId="30667BAB">
            <w:pPr>
              <w:jc w:val="center"/>
              <w:rPr>
                <w:rFonts w:ascii="宋体" w:hAnsi="宋体"/>
                <w:sz w:val="24"/>
              </w:rPr>
            </w:pPr>
            <w:r>
              <w:rPr>
                <w:rFonts w:hint="eastAsia" w:ascii="宋体" w:hAnsi="宋体"/>
                <w:sz w:val="24"/>
              </w:rPr>
              <w:t>8</w:t>
            </w:r>
          </w:p>
          <w:p w14:paraId="0B4276C6">
            <w:pPr>
              <w:jc w:val="center"/>
              <w:rPr>
                <w:rFonts w:ascii="宋体" w:hAnsi="宋体"/>
                <w:sz w:val="24"/>
              </w:rPr>
            </w:pPr>
          </w:p>
        </w:tc>
        <w:tc>
          <w:tcPr>
            <w:tcW w:w="2717" w:type="dxa"/>
            <w:gridSpan w:val="3"/>
            <w:vAlign w:val="center"/>
          </w:tcPr>
          <w:p w14:paraId="63B25CC1">
            <w:pPr>
              <w:jc w:val="center"/>
              <w:rPr>
                <w:rFonts w:ascii="宋体" w:hAnsi="宋体"/>
                <w:sz w:val="24"/>
              </w:rPr>
            </w:pPr>
          </w:p>
        </w:tc>
        <w:tc>
          <w:tcPr>
            <w:tcW w:w="1469" w:type="dxa"/>
            <w:vAlign w:val="center"/>
          </w:tcPr>
          <w:p w14:paraId="319CA393">
            <w:pPr>
              <w:jc w:val="center"/>
              <w:rPr>
                <w:rFonts w:ascii="宋体" w:hAnsi="宋体"/>
                <w:sz w:val="24"/>
              </w:rPr>
            </w:pPr>
          </w:p>
        </w:tc>
        <w:tc>
          <w:tcPr>
            <w:tcW w:w="2707" w:type="dxa"/>
            <w:gridSpan w:val="2"/>
            <w:vAlign w:val="center"/>
          </w:tcPr>
          <w:p w14:paraId="4EEA5E84">
            <w:pPr>
              <w:jc w:val="center"/>
              <w:rPr>
                <w:rFonts w:ascii="宋体" w:hAnsi="宋体"/>
                <w:sz w:val="24"/>
              </w:rPr>
            </w:pPr>
          </w:p>
        </w:tc>
      </w:tr>
      <w:tr w14:paraId="610DF0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540" w:hRule="exact"/>
          <w:jc w:val="center"/>
        </w:trPr>
        <w:tc>
          <w:tcPr>
            <w:tcW w:w="1454" w:type="dxa"/>
            <w:vAlign w:val="center"/>
          </w:tcPr>
          <w:p w14:paraId="28AE10D3">
            <w:pPr>
              <w:jc w:val="center"/>
              <w:rPr>
                <w:rFonts w:ascii="宋体" w:hAnsi="宋体"/>
                <w:sz w:val="24"/>
              </w:rPr>
            </w:pPr>
            <w:r>
              <w:rPr>
                <w:rFonts w:hint="eastAsia" w:ascii="宋体" w:hAnsi="宋体"/>
                <w:sz w:val="24"/>
              </w:rPr>
              <w:t>本</w:t>
            </w:r>
          </w:p>
          <w:p w14:paraId="72D5F4EF">
            <w:pPr>
              <w:jc w:val="center"/>
              <w:rPr>
                <w:rFonts w:ascii="宋体" w:hAnsi="宋体"/>
                <w:sz w:val="24"/>
              </w:rPr>
            </w:pPr>
            <w:r>
              <w:rPr>
                <w:rFonts w:hint="eastAsia" w:ascii="宋体" w:hAnsi="宋体"/>
                <w:sz w:val="24"/>
              </w:rPr>
              <w:t>人</w:t>
            </w:r>
          </w:p>
          <w:p w14:paraId="7E2B9BB2">
            <w:pPr>
              <w:jc w:val="center"/>
              <w:rPr>
                <w:rFonts w:ascii="宋体" w:hAnsi="宋体"/>
                <w:sz w:val="24"/>
              </w:rPr>
            </w:pPr>
            <w:r>
              <w:rPr>
                <w:rFonts w:hint="eastAsia" w:ascii="宋体" w:hAnsi="宋体"/>
                <w:sz w:val="24"/>
              </w:rPr>
              <w:t>主</w:t>
            </w:r>
          </w:p>
          <w:p w14:paraId="4D680863">
            <w:pPr>
              <w:jc w:val="center"/>
              <w:rPr>
                <w:rFonts w:ascii="宋体" w:hAnsi="宋体"/>
                <w:sz w:val="24"/>
              </w:rPr>
            </w:pPr>
            <w:r>
              <w:rPr>
                <w:rFonts w:hint="eastAsia" w:ascii="宋体" w:hAnsi="宋体"/>
                <w:sz w:val="24"/>
              </w:rPr>
              <w:t>要</w:t>
            </w:r>
          </w:p>
          <w:p w14:paraId="7E9EC464">
            <w:pPr>
              <w:jc w:val="center"/>
              <w:rPr>
                <w:rFonts w:ascii="宋体" w:hAnsi="宋体"/>
                <w:sz w:val="24"/>
              </w:rPr>
            </w:pPr>
            <w:r>
              <w:rPr>
                <w:rFonts w:hint="eastAsia" w:ascii="宋体" w:hAnsi="宋体" w:cs="宋体"/>
                <w:sz w:val="24"/>
              </w:rPr>
              <w:t>获</w:t>
            </w:r>
          </w:p>
          <w:p w14:paraId="5BFEBF4C">
            <w:pPr>
              <w:jc w:val="center"/>
              <w:rPr>
                <w:rFonts w:ascii="宋体" w:hAnsi="宋体"/>
                <w:sz w:val="24"/>
              </w:rPr>
            </w:pPr>
            <w:r>
              <w:rPr>
                <w:rFonts w:hint="eastAsia" w:ascii="宋体" w:hAnsi="宋体" w:cs="宋体"/>
                <w:sz w:val="24"/>
              </w:rPr>
              <w:t>奖</w:t>
            </w:r>
          </w:p>
          <w:p w14:paraId="606067FF">
            <w:pPr>
              <w:jc w:val="center"/>
              <w:rPr>
                <w:rFonts w:ascii="宋体" w:hAnsi="宋体"/>
                <w:sz w:val="24"/>
              </w:rPr>
            </w:pPr>
            <w:r>
              <w:rPr>
                <w:rFonts w:hint="eastAsia" w:ascii="宋体" w:hAnsi="宋体"/>
                <w:sz w:val="24"/>
              </w:rPr>
              <w:t>情</w:t>
            </w:r>
          </w:p>
          <w:p w14:paraId="0F0CC57F">
            <w:pPr>
              <w:jc w:val="center"/>
              <w:rPr>
                <w:rFonts w:ascii="宋体" w:hAnsi="宋体"/>
                <w:sz w:val="24"/>
              </w:rPr>
            </w:pPr>
            <w:r>
              <w:rPr>
                <w:rFonts w:hint="eastAsia" w:ascii="宋体" w:hAnsi="宋体"/>
                <w:sz w:val="24"/>
              </w:rPr>
              <w:t>况</w:t>
            </w:r>
          </w:p>
          <w:p w14:paraId="3A76BAE5">
            <w:pPr>
              <w:jc w:val="center"/>
              <w:rPr>
                <w:rFonts w:ascii="宋体" w:hAnsi="宋体"/>
                <w:sz w:val="24"/>
              </w:rPr>
            </w:pPr>
          </w:p>
        </w:tc>
        <w:tc>
          <w:tcPr>
            <w:tcW w:w="7536" w:type="dxa"/>
            <w:gridSpan w:val="7"/>
            <w:vAlign w:val="center"/>
          </w:tcPr>
          <w:p w14:paraId="52A96A14">
            <w:pPr>
              <w:jc w:val="center"/>
              <w:rPr>
                <w:rFonts w:ascii="宋体" w:hAnsi="宋体"/>
                <w:sz w:val="24"/>
              </w:rPr>
            </w:pPr>
          </w:p>
        </w:tc>
      </w:tr>
      <w:tr w14:paraId="789EC3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0" w:hRule="exact"/>
          <w:jc w:val="center"/>
        </w:trPr>
        <w:tc>
          <w:tcPr>
            <w:tcW w:w="1454" w:type="dxa"/>
            <w:vAlign w:val="center"/>
          </w:tcPr>
          <w:p w14:paraId="00B81EAB">
            <w:pPr>
              <w:jc w:val="center"/>
              <w:rPr>
                <w:rFonts w:ascii="宋体" w:hAnsi="宋体"/>
                <w:sz w:val="24"/>
              </w:rPr>
            </w:pPr>
            <w:r>
              <w:rPr>
                <w:rFonts w:hint="eastAsia" w:ascii="宋体" w:hAnsi="宋体"/>
                <w:sz w:val="24"/>
              </w:rPr>
              <w:t>其它需</w:t>
            </w:r>
          </w:p>
          <w:p w14:paraId="63B3BF41">
            <w:pPr>
              <w:jc w:val="center"/>
              <w:rPr>
                <w:rFonts w:ascii="宋体" w:hAnsi="宋体"/>
                <w:sz w:val="24"/>
              </w:rPr>
            </w:pPr>
            <w:r>
              <w:rPr>
                <w:rFonts w:hint="eastAsia" w:ascii="宋体" w:hAnsi="宋体" w:cs="宋体"/>
                <w:sz w:val="24"/>
              </w:rPr>
              <w:t>补</w:t>
            </w:r>
            <w:r>
              <w:rPr>
                <w:rFonts w:hint="eastAsia" w:ascii="宋体" w:hAnsi="宋体"/>
                <w:sz w:val="24"/>
              </w:rPr>
              <w:t>充的情况</w:t>
            </w:r>
          </w:p>
          <w:p w14:paraId="463F2F6E">
            <w:pPr>
              <w:jc w:val="center"/>
              <w:rPr>
                <w:rFonts w:ascii="宋体" w:hAnsi="宋体"/>
                <w:sz w:val="24"/>
              </w:rPr>
            </w:pPr>
          </w:p>
        </w:tc>
        <w:tc>
          <w:tcPr>
            <w:tcW w:w="7536" w:type="dxa"/>
            <w:gridSpan w:val="7"/>
            <w:vAlign w:val="center"/>
          </w:tcPr>
          <w:p w14:paraId="5C9C45A7">
            <w:pPr>
              <w:jc w:val="center"/>
              <w:rPr>
                <w:rFonts w:ascii="宋体" w:hAnsi="宋体"/>
                <w:sz w:val="24"/>
              </w:rPr>
            </w:pPr>
          </w:p>
        </w:tc>
      </w:tr>
    </w:tbl>
    <w:p w14:paraId="27B063D9">
      <w:pPr>
        <w:rPr>
          <w:rFonts w:ascii="宋体" w:hAnsi="宋体"/>
          <w:b/>
          <w:szCs w:val="21"/>
        </w:rPr>
      </w:pPr>
    </w:p>
    <w:p w14:paraId="36570833">
      <w:pPr>
        <w:autoSpaceDE w:val="0"/>
        <w:autoSpaceDN w:val="0"/>
        <w:adjustRightInd w:val="0"/>
        <w:snapToGrid w:val="0"/>
        <w:spacing w:line="360" w:lineRule="auto"/>
        <w:rPr>
          <w:rFonts w:ascii="宋体" w:hAnsi="宋体"/>
          <w:szCs w:val="21"/>
        </w:rPr>
      </w:pPr>
    </w:p>
    <w:p w14:paraId="3F955ED6">
      <w:pPr>
        <w:autoSpaceDE w:val="0"/>
        <w:autoSpaceDN w:val="0"/>
        <w:adjustRightInd w:val="0"/>
        <w:snapToGrid w:val="0"/>
        <w:spacing w:line="360" w:lineRule="auto"/>
        <w:ind w:firstLine="630" w:firstLineChars="300"/>
        <w:rPr>
          <w:rFonts w:ascii="宋体" w:hAnsi="宋体" w:cs="宋体"/>
          <w:szCs w:val="21"/>
        </w:rPr>
      </w:pPr>
      <w:r>
        <w:rPr>
          <w:rFonts w:hint="eastAsia" w:ascii="宋体" w:hAnsi="宋体" w:cs="宋体"/>
          <w:kern w:val="0"/>
          <w:szCs w:val="21"/>
        </w:rPr>
        <w:t>投标人：</w:t>
      </w:r>
      <w:r>
        <w:rPr>
          <w:rFonts w:hint="eastAsia" w:ascii="宋体" w:hAnsi="宋体" w:cs="宋体"/>
          <w:spacing w:val="14"/>
          <w:kern w:val="0"/>
          <w:szCs w:val="21"/>
          <w:u w:val="single"/>
        </w:rPr>
        <w:t>（单位全称） （电子签章）</w:t>
      </w:r>
    </w:p>
    <w:p w14:paraId="1F0D32B2">
      <w:pPr>
        <w:autoSpaceDE w:val="0"/>
        <w:autoSpaceDN w:val="0"/>
        <w:adjustRightInd w:val="0"/>
        <w:snapToGrid w:val="0"/>
        <w:spacing w:line="360" w:lineRule="auto"/>
        <w:ind w:firstLine="464" w:firstLineChars="200"/>
        <w:rPr>
          <w:rFonts w:ascii="宋体" w:hAnsi="宋体" w:cs="宋体"/>
          <w:spacing w:val="11"/>
          <w:kern w:val="0"/>
          <w:szCs w:val="21"/>
        </w:rPr>
      </w:pPr>
      <w:r>
        <w:rPr>
          <w:rFonts w:hint="eastAsia" w:ascii="宋体" w:hAnsi="宋体" w:cs="宋体"/>
          <w:spacing w:val="11"/>
          <w:kern w:val="0"/>
          <w:szCs w:val="21"/>
        </w:rPr>
        <w:t>法定代表人或委托代理人：</w:t>
      </w:r>
      <w:r>
        <w:rPr>
          <w:rFonts w:hint="eastAsia" w:ascii="宋体" w:hAnsi="宋体" w:cs="宋体"/>
          <w:spacing w:val="11"/>
          <w:kern w:val="0"/>
          <w:szCs w:val="21"/>
          <w:u w:val="single"/>
        </w:rPr>
        <w:t xml:space="preserve">     （电子签章）</w:t>
      </w:r>
    </w:p>
    <w:p w14:paraId="41D1A24A">
      <w:pPr>
        <w:autoSpaceDE w:val="0"/>
        <w:autoSpaceDN w:val="0"/>
        <w:adjustRightInd w:val="0"/>
        <w:snapToGrid w:val="0"/>
        <w:spacing w:after="100" w:afterAutospacing="1" w:line="360" w:lineRule="auto"/>
        <w:rPr>
          <w:rFonts w:ascii="宋体" w:hAnsi="宋体" w:cs="宋体"/>
          <w:szCs w:val="21"/>
        </w:rPr>
      </w:pPr>
      <w:r>
        <w:rPr>
          <w:rFonts w:hint="eastAsia" w:ascii="宋体" w:hAnsi="宋体" w:cs="宋体"/>
          <w:szCs w:val="21"/>
        </w:rPr>
        <w:t xml:space="preserve">      日期：  年  月  日</w:t>
      </w:r>
    </w:p>
    <w:p w14:paraId="3DE14D93">
      <w:pPr>
        <w:spacing w:line="440" w:lineRule="exact"/>
        <w:jc w:val="center"/>
        <w:rPr>
          <w:rFonts w:ascii="宋体" w:hAnsi="宋体"/>
          <w:szCs w:val="21"/>
        </w:rPr>
      </w:pPr>
    </w:p>
    <w:p w14:paraId="0ECDD6CF">
      <w:pPr>
        <w:spacing w:line="440" w:lineRule="exact"/>
        <w:rPr>
          <w:rFonts w:ascii="宋体" w:hAnsi="宋体"/>
          <w:szCs w:val="21"/>
        </w:rPr>
      </w:pPr>
      <w:bookmarkStart w:id="461" w:name="_Toc247527851"/>
      <w:bookmarkStart w:id="462" w:name="_Toc152042600"/>
      <w:bookmarkStart w:id="463" w:name="_Toc144974879"/>
      <w:bookmarkStart w:id="464" w:name="_Toc152045811"/>
      <w:bookmarkStart w:id="465" w:name="_Toc247514303"/>
    </w:p>
    <w:p w14:paraId="2D090A6E">
      <w:pPr>
        <w:spacing w:line="440" w:lineRule="exact"/>
        <w:rPr>
          <w:rFonts w:ascii="宋体" w:hAnsi="宋体"/>
          <w:szCs w:val="21"/>
        </w:rPr>
      </w:pPr>
    </w:p>
    <w:p w14:paraId="1D42ABDE">
      <w:pPr>
        <w:pStyle w:val="4"/>
        <w:ind w:firstLine="103"/>
        <w:rPr>
          <w:rFonts w:ascii="宋体"/>
          <w:sz w:val="21"/>
          <w:szCs w:val="21"/>
        </w:rPr>
      </w:pPr>
      <w:bookmarkStart w:id="466" w:name="_Toc475109681"/>
      <w:bookmarkStart w:id="467" w:name="_Toc27748"/>
      <w:r>
        <w:rPr>
          <w:rFonts w:ascii="宋体"/>
          <w:sz w:val="21"/>
          <w:szCs w:val="21"/>
        </w:rPr>
        <w:t>（四）</w:t>
      </w:r>
      <w:bookmarkEnd w:id="461"/>
      <w:bookmarkEnd w:id="462"/>
      <w:bookmarkEnd w:id="463"/>
      <w:bookmarkEnd w:id="464"/>
      <w:bookmarkEnd w:id="465"/>
      <w:r>
        <w:rPr>
          <w:rFonts w:hint="eastAsia" w:ascii="宋体"/>
          <w:sz w:val="21"/>
          <w:szCs w:val="21"/>
        </w:rPr>
        <w:t>拟投入人员汇总表</w:t>
      </w:r>
      <w:bookmarkEnd w:id="466"/>
      <w:bookmarkEnd w:id="467"/>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9"/>
        <w:gridCol w:w="1095"/>
        <w:gridCol w:w="875"/>
        <w:gridCol w:w="875"/>
        <w:gridCol w:w="1533"/>
        <w:gridCol w:w="3010"/>
      </w:tblGrid>
      <w:tr w14:paraId="0CA6B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2" w:hRule="atLeast"/>
          <w:jc w:val="center"/>
        </w:trPr>
        <w:tc>
          <w:tcPr>
            <w:tcW w:w="569" w:type="dxa"/>
            <w:vAlign w:val="center"/>
          </w:tcPr>
          <w:p w14:paraId="6B888953">
            <w:pPr>
              <w:jc w:val="center"/>
              <w:rPr>
                <w:rFonts w:ascii="宋体" w:hAnsi="宋体"/>
                <w:sz w:val="24"/>
              </w:rPr>
            </w:pPr>
            <w:r>
              <w:rPr>
                <w:rFonts w:hint="eastAsia" w:ascii="宋体" w:hAnsi="宋体"/>
                <w:sz w:val="24"/>
              </w:rPr>
              <w:t>序号</w:t>
            </w:r>
          </w:p>
        </w:tc>
        <w:tc>
          <w:tcPr>
            <w:tcW w:w="1095" w:type="dxa"/>
            <w:vAlign w:val="center"/>
          </w:tcPr>
          <w:p w14:paraId="0E10E119">
            <w:pPr>
              <w:jc w:val="center"/>
              <w:rPr>
                <w:rFonts w:ascii="宋体" w:hAnsi="宋体"/>
                <w:sz w:val="24"/>
              </w:rPr>
            </w:pPr>
            <w:r>
              <w:rPr>
                <w:rFonts w:hint="eastAsia" w:ascii="宋体" w:hAnsi="宋体"/>
                <w:sz w:val="24"/>
              </w:rPr>
              <w:t>姓名</w:t>
            </w:r>
          </w:p>
        </w:tc>
        <w:tc>
          <w:tcPr>
            <w:tcW w:w="875" w:type="dxa"/>
            <w:vAlign w:val="center"/>
          </w:tcPr>
          <w:p w14:paraId="75C2CF8C">
            <w:pPr>
              <w:jc w:val="center"/>
              <w:rPr>
                <w:rFonts w:ascii="宋体" w:hAnsi="宋体"/>
                <w:sz w:val="24"/>
              </w:rPr>
            </w:pPr>
            <w:r>
              <w:rPr>
                <w:rFonts w:hint="eastAsia" w:ascii="宋体" w:hAnsi="宋体"/>
                <w:sz w:val="24"/>
              </w:rPr>
              <w:t>性别</w:t>
            </w:r>
          </w:p>
        </w:tc>
        <w:tc>
          <w:tcPr>
            <w:tcW w:w="875" w:type="dxa"/>
            <w:vAlign w:val="center"/>
          </w:tcPr>
          <w:p w14:paraId="4CBE62CC">
            <w:pPr>
              <w:jc w:val="center"/>
              <w:rPr>
                <w:rFonts w:ascii="宋体" w:hAnsi="宋体"/>
                <w:sz w:val="24"/>
              </w:rPr>
            </w:pPr>
            <w:r>
              <w:rPr>
                <w:rFonts w:hint="eastAsia" w:ascii="宋体" w:hAnsi="宋体"/>
                <w:sz w:val="24"/>
              </w:rPr>
              <w:t>专业</w:t>
            </w:r>
          </w:p>
        </w:tc>
        <w:tc>
          <w:tcPr>
            <w:tcW w:w="1533" w:type="dxa"/>
            <w:vAlign w:val="center"/>
          </w:tcPr>
          <w:p w14:paraId="16FC1D8F">
            <w:pPr>
              <w:jc w:val="center"/>
              <w:rPr>
                <w:rFonts w:ascii="宋体" w:hAnsi="宋体"/>
                <w:sz w:val="24"/>
              </w:rPr>
            </w:pPr>
            <w:r>
              <w:rPr>
                <w:rFonts w:hint="eastAsia" w:ascii="宋体" w:hAnsi="宋体"/>
                <w:sz w:val="24"/>
              </w:rPr>
              <w:t>任职资格</w:t>
            </w:r>
          </w:p>
        </w:tc>
        <w:tc>
          <w:tcPr>
            <w:tcW w:w="3010" w:type="dxa"/>
            <w:vAlign w:val="center"/>
          </w:tcPr>
          <w:p w14:paraId="3D7E407B">
            <w:pPr>
              <w:jc w:val="center"/>
              <w:rPr>
                <w:rFonts w:ascii="宋体" w:hAnsi="宋体"/>
                <w:sz w:val="24"/>
              </w:rPr>
            </w:pPr>
            <w:r>
              <w:rPr>
                <w:rFonts w:hint="eastAsia" w:ascii="宋体" w:hAnsi="宋体"/>
                <w:sz w:val="24"/>
              </w:rPr>
              <w:t>在本项目拟任职务</w:t>
            </w:r>
          </w:p>
        </w:tc>
      </w:tr>
      <w:tr w14:paraId="2EE50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2769BDAA">
            <w:pPr>
              <w:jc w:val="center"/>
              <w:rPr>
                <w:rFonts w:ascii="宋体" w:hAnsi="宋体"/>
                <w:sz w:val="24"/>
              </w:rPr>
            </w:pPr>
          </w:p>
        </w:tc>
        <w:tc>
          <w:tcPr>
            <w:tcW w:w="1095" w:type="dxa"/>
            <w:vAlign w:val="center"/>
          </w:tcPr>
          <w:p w14:paraId="6607C576">
            <w:pPr>
              <w:jc w:val="center"/>
              <w:rPr>
                <w:rFonts w:ascii="宋体" w:hAnsi="宋体"/>
                <w:sz w:val="24"/>
              </w:rPr>
            </w:pPr>
          </w:p>
        </w:tc>
        <w:tc>
          <w:tcPr>
            <w:tcW w:w="875" w:type="dxa"/>
            <w:vAlign w:val="center"/>
          </w:tcPr>
          <w:p w14:paraId="410B3134">
            <w:pPr>
              <w:jc w:val="center"/>
              <w:rPr>
                <w:rFonts w:ascii="宋体" w:hAnsi="宋体"/>
                <w:sz w:val="24"/>
              </w:rPr>
            </w:pPr>
          </w:p>
        </w:tc>
        <w:tc>
          <w:tcPr>
            <w:tcW w:w="875" w:type="dxa"/>
            <w:vAlign w:val="center"/>
          </w:tcPr>
          <w:p w14:paraId="227142FC">
            <w:pPr>
              <w:jc w:val="center"/>
              <w:rPr>
                <w:rFonts w:ascii="宋体" w:hAnsi="宋体"/>
                <w:sz w:val="24"/>
              </w:rPr>
            </w:pPr>
          </w:p>
        </w:tc>
        <w:tc>
          <w:tcPr>
            <w:tcW w:w="1533" w:type="dxa"/>
            <w:vAlign w:val="center"/>
          </w:tcPr>
          <w:p w14:paraId="6E13DE9D">
            <w:pPr>
              <w:jc w:val="center"/>
              <w:rPr>
                <w:rFonts w:ascii="宋体" w:hAnsi="宋体"/>
                <w:sz w:val="24"/>
              </w:rPr>
            </w:pPr>
          </w:p>
        </w:tc>
        <w:tc>
          <w:tcPr>
            <w:tcW w:w="3010" w:type="dxa"/>
            <w:vAlign w:val="center"/>
          </w:tcPr>
          <w:p w14:paraId="7DCC0E8A">
            <w:pPr>
              <w:jc w:val="center"/>
              <w:rPr>
                <w:rFonts w:ascii="宋体" w:hAnsi="宋体"/>
                <w:sz w:val="24"/>
              </w:rPr>
            </w:pPr>
          </w:p>
        </w:tc>
      </w:tr>
      <w:tr w14:paraId="10EC5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0D7E0E93">
            <w:pPr>
              <w:jc w:val="center"/>
              <w:rPr>
                <w:rFonts w:ascii="宋体" w:hAnsi="宋体"/>
                <w:sz w:val="24"/>
              </w:rPr>
            </w:pPr>
          </w:p>
        </w:tc>
        <w:tc>
          <w:tcPr>
            <w:tcW w:w="1095" w:type="dxa"/>
            <w:vAlign w:val="center"/>
          </w:tcPr>
          <w:p w14:paraId="5E4542F9">
            <w:pPr>
              <w:jc w:val="center"/>
              <w:rPr>
                <w:rFonts w:ascii="宋体" w:hAnsi="宋体"/>
                <w:sz w:val="24"/>
              </w:rPr>
            </w:pPr>
          </w:p>
        </w:tc>
        <w:tc>
          <w:tcPr>
            <w:tcW w:w="875" w:type="dxa"/>
            <w:vAlign w:val="center"/>
          </w:tcPr>
          <w:p w14:paraId="0D18FAE4">
            <w:pPr>
              <w:jc w:val="center"/>
              <w:rPr>
                <w:rFonts w:ascii="宋体" w:hAnsi="宋体"/>
                <w:sz w:val="24"/>
              </w:rPr>
            </w:pPr>
          </w:p>
        </w:tc>
        <w:tc>
          <w:tcPr>
            <w:tcW w:w="875" w:type="dxa"/>
            <w:vAlign w:val="center"/>
          </w:tcPr>
          <w:p w14:paraId="174837D5">
            <w:pPr>
              <w:jc w:val="center"/>
              <w:rPr>
                <w:rFonts w:ascii="宋体" w:hAnsi="宋体"/>
                <w:sz w:val="24"/>
              </w:rPr>
            </w:pPr>
          </w:p>
        </w:tc>
        <w:tc>
          <w:tcPr>
            <w:tcW w:w="1533" w:type="dxa"/>
            <w:vAlign w:val="center"/>
          </w:tcPr>
          <w:p w14:paraId="214FDA9B">
            <w:pPr>
              <w:jc w:val="center"/>
              <w:rPr>
                <w:rFonts w:ascii="宋体" w:hAnsi="宋体"/>
                <w:sz w:val="24"/>
              </w:rPr>
            </w:pPr>
          </w:p>
        </w:tc>
        <w:tc>
          <w:tcPr>
            <w:tcW w:w="3010" w:type="dxa"/>
            <w:vAlign w:val="center"/>
          </w:tcPr>
          <w:p w14:paraId="42340290">
            <w:pPr>
              <w:jc w:val="center"/>
              <w:rPr>
                <w:rFonts w:ascii="宋体" w:hAnsi="宋体"/>
                <w:sz w:val="24"/>
              </w:rPr>
            </w:pPr>
          </w:p>
        </w:tc>
      </w:tr>
      <w:tr w14:paraId="1EC4D5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6B9B9CF6">
            <w:pPr>
              <w:jc w:val="center"/>
              <w:rPr>
                <w:rFonts w:ascii="宋体" w:hAnsi="宋体"/>
                <w:sz w:val="24"/>
              </w:rPr>
            </w:pPr>
          </w:p>
        </w:tc>
        <w:tc>
          <w:tcPr>
            <w:tcW w:w="1095" w:type="dxa"/>
            <w:vAlign w:val="center"/>
          </w:tcPr>
          <w:p w14:paraId="11D0F5A1">
            <w:pPr>
              <w:jc w:val="center"/>
              <w:rPr>
                <w:rFonts w:ascii="宋体" w:hAnsi="宋体"/>
                <w:sz w:val="24"/>
              </w:rPr>
            </w:pPr>
          </w:p>
        </w:tc>
        <w:tc>
          <w:tcPr>
            <w:tcW w:w="875" w:type="dxa"/>
            <w:vAlign w:val="center"/>
          </w:tcPr>
          <w:p w14:paraId="6703150D">
            <w:pPr>
              <w:jc w:val="center"/>
              <w:rPr>
                <w:rFonts w:ascii="宋体" w:hAnsi="宋体"/>
                <w:sz w:val="24"/>
              </w:rPr>
            </w:pPr>
          </w:p>
        </w:tc>
        <w:tc>
          <w:tcPr>
            <w:tcW w:w="875" w:type="dxa"/>
            <w:vAlign w:val="center"/>
          </w:tcPr>
          <w:p w14:paraId="7E4C204D">
            <w:pPr>
              <w:jc w:val="center"/>
              <w:rPr>
                <w:rFonts w:ascii="宋体" w:hAnsi="宋体"/>
                <w:sz w:val="24"/>
              </w:rPr>
            </w:pPr>
          </w:p>
        </w:tc>
        <w:tc>
          <w:tcPr>
            <w:tcW w:w="1533" w:type="dxa"/>
            <w:vAlign w:val="center"/>
          </w:tcPr>
          <w:p w14:paraId="49A6E8AD">
            <w:pPr>
              <w:jc w:val="center"/>
              <w:rPr>
                <w:rFonts w:ascii="宋体" w:hAnsi="宋体"/>
                <w:sz w:val="24"/>
              </w:rPr>
            </w:pPr>
          </w:p>
        </w:tc>
        <w:tc>
          <w:tcPr>
            <w:tcW w:w="3010" w:type="dxa"/>
            <w:vAlign w:val="center"/>
          </w:tcPr>
          <w:p w14:paraId="310D0BC2">
            <w:pPr>
              <w:jc w:val="center"/>
              <w:rPr>
                <w:rFonts w:ascii="宋体" w:hAnsi="宋体"/>
                <w:sz w:val="24"/>
              </w:rPr>
            </w:pPr>
          </w:p>
        </w:tc>
      </w:tr>
      <w:tr w14:paraId="49AC40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4C397493">
            <w:pPr>
              <w:jc w:val="center"/>
              <w:rPr>
                <w:rFonts w:ascii="宋体" w:hAnsi="宋体"/>
                <w:sz w:val="24"/>
              </w:rPr>
            </w:pPr>
          </w:p>
        </w:tc>
        <w:tc>
          <w:tcPr>
            <w:tcW w:w="1095" w:type="dxa"/>
            <w:vAlign w:val="center"/>
          </w:tcPr>
          <w:p w14:paraId="1BD46345">
            <w:pPr>
              <w:jc w:val="center"/>
              <w:rPr>
                <w:rFonts w:ascii="宋体" w:hAnsi="宋体"/>
                <w:sz w:val="24"/>
              </w:rPr>
            </w:pPr>
          </w:p>
        </w:tc>
        <w:tc>
          <w:tcPr>
            <w:tcW w:w="875" w:type="dxa"/>
            <w:vAlign w:val="center"/>
          </w:tcPr>
          <w:p w14:paraId="01C56374">
            <w:pPr>
              <w:jc w:val="center"/>
              <w:rPr>
                <w:rFonts w:ascii="宋体" w:hAnsi="宋体"/>
                <w:sz w:val="24"/>
              </w:rPr>
            </w:pPr>
          </w:p>
        </w:tc>
        <w:tc>
          <w:tcPr>
            <w:tcW w:w="875" w:type="dxa"/>
            <w:vAlign w:val="center"/>
          </w:tcPr>
          <w:p w14:paraId="6DCCE7BB">
            <w:pPr>
              <w:jc w:val="center"/>
              <w:rPr>
                <w:rFonts w:ascii="宋体" w:hAnsi="宋体"/>
                <w:sz w:val="24"/>
              </w:rPr>
            </w:pPr>
          </w:p>
        </w:tc>
        <w:tc>
          <w:tcPr>
            <w:tcW w:w="1533" w:type="dxa"/>
            <w:vAlign w:val="center"/>
          </w:tcPr>
          <w:p w14:paraId="441100B4">
            <w:pPr>
              <w:jc w:val="center"/>
              <w:rPr>
                <w:rFonts w:ascii="宋体" w:hAnsi="宋体"/>
                <w:sz w:val="24"/>
              </w:rPr>
            </w:pPr>
          </w:p>
        </w:tc>
        <w:tc>
          <w:tcPr>
            <w:tcW w:w="3010" w:type="dxa"/>
            <w:vAlign w:val="center"/>
          </w:tcPr>
          <w:p w14:paraId="49B96FF9">
            <w:pPr>
              <w:jc w:val="center"/>
              <w:rPr>
                <w:rFonts w:ascii="宋体" w:hAnsi="宋体"/>
                <w:sz w:val="24"/>
              </w:rPr>
            </w:pPr>
          </w:p>
        </w:tc>
      </w:tr>
      <w:tr w14:paraId="150C11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6CE79C44">
            <w:pPr>
              <w:jc w:val="center"/>
              <w:rPr>
                <w:rFonts w:ascii="宋体" w:hAnsi="宋体"/>
                <w:sz w:val="24"/>
              </w:rPr>
            </w:pPr>
          </w:p>
        </w:tc>
        <w:tc>
          <w:tcPr>
            <w:tcW w:w="1095" w:type="dxa"/>
            <w:vAlign w:val="center"/>
          </w:tcPr>
          <w:p w14:paraId="6E19CFA5">
            <w:pPr>
              <w:jc w:val="center"/>
              <w:rPr>
                <w:rFonts w:ascii="宋体" w:hAnsi="宋体"/>
                <w:sz w:val="24"/>
              </w:rPr>
            </w:pPr>
          </w:p>
        </w:tc>
        <w:tc>
          <w:tcPr>
            <w:tcW w:w="875" w:type="dxa"/>
            <w:vAlign w:val="center"/>
          </w:tcPr>
          <w:p w14:paraId="60983AF2">
            <w:pPr>
              <w:jc w:val="center"/>
              <w:rPr>
                <w:rFonts w:ascii="宋体" w:hAnsi="宋体"/>
                <w:sz w:val="24"/>
              </w:rPr>
            </w:pPr>
          </w:p>
        </w:tc>
        <w:tc>
          <w:tcPr>
            <w:tcW w:w="875" w:type="dxa"/>
            <w:vAlign w:val="center"/>
          </w:tcPr>
          <w:p w14:paraId="280880A2">
            <w:pPr>
              <w:jc w:val="center"/>
              <w:rPr>
                <w:rFonts w:ascii="宋体" w:hAnsi="宋体"/>
                <w:sz w:val="24"/>
              </w:rPr>
            </w:pPr>
          </w:p>
        </w:tc>
        <w:tc>
          <w:tcPr>
            <w:tcW w:w="1533" w:type="dxa"/>
            <w:vAlign w:val="center"/>
          </w:tcPr>
          <w:p w14:paraId="22D82266">
            <w:pPr>
              <w:jc w:val="center"/>
              <w:rPr>
                <w:rFonts w:ascii="宋体" w:hAnsi="宋体"/>
                <w:sz w:val="24"/>
              </w:rPr>
            </w:pPr>
          </w:p>
        </w:tc>
        <w:tc>
          <w:tcPr>
            <w:tcW w:w="3010" w:type="dxa"/>
            <w:vAlign w:val="center"/>
          </w:tcPr>
          <w:p w14:paraId="5BDD8495">
            <w:pPr>
              <w:jc w:val="center"/>
              <w:rPr>
                <w:rFonts w:ascii="宋体" w:hAnsi="宋体"/>
                <w:sz w:val="24"/>
              </w:rPr>
            </w:pPr>
          </w:p>
        </w:tc>
      </w:tr>
      <w:tr w14:paraId="0ACD6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5CF2E76C">
            <w:pPr>
              <w:jc w:val="center"/>
              <w:rPr>
                <w:rFonts w:ascii="宋体" w:hAnsi="宋体"/>
                <w:sz w:val="24"/>
              </w:rPr>
            </w:pPr>
          </w:p>
        </w:tc>
        <w:tc>
          <w:tcPr>
            <w:tcW w:w="1095" w:type="dxa"/>
            <w:vAlign w:val="center"/>
          </w:tcPr>
          <w:p w14:paraId="5897F0FB">
            <w:pPr>
              <w:jc w:val="center"/>
              <w:rPr>
                <w:rFonts w:ascii="宋体" w:hAnsi="宋体"/>
                <w:sz w:val="24"/>
              </w:rPr>
            </w:pPr>
          </w:p>
        </w:tc>
        <w:tc>
          <w:tcPr>
            <w:tcW w:w="875" w:type="dxa"/>
            <w:vAlign w:val="center"/>
          </w:tcPr>
          <w:p w14:paraId="7A41DF5B">
            <w:pPr>
              <w:jc w:val="center"/>
              <w:rPr>
                <w:rFonts w:ascii="宋体" w:hAnsi="宋体"/>
                <w:sz w:val="24"/>
              </w:rPr>
            </w:pPr>
          </w:p>
        </w:tc>
        <w:tc>
          <w:tcPr>
            <w:tcW w:w="875" w:type="dxa"/>
            <w:vAlign w:val="center"/>
          </w:tcPr>
          <w:p w14:paraId="6426CF4E">
            <w:pPr>
              <w:jc w:val="center"/>
              <w:rPr>
                <w:rFonts w:ascii="宋体" w:hAnsi="宋体"/>
                <w:sz w:val="24"/>
              </w:rPr>
            </w:pPr>
          </w:p>
        </w:tc>
        <w:tc>
          <w:tcPr>
            <w:tcW w:w="1533" w:type="dxa"/>
            <w:vAlign w:val="center"/>
          </w:tcPr>
          <w:p w14:paraId="733AFE70">
            <w:pPr>
              <w:jc w:val="center"/>
              <w:rPr>
                <w:rFonts w:ascii="宋体" w:hAnsi="宋体"/>
                <w:sz w:val="24"/>
              </w:rPr>
            </w:pPr>
          </w:p>
        </w:tc>
        <w:tc>
          <w:tcPr>
            <w:tcW w:w="3010" w:type="dxa"/>
            <w:vAlign w:val="center"/>
          </w:tcPr>
          <w:p w14:paraId="00E6CA2D">
            <w:pPr>
              <w:jc w:val="center"/>
              <w:rPr>
                <w:rFonts w:ascii="宋体" w:hAnsi="宋体"/>
                <w:sz w:val="24"/>
              </w:rPr>
            </w:pPr>
          </w:p>
        </w:tc>
      </w:tr>
      <w:tr w14:paraId="2DEE26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5FD1B189">
            <w:pPr>
              <w:jc w:val="center"/>
              <w:rPr>
                <w:rFonts w:ascii="宋体" w:hAnsi="宋体"/>
                <w:sz w:val="24"/>
              </w:rPr>
            </w:pPr>
          </w:p>
        </w:tc>
        <w:tc>
          <w:tcPr>
            <w:tcW w:w="1095" w:type="dxa"/>
            <w:vAlign w:val="center"/>
          </w:tcPr>
          <w:p w14:paraId="4CF38C2B">
            <w:pPr>
              <w:jc w:val="center"/>
              <w:rPr>
                <w:rFonts w:ascii="宋体" w:hAnsi="宋体"/>
                <w:sz w:val="24"/>
              </w:rPr>
            </w:pPr>
          </w:p>
        </w:tc>
        <w:tc>
          <w:tcPr>
            <w:tcW w:w="875" w:type="dxa"/>
            <w:vAlign w:val="center"/>
          </w:tcPr>
          <w:p w14:paraId="3D2AF123">
            <w:pPr>
              <w:jc w:val="center"/>
              <w:rPr>
                <w:rFonts w:ascii="宋体" w:hAnsi="宋体"/>
                <w:sz w:val="24"/>
              </w:rPr>
            </w:pPr>
          </w:p>
        </w:tc>
        <w:tc>
          <w:tcPr>
            <w:tcW w:w="875" w:type="dxa"/>
            <w:vAlign w:val="center"/>
          </w:tcPr>
          <w:p w14:paraId="0F77BC84">
            <w:pPr>
              <w:jc w:val="center"/>
              <w:rPr>
                <w:rFonts w:ascii="宋体" w:hAnsi="宋体"/>
                <w:sz w:val="24"/>
              </w:rPr>
            </w:pPr>
          </w:p>
        </w:tc>
        <w:tc>
          <w:tcPr>
            <w:tcW w:w="1533" w:type="dxa"/>
            <w:vAlign w:val="center"/>
          </w:tcPr>
          <w:p w14:paraId="34D65BAA">
            <w:pPr>
              <w:jc w:val="center"/>
              <w:rPr>
                <w:rFonts w:ascii="宋体" w:hAnsi="宋体"/>
                <w:sz w:val="24"/>
              </w:rPr>
            </w:pPr>
          </w:p>
        </w:tc>
        <w:tc>
          <w:tcPr>
            <w:tcW w:w="3010" w:type="dxa"/>
            <w:vAlign w:val="center"/>
          </w:tcPr>
          <w:p w14:paraId="4506441F">
            <w:pPr>
              <w:jc w:val="center"/>
              <w:rPr>
                <w:rFonts w:ascii="宋体" w:hAnsi="宋体"/>
                <w:sz w:val="24"/>
              </w:rPr>
            </w:pPr>
          </w:p>
        </w:tc>
      </w:tr>
      <w:tr w14:paraId="76394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045017ED">
            <w:pPr>
              <w:jc w:val="center"/>
              <w:rPr>
                <w:rFonts w:ascii="宋体" w:hAnsi="宋体"/>
                <w:sz w:val="24"/>
              </w:rPr>
            </w:pPr>
          </w:p>
        </w:tc>
        <w:tc>
          <w:tcPr>
            <w:tcW w:w="1095" w:type="dxa"/>
            <w:vAlign w:val="center"/>
          </w:tcPr>
          <w:p w14:paraId="3C41A0B0">
            <w:pPr>
              <w:jc w:val="center"/>
              <w:rPr>
                <w:rFonts w:ascii="宋体" w:hAnsi="宋体"/>
                <w:sz w:val="24"/>
              </w:rPr>
            </w:pPr>
          </w:p>
        </w:tc>
        <w:tc>
          <w:tcPr>
            <w:tcW w:w="875" w:type="dxa"/>
            <w:vAlign w:val="center"/>
          </w:tcPr>
          <w:p w14:paraId="042F7452">
            <w:pPr>
              <w:jc w:val="center"/>
              <w:rPr>
                <w:rFonts w:ascii="宋体" w:hAnsi="宋体"/>
                <w:sz w:val="24"/>
              </w:rPr>
            </w:pPr>
          </w:p>
        </w:tc>
        <w:tc>
          <w:tcPr>
            <w:tcW w:w="875" w:type="dxa"/>
            <w:vAlign w:val="center"/>
          </w:tcPr>
          <w:p w14:paraId="6ED4BEAD">
            <w:pPr>
              <w:jc w:val="center"/>
              <w:rPr>
                <w:rFonts w:ascii="宋体" w:hAnsi="宋体"/>
                <w:sz w:val="24"/>
              </w:rPr>
            </w:pPr>
          </w:p>
        </w:tc>
        <w:tc>
          <w:tcPr>
            <w:tcW w:w="1533" w:type="dxa"/>
            <w:vAlign w:val="center"/>
          </w:tcPr>
          <w:p w14:paraId="2FE95E40">
            <w:pPr>
              <w:jc w:val="center"/>
              <w:rPr>
                <w:rFonts w:ascii="宋体" w:hAnsi="宋体"/>
                <w:sz w:val="24"/>
              </w:rPr>
            </w:pPr>
          </w:p>
        </w:tc>
        <w:tc>
          <w:tcPr>
            <w:tcW w:w="3010" w:type="dxa"/>
            <w:vAlign w:val="center"/>
          </w:tcPr>
          <w:p w14:paraId="4ADD8C12">
            <w:pPr>
              <w:jc w:val="center"/>
              <w:rPr>
                <w:rFonts w:ascii="宋体" w:hAnsi="宋体"/>
                <w:sz w:val="24"/>
              </w:rPr>
            </w:pPr>
          </w:p>
        </w:tc>
      </w:tr>
      <w:tr w14:paraId="43B74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569" w:type="dxa"/>
            <w:vAlign w:val="center"/>
          </w:tcPr>
          <w:p w14:paraId="76624E0E">
            <w:pPr>
              <w:jc w:val="center"/>
              <w:rPr>
                <w:rFonts w:ascii="宋体" w:hAnsi="宋体"/>
                <w:sz w:val="24"/>
              </w:rPr>
            </w:pPr>
          </w:p>
        </w:tc>
        <w:tc>
          <w:tcPr>
            <w:tcW w:w="1095" w:type="dxa"/>
            <w:vAlign w:val="center"/>
          </w:tcPr>
          <w:p w14:paraId="6B3B8437">
            <w:pPr>
              <w:jc w:val="center"/>
              <w:rPr>
                <w:rFonts w:ascii="宋体" w:hAnsi="宋体"/>
                <w:sz w:val="24"/>
              </w:rPr>
            </w:pPr>
          </w:p>
        </w:tc>
        <w:tc>
          <w:tcPr>
            <w:tcW w:w="875" w:type="dxa"/>
            <w:vAlign w:val="center"/>
          </w:tcPr>
          <w:p w14:paraId="2344EF8F">
            <w:pPr>
              <w:jc w:val="center"/>
              <w:rPr>
                <w:rFonts w:ascii="宋体" w:hAnsi="宋体"/>
                <w:sz w:val="24"/>
              </w:rPr>
            </w:pPr>
          </w:p>
        </w:tc>
        <w:tc>
          <w:tcPr>
            <w:tcW w:w="875" w:type="dxa"/>
            <w:vAlign w:val="center"/>
          </w:tcPr>
          <w:p w14:paraId="121980C9">
            <w:pPr>
              <w:jc w:val="center"/>
              <w:rPr>
                <w:rFonts w:ascii="宋体" w:hAnsi="宋体"/>
                <w:sz w:val="24"/>
              </w:rPr>
            </w:pPr>
          </w:p>
        </w:tc>
        <w:tc>
          <w:tcPr>
            <w:tcW w:w="1533" w:type="dxa"/>
            <w:vAlign w:val="center"/>
          </w:tcPr>
          <w:p w14:paraId="5716FBCE">
            <w:pPr>
              <w:jc w:val="center"/>
              <w:rPr>
                <w:rFonts w:ascii="宋体" w:hAnsi="宋体"/>
                <w:sz w:val="24"/>
              </w:rPr>
            </w:pPr>
          </w:p>
        </w:tc>
        <w:tc>
          <w:tcPr>
            <w:tcW w:w="3010" w:type="dxa"/>
            <w:vAlign w:val="center"/>
          </w:tcPr>
          <w:p w14:paraId="05695BAE">
            <w:pPr>
              <w:jc w:val="center"/>
              <w:rPr>
                <w:rFonts w:ascii="宋体" w:hAnsi="宋体"/>
                <w:sz w:val="24"/>
              </w:rPr>
            </w:pPr>
          </w:p>
        </w:tc>
      </w:tr>
    </w:tbl>
    <w:p w14:paraId="6256ED3E">
      <w:pPr>
        <w:rPr>
          <w:rFonts w:ascii="宋体" w:hAnsi="宋体"/>
          <w:b/>
          <w:szCs w:val="21"/>
        </w:rPr>
      </w:pPr>
    </w:p>
    <w:p w14:paraId="3176A8B4">
      <w:pPr>
        <w:rPr>
          <w:rFonts w:ascii="宋体" w:hAnsi="宋体"/>
          <w:b/>
          <w:szCs w:val="21"/>
        </w:rPr>
      </w:pPr>
    </w:p>
    <w:p w14:paraId="5D34653B">
      <w:pPr>
        <w:rPr>
          <w:rFonts w:ascii="宋体" w:hAnsi="宋体"/>
          <w:b/>
          <w:szCs w:val="21"/>
        </w:rPr>
      </w:pPr>
    </w:p>
    <w:p w14:paraId="5F2E550D">
      <w:pPr>
        <w:autoSpaceDE w:val="0"/>
        <w:autoSpaceDN w:val="0"/>
        <w:adjustRightInd w:val="0"/>
        <w:snapToGrid w:val="0"/>
        <w:spacing w:line="360" w:lineRule="auto"/>
        <w:ind w:firstLine="630" w:firstLineChars="300"/>
        <w:rPr>
          <w:rFonts w:ascii="宋体" w:hAnsi="宋体" w:cs="宋体"/>
          <w:szCs w:val="21"/>
        </w:rPr>
      </w:pPr>
      <w:r>
        <w:rPr>
          <w:rFonts w:hint="eastAsia" w:ascii="宋体" w:hAnsi="宋体" w:cs="宋体"/>
          <w:kern w:val="0"/>
          <w:szCs w:val="21"/>
        </w:rPr>
        <w:t>投标人：</w:t>
      </w:r>
      <w:r>
        <w:rPr>
          <w:rFonts w:hint="eastAsia" w:ascii="宋体" w:hAnsi="宋体" w:cs="宋体"/>
          <w:spacing w:val="14"/>
          <w:kern w:val="0"/>
          <w:szCs w:val="21"/>
          <w:u w:val="single"/>
        </w:rPr>
        <w:t xml:space="preserve">（单位全称） （电子签章）    </w:t>
      </w:r>
    </w:p>
    <w:p w14:paraId="58FF2B9F">
      <w:pPr>
        <w:autoSpaceDE w:val="0"/>
        <w:autoSpaceDN w:val="0"/>
        <w:adjustRightInd w:val="0"/>
        <w:snapToGrid w:val="0"/>
        <w:spacing w:line="360" w:lineRule="auto"/>
        <w:ind w:firstLine="696" w:firstLineChars="300"/>
        <w:rPr>
          <w:rFonts w:ascii="宋体" w:hAnsi="宋体" w:cs="宋体"/>
          <w:spacing w:val="11"/>
          <w:kern w:val="0"/>
          <w:szCs w:val="21"/>
        </w:rPr>
      </w:pPr>
      <w:r>
        <w:rPr>
          <w:rFonts w:hint="eastAsia" w:ascii="宋体" w:hAnsi="宋体" w:cs="宋体"/>
          <w:spacing w:val="11"/>
          <w:kern w:val="0"/>
          <w:szCs w:val="21"/>
        </w:rPr>
        <w:t>法定代表人或委托代理人：</w:t>
      </w:r>
      <w:r>
        <w:rPr>
          <w:rFonts w:hint="eastAsia" w:ascii="宋体" w:hAnsi="宋体" w:cs="宋体"/>
          <w:spacing w:val="11"/>
          <w:kern w:val="0"/>
          <w:szCs w:val="21"/>
          <w:u w:val="single"/>
        </w:rPr>
        <w:t xml:space="preserve">    （电子签章）</w:t>
      </w:r>
    </w:p>
    <w:p w14:paraId="521284A6">
      <w:pPr>
        <w:autoSpaceDE w:val="0"/>
        <w:autoSpaceDN w:val="0"/>
        <w:adjustRightInd w:val="0"/>
        <w:snapToGrid w:val="0"/>
        <w:spacing w:after="100" w:afterAutospacing="1" w:line="360" w:lineRule="auto"/>
        <w:rPr>
          <w:rFonts w:ascii="宋体" w:hAnsi="宋体" w:cs="宋体"/>
          <w:szCs w:val="21"/>
        </w:rPr>
      </w:pPr>
      <w:r>
        <w:rPr>
          <w:rFonts w:hint="eastAsia" w:ascii="宋体" w:hAnsi="宋体" w:cs="宋体"/>
          <w:szCs w:val="21"/>
        </w:rPr>
        <w:t xml:space="preserve">      日期：  年  月  日</w:t>
      </w:r>
    </w:p>
    <w:p w14:paraId="5B47200C">
      <w:pPr>
        <w:autoSpaceDE w:val="0"/>
        <w:autoSpaceDN w:val="0"/>
        <w:adjustRightInd w:val="0"/>
        <w:snapToGrid w:val="0"/>
        <w:spacing w:line="360" w:lineRule="auto"/>
        <w:rPr>
          <w:rFonts w:ascii="宋体" w:hAnsi="宋体"/>
          <w:b/>
          <w:szCs w:val="21"/>
        </w:rPr>
      </w:pPr>
      <w:r>
        <w:rPr>
          <w:rFonts w:hint="eastAsia" w:ascii="宋体" w:hAnsi="宋体"/>
          <w:b/>
          <w:szCs w:val="21"/>
        </w:rPr>
        <w:t>。</w:t>
      </w:r>
    </w:p>
    <w:p w14:paraId="46AE7DD4">
      <w:pPr>
        <w:rPr>
          <w:rFonts w:ascii="宋体" w:hAnsi="宋体"/>
          <w:szCs w:val="21"/>
        </w:rPr>
      </w:pPr>
    </w:p>
    <w:p w14:paraId="7FDAB4B1">
      <w:pPr>
        <w:pStyle w:val="4"/>
        <w:snapToGrid w:val="0"/>
        <w:spacing w:before="0" w:after="0" w:line="360" w:lineRule="auto"/>
        <w:jc w:val="center"/>
        <w:rPr>
          <w:rStyle w:val="46"/>
          <w:rFonts w:ascii="宋体" w:cs="宋体"/>
          <w:b w:val="0"/>
          <w:bCs w:val="0"/>
        </w:rPr>
      </w:pPr>
      <w:r>
        <w:rPr>
          <w:rFonts w:ascii="宋体"/>
          <w:szCs w:val="21"/>
        </w:rPr>
        <w:br w:type="page"/>
      </w:r>
      <w:bookmarkStart w:id="468" w:name="_Toc24683"/>
      <w:bookmarkStart w:id="469" w:name="_Toc271821942"/>
      <w:bookmarkStart w:id="470" w:name="_Toc30099_WPSOffice_Level1"/>
      <w:bookmarkStart w:id="471" w:name="_Toc475109683"/>
      <w:bookmarkStart w:id="472" w:name="_Toc12268_WPSOffice_Level1"/>
      <w:r>
        <w:rPr>
          <w:rStyle w:val="46"/>
          <w:rFonts w:hint="eastAsia" w:ascii="宋体" w:cs="宋体"/>
          <w:b w:val="0"/>
          <w:bCs w:val="0"/>
          <w:lang w:val="en-US" w:eastAsia="zh-CN"/>
        </w:rPr>
        <w:t>六</w:t>
      </w:r>
      <w:r>
        <w:rPr>
          <w:rStyle w:val="46"/>
          <w:rFonts w:ascii="宋体" w:cs="宋体"/>
          <w:b w:val="0"/>
          <w:bCs w:val="0"/>
        </w:rPr>
        <w:t>、其他资料</w:t>
      </w:r>
      <w:bookmarkEnd w:id="468"/>
      <w:bookmarkEnd w:id="469"/>
      <w:bookmarkEnd w:id="470"/>
      <w:bookmarkEnd w:id="471"/>
      <w:bookmarkEnd w:id="472"/>
    </w:p>
    <w:p w14:paraId="1238A9B5">
      <w:pPr>
        <w:spacing w:line="400" w:lineRule="exact"/>
        <w:rPr>
          <w:rFonts w:ascii="宋体" w:hAnsi="宋体"/>
          <w:szCs w:val="21"/>
        </w:rPr>
      </w:pPr>
    </w:p>
    <w:p w14:paraId="4D0F648F">
      <w:pPr>
        <w:autoSpaceDE w:val="0"/>
        <w:autoSpaceDN w:val="0"/>
        <w:spacing w:line="360" w:lineRule="auto"/>
        <w:jc w:val="center"/>
        <w:rPr>
          <w:rFonts w:ascii="宋体" w:hAnsi="宋体"/>
          <w:b/>
          <w:kern w:val="0"/>
          <w:szCs w:val="21"/>
        </w:rPr>
      </w:pPr>
      <w:r>
        <w:rPr>
          <w:rFonts w:hint="eastAsia" w:ascii="宋体" w:hAnsi="宋体"/>
          <w:b/>
          <w:szCs w:val="21"/>
        </w:rPr>
        <w:t>投标人认为需要提供的其他材料</w:t>
      </w:r>
    </w:p>
    <w:p w14:paraId="0ADA5A8C">
      <w:pPr>
        <w:rPr>
          <w:rFonts w:ascii="宋体" w:hAnsi="宋体"/>
          <w:szCs w:val="21"/>
        </w:rPr>
      </w:pPr>
    </w:p>
    <w:p w14:paraId="4D043091">
      <w:pPr>
        <w:rPr>
          <w:rFonts w:ascii="宋体" w:hAnsi="宋体"/>
          <w:szCs w:val="21"/>
        </w:rPr>
      </w:pPr>
    </w:p>
    <w:p w14:paraId="3CEACC81">
      <w:pPr>
        <w:rPr>
          <w:rFonts w:ascii="宋体" w:hAnsi="宋体"/>
          <w:szCs w:val="21"/>
        </w:rPr>
      </w:pPr>
    </w:p>
    <w:bookmarkEnd w:id="441"/>
    <w:p w14:paraId="5D09E534">
      <w:pPr>
        <w:pStyle w:val="4"/>
        <w:snapToGrid w:val="0"/>
        <w:spacing w:before="0" w:after="0" w:line="360" w:lineRule="auto"/>
        <w:rPr>
          <w:rFonts w:ascii="宋体"/>
        </w:rPr>
      </w:pPr>
    </w:p>
    <w:p w14:paraId="1FCFD51F">
      <w:pPr>
        <w:jc w:val="right"/>
        <w:rPr>
          <w:rFonts w:ascii="宋体" w:hAnsi="宋体"/>
        </w:rPr>
      </w:pPr>
    </w:p>
    <w:p w14:paraId="7B359AD7">
      <w:pPr>
        <w:rPr>
          <w:rFonts w:ascii="宋体" w:hAnsi="宋体"/>
        </w:rPr>
      </w:pPr>
    </w:p>
    <w:p w14:paraId="66EC8081"/>
    <w:p w14:paraId="73785E07"/>
    <w:p w14:paraId="7E967772">
      <w:pPr>
        <w:widowControl/>
        <w:jc w:val="left"/>
      </w:pPr>
      <w:r>
        <w:br w:type="page"/>
      </w:r>
    </w:p>
    <w:p w14:paraId="24EDEBA7">
      <w:pPr>
        <w:widowControl/>
        <w:spacing w:line="360" w:lineRule="exact"/>
        <w:rPr>
          <w:rFonts w:hint="eastAsia" w:ascii="仿宋" w:hAnsi="仿宋" w:eastAsia="仿宋" w:cs="宋体"/>
          <w:sz w:val="24"/>
        </w:rPr>
      </w:pPr>
      <w:r>
        <w:rPr>
          <w:rFonts w:ascii="仿宋" w:hAnsi="仿宋" w:eastAsia="仿宋" w:cs="宋体"/>
          <w:sz w:val="24"/>
        </w:rPr>
        <w:t>附件</w:t>
      </w:r>
      <w:r>
        <w:rPr>
          <w:rFonts w:hint="eastAsia" w:ascii="仿宋" w:hAnsi="仿宋" w:eastAsia="仿宋" w:cs="宋体"/>
          <w:sz w:val="24"/>
        </w:rPr>
        <w:t>一</w:t>
      </w:r>
    </w:p>
    <w:p w14:paraId="48AF06C3">
      <w:pPr>
        <w:spacing w:line="360" w:lineRule="exact"/>
        <w:jc w:val="center"/>
        <w:rPr>
          <w:rFonts w:ascii="仿宋" w:hAnsi="仿宋" w:eastAsia="仿宋"/>
          <w:b/>
          <w:spacing w:val="6"/>
          <w:sz w:val="24"/>
        </w:rPr>
      </w:pPr>
      <w:r>
        <w:rPr>
          <w:rFonts w:ascii="仿宋" w:hAnsi="仿宋" w:eastAsia="仿宋"/>
          <w:b/>
          <w:spacing w:val="6"/>
          <w:sz w:val="24"/>
        </w:rPr>
        <w:t>中小企业声明函（工程、服务）</w:t>
      </w:r>
    </w:p>
    <w:p w14:paraId="60019FBF">
      <w:pPr>
        <w:widowControl/>
        <w:spacing w:line="360" w:lineRule="exact"/>
        <w:ind w:firstLine="480" w:firstLineChars="200"/>
        <w:rPr>
          <w:rFonts w:ascii="仿宋" w:hAnsi="仿宋" w:eastAsia="仿宋" w:cs="宋体"/>
          <w:sz w:val="24"/>
        </w:rPr>
      </w:pPr>
    </w:p>
    <w:p w14:paraId="20BB1BCC">
      <w:pPr>
        <w:widowControl/>
        <w:spacing w:line="360" w:lineRule="exact"/>
        <w:ind w:firstLine="480" w:firstLineChars="200"/>
        <w:rPr>
          <w:rFonts w:ascii="仿宋" w:hAnsi="仿宋" w:eastAsia="仿宋" w:cs="宋体"/>
          <w:sz w:val="24"/>
        </w:rPr>
      </w:pPr>
      <w:r>
        <w:rPr>
          <w:rFonts w:ascii="仿宋" w:hAnsi="仿宋" w:eastAsia="仿宋" w:cs="宋体"/>
          <w:sz w:val="24"/>
        </w:rPr>
        <w:t>本公司（联合体）郑重声明，根据《政府采购促进中小企业发展管理办法》（财库﹝2020﹞46 号）的规定，本公司（联合体）参加</w:t>
      </w:r>
      <w:r>
        <w:rPr>
          <w:rFonts w:ascii="仿宋" w:hAnsi="仿宋" w:eastAsia="仿宋" w:cs="宋体"/>
          <w:sz w:val="24"/>
          <w:u w:val="single"/>
        </w:rPr>
        <w:t xml:space="preserve">     （单位名称）</w:t>
      </w:r>
      <w:r>
        <w:rPr>
          <w:rFonts w:ascii="仿宋" w:hAnsi="仿宋" w:eastAsia="仿宋" w:cs="宋体"/>
          <w:sz w:val="24"/>
        </w:rPr>
        <w:t xml:space="preserve"> 的</w:t>
      </w:r>
      <w:r>
        <w:rPr>
          <w:rFonts w:ascii="仿宋" w:hAnsi="仿宋" w:eastAsia="仿宋" w:cs="宋体"/>
          <w:sz w:val="24"/>
          <w:u w:val="single"/>
        </w:rPr>
        <w:t xml:space="preserve">  （项目名称） </w:t>
      </w:r>
      <w:r>
        <w:rPr>
          <w:rFonts w:ascii="仿宋" w:hAnsi="仿宋" w:eastAsia="仿宋" w:cs="宋体"/>
          <w:sz w:val="24"/>
        </w:rPr>
        <w:t>采购活动，工程的施工单位全部为符合政策要求的中小企业（或者：服务全部由符合政策要求的中小企业承接）。相关企业（含联合体中的中小企业、签订分包意向协议的中小企业）的具体情况如下：</w:t>
      </w:r>
    </w:p>
    <w:p w14:paraId="683CEE2F">
      <w:pPr>
        <w:widowControl/>
        <w:spacing w:line="360" w:lineRule="exact"/>
        <w:ind w:firstLine="480" w:firstLineChars="200"/>
        <w:rPr>
          <w:rFonts w:ascii="仿宋" w:hAnsi="仿宋" w:eastAsia="仿宋" w:cs="宋体"/>
          <w:sz w:val="24"/>
        </w:rPr>
      </w:pPr>
      <w:r>
        <w:rPr>
          <w:rFonts w:ascii="仿宋" w:hAnsi="仿宋" w:eastAsia="仿宋" w:cs="宋体"/>
          <w:sz w:val="24"/>
        </w:rPr>
        <w:t>1.</w:t>
      </w:r>
      <w:r>
        <w:rPr>
          <w:rFonts w:ascii="仿宋" w:hAnsi="仿宋" w:eastAsia="仿宋" w:cs="宋体"/>
          <w:sz w:val="24"/>
          <w:u w:val="single"/>
        </w:rPr>
        <w:t xml:space="preserve">     （标的名称）</w:t>
      </w:r>
      <w:r>
        <w:rPr>
          <w:rFonts w:ascii="仿宋" w:hAnsi="仿宋" w:eastAsia="仿宋" w:cs="宋体"/>
          <w:sz w:val="24"/>
        </w:rPr>
        <w:t xml:space="preserve"> ，属于</w:t>
      </w:r>
      <w:r>
        <w:rPr>
          <w:rFonts w:ascii="仿宋" w:hAnsi="仿宋" w:eastAsia="仿宋" w:cs="宋体"/>
          <w:sz w:val="24"/>
          <w:u w:val="single"/>
        </w:rPr>
        <w:t xml:space="preserve">     （采购文件中明确的所属行业）</w:t>
      </w:r>
      <w:r>
        <w:rPr>
          <w:rFonts w:ascii="仿宋" w:hAnsi="仿宋" w:eastAsia="仿宋" w:cs="宋体"/>
          <w:sz w:val="24"/>
        </w:rPr>
        <w:t>行业 ；承建（承接）企业为</w:t>
      </w:r>
      <w:r>
        <w:rPr>
          <w:rFonts w:ascii="仿宋" w:hAnsi="仿宋" w:eastAsia="仿宋" w:cs="宋体"/>
          <w:sz w:val="24"/>
          <w:u w:val="single"/>
        </w:rPr>
        <w:t xml:space="preserve">     （企业名称） </w:t>
      </w:r>
      <w:r>
        <w:rPr>
          <w:rFonts w:ascii="仿宋" w:hAnsi="仿宋" w:eastAsia="仿宋" w:cs="宋体"/>
          <w:sz w:val="24"/>
        </w:rPr>
        <w:t>，从业人员</w:t>
      </w:r>
      <w:r>
        <w:rPr>
          <w:rFonts w:ascii="仿宋" w:hAnsi="仿宋" w:eastAsia="仿宋" w:cs="宋体"/>
          <w:sz w:val="24"/>
          <w:u w:val="single"/>
        </w:rPr>
        <w:t xml:space="preserve">     </w:t>
      </w:r>
      <w:r>
        <w:rPr>
          <w:rFonts w:ascii="仿宋" w:hAnsi="仿宋" w:eastAsia="仿宋" w:cs="宋体"/>
          <w:sz w:val="24"/>
        </w:rPr>
        <w:t>人，营业收入为</w:t>
      </w:r>
      <w:r>
        <w:rPr>
          <w:rFonts w:ascii="仿宋" w:hAnsi="仿宋" w:eastAsia="仿宋" w:cs="宋体"/>
          <w:sz w:val="24"/>
          <w:u w:val="single"/>
        </w:rPr>
        <w:t xml:space="preserve">    </w:t>
      </w:r>
      <w:r>
        <w:rPr>
          <w:rFonts w:ascii="仿宋" w:hAnsi="仿宋" w:eastAsia="仿宋" w:cs="宋体"/>
          <w:sz w:val="24"/>
        </w:rPr>
        <w:t>万元，资产总额为</w:t>
      </w:r>
      <w:r>
        <w:rPr>
          <w:rFonts w:ascii="仿宋" w:hAnsi="仿宋" w:eastAsia="仿宋" w:cs="宋体"/>
          <w:sz w:val="24"/>
          <w:u w:val="single"/>
        </w:rPr>
        <w:t xml:space="preserve">    </w:t>
      </w:r>
      <w:r>
        <w:rPr>
          <w:rFonts w:ascii="仿宋" w:hAnsi="仿宋" w:eastAsia="仿宋" w:cs="宋体"/>
          <w:sz w:val="24"/>
        </w:rPr>
        <w:t>万元，属于</w:t>
      </w:r>
      <w:r>
        <w:rPr>
          <w:rFonts w:ascii="仿宋" w:hAnsi="仿宋" w:eastAsia="仿宋" w:cs="宋体"/>
          <w:sz w:val="24"/>
          <w:u w:val="single"/>
        </w:rPr>
        <w:t xml:space="preserve">   （中型企业、小型企业、微型企业）</w:t>
      </w:r>
      <w:r>
        <w:rPr>
          <w:rFonts w:ascii="仿宋" w:hAnsi="仿宋" w:eastAsia="仿宋" w:cs="宋体"/>
          <w:sz w:val="24"/>
        </w:rPr>
        <w:t xml:space="preserve"> ；</w:t>
      </w:r>
    </w:p>
    <w:p w14:paraId="38CF5C02">
      <w:pPr>
        <w:widowControl/>
        <w:spacing w:line="360" w:lineRule="exact"/>
        <w:ind w:firstLine="480" w:firstLineChars="200"/>
        <w:rPr>
          <w:rFonts w:ascii="仿宋" w:hAnsi="仿宋" w:eastAsia="仿宋" w:cs="宋体"/>
          <w:sz w:val="24"/>
        </w:rPr>
      </w:pPr>
      <w:r>
        <w:rPr>
          <w:rFonts w:ascii="仿宋" w:hAnsi="仿宋" w:eastAsia="仿宋" w:cs="宋体"/>
          <w:sz w:val="24"/>
        </w:rPr>
        <w:t>2.</w:t>
      </w:r>
      <w:r>
        <w:rPr>
          <w:rFonts w:ascii="仿宋" w:hAnsi="仿宋" w:eastAsia="仿宋" w:cs="宋体"/>
          <w:sz w:val="24"/>
          <w:u w:val="single"/>
        </w:rPr>
        <w:t xml:space="preserve">     （标的名称）</w:t>
      </w:r>
      <w:r>
        <w:rPr>
          <w:rFonts w:ascii="仿宋" w:hAnsi="仿宋" w:eastAsia="仿宋" w:cs="宋体"/>
          <w:sz w:val="24"/>
        </w:rPr>
        <w:t xml:space="preserve"> ，属于</w:t>
      </w:r>
      <w:r>
        <w:rPr>
          <w:rFonts w:ascii="仿宋" w:hAnsi="仿宋" w:eastAsia="仿宋" w:cs="宋体"/>
          <w:sz w:val="24"/>
          <w:u w:val="single"/>
        </w:rPr>
        <w:t xml:space="preserve">     （采购文件中明确的所属行业）</w:t>
      </w:r>
      <w:r>
        <w:rPr>
          <w:rFonts w:ascii="仿宋" w:hAnsi="仿宋" w:eastAsia="仿宋" w:cs="宋体"/>
          <w:sz w:val="24"/>
        </w:rPr>
        <w:t>行业 ；承建（承接）企业为</w:t>
      </w:r>
      <w:r>
        <w:rPr>
          <w:rFonts w:ascii="仿宋" w:hAnsi="仿宋" w:eastAsia="仿宋" w:cs="宋体"/>
          <w:sz w:val="24"/>
          <w:u w:val="single"/>
        </w:rPr>
        <w:t xml:space="preserve">     （企业名称） </w:t>
      </w:r>
      <w:r>
        <w:rPr>
          <w:rFonts w:ascii="仿宋" w:hAnsi="仿宋" w:eastAsia="仿宋" w:cs="宋体"/>
          <w:sz w:val="24"/>
        </w:rPr>
        <w:t>，从业人员</w:t>
      </w:r>
      <w:r>
        <w:rPr>
          <w:rFonts w:ascii="仿宋" w:hAnsi="仿宋" w:eastAsia="仿宋" w:cs="宋体"/>
          <w:sz w:val="24"/>
          <w:u w:val="single"/>
        </w:rPr>
        <w:t xml:space="preserve">     </w:t>
      </w:r>
      <w:r>
        <w:rPr>
          <w:rFonts w:ascii="仿宋" w:hAnsi="仿宋" w:eastAsia="仿宋" w:cs="宋体"/>
          <w:sz w:val="24"/>
        </w:rPr>
        <w:t>人，营业收入为</w:t>
      </w:r>
      <w:r>
        <w:rPr>
          <w:rFonts w:ascii="仿宋" w:hAnsi="仿宋" w:eastAsia="仿宋" w:cs="宋体"/>
          <w:sz w:val="24"/>
          <w:u w:val="single"/>
        </w:rPr>
        <w:t xml:space="preserve">    </w:t>
      </w:r>
      <w:r>
        <w:rPr>
          <w:rFonts w:ascii="仿宋" w:hAnsi="仿宋" w:eastAsia="仿宋" w:cs="宋体"/>
          <w:sz w:val="24"/>
        </w:rPr>
        <w:t>万元，资产总额为</w:t>
      </w:r>
      <w:r>
        <w:rPr>
          <w:rFonts w:ascii="仿宋" w:hAnsi="仿宋" w:eastAsia="仿宋" w:cs="宋体"/>
          <w:sz w:val="24"/>
          <w:u w:val="single"/>
        </w:rPr>
        <w:t xml:space="preserve">    </w:t>
      </w:r>
      <w:r>
        <w:rPr>
          <w:rFonts w:ascii="仿宋" w:hAnsi="仿宋" w:eastAsia="仿宋" w:cs="宋体"/>
          <w:sz w:val="24"/>
        </w:rPr>
        <w:t>万元，属于</w:t>
      </w:r>
      <w:r>
        <w:rPr>
          <w:rFonts w:ascii="仿宋" w:hAnsi="仿宋" w:eastAsia="仿宋" w:cs="宋体"/>
          <w:sz w:val="24"/>
          <w:u w:val="single"/>
        </w:rPr>
        <w:t xml:space="preserve">   （中型企业、小型企业、微型企业）</w:t>
      </w:r>
      <w:r>
        <w:rPr>
          <w:rFonts w:ascii="仿宋" w:hAnsi="仿宋" w:eastAsia="仿宋" w:cs="宋体"/>
          <w:sz w:val="24"/>
        </w:rPr>
        <w:t xml:space="preserve"> ；</w:t>
      </w:r>
    </w:p>
    <w:p w14:paraId="67088194">
      <w:pPr>
        <w:widowControl/>
        <w:spacing w:line="360" w:lineRule="exact"/>
        <w:ind w:firstLine="480" w:firstLineChars="200"/>
        <w:rPr>
          <w:rFonts w:ascii="仿宋" w:hAnsi="仿宋" w:eastAsia="仿宋" w:cs="宋体"/>
          <w:sz w:val="24"/>
        </w:rPr>
      </w:pPr>
      <w:r>
        <w:rPr>
          <w:rFonts w:ascii="仿宋" w:hAnsi="仿宋" w:eastAsia="仿宋" w:cs="宋体"/>
          <w:sz w:val="24"/>
        </w:rPr>
        <w:t>……</w:t>
      </w:r>
    </w:p>
    <w:p w14:paraId="7336A2E4">
      <w:pPr>
        <w:widowControl/>
        <w:spacing w:line="360" w:lineRule="exact"/>
        <w:ind w:firstLine="480" w:firstLineChars="200"/>
        <w:rPr>
          <w:rFonts w:ascii="仿宋" w:hAnsi="仿宋" w:eastAsia="仿宋" w:cs="宋体"/>
          <w:sz w:val="24"/>
        </w:rPr>
      </w:pPr>
      <w:r>
        <w:rPr>
          <w:rFonts w:ascii="仿宋" w:hAnsi="仿宋" w:eastAsia="仿宋" w:cs="宋体"/>
          <w:sz w:val="24"/>
        </w:rPr>
        <w:t>以上企业，不属于大企业的分支机构，不存在控股股东为大企业的情形，也不存在与大企业的负责人为同一人的情形。</w:t>
      </w:r>
    </w:p>
    <w:p w14:paraId="2FF15C29">
      <w:pPr>
        <w:widowControl/>
        <w:spacing w:line="360" w:lineRule="exact"/>
        <w:ind w:firstLine="480" w:firstLineChars="200"/>
        <w:rPr>
          <w:rFonts w:ascii="仿宋" w:hAnsi="仿宋" w:eastAsia="仿宋" w:cs="宋体"/>
          <w:sz w:val="24"/>
        </w:rPr>
      </w:pPr>
      <w:r>
        <w:rPr>
          <w:rFonts w:ascii="仿宋" w:hAnsi="仿宋" w:eastAsia="仿宋" w:cs="宋体"/>
          <w:sz w:val="24"/>
        </w:rPr>
        <w:t>本企业对上述声明内容的真实性负责。如有虚假，将依法承担相应责任。</w:t>
      </w:r>
    </w:p>
    <w:p w14:paraId="36E8306C">
      <w:pPr>
        <w:pStyle w:val="15"/>
        <w:spacing w:after="0" w:line="360" w:lineRule="exact"/>
        <w:rPr>
          <w:rFonts w:ascii="仿宋" w:hAnsi="仿宋" w:eastAsia="仿宋"/>
          <w:sz w:val="24"/>
        </w:rPr>
      </w:pPr>
    </w:p>
    <w:p w14:paraId="669E5B7D">
      <w:pPr>
        <w:spacing w:line="360" w:lineRule="exact"/>
        <w:rPr>
          <w:rFonts w:ascii="仿宋" w:hAnsi="仿宋" w:eastAsia="仿宋"/>
          <w:sz w:val="24"/>
        </w:rPr>
      </w:pPr>
    </w:p>
    <w:p w14:paraId="38FB5BBF">
      <w:pPr>
        <w:widowControl/>
        <w:spacing w:line="360" w:lineRule="exact"/>
        <w:ind w:firstLine="4677" w:firstLineChars="1949"/>
        <w:rPr>
          <w:rFonts w:ascii="仿宋" w:hAnsi="仿宋" w:eastAsia="仿宋" w:cs="宋体"/>
          <w:sz w:val="24"/>
        </w:rPr>
      </w:pPr>
      <w:r>
        <w:rPr>
          <w:rFonts w:ascii="仿宋" w:hAnsi="仿宋" w:eastAsia="仿宋" w:cs="宋体"/>
          <w:sz w:val="24"/>
        </w:rPr>
        <w:t>企业名称（盖章）：</w:t>
      </w:r>
    </w:p>
    <w:p w14:paraId="1708DB96">
      <w:pPr>
        <w:widowControl/>
        <w:spacing w:line="360" w:lineRule="exact"/>
        <w:ind w:firstLine="4677" w:firstLineChars="1949"/>
        <w:rPr>
          <w:rFonts w:ascii="仿宋" w:hAnsi="仿宋" w:eastAsia="仿宋" w:cs="宋体"/>
          <w:sz w:val="24"/>
        </w:rPr>
      </w:pPr>
      <w:r>
        <w:rPr>
          <w:rFonts w:ascii="仿宋" w:hAnsi="仿宋" w:eastAsia="仿宋" w:cs="宋体"/>
          <w:sz w:val="24"/>
        </w:rPr>
        <w:t>日 期：</w:t>
      </w:r>
    </w:p>
    <w:p w14:paraId="6A600681">
      <w:pPr>
        <w:widowControl/>
        <w:spacing w:line="360" w:lineRule="exact"/>
        <w:ind w:firstLine="480" w:firstLineChars="200"/>
        <w:rPr>
          <w:rFonts w:ascii="仿宋" w:hAnsi="仿宋" w:eastAsia="仿宋" w:cs="宋体"/>
          <w:sz w:val="24"/>
        </w:rPr>
      </w:pPr>
    </w:p>
    <w:p w14:paraId="30D3DF87">
      <w:pPr>
        <w:widowControl/>
        <w:spacing w:line="360" w:lineRule="exact"/>
        <w:ind w:firstLine="480" w:firstLineChars="200"/>
        <w:rPr>
          <w:rFonts w:ascii="仿宋" w:hAnsi="仿宋" w:eastAsia="仿宋"/>
          <w:sz w:val="24"/>
        </w:rPr>
      </w:pPr>
      <w:r>
        <w:rPr>
          <w:rFonts w:ascii="仿宋" w:hAnsi="仿宋" w:eastAsia="仿宋" w:cs="宋体"/>
          <w:sz w:val="24"/>
        </w:rPr>
        <w:t>注：从业人员、营业收入、资产总额填报上一年度数据，无上一年度数据的新企业可不填报。</w:t>
      </w:r>
    </w:p>
    <w:p w14:paraId="380688E7">
      <w:pPr>
        <w:widowControl/>
        <w:spacing w:line="360" w:lineRule="exact"/>
        <w:ind w:firstLine="480" w:firstLineChars="200"/>
        <w:rPr>
          <w:rFonts w:ascii="仿宋" w:hAnsi="仿宋" w:eastAsia="仿宋" w:cs="宋体"/>
          <w:sz w:val="24"/>
        </w:rPr>
      </w:pPr>
    </w:p>
    <w:p w14:paraId="7CA499AC">
      <w:pPr>
        <w:spacing w:line="360" w:lineRule="exact"/>
        <w:rPr>
          <w:rFonts w:ascii="仿宋" w:hAnsi="仿宋" w:eastAsia="仿宋"/>
          <w:b/>
          <w:spacing w:val="6"/>
          <w:sz w:val="24"/>
        </w:rPr>
      </w:pPr>
      <w:bookmarkStart w:id="473" w:name="OLE_LINK14"/>
      <w:bookmarkStart w:id="474" w:name="OLE_LINK13"/>
      <w:r>
        <w:rPr>
          <w:rFonts w:ascii="仿宋" w:hAnsi="仿宋" w:eastAsia="仿宋" w:cs="宋体"/>
          <w:sz w:val="24"/>
        </w:rPr>
        <w:br w:type="page"/>
      </w:r>
      <w:r>
        <w:rPr>
          <w:rFonts w:ascii="仿宋" w:hAnsi="仿宋" w:eastAsia="仿宋" w:cs="宋体"/>
          <w:sz w:val="24"/>
        </w:rPr>
        <w:t>附件</w:t>
      </w:r>
      <w:r>
        <w:rPr>
          <w:rFonts w:hint="eastAsia" w:ascii="仿宋" w:hAnsi="仿宋" w:eastAsia="仿宋" w:cs="宋体"/>
          <w:sz w:val="24"/>
        </w:rPr>
        <w:t>二</w:t>
      </w:r>
    </w:p>
    <w:p w14:paraId="4A2E62A4">
      <w:pPr>
        <w:spacing w:line="360" w:lineRule="exact"/>
        <w:jc w:val="center"/>
        <w:rPr>
          <w:rFonts w:hint="eastAsia" w:ascii="仿宋" w:hAnsi="仿宋" w:eastAsia="仿宋"/>
          <w:b/>
          <w:spacing w:val="6"/>
          <w:sz w:val="24"/>
        </w:rPr>
      </w:pPr>
    </w:p>
    <w:p w14:paraId="57C899F7">
      <w:pPr>
        <w:spacing w:line="360" w:lineRule="exact"/>
        <w:jc w:val="center"/>
        <w:rPr>
          <w:rFonts w:ascii="仿宋" w:hAnsi="仿宋" w:eastAsia="仿宋"/>
          <w:b/>
          <w:spacing w:val="6"/>
          <w:sz w:val="24"/>
        </w:rPr>
      </w:pPr>
      <w:r>
        <w:rPr>
          <w:rFonts w:ascii="仿宋" w:hAnsi="仿宋" w:eastAsia="仿宋"/>
          <w:b/>
          <w:spacing w:val="6"/>
          <w:sz w:val="24"/>
        </w:rPr>
        <w:t>残疾人福利性单位声明函（样表）</w:t>
      </w:r>
    </w:p>
    <w:bookmarkEnd w:id="473"/>
    <w:bookmarkEnd w:id="474"/>
    <w:p w14:paraId="0E13675F">
      <w:pPr>
        <w:spacing w:line="360" w:lineRule="exact"/>
        <w:rPr>
          <w:rFonts w:ascii="仿宋" w:hAnsi="仿宋" w:eastAsia="仿宋"/>
          <w:b/>
          <w:spacing w:val="6"/>
          <w:sz w:val="24"/>
        </w:rPr>
      </w:pPr>
    </w:p>
    <w:p w14:paraId="0B52873C">
      <w:pPr>
        <w:spacing w:line="360" w:lineRule="exact"/>
        <w:ind w:firstLine="504" w:firstLineChars="200"/>
        <w:rPr>
          <w:rFonts w:ascii="仿宋" w:hAnsi="仿宋" w:eastAsia="仿宋"/>
          <w:spacing w:val="6"/>
          <w:sz w:val="24"/>
        </w:rPr>
      </w:pPr>
      <w:r>
        <w:rPr>
          <w:rFonts w:ascii="仿宋" w:hAnsi="仿宋" w:eastAsia="仿宋"/>
          <w:spacing w:val="6"/>
          <w:sz w:val="24"/>
        </w:rPr>
        <w:t>本单位郑重声明，根据《财政部 民政部 中国残疾人联合会关于促进残疾人就业政府采购政策的通知》（财库</w:t>
      </w:r>
      <w:r>
        <w:rPr>
          <w:rFonts w:ascii="仿宋" w:hAnsi="仿宋" w:eastAsia="仿宋"/>
          <w:sz w:val="24"/>
        </w:rPr>
        <w:t>〔2017〕 141</w:t>
      </w:r>
      <w:r>
        <w:rPr>
          <w:rFonts w:ascii="仿宋" w:hAnsi="仿宋" w:eastAsia="仿宋"/>
          <w:spacing w:val="6"/>
          <w:sz w:val="24"/>
        </w:rPr>
        <w:t>号）的规定，本单位为符合条件的残疾人福利性单位，且本单位参加_</w:t>
      </w:r>
      <w:r>
        <w:rPr>
          <w:rFonts w:ascii="仿宋" w:hAnsi="仿宋" w:eastAsia="仿宋"/>
          <w:spacing w:val="6"/>
          <w:sz w:val="24"/>
          <w:u w:val="single"/>
        </w:rPr>
        <w:t>（采购单位名称）</w:t>
      </w:r>
      <w:r>
        <w:rPr>
          <w:rFonts w:ascii="仿宋" w:hAnsi="仿宋" w:eastAsia="仿宋"/>
          <w:spacing w:val="6"/>
          <w:sz w:val="24"/>
        </w:rPr>
        <w:t>_单位的_</w:t>
      </w:r>
      <w:r>
        <w:rPr>
          <w:rFonts w:ascii="仿宋" w:hAnsi="仿宋" w:eastAsia="仿宋"/>
          <w:spacing w:val="6"/>
          <w:sz w:val="24"/>
          <w:u w:val="single"/>
        </w:rPr>
        <w:t>（采购项目名称）_</w:t>
      </w:r>
      <w:r>
        <w:rPr>
          <w:rFonts w:ascii="仿宋" w:hAnsi="仿宋" w:eastAsia="仿宋"/>
          <w:spacing w:val="6"/>
          <w:sz w:val="24"/>
        </w:rPr>
        <w:t>项目采购活动提供本单位制造的货物（由本单位承担工程/提供服务），或者提供其他残疾人福利性单位制造的货物（不包括使用非残疾人福利性单位注册商标的货物）。</w:t>
      </w:r>
    </w:p>
    <w:p w14:paraId="032D2D9B">
      <w:pPr>
        <w:spacing w:line="360" w:lineRule="exact"/>
        <w:ind w:firstLine="504" w:firstLineChars="200"/>
        <w:rPr>
          <w:rFonts w:ascii="仿宋" w:hAnsi="仿宋" w:eastAsia="仿宋"/>
          <w:spacing w:val="6"/>
          <w:sz w:val="24"/>
        </w:rPr>
      </w:pPr>
      <w:r>
        <w:rPr>
          <w:rFonts w:ascii="仿宋" w:hAnsi="仿宋" w:eastAsia="仿宋"/>
          <w:spacing w:val="6"/>
          <w:sz w:val="24"/>
        </w:rPr>
        <w:t>本单位对上述声明的真实性负责。如有虚假，将依法承担相应责任。</w:t>
      </w:r>
    </w:p>
    <w:p w14:paraId="2D265799">
      <w:pPr>
        <w:spacing w:line="360" w:lineRule="exact"/>
        <w:ind w:firstLine="504" w:firstLineChars="200"/>
        <w:rPr>
          <w:rFonts w:ascii="仿宋" w:hAnsi="仿宋" w:eastAsia="仿宋"/>
          <w:spacing w:val="6"/>
          <w:sz w:val="24"/>
        </w:rPr>
      </w:pPr>
    </w:p>
    <w:p w14:paraId="14053B31">
      <w:pPr>
        <w:spacing w:line="360" w:lineRule="exact"/>
        <w:ind w:firstLine="504" w:firstLineChars="200"/>
        <w:rPr>
          <w:rFonts w:ascii="仿宋" w:hAnsi="仿宋" w:eastAsia="仿宋"/>
          <w:spacing w:val="6"/>
          <w:sz w:val="24"/>
        </w:rPr>
      </w:pPr>
    </w:p>
    <w:p w14:paraId="74BA3CE8">
      <w:pPr>
        <w:tabs>
          <w:tab w:val="left" w:pos="4860"/>
        </w:tabs>
        <w:spacing w:line="360" w:lineRule="exact"/>
        <w:ind w:right="1560" w:firstLine="504" w:firstLineChars="200"/>
        <w:jc w:val="center"/>
        <w:rPr>
          <w:rFonts w:ascii="仿宋" w:hAnsi="仿宋" w:eastAsia="仿宋"/>
          <w:spacing w:val="6"/>
          <w:sz w:val="24"/>
        </w:rPr>
      </w:pPr>
      <w:r>
        <w:rPr>
          <w:rFonts w:ascii="仿宋" w:hAnsi="仿宋" w:eastAsia="仿宋"/>
          <w:spacing w:val="6"/>
          <w:sz w:val="24"/>
        </w:rPr>
        <w:t xml:space="preserve">               单位名称</w:t>
      </w:r>
      <w:r>
        <w:rPr>
          <w:rFonts w:ascii="仿宋" w:hAnsi="仿宋" w:eastAsia="仿宋"/>
          <w:sz w:val="24"/>
        </w:rPr>
        <w:t>（电子签章）</w:t>
      </w:r>
      <w:r>
        <w:rPr>
          <w:rFonts w:ascii="仿宋" w:hAnsi="仿宋" w:eastAsia="仿宋"/>
          <w:spacing w:val="6"/>
          <w:sz w:val="24"/>
        </w:rPr>
        <w:t>：</w:t>
      </w:r>
    </w:p>
    <w:p w14:paraId="74E5C8AC">
      <w:pPr>
        <w:tabs>
          <w:tab w:val="left" w:pos="4860"/>
        </w:tabs>
        <w:spacing w:line="360" w:lineRule="exact"/>
        <w:ind w:right="1560" w:firstLine="504" w:firstLineChars="200"/>
        <w:jc w:val="center"/>
        <w:rPr>
          <w:rFonts w:ascii="仿宋" w:hAnsi="仿宋" w:eastAsia="仿宋"/>
          <w:spacing w:val="6"/>
          <w:sz w:val="24"/>
        </w:rPr>
      </w:pPr>
      <w:r>
        <w:rPr>
          <w:rFonts w:ascii="仿宋" w:hAnsi="仿宋" w:eastAsia="仿宋"/>
          <w:spacing w:val="6"/>
          <w:sz w:val="24"/>
        </w:rPr>
        <w:t xml:space="preserve">       日  期：</w:t>
      </w:r>
    </w:p>
    <w:p w14:paraId="134E4179">
      <w:pPr>
        <w:pStyle w:val="157"/>
        <w:ind w:firstLine="504"/>
        <w:rPr>
          <w:rFonts w:ascii="仿宋" w:hAnsi="仿宋" w:eastAsia="仿宋"/>
          <w:spacing w:val="6"/>
          <w:sz w:val="24"/>
          <w:szCs w:val="24"/>
        </w:rPr>
      </w:pPr>
    </w:p>
    <w:p w14:paraId="6D3C51E3">
      <w:pPr>
        <w:rPr>
          <w:rFonts w:ascii="仿宋" w:hAnsi="仿宋" w:eastAsia="仿宋"/>
          <w:spacing w:val="6"/>
          <w:sz w:val="24"/>
        </w:rPr>
      </w:pPr>
    </w:p>
    <w:p w14:paraId="34F1A229">
      <w:pPr>
        <w:pStyle w:val="157"/>
        <w:ind w:firstLine="504"/>
        <w:rPr>
          <w:rFonts w:ascii="仿宋" w:hAnsi="仿宋" w:eastAsia="仿宋"/>
          <w:spacing w:val="6"/>
          <w:sz w:val="24"/>
          <w:szCs w:val="24"/>
        </w:rPr>
      </w:pPr>
    </w:p>
    <w:p w14:paraId="2B6C4FCA"/>
    <w:p w14:paraId="3E3EA4A5">
      <w:pPr>
        <w:widowControl/>
        <w:spacing w:line="360" w:lineRule="exact"/>
        <w:rPr>
          <w:rFonts w:ascii="仿宋" w:hAnsi="仿宋" w:eastAsia="仿宋" w:cs="宋体"/>
          <w:sz w:val="24"/>
        </w:rPr>
      </w:pPr>
    </w:p>
    <w:p w14:paraId="703D0C81">
      <w:pPr>
        <w:widowControl/>
        <w:spacing w:line="360" w:lineRule="exact"/>
        <w:rPr>
          <w:rFonts w:ascii="仿宋" w:hAnsi="仿宋" w:eastAsia="仿宋" w:cs="宋体"/>
          <w:sz w:val="24"/>
        </w:rPr>
      </w:pPr>
      <w:r>
        <w:rPr>
          <w:rFonts w:ascii="仿宋" w:hAnsi="仿宋" w:eastAsia="仿宋" w:cs="宋体"/>
          <w:sz w:val="24"/>
        </w:rPr>
        <w:br w:type="page"/>
      </w:r>
      <w:r>
        <w:rPr>
          <w:rFonts w:hint="eastAsia" w:ascii="仿宋" w:hAnsi="仿宋" w:eastAsia="仿宋" w:cs="宋体"/>
          <w:sz w:val="24"/>
        </w:rPr>
        <w:t>附件三：</w:t>
      </w:r>
    </w:p>
    <w:p w14:paraId="3983299E">
      <w:pPr>
        <w:spacing w:line="360" w:lineRule="exact"/>
        <w:jc w:val="center"/>
        <w:rPr>
          <w:rFonts w:hint="eastAsia"/>
          <w:color w:val="1C1C1C"/>
          <w:w w:val="105"/>
          <w:sz w:val="24"/>
        </w:rPr>
      </w:pPr>
    </w:p>
    <w:p w14:paraId="02DC4F4E">
      <w:pPr>
        <w:spacing w:line="360" w:lineRule="exact"/>
        <w:jc w:val="center"/>
        <w:rPr>
          <w:sz w:val="24"/>
        </w:rPr>
      </w:pPr>
      <w:r>
        <w:rPr>
          <w:color w:val="1C1C1C"/>
          <w:w w:val="105"/>
          <w:sz w:val="24"/>
        </w:rPr>
        <w:t>河南省政府采购合同融资政策告知函</w:t>
      </w:r>
    </w:p>
    <w:p w14:paraId="63BA42FA">
      <w:pPr>
        <w:pStyle w:val="15"/>
        <w:spacing w:after="0" w:line="360" w:lineRule="exact"/>
        <w:ind w:left="1760" w:firstLine="680"/>
        <w:rPr>
          <w:sz w:val="24"/>
        </w:rPr>
      </w:pPr>
    </w:p>
    <w:p w14:paraId="7D726A6F">
      <w:pPr>
        <w:spacing w:line="360" w:lineRule="exact"/>
        <w:ind w:left="255" w:right="126" w:firstLine="629"/>
        <w:rPr>
          <w:color w:val="1C1C1C"/>
          <w:sz w:val="24"/>
        </w:rPr>
      </w:pPr>
      <w:r>
        <w:rPr>
          <w:color w:val="1C1C1C"/>
          <w:sz w:val="24"/>
        </w:rPr>
        <w:t>各供应商：</w:t>
      </w:r>
    </w:p>
    <w:p w14:paraId="1EDC42B2">
      <w:pPr>
        <w:spacing w:line="360" w:lineRule="exact"/>
        <w:ind w:left="255" w:right="126" w:firstLine="629"/>
        <w:rPr>
          <w:color w:val="1C1C1C"/>
          <w:sz w:val="24"/>
        </w:rPr>
      </w:pPr>
      <w:r>
        <w:rPr>
          <w:color w:val="1C1C1C"/>
          <w:sz w:val="24"/>
        </w:rPr>
        <w:t>欢迎贵公司参与河南省政府采购活动！</w:t>
      </w:r>
    </w:p>
    <w:p w14:paraId="20027E3F">
      <w:pPr>
        <w:spacing w:line="360" w:lineRule="exact"/>
        <w:ind w:left="255" w:right="126" w:firstLine="629"/>
        <w:rPr>
          <w:color w:val="1C1C1C"/>
          <w:sz w:val="24"/>
        </w:rPr>
      </w:pPr>
      <w:r>
        <w:rPr>
          <w:color w:val="1C1C1C"/>
          <w:sz w:val="24"/>
        </w:rPr>
        <w:t>政府采购合同融资是河南省财政厅支持中小微企业发展，针 对参与政府采购活动的供应商融资难、融资贵问题推出的一项融 资政策。贵公司若成为本次政府采购项目的中标成交供应商，可持政府采购合同向金融机构申请贷款，无需抵押、担保，融资机 构将根据《河南省政府采购合同融资工作实施方案》 （豫财购(2017] 10 号）， 按照双 方 自愿 的 原 则 提供便 捷、 优 惠的 贷款 服务。</w:t>
      </w:r>
    </w:p>
    <w:p w14:paraId="01135463">
      <w:pPr>
        <w:spacing w:line="360" w:lineRule="exact"/>
        <w:ind w:left="255" w:right="126" w:firstLine="629"/>
        <w:rPr>
          <w:color w:val="3B3B38"/>
          <w:sz w:val="30"/>
        </w:rPr>
      </w:pPr>
      <w:r>
        <w:rPr>
          <w:color w:val="1C1C1C"/>
          <w:sz w:val="24"/>
        </w:rPr>
        <w:t>贷款渠道和提供贷款的金融机构，可在河南省政府采购网“河南省政府采购合同融资平台”查询联系。</w:t>
      </w:r>
      <w:r>
        <w:rPr>
          <w:color w:val="3B3B38"/>
          <w:sz w:val="24"/>
        </w:rPr>
        <w:tab/>
      </w:r>
      <w:r>
        <w:rPr>
          <w:color w:val="3B3B38"/>
          <w:sz w:val="24"/>
        </w:rPr>
        <w:tab/>
      </w:r>
      <w:r>
        <w:rPr>
          <w:color w:val="3B3B38"/>
          <w:sz w:val="24"/>
        </w:rPr>
        <w:tab/>
      </w:r>
      <w:r>
        <w:rPr>
          <w:color w:val="3B3B38"/>
          <w:sz w:val="30"/>
        </w:rPr>
        <w:tab/>
      </w:r>
    </w:p>
    <w:p w14:paraId="74304C3E">
      <w:pPr>
        <w:sectPr>
          <w:footerReference r:id="rId14" w:type="default"/>
          <w:pgSz w:w="11906" w:h="16838"/>
          <w:pgMar w:top="1418" w:right="1134" w:bottom="1418" w:left="1134" w:header="851" w:footer="992" w:gutter="0"/>
          <w:pgNumType w:fmt="decimal"/>
          <w:cols w:space="720" w:num="1"/>
          <w:docGrid w:type="lines" w:linePitch="312" w:charSpace="0"/>
        </w:sectPr>
      </w:pPr>
    </w:p>
    <w:p w14:paraId="34ED3908">
      <w:pPr>
        <w:wordWrap w:val="0"/>
        <w:spacing w:line="360" w:lineRule="auto"/>
        <w:jc w:val="center"/>
        <w:rPr>
          <w:rFonts w:hint="eastAsia" w:ascii="宋体" w:hAnsi="宋体" w:cs="宋体"/>
          <w:b/>
          <w:bCs/>
          <w:color w:val="000000"/>
          <w:sz w:val="24"/>
          <w:szCs w:val="24"/>
        </w:rPr>
      </w:pPr>
      <w:r>
        <w:rPr>
          <w:rFonts w:hint="eastAsia" w:ascii="宋体" w:hAnsi="宋体" w:cs="宋体"/>
          <w:b/>
          <w:bCs/>
          <w:color w:val="000000"/>
          <w:sz w:val="24"/>
          <w:szCs w:val="24"/>
        </w:rPr>
        <w:t>关于印发中小企业划型标准规定的通知(工信部联企业〔2011〕300号)</w:t>
      </w:r>
    </w:p>
    <w:p w14:paraId="3BD4F4EE">
      <w:pPr>
        <w:wordWrap w:val="0"/>
        <w:spacing w:line="360" w:lineRule="auto"/>
        <w:jc w:val="center"/>
        <w:rPr>
          <w:rFonts w:hint="eastAsia" w:ascii="宋体" w:hAnsi="宋体" w:cs="宋体"/>
          <w:b/>
          <w:bCs/>
          <w:color w:val="000000"/>
          <w:sz w:val="24"/>
          <w:szCs w:val="24"/>
        </w:rPr>
      </w:pPr>
      <w:r>
        <w:rPr>
          <w:rFonts w:hint="eastAsia" w:ascii="宋体" w:hAnsi="宋体" w:cs="宋体"/>
          <w:b/>
          <w:bCs/>
          <w:color w:val="000000"/>
          <w:sz w:val="24"/>
          <w:szCs w:val="24"/>
        </w:rPr>
        <w:t>关于印发中小企业划型标准规定的通知</w:t>
      </w:r>
    </w:p>
    <w:p w14:paraId="04B797F1">
      <w:pPr>
        <w:wordWrap w:val="0"/>
        <w:spacing w:line="360" w:lineRule="auto"/>
        <w:jc w:val="center"/>
        <w:rPr>
          <w:rFonts w:hint="eastAsia" w:ascii="宋体" w:hAnsi="宋体" w:cs="宋体"/>
          <w:color w:val="000000"/>
          <w:sz w:val="24"/>
          <w:szCs w:val="24"/>
        </w:rPr>
      </w:pPr>
      <w:r>
        <w:rPr>
          <w:rFonts w:hint="eastAsia" w:ascii="宋体" w:hAnsi="宋体" w:cs="宋体"/>
          <w:b/>
          <w:bCs/>
          <w:color w:val="000000"/>
          <w:sz w:val="24"/>
          <w:szCs w:val="24"/>
        </w:rPr>
        <w:t>工信部联企业〔2011〕300号</w:t>
      </w:r>
    </w:p>
    <w:p w14:paraId="331AC742">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各省、自治区、直辖市人民政府，国务院各部委、各直属机构及有关单位：</w:t>
      </w:r>
    </w:p>
    <w:p w14:paraId="5199EA36">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7A4AC704">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工业和信息化部　国家统计局</w:t>
      </w:r>
    </w:p>
    <w:p w14:paraId="68155BD8">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国家发展和改革委员会　财政部</w:t>
      </w:r>
    </w:p>
    <w:p w14:paraId="483347D3">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二○一一年六月十八日</w:t>
      </w:r>
    </w:p>
    <w:p w14:paraId="18801BEB">
      <w:pPr>
        <w:wordWrap w:val="0"/>
        <w:spacing w:line="360" w:lineRule="auto"/>
        <w:jc w:val="center"/>
        <w:rPr>
          <w:rFonts w:hint="eastAsia" w:ascii="宋体" w:hAnsi="宋体" w:cs="宋体"/>
          <w:b/>
          <w:bCs/>
          <w:color w:val="000000"/>
          <w:sz w:val="24"/>
          <w:szCs w:val="24"/>
        </w:rPr>
      </w:pPr>
      <w:r>
        <w:rPr>
          <w:rFonts w:hint="eastAsia" w:ascii="宋体" w:hAnsi="宋体" w:cs="宋体"/>
          <w:b/>
          <w:bCs/>
          <w:color w:val="000000"/>
          <w:sz w:val="24"/>
          <w:szCs w:val="24"/>
        </w:rPr>
        <w:t>中小企业划型标准规定</w:t>
      </w:r>
    </w:p>
    <w:p w14:paraId="65940FE8">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一、根据《中华人民共和国中小企业促进法》和《国务院关于进一步促进中小企业发展的若干意见》(国发〔2009〕36号)，制定本规定。</w:t>
      </w:r>
    </w:p>
    <w:p w14:paraId="2ACD8BB9">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二、中小企业划分为中型、小型、微型三种类型，具体标准根据企业从业人员、营业收入、资产总额等指标，结合行业特点制定。</w:t>
      </w:r>
    </w:p>
    <w:p w14:paraId="56B8FD24">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B0FDC33">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四、各行业划型标准为：</w:t>
      </w:r>
    </w:p>
    <w:p w14:paraId="33E20550">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（一）农、林、牧、渔业。营业收入20000万元以下的为中小微型企业。其中，营业收入500万元及以上的为中型企业，营业收入50万元及以上的为小型企业，营业收入50万元以下的为微型企业。</w:t>
      </w:r>
    </w:p>
    <w:p w14:paraId="238533DE">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0B6BC48">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7BA188B">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45D94B2">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79C9E67">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76AB18E">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CEB08A0">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F45C99C">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A69F172">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EDBDF58">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0A32E5E">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B0A521F">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E0CB129">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AECBC2C">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E450DB7">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（十六）其他未列明行业。从业人员300人以下的为中小微型企业。其中，从业人员100人及以上的为中型企业；从业人员10人及以上的为小型企业；从业人员10人以下的为微型企业。</w:t>
      </w:r>
    </w:p>
    <w:p w14:paraId="393484DD">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五、企业类型的划分以统计部门的统计数据为依据。</w:t>
      </w:r>
    </w:p>
    <w:p w14:paraId="3D1AB5F8">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六、本规定适用于在中华人民共和国境内依法设立的各类所有制和各种组织形式的企业。个体工商户和本规定以外的行业，参照本规定进行划型。</w:t>
      </w:r>
    </w:p>
    <w:p w14:paraId="28EE5AE8">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七、本规定的中型企业标准上限即为大型企业标准的下限，国家统计部门据此制定大中小微型企业的统计分类。国务院有关部门据此进行相关数据分析，不得制定与本规定不一致的企业划型标准。</w:t>
      </w:r>
    </w:p>
    <w:p w14:paraId="211238CB">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八、本规定由工业和信息化部、国家统计局会同有关部门根据《国民经济行业分类》修订情况和企业发展变化情况适时修订。</w:t>
      </w:r>
    </w:p>
    <w:p w14:paraId="399D5C85">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九、本规定由工业和信息化部、国家统计局会同有关部门负责解释。</w:t>
      </w:r>
    </w:p>
    <w:p w14:paraId="6F14B8C0">
      <w:pPr>
        <w:wordWrap w:val="0"/>
        <w:spacing w:line="360" w:lineRule="auto"/>
        <w:rPr>
          <w:rFonts w:hint="eastAsia" w:ascii="宋体" w:hAnsi="宋体" w:cs="宋体"/>
          <w:color w:val="000000"/>
          <w:sz w:val="24"/>
          <w:szCs w:val="24"/>
        </w:rPr>
      </w:pPr>
      <w:r>
        <w:rPr>
          <w:rFonts w:hint="eastAsia" w:ascii="宋体" w:hAnsi="宋体" w:cs="宋体"/>
          <w:color w:val="000000"/>
          <w:sz w:val="24"/>
          <w:szCs w:val="24"/>
        </w:rPr>
        <w:t>　　十、本规定自发布之日起执行，原国家经贸委、原国家计委、财政部和国家统计局2003年颁布的《中小企业标准暂行规定》同时废止。</w:t>
      </w:r>
    </w:p>
    <w:p w14:paraId="56CE6CEC">
      <w:pPr>
        <w:wordWrap w:val="0"/>
        <w:snapToGrid w:val="0"/>
        <w:spacing w:line="360" w:lineRule="auto"/>
        <w:jc w:val="left"/>
        <w:rPr>
          <w:rFonts w:hint="eastAsia" w:ascii="宋体" w:hAnsi="宋体" w:cs="宋体"/>
          <w:b/>
          <w:bCs/>
          <w:color w:val="000000"/>
          <w:spacing w:val="10"/>
          <w:sz w:val="24"/>
          <w:szCs w:val="24"/>
        </w:rPr>
      </w:pPr>
    </w:p>
    <w:p w14:paraId="79EA948D">
      <w:pPr>
        <w:wordWrap w:val="0"/>
        <w:snapToGrid w:val="0"/>
        <w:spacing w:line="360" w:lineRule="auto"/>
        <w:jc w:val="left"/>
        <w:rPr>
          <w:rFonts w:hint="eastAsia" w:ascii="宋体" w:hAnsi="宋体" w:cs="宋体"/>
          <w:b/>
          <w:bCs/>
          <w:color w:val="000000"/>
          <w:spacing w:val="10"/>
          <w:sz w:val="24"/>
          <w:szCs w:val="24"/>
        </w:rPr>
      </w:pPr>
    </w:p>
    <w:p w14:paraId="0FCEB1AB">
      <w:pPr>
        <w:wordWrap w:val="0"/>
        <w:snapToGrid w:val="0"/>
        <w:spacing w:line="360" w:lineRule="auto"/>
        <w:jc w:val="left"/>
        <w:rPr>
          <w:rFonts w:hint="eastAsia" w:ascii="宋体" w:hAnsi="宋体" w:cs="宋体"/>
          <w:b/>
          <w:bCs/>
          <w:color w:val="000000"/>
          <w:spacing w:val="10"/>
          <w:sz w:val="24"/>
          <w:szCs w:val="24"/>
        </w:rPr>
      </w:pPr>
    </w:p>
    <w:p w14:paraId="46EE6834">
      <w:pPr>
        <w:wordWrap w:val="0"/>
        <w:snapToGrid w:val="0"/>
        <w:spacing w:line="360" w:lineRule="auto"/>
        <w:jc w:val="left"/>
        <w:rPr>
          <w:rFonts w:hint="eastAsia" w:ascii="宋体" w:hAnsi="宋体" w:cs="宋体"/>
          <w:b/>
          <w:bCs/>
          <w:color w:val="000000"/>
          <w:spacing w:val="10"/>
          <w:sz w:val="24"/>
          <w:szCs w:val="24"/>
        </w:rPr>
      </w:pPr>
    </w:p>
    <w:p w14:paraId="1E53CCFA">
      <w:pPr>
        <w:wordWrap w:val="0"/>
        <w:snapToGrid w:val="0"/>
        <w:spacing w:line="360" w:lineRule="auto"/>
        <w:jc w:val="left"/>
        <w:rPr>
          <w:rFonts w:hint="eastAsia" w:ascii="宋体" w:hAnsi="宋体" w:cs="宋体"/>
          <w:b/>
          <w:bCs/>
          <w:color w:val="000000"/>
          <w:spacing w:val="10"/>
          <w:sz w:val="24"/>
          <w:szCs w:val="24"/>
        </w:rPr>
      </w:pPr>
    </w:p>
    <w:p w14:paraId="48FCAF8A">
      <w:pPr>
        <w:wordWrap w:val="0"/>
        <w:snapToGrid w:val="0"/>
        <w:spacing w:line="360" w:lineRule="auto"/>
        <w:jc w:val="left"/>
        <w:rPr>
          <w:rFonts w:hint="eastAsia" w:ascii="宋体" w:hAnsi="宋体" w:cs="宋体"/>
          <w:b/>
          <w:bCs/>
          <w:color w:val="000000"/>
          <w:spacing w:val="10"/>
          <w:sz w:val="24"/>
          <w:szCs w:val="24"/>
        </w:rPr>
      </w:pPr>
    </w:p>
    <w:p w14:paraId="3CE8182E">
      <w:pPr>
        <w:wordWrap w:val="0"/>
        <w:snapToGrid w:val="0"/>
        <w:spacing w:line="360" w:lineRule="auto"/>
        <w:jc w:val="left"/>
        <w:rPr>
          <w:rFonts w:hint="eastAsia" w:ascii="宋体" w:hAnsi="宋体" w:cs="宋体"/>
          <w:b/>
          <w:bCs/>
          <w:color w:val="000000"/>
          <w:spacing w:val="10"/>
          <w:sz w:val="24"/>
          <w:szCs w:val="24"/>
        </w:rPr>
      </w:pPr>
    </w:p>
    <w:p w14:paraId="2029F56A">
      <w:pPr>
        <w:wordWrap w:val="0"/>
        <w:snapToGrid w:val="0"/>
        <w:spacing w:line="360" w:lineRule="auto"/>
        <w:jc w:val="left"/>
        <w:rPr>
          <w:rFonts w:hint="eastAsia" w:ascii="宋体" w:hAnsi="宋体" w:cs="宋体"/>
          <w:b/>
          <w:bCs/>
          <w:color w:val="000000"/>
          <w:spacing w:val="10"/>
          <w:sz w:val="24"/>
          <w:szCs w:val="24"/>
        </w:rPr>
      </w:pPr>
    </w:p>
    <w:p w14:paraId="5B4EF0C3">
      <w:pPr>
        <w:wordWrap w:val="0"/>
        <w:snapToGrid w:val="0"/>
        <w:spacing w:line="360" w:lineRule="auto"/>
        <w:jc w:val="left"/>
        <w:rPr>
          <w:rFonts w:hint="eastAsia" w:ascii="宋体" w:hAnsi="宋体" w:cs="宋体"/>
          <w:b/>
          <w:bCs/>
          <w:color w:val="000000"/>
          <w:spacing w:val="10"/>
          <w:sz w:val="24"/>
          <w:szCs w:val="24"/>
        </w:rPr>
      </w:pPr>
    </w:p>
    <w:p w14:paraId="62360606">
      <w:pPr>
        <w:widowControl/>
        <w:spacing w:line="432" w:lineRule="auto"/>
        <w:jc w:val="center"/>
        <w:rPr>
          <w:rFonts w:hint="eastAsia" w:ascii="宋体" w:hAnsi="宋体" w:cs="宋体"/>
          <w:b/>
          <w:bCs/>
          <w:color w:val="000000"/>
          <w:sz w:val="24"/>
        </w:rPr>
      </w:pPr>
      <w:r>
        <w:rPr>
          <w:rFonts w:hint="eastAsia" w:ascii="宋体" w:hAnsi="宋体" w:cs="宋体"/>
          <w:b/>
          <w:bCs/>
          <w:color w:val="000000"/>
          <w:spacing w:val="10"/>
          <w:sz w:val="24"/>
          <w:szCs w:val="24"/>
        </w:rPr>
        <w:br w:type="page"/>
      </w:r>
      <w:r>
        <w:rPr>
          <w:rFonts w:hint="eastAsia" w:ascii="宋体" w:hAnsi="宋体" w:cs="宋体"/>
          <w:b/>
          <w:bCs/>
          <w:color w:val="000000"/>
          <w:kern w:val="0"/>
          <w:sz w:val="24"/>
          <w:lang w:bidi="ar"/>
        </w:rPr>
        <w:t>平顶山银行“银政易贷”贷款简介</w:t>
      </w:r>
    </w:p>
    <w:p w14:paraId="2C926F84">
      <w:pPr>
        <w:widowControl/>
        <w:spacing w:line="432" w:lineRule="auto"/>
        <w:ind w:firstLine="480" w:firstLineChars="200"/>
        <w:jc w:val="left"/>
        <w:rPr>
          <w:rFonts w:hint="eastAsia" w:ascii="宋体" w:hAnsi="宋体" w:cs="宋体"/>
          <w:color w:val="000000"/>
          <w:sz w:val="24"/>
        </w:rPr>
      </w:pPr>
      <w:r>
        <w:rPr>
          <w:rFonts w:hint="eastAsia" w:ascii="宋体" w:hAnsi="宋体" w:cs="宋体"/>
          <w:color w:val="000000"/>
          <w:kern w:val="0"/>
          <w:sz w:val="24"/>
          <w:lang w:bidi="ar"/>
        </w:rPr>
        <w:t>平顶山银行在平顶山、郑州、洛阳、南阳、新乡、信阳、商丘设立营业网点72个，其中平顶山地区50个，金融服务能力强，业务品种多。多年来，平顶山银行始终坚持“服务地方经济、服务中小企业、服务城市居民”的市场定位，以“竭尽我能、感动你心”的服务理念，专注于产品和业务创新，积极打造具有自身特色的金融服务，有效满足了不同层次的金融需求，赢得了中小企业和广大市民的赞誉和信赖。</w:t>
      </w:r>
    </w:p>
    <w:p w14:paraId="48F749FB">
      <w:pPr>
        <w:widowControl/>
        <w:spacing w:line="432" w:lineRule="auto"/>
        <w:ind w:firstLine="480" w:firstLineChars="200"/>
        <w:jc w:val="left"/>
        <w:rPr>
          <w:rFonts w:hint="eastAsia" w:ascii="宋体" w:hAnsi="宋体" w:cs="宋体"/>
          <w:color w:val="000000"/>
          <w:sz w:val="24"/>
        </w:rPr>
      </w:pPr>
      <w:r>
        <w:rPr>
          <w:rFonts w:hint="eastAsia" w:ascii="宋体" w:hAnsi="宋体" w:cs="宋体"/>
          <w:color w:val="000000"/>
          <w:kern w:val="0"/>
          <w:sz w:val="24"/>
          <w:lang w:bidi="ar"/>
        </w:rPr>
        <w:t>为扩大支持中小企业融资渠道，平顶山银行推出了“银政易贷”特色金融产品，主要面对平顶山市政府采购领域中标成交企业，对中标政府采购企业的实际控制人发放，专项用于履行政府采购合同。“银政易贷”专业服务政府采购上游投标人基于中标政府采购合同项下的备货、生产、加工等环节的资金需求，贷款额度高，最高贷款金额可达到采购合同的90%；还款方式灵活，可采用按月付息、到期一次性还款或者按频率付息、任务本金计划等多种还款方式；借款期限原则上不超过1年，年利率最低可达7%。同时，我行针对“银政易贷”业务开启“绿色通道”，手续齐全3-5个工作日即可完成放款。</w:t>
      </w:r>
    </w:p>
    <w:p w14:paraId="3A65BA7D">
      <w:pPr>
        <w:widowControl/>
        <w:spacing w:line="432" w:lineRule="auto"/>
        <w:ind w:firstLine="480" w:firstLineChars="200"/>
        <w:jc w:val="left"/>
        <w:rPr>
          <w:rFonts w:hint="eastAsia" w:ascii="宋体" w:hAnsi="宋体" w:cs="宋体"/>
          <w:color w:val="000000"/>
          <w:sz w:val="24"/>
        </w:rPr>
      </w:pPr>
      <w:r>
        <w:rPr>
          <w:rFonts w:hint="eastAsia" w:ascii="宋体" w:hAnsi="宋体" w:cs="宋体"/>
          <w:color w:val="000000"/>
          <w:kern w:val="0"/>
          <w:sz w:val="24"/>
          <w:lang w:bidi="ar"/>
        </w:rPr>
        <w:t>“银政易贷”团队联系人及联系方式：</w:t>
      </w:r>
    </w:p>
    <w:p w14:paraId="50F7CA76">
      <w:pPr>
        <w:widowControl/>
        <w:spacing w:line="432" w:lineRule="auto"/>
        <w:ind w:firstLine="720" w:firstLineChars="300"/>
        <w:jc w:val="left"/>
        <w:rPr>
          <w:rFonts w:hint="eastAsia" w:ascii="宋体" w:hAnsi="宋体" w:cs="宋体"/>
          <w:color w:val="000000"/>
          <w:sz w:val="24"/>
        </w:rPr>
      </w:pPr>
      <w:r>
        <w:rPr>
          <w:rFonts w:hint="eastAsia" w:ascii="宋体" w:hAnsi="宋体" w:cs="宋体"/>
          <w:color w:val="000000"/>
          <w:kern w:val="0"/>
          <w:sz w:val="24"/>
          <w:lang w:bidi="ar"/>
        </w:rPr>
        <w:t xml:space="preserve">余梦丽：0375-2980538   </w:t>
      </w:r>
    </w:p>
    <w:p w14:paraId="3FAF2631">
      <w:pPr>
        <w:widowControl/>
        <w:spacing w:before="100" w:beforeAutospacing="1" w:after="100" w:afterAutospacing="1" w:line="560" w:lineRule="exact"/>
        <w:ind w:firstLine="482"/>
        <w:jc w:val="left"/>
        <w:rPr>
          <w:rFonts w:hint="eastAsia" w:ascii="宋体" w:hAnsi="宋体" w:cs="宋体"/>
          <w:b/>
          <w:bCs/>
          <w:color w:val="000000"/>
          <w:kern w:val="0"/>
          <w:sz w:val="24"/>
          <w:szCs w:val="24"/>
        </w:rPr>
      </w:pPr>
    </w:p>
    <w:p w14:paraId="60D5AF7A">
      <w:pPr>
        <w:widowControl/>
        <w:spacing w:before="100" w:after="100" w:line="400" w:lineRule="exact"/>
        <w:jc w:val="center"/>
        <w:rPr>
          <w:rFonts w:hint="eastAsia" w:ascii="宋体" w:hAnsi="宋体" w:cs="宋体"/>
          <w:b/>
          <w:color w:val="000000"/>
          <w:kern w:val="0"/>
          <w:sz w:val="24"/>
        </w:rPr>
      </w:pPr>
      <w:r>
        <w:rPr>
          <w:rFonts w:hint="eastAsia" w:ascii="宋体" w:hAnsi="宋体" w:cs="宋体"/>
          <w:b/>
          <w:bCs/>
          <w:color w:val="000000"/>
          <w:kern w:val="0"/>
          <w:sz w:val="24"/>
        </w:rPr>
        <w:br w:type="page"/>
      </w:r>
      <w:bookmarkStart w:id="475" w:name="_Toc30264"/>
      <w:r>
        <w:rPr>
          <w:rFonts w:hint="eastAsia" w:ascii="宋体" w:hAnsi="宋体" w:cs="宋体"/>
          <w:b/>
          <w:color w:val="000000"/>
          <w:kern w:val="0"/>
          <w:sz w:val="24"/>
        </w:rPr>
        <w:t>政府采购合同融资试点单位工商银行</w:t>
      </w:r>
      <w:bookmarkEnd w:id="475"/>
    </w:p>
    <w:p w14:paraId="1F4AAF85">
      <w:pPr>
        <w:widowControl/>
        <w:spacing w:before="100" w:after="100" w:line="400" w:lineRule="exact"/>
        <w:jc w:val="center"/>
        <w:rPr>
          <w:rFonts w:hint="eastAsia" w:ascii="宋体" w:hAnsi="宋体" w:cs="宋体"/>
          <w:color w:val="000000"/>
          <w:kern w:val="0"/>
          <w:sz w:val="24"/>
        </w:rPr>
      </w:pPr>
      <w:bookmarkStart w:id="476" w:name="_Toc29782"/>
      <w:r>
        <w:rPr>
          <w:rFonts w:hint="eastAsia" w:ascii="宋体" w:hAnsi="宋体" w:cs="宋体"/>
          <w:b/>
          <w:color w:val="000000"/>
          <w:kern w:val="0"/>
          <w:sz w:val="24"/>
        </w:rPr>
        <w:t>平顶山分行</w:t>
      </w:r>
      <w:bookmarkEnd w:id="476"/>
      <w:r>
        <w:rPr>
          <w:rFonts w:hint="eastAsia" w:ascii="宋体" w:hAnsi="宋体" w:cs="宋体"/>
          <w:color w:val="000000"/>
          <w:kern w:val="0"/>
          <w:sz w:val="24"/>
          <w:lang w:bidi="ar"/>
        </w:rPr>
        <w:t> </w:t>
      </w:r>
    </w:p>
    <w:p w14:paraId="29140E99">
      <w:pPr>
        <w:widowControl/>
        <w:spacing w:line="440" w:lineRule="exact"/>
        <w:ind w:firstLine="600" w:firstLineChars="250"/>
        <w:jc w:val="left"/>
        <w:rPr>
          <w:rFonts w:hint="eastAsia" w:ascii="宋体" w:hAnsi="宋体" w:cs="宋体"/>
          <w:color w:val="000000"/>
          <w:sz w:val="24"/>
        </w:rPr>
      </w:pPr>
      <w:r>
        <w:rPr>
          <w:rFonts w:hint="eastAsia" w:ascii="宋体" w:hAnsi="宋体" w:cs="宋体"/>
          <w:color w:val="000000"/>
          <w:kern w:val="0"/>
          <w:sz w:val="24"/>
          <w:lang w:bidi="ar"/>
        </w:rPr>
        <w:t>中国工商银行平顶山分行是中国工商银行股份有限公司法人授权经营的二级分行，现全辖共有一级支行14个，其中市区支行8个，县区支行6个，营业网点41个。多年来，工行平顶山分行坚持以客户为中心，以市场为导向，积极创新和改进服务方式，逐渐形成了包括公司金融、个人金融、银行卡、电子银行、国际业务等若干类3000多种产品的业务体系；构建了物理网点与电话银行、网上银行、手机银行、自助银行、智能银行等互为一体的立体服务格局，致力服务平顶山经济发展。</w:t>
      </w:r>
    </w:p>
    <w:p w14:paraId="32848305">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 xml:space="preserve">   工行平顶山分行将针对政府采购合同融资推出专项“政采贷”贷款业务，满足政府采购上游投标人基于中标政府采购合同项下的备货、生产和加工等环节的资金需求。贷款方式为信用，融资金额不超过合同实有金额的80%；对投标人资信状况良好、购销关系稳定的，最高可放宽至90%。融资期限根据中标合同约定履约期限确定，最长不超过1年，且不晚于合同约定付款日后一个月。融资利率原则上不高于7%；按月还息。还款方式上，根据中标合同约定分期或到期一次性还本或财政支付资金回款到账后次日归还。</w:t>
      </w:r>
    </w:p>
    <w:p w14:paraId="4E9517D8">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 xml:space="preserve">    工行平顶山分行建立政府采购合同融资绿色通道，成立“政采贷”专营团队，配备专业人员定向服务，简化审批流程，制定相应的业务管理规范，提供快捷方便、专业的金融服务；对融资申报资料齐全的，工行平顶山分行将在七个工作日内完成审批，符合提款条件的，将在三个工作日内完成放款。</w:t>
      </w:r>
    </w:p>
    <w:p w14:paraId="2CC07A91">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 xml:space="preserve">  工行平顶山分行联系人；</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4"/>
        <w:gridCol w:w="3257"/>
        <w:gridCol w:w="2841"/>
      </w:tblGrid>
      <w:tr w14:paraId="269B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noWrap w:val="0"/>
            <w:vAlign w:val="top"/>
          </w:tcPr>
          <w:p w14:paraId="1DC2683F">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联系单位</w:t>
            </w:r>
          </w:p>
        </w:tc>
        <w:tc>
          <w:tcPr>
            <w:tcW w:w="3257" w:type="dxa"/>
            <w:noWrap w:val="0"/>
            <w:vAlign w:val="top"/>
          </w:tcPr>
          <w:p w14:paraId="19B17467">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联系人</w:t>
            </w:r>
          </w:p>
        </w:tc>
        <w:tc>
          <w:tcPr>
            <w:tcW w:w="2841" w:type="dxa"/>
            <w:noWrap w:val="0"/>
            <w:vAlign w:val="top"/>
          </w:tcPr>
          <w:p w14:paraId="4902E9A3">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联系方式</w:t>
            </w:r>
          </w:p>
        </w:tc>
      </w:tr>
      <w:tr w14:paraId="41EF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noWrap w:val="0"/>
            <w:vAlign w:val="top"/>
          </w:tcPr>
          <w:p w14:paraId="143A77DF">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政采贷专营团队</w:t>
            </w:r>
          </w:p>
        </w:tc>
        <w:tc>
          <w:tcPr>
            <w:tcW w:w="3257" w:type="dxa"/>
            <w:noWrap w:val="0"/>
            <w:vAlign w:val="top"/>
          </w:tcPr>
          <w:p w14:paraId="66546F1F">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卢文旭</w:t>
            </w:r>
          </w:p>
        </w:tc>
        <w:tc>
          <w:tcPr>
            <w:tcW w:w="2841" w:type="dxa"/>
            <w:noWrap w:val="0"/>
            <w:vAlign w:val="top"/>
          </w:tcPr>
          <w:p w14:paraId="33B032B9">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0375-2763835</w:t>
            </w:r>
          </w:p>
        </w:tc>
      </w:tr>
      <w:tr w14:paraId="3500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noWrap w:val="0"/>
            <w:vAlign w:val="top"/>
          </w:tcPr>
          <w:p w14:paraId="2475D18A">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政采贷专营团队</w:t>
            </w:r>
          </w:p>
        </w:tc>
        <w:tc>
          <w:tcPr>
            <w:tcW w:w="3257" w:type="dxa"/>
            <w:noWrap w:val="0"/>
            <w:vAlign w:val="top"/>
          </w:tcPr>
          <w:p w14:paraId="72097CC7">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好金斗</w:t>
            </w:r>
          </w:p>
        </w:tc>
        <w:tc>
          <w:tcPr>
            <w:tcW w:w="2841" w:type="dxa"/>
            <w:noWrap w:val="0"/>
            <w:vAlign w:val="top"/>
          </w:tcPr>
          <w:p w14:paraId="6668EA30">
            <w:pPr>
              <w:widowControl/>
              <w:spacing w:line="440" w:lineRule="exact"/>
              <w:jc w:val="left"/>
              <w:rPr>
                <w:rFonts w:hint="eastAsia" w:ascii="宋体" w:hAnsi="宋体" w:cs="宋体"/>
                <w:color w:val="000000"/>
                <w:sz w:val="24"/>
              </w:rPr>
            </w:pPr>
            <w:r>
              <w:rPr>
                <w:rFonts w:hint="eastAsia" w:ascii="宋体" w:hAnsi="宋体" w:cs="宋体"/>
                <w:color w:val="000000"/>
                <w:kern w:val="0"/>
                <w:sz w:val="24"/>
                <w:lang w:bidi="ar"/>
              </w:rPr>
              <w:t>0375-2763881</w:t>
            </w:r>
          </w:p>
        </w:tc>
      </w:tr>
    </w:tbl>
    <w:p w14:paraId="148E1E31">
      <w:pPr>
        <w:pStyle w:val="13"/>
        <w:sectPr>
          <w:pgSz w:w="11906" w:h="16838"/>
          <w:pgMar w:top="1418" w:right="1134" w:bottom="1418" w:left="1134" w:header="851" w:footer="992" w:gutter="0"/>
          <w:pgNumType w:fmt="decimal"/>
          <w:cols w:space="720" w:num="1"/>
          <w:docGrid w:type="lines" w:linePitch="312" w:charSpace="0"/>
        </w:sectPr>
      </w:pPr>
    </w:p>
    <w:p w14:paraId="7C287974">
      <w:pPr>
        <w:widowControl/>
        <w:jc w:val="center"/>
        <w:rPr>
          <w:rFonts w:ascii="宋体" w:hAnsi="宋体"/>
          <w:b/>
          <w:bCs/>
          <w:sz w:val="30"/>
          <w:szCs w:val="30"/>
        </w:rPr>
      </w:pPr>
      <w:r>
        <w:rPr>
          <w:rFonts w:hint="eastAsia" w:ascii="宋体" w:hAnsi="宋体"/>
          <w:b/>
          <w:bCs/>
          <w:sz w:val="30"/>
          <w:szCs w:val="30"/>
        </w:rPr>
        <w:t>供应商主要内容汇总</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02EF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2" w:hRule="atLeast"/>
        </w:trPr>
        <w:tc>
          <w:tcPr>
            <w:tcW w:w="9962" w:type="dxa"/>
            <w:tcBorders>
              <w:top w:val="single" w:color="auto" w:sz="4" w:space="0"/>
              <w:left w:val="single" w:color="auto" w:sz="4" w:space="0"/>
              <w:bottom w:val="single" w:color="auto" w:sz="4" w:space="0"/>
              <w:right w:val="single" w:color="auto" w:sz="4" w:space="0"/>
            </w:tcBorders>
            <w:shd w:val="clear" w:color="auto" w:fill="auto"/>
            <w:vAlign w:val="center"/>
          </w:tcPr>
          <w:p w14:paraId="64479BCB">
            <w:pPr>
              <w:widowControl/>
              <w:spacing w:line="480" w:lineRule="auto"/>
              <w:jc w:val="left"/>
              <w:rPr>
                <w:rFonts w:ascii="宋体" w:hAnsi="宋体"/>
                <w:b/>
                <w:bCs/>
                <w:kern w:val="0"/>
                <w:sz w:val="22"/>
                <w:szCs w:val="22"/>
              </w:rPr>
            </w:pPr>
            <w:r>
              <w:rPr>
                <w:rFonts w:hint="eastAsia" w:ascii="宋体" w:hAnsi="宋体"/>
                <w:b/>
                <w:bCs/>
                <w:kern w:val="0"/>
                <w:sz w:val="22"/>
                <w:szCs w:val="22"/>
              </w:rPr>
              <w:t>投标人：</w:t>
            </w:r>
          </w:p>
          <w:p w14:paraId="5D7F0562">
            <w:pPr>
              <w:pStyle w:val="15"/>
            </w:pPr>
            <w:r>
              <w:rPr>
                <w:rFonts w:hint="eastAsia" w:ascii="宋体" w:hAnsi="宋体"/>
                <w:b/>
                <w:bCs/>
                <w:kern w:val="0"/>
                <w:sz w:val="22"/>
                <w:szCs w:val="22"/>
              </w:rPr>
              <w:t>地址：</w:t>
            </w:r>
          </w:p>
          <w:p w14:paraId="1A4836A4">
            <w:pPr>
              <w:widowControl/>
              <w:spacing w:line="480" w:lineRule="auto"/>
              <w:jc w:val="left"/>
              <w:rPr>
                <w:rFonts w:ascii="宋体" w:hAnsi="宋体"/>
                <w:b/>
                <w:bCs/>
                <w:kern w:val="0"/>
                <w:sz w:val="22"/>
                <w:szCs w:val="22"/>
              </w:rPr>
            </w:pPr>
            <w:r>
              <w:rPr>
                <w:rFonts w:hint="eastAsia" w:ascii="宋体" w:hAnsi="宋体"/>
                <w:b/>
                <w:bCs/>
                <w:kern w:val="0"/>
                <w:sz w:val="22"/>
                <w:szCs w:val="22"/>
              </w:rPr>
              <w:t>统一社会信用代码：</w:t>
            </w:r>
          </w:p>
          <w:p w14:paraId="0FC72274">
            <w:pPr>
              <w:widowControl/>
              <w:spacing w:line="480" w:lineRule="auto"/>
              <w:jc w:val="left"/>
              <w:rPr>
                <w:rFonts w:ascii="宋体" w:hAnsi="宋体"/>
                <w:b/>
                <w:bCs/>
                <w:kern w:val="0"/>
                <w:sz w:val="22"/>
                <w:szCs w:val="22"/>
              </w:rPr>
            </w:pPr>
            <w:r>
              <w:rPr>
                <w:rFonts w:hint="eastAsia" w:ascii="宋体" w:hAnsi="宋体"/>
                <w:b/>
                <w:bCs/>
                <w:kern w:val="0"/>
                <w:sz w:val="22"/>
                <w:szCs w:val="22"/>
              </w:rPr>
              <w:t>投标报价：</w:t>
            </w:r>
          </w:p>
          <w:p w14:paraId="3A5D5896">
            <w:pPr>
              <w:widowControl/>
              <w:spacing w:line="480" w:lineRule="auto"/>
              <w:jc w:val="left"/>
              <w:rPr>
                <w:rFonts w:ascii="宋体" w:hAnsi="宋体"/>
                <w:b/>
                <w:bCs/>
                <w:kern w:val="0"/>
                <w:sz w:val="22"/>
                <w:szCs w:val="22"/>
              </w:rPr>
            </w:pPr>
            <w:r>
              <w:rPr>
                <w:rFonts w:hint="eastAsia" w:ascii="宋体" w:hAnsi="宋体"/>
                <w:b/>
                <w:bCs/>
                <w:kern w:val="0"/>
                <w:sz w:val="22"/>
                <w:szCs w:val="22"/>
              </w:rPr>
              <w:t>投标范围：</w:t>
            </w:r>
            <w:r>
              <w:rPr>
                <w:rFonts w:ascii="宋体" w:hAnsi="宋体"/>
                <w:b/>
                <w:bCs/>
                <w:kern w:val="0"/>
                <w:sz w:val="22"/>
                <w:szCs w:val="22"/>
              </w:rPr>
              <w:t xml:space="preserve"> </w:t>
            </w:r>
          </w:p>
          <w:p w14:paraId="3A9DF722">
            <w:pPr>
              <w:widowControl/>
              <w:spacing w:line="480" w:lineRule="auto"/>
              <w:jc w:val="left"/>
              <w:rPr>
                <w:rFonts w:ascii="宋体" w:hAnsi="宋体"/>
                <w:b/>
                <w:bCs/>
                <w:kern w:val="0"/>
                <w:sz w:val="22"/>
                <w:szCs w:val="22"/>
              </w:rPr>
            </w:pPr>
            <w:r>
              <w:rPr>
                <w:rFonts w:hint="eastAsia" w:ascii="宋体" w:hAnsi="宋体"/>
                <w:b/>
                <w:bCs/>
                <w:kern w:val="0"/>
                <w:sz w:val="22"/>
                <w:szCs w:val="22"/>
              </w:rPr>
              <w:t>质量要求：</w:t>
            </w:r>
          </w:p>
          <w:p w14:paraId="6A7B7E35">
            <w:pPr>
              <w:widowControl/>
              <w:spacing w:line="480" w:lineRule="auto"/>
              <w:jc w:val="left"/>
              <w:rPr>
                <w:rFonts w:ascii="宋体" w:hAnsi="宋体"/>
                <w:b/>
                <w:bCs/>
                <w:kern w:val="0"/>
                <w:sz w:val="22"/>
                <w:szCs w:val="22"/>
              </w:rPr>
            </w:pPr>
            <w:r>
              <w:rPr>
                <w:rFonts w:hint="eastAsia" w:ascii="宋体" w:hAnsi="宋体"/>
                <w:b/>
                <w:bCs/>
                <w:kern w:val="0"/>
                <w:sz w:val="22"/>
                <w:szCs w:val="22"/>
              </w:rPr>
              <w:t xml:space="preserve">服务期限： </w:t>
            </w:r>
          </w:p>
          <w:p w14:paraId="33029ECB">
            <w:pPr>
              <w:widowControl/>
              <w:spacing w:line="480" w:lineRule="auto"/>
              <w:jc w:val="left"/>
              <w:rPr>
                <w:rFonts w:ascii="宋体" w:hAnsi="宋体"/>
                <w:b/>
                <w:bCs/>
                <w:kern w:val="0"/>
                <w:sz w:val="22"/>
                <w:szCs w:val="22"/>
              </w:rPr>
            </w:pPr>
            <w:r>
              <w:rPr>
                <w:rFonts w:hint="eastAsia" w:ascii="宋体" w:hAnsi="宋体"/>
                <w:b/>
                <w:bCs/>
                <w:kern w:val="0"/>
                <w:sz w:val="22"/>
                <w:szCs w:val="22"/>
              </w:rPr>
              <w:t>项目负责人（姓名及证书编号）：</w:t>
            </w:r>
          </w:p>
          <w:p w14:paraId="0F0CD6F3">
            <w:pPr>
              <w:widowControl/>
              <w:spacing w:line="480" w:lineRule="auto"/>
              <w:jc w:val="left"/>
              <w:rPr>
                <w:rFonts w:ascii="宋体" w:hAnsi="宋体"/>
                <w:b/>
                <w:bCs/>
                <w:kern w:val="0"/>
                <w:sz w:val="22"/>
                <w:szCs w:val="22"/>
              </w:rPr>
            </w:pPr>
            <w:r>
              <w:rPr>
                <w:rFonts w:hint="eastAsia" w:ascii="宋体" w:hAnsi="宋体"/>
                <w:b/>
                <w:bCs/>
                <w:kern w:val="0"/>
                <w:sz w:val="22"/>
                <w:szCs w:val="22"/>
              </w:rPr>
              <w:t>投标文件有效期：</w:t>
            </w:r>
          </w:p>
          <w:p w14:paraId="1BBB00E2">
            <w:pPr>
              <w:spacing w:line="336" w:lineRule="auto"/>
              <w:rPr>
                <w:rFonts w:ascii="宋体" w:hAnsi="宋体"/>
                <w:b/>
                <w:bCs/>
                <w:kern w:val="0"/>
                <w:sz w:val="22"/>
                <w:szCs w:val="22"/>
              </w:rPr>
            </w:pPr>
            <w:r>
              <w:rPr>
                <w:rFonts w:hint="eastAsia" w:ascii="宋体" w:hAnsi="宋体"/>
                <w:b/>
                <w:bCs/>
                <w:kern w:val="0"/>
                <w:sz w:val="22"/>
                <w:szCs w:val="22"/>
              </w:rPr>
              <w:t>投报业绩：</w:t>
            </w:r>
          </w:p>
          <w:p w14:paraId="21C091DF">
            <w:pPr>
              <w:spacing w:line="336" w:lineRule="auto"/>
              <w:rPr>
                <w:rFonts w:ascii="宋体" w:hAnsi="宋体"/>
                <w:sz w:val="20"/>
                <w:szCs w:val="32"/>
              </w:rPr>
            </w:pPr>
            <w:r>
              <w:rPr>
                <w:rFonts w:hint="eastAsia" w:ascii="宋体" w:hAnsi="宋体"/>
                <w:sz w:val="20"/>
                <w:szCs w:val="32"/>
              </w:rPr>
              <w:t>业绩一：</w:t>
            </w:r>
          </w:p>
          <w:p w14:paraId="16455673">
            <w:pPr>
              <w:spacing w:line="336" w:lineRule="auto"/>
              <w:rPr>
                <w:rFonts w:ascii="宋体" w:hAnsi="宋体"/>
                <w:sz w:val="20"/>
                <w:szCs w:val="32"/>
              </w:rPr>
            </w:pPr>
            <w:r>
              <w:rPr>
                <w:rFonts w:hint="eastAsia" w:ascii="宋体" w:hAnsi="宋体"/>
                <w:sz w:val="20"/>
                <w:szCs w:val="32"/>
              </w:rPr>
              <w:t>项目名称：</w:t>
            </w:r>
            <w:r>
              <w:rPr>
                <w:rFonts w:ascii="宋体" w:hAnsi="宋体"/>
                <w:sz w:val="20"/>
                <w:szCs w:val="32"/>
              </w:rPr>
              <w:t xml:space="preserve"> </w:t>
            </w:r>
          </w:p>
          <w:p w14:paraId="2705A65B">
            <w:pPr>
              <w:spacing w:line="336" w:lineRule="auto"/>
              <w:rPr>
                <w:rFonts w:ascii="宋体" w:hAnsi="宋体"/>
                <w:sz w:val="20"/>
                <w:szCs w:val="32"/>
              </w:rPr>
            </w:pPr>
            <w:r>
              <w:rPr>
                <w:rFonts w:hint="eastAsia" w:ascii="宋体" w:hAnsi="宋体"/>
                <w:sz w:val="20"/>
                <w:szCs w:val="32"/>
              </w:rPr>
              <w:t>项目负责人：</w:t>
            </w:r>
            <w:r>
              <w:rPr>
                <w:rFonts w:ascii="宋体" w:hAnsi="宋体"/>
                <w:sz w:val="20"/>
                <w:szCs w:val="32"/>
              </w:rPr>
              <w:t xml:space="preserve"> </w:t>
            </w:r>
          </w:p>
          <w:p w14:paraId="6BBE4B58">
            <w:pPr>
              <w:spacing w:line="336" w:lineRule="auto"/>
              <w:rPr>
                <w:rFonts w:ascii="宋体" w:hAnsi="宋体"/>
                <w:sz w:val="20"/>
                <w:szCs w:val="32"/>
              </w:rPr>
            </w:pPr>
            <w:r>
              <w:rPr>
                <w:rFonts w:hint="eastAsia" w:ascii="宋体" w:hAnsi="宋体"/>
                <w:sz w:val="20"/>
                <w:szCs w:val="32"/>
              </w:rPr>
              <w:t>中标公示查询媒体：</w:t>
            </w:r>
            <w:r>
              <w:rPr>
                <w:rFonts w:ascii="宋体" w:hAnsi="宋体"/>
                <w:sz w:val="20"/>
                <w:szCs w:val="32"/>
              </w:rPr>
              <w:t xml:space="preserve"> </w:t>
            </w:r>
          </w:p>
          <w:p w14:paraId="04CB3DCB">
            <w:pPr>
              <w:spacing w:line="336" w:lineRule="auto"/>
              <w:rPr>
                <w:rFonts w:ascii="宋体" w:hAnsi="宋体"/>
                <w:sz w:val="20"/>
                <w:szCs w:val="32"/>
              </w:rPr>
            </w:pPr>
            <w:r>
              <w:rPr>
                <w:rFonts w:hint="eastAsia" w:ascii="宋体" w:hAnsi="宋体"/>
                <w:sz w:val="20"/>
                <w:szCs w:val="32"/>
              </w:rPr>
              <w:t xml:space="preserve">合同金额： </w:t>
            </w:r>
          </w:p>
          <w:p w14:paraId="112DCF3D">
            <w:pPr>
              <w:spacing w:line="336" w:lineRule="auto"/>
              <w:rPr>
                <w:rFonts w:ascii="宋体" w:hAnsi="宋体"/>
                <w:sz w:val="20"/>
                <w:szCs w:val="32"/>
              </w:rPr>
            </w:pPr>
            <w:r>
              <w:rPr>
                <w:rFonts w:hint="eastAsia" w:ascii="宋体" w:hAnsi="宋体"/>
                <w:sz w:val="20"/>
                <w:szCs w:val="32"/>
              </w:rPr>
              <w:t>合同签订日期： 年 月 日</w:t>
            </w:r>
          </w:p>
          <w:p w14:paraId="17AD8A88">
            <w:pPr>
              <w:spacing w:line="336" w:lineRule="auto"/>
              <w:rPr>
                <w:rFonts w:ascii="宋体" w:hAnsi="宋体"/>
                <w:sz w:val="20"/>
                <w:szCs w:val="32"/>
              </w:rPr>
            </w:pPr>
            <w:r>
              <w:rPr>
                <w:rFonts w:hint="eastAsia" w:ascii="宋体" w:hAnsi="宋体"/>
                <w:sz w:val="20"/>
                <w:szCs w:val="32"/>
              </w:rPr>
              <w:t xml:space="preserve">验收日期： </w:t>
            </w:r>
          </w:p>
          <w:p w14:paraId="7DB74441">
            <w:pPr>
              <w:widowControl/>
              <w:spacing w:line="480" w:lineRule="auto"/>
              <w:jc w:val="left"/>
              <w:rPr>
                <w:rFonts w:ascii="宋体" w:hAnsi="宋体"/>
                <w:sz w:val="20"/>
                <w:szCs w:val="32"/>
              </w:rPr>
            </w:pPr>
            <w:r>
              <w:rPr>
                <w:rFonts w:hint="eastAsia" w:ascii="宋体" w:hAnsi="宋体"/>
                <w:sz w:val="20"/>
                <w:szCs w:val="32"/>
              </w:rPr>
              <w:t>业绩二：</w:t>
            </w:r>
          </w:p>
          <w:p w14:paraId="2CA23DBD">
            <w:pPr>
              <w:widowControl/>
              <w:spacing w:line="480" w:lineRule="auto"/>
              <w:jc w:val="left"/>
              <w:rPr>
                <w:rFonts w:ascii="宋体" w:hAnsi="宋体"/>
              </w:rPr>
            </w:pPr>
            <w:r>
              <w:rPr>
                <w:rFonts w:ascii="宋体" w:hAnsi="宋体"/>
              </w:rPr>
              <w:t>……</w:t>
            </w:r>
          </w:p>
        </w:tc>
      </w:tr>
    </w:tbl>
    <w:p w14:paraId="43B348AF">
      <w:pPr>
        <w:rPr>
          <w:b/>
        </w:rPr>
      </w:pPr>
    </w:p>
    <w:p w14:paraId="5D9626DE">
      <w:pPr>
        <w:pStyle w:val="35"/>
        <w:ind w:firstLine="422"/>
      </w:pPr>
      <w:r>
        <w:rPr>
          <w:b/>
        </w:rPr>
        <w:t>注：供应商应把投标文件中所有业绩逐一统计，上述表格可自行扩展。</w:t>
      </w:r>
      <w:r>
        <w:rPr>
          <w:rFonts w:hint="eastAsia"/>
          <w:b/>
        </w:rPr>
        <w:t>本表只作为辅助评标用，不作为评审因素的依据。</w:t>
      </w:r>
    </w:p>
    <w:p w14:paraId="27E5D860">
      <w:pPr>
        <w:pStyle w:val="34"/>
      </w:pPr>
    </w:p>
    <w:sectPr>
      <w:pgSz w:w="11906" w:h="16838"/>
      <w:pgMar w:top="1418" w:right="1134" w:bottom="1418" w:left="113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Calibri Light">
    <w:panose1 w:val="020F03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BE8F5">
    <w:pPr>
      <w:pStyle w:val="23"/>
      <w:ind w:firstLine="48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9C11">
    <w:pPr>
      <w:pStyle w:val="23"/>
      <w:ind w:firstLine="48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F49F4">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CF49F4">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FCA50">
    <w:pPr>
      <w:pStyle w:val="2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24EA14">
                          <w:pPr>
                            <w:pStyle w:val="2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24EA14">
                    <w:pPr>
                      <w:pStyle w:val="23"/>
                    </w:pPr>
                    <w:r>
                      <w:fldChar w:fldCharType="begin"/>
                    </w:r>
                    <w:r>
                      <w:instrText xml:space="preserve"> PAGE  \* MERGEFORMAT </w:instrText>
                    </w:r>
                    <w:r>
                      <w:fldChar w:fldCharType="separate"/>
                    </w:r>
                    <w:r>
                      <w:t>3</w:t>
                    </w:r>
                    <w:r>
                      <w:fldChar w:fldCharType="end"/>
                    </w:r>
                  </w:p>
                </w:txbxContent>
              </v:textbox>
            </v:shape>
          </w:pict>
        </mc:Fallback>
      </mc:AlternateContent>
    </w:r>
  </w:p>
  <w:p w14:paraId="0FDEC705">
    <w:pPr>
      <w:pStyle w:val="23"/>
      <w:ind w:right="10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DE5BB">
    <w:pPr>
      <w:pStyle w:val="23"/>
      <w:framePr w:wrap="around" w:vAnchor="text" w:hAnchor="margin" w:xAlign="center" w:y="1"/>
      <w:rPr>
        <w:rStyle w:val="39"/>
      </w:rPr>
    </w:pPr>
    <w:r>
      <w:fldChar w:fldCharType="begin"/>
    </w:r>
    <w:r>
      <w:rPr>
        <w:rStyle w:val="39"/>
      </w:rPr>
      <w:instrText xml:space="preserve">PAGE  </w:instrText>
    </w:r>
    <w:r>
      <w:fldChar w:fldCharType="end"/>
    </w:r>
  </w:p>
  <w:p w14:paraId="7EE15851">
    <w:pPr>
      <w:pStyle w:val="2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04F4D">
    <w:pPr>
      <w:pStyle w:val="23"/>
      <w:jc w:val="right"/>
    </w:pPr>
    <w:r>
      <w:rPr>
        <w:szCs w:val="21"/>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8849C">
    <w:pPr>
      <w:pStyle w:val="2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133D8">
                          <w:pPr>
                            <w:pStyle w:val="2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3133D8">
                    <w:pPr>
                      <w:pStyle w:val="23"/>
                    </w:pPr>
                    <w:r>
                      <w:fldChar w:fldCharType="begin"/>
                    </w:r>
                    <w:r>
                      <w:instrText xml:space="preserve"> PAGE  \* MERGEFORMAT </w:instrText>
                    </w:r>
                    <w:r>
                      <w:fldChar w:fldCharType="separate"/>
                    </w:r>
                    <w:r>
                      <w:t>22</w:t>
                    </w:r>
                    <w:r>
                      <w:fldChar w:fldCharType="end"/>
                    </w:r>
                  </w:p>
                </w:txbxContent>
              </v:textbox>
            </v:shape>
          </w:pict>
        </mc:Fallback>
      </mc:AlternateContent>
    </w:r>
  </w:p>
  <w:p w14:paraId="2C0C6C38">
    <w:pPr>
      <w:pStyle w:val="23"/>
      <w:ind w:right="10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733B6">
    <w:pPr>
      <w:pStyle w:val="2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32046">
                          <w:pPr>
                            <w:pStyle w:val="23"/>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132046">
                    <w:pPr>
                      <w:pStyle w:val="23"/>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45653">
    <w:pPr>
      <w:pStyle w:val="2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163C8E">
                          <w:pPr>
                            <w:pStyle w:val="23"/>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B163C8E">
                    <w:pPr>
                      <w:pStyle w:val="23"/>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59890">
    <w:pPr>
      <w:pStyle w:val="23"/>
      <w:ind w:firstLine="48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35973">
                          <w:pPr>
                            <w:pStyle w:val="2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9535973">
                    <w:pPr>
                      <w:pStyle w:val="2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D3EEB">
    <w:pPr>
      <w:pStyle w:val="2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11E29">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8031C">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2757B"/>
    <w:multiLevelType w:val="singleLevel"/>
    <w:tmpl w:val="8D02757B"/>
    <w:lvl w:ilvl="0" w:tentative="0">
      <w:start w:val="1"/>
      <w:numFmt w:val="decimal"/>
      <w:suff w:val="nothing"/>
      <w:lvlText w:val="%1）"/>
      <w:lvlJc w:val="left"/>
    </w:lvl>
  </w:abstractNum>
  <w:abstractNum w:abstractNumId="1">
    <w:nsid w:val="C467D548"/>
    <w:multiLevelType w:val="singleLevel"/>
    <w:tmpl w:val="C467D548"/>
    <w:lvl w:ilvl="0" w:tentative="0">
      <w:start w:val="6"/>
      <w:numFmt w:val="decimal"/>
      <w:lvlText w:val="%1."/>
      <w:lvlJc w:val="left"/>
      <w:pPr>
        <w:tabs>
          <w:tab w:val="left" w:pos="312"/>
        </w:tabs>
      </w:pPr>
    </w:lvl>
  </w:abstractNum>
  <w:abstractNum w:abstractNumId="2">
    <w:nsid w:val="D7D32491"/>
    <w:multiLevelType w:val="singleLevel"/>
    <w:tmpl w:val="D7D32491"/>
    <w:lvl w:ilvl="0" w:tentative="0">
      <w:start w:val="1"/>
      <w:numFmt w:val="decimal"/>
      <w:suff w:val="nothing"/>
      <w:lvlText w:val="%1）"/>
      <w:lvlJc w:val="left"/>
    </w:lvl>
  </w:abstractNum>
  <w:abstractNum w:abstractNumId="3">
    <w:nsid w:val="E4126A5F"/>
    <w:multiLevelType w:val="singleLevel"/>
    <w:tmpl w:val="E4126A5F"/>
    <w:lvl w:ilvl="0" w:tentative="0">
      <w:start w:val="1"/>
      <w:numFmt w:val="decimal"/>
      <w:suff w:val="nothing"/>
      <w:lvlText w:val="%1）"/>
      <w:lvlJc w:val="left"/>
    </w:lvl>
  </w:abstractNum>
  <w:abstractNum w:abstractNumId="4">
    <w:nsid w:val="FA4C2E6E"/>
    <w:multiLevelType w:val="singleLevel"/>
    <w:tmpl w:val="FA4C2E6E"/>
    <w:lvl w:ilvl="0" w:tentative="0">
      <w:start w:val="1"/>
      <w:numFmt w:val="decimal"/>
      <w:suff w:val="nothing"/>
      <w:lvlText w:val="%1）"/>
      <w:lvlJc w:val="left"/>
    </w:lvl>
  </w:abstractNum>
  <w:abstractNum w:abstractNumId="5">
    <w:nsid w:val="0236B838"/>
    <w:multiLevelType w:val="singleLevel"/>
    <w:tmpl w:val="0236B838"/>
    <w:lvl w:ilvl="0" w:tentative="0">
      <w:start w:val="4"/>
      <w:numFmt w:val="chineseCounting"/>
      <w:suff w:val="space"/>
      <w:lvlText w:val="第%1条"/>
      <w:lvlJc w:val="left"/>
      <w:rPr>
        <w:rFonts w:hint="eastAsia"/>
      </w:rPr>
    </w:lvl>
  </w:abstractNum>
  <w:abstractNum w:abstractNumId="6">
    <w:nsid w:val="34FB2D92"/>
    <w:multiLevelType w:val="singleLevel"/>
    <w:tmpl w:val="34FB2D92"/>
    <w:lvl w:ilvl="0" w:tentative="0">
      <w:start w:val="1"/>
      <w:numFmt w:val="decimal"/>
      <w:suff w:val="nothing"/>
      <w:lvlText w:val="%1）"/>
      <w:lvlJc w:val="left"/>
    </w:lvl>
  </w:abstractNum>
  <w:abstractNum w:abstractNumId="7">
    <w:nsid w:val="553B8298"/>
    <w:multiLevelType w:val="singleLevel"/>
    <w:tmpl w:val="553B8298"/>
    <w:lvl w:ilvl="0" w:tentative="0">
      <w:start w:val="1"/>
      <w:numFmt w:val="decimal"/>
      <w:suff w:val="nothing"/>
      <w:lvlText w:val="%1）"/>
      <w:lvlJc w:val="left"/>
    </w:lvl>
  </w:abstractNum>
  <w:abstractNum w:abstractNumId="8">
    <w:nsid w:val="62EAF786"/>
    <w:multiLevelType w:val="singleLevel"/>
    <w:tmpl w:val="62EAF786"/>
    <w:lvl w:ilvl="0" w:tentative="0">
      <w:start w:val="1"/>
      <w:numFmt w:val="decimal"/>
      <w:suff w:val="nothing"/>
      <w:lvlText w:val="%1）"/>
      <w:lvlJc w:val="left"/>
    </w:lvl>
  </w:abstractNum>
  <w:abstractNum w:abstractNumId="9">
    <w:nsid w:val="64F7D177"/>
    <w:multiLevelType w:val="singleLevel"/>
    <w:tmpl w:val="64F7D177"/>
    <w:lvl w:ilvl="0" w:tentative="0">
      <w:start w:val="1"/>
      <w:numFmt w:val="decimal"/>
      <w:suff w:val="nothing"/>
      <w:lvlText w:val="%1）"/>
      <w:lvlJc w:val="left"/>
    </w:lvl>
  </w:abstractNum>
  <w:num w:numId="1">
    <w:abstractNumId w:val="1"/>
  </w:num>
  <w:num w:numId="2">
    <w:abstractNumId w:val="4"/>
  </w:num>
  <w:num w:numId="3">
    <w:abstractNumId w:val="2"/>
  </w:num>
  <w:num w:numId="4">
    <w:abstractNumId w:val="7"/>
  </w:num>
  <w:num w:numId="5">
    <w:abstractNumId w:val="8"/>
  </w:num>
  <w:num w:numId="6">
    <w:abstractNumId w:val="6"/>
  </w:num>
  <w:num w:numId="7">
    <w:abstractNumId w:val="0"/>
  </w:num>
  <w:num w:numId="8">
    <w:abstractNumId w:val="3"/>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0NGE4MzVjMjg1MDA4YmI5N2ZjZTc5OGNlY2YyMWYifQ=="/>
  </w:docVars>
  <w:rsids>
    <w:rsidRoot w:val="00275272"/>
    <w:rsid w:val="0003412F"/>
    <w:rsid w:val="00037BAA"/>
    <w:rsid w:val="00050579"/>
    <w:rsid w:val="00060172"/>
    <w:rsid w:val="0007095E"/>
    <w:rsid w:val="000C067F"/>
    <w:rsid w:val="000D148A"/>
    <w:rsid w:val="000D38BF"/>
    <w:rsid w:val="001113BD"/>
    <w:rsid w:val="00111C9E"/>
    <w:rsid w:val="001213A7"/>
    <w:rsid w:val="00145857"/>
    <w:rsid w:val="00155444"/>
    <w:rsid w:val="00156194"/>
    <w:rsid w:val="001606E4"/>
    <w:rsid w:val="001832CD"/>
    <w:rsid w:val="001A23AD"/>
    <w:rsid w:val="001C5A02"/>
    <w:rsid w:val="001F7F83"/>
    <w:rsid w:val="00203783"/>
    <w:rsid w:val="002111C8"/>
    <w:rsid w:val="00215193"/>
    <w:rsid w:val="00240968"/>
    <w:rsid w:val="00245DF5"/>
    <w:rsid w:val="00251225"/>
    <w:rsid w:val="002674AD"/>
    <w:rsid w:val="00275272"/>
    <w:rsid w:val="00277A27"/>
    <w:rsid w:val="00292781"/>
    <w:rsid w:val="002A5F9F"/>
    <w:rsid w:val="002C6406"/>
    <w:rsid w:val="002E6C29"/>
    <w:rsid w:val="002F610A"/>
    <w:rsid w:val="002F7AFE"/>
    <w:rsid w:val="0030509C"/>
    <w:rsid w:val="00307DC7"/>
    <w:rsid w:val="0031274E"/>
    <w:rsid w:val="00344D93"/>
    <w:rsid w:val="00347223"/>
    <w:rsid w:val="00376296"/>
    <w:rsid w:val="00377E38"/>
    <w:rsid w:val="0038036A"/>
    <w:rsid w:val="00382D0E"/>
    <w:rsid w:val="003A048F"/>
    <w:rsid w:val="003D2CE2"/>
    <w:rsid w:val="003F5D55"/>
    <w:rsid w:val="003F6A3A"/>
    <w:rsid w:val="00424A53"/>
    <w:rsid w:val="00433CE0"/>
    <w:rsid w:val="00447087"/>
    <w:rsid w:val="00463243"/>
    <w:rsid w:val="00463F76"/>
    <w:rsid w:val="00484C20"/>
    <w:rsid w:val="004864B0"/>
    <w:rsid w:val="00492761"/>
    <w:rsid w:val="00496C6B"/>
    <w:rsid w:val="004C52E8"/>
    <w:rsid w:val="004D7730"/>
    <w:rsid w:val="004E650C"/>
    <w:rsid w:val="004F4BF9"/>
    <w:rsid w:val="004F7FC9"/>
    <w:rsid w:val="005007A4"/>
    <w:rsid w:val="005030F2"/>
    <w:rsid w:val="00514D5E"/>
    <w:rsid w:val="00516129"/>
    <w:rsid w:val="0051614B"/>
    <w:rsid w:val="005331C1"/>
    <w:rsid w:val="00553685"/>
    <w:rsid w:val="0056144A"/>
    <w:rsid w:val="00564013"/>
    <w:rsid w:val="00583F3C"/>
    <w:rsid w:val="00591653"/>
    <w:rsid w:val="0059176F"/>
    <w:rsid w:val="005942BB"/>
    <w:rsid w:val="005A2293"/>
    <w:rsid w:val="005A79B0"/>
    <w:rsid w:val="00620262"/>
    <w:rsid w:val="00622AE0"/>
    <w:rsid w:val="00627AA3"/>
    <w:rsid w:val="006329A3"/>
    <w:rsid w:val="006348FC"/>
    <w:rsid w:val="0066415E"/>
    <w:rsid w:val="006819CE"/>
    <w:rsid w:val="00681C66"/>
    <w:rsid w:val="006841B5"/>
    <w:rsid w:val="006A11FD"/>
    <w:rsid w:val="006A7C44"/>
    <w:rsid w:val="006F4099"/>
    <w:rsid w:val="00700C4A"/>
    <w:rsid w:val="00722523"/>
    <w:rsid w:val="00762BBC"/>
    <w:rsid w:val="00765991"/>
    <w:rsid w:val="00783A53"/>
    <w:rsid w:val="007913AE"/>
    <w:rsid w:val="00793468"/>
    <w:rsid w:val="007C4432"/>
    <w:rsid w:val="007D560A"/>
    <w:rsid w:val="007F264D"/>
    <w:rsid w:val="00815761"/>
    <w:rsid w:val="0082011F"/>
    <w:rsid w:val="00830C7A"/>
    <w:rsid w:val="00831237"/>
    <w:rsid w:val="00833D35"/>
    <w:rsid w:val="0083506C"/>
    <w:rsid w:val="00835964"/>
    <w:rsid w:val="00853823"/>
    <w:rsid w:val="008613DD"/>
    <w:rsid w:val="008637FC"/>
    <w:rsid w:val="0087025D"/>
    <w:rsid w:val="00872997"/>
    <w:rsid w:val="00893A3C"/>
    <w:rsid w:val="008A7193"/>
    <w:rsid w:val="008B729B"/>
    <w:rsid w:val="008D21B6"/>
    <w:rsid w:val="008D7E2F"/>
    <w:rsid w:val="008E1FA3"/>
    <w:rsid w:val="008F1C7A"/>
    <w:rsid w:val="008F1E8F"/>
    <w:rsid w:val="00910C02"/>
    <w:rsid w:val="00925D0A"/>
    <w:rsid w:val="00944203"/>
    <w:rsid w:val="00945216"/>
    <w:rsid w:val="0094696D"/>
    <w:rsid w:val="00967609"/>
    <w:rsid w:val="0097220A"/>
    <w:rsid w:val="00977ED0"/>
    <w:rsid w:val="00994E95"/>
    <w:rsid w:val="00997BE0"/>
    <w:rsid w:val="009A1353"/>
    <w:rsid w:val="009A4EB8"/>
    <w:rsid w:val="009A6A86"/>
    <w:rsid w:val="009B40F6"/>
    <w:rsid w:val="009B5979"/>
    <w:rsid w:val="009C57D3"/>
    <w:rsid w:val="009D6E6D"/>
    <w:rsid w:val="00A7515C"/>
    <w:rsid w:val="00A771BF"/>
    <w:rsid w:val="00A86497"/>
    <w:rsid w:val="00AB118A"/>
    <w:rsid w:val="00B001B0"/>
    <w:rsid w:val="00B22763"/>
    <w:rsid w:val="00B2305B"/>
    <w:rsid w:val="00B23EE7"/>
    <w:rsid w:val="00B46D21"/>
    <w:rsid w:val="00B8407A"/>
    <w:rsid w:val="00B86CA2"/>
    <w:rsid w:val="00BB1BB8"/>
    <w:rsid w:val="00BF275F"/>
    <w:rsid w:val="00C04978"/>
    <w:rsid w:val="00C4385C"/>
    <w:rsid w:val="00C564BD"/>
    <w:rsid w:val="00C57030"/>
    <w:rsid w:val="00C60E28"/>
    <w:rsid w:val="00C617FD"/>
    <w:rsid w:val="00C73827"/>
    <w:rsid w:val="00C768E2"/>
    <w:rsid w:val="00C966E9"/>
    <w:rsid w:val="00C96D63"/>
    <w:rsid w:val="00CB5B93"/>
    <w:rsid w:val="00CC2F78"/>
    <w:rsid w:val="00CD524F"/>
    <w:rsid w:val="00CE6575"/>
    <w:rsid w:val="00CF63A2"/>
    <w:rsid w:val="00D126E4"/>
    <w:rsid w:val="00D25283"/>
    <w:rsid w:val="00D4006C"/>
    <w:rsid w:val="00D40EB4"/>
    <w:rsid w:val="00D4783D"/>
    <w:rsid w:val="00D55166"/>
    <w:rsid w:val="00D743EB"/>
    <w:rsid w:val="00D74754"/>
    <w:rsid w:val="00D92232"/>
    <w:rsid w:val="00DA0CAE"/>
    <w:rsid w:val="00DC234F"/>
    <w:rsid w:val="00DE723A"/>
    <w:rsid w:val="00DF0B55"/>
    <w:rsid w:val="00E30695"/>
    <w:rsid w:val="00E366E1"/>
    <w:rsid w:val="00E402FD"/>
    <w:rsid w:val="00E41A1D"/>
    <w:rsid w:val="00E67791"/>
    <w:rsid w:val="00E71E71"/>
    <w:rsid w:val="00E802F8"/>
    <w:rsid w:val="00EB4AF3"/>
    <w:rsid w:val="00ED17F0"/>
    <w:rsid w:val="00ED7A12"/>
    <w:rsid w:val="00EF27B5"/>
    <w:rsid w:val="00EF2EDA"/>
    <w:rsid w:val="00F06D33"/>
    <w:rsid w:val="00F20162"/>
    <w:rsid w:val="00F30D2F"/>
    <w:rsid w:val="00F359DA"/>
    <w:rsid w:val="00F437BD"/>
    <w:rsid w:val="00F45F2E"/>
    <w:rsid w:val="00F64C5E"/>
    <w:rsid w:val="00F834D7"/>
    <w:rsid w:val="00F93886"/>
    <w:rsid w:val="00FC0EBE"/>
    <w:rsid w:val="00FC5DE8"/>
    <w:rsid w:val="00FF247F"/>
    <w:rsid w:val="00FF648A"/>
    <w:rsid w:val="0292239F"/>
    <w:rsid w:val="03DD19E6"/>
    <w:rsid w:val="03EC20CD"/>
    <w:rsid w:val="046F5927"/>
    <w:rsid w:val="04B04949"/>
    <w:rsid w:val="04BF763A"/>
    <w:rsid w:val="0639602E"/>
    <w:rsid w:val="064424ED"/>
    <w:rsid w:val="08663CCF"/>
    <w:rsid w:val="0A1C012F"/>
    <w:rsid w:val="0BCB0FBA"/>
    <w:rsid w:val="0BCF1C98"/>
    <w:rsid w:val="0C2A6B26"/>
    <w:rsid w:val="0E19425F"/>
    <w:rsid w:val="0E2F2F33"/>
    <w:rsid w:val="0F185709"/>
    <w:rsid w:val="0FC66979"/>
    <w:rsid w:val="1030763E"/>
    <w:rsid w:val="10315B19"/>
    <w:rsid w:val="107472AF"/>
    <w:rsid w:val="10BA0B1B"/>
    <w:rsid w:val="112D51D0"/>
    <w:rsid w:val="11A227BD"/>
    <w:rsid w:val="1236538E"/>
    <w:rsid w:val="12632674"/>
    <w:rsid w:val="136E0BA9"/>
    <w:rsid w:val="13B642FE"/>
    <w:rsid w:val="140D3B2D"/>
    <w:rsid w:val="157B622D"/>
    <w:rsid w:val="157E1985"/>
    <w:rsid w:val="16043F25"/>
    <w:rsid w:val="162B3F8D"/>
    <w:rsid w:val="16C74C21"/>
    <w:rsid w:val="17E81190"/>
    <w:rsid w:val="18143040"/>
    <w:rsid w:val="18673A70"/>
    <w:rsid w:val="18FF4AE5"/>
    <w:rsid w:val="192D3F36"/>
    <w:rsid w:val="199E1010"/>
    <w:rsid w:val="19D0740C"/>
    <w:rsid w:val="1A1D7BEA"/>
    <w:rsid w:val="1AB34740"/>
    <w:rsid w:val="1B442947"/>
    <w:rsid w:val="1B521E67"/>
    <w:rsid w:val="1CF65BA9"/>
    <w:rsid w:val="1E9031D7"/>
    <w:rsid w:val="1F8E4A2D"/>
    <w:rsid w:val="20375CB1"/>
    <w:rsid w:val="21091F11"/>
    <w:rsid w:val="21C1459A"/>
    <w:rsid w:val="22837AA1"/>
    <w:rsid w:val="23586A43"/>
    <w:rsid w:val="235D2C72"/>
    <w:rsid w:val="238F0EF7"/>
    <w:rsid w:val="24D80777"/>
    <w:rsid w:val="24FA2E5F"/>
    <w:rsid w:val="250C2C05"/>
    <w:rsid w:val="256769F7"/>
    <w:rsid w:val="260357AC"/>
    <w:rsid w:val="260E10A9"/>
    <w:rsid w:val="26681488"/>
    <w:rsid w:val="276D7AF2"/>
    <w:rsid w:val="2909285F"/>
    <w:rsid w:val="294856D2"/>
    <w:rsid w:val="2A2612E6"/>
    <w:rsid w:val="2A89462A"/>
    <w:rsid w:val="2B3461E3"/>
    <w:rsid w:val="2C0A2349"/>
    <w:rsid w:val="2D2B5B5B"/>
    <w:rsid w:val="2ED65471"/>
    <w:rsid w:val="2F326AD7"/>
    <w:rsid w:val="2F465A5E"/>
    <w:rsid w:val="2F9E29A6"/>
    <w:rsid w:val="302A20B8"/>
    <w:rsid w:val="30477E0F"/>
    <w:rsid w:val="304E5FD7"/>
    <w:rsid w:val="31344D88"/>
    <w:rsid w:val="331F5318"/>
    <w:rsid w:val="33E3647C"/>
    <w:rsid w:val="35585710"/>
    <w:rsid w:val="359311A4"/>
    <w:rsid w:val="35B71D41"/>
    <w:rsid w:val="35D94676"/>
    <w:rsid w:val="35DF3187"/>
    <w:rsid w:val="35F46500"/>
    <w:rsid w:val="36CD6B13"/>
    <w:rsid w:val="36E4530C"/>
    <w:rsid w:val="37294C63"/>
    <w:rsid w:val="37667C65"/>
    <w:rsid w:val="3799357A"/>
    <w:rsid w:val="37C40EF2"/>
    <w:rsid w:val="380B6117"/>
    <w:rsid w:val="3857135C"/>
    <w:rsid w:val="38571D22"/>
    <w:rsid w:val="386F7A62"/>
    <w:rsid w:val="38C31508"/>
    <w:rsid w:val="39287E20"/>
    <w:rsid w:val="39AD7E20"/>
    <w:rsid w:val="3A074729"/>
    <w:rsid w:val="3A8F650A"/>
    <w:rsid w:val="3B711BE8"/>
    <w:rsid w:val="3B820DE6"/>
    <w:rsid w:val="3C9614E1"/>
    <w:rsid w:val="3CE74ED1"/>
    <w:rsid w:val="3F155DE5"/>
    <w:rsid w:val="3FA53B34"/>
    <w:rsid w:val="40064284"/>
    <w:rsid w:val="407D0E43"/>
    <w:rsid w:val="419C43AB"/>
    <w:rsid w:val="43E762FB"/>
    <w:rsid w:val="45186C85"/>
    <w:rsid w:val="45463412"/>
    <w:rsid w:val="46017756"/>
    <w:rsid w:val="461524DD"/>
    <w:rsid w:val="481B63B6"/>
    <w:rsid w:val="482A5A21"/>
    <w:rsid w:val="484259DD"/>
    <w:rsid w:val="4899389B"/>
    <w:rsid w:val="492823CB"/>
    <w:rsid w:val="49C66341"/>
    <w:rsid w:val="49DE7B2F"/>
    <w:rsid w:val="4AE20F59"/>
    <w:rsid w:val="4B1D3296"/>
    <w:rsid w:val="4B726781"/>
    <w:rsid w:val="4BB962A5"/>
    <w:rsid w:val="4EAD7AD0"/>
    <w:rsid w:val="4F181A98"/>
    <w:rsid w:val="4F28081F"/>
    <w:rsid w:val="4F3501F1"/>
    <w:rsid w:val="506B3DC0"/>
    <w:rsid w:val="507369C3"/>
    <w:rsid w:val="50D74B26"/>
    <w:rsid w:val="527C3CA5"/>
    <w:rsid w:val="539354E6"/>
    <w:rsid w:val="53DC38BE"/>
    <w:rsid w:val="552129FB"/>
    <w:rsid w:val="55902273"/>
    <w:rsid w:val="55A42C27"/>
    <w:rsid w:val="57353AC5"/>
    <w:rsid w:val="57802226"/>
    <w:rsid w:val="57DE4279"/>
    <w:rsid w:val="580A03E2"/>
    <w:rsid w:val="59795A6E"/>
    <w:rsid w:val="5A8150B8"/>
    <w:rsid w:val="5A90452E"/>
    <w:rsid w:val="5ACF14DF"/>
    <w:rsid w:val="5AFF3461"/>
    <w:rsid w:val="5B0E18F6"/>
    <w:rsid w:val="5B6B6D49"/>
    <w:rsid w:val="5BBA3F93"/>
    <w:rsid w:val="5F473659"/>
    <w:rsid w:val="60863855"/>
    <w:rsid w:val="60995CEB"/>
    <w:rsid w:val="61554981"/>
    <w:rsid w:val="61F112C6"/>
    <w:rsid w:val="62542767"/>
    <w:rsid w:val="63141845"/>
    <w:rsid w:val="638C2BC2"/>
    <w:rsid w:val="63A159FD"/>
    <w:rsid w:val="63B115E1"/>
    <w:rsid w:val="63C96C0E"/>
    <w:rsid w:val="63F34B3F"/>
    <w:rsid w:val="63F518A5"/>
    <w:rsid w:val="64613E33"/>
    <w:rsid w:val="6613212F"/>
    <w:rsid w:val="66A96769"/>
    <w:rsid w:val="67944CB0"/>
    <w:rsid w:val="67E426CD"/>
    <w:rsid w:val="68665DBA"/>
    <w:rsid w:val="68B435F2"/>
    <w:rsid w:val="68BD0654"/>
    <w:rsid w:val="69096E15"/>
    <w:rsid w:val="6A6609F6"/>
    <w:rsid w:val="6AEA0757"/>
    <w:rsid w:val="6B4E1FD9"/>
    <w:rsid w:val="6D7D6EC2"/>
    <w:rsid w:val="6DFB0AA2"/>
    <w:rsid w:val="6E14753F"/>
    <w:rsid w:val="6F821344"/>
    <w:rsid w:val="6FB34C34"/>
    <w:rsid w:val="6FCD36D6"/>
    <w:rsid w:val="6FDA2787"/>
    <w:rsid w:val="6FEC67AE"/>
    <w:rsid w:val="711917C5"/>
    <w:rsid w:val="71444CDF"/>
    <w:rsid w:val="7276691F"/>
    <w:rsid w:val="73FB73CE"/>
    <w:rsid w:val="74DC3900"/>
    <w:rsid w:val="750D1087"/>
    <w:rsid w:val="757E4A86"/>
    <w:rsid w:val="75F07258"/>
    <w:rsid w:val="773F5613"/>
    <w:rsid w:val="77F84181"/>
    <w:rsid w:val="780354B1"/>
    <w:rsid w:val="781400F4"/>
    <w:rsid w:val="78F3671A"/>
    <w:rsid w:val="792B631C"/>
    <w:rsid w:val="79821680"/>
    <w:rsid w:val="79E24222"/>
    <w:rsid w:val="7A4A1F0A"/>
    <w:rsid w:val="7DEF68E1"/>
    <w:rsid w:val="7DF05160"/>
    <w:rsid w:val="7DF514EE"/>
    <w:rsid w:val="7E35474D"/>
    <w:rsid w:val="7F0B6060"/>
    <w:rsid w:val="7F8E3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iPriority="0" w:semiHidden="0" w:name="Date"/>
    <w:lsdException w:qFormat="1"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iPriority="0" w:semiHidden="0" w:name="Body Text 3"/>
    <w:lsdException w:qFormat="1" w:uiPriority="99" w:semiHidden="0" w:name="Body Text Indent 2"/>
    <w:lsdException w:qFormat="1" w:uiPriority="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autoRedefine/>
    <w:qFormat/>
    <w:uiPriority w:val="0"/>
    <w:pPr>
      <w:keepNext/>
      <w:keepLines/>
      <w:spacing w:before="340" w:after="330" w:line="578" w:lineRule="auto"/>
      <w:outlineLvl w:val="0"/>
    </w:pPr>
    <w:rPr>
      <w:b/>
      <w:bCs/>
      <w:kern w:val="44"/>
      <w:sz w:val="44"/>
      <w:szCs w:val="44"/>
    </w:rPr>
  </w:style>
  <w:style w:type="paragraph" w:styleId="3">
    <w:name w:val="heading 2"/>
    <w:basedOn w:val="1"/>
    <w:link w:val="46"/>
    <w:autoRedefine/>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47"/>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8"/>
    <w:autoRedefine/>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9"/>
    <w:autoRedefine/>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50"/>
    <w:autoRedefine/>
    <w:unhideWhenUsed/>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1"/>
    <w:autoRedefine/>
    <w:unhideWhenUsed/>
    <w:qFormat/>
    <w:uiPriority w:val="0"/>
    <w:pPr>
      <w:keepNext/>
      <w:keepLines/>
      <w:spacing w:before="240" w:after="64" w:line="320" w:lineRule="auto"/>
      <w:outlineLvl w:val="6"/>
    </w:pPr>
    <w:rPr>
      <w:b/>
      <w:bCs/>
      <w:sz w:val="24"/>
    </w:rPr>
  </w:style>
  <w:style w:type="paragraph" w:styleId="9">
    <w:name w:val="heading 8"/>
    <w:basedOn w:val="1"/>
    <w:next w:val="1"/>
    <w:link w:val="52"/>
    <w:autoRedefine/>
    <w:semiHidden/>
    <w:unhideWhenUsed/>
    <w:qFormat/>
    <w:uiPriority w:val="0"/>
    <w:pPr>
      <w:keepNext/>
      <w:keepLines/>
      <w:widowControl/>
      <w:tabs>
        <w:tab w:val="left" w:pos="1440"/>
      </w:tabs>
      <w:spacing w:before="240" w:after="64" w:line="316" w:lineRule="auto"/>
      <w:ind w:left="1440" w:hanging="1440"/>
      <w:jc w:val="left"/>
      <w:outlineLvl w:val="7"/>
    </w:pPr>
    <w:rPr>
      <w:rFonts w:ascii="Arial" w:hAnsi="Arial" w:eastAsia="黑体"/>
      <w:kern w:val="0"/>
      <w:sz w:val="24"/>
    </w:rPr>
  </w:style>
  <w:style w:type="paragraph" w:styleId="10">
    <w:name w:val="heading 9"/>
    <w:basedOn w:val="1"/>
    <w:next w:val="1"/>
    <w:link w:val="53"/>
    <w:autoRedefine/>
    <w:semiHidden/>
    <w:unhideWhenUsed/>
    <w:qFormat/>
    <w:uiPriority w:val="0"/>
    <w:pPr>
      <w:keepNext/>
      <w:keepLines/>
      <w:widowControl/>
      <w:tabs>
        <w:tab w:val="left" w:pos="1584"/>
      </w:tabs>
      <w:spacing w:before="240" w:after="64" w:line="316" w:lineRule="auto"/>
      <w:ind w:left="1584" w:hanging="1584"/>
      <w:jc w:val="left"/>
      <w:outlineLvl w:val="8"/>
    </w:pPr>
    <w:rPr>
      <w:rFonts w:ascii="Arial" w:hAnsi="Arial" w:eastAsia="黑体"/>
      <w:kern w:val="0"/>
      <w:szCs w:val="21"/>
    </w:rPr>
  </w:style>
  <w:style w:type="character" w:default="1" w:styleId="37">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11">
    <w:name w:val="Normal Indent"/>
    <w:basedOn w:val="1"/>
    <w:link w:val="66"/>
    <w:autoRedefine/>
    <w:qFormat/>
    <w:uiPriority w:val="0"/>
    <w:pPr>
      <w:ind w:firstLine="420"/>
    </w:pPr>
    <w:rPr>
      <w:kern w:val="0"/>
      <w:sz w:val="20"/>
      <w:szCs w:val="20"/>
      <w:lang w:val="zh-CN"/>
    </w:rPr>
  </w:style>
  <w:style w:type="paragraph" w:styleId="12">
    <w:name w:val="Document Map"/>
    <w:basedOn w:val="1"/>
    <w:link w:val="141"/>
    <w:autoRedefine/>
    <w:qFormat/>
    <w:uiPriority w:val="0"/>
    <w:pPr>
      <w:shd w:val="clear" w:color="auto" w:fill="000080"/>
    </w:pPr>
    <w:rPr>
      <w:rFonts w:ascii="宋体" w:hAnsi="宋体"/>
      <w:sz w:val="24"/>
    </w:rPr>
  </w:style>
  <w:style w:type="paragraph" w:styleId="13">
    <w:name w:val="annotation text"/>
    <w:basedOn w:val="1"/>
    <w:link w:val="127"/>
    <w:autoRedefine/>
    <w:unhideWhenUsed/>
    <w:qFormat/>
    <w:uiPriority w:val="0"/>
    <w:pPr>
      <w:jc w:val="left"/>
    </w:pPr>
  </w:style>
  <w:style w:type="paragraph" w:styleId="14">
    <w:name w:val="Body Text 3"/>
    <w:basedOn w:val="1"/>
    <w:link w:val="138"/>
    <w:autoRedefine/>
    <w:unhideWhenUsed/>
    <w:qFormat/>
    <w:uiPriority w:val="0"/>
    <w:pPr>
      <w:topLinePunct/>
      <w:spacing w:line="400" w:lineRule="exact"/>
    </w:pPr>
    <w:rPr>
      <w:rFonts w:cs="黑体" w:asciiTheme="minorEastAsia" w:hAnsiTheme="minorEastAsia" w:eastAsiaTheme="minorEastAsia"/>
      <w:b/>
      <w:szCs w:val="21"/>
    </w:rPr>
  </w:style>
  <w:style w:type="paragraph" w:styleId="15">
    <w:name w:val="Body Text"/>
    <w:basedOn w:val="1"/>
    <w:link w:val="102"/>
    <w:autoRedefine/>
    <w:unhideWhenUsed/>
    <w:qFormat/>
    <w:uiPriority w:val="0"/>
    <w:pPr>
      <w:spacing w:after="120" w:line="360" w:lineRule="auto"/>
    </w:pPr>
    <w:rPr>
      <w:rFonts w:cs="黑体"/>
    </w:rPr>
  </w:style>
  <w:style w:type="paragraph" w:styleId="16">
    <w:name w:val="Body Text Indent"/>
    <w:basedOn w:val="1"/>
    <w:next w:val="17"/>
    <w:link w:val="94"/>
    <w:autoRedefine/>
    <w:unhideWhenUsed/>
    <w:qFormat/>
    <w:uiPriority w:val="0"/>
    <w:pPr>
      <w:spacing w:after="120"/>
      <w:ind w:left="420" w:leftChars="200"/>
    </w:pPr>
  </w:style>
  <w:style w:type="paragraph" w:styleId="17">
    <w:name w:val="envelope return"/>
    <w:basedOn w:val="1"/>
    <w:autoRedefine/>
    <w:qFormat/>
    <w:uiPriority w:val="0"/>
    <w:pPr>
      <w:snapToGrid w:val="0"/>
    </w:pPr>
    <w:rPr>
      <w:rFonts w:ascii="Arial" w:hAnsi="Arial"/>
    </w:rPr>
  </w:style>
  <w:style w:type="paragraph" w:styleId="18">
    <w:name w:val="toc 3"/>
    <w:basedOn w:val="1"/>
    <w:next w:val="1"/>
    <w:autoRedefine/>
    <w:unhideWhenUsed/>
    <w:qFormat/>
    <w:uiPriority w:val="39"/>
    <w:pPr>
      <w:ind w:left="420"/>
      <w:jc w:val="left"/>
    </w:pPr>
    <w:rPr>
      <w:i/>
      <w:iCs/>
      <w:sz w:val="20"/>
      <w:szCs w:val="20"/>
    </w:rPr>
  </w:style>
  <w:style w:type="paragraph" w:styleId="19">
    <w:name w:val="Plain Text"/>
    <w:basedOn w:val="1"/>
    <w:link w:val="95"/>
    <w:autoRedefine/>
    <w:unhideWhenUsed/>
    <w:qFormat/>
    <w:uiPriority w:val="0"/>
    <w:pPr>
      <w:spacing w:line="360" w:lineRule="auto"/>
    </w:pPr>
    <w:rPr>
      <w:rFonts w:ascii="Courier New" w:hAnsi="Courier New" w:cs="黑体"/>
      <w:szCs w:val="22"/>
    </w:rPr>
  </w:style>
  <w:style w:type="paragraph" w:styleId="20">
    <w:name w:val="Date"/>
    <w:basedOn w:val="1"/>
    <w:next w:val="1"/>
    <w:link w:val="133"/>
    <w:autoRedefine/>
    <w:unhideWhenUsed/>
    <w:qFormat/>
    <w:uiPriority w:val="0"/>
    <w:pPr>
      <w:spacing w:before="100" w:beforeAutospacing="1" w:after="100" w:afterAutospacing="1"/>
      <w:ind w:left="100" w:leftChars="2500"/>
    </w:pPr>
    <w:rPr>
      <w:rFonts w:cs="宋体"/>
      <w:kern w:val="0"/>
      <w:sz w:val="20"/>
      <w:szCs w:val="20"/>
      <w:u w:val="words"/>
    </w:rPr>
  </w:style>
  <w:style w:type="paragraph" w:styleId="21">
    <w:name w:val="Body Text Indent 2"/>
    <w:basedOn w:val="1"/>
    <w:link w:val="97"/>
    <w:autoRedefine/>
    <w:unhideWhenUsed/>
    <w:qFormat/>
    <w:uiPriority w:val="99"/>
    <w:pPr>
      <w:spacing w:after="120" w:line="480" w:lineRule="auto"/>
      <w:ind w:left="420" w:leftChars="200"/>
    </w:pPr>
    <w:rPr>
      <w:kern w:val="0"/>
      <w:sz w:val="20"/>
    </w:rPr>
  </w:style>
  <w:style w:type="paragraph" w:styleId="22">
    <w:name w:val="Balloon Text"/>
    <w:basedOn w:val="1"/>
    <w:link w:val="145"/>
    <w:autoRedefine/>
    <w:unhideWhenUsed/>
    <w:qFormat/>
    <w:uiPriority w:val="0"/>
    <w:rPr>
      <w:sz w:val="18"/>
      <w:szCs w:val="18"/>
    </w:rPr>
  </w:style>
  <w:style w:type="paragraph" w:styleId="23">
    <w:name w:val="footer"/>
    <w:basedOn w:val="1"/>
    <w:link w:val="44"/>
    <w:autoRedefine/>
    <w:unhideWhenUsed/>
    <w:qFormat/>
    <w:uiPriority w:val="99"/>
    <w:pPr>
      <w:tabs>
        <w:tab w:val="center" w:pos="4153"/>
        <w:tab w:val="right" w:pos="8306"/>
      </w:tabs>
      <w:snapToGrid w:val="0"/>
      <w:jc w:val="left"/>
    </w:pPr>
    <w:rPr>
      <w:sz w:val="18"/>
      <w:szCs w:val="18"/>
    </w:rPr>
  </w:style>
  <w:style w:type="paragraph" w:styleId="24">
    <w:name w:val="header"/>
    <w:basedOn w:val="1"/>
    <w:link w:val="4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Subtitle"/>
    <w:basedOn w:val="1"/>
    <w:next w:val="1"/>
    <w:link w:val="131"/>
    <w:autoRedefine/>
    <w:qFormat/>
    <w:uiPriority w:val="0"/>
    <w:pPr>
      <w:spacing w:before="240" w:after="60" w:line="312" w:lineRule="auto"/>
      <w:jc w:val="center"/>
      <w:outlineLvl w:val="1"/>
    </w:pPr>
    <w:rPr>
      <w:rFonts w:ascii="Cambria" w:hAnsi="Cambria"/>
      <w:b/>
      <w:bCs/>
      <w:kern w:val="28"/>
      <w:sz w:val="32"/>
      <w:szCs w:val="32"/>
    </w:rPr>
  </w:style>
  <w:style w:type="paragraph" w:styleId="26">
    <w:name w:val="Body Text Indent 3"/>
    <w:basedOn w:val="1"/>
    <w:link w:val="139"/>
    <w:autoRedefine/>
    <w:semiHidden/>
    <w:unhideWhenUsed/>
    <w:qFormat/>
    <w:uiPriority w:val="0"/>
    <w:pPr>
      <w:spacing w:after="120"/>
      <w:ind w:left="420" w:leftChars="200"/>
    </w:pPr>
    <w:rPr>
      <w:rFonts w:cs="黑体"/>
      <w:sz w:val="16"/>
      <w:szCs w:val="16"/>
    </w:rPr>
  </w:style>
  <w:style w:type="paragraph" w:styleId="27">
    <w:name w:val="Body Text 2"/>
    <w:basedOn w:val="1"/>
    <w:link w:val="136"/>
    <w:autoRedefine/>
    <w:qFormat/>
    <w:uiPriority w:val="0"/>
    <w:rPr>
      <w:sz w:val="24"/>
      <w:szCs w:val="20"/>
    </w:rPr>
  </w:style>
  <w:style w:type="paragraph" w:styleId="28">
    <w:name w:val="Message Header"/>
    <w:basedOn w:val="1"/>
    <w:next w:val="29"/>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Cambria" w:hAnsi="Cambria"/>
      <w:sz w:val="24"/>
    </w:rPr>
  </w:style>
  <w:style w:type="paragraph" w:customStyle="1" w:styleId="29">
    <w:name w:val="文档正文"/>
    <w:basedOn w:val="1"/>
    <w:next w:val="30"/>
    <w:autoRedefine/>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30">
    <w:name w:val="样式1"/>
    <w:basedOn w:val="18"/>
    <w:next w:val="29"/>
    <w:autoRedefine/>
    <w:qFormat/>
    <w:uiPriority w:val="0"/>
    <w:pPr>
      <w:spacing w:before="120" w:after="120" w:line="300" w:lineRule="auto"/>
    </w:pPr>
    <w:rPr>
      <w:rFonts w:ascii="Arial Unicode MS" w:hAnsi="Arial Unicode MS"/>
      <w:b/>
      <w:sz w:val="24"/>
    </w:rPr>
  </w:style>
  <w:style w:type="paragraph" w:styleId="31">
    <w:name w:val="Normal (Web)"/>
    <w:basedOn w:val="1"/>
    <w:autoRedefine/>
    <w:unhideWhenUsed/>
    <w:qFormat/>
    <w:uiPriority w:val="99"/>
    <w:pPr>
      <w:widowControl/>
      <w:spacing w:before="100" w:beforeAutospacing="1" w:after="100" w:afterAutospacing="1" w:line="360" w:lineRule="auto"/>
      <w:jc w:val="left"/>
    </w:pPr>
    <w:rPr>
      <w:rFonts w:ascii="宋体" w:hAnsi="宋体" w:cs="宋体"/>
      <w:kern w:val="0"/>
      <w:sz w:val="24"/>
    </w:rPr>
  </w:style>
  <w:style w:type="paragraph" w:styleId="32">
    <w:name w:val="Title"/>
    <w:basedOn w:val="1"/>
    <w:next w:val="1"/>
    <w:link w:val="129"/>
    <w:autoRedefine/>
    <w:qFormat/>
    <w:uiPriority w:val="10"/>
    <w:pPr>
      <w:spacing w:before="240" w:after="60" w:line="360" w:lineRule="auto"/>
      <w:jc w:val="center"/>
      <w:outlineLvl w:val="0"/>
    </w:pPr>
    <w:rPr>
      <w:rFonts w:ascii="Cambria" w:hAnsi="Cambria"/>
      <w:b/>
      <w:bCs/>
      <w:sz w:val="32"/>
      <w:szCs w:val="32"/>
    </w:rPr>
  </w:style>
  <w:style w:type="paragraph" w:styleId="33">
    <w:name w:val="annotation subject"/>
    <w:basedOn w:val="13"/>
    <w:next w:val="13"/>
    <w:link w:val="143"/>
    <w:autoRedefine/>
    <w:unhideWhenUsed/>
    <w:qFormat/>
    <w:uiPriority w:val="0"/>
    <w:pPr>
      <w:overflowPunct w:val="0"/>
      <w:adjustRightInd w:val="0"/>
      <w:spacing w:line="500" w:lineRule="exact"/>
      <w:ind w:firstLine="560" w:firstLineChars="200"/>
    </w:pPr>
    <w:rPr>
      <w:rFonts w:eastAsia="仿宋_GB2312"/>
      <w:b/>
      <w:bCs/>
      <w:kern w:val="28"/>
      <w:sz w:val="28"/>
      <w:szCs w:val="28"/>
    </w:rPr>
  </w:style>
  <w:style w:type="paragraph" w:styleId="34">
    <w:name w:val="Body Text First Indent"/>
    <w:basedOn w:val="15"/>
    <w:next w:val="1"/>
    <w:link w:val="104"/>
    <w:autoRedefine/>
    <w:unhideWhenUsed/>
    <w:qFormat/>
    <w:uiPriority w:val="0"/>
    <w:pPr>
      <w:spacing w:line="240" w:lineRule="auto"/>
      <w:ind w:firstLine="420" w:firstLineChars="100"/>
    </w:pPr>
    <w:rPr>
      <w:rFonts w:asciiTheme="minorHAnsi" w:hAnsiTheme="minorHAnsi" w:eastAsiaTheme="minorEastAsia" w:cstheme="minorBidi"/>
      <w:szCs w:val="22"/>
    </w:rPr>
  </w:style>
  <w:style w:type="paragraph" w:styleId="35">
    <w:name w:val="Body Text First Indent 2"/>
    <w:basedOn w:val="16"/>
    <w:next w:val="1"/>
    <w:link w:val="135"/>
    <w:autoRedefine/>
    <w:unhideWhenUsed/>
    <w:qFormat/>
    <w:uiPriority w:val="99"/>
    <w:pPr>
      <w:spacing w:line="360" w:lineRule="auto"/>
      <w:ind w:firstLine="420" w:firstLineChars="200"/>
    </w:pPr>
  </w:style>
  <w:style w:type="character" w:styleId="38">
    <w:name w:val="Strong"/>
    <w:autoRedefine/>
    <w:qFormat/>
    <w:uiPriority w:val="0"/>
    <w:rPr>
      <w:rFonts w:hint="eastAsia" w:ascii="仿宋_GB2312" w:eastAsia="仿宋_GB2312"/>
      <w:b/>
      <w:bCs/>
      <w:kern w:val="2"/>
      <w:sz w:val="28"/>
      <w:szCs w:val="24"/>
      <w:lang w:val="en-US" w:eastAsia="zh-CN" w:bidi="ar-SA"/>
    </w:rPr>
  </w:style>
  <w:style w:type="character" w:styleId="39">
    <w:name w:val="page number"/>
    <w:autoRedefine/>
    <w:qFormat/>
    <w:uiPriority w:val="0"/>
  </w:style>
  <w:style w:type="character" w:styleId="40">
    <w:name w:val="FollowedHyperlink"/>
    <w:basedOn w:val="37"/>
    <w:autoRedefine/>
    <w:semiHidden/>
    <w:unhideWhenUsed/>
    <w:qFormat/>
    <w:uiPriority w:val="99"/>
    <w:rPr>
      <w:color w:val="800080"/>
      <w:u w:val="none"/>
    </w:rPr>
  </w:style>
  <w:style w:type="character" w:styleId="41">
    <w:name w:val="Hyperlink"/>
    <w:autoRedefine/>
    <w:unhideWhenUsed/>
    <w:qFormat/>
    <w:uiPriority w:val="99"/>
    <w:rPr>
      <w:color w:val="333333"/>
      <w:sz w:val="18"/>
      <w:szCs w:val="18"/>
      <w:u w:val="none"/>
    </w:rPr>
  </w:style>
  <w:style w:type="character" w:styleId="42">
    <w:name w:val="annotation reference"/>
    <w:autoRedefine/>
    <w:qFormat/>
    <w:uiPriority w:val="0"/>
    <w:rPr>
      <w:sz w:val="21"/>
      <w:szCs w:val="21"/>
    </w:rPr>
  </w:style>
  <w:style w:type="character" w:customStyle="1" w:styleId="43">
    <w:name w:val="页眉 Char"/>
    <w:basedOn w:val="37"/>
    <w:link w:val="24"/>
    <w:autoRedefine/>
    <w:qFormat/>
    <w:uiPriority w:val="99"/>
    <w:rPr>
      <w:sz w:val="18"/>
      <w:szCs w:val="18"/>
    </w:rPr>
  </w:style>
  <w:style w:type="character" w:customStyle="1" w:styleId="44">
    <w:name w:val="页脚 Char"/>
    <w:basedOn w:val="37"/>
    <w:link w:val="23"/>
    <w:autoRedefine/>
    <w:qFormat/>
    <w:uiPriority w:val="99"/>
    <w:rPr>
      <w:sz w:val="18"/>
      <w:szCs w:val="18"/>
    </w:rPr>
  </w:style>
  <w:style w:type="character" w:customStyle="1" w:styleId="45">
    <w:name w:val="标题 1 Char"/>
    <w:basedOn w:val="37"/>
    <w:link w:val="2"/>
    <w:autoRedefine/>
    <w:qFormat/>
    <w:uiPriority w:val="0"/>
    <w:rPr>
      <w:rFonts w:ascii="Times New Roman" w:hAnsi="Times New Roman" w:eastAsia="宋体" w:cs="Times New Roman"/>
      <w:b/>
      <w:bCs/>
      <w:kern w:val="44"/>
      <w:sz w:val="44"/>
      <w:szCs w:val="44"/>
    </w:rPr>
  </w:style>
  <w:style w:type="character" w:customStyle="1" w:styleId="46">
    <w:name w:val="标题 2 Char"/>
    <w:basedOn w:val="37"/>
    <w:link w:val="3"/>
    <w:autoRedefine/>
    <w:qFormat/>
    <w:uiPriority w:val="0"/>
    <w:rPr>
      <w:rFonts w:ascii="Cambria" w:hAnsi="Cambria" w:eastAsia="宋体" w:cs="Times New Roman"/>
      <w:b/>
      <w:bCs/>
      <w:sz w:val="32"/>
      <w:szCs w:val="32"/>
    </w:rPr>
  </w:style>
  <w:style w:type="character" w:customStyle="1" w:styleId="47">
    <w:name w:val="标题 3 Char"/>
    <w:basedOn w:val="37"/>
    <w:link w:val="4"/>
    <w:autoRedefine/>
    <w:qFormat/>
    <w:uiPriority w:val="0"/>
    <w:rPr>
      <w:rFonts w:ascii="Times New Roman" w:hAnsi="Times New Roman" w:eastAsia="宋体" w:cs="Times New Roman"/>
      <w:b/>
      <w:bCs/>
      <w:sz w:val="32"/>
      <w:szCs w:val="32"/>
    </w:rPr>
  </w:style>
  <w:style w:type="character" w:customStyle="1" w:styleId="48">
    <w:name w:val="标题 4 Char"/>
    <w:basedOn w:val="37"/>
    <w:link w:val="5"/>
    <w:autoRedefine/>
    <w:qFormat/>
    <w:uiPriority w:val="0"/>
    <w:rPr>
      <w:rFonts w:ascii="Cambria" w:hAnsi="Cambria" w:eastAsia="宋体" w:cs="Times New Roman"/>
      <w:b/>
      <w:bCs/>
      <w:sz w:val="28"/>
      <w:szCs w:val="28"/>
    </w:rPr>
  </w:style>
  <w:style w:type="character" w:customStyle="1" w:styleId="49">
    <w:name w:val="标题 5 Char"/>
    <w:basedOn w:val="37"/>
    <w:link w:val="6"/>
    <w:autoRedefine/>
    <w:qFormat/>
    <w:uiPriority w:val="0"/>
    <w:rPr>
      <w:rFonts w:ascii="Times New Roman" w:hAnsi="Times New Roman" w:eastAsia="宋体" w:cs="Times New Roman"/>
      <w:b/>
      <w:bCs/>
      <w:sz w:val="28"/>
      <w:szCs w:val="28"/>
    </w:rPr>
  </w:style>
  <w:style w:type="character" w:customStyle="1" w:styleId="50">
    <w:name w:val="标题 6 Char"/>
    <w:basedOn w:val="37"/>
    <w:link w:val="7"/>
    <w:autoRedefine/>
    <w:qFormat/>
    <w:uiPriority w:val="0"/>
    <w:rPr>
      <w:rFonts w:ascii="Cambria" w:hAnsi="Cambria" w:eastAsia="宋体" w:cs="Times New Roman"/>
      <w:b/>
      <w:bCs/>
      <w:sz w:val="24"/>
      <w:szCs w:val="24"/>
    </w:rPr>
  </w:style>
  <w:style w:type="character" w:customStyle="1" w:styleId="51">
    <w:name w:val="标题 7 Char"/>
    <w:basedOn w:val="37"/>
    <w:link w:val="8"/>
    <w:autoRedefine/>
    <w:qFormat/>
    <w:uiPriority w:val="0"/>
    <w:rPr>
      <w:rFonts w:ascii="Times New Roman" w:hAnsi="Times New Roman" w:eastAsia="宋体" w:cs="Times New Roman"/>
      <w:b/>
      <w:bCs/>
      <w:sz w:val="24"/>
      <w:szCs w:val="24"/>
    </w:rPr>
  </w:style>
  <w:style w:type="character" w:customStyle="1" w:styleId="52">
    <w:name w:val="标题 8 Char"/>
    <w:basedOn w:val="37"/>
    <w:link w:val="9"/>
    <w:autoRedefine/>
    <w:semiHidden/>
    <w:qFormat/>
    <w:uiPriority w:val="0"/>
    <w:rPr>
      <w:rFonts w:ascii="Arial" w:hAnsi="Arial" w:eastAsia="黑体" w:cs="Times New Roman"/>
      <w:kern w:val="0"/>
      <w:sz w:val="24"/>
      <w:szCs w:val="24"/>
    </w:rPr>
  </w:style>
  <w:style w:type="character" w:customStyle="1" w:styleId="53">
    <w:name w:val="标题 9 Char"/>
    <w:basedOn w:val="37"/>
    <w:link w:val="10"/>
    <w:autoRedefine/>
    <w:semiHidden/>
    <w:qFormat/>
    <w:uiPriority w:val="0"/>
    <w:rPr>
      <w:rFonts w:ascii="Arial" w:hAnsi="Arial" w:eastAsia="黑体" w:cs="Times New Roman"/>
      <w:kern w:val="0"/>
      <w:szCs w:val="21"/>
    </w:rPr>
  </w:style>
  <w:style w:type="paragraph" w:customStyle="1" w:styleId="54">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56">
    <w:name w:val="MSG_EN_FONT_STYLE_NAME_TEMPLATE_ROLE_NUMBER MSG_EN_FONT_STYLE_NAME_BY_ROLE_TEXT 31"/>
    <w:basedOn w:val="1"/>
    <w:link w:val="57"/>
    <w:autoRedefine/>
    <w:unhideWhenUsed/>
    <w:qFormat/>
    <w:uiPriority w:val="99"/>
    <w:pPr>
      <w:shd w:val="clear" w:color="auto" w:fill="FFFFFF"/>
      <w:spacing w:line="190" w:lineRule="exact"/>
      <w:jc w:val="distribute"/>
    </w:pPr>
    <w:rPr>
      <w:rFonts w:ascii="PMingLiU" w:eastAsia="PMingLiU"/>
      <w:kern w:val="0"/>
      <w:sz w:val="19"/>
      <w:szCs w:val="20"/>
      <w:lang w:val="zh-CN"/>
    </w:rPr>
  </w:style>
  <w:style w:type="character" w:customStyle="1" w:styleId="57">
    <w:name w:val="MSG_EN_FONT_STYLE_NAME_TEMPLATE_ROLE_NUMBER MSG_EN_FONT_STYLE_NAME_BY_ROLE_TEXT 3_"/>
    <w:link w:val="56"/>
    <w:autoRedefine/>
    <w:unhideWhenUsed/>
    <w:qFormat/>
    <w:locked/>
    <w:uiPriority w:val="99"/>
    <w:rPr>
      <w:rFonts w:ascii="PMingLiU" w:hAnsi="Times New Roman" w:eastAsia="PMingLiU" w:cs="Times New Roman"/>
      <w:kern w:val="0"/>
      <w:sz w:val="19"/>
      <w:szCs w:val="20"/>
      <w:shd w:val="clear" w:color="auto" w:fill="FFFFFF"/>
      <w:lang w:val="zh-CN" w:eastAsia="zh-CN"/>
    </w:rPr>
  </w:style>
  <w:style w:type="paragraph" w:customStyle="1" w:styleId="58">
    <w:name w:val="WPS Plain"/>
    <w:autoRedefine/>
    <w:qFormat/>
    <w:uiPriority w:val="0"/>
    <w:rPr>
      <w:rFonts w:ascii="Times New Roman" w:hAnsi="Times New Roman" w:eastAsia="宋体" w:cs="Times New Roman"/>
      <w:lang w:val="en-US" w:eastAsia="zh-CN" w:bidi="ar-SA"/>
    </w:rPr>
  </w:style>
  <w:style w:type="paragraph" w:customStyle="1" w:styleId="59">
    <w:name w:val="表格居中"/>
    <w:basedOn w:val="1"/>
    <w:link w:val="60"/>
    <w:autoRedefine/>
    <w:qFormat/>
    <w:uiPriority w:val="0"/>
    <w:pPr>
      <w:jc w:val="center"/>
    </w:pPr>
    <w:rPr>
      <w:rFonts w:ascii="宋体" w:hAnsi="Calibri"/>
      <w:kern w:val="0"/>
      <w:sz w:val="20"/>
      <w:szCs w:val="21"/>
      <w:lang w:val="zh-CN"/>
    </w:rPr>
  </w:style>
  <w:style w:type="character" w:customStyle="1" w:styleId="60">
    <w:name w:val="表格居中 Char"/>
    <w:link w:val="59"/>
    <w:autoRedefine/>
    <w:qFormat/>
    <w:uiPriority w:val="0"/>
    <w:rPr>
      <w:rFonts w:ascii="宋体" w:hAnsi="Calibri" w:eastAsia="宋体" w:cs="Times New Roman"/>
      <w:kern w:val="0"/>
      <w:sz w:val="20"/>
      <w:szCs w:val="21"/>
      <w:lang w:val="zh-CN" w:eastAsia="zh-CN"/>
    </w:rPr>
  </w:style>
  <w:style w:type="paragraph" w:customStyle="1" w:styleId="61">
    <w:name w:val="表头"/>
    <w:basedOn w:val="1"/>
    <w:link w:val="62"/>
    <w:autoRedefine/>
    <w:qFormat/>
    <w:uiPriority w:val="0"/>
    <w:pPr>
      <w:overflowPunct w:val="0"/>
      <w:adjustRightInd w:val="0"/>
      <w:spacing w:line="500" w:lineRule="exact"/>
      <w:ind w:firstLine="560" w:firstLineChars="200"/>
      <w:jc w:val="center"/>
    </w:pPr>
    <w:rPr>
      <w:rFonts w:eastAsia="黑体"/>
      <w:kern w:val="28"/>
      <w:sz w:val="24"/>
      <w:szCs w:val="20"/>
      <w:lang w:val="zh-CN"/>
    </w:rPr>
  </w:style>
  <w:style w:type="character" w:customStyle="1" w:styleId="62">
    <w:name w:val="表头 Char Char"/>
    <w:link w:val="61"/>
    <w:autoRedefine/>
    <w:qFormat/>
    <w:locked/>
    <w:uiPriority w:val="0"/>
    <w:rPr>
      <w:rFonts w:ascii="Times New Roman" w:hAnsi="Times New Roman" w:eastAsia="黑体" w:cs="Times New Roman"/>
      <w:kern w:val="28"/>
      <w:sz w:val="24"/>
      <w:szCs w:val="20"/>
      <w:lang w:val="zh-CN" w:eastAsia="zh-CN"/>
    </w:rPr>
  </w:style>
  <w:style w:type="paragraph" w:customStyle="1" w:styleId="63">
    <w:name w:val="标题2"/>
    <w:basedOn w:val="3"/>
    <w:next w:val="1"/>
    <w:link w:val="64"/>
    <w:autoRedefine/>
    <w:qFormat/>
    <w:uiPriority w:val="0"/>
    <w:pPr>
      <w:snapToGrid w:val="0"/>
      <w:spacing w:before="120" w:after="120" w:line="240" w:lineRule="auto"/>
      <w:jc w:val="left"/>
    </w:pPr>
    <w:rPr>
      <w:rFonts w:ascii="Arial" w:hAnsi="Arial"/>
      <w:b w:val="0"/>
      <w:bCs w:val="0"/>
      <w:kern w:val="0"/>
      <w:sz w:val="20"/>
      <w:szCs w:val="21"/>
      <w:lang w:val="zh-CN"/>
    </w:rPr>
  </w:style>
  <w:style w:type="character" w:customStyle="1" w:styleId="64">
    <w:name w:val="标题2 Char Char"/>
    <w:link w:val="63"/>
    <w:autoRedefine/>
    <w:qFormat/>
    <w:locked/>
    <w:uiPriority w:val="0"/>
    <w:rPr>
      <w:rFonts w:ascii="Arial" w:hAnsi="Arial" w:eastAsia="宋体" w:cs="Times New Roman"/>
      <w:kern w:val="0"/>
      <w:sz w:val="20"/>
      <w:szCs w:val="21"/>
      <w:lang w:val="zh-CN" w:eastAsia="zh-CN"/>
    </w:rPr>
  </w:style>
  <w:style w:type="paragraph" w:customStyle="1" w:styleId="65">
    <w:name w:val="11"/>
    <w:basedOn w:val="11"/>
    <w:link w:val="67"/>
    <w:autoRedefine/>
    <w:qFormat/>
    <w:uiPriority w:val="0"/>
    <w:pPr>
      <w:spacing w:line="500" w:lineRule="atLeast"/>
      <w:ind w:firstLine="200" w:firstLineChars="200"/>
    </w:pPr>
    <w:rPr>
      <w:rFonts w:ascii="Calibri" w:hAnsi="Calibri" w:eastAsia="仿宋_GB2312"/>
      <w:sz w:val="28"/>
    </w:rPr>
  </w:style>
  <w:style w:type="character" w:customStyle="1" w:styleId="66">
    <w:name w:val="正文缩进 Char"/>
    <w:link w:val="11"/>
    <w:autoRedefine/>
    <w:qFormat/>
    <w:locked/>
    <w:uiPriority w:val="0"/>
    <w:rPr>
      <w:rFonts w:ascii="Times New Roman" w:hAnsi="Times New Roman" w:eastAsia="宋体" w:cs="Times New Roman"/>
      <w:kern w:val="0"/>
      <w:sz w:val="20"/>
      <w:szCs w:val="20"/>
      <w:lang w:val="zh-CN" w:eastAsia="zh-CN"/>
    </w:rPr>
  </w:style>
  <w:style w:type="character" w:customStyle="1" w:styleId="67">
    <w:name w:val="11 Char2"/>
    <w:link w:val="65"/>
    <w:autoRedefine/>
    <w:qFormat/>
    <w:locked/>
    <w:uiPriority w:val="0"/>
    <w:rPr>
      <w:rFonts w:ascii="Calibri" w:hAnsi="Calibri" w:eastAsia="仿宋_GB2312" w:cs="Times New Roman"/>
      <w:kern w:val="0"/>
      <w:sz w:val="28"/>
      <w:szCs w:val="20"/>
      <w:lang w:val="zh-CN" w:eastAsia="zh-CN"/>
    </w:rPr>
  </w:style>
  <w:style w:type="paragraph" w:customStyle="1" w:styleId="68">
    <w:name w:val="图标题"/>
    <w:basedOn w:val="1"/>
    <w:link w:val="69"/>
    <w:autoRedefine/>
    <w:qFormat/>
    <w:uiPriority w:val="0"/>
    <w:pPr>
      <w:jc w:val="center"/>
    </w:pPr>
    <w:rPr>
      <w:rFonts w:eastAsia="黑体"/>
      <w:kern w:val="0"/>
      <w:sz w:val="24"/>
      <w:lang w:val="zh-CN"/>
    </w:rPr>
  </w:style>
  <w:style w:type="character" w:customStyle="1" w:styleId="69">
    <w:name w:val="图标题 Char Char"/>
    <w:link w:val="68"/>
    <w:autoRedefine/>
    <w:qFormat/>
    <w:locked/>
    <w:uiPriority w:val="0"/>
    <w:rPr>
      <w:rFonts w:ascii="Times New Roman" w:hAnsi="Times New Roman" w:eastAsia="黑体" w:cs="Times New Roman"/>
      <w:kern w:val="0"/>
      <w:sz w:val="24"/>
      <w:szCs w:val="24"/>
      <w:lang w:val="zh-CN" w:eastAsia="zh-CN"/>
    </w:rPr>
  </w:style>
  <w:style w:type="paragraph" w:customStyle="1" w:styleId="70">
    <w:name w:val="地质报告文本"/>
    <w:basedOn w:val="1"/>
    <w:link w:val="71"/>
    <w:autoRedefine/>
    <w:qFormat/>
    <w:uiPriority w:val="0"/>
    <w:pPr>
      <w:spacing w:line="500" w:lineRule="exact"/>
      <w:ind w:firstLine="200" w:firstLineChars="200"/>
      <w:jc w:val="left"/>
    </w:pPr>
    <w:rPr>
      <w:rFonts w:eastAsia="仿宋_GB2312"/>
      <w:kern w:val="0"/>
      <w:sz w:val="28"/>
      <w:szCs w:val="28"/>
      <w:lang w:val="zh-CN"/>
    </w:rPr>
  </w:style>
  <w:style w:type="character" w:customStyle="1" w:styleId="71">
    <w:name w:val="地质报告文本 Char1"/>
    <w:link w:val="70"/>
    <w:autoRedefine/>
    <w:qFormat/>
    <w:locked/>
    <w:uiPriority w:val="0"/>
    <w:rPr>
      <w:rFonts w:ascii="Times New Roman" w:hAnsi="Times New Roman" w:eastAsia="仿宋_GB2312" w:cs="Times New Roman"/>
      <w:kern w:val="0"/>
      <w:sz w:val="28"/>
      <w:szCs w:val="28"/>
      <w:lang w:val="zh-CN" w:eastAsia="zh-CN"/>
    </w:rPr>
  </w:style>
  <w:style w:type="paragraph" w:customStyle="1" w:styleId="72">
    <w:name w:val="样式 宋体 黑色 行距: 固定值 25 磅"/>
    <w:basedOn w:val="1"/>
    <w:link w:val="73"/>
    <w:autoRedefine/>
    <w:qFormat/>
    <w:uiPriority w:val="0"/>
    <w:pPr>
      <w:overflowPunct w:val="0"/>
      <w:adjustRightInd w:val="0"/>
      <w:spacing w:line="500" w:lineRule="exact"/>
      <w:ind w:firstLine="560" w:firstLineChars="200"/>
    </w:pPr>
    <w:rPr>
      <w:rFonts w:eastAsia="仿宋_GB2312"/>
      <w:color w:val="000000"/>
      <w:kern w:val="28"/>
      <w:sz w:val="28"/>
      <w:szCs w:val="20"/>
      <w:lang w:val="zh-CN"/>
    </w:rPr>
  </w:style>
  <w:style w:type="character" w:customStyle="1" w:styleId="73">
    <w:name w:val="样式 宋体 黑色 行距: 固定值 25 磅 Char Char"/>
    <w:link w:val="72"/>
    <w:autoRedefine/>
    <w:qFormat/>
    <w:locked/>
    <w:uiPriority w:val="0"/>
    <w:rPr>
      <w:rFonts w:ascii="Times New Roman" w:hAnsi="Times New Roman" w:eastAsia="仿宋_GB2312" w:cs="Times New Roman"/>
      <w:color w:val="000000"/>
      <w:kern w:val="28"/>
      <w:sz w:val="28"/>
      <w:szCs w:val="20"/>
      <w:lang w:val="zh-CN" w:eastAsia="zh-CN"/>
    </w:rPr>
  </w:style>
  <w:style w:type="paragraph" w:customStyle="1" w:styleId="74">
    <w:name w:val="样式 样式 宋体 黑色 行距: 固定值 25 磅 + (西文) 宋体 首行缩进:  2 字符"/>
    <w:basedOn w:val="72"/>
    <w:link w:val="75"/>
    <w:autoRedefine/>
    <w:qFormat/>
    <w:uiPriority w:val="0"/>
  </w:style>
  <w:style w:type="character" w:customStyle="1" w:styleId="75">
    <w:name w:val="样式 样式 宋体 黑色 行距: 固定值 25 磅 + (西文) 宋体 首行缩进:  2 字符 Char Char"/>
    <w:link w:val="74"/>
    <w:autoRedefine/>
    <w:qFormat/>
    <w:locked/>
    <w:uiPriority w:val="0"/>
    <w:rPr>
      <w:rFonts w:ascii="Times New Roman" w:hAnsi="Times New Roman" w:eastAsia="仿宋_GB2312" w:cs="Times New Roman"/>
      <w:color w:val="000000"/>
      <w:kern w:val="28"/>
      <w:sz w:val="28"/>
      <w:szCs w:val="20"/>
      <w:lang w:val="zh-CN" w:eastAsia="zh-CN"/>
    </w:rPr>
  </w:style>
  <w:style w:type="paragraph" w:customStyle="1" w:styleId="76">
    <w:name w:val="样式 首行缩进:  2 字符"/>
    <w:basedOn w:val="1"/>
    <w:link w:val="77"/>
    <w:autoRedefine/>
    <w:qFormat/>
    <w:uiPriority w:val="0"/>
    <w:pPr>
      <w:overflowPunct w:val="0"/>
      <w:spacing w:line="500" w:lineRule="exact"/>
      <w:ind w:firstLine="567"/>
    </w:pPr>
    <w:rPr>
      <w:rFonts w:eastAsia="仿宋_GB2312"/>
      <w:kern w:val="0"/>
      <w:sz w:val="28"/>
      <w:szCs w:val="20"/>
      <w:lang w:val="zh-CN"/>
    </w:rPr>
  </w:style>
  <w:style w:type="character" w:customStyle="1" w:styleId="77">
    <w:name w:val="样式 首行缩进:  2 字符 Char Char"/>
    <w:link w:val="76"/>
    <w:autoRedefine/>
    <w:qFormat/>
    <w:locked/>
    <w:uiPriority w:val="0"/>
    <w:rPr>
      <w:rFonts w:ascii="Times New Roman" w:hAnsi="Times New Roman" w:eastAsia="仿宋_GB2312" w:cs="Times New Roman"/>
      <w:kern w:val="0"/>
      <w:sz w:val="28"/>
      <w:szCs w:val="20"/>
      <w:lang w:val="zh-CN" w:eastAsia="zh-CN"/>
    </w:rPr>
  </w:style>
  <w:style w:type="paragraph" w:customStyle="1" w:styleId="78">
    <w:name w:val="表格1"/>
    <w:link w:val="79"/>
    <w:autoRedefine/>
    <w:qFormat/>
    <w:uiPriority w:val="0"/>
    <w:pPr>
      <w:jc w:val="center"/>
    </w:pPr>
    <w:rPr>
      <w:rFonts w:ascii="Calibri" w:hAnsi="Calibri" w:eastAsia="宋体" w:cs="Times New Roman"/>
      <w:sz w:val="18"/>
      <w:szCs w:val="22"/>
      <w:lang w:val="en-US" w:eastAsia="zh-CN" w:bidi="ar-SA"/>
    </w:rPr>
  </w:style>
  <w:style w:type="character" w:customStyle="1" w:styleId="79">
    <w:name w:val="表格1 Char Char"/>
    <w:link w:val="78"/>
    <w:autoRedefine/>
    <w:qFormat/>
    <w:locked/>
    <w:uiPriority w:val="0"/>
    <w:rPr>
      <w:rFonts w:ascii="Calibri" w:hAnsi="Calibri" w:eastAsia="宋体" w:cs="Times New Roman"/>
      <w:kern w:val="0"/>
      <w:sz w:val="18"/>
    </w:rPr>
  </w:style>
  <w:style w:type="paragraph" w:customStyle="1" w:styleId="80">
    <w:name w:val="表格文字"/>
    <w:basedOn w:val="1"/>
    <w:link w:val="81"/>
    <w:autoRedefine/>
    <w:qFormat/>
    <w:uiPriority w:val="0"/>
    <w:pPr>
      <w:adjustRightInd w:val="0"/>
      <w:spacing w:line="420" w:lineRule="atLeast"/>
      <w:jc w:val="left"/>
    </w:pPr>
    <w:rPr>
      <w:kern w:val="0"/>
      <w:sz w:val="20"/>
      <w:szCs w:val="20"/>
      <w:lang w:val="zh-CN"/>
    </w:rPr>
  </w:style>
  <w:style w:type="character" w:customStyle="1" w:styleId="81">
    <w:name w:val="表格文字 Char1"/>
    <w:link w:val="80"/>
    <w:autoRedefine/>
    <w:qFormat/>
    <w:locked/>
    <w:uiPriority w:val="0"/>
    <w:rPr>
      <w:rFonts w:ascii="Times New Roman" w:hAnsi="Times New Roman" w:eastAsia="宋体" w:cs="Times New Roman"/>
      <w:kern w:val="0"/>
      <w:sz w:val="20"/>
      <w:szCs w:val="20"/>
      <w:lang w:val="zh-CN" w:eastAsia="zh-CN"/>
    </w:rPr>
  </w:style>
  <w:style w:type="paragraph" w:customStyle="1" w:styleId="82">
    <w:name w:val="表头1"/>
    <w:basedOn w:val="1"/>
    <w:link w:val="83"/>
    <w:autoRedefine/>
    <w:qFormat/>
    <w:uiPriority w:val="0"/>
    <w:pPr>
      <w:spacing w:line="540" w:lineRule="exact"/>
      <w:ind w:firstLine="480" w:firstLineChars="200"/>
    </w:pPr>
    <w:rPr>
      <w:rFonts w:eastAsia="黑体"/>
      <w:kern w:val="0"/>
      <w:sz w:val="24"/>
      <w:lang w:val="zh-CN"/>
    </w:rPr>
  </w:style>
  <w:style w:type="character" w:customStyle="1" w:styleId="83">
    <w:name w:val="表头1 Char Char"/>
    <w:link w:val="82"/>
    <w:autoRedefine/>
    <w:qFormat/>
    <w:locked/>
    <w:uiPriority w:val="0"/>
    <w:rPr>
      <w:rFonts w:ascii="Times New Roman" w:hAnsi="Times New Roman" w:eastAsia="黑体" w:cs="Times New Roman"/>
      <w:kern w:val="0"/>
      <w:sz w:val="24"/>
      <w:szCs w:val="24"/>
      <w:lang w:val="zh-CN" w:eastAsia="zh-CN"/>
    </w:rPr>
  </w:style>
  <w:style w:type="paragraph" w:customStyle="1" w:styleId="84">
    <w:name w:val="font5"/>
    <w:basedOn w:val="1"/>
    <w:link w:val="85"/>
    <w:autoRedefine/>
    <w:qFormat/>
    <w:uiPriority w:val="0"/>
    <w:pPr>
      <w:widowControl/>
      <w:spacing w:before="100" w:beforeAutospacing="1" w:after="100" w:afterAutospacing="1"/>
      <w:jc w:val="left"/>
    </w:pPr>
    <w:rPr>
      <w:rFonts w:ascii="宋体" w:hAnsi="宋体"/>
      <w:kern w:val="0"/>
      <w:sz w:val="24"/>
      <w:lang w:val="zh-CN"/>
    </w:rPr>
  </w:style>
  <w:style w:type="character" w:customStyle="1" w:styleId="85">
    <w:name w:val="font5 Char Char"/>
    <w:link w:val="84"/>
    <w:autoRedefine/>
    <w:qFormat/>
    <w:locked/>
    <w:uiPriority w:val="0"/>
    <w:rPr>
      <w:rFonts w:ascii="宋体" w:hAnsi="宋体" w:eastAsia="宋体" w:cs="Times New Roman"/>
      <w:kern w:val="0"/>
      <w:sz w:val="24"/>
      <w:szCs w:val="24"/>
      <w:lang w:val="zh-CN" w:eastAsia="zh-CN"/>
    </w:rPr>
  </w:style>
  <w:style w:type="paragraph" w:customStyle="1" w:styleId="86">
    <w:name w:val="样式 样式 样式 宋体 黑色 行距: 固定值 25 磅 + (西文) 宋体 首行缩进:  2 字符 + (西文) 宋体"/>
    <w:basedOn w:val="74"/>
    <w:link w:val="87"/>
    <w:autoRedefine/>
    <w:qFormat/>
    <w:uiPriority w:val="0"/>
  </w:style>
  <w:style w:type="character" w:customStyle="1" w:styleId="87">
    <w:name w:val="样式 样式 样式 宋体 黑色 行距: 固定值 25 磅 + (西文) 宋体 首行缩进:  2 字符 + (西文) 宋体 Char Char"/>
    <w:link w:val="86"/>
    <w:autoRedefine/>
    <w:qFormat/>
    <w:locked/>
    <w:uiPriority w:val="0"/>
    <w:rPr>
      <w:rFonts w:ascii="Times New Roman" w:hAnsi="Times New Roman" w:eastAsia="仿宋_GB2312" w:cs="Times New Roman"/>
      <w:color w:val="000000"/>
      <w:kern w:val="28"/>
      <w:sz w:val="28"/>
      <w:szCs w:val="20"/>
      <w:lang w:val="zh-CN" w:eastAsia="zh-CN"/>
    </w:rPr>
  </w:style>
  <w:style w:type="paragraph" w:customStyle="1" w:styleId="88">
    <w:name w:val="表标题"/>
    <w:basedOn w:val="1"/>
    <w:link w:val="89"/>
    <w:autoRedefine/>
    <w:qFormat/>
    <w:uiPriority w:val="0"/>
    <w:pPr>
      <w:spacing w:line="500" w:lineRule="exact"/>
      <w:jc w:val="center"/>
    </w:pPr>
    <w:rPr>
      <w:rFonts w:eastAsia="黑体"/>
      <w:kern w:val="0"/>
      <w:sz w:val="24"/>
      <w:szCs w:val="21"/>
      <w:lang w:val="zh-CN"/>
    </w:rPr>
  </w:style>
  <w:style w:type="character" w:customStyle="1" w:styleId="89">
    <w:name w:val="表标题 Char Char"/>
    <w:link w:val="88"/>
    <w:autoRedefine/>
    <w:qFormat/>
    <w:locked/>
    <w:uiPriority w:val="0"/>
    <w:rPr>
      <w:rFonts w:ascii="Times New Roman" w:hAnsi="Times New Roman" w:eastAsia="黑体" w:cs="Times New Roman"/>
      <w:kern w:val="0"/>
      <w:sz w:val="24"/>
      <w:szCs w:val="21"/>
      <w:lang w:val="zh-CN" w:eastAsia="zh-CN"/>
    </w:rPr>
  </w:style>
  <w:style w:type="paragraph" w:customStyle="1" w:styleId="90">
    <w:name w:val="表格文字左端"/>
    <w:basedOn w:val="80"/>
    <w:link w:val="91"/>
    <w:autoRedefine/>
    <w:qFormat/>
    <w:uiPriority w:val="0"/>
    <w:pPr>
      <w:adjustRightInd/>
      <w:spacing w:line="260" w:lineRule="exact"/>
      <w:ind w:firstLine="50" w:firstLineChars="50"/>
    </w:pPr>
    <w:rPr>
      <w:rFonts w:eastAsia="楷体_GB2312"/>
      <w:szCs w:val="21"/>
    </w:rPr>
  </w:style>
  <w:style w:type="character" w:customStyle="1" w:styleId="91">
    <w:name w:val="表格文字左端 Char Char"/>
    <w:link w:val="90"/>
    <w:autoRedefine/>
    <w:qFormat/>
    <w:locked/>
    <w:uiPriority w:val="0"/>
    <w:rPr>
      <w:rFonts w:ascii="Times New Roman" w:hAnsi="Times New Roman" w:eastAsia="楷体_GB2312" w:cs="Times New Roman"/>
      <w:kern w:val="0"/>
      <w:sz w:val="20"/>
      <w:szCs w:val="21"/>
      <w:lang w:val="zh-CN" w:eastAsia="zh-CN"/>
    </w:rPr>
  </w:style>
  <w:style w:type="paragraph" w:customStyle="1" w:styleId="92">
    <w:name w:val="正文1 Char1 Char Char"/>
    <w:basedOn w:val="1"/>
    <w:link w:val="93"/>
    <w:autoRedefine/>
    <w:qFormat/>
    <w:uiPriority w:val="0"/>
    <w:pPr>
      <w:overflowPunct w:val="0"/>
      <w:adjustRightInd w:val="0"/>
      <w:spacing w:line="500" w:lineRule="exact"/>
      <w:ind w:left="2" w:firstLine="574" w:firstLineChars="205"/>
      <w:jc w:val="left"/>
    </w:pPr>
    <w:rPr>
      <w:rFonts w:eastAsia="仿宋_GB2312"/>
      <w:kern w:val="28"/>
      <w:sz w:val="28"/>
      <w:szCs w:val="28"/>
      <w:lang w:val="zh-CN"/>
    </w:rPr>
  </w:style>
  <w:style w:type="character" w:customStyle="1" w:styleId="93">
    <w:name w:val="正文1 Char1 Char Char Char Char"/>
    <w:link w:val="92"/>
    <w:autoRedefine/>
    <w:qFormat/>
    <w:locked/>
    <w:uiPriority w:val="0"/>
    <w:rPr>
      <w:rFonts w:ascii="Times New Roman" w:hAnsi="Times New Roman" w:eastAsia="仿宋_GB2312" w:cs="Times New Roman"/>
      <w:kern w:val="28"/>
      <w:sz w:val="28"/>
      <w:szCs w:val="28"/>
      <w:lang w:val="zh-CN" w:eastAsia="zh-CN"/>
    </w:rPr>
  </w:style>
  <w:style w:type="character" w:customStyle="1" w:styleId="94">
    <w:name w:val="正文文本缩进 Char"/>
    <w:basedOn w:val="37"/>
    <w:link w:val="16"/>
    <w:autoRedefine/>
    <w:qFormat/>
    <w:uiPriority w:val="0"/>
    <w:rPr>
      <w:rFonts w:ascii="Times New Roman" w:hAnsi="Times New Roman" w:eastAsia="宋体" w:cs="Times New Roman"/>
      <w:szCs w:val="24"/>
    </w:rPr>
  </w:style>
  <w:style w:type="character" w:customStyle="1" w:styleId="95">
    <w:name w:val="纯文本 Char"/>
    <w:link w:val="19"/>
    <w:autoRedefine/>
    <w:qFormat/>
    <w:uiPriority w:val="0"/>
    <w:rPr>
      <w:rFonts w:ascii="Courier New" w:hAnsi="Courier New" w:eastAsia="宋体" w:cs="黑体"/>
    </w:rPr>
  </w:style>
  <w:style w:type="character" w:customStyle="1" w:styleId="96">
    <w:name w:val="纯文本 Char1"/>
    <w:basedOn w:val="37"/>
    <w:autoRedefine/>
    <w:semiHidden/>
    <w:qFormat/>
    <w:uiPriority w:val="99"/>
    <w:rPr>
      <w:rFonts w:ascii="宋体" w:hAnsi="Courier New" w:eastAsia="宋体" w:cs="Courier New"/>
      <w:szCs w:val="21"/>
    </w:rPr>
  </w:style>
  <w:style w:type="character" w:customStyle="1" w:styleId="97">
    <w:name w:val="正文文本缩进 2 Char"/>
    <w:link w:val="21"/>
    <w:autoRedefine/>
    <w:qFormat/>
    <w:uiPriority w:val="99"/>
    <w:rPr>
      <w:rFonts w:ascii="Times New Roman" w:hAnsi="Times New Roman" w:eastAsia="宋体" w:cs="Times New Roman"/>
      <w:kern w:val="0"/>
      <w:sz w:val="20"/>
      <w:szCs w:val="24"/>
    </w:rPr>
  </w:style>
  <w:style w:type="character" w:customStyle="1" w:styleId="98">
    <w:name w:val="正文文本缩进 2 Char1"/>
    <w:basedOn w:val="37"/>
    <w:autoRedefine/>
    <w:semiHidden/>
    <w:qFormat/>
    <w:uiPriority w:val="99"/>
    <w:rPr>
      <w:rFonts w:ascii="Times New Roman" w:hAnsi="Times New Roman" w:eastAsia="宋体" w:cs="Times New Roman"/>
      <w:szCs w:val="24"/>
    </w:rPr>
  </w:style>
  <w:style w:type="paragraph" w:customStyle="1" w:styleId="99">
    <w:name w:val="Table Paragraph"/>
    <w:basedOn w:val="1"/>
    <w:autoRedefine/>
    <w:qFormat/>
    <w:uiPriority w:val="99"/>
    <w:rPr>
      <w:rFonts w:ascii="宋体" w:hAnsi="宋体" w:cs="宋体"/>
    </w:rPr>
  </w:style>
  <w:style w:type="paragraph" w:customStyle="1" w:styleId="100">
    <w:name w:val="范本-正文"/>
    <w:autoRedefine/>
    <w:qFormat/>
    <w:uiPriority w:val="0"/>
    <w:pPr>
      <w:spacing w:line="360" w:lineRule="auto"/>
      <w:ind w:firstLine="420"/>
    </w:pPr>
    <w:rPr>
      <w:rFonts w:ascii="Times New Roman" w:hAnsi="Times New Roman" w:eastAsia="宋体" w:cs="Times New Roman"/>
      <w:iCs/>
      <w:kern w:val="2"/>
      <w:sz w:val="24"/>
      <w:szCs w:val="21"/>
      <w:lang w:val="en-US" w:eastAsia="zh-CN" w:bidi="ar-SA"/>
    </w:rPr>
  </w:style>
  <w:style w:type="paragraph" w:customStyle="1" w:styleId="101">
    <w:name w:val="济渡池桥正文"/>
    <w:autoRedefine/>
    <w:qFormat/>
    <w:uiPriority w:val="0"/>
    <w:pPr>
      <w:spacing w:line="360" w:lineRule="auto"/>
      <w:ind w:firstLine="536" w:firstLineChars="200"/>
    </w:pPr>
    <w:rPr>
      <w:rFonts w:ascii="Times New Roman" w:hAnsi="Times New Roman" w:eastAsia="宋体" w:cs="Times New Roman"/>
      <w:color w:val="000000"/>
      <w:spacing w:val="-6"/>
      <w:sz w:val="28"/>
      <w:szCs w:val="28"/>
      <w:lang w:val="en-US" w:eastAsia="zh-CN" w:bidi="ar-SA"/>
    </w:rPr>
  </w:style>
  <w:style w:type="character" w:customStyle="1" w:styleId="102">
    <w:name w:val="正文文本 Char"/>
    <w:link w:val="15"/>
    <w:autoRedefine/>
    <w:qFormat/>
    <w:uiPriority w:val="0"/>
    <w:rPr>
      <w:rFonts w:ascii="Times New Roman" w:hAnsi="Times New Roman" w:eastAsia="宋体" w:cs="黑体"/>
      <w:szCs w:val="24"/>
    </w:rPr>
  </w:style>
  <w:style w:type="character" w:customStyle="1" w:styleId="103">
    <w:name w:val="正文文本 Char1"/>
    <w:basedOn w:val="37"/>
    <w:autoRedefine/>
    <w:semiHidden/>
    <w:qFormat/>
    <w:uiPriority w:val="99"/>
    <w:rPr>
      <w:rFonts w:ascii="Times New Roman" w:hAnsi="Times New Roman" w:eastAsia="宋体" w:cs="Times New Roman"/>
      <w:szCs w:val="24"/>
    </w:rPr>
  </w:style>
  <w:style w:type="character" w:customStyle="1" w:styleId="104">
    <w:name w:val="正文首行缩进 Char"/>
    <w:link w:val="34"/>
    <w:autoRedefine/>
    <w:qFormat/>
    <w:uiPriority w:val="0"/>
  </w:style>
  <w:style w:type="character" w:customStyle="1" w:styleId="105">
    <w:name w:val="正文首行缩进 Char1"/>
    <w:basedOn w:val="103"/>
    <w:autoRedefine/>
    <w:semiHidden/>
    <w:qFormat/>
    <w:uiPriority w:val="99"/>
    <w:rPr>
      <w:rFonts w:ascii="Times New Roman" w:hAnsi="Times New Roman" w:eastAsia="宋体" w:cs="Times New Roman"/>
      <w:szCs w:val="24"/>
    </w:rPr>
  </w:style>
  <w:style w:type="character" w:customStyle="1" w:styleId="106">
    <w:name w:val="Char Char20"/>
    <w:autoRedefine/>
    <w:qFormat/>
    <w:uiPriority w:val="0"/>
    <w:rPr>
      <w:rFonts w:hint="default" w:ascii="Arial" w:hAnsi="Arial" w:eastAsia="黑体" w:cs="Arial"/>
      <w:b/>
      <w:bCs/>
      <w:kern w:val="28"/>
      <w:sz w:val="36"/>
      <w:szCs w:val="32"/>
    </w:rPr>
  </w:style>
  <w:style w:type="character" w:customStyle="1" w:styleId="107">
    <w:name w:val="正文文字缩进 2 Char Char"/>
    <w:autoRedefine/>
    <w:qFormat/>
    <w:uiPriority w:val="0"/>
    <w:rPr>
      <w:rFonts w:hint="eastAsia" w:ascii="宋体" w:hAnsi="宋体" w:eastAsia="宋体"/>
      <w:kern w:val="2"/>
      <w:sz w:val="21"/>
      <w:szCs w:val="24"/>
      <w:lang w:val="en-US" w:eastAsia="zh-CN" w:bidi="ar-SA"/>
    </w:rPr>
  </w:style>
  <w:style w:type="character" w:customStyle="1" w:styleId="108">
    <w:name w:val="列表名称"/>
    <w:autoRedefine/>
    <w:qFormat/>
    <w:uiPriority w:val="0"/>
    <w:rPr>
      <w:rFonts w:hint="eastAsia" w:ascii="黑体" w:hAnsi="黑体" w:eastAsia="黑体"/>
      <w:sz w:val="24"/>
    </w:rPr>
  </w:style>
  <w:style w:type="character" w:customStyle="1" w:styleId="109">
    <w:name w:val="样式 小四 两端对齐 首行缩进:  0.85 厘米 行距: 1.5 倍行距 Char Char Char"/>
    <w:autoRedefine/>
    <w:qFormat/>
    <w:uiPriority w:val="0"/>
    <w:rPr>
      <w:rFonts w:hint="eastAsia" w:ascii="宋体" w:hAnsi="宋体" w:eastAsia="宋体" w:cs="宋体"/>
      <w:kern w:val="2"/>
      <w:sz w:val="24"/>
      <w:szCs w:val="24"/>
      <w:lang w:val="en-US" w:eastAsia="zh-CN" w:bidi="ar-SA"/>
    </w:rPr>
  </w:style>
  <w:style w:type="character" w:customStyle="1" w:styleId="110">
    <w:name w:val="表头 Char Char Char"/>
    <w:autoRedefine/>
    <w:qFormat/>
    <w:uiPriority w:val="0"/>
    <w:rPr>
      <w:rFonts w:hint="eastAsia" w:ascii="黑体" w:hAnsi="黑体" w:eastAsia="黑体"/>
      <w:color w:val="FF0000"/>
      <w:kern w:val="2"/>
      <w:sz w:val="24"/>
    </w:rPr>
  </w:style>
  <w:style w:type="character" w:customStyle="1" w:styleId="111">
    <w:name w:val="Char Char9"/>
    <w:autoRedefine/>
    <w:qFormat/>
    <w:uiPriority w:val="0"/>
    <w:rPr>
      <w:rFonts w:hint="eastAsia" w:ascii="宋体" w:hAnsi="Courier New" w:eastAsia="仿宋_GB2312" w:cs="Times New Roman"/>
      <w:kern w:val="28"/>
      <w:sz w:val="28"/>
      <w:szCs w:val="20"/>
    </w:rPr>
  </w:style>
  <w:style w:type="character" w:customStyle="1" w:styleId="112">
    <w:name w:val="样式 粉红 下划线"/>
    <w:autoRedefine/>
    <w:qFormat/>
    <w:uiPriority w:val="0"/>
    <w:rPr>
      <w:color w:val="auto"/>
      <w:u w:val="none"/>
    </w:rPr>
  </w:style>
  <w:style w:type="character" w:customStyle="1" w:styleId="113">
    <w:name w:val="（节） Char"/>
    <w:autoRedefine/>
    <w:qFormat/>
    <w:uiPriority w:val="0"/>
    <w:rPr>
      <w:rFonts w:hint="default" w:ascii="Arial" w:hAnsi="Arial" w:eastAsia="黑体" w:cs="Arial"/>
      <w:b/>
      <w:kern w:val="28"/>
      <w:sz w:val="32"/>
      <w:szCs w:val="32"/>
    </w:rPr>
  </w:style>
  <w:style w:type="character" w:customStyle="1" w:styleId="114">
    <w:name w:val="font161"/>
    <w:autoRedefine/>
    <w:qFormat/>
    <w:uiPriority w:val="0"/>
    <w:rPr>
      <w:rFonts w:hint="default" w:ascii="Arial" w:hAnsi="Arial" w:eastAsia="黑体" w:cs="Arial"/>
      <w:b/>
      <w:bCs/>
      <w:kern w:val="2"/>
      <w:sz w:val="32"/>
      <w:szCs w:val="32"/>
      <w:lang w:val="en-US" w:eastAsia="zh-CN" w:bidi="ar-SA"/>
    </w:rPr>
  </w:style>
  <w:style w:type="character" w:customStyle="1" w:styleId="115">
    <w:name w:val="text1"/>
    <w:autoRedefine/>
    <w:qFormat/>
    <w:uiPriority w:val="0"/>
    <w:rPr>
      <w:rFonts w:hint="eastAsia" w:ascii="新宋体" w:hAnsi="新宋体" w:eastAsia="新宋体"/>
      <w:color w:val="333333"/>
      <w:spacing w:val="330"/>
      <w:kern w:val="2"/>
      <w:sz w:val="18"/>
      <w:szCs w:val="18"/>
      <w:u w:val="none"/>
      <w:lang w:val="en-US" w:eastAsia="zh-CN" w:bidi="ar-SA"/>
    </w:rPr>
  </w:style>
  <w:style w:type="character" w:customStyle="1" w:styleId="116">
    <w:name w:val="middle1"/>
    <w:autoRedefine/>
    <w:qFormat/>
    <w:uiPriority w:val="0"/>
    <w:rPr>
      <w:rFonts w:hint="eastAsia" w:ascii="宋体" w:hAnsi="宋体" w:eastAsia="宋体"/>
      <w:kern w:val="2"/>
      <w:sz w:val="24"/>
      <w:szCs w:val="24"/>
      <w:lang w:val="en-US" w:eastAsia="zh-CN" w:bidi="ar-SA"/>
    </w:rPr>
  </w:style>
  <w:style w:type="character" w:customStyle="1" w:styleId="117">
    <w:name w:val="样式 标题4 + 非加粗 Char"/>
    <w:autoRedefine/>
    <w:qFormat/>
    <w:uiPriority w:val="0"/>
    <w:rPr>
      <w:rFonts w:hint="eastAsia" w:ascii="宋体" w:hAnsi="宋体" w:eastAsia="宋体"/>
      <w:b/>
      <w:kern w:val="2"/>
      <w:sz w:val="24"/>
      <w:szCs w:val="24"/>
      <w:lang w:val="en-US" w:eastAsia="zh-CN" w:bidi="ar-SA"/>
    </w:rPr>
  </w:style>
  <w:style w:type="character" w:customStyle="1" w:styleId="118">
    <w:name w:val="纯文本 Char Char"/>
    <w:autoRedefine/>
    <w:qFormat/>
    <w:uiPriority w:val="0"/>
    <w:rPr>
      <w:rFonts w:hint="eastAsia" w:ascii="宋体" w:hAnsi="Courier New" w:eastAsia="宋体" w:cs="Courier New"/>
      <w:kern w:val="2"/>
      <w:sz w:val="21"/>
      <w:szCs w:val="21"/>
      <w:lang w:val="en-US" w:eastAsia="zh-CN" w:bidi="ar-SA"/>
    </w:rPr>
  </w:style>
  <w:style w:type="character" w:customStyle="1" w:styleId="119">
    <w:name w:val="地质报告文本 Char Char"/>
    <w:autoRedefine/>
    <w:qFormat/>
    <w:uiPriority w:val="0"/>
    <w:rPr>
      <w:rFonts w:hint="eastAsia" w:ascii="仿宋_GB2312" w:eastAsia="仿宋_GB2312" w:cs="仿宋_GB2312"/>
      <w:kern w:val="2"/>
      <w:sz w:val="28"/>
      <w:szCs w:val="28"/>
    </w:rPr>
  </w:style>
  <w:style w:type="character" w:customStyle="1" w:styleId="120">
    <w:name w:val="样式 粉红"/>
    <w:autoRedefine/>
    <w:qFormat/>
    <w:uiPriority w:val="0"/>
    <w:rPr>
      <w:color w:val="auto"/>
      <w:u w:val="none"/>
    </w:rPr>
  </w:style>
  <w:style w:type="character" w:customStyle="1" w:styleId="121">
    <w:name w:val="apple-converted-space"/>
    <w:autoRedefine/>
    <w:qFormat/>
    <w:uiPriority w:val="0"/>
  </w:style>
  <w:style w:type="character" w:customStyle="1" w:styleId="122">
    <w:name w:val="mh-map_new-info"/>
    <w:autoRedefine/>
    <w:qFormat/>
    <w:uiPriority w:val="0"/>
  </w:style>
  <w:style w:type="character" w:customStyle="1" w:styleId="123">
    <w:name w:val="正文1 Char Char"/>
    <w:autoRedefine/>
    <w:qFormat/>
    <w:uiPriority w:val="0"/>
    <w:rPr>
      <w:rFonts w:hint="eastAsia" w:ascii="宋体" w:hAnsi="宋体" w:eastAsia="宋体"/>
      <w:sz w:val="28"/>
      <w:szCs w:val="28"/>
    </w:rPr>
  </w:style>
  <w:style w:type="character" w:customStyle="1" w:styleId="124">
    <w:name w:val="样式 小四"/>
    <w:autoRedefine/>
    <w:qFormat/>
    <w:uiPriority w:val="0"/>
    <w:rPr>
      <w:rFonts w:hint="default" w:ascii="Times New Roman" w:hAnsi="Times New Roman" w:eastAsia="仿宋_GB2312" w:cs="Times New Roman"/>
      <w:kern w:val="2"/>
      <w:sz w:val="28"/>
      <w:szCs w:val="24"/>
      <w:lang w:val="en-US" w:eastAsia="zh-CN" w:bidi="ar-SA"/>
    </w:rPr>
  </w:style>
  <w:style w:type="character" w:customStyle="1" w:styleId="125">
    <w:name w:val="标题 Char1"/>
    <w:autoRedefine/>
    <w:qFormat/>
    <w:uiPriority w:val="10"/>
    <w:rPr>
      <w:rFonts w:hint="default" w:ascii="Calibri Light" w:hAnsi="Calibri Light" w:eastAsia="宋体" w:cs="黑体"/>
      <w:b/>
      <w:bCs/>
      <w:sz w:val="32"/>
      <w:szCs w:val="32"/>
    </w:rPr>
  </w:style>
  <w:style w:type="character" w:customStyle="1" w:styleId="126">
    <w:name w:val="文本框及表格 Char"/>
    <w:autoRedefine/>
    <w:qFormat/>
    <w:uiPriority w:val="0"/>
    <w:rPr>
      <w:rFonts w:hint="eastAsia" w:ascii="宋体" w:hAnsi="宋体" w:eastAsia="宋体"/>
      <w:kern w:val="2"/>
      <w:sz w:val="24"/>
      <w:lang w:val="en-US" w:eastAsia="zh-CN" w:bidi="ar-SA"/>
    </w:rPr>
  </w:style>
  <w:style w:type="character" w:customStyle="1" w:styleId="127">
    <w:name w:val="批注文字 Char1"/>
    <w:link w:val="13"/>
    <w:autoRedefine/>
    <w:qFormat/>
    <w:uiPriority w:val="0"/>
    <w:rPr>
      <w:rFonts w:ascii="Times New Roman" w:hAnsi="Times New Roman" w:eastAsia="宋体" w:cs="Times New Roman"/>
      <w:szCs w:val="24"/>
    </w:rPr>
  </w:style>
  <w:style w:type="character" w:customStyle="1" w:styleId="128">
    <w:name w:val="批注文字 Char"/>
    <w:basedOn w:val="37"/>
    <w:autoRedefine/>
    <w:semiHidden/>
    <w:qFormat/>
    <w:uiPriority w:val="99"/>
    <w:rPr>
      <w:rFonts w:ascii="Times New Roman" w:hAnsi="Times New Roman" w:eastAsia="宋体" w:cs="Times New Roman"/>
      <w:szCs w:val="24"/>
    </w:rPr>
  </w:style>
  <w:style w:type="character" w:customStyle="1" w:styleId="129">
    <w:name w:val="标题 Char"/>
    <w:link w:val="32"/>
    <w:autoRedefine/>
    <w:qFormat/>
    <w:uiPriority w:val="10"/>
    <w:rPr>
      <w:rFonts w:ascii="Cambria" w:hAnsi="Cambria" w:eastAsia="宋体" w:cs="Times New Roman"/>
      <w:b/>
      <w:bCs/>
      <w:sz w:val="32"/>
      <w:szCs w:val="32"/>
    </w:rPr>
  </w:style>
  <w:style w:type="character" w:customStyle="1" w:styleId="130">
    <w:name w:val="标题 Char2"/>
    <w:basedOn w:val="37"/>
    <w:autoRedefine/>
    <w:qFormat/>
    <w:uiPriority w:val="10"/>
    <w:rPr>
      <w:rFonts w:eastAsia="宋体" w:asciiTheme="majorHAnsi" w:hAnsiTheme="majorHAnsi" w:cstheme="majorBidi"/>
      <w:b/>
      <w:bCs/>
      <w:sz w:val="32"/>
      <w:szCs w:val="32"/>
    </w:rPr>
  </w:style>
  <w:style w:type="character" w:customStyle="1" w:styleId="131">
    <w:name w:val="副标题 Char"/>
    <w:link w:val="25"/>
    <w:autoRedefine/>
    <w:qFormat/>
    <w:uiPriority w:val="0"/>
    <w:rPr>
      <w:rFonts w:ascii="Cambria" w:hAnsi="Cambria" w:eastAsia="宋体" w:cs="Times New Roman"/>
      <w:b/>
      <w:bCs/>
      <w:kern w:val="28"/>
      <w:sz w:val="32"/>
      <w:szCs w:val="32"/>
    </w:rPr>
  </w:style>
  <w:style w:type="character" w:customStyle="1" w:styleId="132">
    <w:name w:val="副标题 Char1"/>
    <w:basedOn w:val="37"/>
    <w:autoRedefine/>
    <w:qFormat/>
    <w:uiPriority w:val="11"/>
    <w:rPr>
      <w:rFonts w:eastAsia="宋体" w:asciiTheme="majorHAnsi" w:hAnsiTheme="majorHAnsi" w:cstheme="majorBidi"/>
      <w:b/>
      <w:bCs/>
      <w:kern w:val="28"/>
      <w:sz w:val="32"/>
      <w:szCs w:val="32"/>
    </w:rPr>
  </w:style>
  <w:style w:type="character" w:customStyle="1" w:styleId="133">
    <w:name w:val="日期 Char"/>
    <w:link w:val="20"/>
    <w:autoRedefine/>
    <w:qFormat/>
    <w:uiPriority w:val="0"/>
    <w:rPr>
      <w:rFonts w:ascii="Times New Roman" w:hAnsi="Times New Roman" w:eastAsia="宋体" w:cs="宋体"/>
      <w:kern w:val="0"/>
      <w:sz w:val="20"/>
      <w:szCs w:val="20"/>
      <w:u w:val="words"/>
    </w:rPr>
  </w:style>
  <w:style w:type="character" w:customStyle="1" w:styleId="134">
    <w:name w:val="日期 Char1"/>
    <w:basedOn w:val="37"/>
    <w:autoRedefine/>
    <w:semiHidden/>
    <w:qFormat/>
    <w:uiPriority w:val="99"/>
    <w:rPr>
      <w:rFonts w:ascii="Times New Roman" w:hAnsi="Times New Roman" w:eastAsia="宋体" w:cs="Times New Roman"/>
      <w:szCs w:val="24"/>
    </w:rPr>
  </w:style>
  <w:style w:type="character" w:customStyle="1" w:styleId="135">
    <w:name w:val="正文首行缩进 2 Char"/>
    <w:basedOn w:val="94"/>
    <w:link w:val="35"/>
    <w:autoRedefine/>
    <w:qFormat/>
    <w:uiPriority w:val="99"/>
    <w:rPr>
      <w:rFonts w:ascii="Times New Roman" w:hAnsi="Times New Roman" w:eastAsia="宋体" w:cs="Times New Roman"/>
      <w:szCs w:val="24"/>
    </w:rPr>
  </w:style>
  <w:style w:type="character" w:customStyle="1" w:styleId="136">
    <w:name w:val="正文文本 2 Char"/>
    <w:link w:val="27"/>
    <w:autoRedefine/>
    <w:qFormat/>
    <w:uiPriority w:val="0"/>
    <w:rPr>
      <w:rFonts w:ascii="Times New Roman" w:hAnsi="Times New Roman" w:eastAsia="宋体" w:cs="Times New Roman"/>
      <w:sz w:val="24"/>
      <w:szCs w:val="20"/>
    </w:rPr>
  </w:style>
  <w:style w:type="character" w:customStyle="1" w:styleId="137">
    <w:name w:val="正文文本 2 Char1"/>
    <w:basedOn w:val="37"/>
    <w:autoRedefine/>
    <w:semiHidden/>
    <w:qFormat/>
    <w:uiPriority w:val="99"/>
    <w:rPr>
      <w:rFonts w:ascii="Times New Roman" w:hAnsi="Times New Roman" w:eastAsia="宋体" w:cs="Times New Roman"/>
      <w:szCs w:val="24"/>
    </w:rPr>
  </w:style>
  <w:style w:type="character" w:customStyle="1" w:styleId="138">
    <w:name w:val="正文文本 3 Char"/>
    <w:basedOn w:val="37"/>
    <w:link w:val="14"/>
    <w:autoRedefine/>
    <w:qFormat/>
    <w:uiPriority w:val="0"/>
    <w:rPr>
      <w:rFonts w:cs="黑体" w:asciiTheme="minorEastAsia" w:hAnsiTheme="minorEastAsia" w:eastAsiaTheme="minorEastAsia"/>
      <w:b/>
      <w:kern w:val="2"/>
      <w:sz w:val="21"/>
      <w:szCs w:val="21"/>
    </w:rPr>
  </w:style>
  <w:style w:type="character" w:customStyle="1" w:styleId="139">
    <w:name w:val="正文文本缩进 3 Char"/>
    <w:link w:val="26"/>
    <w:autoRedefine/>
    <w:semiHidden/>
    <w:qFormat/>
    <w:uiPriority w:val="0"/>
    <w:rPr>
      <w:rFonts w:ascii="Times New Roman" w:hAnsi="Times New Roman" w:eastAsia="宋体" w:cs="黑体"/>
      <w:sz w:val="16"/>
      <w:szCs w:val="16"/>
    </w:rPr>
  </w:style>
  <w:style w:type="character" w:customStyle="1" w:styleId="140">
    <w:name w:val="正文文本缩进 3 Char1"/>
    <w:basedOn w:val="37"/>
    <w:autoRedefine/>
    <w:semiHidden/>
    <w:qFormat/>
    <w:uiPriority w:val="99"/>
    <w:rPr>
      <w:rFonts w:ascii="Times New Roman" w:hAnsi="Times New Roman" w:eastAsia="宋体" w:cs="Times New Roman"/>
      <w:sz w:val="16"/>
      <w:szCs w:val="16"/>
    </w:rPr>
  </w:style>
  <w:style w:type="character" w:customStyle="1" w:styleId="141">
    <w:name w:val="文档结构图 Char"/>
    <w:link w:val="12"/>
    <w:autoRedefine/>
    <w:qFormat/>
    <w:uiPriority w:val="0"/>
    <w:rPr>
      <w:rFonts w:ascii="宋体" w:hAnsi="宋体" w:eastAsia="宋体" w:cs="Times New Roman"/>
      <w:sz w:val="24"/>
      <w:szCs w:val="24"/>
      <w:shd w:val="clear" w:color="auto" w:fill="000080"/>
    </w:rPr>
  </w:style>
  <w:style w:type="character" w:customStyle="1" w:styleId="142">
    <w:name w:val="文档结构图 Char1"/>
    <w:basedOn w:val="37"/>
    <w:autoRedefine/>
    <w:semiHidden/>
    <w:qFormat/>
    <w:uiPriority w:val="99"/>
    <w:rPr>
      <w:rFonts w:ascii="宋体" w:hAnsi="Times New Roman" w:eastAsia="宋体" w:cs="Times New Roman"/>
      <w:sz w:val="18"/>
      <w:szCs w:val="18"/>
    </w:rPr>
  </w:style>
  <w:style w:type="character" w:customStyle="1" w:styleId="143">
    <w:name w:val="批注主题 Char"/>
    <w:link w:val="33"/>
    <w:autoRedefine/>
    <w:qFormat/>
    <w:uiPriority w:val="0"/>
    <w:rPr>
      <w:rFonts w:ascii="Times New Roman" w:hAnsi="Times New Roman" w:eastAsia="仿宋_GB2312" w:cs="Times New Roman"/>
      <w:b/>
      <w:bCs/>
      <w:kern w:val="28"/>
      <w:sz w:val="28"/>
      <w:szCs w:val="28"/>
    </w:rPr>
  </w:style>
  <w:style w:type="character" w:customStyle="1" w:styleId="144">
    <w:name w:val="批注主题 Char1"/>
    <w:basedOn w:val="128"/>
    <w:autoRedefine/>
    <w:semiHidden/>
    <w:qFormat/>
    <w:uiPriority w:val="99"/>
    <w:rPr>
      <w:rFonts w:ascii="Times New Roman" w:hAnsi="Times New Roman" w:eastAsia="宋体" w:cs="Times New Roman"/>
      <w:b/>
      <w:bCs/>
      <w:szCs w:val="24"/>
    </w:rPr>
  </w:style>
  <w:style w:type="character" w:customStyle="1" w:styleId="145">
    <w:name w:val="批注框文本 Char"/>
    <w:basedOn w:val="37"/>
    <w:link w:val="22"/>
    <w:autoRedefine/>
    <w:qFormat/>
    <w:uiPriority w:val="0"/>
    <w:rPr>
      <w:rFonts w:ascii="Times New Roman" w:hAnsi="Times New Roman" w:eastAsia="宋体" w:cs="Times New Roman"/>
      <w:sz w:val="18"/>
      <w:szCs w:val="18"/>
    </w:rPr>
  </w:style>
  <w:style w:type="character" w:customStyle="1" w:styleId="146">
    <w:name w:val="页眉 Char1"/>
    <w:autoRedefine/>
    <w:semiHidden/>
    <w:qFormat/>
    <w:uiPriority w:val="99"/>
    <w:rPr>
      <w:rFonts w:ascii="Times New Roman" w:hAnsi="Times New Roman" w:eastAsia="宋体" w:cs="Times New Roman"/>
      <w:sz w:val="18"/>
      <w:szCs w:val="18"/>
    </w:rPr>
  </w:style>
  <w:style w:type="character" w:customStyle="1" w:styleId="147">
    <w:name w:val="页脚 Char1"/>
    <w:autoRedefine/>
    <w:semiHidden/>
    <w:qFormat/>
    <w:uiPriority w:val="99"/>
    <w:rPr>
      <w:rFonts w:ascii="Times New Roman" w:hAnsi="Times New Roman" w:eastAsia="宋体" w:cs="Times New Roman"/>
      <w:sz w:val="18"/>
      <w:szCs w:val="18"/>
    </w:rPr>
  </w:style>
  <w:style w:type="paragraph" w:customStyle="1" w:styleId="148">
    <w:name w:val="WPSOffice手动目录 1"/>
    <w:autoRedefine/>
    <w:qFormat/>
    <w:uiPriority w:val="0"/>
    <w:rPr>
      <w:rFonts w:ascii="Times New Roman" w:hAnsi="Times New Roman" w:eastAsia="宋体" w:cs="Times New Roman"/>
      <w:lang w:val="en-US" w:eastAsia="zh-CN" w:bidi="ar-SA"/>
    </w:rPr>
  </w:style>
  <w:style w:type="paragraph" w:customStyle="1" w:styleId="149">
    <w:name w:val="_Style 0"/>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51">
    <w:name w:val="No Spacing"/>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52">
    <w:name w:val="无间隔1"/>
    <w:basedOn w:val="1"/>
    <w:autoRedefine/>
    <w:qFormat/>
    <w:uiPriority w:val="99"/>
    <w:pPr>
      <w:spacing w:line="400" w:lineRule="exact"/>
    </w:pPr>
    <w:rPr>
      <w:sz w:val="24"/>
    </w:rPr>
  </w:style>
  <w:style w:type="paragraph" w:customStyle="1" w:styleId="153">
    <w:name w:val="default"/>
    <w:basedOn w:val="1"/>
    <w:autoRedefine/>
    <w:qFormat/>
    <w:uiPriority w:val="0"/>
    <w:pPr>
      <w:widowControl/>
      <w:jc w:val="left"/>
    </w:pPr>
    <w:rPr>
      <w:rFonts w:ascii="宋体" w:hAnsi="宋体" w:cs="宋体"/>
      <w:kern w:val="0"/>
      <w:sz w:val="24"/>
    </w:rPr>
  </w:style>
  <w:style w:type="character" w:customStyle="1" w:styleId="154">
    <w:name w:val="NormalCharacter"/>
    <w:autoRedefine/>
    <w:qFormat/>
    <w:uiPriority w:val="0"/>
    <w:rPr>
      <w:rFonts w:ascii="Times New Roman" w:hAnsi="Times New Roman" w:eastAsia="宋体" w:cs="Times New Roman"/>
      <w:kern w:val="2"/>
      <w:sz w:val="21"/>
      <w:lang w:val="en-US" w:eastAsia="zh-CN" w:bidi="ar-SA"/>
    </w:rPr>
  </w:style>
  <w:style w:type="table" w:customStyle="1" w:styleId="155">
    <w:name w:val="Table Normal"/>
    <w:autoRedefine/>
    <w:semiHidden/>
    <w:unhideWhenUsed/>
    <w:qFormat/>
    <w:uiPriority w:val="0"/>
    <w:tblPr>
      <w:tblCellMar>
        <w:top w:w="0" w:type="dxa"/>
        <w:left w:w="0" w:type="dxa"/>
        <w:bottom w:w="0" w:type="dxa"/>
        <w:right w:w="0" w:type="dxa"/>
      </w:tblCellMar>
    </w:tblPr>
  </w:style>
  <w:style w:type="character" w:customStyle="1" w:styleId="156">
    <w:name w:val="gb-jt"/>
    <w:basedOn w:val="37"/>
    <w:autoRedefine/>
    <w:qFormat/>
    <w:uiPriority w:val="0"/>
  </w:style>
  <w:style w:type="paragraph" w:customStyle="1" w:styleId="157">
    <w:name w:val="段"/>
    <w:next w:val="1"/>
    <w:qFormat/>
    <w:uiPriority w:val="0"/>
    <w:pPr>
      <w:autoSpaceDE w:val="0"/>
      <w:autoSpaceDN w:val="0"/>
      <w:ind w:firstLine="200" w:firstLineChars="200"/>
      <w:jc w:val="both"/>
    </w:pPr>
    <w:rPr>
      <w:rFonts w:ascii="宋体" w:hAnsi="Calibri" w:eastAsia="Times New Roman" w:cs="Times New Roman"/>
      <w:sz w:val="21"/>
      <w:lang w:val="en-US" w:eastAsia="zh-CN" w:bidi="ar-SA"/>
    </w:rPr>
  </w:style>
  <w:style w:type="paragraph" w:customStyle="1" w:styleId="158">
    <w:name w:val="*正文"/>
    <w:basedOn w:val="1"/>
    <w:qFormat/>
    <w:uiPriority w:val="0"/>
    <w:pPr>
      <w:keepNext/>
      <w:keepLines/>
      <w:spacing w:line="360" w:lineRule="auto"/>
      <w:ind w:firstLine="200" w:firstLineChars="200"/>
    </w:pPr>
    <w:rPr>
      <w:rFonts w:ascii="宋体" w:hAnsi="宋体"/>
    </w:rPr>
  </w:style>
  <w:style w:type="paragraph" w:customStyle="1" w:styleId="159">
    <w:name w:val="Table Text"/>
    <w:basedOn w:val="1"/>
    <w:semiHidden/>
    <w:qFormat/>
    <w:uiPriority w:val="0"/>
    <w:rPr>
      <w:rFonts w:ascii="宋体" w:hAnsi="宋体" w:eastAsia="宋体" w:cs="宋体"/>
      <w:sz w:val="20"/>
      <w:szCs w:val="20"/>
      <w:lang w:val="en-US" w:eastAsia="en-US" w:bidi="ar-SA"/>
    </w:rPr>
  </w:style>
  <w:style w:type="table" w:customStyle="1" w:styleId="160">
    <w:name w:val="Table Normal2"/>
    <w:unhideWhenUsed/>
    <w:qFormat/>
    <w:uiPriority w:val="2"/>
    <w:tblPr>
      <w:tblCellMar>
        <w:top w:w="0" w:type="dxa"/>
        <w:left w:w="0" w:type="dxa"/>
        <w:bottom w:w="0" w:type="dxa"/>
        <w:right w:w="0" w:type="dxa"/>
      </w:tblCellMar>
    </w:tblPr>
  </w:style>
  <w:style w:type="paragraph" w:customStyle="1" w:styleId="16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58</Pages>
  <Words>7776</Words>
  <Characters>8525</Characters>
  <Lines>154</Lines>
  <Paragraphs>43</Paragraphs>
  <TotalTime>98</TotalTime>
  <ScaleCrop>false</ScaleCrop>
  <LinksUpToDate>false</LinksUpToDate>
  <CharactersWithSpaces>8572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2024-02-28T07:47:00Z</dcterms:created>
  <dc:creator>Administrator</dc:creator>
  <cp:lastModifiedBy>欢欢</cp:lastModifiedBy>
  <cp:lastPrinted>2023-07-20T03:32:00Z</cp:lastPrinted>
  <dcterms:modified xsi:type="dcterms:W3CDTF">2026-08-17T03:07:23Z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2400B17F9FD246C8A23FB8E1521A89F1_13</vt:lpwstr>
  </property>
  <property fmtid="{D5CDD505-2E9C-101B-9397-08002B2CF9AE}" pid="4" name="KSOTemplateDocerSaveRecord">
    <vt:lpwstr>eyJoZGlkIjoiOTc3M2Y5NzIzMDFlZjAyY2Q4Njk5ODkyYjFjNzBiNTQiLCJ1c2VySWQiOiI3NTA5MDk3NDcifQ==</vt:lpwstr>
  </property>
</Properties>
</file>