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A8CDF">
      <w:pPr>
        <w:pStyle w:val="7"/>
        <w:spacing w:line="360" w:lineRule="auto"/>
        <w:rPr>
          <w:rStyle w:val="11"/>
          <w:rFonts w:hint="eastAsia"/>
          <w:b/>
          <w:color w:val="auto"/>
          <w:szCs w:val="22"/>
          <w:highlight w:val="none"/>
        </w:rPr>
      </w:pPr>
      <w:r>
        <w:rPr>
          <w:rStyle w:val="11"/>
          <w:rFonts w:hint="eastAsia"/>
          <w:b/>
          <w:color w:val="auto"/>
          <w:szCs w:val="22"/>
          <w:highlight w:val="none"/>
        </w:rPr>
        <w:t>采购需求</w:t>
      </w:r>
    </w:p>
    <w:p w14:paraId="6B840E02">
      <w:pPr>
        <w:keepNext w:val="0"/>
        <w:keepLines w:val="0"/>
        <w:pageBreakBefore w:val="0"/>
        <w:widowControl w:val="0"/>
        <w:kinsoku/>
        <w:wordWrap/>
        <w:overflowPunct w:val="0"/>
        <w:topLinePunct w:val="0"/>
        <w:autoSpaceDE w:val="0"/>
        <w:autoSpaceDN w:val="0"/>
        <w:bidi w:val="0"/>
        <w:adjustRightInd/>
        <w:snapToGrid/>
        <w:spacing w:line="360" w:lineRule="auto"/>
        <w:ind w:right="0" w:firstLine="420" w:firstLineChars="200"/>
        <w:textAlignment w:val="auto"/>
        <w:rPr>
          <w:rFonts w:hint="eastAsia"/>
          <w:caps w:val="0"/>
          <w:color w:val="auto"/>
          <w:kern w:val="21"/>
          <w:sz w:val="21"/>
          <w:szCs w:val="21"/>
          <w:highlight w:val="none"/>
          <w:lang w:val="en-US" w:eastAsia="zh-CN"/>
        </w:rPr>
      </w:pPr>
      <w:r>
        <w:rPr>
          <w:rFonts w:hint="eastAsia"/>
          <w:caps w:val="0"/>
          <w:color w:val="auto"/>
          <w:kern w:val="21"/>
          <w:sz w:val="21"/>
          <w:szCs w:val="21"/>
          <w:highlight w:val="none"/>
          <w:lang w:val="en-US" w:eastAsia="zh-CN"/>
        </w:rPr>
        <w:t xml:space="preserve">一、项目背景 </w:t>
      </w:r>
    </w:p>
    <w:p w14:paraId="535E5CC4">
      <w:pPr>
        <w:keepNext w:val="0"/>
        <w:keepLines w:val="0"/>
        <w:pageBreakBefore w:val="0"/>
        <w:widowControl w:val="0"/>
        <w:kinsoku/>
        <w:wordWrap/>
        <w:overflowPunct w:val="0"/>
        <w:topLinePunct w:val="0"/>
        <w:autoSpaceDE w:val="0"/>
        <w:autoSpaceDN w:val="0"/>
        <w:bidi w:val="0"/>
        <w:adjustRightInd/>
        <w:snapToGrid/>
        <w:spacing w:line="360" w:lineRule="auto"/>
        <w:ind w:right="0" w:firstLine="420" w:firstLineChars="200"/>
        <w:textAlignment w:val="auto"/>
        <w:rPr>
          <w:rFonts w:hint="eastAsia"/>
          <w:caps w:val="0"/>
          <w:color w:val="auto"/>
          <w:kern w:val="21"/>
          <w:sz w:val="21"/>
          <w:szCs w:val="21"/>
          <w:highlight w:val="none"/>
          <w:lang w:val="en-US" w:eastAsia="zh-CN"/>
        </w:rPr>
      </w:pPr>
      <w:r>
        <w:rPr>
          <w:rFonts w:hint="eastAsia"/>
          <w:caps w:val="0"/>
          <w:color w:val="auto"/>
          <w:kern w:val="21"/>
          <w:sz w:val="21"/>
          <w:szCs w:val="21"/>
          <w:highlight w:val="none"/>
          <w:lang w:val="en-US" w:eastAsia="zh-CN"/>
        </w:rPr>
        <w:t xml:space="preserve">为全面提升学校食堂食材供应的质量与安全性，切实保障广大师生的饮食健康，濮阳县教育局计划对食材供应商进行征集，进一步提升服务保障能力，确保阳光饮食平台安全、高效运行。 </w:t>
      </w:r>
    </w:p>
    <w:p w14:paraId="240D8810">
      <w:pPr>
        <w:keepNext w:val="0"/>
        <w:keepLines w:val="0"/>
        <w:pageBreakBefore w:val="0"/>
        <w:widowControl w:val="0"/>
        <w:kinsoku/>
        <w:wordWrap/>
        <w:overflowPunct w:val="0"/>
        <w:topLinePunct w:val="0"/>
        <w:autoSpaceDE w:val="0"/>
        <w:autoSpaceDN w:val="0"/>
        <w:bidi w:val="0"/>
        <w:adjustRightInd/>
        <w:snapToGrid/>
        <w:spacing w:line="360" w:lineRule="auto"/>
        <w:ind w:right="0" w:firstLine="420" w:firstLineChars="200"/>
        <w:textAlignment w:val="auto"/>
        <w:rPr>
          <w:rFonts w:hint="eastAsia"/>
          <w:caps w:val="0"/>
          <w:color w:val="auto"/>
          <w:kern w:val="21"/>
          <w:sz w:val="21"/>
          <w:szCs w:val="21"/>
          <w:highlight w:val="none"/>
          <w:lang w:val="en-US" w:eastAsia="zh-CN"/>
        </w:rPr>
      </w:pPr>
      <w:r>
        <w:rPr>
          <w:rFonts w:hint="eastAsia"/>
          <w:caps w:val="0"/>
          <w:color w:val="auto"/>
          <w:kern w:val="21"/>
          <w:sz w:val="21"/>
          <w:szCs w:val="21"/>
          <w:highlight w:val="none"/>
          <w:lang w:val="en-US" w:eastAsia="zh-CN"/>
        </w:rPr>
        <w:t xml:space="preserve">二、采购目的 </w:t>
      </w:r>
      <w:bookmarkStart w:id="0" w:name="_GoBack"/>
      <w:bookmarkEnd w:id="0"/>
    </w:p>
    <w:p w14:paraId="24CDA755">
      <w:pPr>
        <w:keepNext w:val="0"/>
        <w:keepLines w:val="0"/>
        <w:pageBreakBefore w:val="0"/>
        <w:widowControl w:val="0"/>
        <w:kinsoku/>
        <w:wordWrap/>
        <w:overflowPunct w:val="0"/>
        <w:topLinePunct w:val="0"/>
        <w:autoSpaceDE w:val="0"/>
        <w:autoSpaceDN w:val="0"/>
        <w:bidi w:val="0"/>
        <w:adjustRightInd/>
        <w:snapToGrid/>
        <w:spacing w:line="360" w:lineRule="auto"/>
        <w:ind w:right="0" w:firstLine="420" w:firstLineChars="200"/>
        <w:textAlignment w:val="auto"/>
        <w:rPr>
          <w:rFonts w:hint="eastAsia"/>
          <w:caps w:val="0"/>
          <w:color w:val="auto"/>
          <w:kern w:val="21"/>
          <w:sz w:val="21"/>
          <w:szCs w:val="21"/>
          <w:highlight w:val="none"/>
          <w:lang w:val="en-US" w:eastAsia="zh-CN"/>
        </w:rPr>
      </w:pPr>
      <w:r>
        <w:rPr>
          <w:rFonts w:hint="eastAsia"/>
          <w:caps w:val="0"/>
          <w:color w:val="auto"/>
          <w:kern w:val="21"/>
          <w:sz w:val="21"/>
          <w:szCs w:val="21"/>
          <w:highlight w:val="none"/>
          <w:lang w:val="en-US" w:eastAsia="zh-CN"/>
        </w:rPr>
        <w:t xml:space="preserve">建立一套科学、规范、透明的食材集中统一采购机制，确保采购过程公平、公正 、公开。筛选出一批具有良好信誉、雄厚实力、优质服务能力的食材供应商，为学校食堂提供稳定可靠的食材供应。有效降低食材采购成本，提高资金使用效率，在保证食材品质的前提下，实现资源的优化配置。强化食品安全管理，从源头到餐桌全程监控，确保师生舌尖上的安全。 </w:t>
      </w:r>
    </w:p>
    <w:p w14:paraId="5517D1E2">
      <w:pPr>
        <w:keepNext w:val="0"/>
        <w:keepLines w:val="0"/>
        <w:pageBreakBefore w:val="0"/>
        <w:widowControl w:val="0"/>
        <w:kinsoku/>
        <w:wordWrap/>
        <w:overflowPunct w:val="0"/>
        <w:topLinePunct w:val="0"/>
        <w:autoSpaceDE w:val="0"/>
        <w:autoSpaceDN w:val="0"/>
        <w:bidi w:val="0"/>
        <w:adjustRightInd/>
        <w:snapToGrid/>
        <w:spacing w:line="360" w:lineRule="auto"/>
        <w:ind w:left="0" w:right="0" w:firstLine="525"/>
        <w:textAlignment w:val="auto"/>
        <w:rPr>
          <w:rFonts w:hint="eastAsia"/>
          <w:caps w:val="0"/>
          <w:color w:val="auto"/>
          <w:kern w:val="21"/>
          <w:sz w:val="21"/>
          <w:szCs w:val="21"/>
          <w:highlight w:val="none"/>
          <w:lang w:eastAsia="zh-CN"/>
        </w:rPr>
      </w:pPr>
      <w:r>
        <w:rPr>
          <w:rFonts w:hint="eastAsia"/>
          <w:caps w:val="0"/>
          <w:color w:val="auto"/>
          <w:kern w:val="21"/>
          <w:sz w:val="21"/>
          <w:szCs w:val="21"/>
          <w:highlight w:val="none"/>
          <w:lang w:val="en-US" w:eastAsia="zh-CN"/>
        </w:rPr>
        <w:t xml:space="preserve">三、供应范围及要求 </w:t>
      </w:r>
    </w:p>
    <w:p w14:paraId="23321DF1">
      <w:pPr>
        <w:keepNext w:val="0"/>
        <w:keepLines w:val="0"/>
        <w:pageBreakBefore w:val="0"/>
        <w:widowControl w:val="0"/>
        <w:kinsoku/>
        <w:wordWrap/>
        <w:overflowPunct w:val="0"/>
        <w:topLinePunct w:val="0"/>
        <w:autoSpaceDE w:val="0"/>
        <w:autoSpaceDN w:val="0"/>
        <w:bidi w:val="0"/>
        <w:adjustRightInd/>
        <w:snapToGrid/>
        <w:spacing w:line="360" w:lineRule="auto"/>
        <w:ind w:left="0" w:right="0" w:firstLine="525"/>
        <w:textAlignment w:val="auto"/>
        <w:rPr>
          <w:rFonts w:hint="eastAsia"/>
          <w:caps w:val="0"/>
          <w:color w:val="auto"/>
          <w:kern w:val="21"/>
          <w:sz w:val="21"/>
          <w:szCs w:val="21"/>
          <w:highlight w:val="none"/>
          <w:lang w:eastAsia="zh-CN"/>
        </w:rPr>
      </w:pPr>
      <w:r>
        <w:rPr>
          <w:rFonts w:hint="eastAsia"/>
          <w:caps w:val="0"/>
          <w:color w:val="auto"/>
          <w:kern w:val="21"/>
          <w:sz w:val="21"/>
          <w:szCs w:val="21"/>
          <w:highlight w:val="none"/>
          <w:lang w:val="en-US" w:eastAsia="zh-CN"/>
        </w:rPr>
        <w:t xml:space="preserve">为满足学校多样化食材需求，尽可能向学校提供多种食材选择，全力做好学校食材供应服务，征集15家食材供应商。 </w:t>
      </w:r>
    </w:p>
    <w:p w14:paraId="086172EF">
      <w:pPr>
        <w:keepNext w:val="0"/>
        <w:keepLines w:val="0"/>
        <w:pageBreakBefore w:val="0"/>
        <w:widowControl w:val="0"/>
        <w:kinsoku/>
        <w:wordWrap/>
        <w:overflowPunct w:val="0"/>
        <w:topLinePunct w:val="0"/>
        <w:autoSpaceDE w:val="0"/>
        <w:autoSpaceDN w:val="0"/>
        <w:bidi w:val="0"/>
        <w:adjustRightInd/>
        <w:snapToGrid/>
        <w:spacing w:line="360" w:lineRule="auto"/>
        <w:ind w:right="0" w:firstLine="420" w:firstLineChars="200"/>
        <w:textAlignment w:val="auto"/>
        <w:rPr>
          <w:rFonts w:hint="default"/>
          <w:caps w:val="0"/>
          <w:color w:val="auto"/>
          <w:kern w:val="21"/>
          <w:sz w:val="21"/>
          <w:szCs w:val="21"/>
          <w:highlight w:val="none"/>
          <w:lang w:val="en-US" w:eastAsia="zh-CN"/>
        </w:rPr>
      </w:pPr>
      <w:r>
        <w:rPr>
          <w:rFonts w:hint="eastAsia"/>
          <w:caps w:val="0"/>
          <w:color w:val="auto"/>
          <w:kern w:val="21"/>
          <w:sz w:val="21"/>
          <w:szCs w:val="21"/>
          <w:highlight w:val="none"/>
          <w:lang w:val="en-US" w:eastAsia="zh-CN"/>
        </w:rPr>
        <w:t>供应范围：涵盖学校食堂日常所需的蔬菜、水果、肉类、水产品类、禽类（需提供动物防疫检疫合格证）（</w:t>
      </w:r>
      <w:r>
        <w:rPr>
          <w:rFonts w:hint="eastAsia"/>
          <w:b/>
          <w:bCs/>
          <w:caps w:val="0"/>
          <w:color w:val="auto"/>
          <w:kern w:val="21"/>
          <w:sz w:val="21"/>
          <w:szCs w:val="21"/>
          <w:highlight w:val="none"/>
          <w:lang w:val="en-US" w:eastAsia="zh-CN"/>
        </w:rPr>
        <w:t>供货时按照要求提供</w:t>
      </w:r>
      <w:r>
        <w:rPr>
          <w:rFonts w:hint="eastAsia"/>
          <w:caps w:val="0"/>
          <w:color w:val="auto"/>
          <w:kern w:val="21"/>
          <w:sz w:val="21"/>
          <w:szCs w:val="21"/>
          <w:highlight w:val="none"/>
          <w:lang w:val="en-US" w:eastAsia="zh-CN"/>
        </w:rPr>
        <w:t>）、蛋类、粮 油、副食调料、豆制品、奶制品、冷冻食品、干货等所有食材品类。如有政策调整，按照政策要求执行。</w:t>
      </w:r>
    </w:p>
    <w:p w14:paraId="69586B4E">
      <w:pPr>
        <w:keepNext w:val="0"/>
        <w:keepLines w:val="0"/>
        <w:pageBreakBefore w:val="0"/>
        <w:widowControl w:val="0"/>
        <w:kinsoku/>
        <w:wordWrap/>
        <w:overflowPunct w:val="0"/>
        <w:topLinePunct w:val="0"/>
        <w:autoSpaceDE w:val="0"/>
        <w:autoSpaceDN w:val="0"/>
        <w:bidi w:val="0"/>
        <w:adjustRightInd/>
        <w:snapToGrid/>
        <w:spacing w:line="360" w:lineRule="auto"/>
        <w:ind w:left="0" w:right="0" w:firstLine="525"/>
        <w:textAlignment w:val="auto"/>
        <w:rPr>
          <w:rFonts w:hint="eastAsia"/>
          <w:caps w:val="0"/>
          <w:color w:val="auto"/>
          <w:kern w:val="21"/>
          <w:sz w:val="21"/>
          <w:szCs w:val="21"/>
          <w:highlight w:val="none"/>
          <w:lang w:val="en-US" w:eastAsia="zh-CN"/>
        </w:rPr>
      </w:pPr>
      <w:r>
        <w:rPr>
          <w:rFonts w:hint="eastAsia"/>
          <w:caps w:val="0"/>
          <w:color w:val="auto"/>
          <w:kern w:val="21"/>
          <w:sz w:val="21"/>
          <w:szCs w:val="21"/>
          <w:highlight w:val="none"/>
          <w:lang w:val="en-US" w:eastAsia="zh-CN"/>
        </w:rPr>
        <w:t xml:space="preserve">质量要求：各品类食材均须符合相应的国家食品安全标准，具备有效的检验检疫合格证明。蔬菜应新鲜、无农药残留超标；肉类来自大型规模化屠宰场，有动物检疫合格证和肉品品质检验合格证；各类食品添加剂应符合国家标准且在保质期内等。供应商需建立完善的质量追溯体系，确保食材来源可溯、去向可追、责任可究。蔬菜、水果、肉类、禽类、蛋类开具食用农产品承诺达标合格证或者濮农优品电子合格证， 实行全程追溯。粮油产品必须符合国家质量标准，具备SC认证。大米应无黄曲霉毒素超标，颗粒饱满、色泽正常；面粉无增白剂超标等问题；食用油需符合相应的压榨或浸出工艺标准，无酸价、过氧化值超标情况。供应商需提供产品的定期质量检测报告。大米开具食用农产品承诺达标合格证或者濮农优品电子合格证，实行全程追溯。 </w:t>
      </w:r>
    </w:p>
    <w:p w14:paraId="499C9DAD">
      <w:pPr>
        <w:keepNext w:val="0"/>
        <w:keepLines w:val="0"/>
        <w:pageBreakBefore w:val="0"/>
        <w:widowControl w:val="0"/>
        <w:kinsoku/>
        <w:wordWrap/>
        <w:overflowPunct w:val="0"/>
        <w:topLinePunct w:val="0"/>
        <w:autoSpaceDE w:val="0"/>
        <w:autoSpaceDN w:val="0"/>
        <w:bidi w:val="0"/>
        <w:adjustRightInd/>
        <w:snapToGrid/>
        <w:spacing w:line="360" w:lineRule="auto"/>
        <w:ind w:left="0" w:right="0" w:firstLine="525"/>
        <w:textAlignment w:val="auto"/>
        <w:rPr>
          <w:rFonts w:hint="eastAsia"/>
          <w:caps w:val="0"/>
          <w:color w:val="auto"/>
          <w:kern w:val="21"/>
          <w:sz w:val="21"/>
          <w:szCs w:val="21"/>
          <w:highlight w:val="none"/>
          <w:lang w:eastAsia="zh-CN"/>
        </w:rPr>
      </w:pPr>
      <w:r>
        <w:rPr>
          <w:rFonts w:hint="eastAsia"/>
          <w:caps w:val="0"/>
          <w:color w:val="auto"/>
          <w:kern w:val="21"/>
          <w:sz w:val="21"/>
          <w:szCs w:val="21"/>
          <w:highlight w:val="none"/>
          <w:lang w:val="en-US" w:eastAsia="zh-CN"/>
        </w:rPr>
        <w:t xml:space="preserve">配送要求：具备覆盖全县学校的配送网络，拥有冷藏及常温配送车辆，确保食材在运输过程中的品质不受影响。配送车辆需保持清洁卫生，具备相应的防潮、防虫、防鼠等设施，防止粮油产品在运输过程中受到污染。能按照学校指定的时间和地点，准确、及时地送达食材。同时，要具备应对突发情况的应急配送能力，如恶劣天气、交通管制等。 </w:t>
      </w:r>
    </w:p>
    <w:p w14:paraId="75E04489">
      <w:pPr>
        <w:keepNext w:val="0"/>
        <w:keepLines w:val="0"/>
        <w:pageBreakBefore w:val="0"/>
        <w:widowControl w:val="0"/>
        <w:kinsoku/>
        <w:wordWrap/>
        <w:overflowPunct w:val="0"/>
        <w:topLinePunct w:val="0"/>
        <w:autoSpaceDE w:val="0"/>
        <w:autoSpaceDN w:val="0"/>
        <w:bidi w:val="0"/>
        <w:adjustRightInd/>
        <w:snapToGrid/>
        <w:spacing w:line="360" w:lineRule="auto"/>
        <w:ind w:left="0" w:right="0" w:firstLine="525"/>
        <w:textAlignment w:val="auto"/>
        <w:rPr>
          <w:rFonts w:hint="eastAsia"/>
          <w:caps w:val="0"/>
          <w:color w:val="auto"/>
          <w:kern w:val="21"/>
          <w:sz w:val="21"/>
          <w:szCs w:val="21"/>
          <w:highlight w:val="none"/>
          <w:lang w:eastAsia="zh-CN"/>
        </w:rPr>
      </w:pPr>
      <w:r>
        <w:rPr>
          <w:rFonts w:hint="eastAsia"/>
          <w:caps w:val="0"/>
          <w:color w:val="auto"/>
          <w:kern w:val="21"/>
          <w:sz w:val="21"/>
          <w:szCs w:val="21"/>
          <w:highlight w:val="none"/>
          <w:lang w:val="en-US" w:eastAsia="zh-CN"/>
        </w:rPr>
        <w:t xml:space="preserve">四、通用要求  </w:t>
      </w:r>
    </w:p>
    <w:p w14:paraId="3D442723">
      <w:pPr>
        <w:keepNext w:val="0"/>
        <w:keepLines w:val="0"/>
        <w:pageBreakBefore w:val="0"/>
        <w:widowControl w:val="0"/>
        <w:kinsoku/>
        <w:wordWrap/>
        <w:overflowPunct w:val="0"/>
        <w:topLinePunct w:val="0"/>
        <w:autoSpaceDE w:val="0"/>
        <w:autoSpaceDN w:val="0"/>
        <w:bidi w:val="0"/>
        <w:adjustRightInd/>
        <w:snapToGrid/>
        <w:spacing w:line="360" w:lineRule="auto"/>
        <w:ind w:left="0" w:right="0" w:firstLine="525"/>
        <w:textAlignment w:val="auto"/>
        <w:rPr>
          <w:rFonts w:hint="default" w:ascii="宋体" w:hAnsi="宋体" w:eastAsia="宋体" w:cs="宋体"/>
          <w:caps w:val="0"/>
          <w:color w:val="auto"/>
          <w:kern w:val="21"/>
          <w:sz w:val="21"/>
          <w:szCs w:val="21"/>
          <w:highlight w:val="none"/>
          <w:lang w:val="en-US" w:eastAsia="zh-CN"/>
        </w:rPr>
      </w:pPr>
      <w:r>
        <w:rPr>
          <w:rFonts w:hint="eastAsia" w:ascii="宋体" w:hAnsi="宋体" w:eastAsia="宋体" w:cs="宋体"/>
          <w:caps w:val="0"/>
          <w:color w:val="auto"/>
          <w:kern w:val="21"/>
          <w:sz w:val="21"/>
          <w:szCs w:val="21"/>
          <w:highlight w:val="none"/>
          <w:lang w:val="en-US" w:eastAsia="zh-CN"/>
        </w:rPr>
        <w:t>1.近3年内无食品安全事故。</w:t>
      </w:r>
    </w:p>
    <w:p w14:paraId="3233548B">
      <w:pPr>
        <w:keepNext w:val="0"/>
        <w:keepLines w:val="0"/>
        <w:pageBreakBefore w:val="0"/>
        <w:widowControl w:val="0"/>
        <w:kinsoku/>
        <w:wordWrap/>
        <w:overflowPunct w:val="0"/>
        <w:topLinePunct w:val="0"/>
        <w:autoSpaceDE w:val="0"/>
        <w:autoSpaceDN w:val="0"/>
        <w:bidi w:val="0"/>
        <w:adjustRightInd/>
        <w:snapToGrid/>
        <w:spacing w:line="360" w:lineRule="auto"/>
        <w:ind w:left="0" w:right="0" w:firstLine="525"/>
        <w:textAlignment w:val="auto"/>
        <w:rPr>
          <w:rFonts w:hint="eastAsia" w:ascii="宋体" w:hAnsi="宋体" w:eastAsia="宋体" w:cs="宋体"/>
          <w:caps w:val="0"/>
          <w:color w:val="auto"/>
          <w:kern w:val="21"/>
          <w:sz w:val="21"/>
          <w:szCs w:val="21"/>
          <w:highlight w:val="none"/>
          <w:lang w:val="en-US" w:eastAsia="zh-CN"/>
        </w:rPr>
      </w:pPr>
      <w:r>
        <w:rPr>
          <w:rFonts w:hint="eastAsia" w:ascii="宋体" w:hAnsi="宋体" w:eastAsia="宋体" w:cs="宋体"/>
          <w:caps w:val="0"/>
          <w:color w:val="auto"/>
          <w:kern w:val="21"/>
          <w:sz w:val="21"/>
          <w:szCs w:val="21"/>
          <w:highlight w:val="none"/>
          <w:lang w:val="en-US" w:eastAsia="zh-CN"/>
        </w:rPr>
        <w:t xml:space="preserve">2.具有相应的检测设备和操作人员，能提供配送物品的检测报告或食品检验合格证。 </w:t>
      </w:r>
    </w:p>
    <w:p w14:paraId="30FEB3E8">
      <w:pPr>
        <w:keepNext w:val="0"/>
        <w:keepLines w:val="0"/>
        <w:pageBreakBefore w:val="0"/>
        <w:widowControl w:val="0"/>
        <w:kinsoku/>
        <w:wordWrap/>
        <w:overflowPunct w:val="0"/>
        <w:topLinePunct w:val="0"/>
        <w:autoSpaceDE w:val="0"/>
        <w:autoSpaceDN w:val="0"/>
        <w:bidi w:val="0"/>
        <w:adjustRightInd/>
        <w:snapToGrid/>
        <w:spacing w:line="360" w:lineRule="auto"/>
        <w:ind w:left="0" w:right="0" w:firstLine="525"/>
        <w:textAlignment w:val="auto"/>
        <w:rPr>
          <w:rFonts w:hint="eastAsia" w:ascii="宋体" w:hAnsi="宋体" w:eastAsia="宋体" w:cs="宋体"/>
          <w:caps w:val="0"/>
          <w:color w:val="auto"/>
          <w:kern w:val="21"/>
          <w:sz w:val="21"/>
          <w:szCs w:val="21"/>
          <w:highlight w:val="none"/>
          <w:lang w:val="en-US" w:eastAsia="zh-CN"/>
        </w:rPr>
      </w:pPr>
      <w:r>
        <w:rPr>
          <w:rFonts w:hint="eastAsia" w:ascii="宋体" w:hAnsi="宋体" w:eastAsia="宋体" w:cs="宋体"/>
          <w:caps w:val="0"/>
          <w:color w:val="auto"/>
          <w:kern w:val="21"/>
          <w:sz w:val="21"/>
          <w:szCs w:val="21"/>
          <w:highlight w:val="none"/>
          <w:lang w:val="en-US" w:eastAsia="zh-CN"/>
        </w:rPr>
        <w:t xml:space="preserve">3.具备完善的服务体系，确保各类食品根据所供学校、幼儿园的实际需求按时送达，并能及时响应并妥善处理学校提出的质量投诉、退换货等问题。 </w:t>
      </w:r>
    </w:p>
    <w:p w14:paraId="521E257D">
      <w:pPr>
        <w:keepNext w:val="0"/>
        <w:keepLines w:val="0"/>
        <w:pageBreakBefore w:val="0"/>
        <w:widowControl w:val="0"/>
        <w:kinsoku/>
        <w:wordWrap/>
        <w:overflowPunct w:val="0"/>
        <w:topLinePunct w:val="0"/>
        <w:autoSpaceDE w:val="0"/>
        <w:autoSpaceDN w:val="0"/>
        <w:bidi w:val="0"/>
        <w:adjustRightInd/>
        <w:snapToGrid/>
        <w:spacing w:line="360" w:lineRule="auto"/>
        <w:ind w:left="0" w:right="0" w:firstLine="525"/>
        <w:textAlignment w:val="auto"/>
        <w:rPr>
          <w:rFonts w:hint="eastAsia" w:ascii="宋体" w:hAnsi="宋体" w:eastAsia="宋体" w:cs="宋体"/>
          <w:caps w:val="0"/>
          <w:color w:val="auto"/>
          <w:kern w:val="21"/>
          <w:sz w:val="21"/>
          <w:szCs w:val="21"/>
          <w:highlight w:val="none"/>
          <w:lang w:val="en-US" w:eastAsia="zh-CN"/>
        </w:rPr>
      </w:pPr>
      <w:r>
        <w:rPr>
          <w:rFonts w:hint="eastAsia" w:ascii="宋体" w:hAnsi="宋体" w:eastAsia="宋体" w:cs="宋体"/>
          <w:caps w:val="0"/>
          <w:color w:val="auto"/>
          <w:kern w:val="21"/>
          <w:sz w:val="21"/>
          <w:szCs w:val="21"/>
          <w:highlight w:val="none"/>
          <w:lang w:val="en-US" w:eastAsia="zh-CN"/>
        </w:rPr>
        <w:t>4.</w:t>
      </w:r>
      <w:r>
        <w:rPr>
          <w:rFonts w:hint="eastAsia" w:ascii="宋体" w:hAnsi="宋体" w:eastAsia="宋体" w:cs="宋体"/>
          <w:b/>
          <w:bCs/>
          <w:caps w:val="0"/>
          <w:color w:val="auto"/>
          <w:kern w:val="21"/>
          <w:sz w:val="21"/>
          <w:szCs w:val="21"/>
          <w:highlight w:val="none"/>
          <w:lang w:val="en-US" w:eastAsia="zh-CN"/>
        </w:rPr>
        <w:t>自有箱式货车不得低于3辆（其中冷藏车至少1辆）</w:t>
      </w:r>
      <w:r>
        <w:rPr>
          <w:rFonts w:hint="eastAsia" w:ascii="宋体" w:hAnsi="宋体" w:eastAsia="宋体" w:cs="宋体"/>
          <w:caps w:val="0"/>
          <w:color w:val="auto"/>
          <w:kern w:val="21"/>
          <w:sz w:val="21"/>
          <w:szCs w:val="21"/>
          <w:highlight w:val="none"/>
          <w:lang w:val="en-US" w:eastAsia="zh-CN"/>
        </w:rPr>
        <w:t xml:space="preserve">，如果在响应时响应文件中提供租赁车辆的，在签订合同时，租赁合同的租赁期限要覆盖本项目的服务期。 </w:t>
      </w:r>
    </w:p>
    <w:p w14:paraId="4FC13BEC">
      <w:pPr>
        <w:keepNext w:val="0"/>
        <w:keepLines w:val="0"/>
        <w:pageBreakBefore w:val="0"/>
        <w:widowControl w:val="0"/>
        <w:kinsoku/>
        <w:wordWrap/>
        <w:overflowPunct w:val="0"/>
        <w:topLinePunct w:val="0"/>
        <w:autoSpaceDE w:val="0"/>
        <w:autoSpaceDN w:val="0"/>
        <w:bidi w:val="0"/>
        <w:adjustRightInd/>
        <w:snapToGrid/>
        <w:spacing w:line="360" w:lineRule="auto"/>
        <w:ind w:left="0" w:right="0" w:firstLine="525"/>
        <w:textAlignment w:val="auto"/>
        <w:rPr>
          <w:rFonts w:hint="eastAsia" w:ascii="宋体" w:hAnsi="宋体" w:eastAsia="宋体" w:cs="宋体"/>
          <w:caps w:val="0"/>
          <w:color w:val="auto"/>
          <w:kern w:val="21"/>
          <w:sz w:val="21"/>
          <w:szCs w:val="21"/>
          <w:highlight w:val="none"/>
          <w:lang w:val="en-US" w:eastAsia="zh-CN"/>
        </w:rPr>
      </w:pPr>
      <w:r>
        <w:rPr>
          <w:rFonts w:hint="eastAsia" w:ascii="宋体" w:hAnsi="宋体" w:eastAsia="宋体" w:cs="宋体"/>
          <w:caps w:val="0"/>
          <w:color w:val="auto"/>
          <w:kern w:val="21"/>
          <w:sz w:val="21"/>
          <w:szCs w:val="21"/>
          <w:highlight w:val="none"/>
          <w:lang w:val="en-US" w:eastAsia="zh-CN"/>
        </w:rPr>
        <w:t xml:space="preserve">5.具有健康证并签订用工合同的不少于10人，缴纳社保人员≥3人。 </w:t>
      </w:r>
    </w:p>
    <w:p w14:paraId="5452071B">
      <w:pPr>
        <w:keepNext w:val="0"/>
        <w:keepLines w:val="0"/>
        <w:pageBreakBefore w:val="0"/>
        <w:widowControl w:val="0"/>
        <w:kinsoku/>
        <w:wordWrap/>
        <w:overflowPunct w:val="0"/>
        <w:topLinePunct w:val="0"/>
        <w:autoSpaceDE w:val="0"/>
        <w:autoSpaceDN w:val="0"/>
        <w:bidi w:val="0"/>
        <w:adjustRightInd/>
        <w:snapToGrid/>
        <w:spacing w:line="360" w:lineRule="auto"/>
        <w:ind w:left="0" w:right="0" w:firstLine="525"/>
        <w:textAlignment w:val="auto"/>
        <w:rPr>
          <w:rFonts w:hint="eastAsia" w:ascii="宋体" w:hAnsi="宋体" w:eastAsia="宋体" w:cs="宋体"/>
          <w:caps w:val="0"/>
          <w:color w:val="auto"/>
          <w:kern w:val="21"/>
          <w:sz w:val="21"/>
          <w:szCs w:val="21"/>
          <w:highlight w:val="none"/>
          <w:lang w:val="en-US" w:eastAsia="zh-CN"/>
        </w:rPr>
      </w:pPr>
      <w:r>
        <w:rPr>
          <w:rFonts w:hint="eastAsia" w:ascii="宋体" w:hAnsi="宋体" w:eastAsia="宋体" w:cs="宋体"/>
          <w:caps w:val="0"/>
          <w:color w:val="auto"/>
          <w:kern w:val="21"/>
          <w:sz w:val="21"/>
          <w:szCs w:val="21"/>
          <w:highlight w:val="none"/>
          <w:lang w:val="en-US" w:eastAsia="zh-CN"/>
        </w:rPr>
        <w:t>6.供应商须具有符合国家相关政策及满足经营需求的场地，有独立办公室、检验室，分拣场地区域划分合理，分拣、装卸、停车等布局合理；</w:t>
      </w:r>
    </w:p>
    <w:p w14:paraId="44073494">
      <w:pPr>
        <w:keepNext w:val="0"/>
        <w:keepLines w:val="0"/>
        <w:pageBreakBefore w:val="0"/>
        <w:widowControl w:val="0"/>
        <w:kinsoku/>
        <w:wordWrap/>
        <w:overflowPunct w:val="0"/>
        <w:topLinePunct w:val="0"/>
        <w:autoSpaceDE w:val="0"/>
        <w:autoSpaceDN w:val="0"/>
        <w:bidi w:val="0"/>
        <w:adjustRightInd/>
        <w:snapToGrid/>
        <w:spacing w:line="360" w:lineRule="auto"/>
        <w:ind w:left="0" w:right="0" w:firstLine="525"/>
        <w:textAlignment w:val="auto"/>
        <w:rPr>
          <w:rFonts w:hint="eastAsia" w:ascii="宋体" w:hAnsi="宋体" w:eastAsia="宋体" w:cs="宋体"/>
          <w:caps w:val="0"/>
          <w:color w:val="auto"/>
          <w:kern w:val="21"/>
          <w:sz w:val="21"/>
          <w:szCs w:val="21"/>
          <w:highlight w:val="none"/>
          <w:lang w:val="en-US" w:eastAsia="zh-CN"/>
        </w:rPr>
      </w:pPr>
      <w:r>
        <w:rPr>
          <w:rFonts w:hint="eastAsia" w:ascii="宋体" w:hAnsi="宋体" w:eastAsia="宋体" w:cs="宋体"/>
          <w:caps w:val="0"/>
          <w:color w:val="auto"/>
          <w:kern w:val="21"/>
          <w:sz w:val="21"/>
          <w:szCs w:val="21"/>
          <w:highlight w:val="none"/>
          <w:lang w:val="en-US" w:eastAsia="zh-CN"/>
        </w:rPr>
        <w:t>7.</w:t>
      </w:r>
      <w:r>
        <w:rPr>
          <w:rFonts w:hint="eastAsia" w:ascii="宋体" w:hAnsi="宋体" w:eastAsia="宋体" w:cs="宋体"/>
          <w:b/>
          <w:bCs/>
          <w:caps w:val="0"/>
          <w:color w:val="auto"/>
          <w:kern w:val="21"/>
          <w:sz w:val="21"/>
          <w:szCs w:val="21"/>
          <w:highlight w:val="none"/>
          <w:lang w:val="en-US" w:eastAsia="zh-CN"/>
        </w:rPr>
        <w:t>所代理奶制品生产企业具有学生奶生产企业有效的营业执照及有效期内的“中国学生饮用奶生产企业”证书</w:t>
      </w:r>
      <w:r>
        <w:rPr>
          <w:rFonts w:hint="eastAsia" w:ascii="宋体" w:hAnsi="宋体" w:eastAsia="宋体" w:cs="宋体"/>
          <w:caps w:val="0"/>
          <w:color w:val="auto"/>
          <w:kern w:val="21"/>
          <w:sz w:val="21"/>
          <w:szCs w:val="21"/>
          <w:highlight w:val="none"/>
          <w:lang w:val="en-US" w:eastAsia="zh-CN"/>
        </w:rPr>
        <w:t xml:space="preserve">。 </w:t>
      </w:r>
    </w:p>
    <w:p w14:paraId="73F76FFD">
      <w:pPr>
        <w:keepNext w:val="0"/>
        <w:keepLines w:val="0"/>
        <w:pageBreakBefore w:val="0"/>
        <w:widowControl w:val="0"/>
        <w:kinsoku/>
        <w:wordWrap/>
        <w:overflowPunct w:val="0"/>
        <w:topLinePunct w:val="0"/>
        <w:autoSpaceDE w:val="0"/>
        <w:autoSpaceDN w:val="0"/>
        <w:bidi w:val="0"/>
        <w:adjustRightInd/>
        <w:snapToGrid/>
        <w:spacing w:line="360" w:lineRule="auto"/>
        <w:ind w:left="0" w:right="0" w:firstLine="525"/>
        <w:textAlignment w:val="auto"/>
        <w:rPr>
          <w:rFonts w:hint="eastAsia" w:ascii="宋体" w:hAnsi="宋体" w:eastAsia="宋体" w:cs="宋体"/>
          <w:caps w:val="0"/>
          <w:color w:val="auto"/>
          <w:kern w:val="21"/>
          <w:sz w:val="21"/>
          <w:szCs w:val="21"/>
          <w:highlight w:val="none"/>
          <w:lang w:val="en-US" w:eastAsia="zh-CN"/>
        </w:rPr>
      </w:pPr>
      <w:r>
        <w:rPr>
          <w:rFonts w:hint="eastAsia" w:ascii="宋体" w:hAnsi="宋体" w:eastAsia="宋体" w:cs="宋体"/>
          <w:caps w:val="0"/>
          <w:color w:val="auto"/>
          <w:kern w:val="21"/>
          <w:sz w:val="21"/>
          <w:szCs w:val="21"/>
          <w:highlight w:val="none"/>
          <w:lang w:val="en-US" w:eastAsia="zh-CN"/>
        </w:rPr>
        <w:t>8.</w:t>
      </w:r>
      <w:r>
        <w:rPr>
          <w:rFonts w:hint="eastAsia" w:ascii="宋体" w:hAnsi="宋体" w:eastAsia="宋体" w:cs="宋体"/>
          <w:b/>
          <w:bCs/>
          <w:caps w:val="0"/>
          <w:color w:val="auto"/>
          <w:kern w:val="21"/>
          <w:sz w:val="21"/>
          <w:szCs w:val="21"/>
          <w:highlight w:val="none"/>
          <w:lang w:val="en-US" w:eastAsia="zh-CN"/>
        </w:rPr>
        <w:t>供应商入围后必须办理2000万元及以上针对本项目（一次事故累计限额赔付金额2000万元)的食品安全保险保额，经确认后才允许配送，否则取消入围配送资格（提供承诺函，未提供者视为不响应采购需求）</w:t>
      </w:r>
      <w:r>
        <w:rPr>
          <w:rFonts w:hint="eastAsia" w:ascii="宋体" w:hAnsi="宋体" w:eastAsia="宋体" w:cs="宋体"/>
          <w:caps w:val="0"/>
          <w:color w:val="auto"/>
          <w:kern w:val="21"/>
          <w:sz w:val="21"/>
          <w:szCs w:val="21"/>
          <w:highlight w:val="none"/>
          <w:lang w:val="en-US" w:eastAsia="zh-CN"/>
        </w:rPr>
        <w:t>。</w:t>
      </w:r>
    </w:p>
    <w:p w14:paraId="4F0BA88B">
      <w:pPr>
        <w:keepNext w:val="0"/>
        <w:keepLines w:val="0"/>
        <w:pageBreakBefore w:val="0"/>
        <w:widowControl w:val="0"/>
        <w:kinsoku/>
        <w:wordWrap/>
        <w:overflowPunct w:val="0"/>
        <w:topLinePunct w:val="0"/>
        <w:autoSpaceDE w:val="0"/>
        <w:autoSpaceDN w:val="0"/>
        <w:bidi w:val="0"/>
        <w:adjustRightInd/>
        <w:snapToGrid/>
        <w:spacing w:line="360" w:lineRule="auto"/>
        <w:ind w:left="0" w:right="0" w:firstLine="525"/>
        <w:textAlignment w:val="auto"/>
        <w:rPr>
          <w:rFonts w:hint="eastAsia"/>
          <w:caps w:val="0"/>
          <w:color w:val="auto"/>
          <w:kern w:val="21"/>
          <w:sz w:val="21"/>
          <w:szCs w:val="21"/>
          <w:highlight w:val="none"/>
          <w:lang w:eastAsia="zh-CN"/>
        </w:rPr>
      </w:pPr>
      <w:r>
        <w:rPr>
          <w:rFonts w:hint="eastAsia"/>
          <w:caps w:val="0"/>
          <w:color w:val="auto"/>
          <w:kern w:val="21"/>
          <w:sz w:val="21"/>
          <w:szCs w:val="21"/>
          <w:highlight w:val="none"/>
          <w:lang w:val="en-US" w:eastAsia="zh-CN"/>
        </w:rPr>
        <w:t xml:space="preserve">五、服务要求 </w:t>
      </w:r>
    </w:p>
    <w:p w14:paraId="1E0F110D">
      <w:pPr>
        <w:keepNext w:val="0"/>
        <w:keepLines w:val="0"/>
        <w:pageBreakBefore w:val="0"/>
        <w:widowControl w:val="0"/>
        <w:kinsoku/>
        <w:wordWrap/>
        <w:overflowPunct w:val="0"/>
        <w:topLinePunct w:val="0"/>
        <w:autoSpaceDE w:val="0"/>
        <w:autoSpaceDN w:val="0"/>
        <w:bidi w:val="0"/>
        <w:adjustRightInd/>
        <w:snapToGrid/>
        <w:spacing w:line="360" w:lineRule="auto"/>
        <w:ind w:left="0" w:right="0" w:firstLine="525"/>
        <w:textAlignment w:val="auto"/>
        <w:rPr>
          <w:rFonts w:hint="eastAsia" w:ascii="宋体" w:hAnsi="宋体" w:eastAsia="宋体" w:cs="宋体"/>
          <w:caps w:val="0"/>
          <w:color w:val="auto"/>
          <w:kern w:val="21"/>
          <w:sz w:val="21"/>
          <w:szCs w:val="21"/>
          <w:highlight w:val="none"/>
          <w:lang w:val="en-US" w:eastAsia="zh-CN"/>
        </w:rPr>
      </w:pPr>
      <w:r>
        <w:rPr>
          <w:rFonts w:hint="eastAsia" w:ascii="宋体" w:hAnsi="宋体" w:eastAsia="宋体" w:cs="宋体"/>
          <w:caps w:val="0"/>
          <w:color w:val="auto"/>
          <w:kern w:val="21"/>
          <w:sz w:val="21"/>
          <w:szCs w:val="21"/>
          <w:highlight w:val="none"/>
          <w:lang w:val="en-US" w:eastAsia="zh-CN"/>
        </w:rPr>
        <w:t xml:space="preserve">1.具备食材配送经验。 </w:t>
      </w:r>
    </w:p>
    <w:p w14:paraId="6599E2C1">
      <w:pPr>
        <w:keepNext w:val="0"/>
        <w:keepLines w:val="0"/>
        <w:pageBreakBefore w:val="0"/>
        <w:widowControl w:val="0"/>
        <w:kinsoku/>
        <w:wordWrap/>
        <w:overflowPunct w:val="0"/>
        <w:topLinePunct w:val="0"/>
        <w:autoSpaceDE w:val="0"/>
        <w:autoSpaceDN w:val="0"/>
        <w:bidi w:val="0"/>
        <w:adjustRightInd/>
        <w:snapToGrid/>
        <w:spacing w:line="360" w:lineRule="auto"/>
        <w:ind w:left="0" w:right="0" w:firstLine="525"/>
        <w:textAlignment w:val="auto"/>
        <w:rPr>
          <w:rFonts w:hint="eastAsia" w:ascii="宋体" w:hAnsi="宋体" w:eastAsia="宋体" w:cs="宋体"/>
          <w:caps w:val="0"/>
          <w:color w:val="auto"/>
          <w:kern w:val="21"/>
          <w:sz w:val="21"/>
          <w:szCs w:val="21"/>
          <w:highlight w:val="none"/>
          <w:lang w:val="en-US" w:eastAsia="zh-CN"/>
        </w:rPr>
      </w:pPr>
      <w:r>
        <w:rPr>
          <w:rFonts w:hint="eastAsia" w:ascii="宋体" w:hAnsi="宋体" w:eastAsia="宋体" w:cs="宋体"/>
          <w:caps w:val="0"/>
          <w:color w:val="auto"/>
          <w:kern w:val="21"/>
          <w:sz w:val="21"/>
          <w:szCs w:val="21"/>
          <w:highlight w:val="none"/>
          <w:lang w:val="en-US" w:eastAsia="zh-CN"/>
        </w:rPr>
        <w:t xml:space="preserve">2.拥有与供应规模相匹配的仓储设施，包括常温仓库、冷藏库、冷冻库等，仓库需具备完善的通风、防潮、防虫、防鼠等条件，确保食材储存安全。 </w:t>
      </w:r>
    </w:p>
    <w:p w14:paraId="0669041C">
      <w:pPr>
        <w:keepNext w:val="0"/>
        <w:keepLines w:val="0"/>
        <w:pageBreakBefore w:val="0"/>
        <w:widowControl w:val="0"/>
        <w:kinsoku/>
        <w:wordWrap/>
        <w:overflowPunct w:val="0"/>
        <w:topLinePunct w:val="0"/>
        <w:autoSpaceDE w:val="0"/>
        <w:autoSpaceDN w:val="0"/>
        <w:bidi w:val="0"/>
        <w:adjustRightInd/>
        <w:snapToGrid/>
        <w:spacing w:line="360" w:lineRule="auto"/>
        <w:ind w:left="0" w:right="0" w:firstLine="525"/>
        <w:textAlignment w:val="auto"/>
        <w:rPr>
          <w:rFonts w:hint="eastAsia" w:ascii="宋体" w:hAnsi="宋体" w:eastAsia="宋体" w:cs="宋体"/>
          <w:caps w:val="0"/>
          <w:color w:val="auto"/>
          <w:kern w:val="21"/>
          <w:sz w:val="21"/>
          <w:szCs w:val="21"/>
          <w:highlight w:val="none"/>
          <w:lang w:val="en-US" w:eastAsia="zh-CN"/>
        </w:rPr>
      </w:pPr>
      <w:r>
        <w:rPr>
          <w:rFonts w:hint="eastAsia" w:ascii="宋体" w:hAnsi="宋体" w:eastAsia="宋体" w:cs="宋体"/>
          <w:caps w:val="0"/>
          <w:color w:val="auto"/>
          <w:kern w:val="21"/>
          <w:sz w:val="21"/>
          <w:szCs w:val="21"/>
          <w:highlight w:val="none"/>
          <w:lang w:val="en-US" w:eastAsia="zh-CN"/>
        </w:rPr>
        <w:t xml:space="preserve">3.配备专业的质量检测人员和设备，能够对采购的食材进行初步的质量检测，如农药残留检测、兽药残留检测等。对采购的农产品规范建立追溯档案，确保追溯到生产者。 </w:t>
      </w:r>
    </w:p>
    <w:p w14:paraId="4745D11A">
      <w:pPr>
        <w:keepNext w:val="0"/>
        <w:keepLines w:val="0"/>
        <w:pageBreakBefore w:val="0"/>
        <w:widowControl w:val="0"/>
        <w:kinsoku/>
        <w:wordWrap/>
        <w:overflowPunct w:val="0"/>
        <w:topLinePunct w:val="0"/>
        <w:autoSpaceDE w:val="0"/>
        <w:autoSpaceDN w:val="0"/>
        <w:bidi w:val="0"/>
        <w:adjustRightInd/>
        <w:snapToGrid/>
        <w:spacing w:line="360" w:lineRule="auto"/>
        <w:ind w:left="0" w:right="0" w:firstLine="525"/>
        <w:textAlignment w:val="auto"/>
        <w:rPr>
          <w:rFonts w:hint="eastAsia" w:ascii="宋体" w:hAnsi="宋体" w:eastAsia="宋体" w:cs="宋体"/>
          <w:caps w:val="0"/>
          <w:color w:val="auto"/>
          <w:kern w:val="21"/>
          <w:sz w:val="21"/>
          <w:szCs w:val="21"/>
          <w:highlight w:val="none"/>
          <w:lang w:val="en-US" w:eastAsia="zh-CN"/>
        </w:rPr>
      </w:pPr>
      <w:r>
        <w:rPr>
          <w:rFonts w:hint="eastAsia" w:ascii="宋体" w:hAnsi="宋体" w:eastAsia="宋体" w:cs="宋体"/>
          <w:caps w:val="0"/>
          <w:color w:val="auto"/>
          <w:kern w:val="21"/>
          <w:sz w:val="21"/>
          <w:szCs w:val="21"/>
          <w:highlight w:val="none"/>
          <w:lang w:val="en-US" w:eastAsia="zh-CN"/>
        </w:rPr>
        <w:t>4.供应商的仓储、分拣场所、配送过程须安装监控系统，并与教育局采购平台无缝连接，实时接受监督（在入围后安装对接）。</w:t>
      </w:r>
    </w:p>
    <w:p w14:paraId="481E402E">
      <w:pPr>
        <w:keepNext w:val="0"/>
        <w:keepLines w:val="0"/>
        <w:pageBreakBefore w:val="0"/>
        <w:widowControl w:val="0"/>
        <w:kinsoku/>
        <w:wordWrap/>
        <w:overflowPunct w:val="0"/>
        <w:topLinePunct w:val="0"/>
        <w:autoSpaceDE w:val="0"/>
        <w:autoSpaceDN w:val="0"/>
        <w:bidi w:val="0"/>
        <w:adjustRightInd/>
        <w:snapToGrid/>
        <w:spacing w:line="360" w:lineRule="auto"/>
        <w:ind w:left="0" w:right="0" w:firstLine="525"/>
        <w:textAlignment w:val="auto"/>
        <w:rPr>
          <w:rFonts w:hint="eastAsia" w:ascii="宋体" w:hAnsi="宋体" w:eastAsia="宋体" w:cs="宋体"/>
          <w:b/>
          <w:bCs/>
          <w:caps w:val="0"/>
          <w:color w:val="auto"/>
          <w:kern w:val="21"/>
          <w:sz w:val="21"/>
          <w:szCs w:val="21"/>
          <w:highlight w:val="none"/>
          <w:lang w:val="en-US" w:eastAsia="zh-CN"/>
        </w:rPr>
      </w:pPr>
      <w:r>
        <w:rPr>
          <w:rFonts w:hint="eastAsia" w:ascii="宋体" w:hAnsi="宋体" w:eastAsia="宋体" w:cs="宋体"/>
          <w:b/>
          <w:bCs/>
          <w:caps w:val="0"/>
          <w:color w:val="auto"/>
          <w:kern w:val="21"/>
          <w:sz w:val="21"/>
          <w:szCs w:val="21"/>
          <w:highlight w:val="none"/>
          <w:lang w:val="en-US" w:eastAsia="zh-CN"/>
        </w:rPr>
        <w:t>5.供应商和学校约定送货时间超时1小时未送达，学校反馈查实后，采购人将对供应商处于5000元罚款，并暂停该供应商一个月的配送资格。（需提供承诺函，未提供者视为不响应采购需求）</w:t>
      </w:r>
    </w:p>
    <w:p w14:paraId="272AF595">
      <w:pPr>
        <w:keepNext w:val="0"/>
        <w:keepLines w:val="0"/>
        <w:pageBreakBefore w:val="0"/>
        <w:widowControl w:val="0"/>
        <w:kinsoku/>
        <w:wordWrap/>
        <w:overflowPunct w:val="0"/>
        <w:topLinePunct w:val="0"/>
        <w:autoSpaceDE w:val="0"/>
        <w:autoSpaceDN w:val="0"/>
        <w:bidi w:val="0"/>
        <w:adjustRightInd/>
        <w:snapToGrid/>
        <w:spacing w:line="360" w:lineRule="auto"/>
        <w:ind w:left="0" w:right="0" w:firstLine="525"/>
        <w:textAlignment w:val="auto"/>
        <w:rPr>
          <w:rFonts w:hint="eastAsia"/>
          <w:caps w:val="0"/>
          <w:color w:val="auto"/>
          <w:kern w:val="21"/>
          <w:sz w:val="21"/>
          <w:szCs w:val="21"/>
          <w:highlight w:val="none"/>
          <w:lang w:eastAsia="zh-CN"/>
        </w:rPr>
      </w:pPr>
      <w:r>
        <w:rPr>
          <w:rFonts w:hint="eastAsia"/>
          <w:caps w:val="0"/>
          <w:color w:val="auto"/>
          <w:kern w:val="21"/>
          <w:sz w:val="21"/>
          <w:szCs w:val="21"/>
          <w:highlight w:val="none"/>
          <w:lang w:val="en-US" w:eastAsia="zh-CN"/>
        </w:rPr>
        <w:t xml:space="preserve">六、处罚与终止机制 </w:t>
      </w:r>
    </w:p>
    <w:p w14:paraId="40FA47B6">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1.供应商有如下情况发生一经查实，终止供应商当期的供货资格，并追究有关法律责任。</w:t>
      </w:r>
    </w:p>
    <w:p w14:paraId="683D15A6">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1.1供应商发生食品安全问题；</w:t>
      </w:r>
    </w:p>
    <w:p w14:paraId="5ED211BC">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1.2供应商发生校内交通安全问题；</w:t>
      </w:r>
    </w:p>
    <w:p w14:paraId="5DE8BAAE">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1.3供应商发生转包及违反有关廉政规定；</w:t>
      </w:r>
    </w:p>
    <w:p w14:paraId="2A1F0872">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1.4供应商涉嫌重大违法乱纪或被市场监管部门处罚等事件；</w:t>
      </w:r>
    </w:p>
    <w:p w14:paraId="5FD98068">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1.6发现供应商到学校的配送车辆或人员为其他供应商；</w:t>
      </w:r>
    </w:p>
    <w:p w14:paraId="1F25D7DD">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1.7检查发现供应商委托其他供应商配送；</w:t>
      </w:r>
    </w:p>
    <w:p w14:paraId="54F17ABF">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1.8供应商向学校配送经营范围之外的商品；</w:t>
      </w:r>
    </w:p>
    <w:p w14:paraId="0F2BA656">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1.9供应商向学校开具与实际配送商品不符的票据；</w:t>
      </w:r>
    </w:p>
    <w:p w14:paraId="5B1D2D8C">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1.10供应商提供的凭证、视频等信息中弄虚作假；</w:t>
      </w:r>
    </w:p>
    <w:p w14:paraId="12C289C4">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1.11由于供应商原因对学校造成重大不良影响。</w:t>
      </w:r>
    </w:p>
    <w:p w14:paraId="420ED849">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2.供应商有如下情况发生一经查实，根据情节轻重，暂停供货资格1-3个月。</w:t>
      </w:r>
    </w:p>
    <w:p w14:paraId="7571C9BD">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2.1供应商发生送货不及时等情况影响学校正常用餐；</w:t>
      </w:r>
    </w:p>
    <w:p w14:paraId="34EC9C4A">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2.2 供应商发生供货质量差等情况；</w:t>
      </w:r>
    </w:p>
    <w:p w14:paraId="4C1D36FF">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2.3 供应商发生服务不到位等情况；</w:t>
      </w:r>
    </w:p>
    <w:p w14:paraId="5DFA6793">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2.4有学校投诉、主管部门抽查或交易平台价格预警，发现供应商日常配送中已成交物价明显高于学校所在区域农贸市场或区内学校平均价格；</w:t>
      </w:r>
    </w:p>
    <w:p w14:paraId="35AF6C44">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2.5 供应商不能按学校要求及时发送分拣、农残检测、车辆出入等高清视频记录；</w:t>
      </w:r>
    </w:p>
    <w:p w14:paraId="450D7705">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2.6 供应商学校提供视频记录不清晰；</w:t>
      </w:r>
    </w:p>
    <w:p w14:paraId="71FDAAAD">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2.7 供应商没有保留分拣、农残检测、车辆出入等高清视频记录30天；</w:t>
      </w:r>
    </w:p>
    <w:p w14:paraId="128997A8">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2.8 供应商累计两次未对所在片区的全部商品进行报价；</w:t>
      </w:r>
    </w:p>
    <w:p w14:paraId="6AE2CA0D">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2.9 供应商没有统一使用规定的电脑配送单；</w:t>
      </w:r>
    </w:p>
    <w:p w14:paraId="699C756D">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2.10 供应商配送的食品与电脑配送单上的不一致；</w:t>
      </w:r>
    </w:p>
    <w:p w14:paraId="2DF76166">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2.11 供应商配送车辆、人员信息时，不能出示车辆行驶证、配送人员的身份证、配送驾驶员的驾驶证其中任何一项；</w:t>
      </w:r>
    </w:p>
    <w:p w14:paraId="4B071D91">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2.12 供应商配送车辆、人员以及配送货物没有从招投标时备案的分拣基地出发；</w:t>
      </w:r>
    </w:p>
    <w:p w14:paraId="6D15D711">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2.13 招投标中服务承诺未履行到位；</w:t>
      </w:r>
    </w:p>
    <w:p w14:paraId="56E8E884">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2.14 供应商有多项满足暂停供货资格1-3个月处罚的，则计暂停供货资格次数1次，且暂停月份累计。</w:t>
      </w:r>
    </w:p>
    <w:p w14:paraId="0656DE42">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3. 供应商有如下情况发生一经查实，暂停供货资格3个月。</w:t>
      </w:r>
    </w:p>
    <w:p w14:paraId="4C9003C8">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3.1供应商到学校的配送车辆不在报备的名单内，报备配送车辆要求如下：</w:t>
      </w:r>
    </w:p>
    <w:p w14:paraId="7816FC2D">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（1）供应商自有车辆，须行驶证上所有人为公司或公司法人代表，如车辆在股东名下的，还需提供公司章程；</w:t>
      </w:r>
    </w:p>
    <w:p w14:paraId="1A1966AE">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（2）供应商租赁车辆要有正式的租赁合同，不得与本项目其他供应商共同租赁。</w:t>
      </w:r>
    </w:p>
    <w:p w14:paraId="7A4B86AE">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3.2供应商到学校的配送人员不在报备的名单内。报备配送人员要求如下：</w:t>
      </w:r>
    </w:p>
    <w:p w14:paraId="7C94B26A">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（1）与供应商签订劳动合同，并在供应商购买社保的人员；</w:t>
      </w:r>
    </w:p>
    <w:p w14:paraId="38DBFE45">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（2）配送人员需提供有当地行政主管部门颁发健康证明；</w:t>
      </w:r>
    </w:p>
    <w:p w14:paraId="1FC8D794">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（3）配送人员无犯罪记录（需承诺书（格式自拟）或无犯罪证明）。</w:t>
      </w:r>
    </w:p>
    <w:p w14:paraId="0AF64A25">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4.其他处罚及说明</w:t>
      </w:r>
    </w:p>
    <w:p w14:paraId="1A438390">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4.1违反食品配送其它规定的，可视情况进行相应处理；</w:t>
      </w:r>
    </w:p>
    <w:p w14:paraId="56EF5DEC">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4.2因供应商原因未报价或暂停供货资格的，按每周期0.5分累计，在后期管理招标得分中扣除，并记入周选汇总得分；</w:t>
      </w:r>
    </w:p>
    <w:p w14:paraId="3E82091E">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 xml:space="preserve">4.3在合同期间内，供应商因违反合同约定被暂停供货资格次数达到2次，则立即终止供应商当期合同。 </w:t>
      </w:r>
    </w:p>
    <w:p w14:paraId="2B8C41C0">
      <w:pPr>
        <w:pStyle w:val="12"/>
        <w:ind w:firstLine="420" w:firstLineChars="200"/>
        <w:rPr>
          <w:rFonts w:hint="eastAsia" w:ascii="宋体" w:hAnsi="宋体" w:eastAsia="宋体" w:cs="宋体"/>
          <w:b/>
          <w:bCs/>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七、</w:t>
      </w:r>
      <w:r>
        <w:rPr>
          <w:rFonts w:hint="eastAsia" w:ascii="宋体" w:hAnsi="宋体" w:eastAsia="宋体" w:cs="宋体"/>
          <w:b/>
          <w:bCs/>
          <w:caps w:val="0"/>
          <w:color w:val="auto"/>
          <w:kern w:val="21"/>
          <w:sz w:val="21"/>
          <w:szCs w:val="21"/>
          <w:highlight w:val="none"/>
          <w:lang w:val="en-US" w:eastAsia="zh-CN" w:bidi="ar-SA"/>
        </w:rPr>
        <w:t xml:space="preserve">现场复核 </w:t>
      </w:r>
    </w:p>
    <w:p w14:paraId="1DBCF19D">
      <w:pPr>
        <w:pStyle w:val="12"/>
        <w:ind w:firstLine="422" w:firstLineChars="200"/>
        <w:rPr>
          <w:rFonts w:hint="eastAsia" w:ascii="宋体" w:hAnsi="宋体" w:eastAsia="宋体" w:cs="宋体"/>
          <w:b/>
          <w:bCs/>
          <w:caps w:val="0"/>
          <w:color w:val="auto"/>
          <w:kern w:val="21"/>
          <w:sz w:val="21"/>
          <w:szCs w:val="21"/>
          <w:highlight w:val="none"/>
          <w:lang w:val="en-US" w:eastAsia="zh-CN" w:bidi="ar-SA"/>
        </w:rPr>
      </w:pPr>
      <w:r>
        <w:rPr>
          <w:rFonts w:hint="eastAsia" w:ascii="宋体" w:hAnsi="宋体" w:eastAsia="宋体" w:cs="宋体"/>
          <w:b/>
          <w:bCs/>
          <w:caps w:val="0"/>
          <w:color w:val="auto"/>
          <w:kern w:val="21"/>
          <w:sz w:val="21"/>
          <w:szCs w:val="21"/>
          <w:highlight w:val="none"/>
          <w:lang w:val="en-US" w:eastAsia="zh-CN" w:bidi="ar-SA"/>
        </w:rPr>
        <w:t>评审委员会推荐入围候选人后、结果公示前，征集人对其响应文件承诺的场地、人员、车辆、检验设备等响应资料开展真实性现场核查。核查仅核验资料真伪，不对评审得分进行二次调整及主观评判。</w:t>
      </w:r>
    </w:p>
    <w:p w14:paraId="743C45C0">
      <w:pPr>
        <w:pStyle w:val="12"/>
        <w:ind w:firstLine="422" w:firstLineChars="200"/>
        <w:rPr>
          <w:rFonts w:hint="eastAsia" w:ascii="宋体" w:hAnsi="宋体" w:eastAsia="宋体" w:cs="宋体"/>
          <w:b/>
          <w:bCs/>
          <w:caps w:val="0"/>
          <w:color w:val="auto"/>
          <w:kern w:val="21"/>
          <w:sz w:val="21"/>
          <w:szCs w:val="21"/>
          <w:highlight w:val="none"/>
          <w:lang w:val="en-US" w:eastAsia="zh-CN" w:bidi="ar-SA"/>
        </w:rPr>
      </w:pPr>
      <w:r>
        <w:rPr>
          <w:rFonts w:hint="eastAsia" w:ascii="宋体" w:hAnsi="宋体" w:eastAsia="宋体" w:cs="宋体"/>
          <w:b/>
          <w:bCs/>
          <w:caps w:val="0"/>
          <w:color w:val="auto"/>
          <w:kern w:val="21"/>
          <w:sz w:val="21"/>
          <w:szCs w:val="21"/>
          <w:highlight w:val="none"/>
          <w:lang w:val="en-US" w:eastAsia="zh-CN" w:bidi="ar-SA"/>
        </w:rPr>
        <w:t>核查通过实地查验和国家企业信用信息公示系统、信用中国、社保公共服务平台、车辆登记主管部门等官方公开渠道线上核验将结合。</w:t>
      </w:r>
    </w:p>
    <w:p w14:paraId="280C532E">
      <w:pPr>
        <w:pStyle w:val="12"/>
        <w:ind w:firstLine="422" w:firstLineChars="200"/>
        <w:rPr>
          <w:rFonts w:hint="eastAsia" w:ascii="宋体" w:hAnsi="宋体" w:eastAsia="宋体" w:cs="宋体"/>
          <w:b/>
          <w:bCs/>
          <w:caps w:val="0"/>
          <w:color w:val="auto"/>
          <w:kern w:val="21"/>
          <w:sz w:val="21"/>
          <w:szCs w:val="21"/>
          <w:highlight w:val="none"/>
          <w:lang w:val="en-US" w:eastAsia="zh-CN" w:bidi="ar-SA"/>
        </w:rPr>
      </w:pPr>
      <w:r>
        <w:rPr>
          <w:rFonts w:hint="eastAsia" w:ascii="宋体" w:hAnsi="宋体" w:eastAsia="宋体" w:cs="宋体"/>
          <w:b/>
          <w:bCs/>
          <w:caps w:val="0"/>
          <w:color w:val="auto"/>
          <w:kern w:val="21"/>
          <w:sz w:val="21"/>
          <w:szCs w:val="21"/>
          <w:highlight w:val="none"/>
          <w:lang w:val="en-US" w:eastAsia="zh-CN" w:bidi="ar-SA"/>
        </w:rPr>
        <w:t>若核查发现候选人响应资料存在实质性不符、弄虚作假并足以影响入围资格的，征集人依据《政府采购框架协议采购方式管理暂行办法》第十九条报请监管部门处置，取消其入围候选资格，由此产生的全部法律责任及采购风险由该供应商自行承担。响应资料与核查结果一致的，不改变入围结果。</w:t>
      </w:r>
    </w:p>
    <w:p w14:paraId="210F0B05">
      <w:pPr>
        <w:pStyle w:val="12"/>
        <w:ind w:firstLine="422" w:firstLineChars="200"/>
        <w:rPr>
          <w:rFonts w:hint="eastAsia" w:ascii="宋体" w:hAnsi="宋体" w:eastAsia="宋体" w:cs="宋体"/>
          <w:b/>
          <w:bCs/>
          <w:caps w:val="0"/>
          <w:color w:val="auto"/>
          <w:kern w:val="21"/>
          <w:sz w:val="21"/>
          <w:szCs w:val="21"/>
          <w:highlight w:val="none"/>
          <w:lang w:val="en-US" w:eastAsia="zh-CN" w:bidi="ar-SA"/>
        </w:rPr>
      </w:pPr>
      <w:r>
        <w:rPr>
          <w:rFonts w:hint="eastAsia" w:ascii="宋体" w:hAnsi="宋体" w:eastAsia="宋体" w:cs="宋体"/>
          <w:b/>
          <w:bCs/>
          <w:caps w:val="0"/>
          <w:color w:val="auto"/>
          <w:kern w:val="21"/>
          <w:sz w:val="21"/>
          <w:szCs w:val="21"/>
          <w:highlight w:val="none"/>
          <w:lang w:val="en-US" w:eastAsia="zh-CN" w:bidi="ar-SA"/>
        </w:rPr>
        <w:t>核查期间入围候选人可依法进行陈述与申辩，征集人做好过程记录并存档。</w:t>
      </w:r>
    </w:p>
    <w:p w14:paraId="5869188F">
      <w:pPr>
        <w:pStyle w:val="12"/>
        <w:ind w:firstLine="422" w:firstLineChars="200"/>
        <w:rPr>
          <w:rFonts w:hint="eastAsia" w:ascii="宋体" w:hAnsi="宋体" w:eastAsia="宋体" w:cs="宋体"/>
          <w:b/>
          <w:bCs/>
          <w:caps w:val="0"/>
          <w:color w:val="auto"/>
          <w:kern w:val="21"/>
          <w:sz w:val="21"/>
          <w:szCs w:val="21"/>
          <w:highlight w:val="none"/>
          <w:lang w:val="en-US" w:eastAsia="zh-CN" w:bidi="ar-SA"/>
        </w:rPr>
      </w:pPr>
      <w:r>
        <w:rPr>
          <w:rFonts w:hint="eastAsia" w:ascii="宋体" w:hAnsi="宋体" w:eastAsia="宋体" w:cs="宋体"/>
          <w:b/>
          <w:bCs/>
          <w:caps w:val="0"/>
          <w:color w:val="auto"/>
          <w:kern w:val="21"/>
          <w:sz w:val="21"/>
          <w:szCs w:val="21"/>
          <w:highlight w:val="none"/>
          <w:lang w:val="en-US" w:eastAsia="zh-CN" w:bidi="ar-SA"/>
        </w:rPr>
        <w:t>所有递交响应文件的供应商，视同已完全知悉并自愿遵守本核查全部约定。</w:t>
      </w:r>
    </w:p>
    <w:p w14:paraId="59E5CB06">
      <w:pPr>
        <w:pStyle w:val="12"/>
        <w:ind w:firstLine="420" w:firstLineChars="200"/>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八、供应商相关配送</w:t>
      </w:r>
    </w:p>
    <w:p w14:paraId="13C6214B">
      <w:pPr>
        <w:pStyle w:val="12"/>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1.配送商需根据濮阳县阳光饮食信息化服务平台接收学校订单，打印平台专用配送单对学校进行配送，并根据平台应收款账单开具发票结算货款。</w:t>
      </w:r>
    </w:p>
    <w:p w14:paraId="223C8EF9">
      <w:pPr>
        <w:pStyle w:val="12"/>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2.定价模式：</w:t>
      </w:r>
    </w:p>
    <w:p w14:paraId="4D5AF59E">
      <w:pPr>
        <w:pStyle w:val="12"/>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所有货物将采取竞价优选模式（本次招标不涉及商品报价，根据招标文件要求，为供应商入围招标；具体定价方式，在招标完成后下发中标供应商。）</w:t>
      </w:r>
    </w:p>
    <w:p w14:paraId="359E7721">
      <w:pPr>
        <w:pStyle w:val="12"/>
        <w:rPr>
          <w:rFonts w:hint="eastAsia" w:ascii="宋体" w:hAnsi="宋体" w:eastAsia="宋体" w:cs="宋体"/>
          <w:caps w:val="0"/>
          <w:color w:val="auto"/>
          <w:kern w:val="21"/>
          <w:sz w:val="21"/>
          <w:szCs w:val="21"/>
          <w:highlight w:val="none"/>
          <w:lang w:val="en-US" w:eastAsia="zh-CN" w:bidi="ar-SA"/>
        </w:rPr>
      </w:pPr>
      <w:r>
        <w:rPr>
          <w:rFonts w:hint="eastAsia" w:ascii="宋体" w:hAnsi="宋体" w:eastAsia="宋体" w:cs="宋体"/>
          <w:caps w:val="0"/>
          <w:color w:val="auto"/>
          <w:kern w:val="21"/>
          <w:sz w:val="21"/>
          <w:szCs w:val="21"/>
          <w:highlight w:val="none"/>
          <w:lang w:val="en-US" w:eastAsia="zh-CN" w:bidi="ar-SA"/>
        </w:rPr>
        <w:t>该模式兼顾价格和学校评价，在控制价格的情况下学校评价可以有效控制菜品质量和服务。</w:t>
      </w:r>
    </w:p>
    <w:p w14:paraId="788DBD5C">
      <w:pPr>
        <w:keepNext w:val="0"/>
        <w:keepLines w:val="0"/>
        <w:pageBreakBefore w:val="0"/>
        <w:widowControl w:val="0"/>
        <w:kinsoku/>
        <w:wordWrap/>
        <w:topLinePunct w:val="0"/>
        <w:bidi w:val="0"/>
        <w:adjustRightInd w:val="0"/>
        <w:snapToGrid w:val="0"/>
        <w:spacing w:line="360" w:lineRule="auto"/>
        <w:ind w:left="0" w:right="0" w:firstLine="422" w:firstLineChars="200"/>
        <w:jc w:val="left"/>
        <w:textAlignment w:val="auto"/>
        <w:rPr>
          <w:rFonts w:hint="eastAsia"/>
          <w:b/>
          <w:bCs/>
          <w:color w:val="auto"/>
          <w:szCs w:val="21"/>
          <w:highlight w:val="none"/>
        </w:rPr>
      </w:pPr>
      <w:r>
        <w:rPr>
          <w:rFonts w:hint="eastAsia"/>
          <w:b/>
          <w:bCs/>
          <w:color w:val="auto"/>
          <w:szCs w:val="21"/>
          <w:highlight w:val="none"/>
          <w:lang w:val="en-US" w:eastAsia="zh-CN"/>
        </w:rPr>
        <w:t>九</w:t>
      </w:r>
      <w:r>
        <w:rPr>
          <w:rFonts w:hint="eastAsia"/>
          <w:b/>
          <w:bCs/>
          <w:color w:val="auto"/>
          <w:szCs w:val="21"/>
          <w:highlight w:val="none"/>
        </w:rPr>
        <w:t>、商务要求</w:t>
      </w:r>
    </w:p>
    <w:p w14:paraId="0622F902">
      <w:pPr>
        <w:adjustRightInd w:val="0"/>
        <w:snapToGrid w:val="0"/>
        <w:spacing w:line="360" w:lineRule="auto"/>
        <w:jc w:val="left"/>
        <w:rPr>
          <w:rFonts w:hint="eastAsia"/>
          <w:color w:val="auto"/>
          <w:szCs w:val="21"/>
          <w:highlight w:val="none"/>
        </w:rPr>
      </w:pPr>
      <w:r>
        <w:rPr>
          <w:rFonts w:hint="eastAsia"/>
          <w:color w:val="auto"/>
          <w:szCs w:val="21"/>
          <w:highlight w:val="none"/>
        </w:rPr>
        <w:t>1.入围供应商数量：征集入围15家供应商。</w:t>
      </w:r>
    </w:p>
    <w:p w14:paraId="1995EA66">
      <w:pPr>
        <w:adjustRightInd w:val="0"/>
        <w:snapToGrid w:val="0"/>
        <w:spacing w:line="360" w:lineRule="auto"/>
        <w:jc w:val="left"/>
        <w:rPr>
          <w:rFonts w:hint="eastAsia"/>
          <w:color w:val="auto"/>
          <w:szCs w:val="21"/>
          <w:highlight w:val="none"/>
        </w:rPr>
      </w:pPr>
      <w:r>
        <w:rPr>
          <w:rFonts w:hint="eastAsia"/>
          <w:color w:val="auto"/>
          <w:szCs w:val="21"/>
          <w:highlight w:val="none"/>
        </w:rPr>
        <w:t>2.预算金额：300万元/年。</w:t>
      </w:r>
    </w:p>
    <w:p w14:paraId="7926529D">
      <w:pPr>
        <w:adjustRightInd w:val="0"/>
        <w:snapToGrid w:val="0"/>
        <w:spacing w:line="360" w:lineRule="auto"/>
        <w:jc w:val="left"/>
        <w:rPr>
          <w:rFonts w:hint="eastAsia"/>
          <w:color w:val="auto"/>
          <w:szCs w:val="21"/>
          <w:highlight w:val="none"/>
        </w:rPr>
      </w:pPr>
      <w:r>
        <w:rPr>
          <w:rFonts w:hint="eastAsia"/>
          <w:color w:val="auto"/>
          <w:szCs w:val="21"/>
          <w:highlight w:val="none"/>
        </w:rPr>
        <w:t>3.资金来源：自筹资金。</w:t>
      </w:r>
    </w:p>
    <w:p w14:paraId="464E41B7">
      <w:pPr>
        <w:adjustRightInd w:val="0"/>
        <w:snapToGrid w:val="0"/>
        <w:spacing w:line="360" w:lineRule="auto"/>
        <w:jc w:val="left"/>
        <w:rPr>
          <w:rFonts w:hint="eastAsia"/>
          <w:color w:val="auto"/>
          <w:szCs w:val="21"/>
          <w:highlight w:val="none"/>
        </w:rPr>
      </w:pPr>
      <w:r>
        <w:rPr>
          <w:rFonts w:hint="eastAsia"/>
          <w:color w:val="auto"/>
          <w:szCs w:val="21"/>
          <w:highlight w:val="none"/>
        </w:rPr>
        <w:t>4.采购方式：封闭式框架协议采购。</w:t>
      </w:r>
    </w:p>
    <w:p w14:paraId="641C5433">
      <w:pPr>
        <w:adjustRightInd w:val="0"/>
        <w:snapToGrid w:val="0"/>
        <w:spacing w:line="360" w:lineRule="auto"/>
        <w:jc w:val="left"/>
        <w:rPr>
          <w:rFonts w:hint="eastAsia"/>
          <w:color w:val="auto"/>
          <w:szCs w:val="21"/>
          <w:highlight w:val="none"/>
        </w:rPr>
      </w:pPr>
      <w:r>
        <w:rPr>
          <w:rFonts w:hint="eastAsia"/>
          <w:color w:val="auto"/>
          <w:szCs w:val="21"/>
          <w:highlight w:val="none"/>
        </w:rPr>
        <w:t>5.服务标准：符合国家、省、市相关规定及行业要求，达到合格标准。</w:t>
      </w:r>
    </w:p>
    <w:p w14:paraId="3239776A">
      <w:pPr>
        <w:adjustRightInd w:val="0"/>
        <w:snapToGrid w:val="0"/>
        <w:spacing w:line="360" w:lineRule="auto"/>
        <w:jc w:val="left"/>
        <w:rPr>
          <w:rFonts w:hint="eastAsia"/>
          <w:color w:val="auto"/>
          <w:szCs w:val="21"/>
          <w:highlight w:val="none"/>
        </w:rPr>
      </w:pPr>
      <w:r>
        <w:rPr>
          <w:rFonts w:hint="eastAsia"/>
          <w:color w:val="auto"/>
          <w:szCs w:val="21"/>
          <w:highlight w:val="none"/>
        </w:rPr>
        <w:t>6.框架协议期限：</w:t>
      </w:r>
      <w:r>
        <w:rPr>
          <w:rFonts w:hint="eastAsia"/>
          <w:color w:val="auto"/>
          <w:szCs w:val="21"/>
          <w:highlight w:val="none"/>
          <w:lang w:eastAsia="zh-CN"/>
        </w:rPr>
        <w:t>从框架协议签订之日起至202</w:t>
      </w:r>
      <w:r>
        <w:rPr>
          <w:rFonts w:hint="eastAsia"/>
          <w:color w:val="auto"/>
          <w:szCs w:val="21"/>
          <w:highlight w:val="none"/>
          <w:lang w:val="en-US" w:eastAsia="zh-CN"/>
        </w:rPr>
        <w:t>7</w:t>
      </w:r>
      <w:r>
        <w:rPr>
          <w:rFonts w:hint="eastAsia"/>
          <w:color w:val="auto"/>
          <w:szCs w:val="21"/>
          <w:highlight w:val="none"/>
          <w:lang w:eastAsia="zh-CN"/>
        </w:rPr>
        <w:t>年7月中旬</w:t>
      </w:r>
      <w:r>
        <w:rPr>
          <w:rFonts w:hint="eastAsia"/>
          <w:color w:val="auto"/>
          <w:szCs w:val="21"/>
          <w:highlight w:val="none"/>
        </w:rPr>
        <w:t>。</w:t>
      </w:r>
    </w:p>
    <w:p w14:paraId="4AD1C37D">
      <w:pPr>
        <w:adjustRightInd w:val="0"/>
        <w:snapToGrid w:val="0"/>
        <w:spacing w:line="360" w:lineRule="auto"/>
        <w:jc w:val="left"/>
        <w:rPr>
          <w:rFonts w:hint="eastAsia"/>
          <w:color w:val="auto"/>
          <w:szCs w:val="21"/>
          <w:highlight w:val="none"/>
        </w:rPr>
      </w:pPr>
      <w:r>
        <w:rPr>
          <w:rFonts w:hint="eastAsia"/>
          <w:color w:val="auto"/>
          <w:szCs w:val="21"/>
          <w:highlight w:val="none"/>
        </w:rPr>
        <w:t>7.履行合同的地域范围：濮阳县境内。</w:t>
      </w:r>
    </w:p>
    <w:p w14:paraId="79D76054">
      <w:pPr>
        <w:adjustRightInd w:val="0"/>
        <w:snapToGrid w:val="0"/>
        <w:spacing w:line="360" w:lineRule="auto"/>
        <w:jc w:val="left"/>
        <w:rPr>
          <w:rFonts w:hint="eastAsia"/>
          <w:color w:val="auto"/>
          <w:szCs w:val="21"/>
          <w:highlight w:val="none"/>
        </w:rPr>
      </w:pPr>
      <w:r>
        <w:rPr>
          <w:rFonts w:hint="eastAsia"/>
          <w:color w:val="auto"/>
          <w:szCs w:val="21"/>
          <w:highlight w:val="none"/>
        </w:rPr>
        <w:t>8.配送方案：方案包含配送人员安排、车辆配备、线路规划、时间安排、产品交接制度、人员及所需设施配备情况等内容</w:t>
      </w:r>
    </w:p>
    <w:p w14:paraId="0156C29C">
      <w:pPr>
        <w:adjustRightInd w:val="0"/>
        <w:snapToGrid w:val="0"/>
        <w:spacing w:line="360" w:lineRule="auto"/>
        <w:jc w:val="left"/>
        <w:rPr>
          <w:rFonts w:hint="eastAsia"/>
          <w:color w:val="auto"/>
          <w:szCs w:val="21"/>
          <w:highlight w:val="none"/>
        </w:rPr>
      </w:pPr>
      <w:r>
        <w:rPr>
          <w:rFonts w:hint="eastAsia"/>
          <w:color w:val="auto"/>
          <w:szCs w:val="21"/>
          <w:highlight w:val="none"/>
        </w:rPr>
        <w:t>9.食品质量保障方案：方案从产品采购、检测、保管、配送、后期服务及人员、硬件设施、检验检测等全过程、全方面保证食品质量安全等方面阐述。</w:t>
      </w:r>
    </w:p>
    <w:p w14:paraId="3336B46D">
      <w:pPr>
        <w:adjustRightInd w:val="0"/>
        <w:snapToGrid w:val="0"/>
        <w:spacing w:line="360" w:lineRule="auto"/>
        <w:jc w:val="left"/>
        <w:rPr>
          <w:rFonts w:hint="eastAsia"/>
          <w:color w:val="auto"/>
          <w:szCs w:val="21"/>
          <w:highlight w:val="none"/>
        </w:rPr>
      </w:pPr>
      <w:r>
        <w:rPr>
          <w:rFonts w:hint="eastAsia"/>
          <w:color w:val="auto"/>
          <w:szCs w:val="21"/>
          <w:highlight w:val="none"/>
        </w:rPr>
        <w:t>10.出现产品质量问题退换货承诺:承诺情况包括退换货响应计划如退换货响应时间、相应速度等</w:t>
      </w:r>
    </w:p>
    <w:p w14:paraId="4DAC30DC">
      <w:pPr>
        <w:adjustRightInd w:val="0"/>
        <w:snapToGrid w:val="0"/>
        <w:spacing w:line="360" w:lineRule="auto"/>
        <w:jc w:val="left"/>
        <w:rPr>
          <w:rFonts w:hint="eastAsia"/>
          <w:color w:val="auto"/>
          <w:szCs w:val="21"/>
          <w:highlight w:val="none"/>
        </w:rPr>
      </w:pPr>
      <w:r>
        <w:rPr>
          <w:rFonts w:hint="eastAsia"/>
          <w:color w:val="auto"/>
          <w:szCs w:val="21"/>
          <w:highlight w:val="none"/>
        </w:rPr>
        <w:t>11.食品安全管理制度：针对本项目的食品安全管理制度、人员管理制度、环境卫生管理制度、 垃圾处理制度、档案管理制度等方面。</w:t>
      </w:r>
    </w:p>
    <w:p w14:paraId="793316CB">
      <w:pPr>
        <w:adjustRightInd w:val="0"/>
        <w:snapToGrid w:val="0"/>
        <w:spacing w:line="360" w:lineRule="auto"/>
        <w:jc w:val="left"/>
        <w:rPr>
          <w:rFonts w:hint="eastAsia"/>
          <w:color w:val="auto"/>
          <w:szCs w:val="21"/>
          <w:highlight w:val="none"/>
        </w:rPr>
      </w:pPr>
      <w:r>
        <w:rPr>
          <w:rFonts w:hint="eastAsia"/>
          <w:color w:val="auto"/>
          <w:szCs w:val="21"/>
          <w:highlight w:val="none"/>
        </w:rPr>
        <w:t>12.应急方案：包括对供货突发事件（天气、交通等因素）、食品安全事故、紧急任务、特殊节日、客户投诉处理、采购单位临时变更配送量、配送时间、配送地点等问题的处理预案</w:t>
      </w:r>
    </w:p>
    <w:p w14:paraId="3E972E03">
      <w:pPr>
        <w:adjustRightInd w:val="0"/>
        <w:snapToGrid w:val="0"/>
        <w:spacing w:line="360" w:lineRule="auto"/>
        <w:jc w:val="left"/>
        <w:rPr>
          <w:rFonts w:hint="eastAsia"/>
          <w:color w:val="auto"/>
          <w:szCs w:val="21"/>
          <w:highlight w:val="none"/>
        </w:rPr>
      </w:pPr>
      <w:r>
        <w:rPr>
          <w:rFonts w:hint="eastAsia"/>
          <w:color w:val="auto"/>
          <w:szCs w:val="21"/>
          <w:highlight w:val="none"/>
        </w:rPr>
        <w:t>13.服务方案：方案含对货物质量三包、售后服务制定相应的保障措施；针对本项目提供的上门服务、及时配送制定相应的保障措施。</w:t>
      </w:r>
    </w:p>
    <w:p w14:paraId="46EC6FB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E3C01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宋体"/>
      <w:kern w:val="2"/>
      <w:sz w:val="21"/>
      <w:szCs w:val="24"/>
      <w:lang w:val="en-US" w:eastAsia="zh-CN" w:bidi="ar-SA"/>
    </w:rPr>
  </w:style>
  <w:style w:type="paragraph" w:styleId="7">
    <w:name w:val="heading 1"/>
    <w:basedOn w:val="1"/>
    <w:next w:val="1"/>
    <w:link w:val="11"/>
    <w:qFormat/>
    <w:uiPriority w:val="0"/>
    <w:pPr>
      <w:keepNext/>
      <w:keepLines/>
      <w:spacing w:line="480" w:lineRule="auto"/>
      <w:jc w:val="center"/>
      <w:outlineLvl w:val="0"/>
    </w:pPr>
    <w:rPr>
      <w:rFonts w:ascii="Times New Roman" w:hAnsi="Times New Roman" w:eastAsia="宋体"/>
      <w:b/>
      <w:kern w:val="44"/>
      <w:sz w:val="32"/>
      <w:szCs w:val="20"/>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4"/>
    <w:uiPriority w:val="0"/>
    <w:pPr>
      <w:ind w:firstLine="420"/>
    </w:pPr>
    <w:rPr>
      <w:rFonts w:eastAsia="楷体_GB2312"/>
      <w:sz w:val="32"/>
      <w:szCs w:val="20"/>
    </w:rPr>
  </w:style>
  <w:style w:type="paragraph" w:styleId="3">
    <w:name w:val="Body Text"/>
    <w:basedOn w:val="1"/>
    <w:uiPriority w:val="0"/>
    <w:pPr>
      <w:spacing w:after="120"/>
    </w:pPr>
  </w:style>
  <w:style w:type="paragraph" w:styleId="4">
    <w:name w:val="Body Text First Indent 2"/>
    <w:basedOn w:val="5"/>
    <w:next w:val="1"/>
    <w:qFormat/>
    <w:uiPriority w:val="0"/>
    <w:pPr>
      <w:ind w:firstLine="420" w:firstLineChars="200"/>
    </w:pPr>
    <w:rPr>
      <w:rFonts w:eastAsia="宋体"/>
    </w:rPr>
  </w:style>
  <w:style w:type="paragraph" w:styleId="5">
    <w:name w:val="Body Text Indent"/>
    <w:basedOn w:val="1"/>
    <w:next w:val="6"/>
    <w:uiPriority w:val="0"/>
    <w:pPr>
      <w:spacing w:after="120"/>
      <w:ind w:left="420" w:leftChars="200"/>
    </w:pPr>
  </w:style>
  <w:style w:type="paragraph" w:customStyle="1" w:styleId="6">
    <w:name w:val="目录 51"/>
    <w:next w:val="1"/>
    <w:qFormat/>
    <w:uiPriority w:val="0"/>
    <w:pPr>
      <w:wordWrap w:val="0"/>
      <w:ind w:left="1700"/>
      <w:jc w:val="both"/>
    </w:pPr>
    <w:rPr>
      <w:rFonts w:ascii="Calibri" w:hAnsi="Calibri" w:eastAsia="Calibri" w:cs="宋体"/>
      <w:sz w:val="21"/>
      <w:szCs w:val="22"/>
      <w:lang w:val="en-US" w:eastAsia="zh-CN" w:bidi="ar-SA"/>
    </w:rPr>
  </w:style>
  <w:style w:type="paragraph" w:styleId="8">
    <w:name w:val="caption"/>
    <w:basedOn w:val="1"/>
    <w:next w:val="1"/>
    <w:qFormat/>
    <w:uiPriority w:val="0"/>
    <w:rPr>
      <w:rFonts w:ascii="Cambria" w:hAnsi="Cambria" w:eastAsia="黑体"/>
      <w:sz w:val="20"/>
      <w:szCs w:val="20"/>
    </w:rPr>
  </w:style>
  <w:style w:type="character" w:customStyle="1" w:styleId="11">
    <w:name w:val="标题 1 Char"/>
    <w:link w:val="7"/>
    <w:locked/>
    <w:uiPriority w:val="0"/>
    <w:rPr>
      <w:rFonts w:ascii="Times New Roman" w:hAnsi="Times New Roman" w:eastAsia="宋体"/>
      <w:b/>
      <w:kern w:val="44"/>
      <w:sz w:val="32"/>
      <w:szCs w:val="20"/>
    </w:rPr>
  </w:style>
  <w:style w:type="paragraph" w:customStyle="1" w:styleId="12">
    <w:name w:val="无间隔1"/>
    <w:basedOn w:val="13"/>
    <w:next w:val="8"/>
    <w:qFormat/>
    <w:uiPriority w:val="1"/>
    <w:pPr>
      <w:spacing w:line="400" w:lineRule="exact"/>
    </w:pPr>
    <w:rPr>
      <w:sz w:val="24"/>
    </w:rPr>
  </w:style>
  <w:style w:type="paragraph" w:customStyle="1" w:styleId="13">
    <w:name w:val="正文_1"/>
    <w:next w:val="1"/>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2026-08-17T06:47:27Z</dcterms:created>
  <dc:creator>Administrator</dc:creator>
  <cp:lastModifiedBy>  </cp:lastModifiedBy>
  <dcterms:modified xsi:type="dcterms:W3CDTF">2026-08-17T06:47:46Z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eyJoZGlkIjoiNzVhN2M1NWI2MDlmMmY5MTZkMjU0NTA0YTQxNDY3YWEiLCJ1c2VySWQiOiI2MjMwNzAyNTMifQ==</vt:lpwstr>
  </property>
  <property fmtid="{D5CDD505-2E9C-101B-9397-08002B2CF9AE}" pid="4" name="ICV">
    <vt:lpwstr>DBB91BD341A14FD6B093BFCA3B70A2C2_12</vt:lpwstr>
  </property>
</Properties>
</file>