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38F4">
      <w:pPr>
        <w:spacing w:line="360" w:lineRule="auto"/>
        <w:jc w:val="left"/>
        <w:rPr>
          <w:rFonts w:hint="eastAsia" w:ascii="宋体" w:hAnsi="宋体" w:eastAsia="宋体" w:cs="宋体"/>
          <w:b/>
          <w:color w:val="FF0000"/>
          <w:sz w:val="32"/>
          <w:szCs w:val="32"/>
          <w:highlight w:val="none"/>
          <w:shd w:val="clear" w:color="auto" w:fill="FFFFFF"/>
          <w:lang w:eastAsia="zh-CN"/>
        </w:rPr>
      </w:pPr>
      <w:bookmarkStart w:id="170" w:name="_GoBack"/>
      <w:bookmarkEnd w:id="170"/>
      <w:r>
        <w:rPr>
          <w:rFonts w:hint="eastAsia" w:ascii="宋体" w:hAnsi="宋体"/>
          <w:b/>
          <w:color w:val="auto"/>
          <w:sz w:val="32"/>
          <w:szCs w:val="32"/>
        </w:rPr>
        <w:t>招标编号：</w:t>
      </w:r>
      <w:r>
        <w:rPr>
          <w:rFonts w:hint="eastAsia" w:ascii="宋体" w:hAnsi="宋体" w:cs="宋体"/>
          <w:b/>
          <w:color w:val="auto"/>
          <w:sz w:val="32"/>
          <w:szCs w:val="32"/>
          <w:highlight w:val="none"/>
          <w:shd w:val="clear" w:color="auto" w:fill="FFFFFF"/>
          <w:lang w:eastAsia="zh-CN"/>
        </w:rPr>
        <w:t>陕州竞磋采购-2026-5</w:t>
      </w:r>
      <w:r>
        <w:rPr>
          <w:rFonts w:hint="eastAsia" w:ascii="宋体" w:hAnsi="宋体" w:cs="宋体"/>
          <w:b/>
          <w:color w:val="FF0000"/>
          <w:sz w:val="32"/>
          <w:szCs w:val="32"/>
          <w:highlight w:val="none"/>
          <w:shd w:val="clear" w:color="auto" w:fill="FFFFFF"/>
          <w:lang w:eastAsia="zh-CN"/>
        </w:rPr>
        <w:t xml:space="preserve"> </w:t>
      </w:r>
      <w:r>
        <w:rPr>
          <w:rFonts w:hint="eastAsia" w:ascii="宋体" w:hAnsi="宋体" w:cs="宋体"/>
          <w:b/>
          <w:color w:val="auto"/>
          <w:sz w:val="32"/>
          <w:szCs w:val="32"/>
          <w:highlight w:val="none"/>
          <w:shd w:val="clear" w:color="auto" w:fill="FFFFFF"/>
          <w:lang w:eastAsia="zh-CN"/>
        </w:rPr>
        <w:t xml:space="preserve"> SZGZ[2026]019-ZC014</w:t>
      </w:r>
    </w:p>
    <w:p w14:paraId="42CD1EC9">
      <w:pPr>
        <w:spacing w:line="360" w:lineRule="auto"/>
        <w:jc w:val="left"/>
        <w:rPr>
          <w:rFonts w:ascii="宋体" w:hAnsi="宋体" w:cs="宋体"/>
          <w:b/>
          <w:color w:val="000000" w:themeColor="text1"/>
          <w:sz w:val="32"/>
          <w:szCs w:val="32"/>
          <w:shd w:val="clear" w:color="auto" w:fill="FFFFFF"/>
          <w14:textFill>
            <w14:solidFill>
              <w14:schemeClr w14:val="tx1"/>
            </w14:solidFill>
          </w14:textFill>
        </w:rPr>
      </w:pPr>
    </w:p>
    <w:p w14:paraId="6D208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asciiTheme="minorEastAsia" w:hAnsiTheme="minorEastAsia" w:eastAsiaTheme="minorEastAsia"/>
          <w:b/>
          <w:sz w:val="52"/>
          <w:szCs w:val="52"/>
          <w:lang w:eastAsia="zh-CN"/>
        </w:rPr>
      </w:pPr>
      <w:r>
        <w:rPr>
          <w:rFonts w:hint="eastAsia" w:cs="Times New Roman" w:asciiTheme="minorEastAsia" w:hAnsiTheme="minorEastAsia" w:eastAsiaTheme="minorEastAsia"/>
          <w:b/>
          <w:sz w:val="52"/>
          <w:szCs w:val="52"/>
          <w:lang w:eastAsia="zh-CN"/>
        </w:rPr>
        <w:t>陕州区地下水国考点位隐患排查</w:t>
      </w:r>
    </w:p>
    <w:p w14:paraId="782E454D">
      <w:pPr>
        <w:keepNext w:val="0"/>
        <w:keepLines w:val="0"/>
        <w:pageBreakBefore w:val="0"/>
        <w:widowControl w:val="0"/>
        <w:kinsoku/>
        <w:wordWrap/>
        <w:overflowPunct/>
        <w:topLinePunct w:val="0"/>
        <w:autoSpaceDE/>
        <w:autoSpaceDN/>
        <w:bidi w:val="0"/>
        <w:adjustRightInd/>
        <w:snapToGrid/>
        <w:spacing w:after="363" w:afterLines="100" w:line="720" w:lineRule="exact"/>
        <w:jc w:val="center"/>
        <w:textAlignment w:val="auto"/>
        <w:rPr>
          <w:rFonts w:hint="eastAsia" w:asciiTheme="minorEastAsia" w:hAnsiTheme="minorEastAsia" w:eastAsiaTheme="minorEastAsia"/>
          <w:b/>
          <w:sz w:val="64"/>
          <w:szCs w:val="64"/>
          <w:lang w:eastAsia="zh-CN"/>
        </w:rPr>
      </w:pPr>
      <w:r>
        <w:rPr>
          <w:rFonts w:hint="eastAsia" w:cs="Times New Roman" w:asciiTheme="minorEastAsia" w:hAnsiTheme="minorEastAsia" w:eastAsiaTheme="minorEastAsia"/>
          <w:b/>
          <w:sz w:val="52"/>
          <w:szCs w:val="52"/>
          <w:lang w:eastAsia="zh-CN"/>
        </w:rPr>
        <w:t>技术服务项目</w:t>
      </w:r>
    </w:p>
    <w:p w14:paraId="439909B0">
      <w:pPr>
        <w:keepNext w:val="0"/>
        <w:keepLines w:val="0"/>
        <w:pageBreakBefore w:val="0"/>
        <w:widowControl w:val="0"/>
        <w:kinsoku/>
        <w:wordWrap/>
        <w:overflowPunct/>
        <w:topLinePunct w:val="0"/>
        <w:autoSpaceDE/>
        <w:autoSpaceDN/>
        <w:bidi w:val="0"/>
        <w:adjustRightInd/>
        <w:snapToGrid/>
        <w:spacing w:after="363" w:afterLines="100"/>
        <w:jc w:val="center"/>
        <w:textAlignment w:val="auto"/>
        <w:rPr>
          <w:rFonts w:hint="eastAsia" w:ascii="宋体" w:hAnsi="宋体"/>
          <w:b/>
          <w:sz w:val="52"/>
          <w:szCs w:val="52"/>
        </w:rPr>
      </w:pPr>
      <w:r>
        <w:rPr>
          <w:rFonts w:hint="eastAsia" w:ascii="宋体" w:hAnsi="宋体"/>
          <w:b/>
          <w:sz w:val="52"/>
          <w:szCs w:val="52"/>
        </w:rPr>
        <w:t>竞争性磋商文件</w:t>
      </w:r>
    </w:p>
    <w:p w14:paraId="3B001168">
      <w:pPr>
        <w:spacing w:line="360" w:lineRule="auto"/>
        <w:jc w:val="center"/>
        <w:rPr>
          <w:rFonts w:hint="eastAsia" w:ascii="宋体" w:hAnsi="宋体" w:eastAsia="宋体"/>
          <w:sz w:val="36"/>
          <w:szCs w:val="36"/>
          <w:lang w:eastAsia="zh-CN"/>
        </w:rPr>
      </w:pPr>
    </w:p>
    <w:p w14:paraId="5B885E87">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10"/>
                    <a:stretch>
                      <a:fillRect/>
                    </a:stretch>
                  </pic:blipFill>
                  <pic:spPr>
                    <a:xfrm>
                      <a:off x="0" y="0"/>
                      <a:ext cx="2846705" cy="2167255"/>
                    </a:xfrm>
                    <a:prstGeom prst="rect">
                      <a:avLst/>
                    </a:prstGeom>
                  </pic:spPr>
                </pic:pic>
              </a:graphicData>
            </a:graphic>
          </wp:inline>
        </w:drawing>
      </w:r>
      <w:r>
        <w:rPr>
          <w:rFonts w:ascii="宋体" w:hAnsi="宋体"/>
          <w:sz w:val="36"/>
          <w:szCs w:val="36"/>
        </w:rPr>
        <w:br w:type="textWrapping" w:clear="all"/>
      </w:r>
    </w:p>
    <w:p w14:paraId="5E21CBF8">
      <w:pPr>
        <w:spacing w:line="360" w:lineRule="auto"/>
        <w:rPr>
          <w:rFonts w:ascii="宋体" w:hAnsi="宋体"/>
          <w:sz w:val="36"/>
          <w:szCs w:val="36"/>
        </w:rPr>
      </w:pPr>
    </w:p>
    <w:p w14:paraId="7D7C7900">
      <w:pPr>
        <w:spacing w:line="360" w:lineRule="auto"/>
        <w:ind w:firstLine="883" w:firstLineChars="275"/>
        <w:rPr>
          <w:rFonts w:ascii="宋体" w:hAnsi="宋体"/>
          <w:b/>
          <w:sz w:val="32"/>
          <w:szCs w:val="32"/>
        </w:rPr>
      </w:pPr>
    </w:p>
    <w:p w14:paraId="05EFB308">
      <w:pPr>
        <w:spacing w:line="360" w:lineRule="auto"/>
        <w:ind w:firstLine="964" w:firstLineChars="300"/>
        <w:rPr>
          <w:rFonts w:hint="eastAsia" w:ascii="宋体" w:hAnsi="宋体"/>
          <w:b/>
          <w:sz w:val="32"/>
          <w:szCs w:val="32"/>
        </w:rPr>
      </w:pPr>
    </w:p>
    <w:p w14:paraId="30F04467">
      <w:pPr>
        <w:spacing w:line="360" w:lineRule="auto"/>
        <w:ind w:firstLine="643" w:firstLineChars="200"/>
        <w:rPr>
          <w:rFonts w:ascii="宋体" w:hAnsi="宋体"/>
          <w:b/>
          <w:color w:val="FF0000"/>
          <w:sz w:val="32"/>
          <w:szCs w:val="32"/>
        </w:rPr>
      </w:pPr>
      <w:r>
        <w:rPr>
          <w:rFonts w:hint="eastAsia"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 xml:space="preserve"> </w:t>
      </w:r>
      <w:r>
        <w:rPr>
          <w:rFonts w:hint="eastAsia" w:ascii="宋体" w:hAnsi="宋体"/>
          <w:b/>
          <w:sz w:val="32"/>
          <w:szCs w:val="32"/>
        </w:rPr>
        <w:t>单</w:t>
      </w:r>
      <w:r>
        <w:rPr>
          <w:rFonts w:hint="eastAsia" w:ascii="宋体" w:hAnsi="宋体"/>
          <w:b/>
          <w:sz w:val="32"/>
          <w:szCs w:val="32"/>
          <w:lang w:val="en-US" w:eastAsia="zh-CN"/>
        </w:rPr>
        <w:t xml:space="preserve"> </w:t>
      </w:r>
      <w:r>
        <w:rPr>
          <w:rFonts w:hint="eastAsia" w:ascii="宋体" w:hAnsi="宋体"/>
          <w:b/>
          <w:sz w:val="32"/>
          <w:szCs w:val="32"/>
        </w:rPr>
        <w:t>位：</w:t>
      </w:r>
      <w:r>
        <w:rPr>
          <w:rFonts w:hint="eastAsia" w:ascii="宋体" w:hAnsi="宋体"/>
          <w:b/>
          <w:sz w:val="32"/>
          <w:szCs w:val="32"/>
          <w:lang w:eastAsia="zh-CN"/>
        </w:rPr>
        <w:t>三门峡市陕州区环境污染防治攻坚工作专班</w:t>
      </w:r>
    </w:p>
    <w:p w14:paraId="5227817C">
      <w:pPr>
        <w:spacing w:line="360" w:lineRule="auto"/>
        <w:ind w:firstLine="643" w:firstLineChars="2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04862F8">
      <w:pPr>
        <w:spacing w:line="360" w:lineRule="auto"/>
        <w:ind w:firstLine="643" w:firstLineChars="200"/>
        <w:rPr>
          <w:rFonts w:hint="eastAsia" w:ascii="宋体" w:hAnsi="宋体"/>
          <w:b/>
          <w:sz w:val="32"/>
          <w:szCs w:val="32"/>
        </w:rPr>
      </w:pPr>
      <w:r>
        <w:rPr>
          <w:rFonts w:hint="eastAsia"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 xml:space="preserve"> </w:t>
      </w:r>
      <w:r>
        <w:rPr>
          <w:rFonts w:hint="eastAsia" w:ascii="宋体" w:hAnsi="宋体"/>
          <w:b/>
          <w:sz w:val="32"/>
          <w:szCs w:val="32"/>
        </w:rPr>
        <w:t>日</w:t>
      </w:r>
      <w:r>
        <w:rPr>
          <w:rFonts w:hint="eastAsia" w:ascii="宋体" w:hAnsi="宋体"/>
          <w:b/>
          <w:sz w:val="32"/>
          <w:szCs w:val="32"/>
          <w:lang w:val="en-US" w:eastAsia="zh-CN"/>
        </w:rPr>
        <w:t xml:space="preserve"> </w:t>
      </w:r>
      <w:r>
        <w:rPr>
          <w:rFonts w:hint="eastAsia" w:ascii="宋体" w:hAnsi="宋体"/>
          <w:b/>
          <w:sz w:val="32"/>
          <w:szCs w:val="32"/>
        </w:rPr>
        <w:t xml:space="preserve">期：二 O 二 </w:t>
      </w:r>
      <w:r>
        <w:rPr>
          <w:rFonts w:hint="eastAsia" w:ascii="宋体" w:hAnsi="宋体"/>
          <w:b/>
          <w:sz w:val="32"/>
          <w:szCs w:val="32"/>
          <w:lang w:val="en-US" w:eastAsia="zh-CN"/>
        </w:rPr>
        <w:t>六</w:t>
      </w:r>
      <w:r>
        <w:rPr>
          <w:rFonts w:hint="eastAsia" w:ascii="宋体" w:hAnsi="宋体"/>
          <w:b/>
          <w:sz w:val="32"/>
          <w:szCs w:val="32"/>
        </w:rPr>
        <w:t xml:space="preserve"> 年 </w:t>
      </w:r>
      <w:r>
        <w:rPr>
          <w:rFonts w:hint="eastAsia" w:ascii="宋体" w:hAnsi="宋体"/>
          <w:b/>
          <w:sz w:val="32"/>
          <w:szCs w:val="32"/>
          <w:lang w:val="en-US" w:eastAsia="zh-CN"/>
        </w:rPr>
        <w:t>三</w:t>
      </w:r>
      <w:r>
        <w:rPr>
          <w:rFonts w:hint="eastAsia" w:ascii="宋体" w:hAnsi="宋体"/>
          <w:b/>
          <w:sz w:val="32"/>
          <w:szCs w:val="32"/>
        </w:rPr>
        <w:t xml:space="preserve"> 月</w:t>
      </w:r>
    </w:p>
    <w:p w14:paraId="6C7C1C9D">
      <w:pPr>
        <w:spacing w:line="360" w:lineRule="auto"/>
        <w:ind w:firstLine="442" w:firstLineChars="100"/>
        <w:rPr>
          <w:rFonts w:hint="eastAsia" w:hAnsi="宋体" w:cs="宋体"/>
          <w:b/>
          <w:bCs/>
          <w:sz w:val="44"/>
          <w:szCs w:val="44"/>
        </w:rPr>
        <w:sectPr>
          <w:headerReference r:id="rId4" w:type="first"/>
          <w:headerReference r:id="rId3" w:type="default"/>
          <w:footerReference r:id="rId5" w:type="default"/>
          <w:pgSz w:w="11900" w:h="16838"/>
          <w:pgMar w:top="1304" w:right="1332" w:bottom="1406" w:left="1548" w:header="720" w:footer="720" w:gutter="0"/>
          <w:pgNumType w:fmt="decimal" w:start="1"/>
          <w:cols w:space="0" w:num="1"/>
          <w:titlePg/>
          <w:rtlGutter w:val="0"/>
          <w:docGrid w:type="lines" w:linePitch="362" w:charSpace="0"/>
        </w:sectPr>
      </w:pPr>
    </w:p>
    <w:p w14:paraId="086C6564">
      <w:pPr>
        <w:spacing w:line="360" w:lineRule="auto"/>
        <w:ind w:firstLine="442" w:firstLineChars="100"/>
        <w:jc w:val="center"/>
        <w:rPr>
          <w:rFonts w:hAnsi="宋体" w:cs="宋体"/>
          <w:b/>
          <w:bCs/>
          <w:color w:val="auto"/>
          <w:sz w:val="44"/>
          <w:szCs w:val="44"/>
        </w:rPr>
      </w:pPr>
      <w:r>
        <w:rPr>
          <w:rFonts w:hint="eastAsia" w:hAnsi="宋体" w:cs="宋体"/>
          <w:b/>
          <w:bCs/>
          <w:color w:val="auto"/>
          <w:sz w:val="44"/>
          <w:szCs w:val="44"/>
        </w:rPr>
        <w:t>目  录</w:t>
      </w:r>
    </w:p>
    <w:p w14:paraId="260B837F">
      <w:pPr>
        <w:pStyle w:val="34"/>
        <w:tabs>
          <w:tab w:val="right" w:leader="dot" w:pos="9020"/>
        </w:tabs>
        <w:spacing w:line="360" w:lineRule="auto"/>
        <w:rPr>
          <w:rFonts w:hint="eastAsia" w:ascii="宋体" w:hAnsi="宋体" w:eastAsia="宋体" w:cs="宋体"/>
          <w:sz w:val="28"/>
          <w:szCs w:val="28"/>
        </w:rPr>
      </w:pPr>
      <w:r>
        <w:rPr>
          <w:rFonts w:hint="eastAsia"/>
          <w:color w:val="auto"/>
          <w:sz w:val="24"/>
          <w:szCs w:val="24"/>
        </w:rPr>
        <w:fldChar w:fldCharType="begin"/>
      </w:r>
      <w:r>
        <w:rPr>
          <w:rFonts w:hint="eastAsia"/>
          <w:color w:val="auto"/>
          <w:sz w:val="24"/>
          <w:szCs w:val="24"/>
        </w:rPr>
        <w:instrText xml:space="preserve"> TOC \o "1-3" \h \z \u </w:instrText>
      </w:r>
      <w:r>
        <w:rPr>
          <w:rFonts w:hint="eastAsia"/>
          <w:color w:val="auto"/>
          <w:sz w:val="24"/>
          <w:szCs w:val="24"/>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_Toc19540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val="en-US" w:eastAsia="zh-CN"/>
        </w:rPr>
        <w:t>竞争性磋商</w:t>
      </w:r>
      <w:r>
        <w:rPr>
          <w:rFonts w:hint="eastAsia" w:ascii="宋体" w:hAnsi="宋体" w:eastAsia="宋体" w:cs="宋体"/>
          <w:sz w:val="28"/>
          <w:szCs w:val="28"/>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_Toc19540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F346BD8">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_Toc24810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_Toc24810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964CEE">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_Toc14092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磋商办法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_Toc14092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1C5FED">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_Toc31229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第四章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_Toc31229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96CB1B">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_Toc22407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_Toc22407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74F2E7">
      <w:pPr>
        <w:pStyle w:val="34"/>
        <w:tabs>
          <w:tab w:val="right" w:leader="dot" w:pos="9020"/>
        </w:tabs>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第六章 竞争性磋商响应文件格式</w:t>
      </w:r>
      <w:r>
        <w:rPr>
          <w:rFonts w:hint="eastAsia" w:ascii="宋体" w:hAnsi="宋体" w:eastAsia="宋体" w:cs="宋体"/>
          <w:sz w:val="28"/>
          <w:szCs w:val="28"/>
        </w:rPr>
        <w:tab/>
      </w:r>
      <w:r>
        <w:rPr>
          <w:rFonts w:hint="eastAsia" w:cs="宋体"/>
          <w:sz w:val="28"/>
          <w:szCs w:val="28"/>
          <w:lang w:val="en-US" w:eastAsia="zh-CN"/>
        </w:rPr>
        <w:t>4</w:t>
      </w:r>
      <w:r>
        <w:rPr>
          <w:rFonts w:hint="eastAsia" w:ascii="宋体" w:hAnsi="宋体" w:eastAsia="宋体" w:cs="宋体"/>
          <w:sz w:val="28"/>
          <w:szCs w:val="28"/>
        </w:rPr>
        <w:fldChar w:fldCharType="end"/>
      </w:r>
      <w:r>
        <w:rPr>
          <w:rFonts w:hint="eastAsia" w:cs="宋体"/>
          <w:sz w:val="28"/>
          <w:szCs w:val="28"/>
          <w:lang w:val="en-US" w:eastAsia="zh-CN"/>
        </w:rPr>
        <w:t>0</w:t>
      </w:r>
    </w:p>
    <w:p w14:paraId="72ADD8F0">
      <w:pPr>
        <w:pStyle w:val="40"/>
        <w:tabs>
          <w:tab w:val="right" w:leader="dot" w:pos="9020"/>
        </w:tabs>
      </w:pPr>
    </w:p>
    <w:p w14:paraId="4622DD19">
      <w:pPr>
        <w:pStyle w:val="40"/>
        <w:tabs>
          <w:tab w:val="right" w:leader="dot" w:pos="9020"/>
        </w:tabs>
      </w:pPr>
    </w:p>
    <w:p w14:paraId="13905F51">
      <w:pPr>
        <w:pStyle w:val="40"/>
        <w:tabs>
          <w:tab w:val="right" w:leader="dot" w:pos="8302"/>
        </w:tabs>
        <w:spacing w:line="440" w:lineRule="exact"/>
        <w:ind w:left="0"/>
        <w:rPr>
          <w:rFonts w:ascii="宋体" w:hAnsi="宋体"/>
          <w:b/>
          <w:bCs/>
          <w:sz w:val="24"/>
          <w:szCs w:val="24"/>
        </w:rPr>
      </w:pPr>
      <w:r>
        <w:rPr>
          <w:rFonts w:hint="eastAsia" w:ascii="宋体" w:hAnsi="宋体"/>
          <w:szCs w:val="24"/>
        </w:rPr>
        <w:fldChar w:fldCharType="end"/>
      </w:r>
      <w:bookmarkStart w:id="0" w:name="_Toc270604572"/>
    </w:p>
    <w:bookmarkEnd w:id="0"/>
    <w:p w14:paraId="08CBBF72">
      <w:pPr>
        <w:pStyle w:val="2"/>
        <w:spacing w:before="120" w:after="120" w:line="400" w:lineRule="exact"/>
        <w:jc w:val="center"/>
        <w:rPr>
          <w:rFonts w:hint="eastAsia" w:ascii="黑体" w:hAnsi="黑体" w:eastAsia="黑体"/>
          <w:sz w:val="36"/>
          <w:szCs w:val="36"/>
        </w:rPr>
        <w:sectPr>
          <w:footerReference r:id="rId6" w:type="default"/>
          <w:pgSz w:w="11900" w:h="16838"/>
          <w:pgMar w:top="1304" w:right="1332" w:bottom="1406" w:left="1548" w:header="720" w:footer="720" w:gutter="0"/>
          <w:pgNumType w:fmt="decimal" w:start="1"/>
          <w:cols w:space="0" w:num="1"/>
          <w:rtlGutter w:val="0"/>
          <w:docGrid w:type="lines" w:linePitch="362" w:charSpace="0"/>
        </w:sectPr>
      </w:pPr>
      <w:bookmarkStart w:id="1" w:name="_Toc26551"/>
    </w:p>
    <w:p w14:paraId="7CF4A7FB">
      <w:pPr>
        <w:pStyle w:val="2"/>
        <w:bidi w:val="0"/>
        <w:jc w:val="center"/>
        <w:rPr>
          <w:rFonts w:ascii="黑体" w:hAnsi="黑体" w:eastAsia="黑体"/>
          <w:szCs w:val="36"/>
        </w:rPr>
      </w:pPr>
      <w:bookmarkStart w:id="2" w:name="_Toc19540"/>
      <w:r>
        <w:rPr>
          <w:rFonts w:hint="eastAsia"/>
        </w:rPr>
        <w:t xml:space="preserve">第一章 </w:t>
      </w:r>
      <w:r>
        <w:rPr>
          <w:rFonts w:hint="eastAsia"/>
          <w:lang w:val="en-US" w:eastAsia="zh-CN"/>
        </w:rPr>
        <w:t>竞争性磋商</w:t>
      </w:r>
      <w:r>
        <w:rPr>
          <w:rFonts w:hint="eastAsia"/>
        </w:rPr>
        <w:t>公告</w:t>
      </w:r>
      <w:bookmarkEnd w:id="1"/>
      <w:bookmarkEnd w:id="2"/>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146885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宋体" w:hAnsi="宋体" w:cs="宋体"/>
          <w:color w:val="auto"/>
          <w:sz w:val="24"/>
          <w:szCs w:val="24"/>
        </w:rPr>
      </w:pPr>
      <w:r>
        <w:rPr>
          <w:rFonts w:hint="eastAsia" w:ascii="宋体" w:hAnsi="宋体" w:cs="宋体"/>
          <w:sz w:val="24"/>
          <w:szCs w:val="24"/>
          <w:lang w:eastAsia="zh-CN"/>
        </w:rPr>
        <w:t>陕州区地下水国考点位隐患排查技术服务项目</w:t>
      </w:r>
      <w:r>
        <w:rPr>
          <w:rFonts w:hint="eastAsia" w:ascii="宋体" w:hAnsi="宋体"/>
          <w:sz w:val="24"/>
          <w:highlight w:val="none"/>
        </w:rPr>
        <w:t>的潜在</w:t>
      </w:r>
      <w:r>
        <w:rPr>
          <w:rFonts w:hint="eastAsia" w:ascii="宋体" w:hAnsi="宋体"/>
          <w:sz w:val="24"/>
          <w:highlight w:val="none"/>
          <w:lang w:val="en-US" w:eastAsia="zh-CN"/>
        </w:rPr>
        <w:t>供应商</w:t>
      </w:r>
      <w:r>
        <w:rPr>
          <w:rFonts w:hint="eastAsia" w:ascii="宋体" w:hAnsi="宋体"/>
          <w:sz w:val="24"/>
          <w:highlight w:val="none"/>
        </w:rPr>
        <w:t>应在三门峡市公共资源交易中心网（网址：http://gzjy.smx.gov.cn/）获取招标文件，并于</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03</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日08时</w:t>
      </w:r>
      <w:r>
        <w:rPr>
          <w:rFonts w:hint="eastAsia" w:ascii="宋体" w:hAnsi="宋体"/>
          <w:color w:val="auto"/>
          <w:sz w:val="24"/>
          <w:highlight w:val="none"/>
          <w:lang w:val="en-US" w:eastAsia="zh-CN"/>
        </w:rPr>
        <w:t>3</w:t>
      </w:r>
      <w:r>
        <w:rPr>
          <w:rFonts w:hint="eastAsia" w:ascii="宋体" w:hAnsi="宋体"/>
          <w:color w:val="auto"/>
          <w:sz w:val="24"/>
          <w:highlight w:val="none"/>
        </w:rPr>
        <w:t>0分（北京时间）前递交响应文件。</w:t>
      </w:r>
    </w:p>
    <w:p w14:paraId="5D739F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18DDA4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sz w:val="24"/>
          <w:szCs w:val="24"/>
        </w:rPr>
        <w:t>1、</w:t>
      </w:r>
      <w:r>
        <w:rPr>
          <w:rFonts w:hint="eastAsia" w:ascii="宋体" w:hAnsi="宋体" w:cs="宋体"/>
          <w:sz w:val="24"/>
          <w:szCs w:val="24"/>
          <w:highlight w:val="none"/>
        </w:rPr>
        <w:t>项目编</w:t>
      </w:r>
      <w:r>
        <w:rPr>
          <w:rFonts w:hint="eastAsia" w:ascii="宋体" w:hAnsi="宋体" w:cs="宋体"/>
          <w:color w:val="000000" w:themeColor="text1"/>
          <w:sz w:val="24"/>
          <w:szCs w:val="24"/>
          <w:highlight w:val="none"/>
          <w14:textFill>
            <w14:solidFill>
              <w14:schemeClr w14:val="tx1"/>
            </w14:solidFill>
          </w14:textFill>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陕州竞磋采购-2026-5</w:t>
      </w:r>
      <w:r>
        <w:rPr>
          <w:rFonts w:hint="eastAsia" w:ascii="宋体" w:hAnsi="宋体" w:cs="宋体"/>
          <w:color w:val="FF0000"/>
          <w:sz w:val="24"/>
          <w:szCs w:val="24"/>
          <w:highlight w:val="none"/>
          <w:lang w:eastAsia="zh-CN"/>
        </w:rPr>
        <w:t xml:space="preserve"> </w:t>
      </w:r>
      <w:r>
        <w:rPr>
          <w:rFonts w:hint="eastAsia" w:ascii="宋体" w:hAnsi="宋体" w:cs="宋体"/>
          <w:color w:val="auto"/>
          <w:sz w:val="24"/>
          <w:szCs w:val="24"/>
          <w:highlight w:val="none"/>
          <w:lang w:eastAsia="zh-CN"/>
        </w:rPr>
        <w:t xml:space="preserve"> SZGZ[2026]019-ZC014</w:t>
      </w:r>
    </w:p>
    <w:p w14:paraId="02A413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项目名称：</w:t>
      </w:r>
      <w:r>
        <w:rPr>
          <w:rFonts w:hint="eastAsia" w:ascii="宋体" w:hAnsi="宋体" w:cs="宋体"/>
          <w:sz w:val="24"/>
          <w:szCs w:val="24"/>
          <w:lang w:eastAsia="zh-CN"/>
        </w:rPr>
        <w:t>陕州区地下水国考点位隐患排查技术服务项目</w:t>
      </w:r>
    </w:p>
    <w:p w14:paraId="5DE851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3、采购方式：竞争性磋商</w:t>
      </w:r>
    </w:p>
    <w:p w14:paraId="5F4F2C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zh-TW"/>
        </w:rPr>
      </w:pPr>
      <w:r>
        <w:rPr>
          <w:rFonts w:hint="eastAsia" w:ascii="宋体" w:hAnsi="宋体" w:cs="宋体"/>
          <w:sz w:val="24"/>
          <w:lang w:val="en-US" w:eastAsia="zh-CN"/>
        </w:rPr>
        <w:t>4、</w:t>
      </w:r>
      <w:r>
        <w:rPr>
          <w:rFonts w:hint="eastAsia" w:ascii="宋体" w:hAnsi="宋体"/>
          <w:color w:val="000000"/>
          <w:sz w:val="24"/>
        </w:rPr>
        <w:t>预算</w:t>
      </w:r>
      <w:r>
        <w:rPr>
          <w:rFonts w:hint="eastAsia" w:ascii="宋体" w:hAnsi="宋体"/>
          <w:color w:val="000000"/>
          <w:sz w:val="24"/>
          <w:lang w:val="en-US" w:eastAsia="zh-CN"/>
        </w:rPr>
        <w:t>金额</w:t>
      </w:r>
      <w:r>
        <w:rPr>
          <w:rFonts w:hint="eastAsia" w:ascii="宋体" w:hAnsi="宋体"/>
          <w:color w:val="000000"/>
          <w:sz w:val="24"/>
        </w:rPr>
        <w:t>：</w:t>
      </w:r>
      <w:r>
        <w:rPr>
          <w:rFonts w:hint="eastAsia" w:ascii="宋体" w:hAnsi="宋体"/>
          <w:color w:val="000000"/>
          <w:sz w:val="24"/>
          <w:lang w:val="en-US" w:eastAsia="zh-CN"/>
        </w:rPr>
        <w:t>65</w:t>
      </w:r>
      <w:r>
        <w:rPr>
          <w:rFonts w:hint="eastAsia" w:ascii="宋体" w:hAnsi="宋体"/>
          <w:color w:val="000000"/>
          <w:sz w:val="24"/>
          <w:lang w:eastAsia="zh-CN"/>
        </w:rPr>
        <w:t>0000.00元</w:t>
      </w:r>
    </w:p>
    <w:p w14:paraId="315D336E">
      <w:pPr>
        <w:keepNext w:val="0"/>
        <w:keepLines w:val="0"/>
        <w:pageBreakBefore w:val="0"/>
        <w:widowControl w:val="0"/>
        <w:kinsoku/>
        <w:wordWrap/>
        <w:overflowPunct/>
        <w:topLinePunct w:val="0"/>
        <w:autoSpaceDE/>
        <w:autoSpaceDN/>
        <w:bidi w:val="0"/>
        <w:adjustRightInd/>
        <w:snapToGrid/>
        <w:spacing w:line="480" w:lineRule="exact"/>
        <w:ind w:firstLine="960" w:firstLineChars="400"/>
        <w:textAlignment w:val="auto"/>
        <w:rPr>
          <w:rFonts w:hint="eastAsia" w:ascii="宋体" w:hAnsi="宋体" w:cs="宋体"/>
          <w:color w:val="auto"/>
          <w:sz w:val="24"/>
          <w:lang w:val="zh-TW"/>
        </w:rPr>
      </w:pPr>
      <w:r>
        <w:rPr>
          <w:rFonts w:hint="eastAsia" w:ascii="宋体" w:hAnsi="宋体"/>
          <w:color w:val="auto"/>
          <w:sz w:val="24"/>
          <w:highlight w:val="none"/>
        </w:rPr>
        <w:t>最高限价：</w:t>
      </w:r>
      <w:r>
        <w:rPr>
          <w:rFonts w:hint="eastAsia" w:ascii="宋体" w:hAnsi="宋体"/>
          <w:color w:val="auto"/>
          <w:sz w:val="24"/>
          <w:lang w:val="en-US" w:eastAsia="zh-CN"/>
        </w:rPr>
        <w:t>65</w:t>
      </w:r>
      <w:r>
        <w:rPr>
          <w:rFonts w:hint="eastAsia" w:ascii="宋体" w:hAnsi="宋体"/>
          <w:color w:val="auto"/>
          <w:sz w:val="24"/>
          <w:lang w:eastAsia="zh-CN"/>
        </w:rPr>
        <w:t>0000.00元</w:t>
      </w:r>
    </w:p>
    <w:tbl>
      <w:tblPr>
        <w:tblStyle w:val="50"/>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418"/>
        <w:gridCol w:w="2062"/>
        <w:gridCol w:w="1485"/>
        <w:gridCol w:w="1346"/>
        <w:gridCol w:w="1336"/>
        <w:gridCol w:w="1432"/>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05"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18"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2062"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485"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346"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336"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是否专门面向中小企业</w:t>
            </w:r>
          </w:p>
        </w:tc>
        <w:tc>
          <w:tcPr>
            <w:tcW w:w="1432" w:type="dxa"/>
            <w:vAlign w:val="center"/>
          </w:tcPr>
          <w:p w14:paraId="2DF02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采购预留金额（元）</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18"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 w:val="24"/>
                <w:highlight w:val="none"/>
                <w:vertAlign w:val="baseline"/>
                <w:lang w:val="en-US"/>
              </w:rPr>
            </w:pPr>
            <w:r>
              <w:rPr>
                <w:rFonts w:hint="eastAsia" w:ascii="宋体" w:hAnsi="宋体" w:cs="宋体"/>
                <w:color w:val="auto"/>
                <w:sz w:val="24"/>
                <w:szCs w:val="24"/>
                <w:highlight w:val="none"/>
                <w:lang w:eastAsia="zh-CN"/>
              </w:rPr>
              <w:t>SZGZ[2026]019-ZC014</w:t>
            </w:r>
            <w:r>
              <w:rPr>
                <w:rFonts w:hint="eastAsia" w:ascii="宋体" w:hAnsi="宋体" w:cs="宋体"/>
                <w:color w:val="auto"/>
                <w:sz w:val="24"/>
                <w:szCs w:val="24"/>
                <w:highlight w:val="none"/>
                <w:lang w:val="en-US" w:eastAsia="zh-CN"/>
              </w:rPr>
              <w:t>-1</w:t>
            </w:r>
          </w:p>
        </w:tc>
        <w:tc>
          <w:tcPr>
            <w:tcW w:w="2062"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vertAlign w:val="baseline"/>
              </w:rPr>
            </w:pPr>
            <w:r>
              <w:rPr>
                <w:rFonts w:hint="eastAsia" w:ascii="宋体" w:hAnsi="宋体" w:cs="宋体"/>
                <w:sz w:val="24"/>
                <w:szCs w:val="24"/>
                <w:lang w:eastAsia="zh-CN"/>
              </w:rPr>
              <w:t>陕州区地下水国考点位隐患排查技术服务项目</w:t>
            </w:r>
          </w:p>
        </w:tc>
        <w:tc>
          <w:tcPr>
            <w:tcW w:w="1485"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650000.00</w:t>
            </w:r>
          </w:p>
        </w:tc>
        <w:tc>
          <w:tcPr>
            <w:tcW w:w="1346"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650000.00</w:t>
            </w:r>
          </w:p>
        </w:tc>
        <w:tc>
          <w:tcPr>
            <w:tcW w:w="1336"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highlight w:val="none"/>
                <w:vertAlign w:val="baseline"/>
                <w:lang w:val="en-US" w:eastAsia="zh-CN"/>
              </w:rPr>
            </w:pPr>
            <w:r>
              <w:rPr>
                <w:rFonts w:hint="eastAsia" w:ascii="宋体" w:hAnsi="宋体"/>
                <w:color w:val="auto"/>
                <w:sz w:val="24"/>
                <w:highlight w:val="none"/>
                <w:vertAlign w:val="baseline"/>
                <w:lang w:val="en-US" w:eastAsia="zh-CN"/>
              </w:rPr>
              <w:t>是</w:t>
            </w:r>
          </w:p>
        </w:tc>
        <w:tc>
          <w:tcPr>
            <w:tcW w:w="1432" w:type="dxa"/>
            <w:vAlign w:val="center"/>
          </w:tcPr>
          <w:p w14:paraId="62750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650000.00</w:t>
            </w:r>
          </w:p>
        </w:tc>
      </w:tr>
    </w:tbl>
    <w:p w14:paraId="09E0D599">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5、采购需求（包括但不限于标的的名称、数量、简要技术需求或服务要求等）</w:t>
      </w:r>
      <w:r>
        <w:rPr>
          <w:rFonts w:hint="eastAsia" w:ascii="宋体" w:hAnsi="宋体"/>
          <w:sz w:val="24"/>
          <w:highlight w:val="none"/>
          <w:lang w:eastAsia="zh-CN"/>
        </w:rPr>
        <w:t>：</w:t>
      </w:r>
    </w:p>
    <w:p w14:paraId="4947020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Times New Roman"/>
          <w:sz w:val="24"/>
          <w:highlight w:val="none"/>
          <w:lang w:val="en-US" w:eastAsia="zh-CN"/>
        </w:rPr>
      </w:pPr>
      <w:r>
        <w:rPr>
          <w:rFonts w:hint="eastAsia" w:ascii="宋体" w:hAnsi="宋体"/>
          <w:sz w:val="24"/>
          <w:highlight w:val="none"/>
        </w:rPr>
        <w:t>5.1</w:t>
      </w:r>
      <w:r>
        <w:rPr>
          <w:rFonts w:hint="eastAsia" w:ascii="宋体" w:hAnsi="宋体"/>
          <w:sz w:val="24"/>
          <w:highlight w:val="none"/>
          <w:lang w:val="en-US" w:eastAsia="zh-CN"/>
        </w:rPr>
        <w:t>服务</w:t>
      </w:r>
      <w:r>
        <w:rPr>
          <w:rFonts w:hint="eastAsia" w:ascii="宋体" w:hAnsi="宋体"/>
          <w:sz w:val="24"/>
          <w:highlight w:val="none"/>
        </w:rPr>
        <w:t>内容：</w:t>
      </w:r>
      <w:r>
        <w:rPr>
          <w:rFonts w:hint="eastAsia" w:ascii="宋体" w:hAnsi="宋体"/>
          <w:color w:val="auto"/>
          <w:sz w:val="24"/>
          <w:highlight w:val="none"/>
          <w:lang w:val="en-US" w:eastAsia="zh-CN"/>
        </w:rPr>
        <w:t>本项目</w:t>
      </w:r>
      <w:r>
        <w:rPr>
          <w:rFonts w:hint="eastAsia" w:ascii="宋体" w:hAnsi="宋体"/>
          <w:color w:val="auto"/>
          <w:sz w:val="24"/>
          <w:highlight w:val="none"/>
          <w:lang w:val="zh-TW" w:eastAsia="zh-CN"/>
        </w:rPr>
        <w:t>主要</w:t>
      </w:r>
      <w:r>
        <w:rPr>
          <w:rFonts w:hint="eastAsia" w:ascii="宋体" w:hAnsi="宋体"/>
          <w:color w:val="auto"/>
          <w:sz w:val="24"/>
          <w:highlight w:val="none"/>
          <w:lang w:val="en-US" w:eastAsia="zh-CN"/>
        </w:rPr>
        <w:t>采</w:t>
      </w:r>
      <w:r>
        <w:rPr>
          <w:rFonts w:hint="eastAsia" w:ascii="宋体" w:hAnsi="宋体" w:eastAsia="宋体" w:cs="Times New Roman"/>
          <w:sz w:val="24"/>
          <w:highlight w:val="none"/>
          <w:lang w:val="en-US" w:eastAsia="zh-CN"/>
        </w:rPr>
        <w:t>购</w:t>
      </w:r>
      <w:r>
        <w:rPr>
          <w:rFonts w:hint="eastAsia" w:ascii="宋体" w:hAnsi="宋体" w:eastAsia="宋体" w:cs="Times New Roman"/>
          <w:sz w:val="24"/>
          <w:highlight w:val="none"/>
          <w:lang w:val="zh-TW" w:eastAsia="zh-CN"/>
        </w:rPr>
        <w:t>内容</w:t>
      </w:r>
      <w:r>
        <w:rPr>
          <w:rFonts w:hint="eastAsia" w:ascii="宋体" w:hAnsi="宋体" w:eastAsia="宋体" w:cs="Times New Roman"/>
          <w:sz w:val="24"/>
          <w:highlight w:val="none"/>
          <w:lang w:val="en-US" w:eastAsia="zh-CN"/>
        </w:rPr>
        <w:t>为围绕陕州区地下水国考点位对周边10公里范围内进行全面科学的隐患排查和论证，查找具体原因并制定可行达标方案，确保地下水国考点位水质不断改善向好，具体内容详见磋商文件。</w:t>
      </w:r>
    </w:p>
    <w:p w14:paraId="41ADA61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5.2资金来源：财政资金，已落实。</w:t>
      </w:r>
    </w:p>
    <w:p w14:paraId="6C126DB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rPr>
      </w:pPr>
      <w:r>
        <w:rPr>
          <w:rFonts w:hint="eastAsia" w:ascii="宋体" w:hAnsi="宋体"/>
          <w:sz w:val="24"/>
          <w:highlight w:val="none"/>
        </w:rPr>
        <w:t>5.</w:t>
      </w:r>
      <w:r>
        <w:rPr>
          <w:rFonts w:hint="eastAsia" w:ascii="宋体" w:hAnsi="宋体"/>
          <w:sz w:val="24"/>
          <w:highlight w:val="none"/>
          <w:lang w:val="en-US" w:eastAsia="zh-CN"/>
        </w:rPr>
        <w:t>3服务</w:t>
      </w:r>
      <w:r>
        <w:rPr>
          <w:rFonts w:hint="eastAsia" w:ascii="宋体" w:hAnsi="宋体"/>
          <w:sz w:val="24"/>
          <w:highlight w:val="none"/>
        </w:rPr>
        <w:t>地点：</w:t>
      </w:r>
      <w:r>
        <w:rPr>
          <w:rFonts w:hint="eastAsia" w:ascii="宋体" w:hAnsi="宋体" w:eastAsia="宋体"/>
          <w:sz w:val="24"/>
          <w:highlight w:val="none"/>
          <w:lang w:val="en-US" w:eastAsia="zh-CN"/>
        </w:rPr>
        <w:t>三门峡市陕州区</w:t>
      </w:r>
    </w:p>
    <w:p w14:paraId="742EC3B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sz w:val="24"/>
          <w:highlight w:val="none"/>
        </w:rPr>
        <w:t>5.</w:t>
      </w:r>
      <w:r>
        <w:rPr>
          <w:rFonts w:hint="eastAsia" w:ascii="宋体" w:hAnsi="宋体"/>
          <w:sz w:val="24"/>
          <w:highlight w:val="none"/>
          <w:lang w:val="en-US" w:eastAsia="zh-CN"/>
        </w:rPr>
        <w:t xml:space="preserve">4服 务 </w:t>
      </w:r>
      <w:r>
        <w:rPr>
          <w:rFonts w:hint="eastAsia" w:ascii="宋体" w:hAnsi="宋体"/>
          <w:sz w:val="24"/>
          <w:highlight w:val="none"/>
        </w:rPr>
        <w:t>期：</w:t>
      </w:r>
      <w:r>
        <w:rPr>
          <w:rFonts w:hint="eastAsia" w:ascii="宋体" w:hAnsi="宋体" w:eastAsia="宋体"/>
          <w:sz w:val="24"/>
          <w:highlight w:val="none"/>
          <w:lang w:val="en-US" w:eastAsia="zh-CN"/>
        </w:rPr>
        <w:t>自合同签订之日起</w:t>
      </w:r>
      <w:r>
        <w:rPr>
          <w:rFonts w:hint="eastAsia" w:ascii="宋体" w:hAnsi="宋体"/>
          <w:sz w:val="24"/>
          <w:highlight w:val="none"/>
          <w:lang w:val="en-US" w:eastAsia="zh-CN"/>
        </w:rPr>
        <w:t>8</w:t>
      </w:r>
      <w:r>
        <w:rPr>
          <w:rFonts w:hint="eastAsia" w:ascii="宋体" w:hAnsi="宋体" w:eastAsia="宋体"/>
          <w:sz w:val="24"/>
          <w:highlight w:val="none"/>
          <w:lang w:val="en-US" w:eastAsia="zh-CN"/>
        </w:rPr>
        <w:t>个月</w:t>
      </w:r>
    </w:p>
    <w:p w14:paraId="7EB7C2F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rPr>
        <w:t>5.</w:t>
      </w:r>
      <w:r>
        <w:rPr>
          <w:rFonts w:hint="eastAsia" w:ascii="宋体" w:hAnsi="宋体" w:eastAsia="宋体"/>
          <w:sz w:val="24"/>
          <w:highlight w:val="none"/>
          <w:lang w:val="en-US" w:eastAsia="zh-CN"/>
        </w:rPr>
        <w:t>5</w:t>
      </w:r>
      <w:r>
        <w:rPr>
          <w:rFonts w:hint="eastAsia" w:ascii="宋体" w:hAnsi="宋体" w:eastAsia="宋体"/>
          <w:sz w:val="24"/>
          <w:highlight w:val="none"/>
        </w:rPr>
        <w:t>质量</w:t>
      </w:r>
      <w:r>
        <w:rPr>
          <w:rFonts w:hint="eastAsia" w:ascii="宋体" w:hAnsi="宋体"/>
          <w:sz w:val="24"/>
          <w:highlight w:val="none"/>
          <w:lang w:val="en-US" w:eastAsia="zh-CN"/>
        </w:rPr>
        <w:t>要求</w:t>
      </w:r>
      <w:r>
        <w:rPr>
          <w:rFonts w:hint="eastAsia" w:ascii="宋体" w:hAnsi="宋体" w:eastAsia="宋体"/>
          <w:sz w:val="24"/>
          <w:highlight w:val="none"/>
        </w:rPr>
        <w:t>：</w:t>
      </w:r>
      <w:r>
        <w:rPr>
          <w:rFonts w:hint="eastAsia" w:ascii="宋体" w:hAnsi="宋体"/>
          <w:sz w:val="24"/>
          <w:highlight w:val="none"/>
          <w:lang w:eastAsia="zh-CN"/>
        </w:rPr>
        <w:t>符合国家及地方行业相关规范及采购人要求</w:t>
      </w:r>
    </w:p>
    <w:p w14:paraId="7226441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lang w:eastAsia="zh-CN"/>
        </w:rPr>
      </w:pPr>
      <w:r>
        <w:rPr>
          <w:rFonts w:hint="eastAsia" w:ascii="宋体" w:hAnsi="宋体"/>
          <w:sz w:val="24"/>
          <w:highlight w:val="none"/>
        </w:rPr>
        <w:t>6、合同履行期</w:t>
      </w:r>
      <w:r>
        <w:rPr>
          <w:rFonts w:hint="eastAsia" w:ascii="宋体" w:hAnsi="宋体"/>
          <w:sz w:val="24"/>
          <w:highlight w:val="none"/>
          <w:lang w:eastAsia="zh-CN"/>
        </w:rPr>
        <w:t>限：</w:t>
      </w:r>
      <w:r>
        <w:rPr>
          <w:rFonts w:hint="eastAsia" w:ascii="宋体" w:hAnsi="宋体"/>
          <w:sz w:val="24"/>
          <w:highlight w:val="none"/>
          <w:lang w:val="en-US" w:eastAsia="zh-CN"/>
        </w:rPr>
        <w:t>自合同签订之日起8个月</w:t>
      </w:r>
    </w:p>
    <w:p w14:paraId="128F9AF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lang w:eastAsia="zh-CN"/>
        </w:rPr>
        <w:t>、</w:t>
      </w:r>
      <w:r>
        <w:rPr>
          <w:rFonts w:hint="eastAsia" w:ascii="宋体" w:hAnsi="宋体"/>
          <w:sz w:val="24"/>
          <w:highlight w:val="none"/>
        </w:rPr>
        <w:t>是否接受进口产品：否</w:t>
      </w:r>
    </w:p>
    <w:p w14:paraId="33DBF64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92D050"/>
          <w:sz w:val="24"/>
          <w:highlight w:val="none"/>
          <w:lang w:eastAsia="zh-CN"/>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是</w:t>
      </w:r>
    </w:p>
    <w:p w14:paraId="1F002B39">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二、供应商资格要求</w:t>
      </w:r>
    </w:p>
    <w:p w14:paraId="600489A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zh-TW" w:eastAsia="zh-CN"/>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r>
        <w:rPr>
          <w:rFonts w:hint="eastAsia" w:ascii="宋体" w:hAnsi="宋体" w:cs="宋体"/>
          <w:sz w:val="24"/>
          <w:szCs w:val="24"/>
          <w:lang w:val="zh-TW" w:eastAsia="zh-CN"/>
        </w:rPr>
        <w:t>；</w:t>
      </w:r>
    </w:p>
    <w:p w14:paraId="1F9877F7">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cs="宋体"/>
          <w:sz w:val="24"/>
          <w:szCs w:val="24"/>
          <w:lang w:val="zh-TW" w:eastAsia="zh-CN"/>
        </w:rPr>
      </w:pPr>
      <w:r>
        <w:rPr>
          <w:rFonts w:hint="eastAsia" w:ascii="宋体" w:hAnsi="宋体" w:eastAsia="宋体" w:cs="宋体"/>
          <w:color w:val="auto"/>
          <w:sz w:val="24"/>
          <w:szCs w:val="24"/>
          <w:lang w:val="en-US" w:eastAsia="zh-CN"/>
        </w:rPr>
        <w:t>2、</w:t>
      </w:r>
      <w:r>
        <w:rPr>
          <w:rFonts w:hint="eastAsia" w:ascii="宋体" w:hAnsi="宋体" w:cs="宋体"/>
          <w:sz w:val="24"/>
          <w:szCs w:val="24"/>
          <w:lang w:val="en-US" w:eastAsia="zh-CN"/>
        </w:rPr>
        <w:t>根据《政府采购促进中小企业发展管理办法》（财库〔2020〕46号）规定，本项目为专门面向中小企业采购项目,投标供应商需提供《中小企业声明函》。</w:t>
      </w:r>
    </w:p>
    <w:p w14:paraId="3B3A4970">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3、本项目的特定资格要求</w:t>
      </w:r>
    </w:p>
    <w:p w14:paraId="15B1DB4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lang w:eastAsia="zh-CN"/>
        </w:rPr>
        <w:t>投标供应商须具有合法有效的营业执照；</w:t>
      </w:r>
    </w:p>
    <w:p w14:paraId="6A873D0B">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lang w:val="zh-TW"/>
        </w:rPr>
        <w:t>具有履行</w:t>
      </w:r>
      <w:r>
        <w:rPr>
          <w:rFonts w:hint="eastAsia" w:ascii="宋体" w:hAnsi="宋体" w:cs="宋体"/>
          <w:color w:val="auto"/>
          <w:sz w:val="24"/>
          <w:szCs w:val="24"/>
          <w:highlight w:val="none"/>
          <w:lang w:val="en-US" w:eastAsia="zh-CN"/>
        </w:rPr>
        <w:t>本项目服务内容</w:t>
      </w:r>
      <w:r>
        <w:rPr>
          <w:rFonts w:hint="eastAsia" w:ascii="宋体" w:hAnsi="宋体" w:cs="宋体"/>
          <w:color w:val="auto"/>
          <w:sz w:val="24"/>
          <w:szCs w:val="24"/>
          <w:highlight w:val="none"/>
          <w:lang w:val="zh-TW"/>
        </w:rPr>
        <w:t>所必需的设备和专业技术能力（</w:t>
      </w:r>
      <w:r>
        <w:rPr>
          <w:rFonts w:hint="eastAsia" w:ascii="宋体" w:hAnsi="宋体" w:cs="宋体"/>
          <w:color w:val="auto"/>
          <w:sz w:val="24"/>
          <w:szCs w:val="24"/>
          <w:highlight w:val="none"/>
          <w:lang w:val="zh-TW" w:eastAsia="zh-CN"/>
        </w:rPr>
        <w:t>提供</w:t>
      </w:r>
      <w:r>
        <w:rPr>
          <w:rFonts w:hint="eastAsia" w:ascii="宋体" w:hAnsi="宋体" w:cs="宋体"/>
          <w:color w:val="auto"/>
          <w:sz w:val="24"/>
          <w:szCs w:val="24"/>
          <w:highlight w:val="none"/>
          <w:lang w:val="en-US" w:eastAsia="zh-CN"/>
        </w:rPr>
        <w:t>相关证明材料</w:t>
      </w:r>
      <w:r>
        <w:rPr>
          <w:rFonts w:hint="eastAsia" w:ascii="宋体" w:hAnsi="宋体" w:cs="宋体"/>
          <w:color w:val="auto"/>
          <w:sz w:val="24"/>
          <w:szCs w:val="24"/>
          <w:highlight w:val="none"/>
          <w:lang w:val="zh-TW" w:eastAsia="zh-CN"/>
        </w:rPr>
        <w:t>或承诺书</w:t>
      </w:r>
      <w:r>
        <w:rPr>
          <w:rFonts w:hint="eastAsia" w:ascii="宋体" w:hAnsi="宋体" w:cs="宋体"/>
          <w:color w:val="auto"/>
          <w:sz w:val="24"/>
          <w:szCs w:val="24"/>
          <w:highlight w:val="none"/>
          <w:lang w:val="zh-TW"/>
        </w:rPr>
        <w:t>，承诺书格式自拟）；</w:t>
      </w:r>
    </w:p>
    <w:p w14:paraId="312CD346">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p>
    <w:p w14:paraId="3AFF867C">
      <w:pPr>
        <w:spacing w:line="360" w:lineRule="auto"/>
        <w:ind w:firstLine="480" w:firstLineChars="200"/>
        <w:rPr>
          <w:rFonts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3.4</w:t>
      </w:r>
      <w:r>
        <w:rPr>
          <w:rFonts w:hint="eastAsia" w:ascii="宋体" w:hAnsi="宋体" w:cs="宋体"/>
          <w:color w:val="auto"/>
          <w:sz w:val="24"/>
          <w:szCs w:val="24"/>
          <w:highlight w:val="none"/>
          <w:lang w:val="zh-TW" w:eastAsia="zh-CN"/>
        </w:rPr>
        <w:t>供应商须出具本企业无商业贿赂及不正当竞争行为承诺书（格式自拟）</w:t>
      </w:r>
      <w:r>
        <w:rPr>
          <w:rFonts w:hint="eastAsia" w:ascii="宋体" w:hAnsi="宋体" w:cs="宋体"/>
          <w:color w:val="auto"/>
          <w:sz w:val="24"/>
          <w:szCs w:val="24"/>
          <w:highlight w:val="none"/>
          <w:lang w:val="zh-TW"/>
        </w:rPr>
        <w:t>；</w:t>
      </w:r>
    </w:p>
    <w:p w14:paraId="6CE7DAEE">
      <w:pPr>
        <w:spacing w:line="360" w:lineRule="auto"/>
        <w:ind w:firstLine="480" w:firstLineChars="200"/>
        <w:rPr>
          <w:rFonts w:hint="eastAsia" w:ascii="宋体" w:hAnsi="宋体" w:cs="宋体"/>
          <w:color w:val="auto"/>
          <w:sz w:val="24"/>
          <w:szCs w:val="24"/>
          <w:highlight w:val="none"/>
          <w:lang w:val="zh-TW" w:eastAsia="zh-CN"/>
        </w:rPr>
      </w:pPr>
      <w:r>
        <w:rPr>
          <w:rFonts w:hint="eastAsia" w:ascii="宋体" w:hAnsi="宋体" w:cs="宋体"/>
          <w:color w:val="auto"/>
          <w:sz w:val="24"/>
          <w:szCs w:val="24"/>
          <w:highlight w:val="none"/>
          <w:lang w:val="en-US" w:eastAsia="zh-CN"/>
        </w:rPr>
        <w:t>3.5</w:t>
      </w:r>
      <w:r>
        <w:rPr>
          <w:rFonts w:hint="eastAsia" w:ascii="宋体" w:hAnsi="宋体" w:cs="宋体"/>
          <w:color w:val="auto"/>
          <w:sz w:val="24"/>
          <w:szCs w:val="24"/>
          <w:highlight w:val="none"/>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5702B82">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6088F6BE">
      <w:pPr>
        <w:spacing w:line="360" w:lineRule="auto"/>
        <w:ind w:firstLine="480" w:firstLineChars="200"/>
        <w:rPr>
          <w:rFonts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3.7</w:t>
      </w:r>
      <w:r>
        <w:rPr>
          <w:rFonts w:hint="eastAsia" w:ascii="宋体" w:hAnsi="宋体" w:cs="宋体"/>
          <w:color w:val="auto"/>
          <w:sz w:val="24"/>
          <w:szCs w:val="24"/>
          <w:highlight w:val="none"/>
          <w:lang w:val="zh-TW" w:eastAsia="zh-CN"/>
        </w:rPr>
        <w:t>本项目不接受联合体投标</w:t>
      </w:r>
      <w:r>
        <w:rPr>
          <w:rFonts w:hint="eastAsia" w:ascii="宋体" w:hAnsi="宋体" w:cs="宋体"/>
          <w:color w:val="auto"/>
          <w:sz w:val="24"/>
          <w:szCs w:val="24"/>
          <w:highlight w:val="none"/>
          <w:lang w:val="zh-TW"/>
        </w:rPr>
        <w:t>。</w:t>
      </w:r>
    </w:p>
    <w:p w14:paraId="2B12E93A">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三、</w:t>
      </w:r>
      <w:r>
        <w:rPr>
          <w:rFonts w:hint="eastAsia" w:ascii="宋体" w:hAnsi="宋体" w:cs="宋体"/>
          <w:sz w:val="24"/>
          <w:szCs w:val="24"/>
          <w:lang w:val="en-US" w:eastAsia="zh-CN"/>
        </w:rPr>
        <w:t>获取采购文件</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sz w:val="24"/>
          <w:lang w:val="zh-TW"/>
        </w:rPr>
        <w:t>1、</w:t>
      </w:r>
      <w:r>
        <w:rPr>
          <w:rFonts w:hint="eastAsia" w:ascii="宋体" w:hAnsi="宋体" w:eastAsia="宋体" w:cs="宋体"/>
          <w:sz w:val="24"/>
          <w:highlight w:val="none"/>
          <w:lang w:val="en-US" w:eastAsia="zh-CN"/>
        </w:rPr>
        <w:t>时间：</w:t>
      </w:r>
      <w:r>
        <w:rPr>
          <w:rFonts w:hint="eastAsia" w:ascii="宋体" w:hAnsi="宋体" w:eastAsia="宋体" w:cs="宋体"/>
          <w:color w:val="auto"/>
          <w:sz w:val="24"/>
          <w:highlight w:val="none"/>
          <w:lang w:val="zh-TW"/>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zh-TW"/>
        </w:rPr>
        <w:t>日 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lang w:val="zh-TW"/>
        </w:rPr>
        <w:t>日08时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TW" w:eastAsia="zh-CN"/>
        </w:rPr>
        <w:t>0分</w:t>
      </w:r>
      <w:r>
        <w:rPr>
          <w:rFonts w:hint="eastAsia" w:ascii="宋体" w:hAnsi="宋体" w:eastAsia="宋体" w:cs="宋体"/>
          <w:color w:val="auto"/>
          <w:sz w:val="24"/>
          <w:highlight w:val="none"/>
          <w:lang w:val="zh-TW"/>
        </w:rPr>
        <w:t>，</w:t>
      </w:r>
      <w:r>
        <w:rPr>
          <w:rFonts w:hint="eastAsia" w:ascii="宋体" w:hAnsi="宋体" w:eastAsia="宋体" w:cs="宋体"/>
          <w:color w:val="auto"/>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color w:val="auto"/>
          <w:sz w:val="24"/>
          <w:lang w:val="en-US" w:eastAsia="zh-CN"/>
        </w:rPr>
        <w:t>2、地点：三门峡市公共资源交易中</w:t>
      </w:r>
      <w:r>
        <w:rPr>
          <w:rFonts w:hint="eastAsia" w:ascii="宋体" w:hAnsi="宋体" w:eastAsia="宋体" w:cs="宋体"/>
          <w:sz w:val="24"/>
          <w:lang w:val="en-US" w:eastAsia="zh-CN"/>
        </w:rPr>
        <w:t>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竞争性磋商文件，本项目不收取磋商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10487C10">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4E2AD1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TW"/>
        </w:rPr>
        <w:t>、</w:t>
      </w:r>
      <w:r>
        <w:rPr>
          <w:rFonts w:hint="eastAsia" w:ascii="宋体" w:hAnsi="宋体" w:cs="宋体"/>
          <w:sz w:val="24"/>
          <w:szCs w:val="24"/>
        </w:rPr>
        <w:t>响应</w:t>
      </w:r>
      <w:r>
        <w:rPr>
          <w:rFonts w:hint="eastAsia" w:ascii="宋体" w:hAnsi="宋体" w:cs="宋体"/>
          <w:sz w:val="24"/>
          <w:szCs w:val="24"/>
          <w:lang w:val="en-US" w:eastAsia="zh-CN"/>
        </w:rPr>
        <w:t>文件</w:t>
      </w:r>
      <w:r>
        <w:rPr>
          <w:rFonts w:hint="eastAsia" w:ascii="宋体" w:hAnsi="宋体" w:cs="宋体"/>
          <w:sz w:val="24"/>
          <w:szCs w:val="24"/>
        </w:rPr>
        <w:t>的提交</w:t>
      </w:r>
    </w:p>
    <w:p w14:paraId="2848640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highlight w:val="yellow"/>
        </w:rPr>
      </w:pPr>
      <w:r>
        <w:rPr>
          <w:rFonts w:hint="eastAsia" w:ascii="宋体" w:hAnsi="宋体" w:eastAsia="宋体" w:cs="Times New Roman"/>
          <w:color w:val="auto"/>
          <w:sz w:val="24"/>
        </w:rPr>
        <w:t>1、响应文件提交的截止时间：</w:t>
      </w:r>
      <w:r>
        <w:rPr>
          <w:rFonts w:hint="eastAsia" w:ascii="宋体" w:hAnsi="宋体" w:eastAsia="宋体" w:cs="Times New Roman"/>
          <w:color w:val="auto"/>
          <w:sz w:val="24"/>
          <w:highlight w:val="none"/>
        </w:rPr>
        <w:t>202</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rPr>
        <w:t>年</w:t>
      </w:r>
      <w:r>
        <w:rPr>
          <w:rFonts w:hint="eastAsia" w:ascii="宋体" w:hAnsi="宋体" w:cs="Times New Roman"/>
          <w:color w:val="auto"/>
          <w:sz w:val="24"/>
          <w:highlight w:val="none"/>
          <w:lang w:val="en-US" w:eastAsia="zh-CN"/>
        </w:rPr>
        <w:t>03</w:t>
      </w:r>
      <w:r>
        <w:rPr>
          <w:rFonts w:hint="eastAsia" w:ascii="宋体" w:hAnsi="宋体" w:eastAsia="宋体" w:cs="Times New Roman"/>
          <w:color w:val="auto"/>
          <w:sz w:val="24"/>
          <w:highlight w:val="none"/>
        </w:rPr>
        <w:t>月</w:t>
      </w:r>
      <w:r>
        <w:rPr>
          <w:rFonts w:hint="eastAsia" w:ascii="宋体" w:hAnsi="宋体" w:cs="Times New Roman"/>
          <w:color w:val="auto"/>
          <w:sz w:val="24"/>
          <w:highlight w:val="none"/>
          <w:lang w:val="en-US" w:eastAsia="zh-CN"/>
        </w:rPr>
        <w:t>24</w:t>
      </w:r>
      <w:r>
        <w:rPr>
          <w:rFonts w:hint="eastAsia" w:ascii="宋体" w:hAnsi="宋体" w:eastAsia="宋体" w:cs="Times New Roman"/>
          <w:color w:val="auto"/>
          <w:sz w:val="24"/>
          <w:highlight w:val="none"/>
        </w:rPr>
        <w:t>日</w:t>
      </w:r>
      <w:r>
        <w:rPr>
          <w:rFonts w:hint="eastAsia" w:ascii="宋体" w:hAnsi="宋体" w:cs="Times New Roman"/>
          <w:color w:val="auto"/>
          <w:sz w:val="24"/>
          <w:highlight w:val="none"/>
          <w:lang w:val="en-US" w:eastAsia="zh-CN"/>
        </w:rPr>
        <w:t>0</w:t>
      </w:r>
      <w:r>
        <w:rPr>
          <w:rFonts w:hint="eastAsia" w:ascii="宋体" w:hAnsi="宋体" w:eastAsia="宋体" w:cs="Times New Roman"/>
          <w:color w:val="auto"/>
          <w:sz w:val="24"/>
          <w:highlight w:val="none"/>
        </w:rPr>
        <w:t>8时</w:t>
      </w:r>
      <w:r>
        <w:rPr>
          <w:rFonts w:hint="eastAsia" w:ascii="宋体" w:hAnsi="宋体" w:cs="Times New Roman"/>
          <w:color w:val="auto"/>
          <w:sz w:val="24"/>
          <w:highlight w:val="none"/>
          <w:lang w:val="en-US" w:eastAsia="zh-CN"/>
        </w:rPr>
        <w:t>30</w:t>
      </w:r>
      <w:r>
        <w:rPr>
          <w:rFonts w:hint="eastAsia" w:ascii="宋体" w:hAnsi="宋体" w:cs="Times New Roman"/>
          <w:color w:val="auto"/>
          <w:sz w:val="24"/>
          <w:highlight w:val="none"/>
          <w:lang w:eastAsia="zh-CN"/>
        </w:rPr>
        <w:t>分</w:t>
      </w:r>
      <w:r>
        <w:rPr>
          <w:rFonts w:hint="eastAsia" w:ascii="宋体" w:hAnsi="宋体" w:eastAsia="宋体" w:cs="Times New Roman"/>
          <w:color w:val="auto"/>
          <w:sz w:val="24"/>
          <w:highlight w:val="none"/>
        </w:rPr>
        <w:t>；</w:t>
      </w:r>
    </w:p>
    <w:p w14:paraId="60342B8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rPr>
      </w:pPr>
      <w:r>
        <w:rPr>
          <w:rFonts w:hint="eastAsia" w:ascii="宋体" w:hAnsi="宋体" w:eastAsia="宋体" w:cs="Times New Roman"/>
          <w:color w:val="auto"/>
          <w:sz w:val="24"/>
        </w:rPr>
        <w:t>2、地点：在三门峡市公共资源交易中心网中上传加密响应文件；</w:t>
      </w:r>
    </w:p>
    <w:p w14:paraId="28AEF0A0">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eastAsia" w:ascii="宋体" w:hAnsi="宋体" w:eastAsia="宋体"/>
          <w:color w:val="auto"/>
          <w:sz w:val="24"/>
          <w:highlight w:val="none"/>
        </w:rPr>
      </w:pPr>
      <w:r>
        <w:rPr>
          <w:rFonts w:hint="eastAsia" w:ascii="宋体" w:hAnsi="宋体" w:eastAsia="宋体"/>
          <w:color w:val="auto"/>
          <w:sz w:val="24"/>
          <w:highlight w:val="none"/>
        </w:rPr>
        <w:t>五、响应文件开启</w:t>
      </w:r>
    </w:p>
    <w:p w14:paraId="3DB3E093">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eastAsia" w:ascii="宋体" w:hAnsi="宋体" w:eastAsia="宋体"/>
          <w:color w:val="auto"/>
          <w:sz w:val="24"/>
          <w:highlight w:val="none"/>
        </w:rPr>
      </w:pPr>
      <w:r>
        <w:rPr>
          <w:rFonts w:hint="eastAsia" w:ascii="宋体" w:hAnsi="宋体" w:eastAsia="宋体"/>
          <w:color w:val="auto"/>
          <w:sz w:val="24"/>
          <w:highlight w:val="none"/>
        </w:rPr>
        <w:t>1.时间：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03</w:t>
      </w:r>
      <w:r>
        <w:rPr>
          <w:rFonts w:hint="eastAsia" w:ascii="宋体" w:hAnsi="宋体"/>
          <w:color w:val="auto"/>
          <w:sz w:val="24"/>
          <w:highlight w:val="none"/>
        </w:rPr>
        <w:t>月</w:t>
      </w:r>
      <w:r>
        <w:rPr>
          <w:rFonts w:hint="eastAsia" w:ascii="宋体" w:hAnsi="宋体"/>
          <w:color w:val="auto"/>
          <w:sz w:val="24"/>
          <w:highlight w:val="none"/>
          <w:lang w:val="en-US" w:eastAsia="zh-CN"/>
        </w:rPr>
        <w:t>24</w:t>
      </w:r>
      <w:r>
        <w:rPr>
          <w:rFonts w:hint="eastAsia" w:ascii="宋体" w:hAnsi="宋体"/>
          <w:color w:val="auto"/>
          <w:sz w:val="24"/>
          <w:highlight w:val="none"/>
        </w:rPr>
        <w:t>日08时</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0分</w:t>
      </w:r>
      <w:r>
        <w:rPr>
          <w:rFonts w:hint="eastAsia" w:ascii="宋体" w:hAnsi="宋体" w:eastAsia="宋体"/>
          <w:color w:val="auto"/>
          <w:sz w:val="24"/>
          <w:highlight w:val="none"/>
        </w:rPr>
        <w:t>（北京时间）</w:t>
      </w:r>
    </w:p>
    <w:p w14:paraId="285FD815">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default" w:ascii="宋体" w:hAnsi="宋体" w:eastAsia="宋体"/>
          <w:color w:val="auto"/>
          <w:sz w:val="24"/>
          <w:highlight w:val="yellow"/>
          <w:lang w:val="en-US" w:eastAsia="zh-CN"/>
        </w:rPr>
      </w:pPr>
      <w:r>
        <w:rPr>
          <w:rFonts w:hint="eastAsia" w:ascii="宋体" w:hAnsi="宋体" w:eastAsia="宋体"/>
          <w:color w:val="auto"/>
          <w:sz w:val="24"/>
          <w:highlight w:val="none"/>
        </w:rPr>
        <w:t>2.地点：</w:t>
      </w:r>
      <w:r>
        <w:rPr>
          <w:rFonts w:hint="eastAsia" w:ascii="宋体" w:hAnsi="宋体"/>
          <w:color w:val="auto"/>
          <w:sz w:val="24"/>
          <w:highlight w:val="none"/>
          <w:lang w:val="en-US" w:eastAsia="zh-CN"/>
        </w:rPr>
        <w:t>三门峡市陕州区公共资源交易中心第一开标室</w:t>
      </w:r>
    </w:p>
    <w:p w14:paraId="344818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cs="宋体"/>
          <w:sz w:val="24"/>
          <w:szCs w:val="24"/>
        </w:rPr>
        <w:t>、发布公告的媒介</w:t>
      </w:r>
      <w:r>
        <w:rPr>
          <w:rFonts w:hint="eastAsia" w:ascii="宋体" w:hAnsi="宋体" w:cs="宋体"/>
          <w:sz w:val="24"/>
          <w:szCs w:val="24"/>
          <w:lang w:val="en-US" w:eastAsia="zh-CN"/>
        </w:rPr>
        <w:t>及公告</w:t>
      </w:r>
    </w:p>
    <w:p w14:paraId="5760844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highlight w:val="yellow"/>
          <w:lang w:val="en-US" w:eastAsia="zh-CN"/>
        </w:rPr>
      </w:pPr>
      <w:r>
        <w:rPr>
          <w:rFonts w:hint="eastAsia" w:ascii="宋体" w:hAnsi="宋体" w:cs="宋体"/>
          <w:kern w:val="0"/>
          <w:sz w:val="24"/>
          <w:szCs w:val="24"/>
        </w:rPr>
        <w:t>本次竞争性磋商公告</w:t>
      </w:r>
      <w:r>
        <w:rPr>
          <w:rFonts w:hint="eastAsia" w:ascii="宋体" w:hAnsi="宋体" w:cs="宋体"/>
          <w:sz w:val="24"/>
          <w:szCs w:val="24"/>
        </w:rPr>
        <w:t>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、《三门峡市公共资源交易中心网》发布。</w:t>
      </w:r>
    </w:p>
    <w:p w14:paraId="48A38DB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七、其他事项</w:t>
      </w:r>
    </w:p>
    <w:p w14:paraId="2815885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rPr>
      </w:pPr>
      <w:r>
        <w:rPr>
          <w:rFonts w:hint="eastAsia" w:ascii="宋体" w:hAnsi="宋体" w:cs="宋体"/>
          <w:sz w:val="24"/>
          <w:szCs w:val="24"/>
        </w:rPr>
        <w:t>1、磋商保证金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按照《河南省财政厅关于优化政府采购营商环境有关问题的通知》（豫财购[2019]4号）第6条的要求，本项目不再收取磋商保证金。</w:t>
      </w:r>
    </w:p>
    <w:p w14:paraId="1795C17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注：本项目为不见面开标项目，开标当日，供应商无需到开标现场参加磋商会议，供应商应当在磋商截止时间前，登陆不见面开标大厅选择登陆三门峡市公共资源电子招投标系统进行登陆，在线准时参加磋商活动并进行响应文件解密等。每位供应商的解密时间为磋商时间起</w:t>
      </w:r>
      <w:r>
        <w:rPr>
          <w:rFonts w:hint="eastAsia" w:ascii="宋体" w:hAnsi="宋体" w:cs="宋体"/>
          <w:kern w:val="0"/>
          <w:sz w:val="24"/>
          <w:szCs w:val="24"/>
          <w:lang w:eastAsia="zh-CN"/>
        </w:rPr>
        <w:t>20分</w:t>
      </w:r>
      <w:r>
        <w:rPr>
          <w:rFonts w:hint="eastAsia" w:ascii="宋体" w:hAnsi="宋体" w:eastAsia="宋体" w:cs="宋体"/>
          <w:kern w:val="0"/>
          <w:sz w:val="24"/>
          <w:szCs w:val="24"/>
        </w:rPr>
        <w:t>钟内完成。因供应商原因未能解密、解密失败或解密超时的将被拒绝。</w:t>
      </w:r>
    </w:p>
    <w:p w14:paraId="198D4E6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供应商应仔细阅读操作手册，在本公告中要求</w:t>
      </w:r>
      <w:r>
        <w:rPr>
          <w:rFonts w:hint="eastAsia" w:ascii="宋体" w:hAnsi="宋体"/>
          <w:color w:val="000000"/>
          <w:sz w:val="24"/>
        </w:rPr>
        <w:t>的截止时间前完成投标工作，因供应商操作不当等问题造成的无法投标等一切后果，由供应商自行承担。</w:t>
      </w:r>
    </w:p>
    <w:p w14:paraId="555725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、本项目资格评审和业绩以磋商文件为准，供应商可使用电子营业执照。</w:t>
      </w:r>
    </w:p>
    <w:p w14:paraId="417BD95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（1）资格评（预）审部分：资格评（预）审以响应文件为准，其上传资料真实性由供应商自行承担。</w:t>
      </w:r>
    </w:p>
    <w:p w14:paraId="05160F8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（2）评标打分部分：评标打分部分仍按照100分制原则进行，涉及到资格审查、企业荣誉、人员业绩、企业业绩等计分部分时，以供应商自行上传到响应文件中的相应内容为准。</w:t>
      </w:r>
    </w:p>
    <w:p w14:paraId="258F6FB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3）响应文件编制部分：在磋商文件中要求供应商按照响应文件格式进行响应文件编制，在响应文件编制时，应明确将供应商企业基本情况、人员情况、财务情况、业绩情况编入投标文件，便于进行资格审查及评标打分。</w:t>
      </w:r>
    </w:p>
    <w:p w14:paraId="7F79882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p>
    <w:p w14:paraId="682666D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八</w:t>
      </w:r>
      <w:r>
        <w:rPr>
          <w:rFonts w:hint="eastAsia" w:ascii="宋体" w:hAnsi="宋体" w:eastAsia="宋体" w:cs="Times New Roman"/>
          <w:color w:val="000000"/>
          <w:sz w:val="24"/>
        </w:rPr>
        <w:t>、凡对本次招标提出询问，请按照以下方式联系</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bookmarkStart w:id="3" w:name="_Toc270604573"/>
      <w:bookmarkStart w:id="4" w:name="_Toc410126998"/>
      <w:bookmarkStart w:id="5" w:name="_Toc28449"/>
      <w:r>
        <w:rPr>
          <w:rFonts w:hint="eastAsia" w:ascii="宋体" w:hAnsi="宋体" w:cs="宋体"/>
          <w:color w:val="000000"/>
          <w:sz w:val="24"/>
          <w:szCs w:val="24"/>
          <w:lang w:val="en-US" w:eastAsia="zh-CN"/>
        </w:rPr>
        <w:t>1、</w:t>
      </w:r>
      <w:r>
        <w:rPr>
          <w:rFonts w:hint="eastAsia" w:ascii="宋体" w:hAnsi="宋体" w:cs="宋体"/>
          <w:color w:val="auto"/>
          <w:sz w:val="24"/>
          <w:szCs w:val="24"/>
          <w:lang w:val="en-US" w:eastAsia="zh-CN"/>
        </w:rPr>
        <w:t>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三门峡市陕州区环境污染防治攻坚工作专班</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刘先生</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15690805677</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西安市新城区尚勤路151号8层</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温女士</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cs="宋体"/>
          <w:color w:val="auto"/>
          <w:sz w:val="24"/>
          <w:szCs w:val="24"/>
          <w:lang w:eastAsia="zh-CN"/>
        </w:rPr>
        <w:t>13839848765</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温女士</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13839848765</w:t>
      </w:r>
    </w:p>
    <w:p w14:paraId="3238054D">
      <w:pPr>
        <w:rPr>
          <w:rFonts w:hint="eastAsia" w:ascii="黑体" w:hAnsi="黑体" w:eastAsia="黑体" w:cs="Times New Roman"/>
          <w:sz w:val="36"/>
          <w:szCs w:val="36"/>
        </w:rPr>
      </w:pPr>
      <w:bookmarkStart w:id="6" w:name="_Toc24810"/>
      <w:r>
        <w:rPr>
          <w:rFonts w:hint="eastAsia" w:ascii="黑体" w:hAnsi="黑体" w:eastAsia="黑体" w:cs="Times New Roman"/>
          <w:sz w:val="36"/>
          <w:szCs w:val="36"/>
        </w:rPr>
        <w:br w:type="page"/>
      </w:r>
    </w:p>
    <w:p w14:paraId="05DDFCE8">
      <w:pPr>
        <w:pStyle w:val="2"/>
        <w:bidi w:val="0"/>
        <w:jc w:val="center"/>
        <w:rPr>
          <w:rFonts w:ascii="黑体" w:hAnsi="黑体" w:eastAsia="黑体"/>
          <w:szCs w:val="36"/>
        </w:rPr>
      </w:pPr>
      <w:r>
        <w:rPr>
          <w:rFonts w:hint="eastAsia"/>
        </w:rPr>
        <w:t>第二章 供应商须知</w:t>
      </w:r>
      <w:bookmarkEnd w:id="3"/>
      <w:bookmarkEnd w:id="4"/>
      <w:bookmarkEnd w:id="5"/>
      <w:bookmarkEnd w:id="6"/>
      <w:bookmarkStart w:id="7" w:name="_Toc503112329"/>
      <w:bookmarkStart w:id="8" w:name="_Toc503886922"/>
      <w:bookmarkStart w:id="9" w:name="_Toc503885586"/>
      <w:bookmarkStart w:id="10" w:name="_Toc15504"/>
      <w:bookmarkStart w:id="11" w:name="_Toc31918"/>
      <w:bookmarkStart w:id="12" w:name="_Toc4962"/>
      <w:bookmarkStart w:id="13" w:name="_Toc270604574"/>
      <w:bookmarkStart w:id="14" w:name="_Toc505073888"/>
      <w:bookmarkStart w:id="15" w:name="_Toc269470293"/>
      <w:bookmarkStart w:id="16" w:name="_Toc504055106"/>
    </w:p>
    <w:p w14:paraId="126B8E7F">
      <w:pPr>
        <w:spacing w:line="360" w:lineRule="auto"/>
        <w:jc w:val="center"/>
        <w:rPr>
          <w:rFonts w:hAnsi="宋体"/>
          <w:sz w:val="24"/>
          <w:szCs w:val="24"/>
        </w:rPr>
      </w:pPr>
      <w:bookmarkStart w:id="17" w:name="_Toc6916"/>
      <w:bookmarkStart w:id="18" w:name="_Toc31332"/>
      <w:r>
        <w:rPr>
          <w:rFonts w:hint="eastAsia" w:ascii="宋体" w:hAnsi="Calibri" w:eastAsia="黑体" w:cs="宋体"/>
          <w:b/>
          <w:sz w:val="24"/>
          <w:szCs w:val="20"/>
        </w:rPr>
        <w:t>供应商须知前附表</w:t>
      </w:r>
      <w:bookmarkEnd w:id="7"/>
      <w:bookmarkEnd w:id="8"/>
      <w:bookmarkEnd w:id="9"/>
      <w:bookmarkEnd w:id="10"/>
      <w:bookmarkEnd w:id="11"/>
      <w:bookmarkEnd w:id="12"/>
      <w:bookmarkEnd w:id="13"/>
      <w:bookmarkEnd w:id="14"/>
      <w:bookmarkEnd w:id="15"/>
      <w:bookmarkEnd w:id="16"/>
      <w:bookmarkEnd w:id="17"/>
      <w:bookmarkEnd w:id="18"/>
    </w:p>
    <w:tbl>
      <w:tblPr>
        <w:tblStyle w:val="4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284"/>
        <w:gridCol w:w="6661"/>
      </w:tblGrid>
      <w:tr w14:paraId="1B2F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22C1FC">
            <w:pPr>
              <w:jc w:val="center"/>
              <w:rPr>
                <w:rFonts w:ascii="宋体" w:hAnsi="宋体" w:cs="宋体"/>
                <w:b/>
                <w:bCs/>
                <w:sz w:val="24"/>
                <w:szCs w:val="24"/>
              </w:rPr>
            </w:pPr>
            <w:r>
              <w:rPr>
                <w:rFonts w:hint="eastAsia" w:ascii="宋体" w:hAnsi="宋体" w:cs="宋体"/>
                <w:b/>
                <w:bCs/>
                <w:sz w:val="24"/>
                <w:szCs w:val="24"/>
              </w:rPr>
              <w:t>条款号</w:t>
            </w:r>
          </w:p>
        </w:tc>
        <w:tc>
          <w:tcPr>
            <w:tcW w:w="1985" w:type="dxa"/>
            <w:gridSpan w:val="2"/>
            <w:tcBorders>
              <w:top w:val="single" w:color="auto" w:sz="4" w:space="0"/>
              <w:left w:val="nil"/>
              <w:bottom w:val="single" w:color="auto" w:sz="4" w:space="0"/>
              <w:right w:val="single" w:color="auto" w:sz="4" w:space="0"/>
            </w:tcBorders>
            <w:vAlign w:val="center"/>
          </w:tcPr>
          <w:p w14:paraId="6B074DD7">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14:paraId="6AE7679D">
            <w:pPr>
              <w:jc w:val="center"/>
              <w:rPr>
                <w:rFonts w:ascii="宋体" w:hAnsi="宋体" w:cs="宋体"/>
                <w:b/>
                <w:bCs/>
                <w:sz w:val="24"/>
                <w:szCs w:val="24"/>
              </w:rPr>
            </w:pPr>
            <w:r>
              <w:rPr>
                <w:rFonts w:hint="eastAsia" w:ascii="宋体" w:hAnsi="宋体" w:cs="宋体"/>
                <w:b/>
                <w:bCs/>
                <w:sz w:val="24"/>
                <w:szCs w:val="24"/>
              </w:rPr>
              <w:t>编  列  内  容</w:t>
            </w:r>
          </w:p>
        </w:tc>
      </w:tr>
      <w:tr w14:paraId="5F73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4A1244">
            <w:pPr>
              <w:jc w:val="center"/>
              <w:rPr>
                <w:rFonts w:ascii="宋体" w:hAnsi="宋体" w:cs="宋体"/>
                <w:sz w:val="24"/>
                <w:szCs w:val="24"/>
              </w:rPr>
            </w:pPr>
            <w:r>
              <w:rPr>
                <w:rFonts w:hint="eastAsia" w:ascii="宋体" w:hAnsi="宋体" w:cs="宋体"/>
                <w:sz w:val="24"/>
                <w:szCs w:val="24"/>
              </w:rPr>
              <w:t>1.1.2</w:t>
            </w:r>
          </w:p>
        </w:tc>
        <w:tc>
          <w:tcPr>
            <w:tcW w:w="1985" w:type="dxa"/>
            <w:gridSpan w:val="2"/>
            <w:tcBorders>
              <w:top w:val="single" w:color="auto" w:sz="4" w:space="0"/>
              <w:left w:val="nil"/>
              <w:bottom w:val="single" w:color="auto" w:sz="4" w:space="0"/>
              <w:right w:val="single" w:color="auto" w:sz="4" w:space="0"/>
            </w:tcBorders>
            <w:vAlign w:val="center"/>
          </w:tcPr>
          <w:p w14:paraId="1A6DAA33">
            <w:pPr>
              <w:jc w:val="center"/>
              <w:rPr>
                <w:rFonts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人</w:t>
            </w:r>
          </w:p>
        </w:tc>
        <w:tc>
          <w:tcPr>
            <w:tcW w:w="6661" w:type="dxa"/>
            <w:tcBorders>
              <w:top w:val="single" w:color="auto" w:sz="4" w:space="0"/>
              <w:left w:val="nil"/>
              <w:bottom w:val="single" w:color="auto" w:sz="4" w:space="0"/>
              <w:right w:val="single" w:color="auto" w:sz="4" w:space="0"/>
            </w:tcBorders>
            <w:vAlign w:val="center"/>
          </w:tcPr>
          <w:p w14:paraId="7CEC7DF4">
            <w:pPr>
              <w:rPr>
                <w:rFonts w:hint="eastAsia" w:ascii="宋体" w:hAnsi="宋体" w:eastAsia="宋体" w:cs="宋体"/>
                <w:color w:val="auto"/>
                <w:sz w:val="24"/>
                <w:szCs w:val="24"/>
                <w:lang w:eastAsia="zh-CN"/>
              </w:rPr>
            </w:pPr>
            <w:r>
              <w:rPr>
                <w:rFonts w:hint="eastAsia" w:ascii="宋体" w:hAnsi="宋体" w:cs="宋体"/>
                <w:color w:val="auto"/>
                <w:sz w:val="24"/>
                <w:szCs w:val="24"/>
              </w:rPr>
              <w:t>招标人：</w:t>
            </w:r>
            <w:r>
              <w:rPr>
                <w:rFonts w:hint="eastAsia" w:ascii="宋体" w:hAnsi="宋体" w:cs="宋体"/>
                <w:color w:val="auto"/>
                <w:sz w:val="24"/>
                <w:szCs w:val="24"/>
                <w:lang w:eastAsia="zh-CN"/>
              </w:rPr>
              <w:t>三门峡市陕州区环境污染防治攻坚工作专班</w:t>
            </w:r>
          </w:p>
          <w:p w14:paraId="5AFDB062">
            <w:pPr>
              <w:rPr>
                <w:rFonts w:hint="eastAsia" w:ascii="宋体" w:hAnsi="宋体" w:eastAsia="宋体" w:cs="Tahoma"/>
                <w:color w:val="auto"/>
                <w:sz w:val="24"/>
                <w:szCs w:val="24"/>
                <w:lang w:val="en-US" w:eastAsia="zh-CN"/>
              </w:rPr>
            </w:pPr>
            <w:r>
              <w:rPr>
                <w:rFonts w:hint="eastAsia" w:ascii="宋体" w:hAnsi="宋体" w:cs="Tahoma"/>
                <w:color w:val="auto"/>
                <w:sz w:val="24"/>
                <w:szCs w:val="24"/>
                <w:lang w:val="zh-TW"/>
              </w:rPr>
              <w:t>联 系 人：</w:t>
            </w:r>
            <w:r>
              <w:rPr>
                <w:rFonts w:hint="eastAsia" w:ascii="宋体" w:hAnsi="宋体" w:cs="Tahoma"/>
                <w:color w:val="auto"/>
                <w:sz w:val="24"/>
                <w:szCs w:val="24"/>
                <w:lang w:val="en-US" w:eastAsia="zh-CN"/>
              </w:rPr>
              <w:t>刘先生</w:t>
            </w:r>
          </w:p>
          <w:p w14:paraId="7F9C5EF3">
            <w:pPr>
              <w:rPr>
                <w:rFonts w:hint="eastAsia" w:ascii="宋体" w:hAnsi="宋体" w:eastAsia="宋体" w:cs="Tahoma"/>
                <w:color w:val="auto"/>
                <w:sz w:val="24"/>
                <w:szCs w:val="24"/>
                <w:lang w:val="en-US" w:eastAsia="zh-CN"/>
              </w:rPr>
            </w:pPr>
            <w:r>
              <w:rPr>
                <w:rFonts w:hint="eastAsia" w:ascii="宋体" w:hAnsi="宋体" w:cs="Tahoma"/>
                <w:color w:val="auto"/>
                <w:sz w:val="24"/>
                <w:szCs w:val="24"/>
                <w:lang w:val="zh-TW"/>
              </w:rPr>
              <w:t>联系电话：</w:t>
            </w:r>
            <w:r>
              <w:rPr>
                <w:rFonts w:hint="eastAsia" w:ascii="宋体" w:hAnsi="宋体" w:cs="宋体"/>
                <w:color w:val="auto"/>
                <w:sz w:val="24"/>
                <w:szCs w:val="24"/>
                <w:lang w:val="en-US" w:eastAsia="zh-CN"/>
              </w:rPr>
              <w:t>15690805677</w:t>
            </w:r>
          </w:p>
        </w:tc>
      </w:tr>
      <w:tr w14:paraId="4C89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6B17FED">
            <w:pPr>
              <w:jc w:val="center"/>
              <w:rPr>
                <w:rFonts w:ascii="宋体" w:hAnsi="宋体" w:cs="宋体"/>
                <w:sz w:val="24"/>
                <w:szCs w:val="24"/>
              </w:rPr>
            </w:pPr>
            <w:r>
              <w:rPr>
                <w:rFonts w:hint="eastAsia" w:ascii="宋体" w:hAnsi="宋体" w:cs="宋体"/>
                <w:sz w:val="24"/>
                <w:szCs w:val="24"/>
              </w:rPr>
              <w:t>1.1.3</w:t>
            </w:r>
          </w:p>
        </w:tc>
        <w:tc>
          <w:tcPr>
            <w:tcW w:w="1985" w:type="dxa"/>
            <w:gridSpan w:val="2"/>
            <w:tcBorders>
              <w:top w:val="single" w:color="auto" w:sz="4" w:space="0"/>
              <w:left w:val="nil"/>
              <w:bottom w:val="single" w:color="auto" w:sz="4" w:space="0"/>
              <w:right w:val="single" w:color="auto" w:sz="4" w:space="0"/>
            </w:tcBorders>
            <w:vAlign w:val="center"/>
          </w:tcPr>
          <w:p w14:paraId="791963CA">
            <w:pPr>
              <w:jc w:val="center"/>
              <w:rPr>
                <w:rFonts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代理</w:t>
            </w:r>
          </w:p>
          <w:p w14:paraId="1A8EB391">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14:paraId="23B55B03">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4FBBF8D0">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西安市新城区尚勤路151号8层</w:t>
            </w:r>
            <w:r>
              <w:rPr>
                <w:rFonts w:hint="eastAsia" w:ascii="宋体" w:hAnsi="宋体" w:cs="宋体"/>
                <w:sz w:val="24"/>
                <w:szCs w:val="24"/>
              </w:rPr>
              <w:t> </w:t>
            </w:r>
          </w:p>
          <w:p w14:paraId="29E96817">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温女士</w:t>
            </w:r>
            <w:r>
              <w:rPr>
                <w:rFonts w:hint="eastAsia" w:ascii="宋体" w:hAnsi="宋体" w:cs="宋体"/>
                <w:sz w:val="24"/>
                <w:szCs w:val="24"/>
                <w:lang w:val="zh-TW"/>
              </w:rPr>
              <w:t xml:space="preserve">  </w:t>
            </w:r>
            <w:r>
              <w:rPr>
                <w:rFonts w:hint="eastAsia" w:ascii="宋体" w:hAnsi="宋体" w:cs="宋体"/>
                <w:sz w:val="24"/>
                <w:szCs w:val="24"/>
                <w:lang w:eastAsia="zh-CN"/>
              </w:rPr>
              <w:t>13839848765</w:t>
            </w:r>
          </w:p>
        </w:tc>
      </w:tr>
      <w:tr w14:paraId="4AEF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F3BA6E">
            <w:pPr>
              <w:jc w:val="center"/>
              <w:rPr>
                <w:rFonts w:ascii="宋体" w:hAnsi="宋体" w:cs="宋体"/>
                <w:sz w:val="24"/>
                <w:szCs w:val="24"/>
              </w:rPr>
            </w:pPr>
            <w:r>
              <w:rPr>
                <w:rFonts w:hint="eastAsia" w:ascii="宋体" w:hAnsi="宋体" w:cs="宋体"/>
                <w:sz w:val="24"/>
                <w:szCs w:val="24"/>
              </w:rPr>
              <w:t>1.1.4</w:t>
            </w:r>
          </w:p>
        </w:tc>
        <w:tc>
          <w:tcPr>
            <w:tcW w:w="1985" w:type="dxa"/>
            <w:gridSpan w:val="2"/>
            <w:tcBorders>
              <w:top w:val="single" w:color="auto" w:sz="4" w:space="0"/>
              <w:left w:val="nil"/>
              <w:bottom w:val="single" w:color="auto" w:sz="4" w:space="0"/>
              <w:right w:val="single" w:color="auto" w:sz="4" w:space="0"/>
            </w:tcBorders>
            <w:vAlign w:val="center"/>
          </w:tcPr>
          <w:p w14:paraId="42FD9E4F">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14:paraId="0EF8F703">
            <w:pPr>
              <w:rPr>
                <w:rFonts w:hint="eastAsia" w:ascii="宋体" w:hAnsi="宋体" w:eastAsia="宋体" w:cs="宋体"/>
                <w:sz w:val="24"/>
                <w:szCs w:val="24"/>
                <w:lang w:eastAsia="zh-CN"/>
              </w:rPr>
            </w:pPr>
            <w:r>
              <w:rPr>
                <w:rFonts w:hint="eastAsia" w:ascii="宋体" w:hAnsi="宋体" w:cs="宋体"/>
                <w:sz w:val="24"/>
                <w:szCs w:val="24"/>
                <w:lang w:eastAsia="zh-CN"/>
              </w:rPr>
              <w:t>陕州区地下水国考点位隐患排查技术服务项目</w:t>
            </w:r>
          </w:p>
        </w:tc>
      </w:tr>
      <w:tr w14:paraId="0CB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E18297E">
            <w:pPr>
              <w:jc w:val="center"/>
              <w:rPr>
                <w:rFonts w:ascii="宋体" w:hAnsi="宋体" w:cs="宋体"/>
                <w:sz w:val="24"/>
                <w:szCs w:val="24"/>
              </w:rPr>
            </w:pPr>
            <w:r>
              <w:rPr>
                <w:rFonts w:hint="eastAsia" w:ascii="宋体" w:hAnsi="宋体" w:cs="宋体"/>
                <w:sz w:val="24"/>
                <w:szCs w:val="24"/>
              </w:rPr>
              <w:t>1.1.5</w:t>
            </w:r>
          </w:p>
        </w:tc>
        <w:tc>
          <w:tcPr>
            <w:tcW w:w="1985" w:type="dxa"/>
            <w:gridSpan w:val="2"/>
            <w:tcBorders>
              <w:top w:val="single" w:color="auto" w:sz="4" w:space="0"/>
              <w:left w:val="nil"/>
              <w:bottom w:val="single" w:color="auto" w:sz="4" w:space="0"/>
              <w:right w:val="single" w:color="auto" w:sz="4" w:space="0"/>
            </w:tcBorders>
            <w:vAlign w:val="center"/>
          </w:tcPr>
          <w:p w14:paraId="73D420D5">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14:paraId="764F3D70">
            <w:pPr>
              <w:rPr>
                <w:rFonts w:ascii="宋体" w:hAnsi="宋体" w:cs="宋体"/>
                <w:sz w:val="24"/>
                <w:szCs w:val="24"/>
              </w:rPr>
            </w:pPr>
            <w:r>
              <w:rPr>
                <w:rFonts w:hint="eastAsia" w:ascii="宋体" w:hAnsi="宋体" w:eastAsia="宋体"/>
                <w:sz w:val="24"/>
                <w:highlight w:val="none"/>
                <w:lang w:val="en-US" w:eastAsia="zh-CN"/>
              </w:rPr>
              <w:t>三门峡市陕州区</w:t>
            </w:r>
          </w:p>
        </w:tc>
      </w:tr>
      <w:tr w14:paraId="72F5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7CE8EE4">
            <w:pPr>
              <w:jc w:val="center"/>
              <w:rPr>
                <w:rFonts w:ascii="宋体" w:hAnsi="宋体" w:cs="宋体"/>
                <w:sz w:val="24"/>
                <w:szCs w:val="24"/>
              </w:rPr>
            </w:pPr>
            <w:r>
              <w:rPr>
                <w:rFonts w:hint="eastAsia" w:ascii="宋体" w:hAnsi="宋体" w:cs="宋体"/>
                <w:sz w:val="24"/>
                <w:szCs w:val="24"/>
              </w:rPr>
              <w:t>1.2.1</w:t>
            </w:r>
          </w:p>
        </w:tc>
        <w:tc>
          <w:tcPr>
            <w:tcW w:w="1985" w:type="dxa"/>
            <w:gridSpan w:val="2"/>
            <w:tcBorders>
              <w:top w:val="single" w:color="auto" w:sz="4" w:space="0"/>
              <w:left w:val="nil"/>
              <w:bottom w:val="single" w:color="auto" w:sz="4" w:space="0"/>
              <w:right w:val="single" w:color="auto" w:sz="4" w:space="0"/>
            </w:tcBorders>
            <w:vAlign w:val="center"/>
          </w:tcPr>
          <w:p w14:paraId="2CB2951D">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14:paraId="7B1147A6">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财政资金</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已落实</w:t>
            </w:r>
          </w:p>
        </w:tc>
      </w:tr>
      <w:tr w14:paraId="5B0F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FC0E03">
            <w:pPr>
              <w:jc w:val="center"/>
              <w:rPr>
                <w:rFonts w:ascii="宋体" w:hAnsi="宋体" w:cs="宋体"/>
                <w:sz w:val="24"/>
                <w:szCs w:val="24"/>
              </w:rPr>
            </w:pPr>
            <w:r>
              <w:rPr>
                <w:rFonts w:hint="eastAsia" w:ascii="宋体" w:hAnsi="宋体" w:cs="宋体"/>
                <w:sz w:val="24"/>
                <w:szCs w:val="24"/>
              </w:rPr>
              <w:t>1.3.1</w:t>
            </w:r>
          </w:p>
        </w:tc>
        <w:tc>
          <w:tcPr>
            <w:tcW w:w="1985" w:type="dxa"/>
            <w:gridSpan w:val="2"/>
            <w:tcBorders>
              <w:top w:val="single" w:color="auto" w:sz="4" w:space="0"/>
              <w:left w:val="nil"/>
              <w:bottom w:val="single" w:color="auto" w:sz="4" w:space="0"/>
              <w:right w:val="single" w:color="auto" w:sz="4" w:space="0"/>
            </w:tcBorders>
            <w:vAlign w:val="center"/>
          </w:tcPr>
          <w:p w14:paraId="2C3C502D">
            <w:pPr>
              <w:jc w:val="center"/>
              <w:rPr>
                <w:rFonts w:ascii="宋体" w:hAnsi="宋体" w:cs="宋体"/>
                <w:sz w:val="24"/>
                <w:szCs w:val="24"/>
              </w:rPr>
            </w:pPr>
            <w:r>
              <w:rPr>
                <w:rFonts w:hint="eastAsia" w:ascii="宋体" w:hAnsi="宋体" w:cs="宋体"/>
                <w:sz w:val="24"/>
                <w:szCs w:val="24"/>
              </w:rPr>
              <w:t>磋商范围</w:t>
            </w:r>
          </w:p>
        </w:tc>
        <w:tc>
          <w:tcPr>
            <w:tcW w:w="6661" w:type="dxa"/>
            <w:tcBorders>
              <w:top w:val="single" w:color="auto" w:sz="4" w:space="0"/>
              <w:left w:val="nil"/>
              <w:bottom w:val="single" w:color="auto" w:sz="4" w:space="0"/>
              <w:right w:val="single" w:color="auto" w:sz="4" w:space="0"/>
            </w:tcBorders>
            <w:vAlign w:val="center"/>
          </w:tcPr>
          <w:p w14:paraId="189F8866">
            <w:pPr>
              <w:snapToGrid w:val="0"/>
              <w:textAlignment w:val="baseline"/>
              <w:rPr>
                <w:rFonts w:ascii="宋体" w:hAnsi="宋体" w:cs="宋体"/>
                <w:sz w:val="24"/>
                <w:szCs w:val="24"/>
              </w:rPr>
            </w:pPr>
            <w:r>
              <w:rPr>
                <w:rFonts w:hint="eastAsia" w:ascii="宋体" w:hAnsi="宋体" w:cs="宋体"/>
                <w:sz w:val="24"/>
                <w:szCs w:val="24"/>
              </w:rPr>
              <w:t>磋商文件内所包含的全部内容</w:t>
            </w:r>
          </w:p>
        </w:tc>
      </w:tr>
      <w:tr w14:paraId="1D91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7C379FF">
            <w:pPr>
              <w:jc w:val="center"/>
              <w:rPr>
                <w:rFonts w:ascii="宋体" w:hAnsi="宋体" w:cs="宋体"/>
                <w:sz w:val="24"/>
                <w:szCs w:val="24"/>
              </w:rPr>
            </w:pPr>
            <w:r>
              <w:rPr>
                <w:rFonts w:hint="eastAsia" w:ascii="宋体" w:hAnsi="宋体" w:cs="宋体"/>
                <w:sz w:val="24"/>
                <w:szCs w:val="24"/>
              </w:rPr>
              <w:t>1.3.2</w:t>
            </w:r>
          </w:p>
        </w:tc>
        <w:tc>
          <w:tcPr>
            <w:tcW w:w="1985" w:type="dxa"/>
            <w:gridSpan w:val="2"/>
            <w:tcBorders>
              <w:top w:val="single" w:color="auto" w:sz="4" w:space="0"/>
              <w:left w:val="nil"/>
              <w:bottom w:val="single" w:color="auto" w:sz="4" w:space="0"/>
              <w:right w:val="single" w:color="auto" w:sz="4" w:space="0"/>
            </w:tcBorders>
            <w:vAlign w:val="center"/>
          </w:tcPr>
          <w:p w14:paraId="01310D18">
            <w:pPr>
              <w:jc w:val="center"/>
              <w:rPr>
                <w:rFonts w:ascii="宋体" w:hAnsi="宋体" w:cs="宋体"/>
                <w:sz w:val="24"/>
                <w:szCs w:val="24"/>
              </w:rPr>
            </w:pPr>
            <w:r>
              <w:rPr>
                <w:rFonts w:hint="eastAsia" w:ascii="宋体" w:hAnsi="宋体" w:cs="宋体"/>
                <w:sz w:val="24"/>
                <w:szCs w:val="24"/>
              </w:rPr>
              <w:t>服务期</w:t>
            </w:r>
          </w:p>
        </w:tc>
        <w:tc>
          <w:tcPr>
            <w:tcW w:w="6661" w:type="dxa"/>
            <w:tcBorders>
              <w:top w:val="single" w:color="auto" w:sz="4" w:space="0"/>
              <w:left w:val="nil"/>
              <w:bottom w:val="single" w:color="auto" w:sz="4" w:space="0"/>
              <w:right w:val="single" w:color="auto" w:sz="4" w:space="0"/>
            </w:tcBorders>
            <w:vAlign w:val="center"/>
          </w:tcPr>
          <w:p w14:paraId="4675BFBF">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自合同签订之日起8个月</w:t>
            </w:r>
          </w:p>
        </w:tc>
      </w:tr>
      <w:tr w14:paraId="3575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5EB662">
            <w:pPr>
              <w:jc w:val="center"/>
              <w:rPr>
                <w:rFonts w:ascii="宋体" w:hAnsi="宋体" w:cs="宋体"/>
                <w:sz w:val="24"/>
                <w:szCs w:val="24"/>
              </w:rPr>
            </w:pPr>
            <w:r>
              <w:rPr>
                <w:rFonts w:hint="eastAsia" w:ascii="宋体" w:hAnsi="宋体" w:cs="宋体"/>
                <w:sz w:val="24"/>
                <w:szCs w:val="24"/>
              </w:rPr>
              <w:t>1.3.3</w:t>
            </w:r>
          </w:p>
        </w:tc>
        <w:tc>
          <w:tcPr>
            <w:tcW w:w="1985" w:type="dxa"/>
            <w:gridSpan w:val="2"/>
            <w:tcBorders>
              <w:top w:val="single" w:color="auto" w:sz="4" w:space="0"/>
              <w:left w:val="nil"/>
              <w:bottom w:val="single" w:color="auto" w:sz="4" w:space="0"/>
              <w:right w:val="single" w:color="auto" w:sz="4" w:space="0"/>
            </w:tcBorders>
            <w:vAlign w:val="center"/>
          </w:tcPr>
          <w:p w14:paraId="3ADEF965">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14:paraId="1978C09A">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688E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3BA05">
            <w:pPr>
              <w:jc w:val="center"/>
              <w:rPr>
                <w:rFonts w:ascii="宋体" w:hAnsi="宋体" w:cs="宋体"/>
                <w:sz w:val="24"/>
                <w:szCs w:val="24"/>
              </w:rPr>
            </w:pPr>
            <w:r>
              <w:rPr>
                <w:rFonts w:hint="eastAsia" w:ascii="宋体" w:hAnsi="宋体" w:cs="宋体"/>
                <w:sz w:val="24"/>
                <w:szCs w:val="24"/>
              </w:rPr>
              <w:t>1.4.1</w:t>
            </w:r>
          </w:p>
        </w:tc>
        <w:tc>
          <w:tcPr>
            <w:tcW w:w="1985" w:type="dxa"/>
            <w:gridSpan w:val="2"/>
            <w:tcBorders>
              <w:top w:val="single" w:color="auto" w:sz="4" w:space="0"/>
              <w:left w:val="nil"/>
              <w:bottom w:val="single" w:color="auto" w:sz="4" w:space="0"/>
              <w:right w:val="single" w:color="auto" w:sz="4" w:space="0"/>
            </w:tcBorders>
            <w:vAlign w:val="center"/>
          </w:tcPr>
          <w:p w14:paraId="1D1771CD">
            <w:pPr>
              <w:jc w:val="center"/>
              <w:rPr>
                <w:rFonts w:ascii="宋体" w:hAnsi="宋体" w:cs="宋体"/>
                <w:sz w:val="24"/>
                <w:szCs w:val="24"/>
              </w:rPr>
            </w:pPr>
            <w:r>
              <w:rPr>
                <w:rFonts w:hint="eastAsia" w:ascii="宋体" w:hAnsi="宋体" w:cs="宋体"/>
                <w:sz w:val="24"/>
                <w:szCs w:val="24"/>
              </w:rPr>
              <w:t>供应商资质</w:t>
            </w:r>
          </w:p>
          <w:p w14:paraId="679171CC">
            <w:pPr>
              <w:jc w:val="center"/>
              <w:rPr>
                <w:rFonts w:ascii="宋体" w:hAnsi="宋体" w:cs="宋体"/>
                <w:sz w:val="24"/>
                <w:szCs w:val="24"/>
              </w:rPr>
            </w:pPr>
            <w:r>
              <w:rPr>
                <w:rFonts w:hint="eastAsia" w:ascii="宋体" w:hAnsi="宋体" w:cs="宋体"/>
                <w:sz w:val="24"/>
                <w:szCs w:val="24"/>
              </w:rPr>
              <w:t>条件、能力</w:t>
            </w:r>
          </w:p>
          <w:p w14:paraId="650B6A84">
            <w:pPr>
              <w:ind w:firstLine="240" w:firstLineChars="100"/>
              <w:jc w:val="center"/>
              <w:rPr>
                <w:rFonts w:ascii="宋体" w:hAnsi="宋体" w:cs="宋体"/>
                <w:sz w:val="24"/>
                <w:szCs w:val="24"/>
              </w:rPr>
            </w:pPr>
            <w:r>
              <w:rPr>
                <w:rFonts w:hint="eastAsia" w:ascii="宋体" w:hAnsi="宋体" w:cs="宋体"/>
                <w:sz w:val="24"/>
                <w:szCs w:val="24"/>
              </w:rPr>
              <w:t>和信誉</w:t>
            </w:r>
          </w:p>
        </w:tc>
        <w:tc>
          <w:tcPr>
            <w:tcW w:w="6661" w:type="dxa"/>
            <w:tcBorders>
              <w:top w:val="single" w:color="auto" w:sz="4" w:space="0"/>
              <w:left w:val="nil"/>
              <w:bottom w:val="single" w:color="auto" w:sz="4" w:space="0"/>
              <w:right w:val="single" w:color="auto" w:sz="4" w:space="0"/>
            </w:tcBorders>
            <w:vAlign w:val="center"/>
          </w:tcPr>
          <w:p w14:paraId="44323847">
            <w:pPr>
              <w:rPr>
                <w:rFonts w:hint="default" w:ascii="宋体" w:hAnsi="宋体" w:eastAsia="宋体" w:cs="宋体"/>
                <w:sz w:val="24"/>
                <w:szCs w:val="24"/>
                <w:lang w:val="en-US" w:eastAsia="zh-CN"/>
              </w:rPr>
            </w:pPr>
            <w:r>
              <w:rPr>
                <w:rFonts w:hint="eastAsia" w:ascii="宋体" w:hAnsi="宋体" w:cs="宋体"/>
                <w:sz w:val="24"/>
                <w:szCs w:val="24"/>
                <w:lang w:val="en-US" w:eastAsia="zh-CN"/>
              </w:rPr>
              <w:t>详见第一章竞争性磋商公告二：供应商资格要求。</w:t>
            </w:r>
          </w:p>
        </w:tc>
      </w:tr>
      <w:tr w14:paraId="7CE8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F433209">
            <w:pPr>
              <w:jc w:val="center"/>
              <w:rPr>
                <w:rFonts w:ascii="宋体" w:hAnsi="宋体" w:cs="宋体"/>
                <w:sz w:val="24"/>
                <w:szCs w:val="24"/>
              </w:rPr>
            </w:pPr>
            <w:r>
              <w:rPr>
                <w:rFonts w:hint="eastAsia" w:ascii="宋体" w:hAnsi="宋体" w:cs="宋体"/>
                <w:sz w:val="24"/>
                <w:szCs w:val="24"/>
              </w:rPr>
              <w:t>1.4.2</w:t>
            </w:r>
          </w:p>
        </w:tc>
        <w:tc>
          <w:tcPr>
            <w:tcW w:w="1985" w:type="dxa"/>
            <w:gridSpan w:val="2"/>
            <w:tcBorders>
              <w:top w:val="single" w:color="auto" w:sz="4" w:space="0"/>
              <w:left w:val="nil"/>
              <w:bottom w:val="single" w:color="auto" w:sz="4" w:space="0"/>
              <w:right w:val="single" w:color="auto" w:sz="4" w:space="0"/>
            </w:tcBorders>
            <w:vAlign w:val="center"/>
          </w:tcPr>
          <w:p w14:paraId="73B37B51">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14:paraId="1E7FCEA1">
            <w:pPr>
              <w:rPr>
                <w:rFonts w:ascii="宋体" w:hAnsi="宋体" w:cs="宋体"/>
                <w:sz w:val="24"/>
                <w:szCs w:val="24"/>
              </w:rPr>
            </w:pPr>
            <w:r>
              <w:rPr>
                <w:rFonts w:hint="eastAsia" w:ascii="宋体" w:hAnsi="宋体" w:cs="宋体"/>
                <w:sz w:val="24"/>
                <w:szCs w:val="24"/>
              </w:rPr>
              <w:t>不接受</w:t>
            </w:r>
          </w:p>
        </w:tc>
      </w:tr>
      <w:tr w14:paraId="403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084E1FE">
            <w:pPr>
              <w:jc w:val="center"/>
              <w:rPr>
                <w:rFonts w:ascii="宋体" w:hAnsi="宋体" w:cs="宋体"/>
                <w:sz w:val="24"/>
                <w:szCs w:val="24"/>
              </w:rPr>
            </w:pPr>
            <w:r>
              <w:rPr>
                <w:rFonts w:hint="eastAsia" w:ascii="宋体" w:hAnsi="宋体" w:cs="宋体"/>
                <w:sz w:val="24"/>
                <w:szCs w:val="24"/>
              </w:rPr>
              <w:t>1.9.1</w:t>
            </w:r>
          </w:p>
        </w:tc>
        <w:tc>
          <w:tcPr>
            <w:tcW w:w="1985" w:type="dxa"/>
            <w:gridSpan w:val="2"/>
            <w:tcBorders>
              <w:top w:val="single" w:color="auto" w:sz="4" w:space="0"/>
              <w:left w:val="nil"/>
              <w:bottom w:val="single" w:color="auto" w:sz="4" w:space="0"/>
              <w:right w:val="single" w:color="auto" w:sz="4" w:space="0"/>
            </w:tcBorders>
            <w:vAlign w:val="center"/>
          </w:tcPr>
          <w:p w14:paraId="0221C53F">
            <w:pPr>
              <w:ind w:firstLine="360" w:firstLineChars="150"/>
              <w:rPr>
                <w:rFonts w:ascii="宋体" w:hAnsi="宋体" w:cs="宋体"/>
                <w:sz w:val="24"/>
                <w:szCs w:val="24"/>
              </w:rPr>
            </w:pPr>
            <w:r>
              <w:rPr>
                <w:rFonts w:hint="eastAsia" w:ascii="宋体" w:hAnsi="宋体" w:cs="宋体"/>
                <w:sz w:val="24"/>
                <w:szCs w:val="24"/>
              </w:rPr>
              <w:t>踏勘现场</w:t>
            </w:r>
          </w:p>
        </w:tc>
        <w:tc>
          <w:tcPr>
            <w:tcW w:w="6661" w:type="dxa"/>
            <w:tcBorders>
              <w:top w:val="single" w:color="auto" w:sz="4" w:space="0"/>
              <w:left w:val="nil"/>
              <w:bottom w:val="single" w:color="auto" w:sz="4" w:space="0"/>
              <w:right w:val="single" w:color="auto" w:sz="4" w:space="0"/>
            </w:tcBorders>
            <w:vAlign w:val="center"/>
          </w:tcPr>
          <w:p w14:paraId="532CC9FC">
            <w:pPr>
              <w:rPr>
                <w:rFonts w:hint="eastAsia" w:ascii="宋体" w:hAnsi="宋体" w:cs="宋体"/>
                <w:sz w:val="24"/>
                <w:szCs w:val="24"/>
                <w:lang w:eastAsia="zh-CN"/>
              </w:rPr>
            </w:pPr>
            <w:r>
              <w:rPr>
                <w:rFonts w:hint="eastAsia" w:ascii="宋体" w:hAnsi="宋体" w:cs="宋体"/>
                <w:sz w:val="24"/>
                <w:szCs w:val="24"/>
              </w:rPr>
              <w:t>组织</w:t>
            </w:r>
            <w:r>
              <w:rPr>
                <w:rFonts w:hint="eastAsia" w:ascii="宋体" w:hAnsi="宋体" w:cs="宋体"/>
                <w:sz w:val="24"/>
                <w:szCs w:val="24"/>
                <w:lang w:eastAsia="zh-CN"/>
              </w:rPr>
              <w:t>。</w:t>
            </w:r>
          </w:p>
          <w:p w14:paraId="34108B1B">
            <w:pPr>
              <w:adjustRightInd w:val="0"/>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各投标单位须在</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20</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参加勘察现场</w:t>
            </w:r>
            <w:r>
              <w:rPr>
                <w:rFonts w:hint="eastAsia" w:ascii="宋体" w:hAnsi="宋体" w:cs="宋体"/>
                <w:color w:val="auto"/>
                <w:sz w:val="24"/>
                <w:lang w:val="en-US" w:eastAsia="zh-CN"/>
              </w:rPr>
              <w:t>，勘察现场完成后领取</w:t>
            </w:r>
            <w:r>
              <w:rPr>
                <w:rFonts w:hint="eastAsia" w:ascii="宋体" w:hAnsi="宋体" w:eastAsia="宋体" w:cs="宋体"/>
                <w:color w:val="auto"/>
                <w:sz w:val="24"/>
                <w:lang w:val="en-US" w:eastAsia="zh-CN"/>
              </w:rPr>
              <w:t>勘察现场证明函</w:t>
            </w:r>
            <w:r>
              <w:rPr>
                <w:rFonts w:hint="eastAsia" w:ascii="宋体" w:hAnsi="宋体" w:cs="宋体"/>
                <w:color w:val="auto"/>
                <w:sz w:val="24"/>
                <w:lang w:val="en-US" w:eastAsia="zh-CN"/>
              </w:rPr>
              <w:t>。</w:t>
            </w:r>
            <w:r>
              <w:rPr>
                <w:rFonts w:hint="eastAsia" w:ascii="宋体" w:hAnsi="宋体" w:eastAsia="宋体" w:cs="宋体"/>
                <w:color w:val="auto"/>
                <w:sz w:val="24"/>
                <w:lang w:val="en-US" w:eastAsia="zh-CN"/>
              </w:rPr>
              <w:t>投标人将勘察现场证明函原件扫描件放在投标文件中，并单独做出真实性承诺</w:t>
            </w:r>
            <w:r>
              <w:rPr>
                <w:rFonts w:hint="eastAsia" w:ascii="宋体" w:hAnsi="宋体" w:cs="宋体"/>
                <w:color w:val="auto"/>
                <w:sz w:val="24"/>
                <w:lang w:val="en-US" w:eastAsia="zh-CN"/>
              </w:rPr>
              <w:t>（格式自拟）</w:t>
            </w:r>
            <w:r>
              <w:rPr>
                <w:rFonts w:hint="eastAsia" w:ascii="宋体" w:hAnsi="宋体" w:eastAsia="宋体" w:cs="宋体"/>
                <w:color w:val="auto"/>
                <w:sz w:val="24"/>
                <w:lang w:val="en-US" w:eastAsia="zh-CN"/>
              </w:rPr>
              <w:t>。</w:t>
            </w:r>
          </w:p>
          <w:p w14:paraId="68FB9401">
            <w:pPr>
              <w:adjustRightInd w:val="0"/>
              <w:snapToGrid w:val="0"/>
              <w:spacing w:line="360" w:lineRule="auto"/>
              <w:rPr>
                <w:rFonts w:hint="eastAsia" w:ascii="宋体" w:hAnsi="宋体" w:cs="Tahoma"/>
                <w:color w:val="auto"/>
                <w:sz w:val="24"/>
                <w:szCs w:val="24"/>
                <w:lang w:eastAsia="zh-CN"/>
              </w:rPr>
            </w:pPr>
            <w:r>
              <w:rPr>
                <w:rFonts w:hint="eastAsia" w:ascii="宋体" w:hAnsi="宋体" w:eastAsia="宋体" w:cs="宋体"/>
                <w:color w:val="auto"/>
                <w:sz w:val="24"/>
                <w:lang w:val="en-US" w:eastAsia="zh-CN"/>
              </w:rPr>
              <w:t>勘察现场联系人：</w:t>
            </w:r>
            <w:r>
              <w:rPr>
                <w:rFonts w:hint="eastAsia" w:ascii="宋体" w:hAnsi="宋体" w:cs="宋体"/>
                <w:color w:val="auto"/>
                <w:sz w:val="24"/>
                <w:lang w:val="en-US" w:eastAsia="zh-CN"/>
              </w:rPr>
              <w:t xml:space="preserve">刘宇阳  </w:t>
            </w:r>
            <w:r>
              <w:rPr>
                <w:rFonts w:hint="eastAsia" w:ascii="宋体" w:hAnsi="宋体" w:eastAsia="宋体" w:cs="宋体"/>
                <w:color w:val="auto"/>
                <w:sz w:val="24"/>
                <w:lang w:val="en-US" w:eastAsia="zh-CN"/>
              </w:rPr>
              <w:t xml:space="preserve"> 联系方式：</w:t>
            </w:r>
            <w:r>
              <w:rPr>
                <w:rFonts w:hint="eastAsia" w:ascii="宋体" w:hAnsi="宋体" w:cs="宋体"/>
                <w:color w:val="auto"/>
                <w:sz w:val="24"/>
                <w:szCs w:val="24"/>
                <w:lang w:val="en-US" w:eastAsia="zh-CN"/>
              </w:rPr>
              <w:t>15690805677</w:t>
            </w:r>
          </w:p>
          <w:p w14:paraId="5D8A0B48">
            <w:pPr>
              <w:adjustRightInd w:val="0"/>
              <w:snapToGrid w:val="0"/>
              <w:spacing w:line="360" w:lineRule="auto"/>
              <w:rPr>
                <w:rFonts w:hint="eastAsia" w:ascii="宋体" w:hAnsi="宋体" w:cs="Tahoma"/>
                <w:color w:val="auto"/>
                <w:sz w:val="24"/>
                <w:szCs w:val="24"/>
                <w:lang w:val="en-US" w:eastAsia="zh-CN"/>
              </w:rPr>
            </w:pPr>
            <w:r>
              <w:rPr>
                <w:rFonts w:hint="eastAsia" w:ascii="宋体" w:hAnsi="宋体" w:cs="Tahoma"/>
                <w:color w:val="auto"/>
                <w:sz w:val="24"/>
                <w:szCs w:val="24"/>
                <w:lang w:val="en-US" w:eastAsia="zh-CN"/>
              </w:rPr>
              <w:t>注：1、因投标人原因未能按时参加踏勘现场，招标人不再另行组织。</w:t>
            </w:r>
          </w:p>
          <w:p w14:paraId="4EDBA71F">
            <w:pPr>
              <w:pStyle w:val="58"/>
              <w:rPr>
                <w:rFonts w:hint="eastAsia"/>
                <w:lang w:eastAsia="zh-CN"/>
              </w:rPr>
            </w:pPr>
            <w:r>
              <w:rPr>
                <w:rFonts w:hint="eastAsia" w:ascii="宋体" w:hAnsi="宋体" w:eastAsia="宋体" w:cs="宋体"/>
                <w:color w:val="auto"/>
                <w:kern w:val="2"/>
                <w:sz w:val="24"/>
                <w:szCs w:val="21"/>
                <w:lang w:val="en-US" w:eastAsia="zh-CN" w:bidi="ar-SA"/>
              </w:rPr>
              <w:t>2、参加勘察现场人员需持本单位授权委托书（委托书格式自拟）。</w:t>
            </w:r>
          </w:p>
        </w:tc>
      </w:tr>
      <w:tr w14:paraId="43DF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6747599">
            <w:pPr>
              <w:jc w:val="center"/>
              <w:rPr>
                <w:rFonts w:ascii="宋体" w:hAnsi="宋体" w:cs="宋体"/>
                <w:sz w:val="24"/>
                <w:szCs w:val="24"/>
              </w:rPr>
            </w:pPr>
            <w:r>
              <w:rPr>
                <w:rFonts w:hint="eastAsia" w:ascii="宋体" w:hAnsi="宋体" w:cs="宋体"/>
                <w:sz w:val="24"/>
                <w:szCs w:val="24"/>
              </w:rPr>
              <w:t>1.10.1</w:t>
            </w:r>
          </w:p>
        </w:tc>
        <w:tc>
          <w:tcPr>
            <w:tcW w:w="1985" w:type="dxa"/>
            <w:gridSpan w:val="2"/>
            <w:tcBorders>
              <w:top w:val="single" w:color="auto" w:sz="4" w:space="0"/>
              <w:left w:val="nil"/>
              <w:bottom w:val="single" w:color="auto" w:sz="4" w:space="0"/>
              <w:right w:val="single" w:color="auto" w:sz="4" w:space="0"/>
            </w:tcBorders>
            <w:vAlign w:val="center"/>
          </w:tcPr>
          <w:p w14:paraId="4CF5202C">
            <w:pPr>
              <w:jc w:val="center"/>
              <w:rPr>
                <w:rFonts w:ascii="宋体" w:hAnsi="宋体" w:cs="宋体"/>
                <w:sz w:val="24"/>
                <w:szCs w:val="24"/>
              </w:rPr>
            </w:pPr>
            <w:r>
              <w:rPr>
                <w:rFonts w:hint="eastAsia" w:ascii="宋体" w:hAnsi="宋体" w:cs="宋体"/>
                <w:sz w:val="24"/>
                <w:szCs w:val="24"/>
              </w:rPr>
              <w:t>磋商预备会</w:t>
            </w:r>
          </w:p>
        </w:tc>
        <w:tc>
          <w:tcPr>
            <w:tcW w:w="6661" w:type="dxa"/>
            <w:tcBorders>
              <w:top w:val="single" w:color="auto" w:sz="4" w:space="0"/>
              <w:left w:val="nil"/>
              <w:bottom w:val="single" w:color="auto" w:sz="4" w:space="0"/>
              <w:right w:val="single" w:color="auto" w:sz="4" w:space="0"/>
            </w:tcBorders>
            <w:vAlign w:val="center"/>
          </w:tcPr>
          <w:p w14:paraId="4BE8A8EC">
            <w:pPr>
              <w:rPr>
                <w:rFonts w:ascii="宋体" w:hAnsi="宋体" w:cs="宋体"/>
                <w:sz w:val="24"/>
                <w:szCs w:val="24"/>
              </w:rPr>
            </w:pPr>
            <w:r>
              <w:rPr>
                <w:rFonts w:hint="eastAsia" w:ascii="宋体" w:hAnsi="宋体" w:cs="宋体"/>
                <w:sz w:val="24"/>
                <w:szCs w:val="24"/>
              </w:rPr>
              <w:t>不召开</w:t>
            </w:r>
          </w:p>
        </w:tc>
      </w:tr>
      <w:tr w14:paraId="02E6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B023AE9">
            <w:pPr>
              <w:jc w:val="center"/>
              <w:rPr>
                <w:rFonts w:ascii="宋体" w:hAnsi="宋体" w:cs="宋体"/>
                <w:sz w:val="24"/>
                <w:szCs w:val="24"/>
              </w:rPr>
            </w:pPr>
            <w:r>
              <w:rPr>
                <w:rFonts w:hint="eastAsia" w:ascii="宋体" w:hAnsi="宋体" w:cs="宋体"/>
                <w:sz w:val="24"/>
                <w:szCs w:val="24"/>
              </w:rPr>
              <w:t>1.11</w:t>
            </w:r>
          </w:p>
        </w:tc>
        <w:tc>
          <w:tcPr>
            <w:tcW w:w="1985" w:type="dxa"/>
            <w:gridSpan w:val="2"/>
            <w:tcBorders>
              <w:top w:val="single" w:color="auto" w:sz="4" w:space="0"/>
              <w:left w:val="nil"/>
              <w:bottom w:val="single" w:color="auto" w:sz="4" w:space="0"/>
              <w:right w:val="single" w:color="auto" w:sz="4" w:space="0"/>
            </w:tcBorders>
            <w:vAlign w:val="center"/>
          </w:tcPr>
          <w:p w14:paraId="22273FBE">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14:paraId="64130CA3">
            <w:pPr>
              <w:rPr>
                <w:rFonts w:ascii="宋体" w:hAnsi="宋体" w:cs="宋体"/>
                <w:sz w:val="24"/>
                <w:szCs w:val="24"/>
              </w:rPr>
            </w:pPr>
            <w:r>
              <w:rPr>
                <w:rFonts w:hint="eastAsia" w:ascii="宋体" w:hAnsi="宋体" w:cs="宋体"/>
                <w:sz w:val="24"/>
                <w:szCs w:val="24"/>
              </w:rPr>
              <w:t>不允许</w:t>
            </w:r>
          </w:p>
        </w:tc>
      </w:tr>
      <w:tr w14:paraId="139F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D75BB8">
            <w:pPr>
              <w:jc w:val="center"/>
              <w:rPr>
                <w:rFonts w:ascii="宋体" w:hAnsi="宋体" w:cs="宋体"/>
                <w:sz w:val="24"/>
                <w:szCs w:val="24"/>
              </w:rPr>
            </w:pPr>
            <w:r>
              <w:rPr>
                <w:rFonts w:hint="eastAsia" w:ascii="宋体" w:hAnsi="宋体" w:cs="宋体"/>
                <w:sz w:val="24"/>
                <w:szCs w:val="24"/>
              </w:rPr>
              <w:t>2.1</w:t>
            </w:r>
          </w:p>
        </w:tc>
        <w:tc>
          <w:tcPr>
            <w:tcW w:w="1985" w:type="dxa"/>
            <w:gridSpan w:val="2"/>
            <w:tcBorders>
              <w:top w:val="single" w:color="auto" w:sz="4" w:space="0"/>
              <w:left w:val="nil"/>
              <w:bottom w:val="single" w:color="auto" w:sz="4" w:space="0"/>
              <w:right w:val="single" w:color="auto" w:sz="4" w:space="0"/>
            </w:tcBorders>
            <w:vAlign w:val="center"/>
          </w:tcPr>
          <w:p w14:paraId="1C9C4A67">
            <w:pPr>
              <w:jc w:val="center"/>
              <w:rPr>
                <w:rFonts w:ascii="宋体" w:hAnsi="宋体" w:cs="宋体"/>
                <w:sz w:val="24"/>
                <w:szCs w:val="24"/>
              </w:rPr>
            </w:pPr>
            <w:r>
              <w:rPr>
                <w:rFonts w:hint="eastAsia" w:ascii="宋体" w:hAnsi="宋体" w:cs="宋体"/>
                <w:sz w:val="24"/>
                <w:szCs w:val="24"/>
              </w:rPr>
              <w:t>构成磋商文件的其他材料</w:t>
            </w:r>
          </w:p>
        </w:tc>
        <w:tc>
          <w:tcPr>
            <w:tcW w:w="6661" w:type="dxa"/>
            <w:tcBorders>
              <w:top w:val="single" w:color="auto" w:sz="4" w:space="0"/>
              <w:left w:val="nil"/>
              <w:bottom w:val="single" w:color="auto" w:sz="4" w:space="0"/>
              <w:right w:val="single" w:color="auto" w:sz="4" w:space="0"/>
            </w:tcBorders>
            <w:vAlign w:val="center"/>
          </w:tcPr>
          <w:p w14:paraId="51797B6B">
            <w:pPr>
              <w:spacing w:line="400" w:lineRule="exact"/>
              <w:rPr>
                <w:rFonts w:ascii="宋体" w:hAnsi="宋体" w:cs="宋体"/>
                <w:sz w:val="24"/>
                <w:szCs w:val="24"/>
              </w:rPr>
            </w:pPr>
            <w:r>
              <w:rPr>
                <w:rFonts w:hint="eastAsia" w:ascii="宋体" w:hAnsi="宋体" w:cs="宋体"/>
                <w:sz w:val="24"/>
                <w:szCs w:val="24"/>
              </w:rPr>
              <w:t>对竞争性磋商文件所作的澄清（含答疑）、修改，补充构成竞争性磋商文件的组成部分。</w:t>
            </w:r>
          </w:p>
        </w:tc>
      </w:tr>
      <w:tr w14:paraId="099D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7AF8532">
            <w:pPr>
              <w:jc w:val="center"/>
              <w:rPr>
                <w:rFonts w:ascii="宋体" w:hAnsi="宋体" w:cs="宋体"/>
                <w:sz w:val="24"/>
                <w:szCs w:val="24"/>
              </w:rPr>
            </w:pPr>
            <w:r>
              <w:rPr>
                <w:rFonts w:hint="eastAsia" w:ascii="宋体" w:hAnsi="宋体" w:cs="宋体"/>
                <w:sz w:val="24"/>
                <w:szCs w:val="24"/>
              </w:rPr>
              <w:t>2.2.1</w:t>
            </w:r>
          </w:p>
        </w:tc>
        <w:tc>
          <w:tcPr>
            <w:tcW w:w="1985" w:type="dxa"/>
            <w:gridSpan w:val="2"/>
            <w:tcBorders>
              <w:top w:val="single" w:color="auto" w:sz="4" w:space="0"/>
              <w:left w:val="nil"/>
              <w:bottom w:val="single" w:color="auto" w:sz="4" w:space="0"/>
              <w:right w:val="single" w:color="auto" w:sz="4" w:space="0"/>
            </w:tcBorders>
            <w:vAlign w:val="center"/>
          </w:tcPr>
          <w:p w14:paraId="33B0B863">
            <w:pPr>
              <w:jc w:val="center"/>
              <w:rPr>
                <w:rFonts w:ascii="宋体" w:hAnsi="宋体" w:cs="宋体"/>
                <w:sz w:val="24"/>
                <w:szCs w:val="24"/>
              </w:rPr>
            </w:pPr>
            <w:r>
              <w:rPr>
                <w:rFonts w:hint="eastAsia" w:ascii="宋体" w:hAnsi="宋体" w:cs="宋体"/>
                <w:sz w:val="24"/>
                <w:szCs w:val="24"/>
              </w:rPr>
              <w:t>供应商要求澄清磋商文件的截止时间</w:t>
            </w:r>
          </w:p>
        </w:tc>
        <w:tc>
          <w:tcPr>
            <w:tcW w:w="6661" w:type="dxa"/>
            <w:tcBorders>
              <w:top w:val="single" w:color="auto" w:sz="4" w:space="0"/>
              <w:left w:val="nil"/>
              <w:bottom w:val="single" w:color="auto" w:sz="4" w:space="0"/>
              <w:right w:val="single" w:color="auto" w:sz="4" w:space="0"/>
            </w:tcBorders>
            <w:vAlign w:val="center"/>
          </w:tcPr>
          <w:p w14:paraId="6512A63D">
            <w:pPr>
              <w:rPr>
                <w:rFonts w:ascii="宋体" w:hAnsi="宋体" w:cs="宋体"/>
                <w:sz w:val="24"/>
                <w:szCs w:val="24"/>
              </w:rPr>
            </w:pPr>
            <w:r>
              <w:rPr>
                <w:rFonts w:hint="eastAsia" w:ascii="宋体" w:hAnsi="宋体" w:cs="宋体"/>
                <w:sz w:val="24"/>
                <w:szCs w:val="24"/>
              </w:rPr>
              <w:t>响应文件递交截止时间5日前</w:t>
            </w:r>
          </w:p>
        </w:tc>
      </w:tr>
      <w:tr w14:paraId="0A47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0790C6F9">
            <w:pPr>
              <w:jc w:val="center"/>
              <w:rPr>
                <w:rFonts w:ascii="宋体" w:hAnsi="宋体" w:cs="宋体"/>
                <w:sz w:val="24"/>
                <w:szCs w:val="24"/>
              </w:rPr>
            </w:pPr>
            <w:r>
              <w:rPr>
                <w:rFonts w:hint="eastAsia" w:ascii="宋体" w:hAnsi="宋体" w:cs="宋体"/>
                <w:sz w:val="24"/>
                <w:szCs w:val="24"/>
              </w:rPr>
              <w:t>2.2.2</w:t>
            </w:r>
          </w:p>
        </w:tc>
        <w:tc>
          <w:tcPr>
            <w:tcW w:w="1985" w:type="dxa"/>
            <w:gridSpan w:val="2"/>
            <w:tcBorders>
              <w:top w:val="single" w:color="auto" w:sz="4" w:space="0"/>
              <w:left w:val="nil"/>
              <w:bottom w:val="single" w:color="auto" w:sz="4" w:space="0"/>
              <w:right w:val="single" w:color="auto" w:sz="4" w:space="0"/>
            </w:tcBorders>
            <w:vAlign w:val="center"/>
          </w:tcPr>
          <w:p w14:paraId="374B5013">
            <w:pPr>
              <w:ind w:left="240" w:hanging="240" w:hangingChars="100"/>
              <w:jc w:val="center"/>
              <w:rPr>
                <w:rFonts w:ascii="宋体" w:hAnsi="宋体" w:cs="宋体"/>
                <w:sz w:val="24"/>
                <w:szCs w:val="24"/>
              </w:rPr>
            </w:pPr>
            <w:r>
              <w:rPr>
                <w:rFonts w:hint="eastAsia" w:ascii="宋体" w:hAnsi="宋体" w:cs="宋体"/>
                <w:sz w:val="24"/>
                <w:szCs w:val="24"/>
              </w:rPr>
              <w:t>磋商响应文件递</w:t>
            </w:r>
          </w:p>
          <w:p w14:paraId="55EF0E86">
            <w:pPr>
              <w:ind w:left="240" w:hanging="240" w:hangingChars="100"/>
              <w:jc w:val="center"/>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交截止时间</w:t>
            </w:r>
          </w:p>
        </w:tc>
        <w:tc>
          <w:tcPr>
            <w:tcW w:w="6661" w:type="dxa"/>
            <w:tcBorders>
              <w:top w:val="single" w:color="auto" w:sz="4" w:space="0"/>
              <w:left w:val="nil"/>
              <w:bottom w:val="single" w:color="auto" w:sz="4" w:space="0"/>
              <w:right w:val="single" w:color="auto" w:sz="4" w:space="0"/>
            </w:tcBorders>
            <w:vAlign w:val="center"/>
          </w:tcPr>
          <w:p w14:paraId="10E9BBBB">
            <w:pPr>
              <w:rPr>
                <w:rFonts w:hint="eastAsia" w:ascii="宋体" w:hAnsi="宋体" w:eastAsia="宋体" w:cs="宋体"/>
                <w:color w:val="FF0000"/>
                <w:sz w:val="24"/>
                <w:szCs w:val="24"/>
                <w:lang w:eastAsia="zh-CN"/>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日08时</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lang w:eastAsia="zh-CN"/>
              </w:rPr>
              <w:t>分</w:t>
            </w:r>
          </w:p>
        </w:tc>
      </w:tr>
      <w:tr w14:paraId="702B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324B76">
            <w:pPr>
              <w:jc w:val="center"/>
              <w:rPr>
                <w:rFonts w:ascii="宋体" w:hAnsi="宋体" w:cs="宋体"/>
                <w:sz w:val="24"/>
                <w:szCs w:val="24"/>
              </w:rPr>
            </w:pPr>
            <w:r>
              <w:rPr>
                <w:rFonts w:hint="eastAsia" w:ascii="宋体" w:hAnsi="宋体" w:cs="宋体"/>
                <w:sz w:val="24"/>
                <w:szCs w:val="24"/>
              </w:rPr>
              <w:t>2.2.3</w:t>
            </w:r>
          </w:p>
        </w:tc>
        <w:tc>
          <w:tcPr>
            <w:tcW w:w="1985" w:type="dxa"/>
            <w:gridSpan w:val="2"/>
            <w:tcBorders>
              <w:top w:val="single" w:color="auto" w:sz="4" w:space="0"/>
              <w:left w:val="nil"/>
              <w:bottom w:val="single" w:color="auto" w:sz="4" w:space="0"/>
              <w:right w:val="single" w:color="auto" w:sz="4" w:space="0"/>
            </w:tcBorders>
            <w:vAlign w:val="center"/>
          </w:tcPr>
          <w:p w14:paraId="4BB8E480">
            <w:pPr>
              <w:jc w:val="center"/>
              <w:rPr>
                <w:rFonts w:ascii="宋体" w:hAnsi="宋体" w:cs="宋体"/>
                <w:sz w:val="24"/>
                <w:szCs w:val="24"/>
              </w:rPr>
            </w:pPr>
            <w:r>
              <w:rPr>
                <w:rFonts w:hint="eastAsia" w:ascii="宋体" w:hAnsi="宋体" w:cs="宋体"/>
                <w:sz w:val="24"/>
                <w:szCs w:val="24"/>
              </w:rPr>
              <w:t>供应商确认收到磋商文件澄清的时间</w:t>
            </w:r>
          </w:p>
        </w:tc>
        <w:tc>
          <w:tcPr>
            <w:tcW w:w="6661" w:type="dxa"/>
            <w:tcBorders>
              <w:top w:val="single" w:color="auto" w:sz="4" w:space="0"/>
              <w:left w:val="nil"/>
              <w:bottom w:val="single" w:color="auto" w:sz="4" w:space="0"/>
              <w:right w:val="single" w:color="auto" w:sz="4" w:space="0"/>
            </w:tcBorders>
            <w:vAlign w:val="center"/>
          </w:tcPr>
          <w:p w14:paraId="4B0E76A6">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6F5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FBA0E2C">
            <w:pPr>
              <w:jc w:val="center"/>
              <w:rPr>
                <w:rFonts w:ascii="宋体" w:hAnsi="宋体" w:cs="宋体"/>
                <w:sz w:val="24"/>
                <w:szCs w:val="24"/>
              </w:rPr>
            </w:pPr>
            <w:r>
              <w:rPr>
                <w:rFonts w:hint="eastAsia" w:ascii="宋体" w:hAnsi="宋体" w:cs="宋体"/>
                <w:sz w:val="24"/>
                <w:szCs w:val="24"/>
              </w:rPr>
              <w:t>2.3.2</w:t>
            </w:r>
          </w:p>
        </w:tc>
        <w:tc>
          <w:tcPr>
            <w:tcW w:w="1985" w:type="dxa"/>
            <w:gridSpan w:val="2"/>
            <w:tcBorders>
              <w:top w:val="single" w:color="auto" w:sz="4" w:space="0"/>
              <w:left w:val="nil"/>
              <w:bottom w:val="single" w:color="auto" w:sz="4" w:space="0"/>
              <w:right w:val="single" w:color="auto" w:sz="4" w:space="0"/>
            </w:tcBorders>
            <w:vAlign w:val="center"/>
          </w:tcPr>
          <w:p w14:paraId="7F0BBA68">
            <w:pPr>
              <w:jc w:val="center"/>
              <w:rPr>
                <w:rFonts w:ascii="宋体" w:hAnsi="宋体" w:cs="宋体"/>
                <w:sz w:val="24"/>
                <w:szCs w:val="24"/>
              </w:rPr>
            </w:pPr>
            <w:r>
              <w:rPr>
                <w:rFonts w:hint="eastAsia" w:ascii="宋体" w:hAnsi="宋体" w:cs="宋体"/>
                <w:sz w:val="24"/>
                <w:szCs w:val="24"/>
              </w:rPr>
              <w:t>供应商确认收到磋商文件修改的时间</w:t>
            </w:r>
          </w:p>
        </w:tc>
        <w:tc>
          <w:tcPr>
            <w:tcW w:w="6661" w:type="dxa"/>
            <w:tcBorders>
              <w:top w:val="single" w:color="auto" w:sz="4" w:space="0"/>
              <w:left w:val="nil"/>
              <w:bottom w:val="single" w:color="auto" w:sz="4" w:space="0"/>
              <w:right w:val="single" w:color="auto" w:sz="4" w:space="0"/>
            </w:tcBorders>
            <w:vAlign w:val="center"/>
          </w:tcPr>
          <w:p w14:paraId="21C26276">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61CD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1DAC3A">
            <w:pPr>
              <w:jc w:val="center"/>
              <w:rPr>
                <w:rFonts w:ascii="宋体" w:hAnsi="宋体" w:cs="宋体"/>
                <w:sz w:val="24"/>
                <w:szCs w:val="24"/>
              </w:rPr>
            </w:pPr>
            <w:r>
              <w:rPr>
                <w:rFonts w:hint="eastAsia" w:ascii="宋体" w:hAnsi="宋体" w:cs="宋体"/>
                <w:sz w:val="24"/>
                <w:szCs w:val="24"/>
              </w:rPr>
              <w:t>3.1.1</w:t>
            </w:r>
          </w:p>
        </w:tc>
        <w:tc>
          <w:tcPr>
            <w:tcW w:w="1985" w:type="dxa"/>
            <w:gridSpan w:val="2"/>
            <w:tcBorders>
              <w:top w:val="single" w:color="auto" w:sz="4" w:space="0"/>
              <w:left w:val="nil"/>
              <w:bottom w:val="single" w:color="auto" w:sz="4" w:space="0"/>
              <w:right w:val="single" w:color="auto" w:sz="4" w:space="0"/>
            </w:tcBorders>
            <w:vAlign w:val="center"/>
          </w:tcPr>
          <w:p w14:paraId="111CBFAE">
            <w:pPr>
              <w:jc w:val="center"/>
              <w:rPr>
                <w:rFonts w:ascii="宋体" w:hAnsi="宋体" w:cs="宋体"/>
                <w:sz w:val="24"/>
                <w:szCs w:val="24"/>
              </w:rPr>
            </w:pPr>
            <w:r>
              <w:rPr>
                <w:rFonts w:hint="eastAsia" w:ascii="宋体" w:hAnsi="宋体" w:cs="宋体"/>
                <w:sz w:val="24"/>
                <w:szCs w:val="24"/>
              </w:rPr>
              <w:t>构成磋商响应文件的其他材料</w:t>
            </w:r>
          </w:p>
        </w:tc>
        <w:tc>
          <w:tcPr>
            <w:tcW w:w="6661" w:type="dxa"/>
            <w:tcBorders>
              <w:top w:val="single" w:color="auto" w:sz="4" w:space="0"/>
              <w:left w:val="nil"/>
              <w:bottom w:val="single" w:color="auto" w:sz="4" w:space="0"/>
              <w:right w:val="single" w:color="auto" w:sz="4" w:space="0"/>
            </w:tcBorders>
            <w:vAlign w:val="center"/>
          </w:tcPr>
          <w:p w14:paraId="3594477B">
            <w:pPr>
              <w:spacing w:line="288" w:lineRule="auto"/>
              <w:rPr>
                <w:rFonts w:ascii="宋体" w:hAnsi="宋体" w:cs="宋体"/>
                <w:b/>
                <w:bCs/>
                <w:sz w:val="24"/>
                <w:szCs w:val="24"/>
              </w:rPr>
            </w:pPr>
            <w:r>
              <w:rPr>
                <w:rFonts w:hint="eastAsia" w:ascii="宋体" w:hAnsi="宋体" w:cs="宋体"/>
                <w:sz w:val="24"/>
                <w:szCs w:val="24"/>
              </w:rPr>
              <w:t>供应商认为与本磋商可能有关的其他资料</w:t>
            </w:r>
          </w:p>
        </w:tc>
      </w:tr>
      <w:tr w14:paraId="22D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15041F">
            <w:pPr>
              <w:jc w:val="center"/>
              <w:rPr>
                <w:rFonts w:ascii="宋体" w:hAnsi="宋体" w:cs="宋体"/>
                <w:sz w:val="24"/>
                <w:szCs w:val="24"/>
              </w:rPr>
            </w:pPr>
            <w:r>
              <w:rPr>
                <w:rFonts w:hint="eastAsia" w:ascii="宋体" w:hAnsi="宋体" w:cs="宋体"/>
                <w:sz w:val="24"/>
                <w:szCs w:val="24"/>
              </w:rPr>
              <w:t>3.3.1</w:t>
            </w:r>
          </w:p>
        </w:tc>
        <w:tc>
          <w:tcPr>
            <w:tcW w:w="1985" w:type="dxa"/>
            <w:gridSpan w:val="2"/>
            <w:tcBorders>
              <w:top w:val="single" w:color="auto" w:sz="4" w:space="0"/>
              <w:left w:val="nil"/>
              <w:bottom w:val="single" w:color="auto" w:sz="4" w:space="0"/>
              <w:right w:val="single" w:color="auto" w:sz="4" w:space="0"/>
            </w:tcBorders>
            <w:vAlign w:val="center"/>
          </w:tcPr>
          <w:p w14:paraId="06B6FF2E">
            <w:pPr>
              <w:jc w:val="center"/>
              <w:rPr>
                <w:rFonts w:ascii="宋体" w:hAnsi="宋体" w:cs="宋体"/>
                <w:sz w:val="24"/>
                <w:szCs w:val="24"/>
              </w:rPr>
            </w:pPr>
            <w:r>
              <w:rPr>
                <w:rFonts w:hint="eastAsia" w:ascii="宋体" w:hAnsi="宋体" w:cs="宋体"/>
                <w:sz w:val="24"/>
                <w:szCs w:val="24"/>
              </w:rPr>
              <w:t>磋商有效期</w:t>
            </w:r>
          </w:p>
        </w:tc>
        <w:tc>
          <w:tcPr>
            <w:tcW w:w="6661" w:type="dxa"/>
            <w:tcBorders>
              <w:top w:val="single" w:color="auto" w:sz="4" w:space="0"/>
              <w:left w:val="nil"/>
              <w:bottom w:val="single" w:color="auto" w:sz="4" w:space="0"/>
              <w:right w:val="single" w:color="auto" w:sz="4" w:space="0"/>
            </w:tcBorders>
            <w:vAlign w:val="center"/>
          </w:tcPr>
          <w:p w14:paraId="06CF6774">
            <w:pPr>
              <w:rPr>
                <w:rFonts w:ascii="宋体" w:hAnsi="宋体" w:cs="宋体"/>
                <w:sz w:val="24"/>
                <w:szCs w:val="24"/>
              </w:rPr>
            </w:pPr>
            <w:r>
              <w:rPr>
                <w:rFonts w:hint="eastAsia" w:ascii="宋体" w:hAnsi="宋体" w:cs="宋体"/>
                <w:sz w:val="24"/>
                <w:szCs w:val="24"/>
              </w:rPr>
              <w:t>自竞争性磋商响应文件递交截止之日起60日历天</w:t>
            </w:r>
          </w:p>
        </w:tc>
      </w:tr>
      <w:tr w14:paraId="11B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4F457B6">
            <w:pPr>
              <w:jc w:val="center"/>
              <w:rPr>
                <w:rFonts w:ascii="宋体" w:hAnsi="宋体" w:cs="宋体"/>
                <w:sz w:val="24"/>
                <w:szCs w:val="24"/>
              </w:rPr>
            </w:pPr>
            <w:r>
              <w:rPr>
                <w:rFonts w:hint="eastAsia" w:ascii="宋体" w:hAnsi="宋体" w:cs="宋体"/>
                <w:sz w:val="24"/>
                <w:szCs w:val="24"/>
              </w:rPr>
              <w:t>3.5.3</w:t>
            </w:r>
          </w:p>
        </w:tc>
        <w:tc>
          <w:tcPr>
            <w:tcW w:w="1985" w:type="dxa"/>
            <w:gridSpan w:val="2"/>
            <w:tcBorders>
              <w:top w:val="single" w:color="auto" w:sz="4" w:space="0"/>
              <w:left w:val="nil"/>
              <w:bottom w:val="single" w:color="auto" w:sz="4" w:space="0"/>
              <w:right w:val="single" w:color="auto" w:sz="4" w:space="0"/>
            </w:tcBorders>
            <w:vAlign w:val="center"/>
          </w:tcPr>
          <w:p w14:paraId="207E5269">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14:paraId="3C88DE23">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月</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615C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3C294F0">
            <w:pPr>
              <w:jc w:val="center"/>
              <w:rPr>
                <w:rFonts w:ascii="宋体" w:hAnsi="宋体" w:cs="宋体"/>
                <w:sz w:val="24"/>
                <w:szCs w:val="24"/>
              </w:rPr>
            </w:pPr>
            <w:r>
              <w:rPr>
                <w:rFonts w:hint="eastAsia" w:ascii="宋体" w:hAnsi="宋体" w:cs="宋体"/>
                <w:sz w:val="24"/>
                <w:szCs w:val="24"/>
              </w:rPr>
              <w:t>3.5.5</w:t>
            </w:r>
          </w:p>
        </w:tc>
        <w:tc>
          <w:tcPr>
            <w:tcW w:w="1985" w:type="dxa"/>
            <w:gridSpan w:val="2"/>
            <w:tcBorders>
              <w:top w:val="single" w:color="auto" w:sz="4" w:space="0"/>
              <w:left w:val="nil"/>
              <w:bottom w:val="single" w:color="auto" w:sz="4" w:space="0"/>
              <w:right w:val="single" w:color="auto" w:sz="4" w:space="0"/>
            </w:tcBorders>
            <w:vAlign w:val="center"/>
          </w:tcPr>
          <w:p w14:paraId="14D09F2B">
            <w:pPr>
              <w:jc w:val="center"/>
              <w:rPr>
                <w:rFonts w:ascii="宋体" w:hAnsi="宋体" w:cs="宋体"/>
                <w:sz w:val="24"/>
                <w:szCs w:val="24"/>
              </w:rPr>
            </w:pPr>
            <w:r>
              <w:rPr>
                <w:rFonts w:hint="eastAsia" w:ascii="宋体" w:hAnsi="宋体" w:cs="宋体"/>
                <w:sz w:val="24"/>
                <w:szCs w:val="24"/>
              </w:rPr>
              <w:t>近年发生的诉讼及仲裁情况的年份要求</w:t>
            </w:r>
          </w:p>
        </w:tc>
        <w:tc>
          <w:tcPr>
            <w:tcW w:w="6661" w:type="dxa"/>
            <w:tcBorders>
              <w:top w:val="single" w:color="auto" w:sz="4" w:space="0"/>
              <w:left w:val="nil"/>
              <w:bottom w:val="single" w:color="auto" w:sz="4" w:space="0"/>
              <w:right w:val="single" w:color="auto" w:sz="4" w:space="0"/>
            </w:tcBorders>
            <w:vAlign w:val="center"/>
          </w:tcPr>
          <w:p w14:paraId="31832332">
            <w:pPr>
              <w:spacing w:line="288" w:lineRule="auto"/>
              <w:rPr>
                <w:rFonts w:ascii="宋体" w:hAnsi="宋体" w:cs="宋体"/>
                <w:color w:val="auto"/>
                <w:sz w:val="24"/>
                <w:szCs w:val="24"/>
                <w:u w:val="single"/>
              </w:rPr>
            </w:pPr>
            <w:r>
              <w:rPr>
                <w:rFonts w:hint="eastAsia" w:ascii="宋体" w:hAnsi="宋体" w:cs="宋体"/>
                <w:color w:val="auto"/>
                <w:sz w:val="24"/>
                <w:szCs w:val="24"/>
                <w:u w:val="single"/>
              </w:rPr>
              <w:t>近</w:t>
            </w:r>
            <w:r>
              <w:rPr>
                <w:rFonts w:hint="eastAsia" w:ascii="宋体" w:hAnsi="宋体" w:cs="宋体"/>
                <w:color w:val="auto"/>
                <w:sz w:val="24"/>
                <w:szCs w:val="24"/>
              </w:rPr>
              <w:t>年，指</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1</w:t>
            </w:r>
            <w:r>
              <w:rPr>
                <w:rFonts w:hint="eastAsia" w:ascii="宋体" w:hAnsi="宋体" w:cs="宋体"/>
                <w:color w:val="auto"/>
                <w:sz w:val="24"/>
                <w:szCs w:val="24"/>
              </w:rPr>
              <w:t>月</w:t>
            </w:r>
            <w:r>
              <w:rPr>
                <w:rFonts w:hint="eastAsia" w:ascii="宋体" w:hAnsi="宋体" w:cs="宋体"/>
                <w:color w:val="auto"/>
                <w:sz w:val="24"/>
                <w:szCs w:val="24"/>
                <w:u w:val="single"/>
              </w:rPr>
              <w:t>1</w:t>
            </w:r>
            <w:r>
              <w:rPr>
                <w:rFonts w:hint="eastAsia" w:ascii="宋体" w:hAnsi="宋体" w:cs="宋体"/>
                <w:color w:val="auto"/>
                <w:sz w:val="24"/>
                <w:szCs w:val="24"/>
              </w:rPr>
              <w:t>日以来</w:t>
            </w:r>
          </w:p>
        </w:tc>
      </w:tr>
      <w:tr w14:paraId="2587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F63121">
            <w:pPr>
              <w:jc w:val="center"/>
              <w:rPr>
                <w:rFonts w:ascii="宋体" w:hAnsi="宋体" w:cs="宋体"/>
                <w:sz w:val="24"/>
                <w:szCs w:val="24"/>
              </w:rPr>
            </w:pPr>
            <w:r>
              <w:rPr>
                <w:rFonts w:hint="eastAsia" w:ascii="宋体" w:hAnsi="宋体" w:cs="宋体"/>
                <w:sz w:val="24"/>
                <w:szCs w:val="24"/>
              </w:rPr>
              <w:t>3.6</w:t>
            </w:r>
          </w:p>
        </w:tc>
        <w:tc>
          <w:tcPr>
            <w:tcW w:w="1985" w:type="dxa"/>
            <w:gridSpan w:val="2"/>
            <w:tcBorders>
              <w:top w:val="single" w:color="auto" w:sz="4" w:space="0"/>
              <w:left w:val="nil"/>
              <w:bottom w:val="single" w:color="auto" w:sz="4" w:space="0"/>
              <w:right w:val="single" w:color="auto" w:sz="4" w:space="0"/>
            </w:tcBorders>
            <w:vAlign w:val="center"/>
          </w:tcPr>
          <w:p w14:paraId="1838DB3F">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14:paraId="68916E88">
            <w:pPr>
              <w:spacing w:line="288" w:lineRule="auto"/>
              <w:rPr>
                <w:rFonts w:ascii="宋体" w:hAnsi="宋体" w:cs="宋体"/>
                <w:sz w:val="24"/>
                <w:szCs w:val="24"/>
              </w:rPr>
            </w:pPr>
            <w:r>
              <w:rPr>
                <w:rFonts w:hint="eastAsia" w:ascii="宋体" w:hAnsi="宋体" w:cs="宋体"/>
                <w:sz w:val="24"/>
                <w:szCs w:val="24"/>
              </w:rPr>
              <w:t>不允许</w:t>
            </w:r>
          </w:p>
        </w:tc>
      </w:tr>
      <w:tr w14:paraId="01B2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33789C7">
            <w:pPr>
              <w:jc w:val="center"/>
              <w:rPr>
                <w:rFonts w:ascii="宋体" w:hAnsi="宋体" w:cs="宋体"/>
                <w:sz w:val="24"/>
                <w:szCs w:val="24"/>
              </w:rPr>
            </w:pPr>
            <w:r>
              <w:rPr>
                <w:rFonts w:hint="eastAsia" w:ascii="宋体" w:hAnsi="宋体" w:cs="宋体"/>
                <w:sz w:val="24"/>
                <w:szCs w:val="24"/>
              </w:rPr>
              <w:t>3.7.1</w:t>
            </w:r>
          </w:p>
        </w:tc>
        <w:tc>
          <w:tcPr>
            <w:tcW w:w="1985" w:type="dxa"/>
            <w:gridSpan w:val="2"/>
            <w:tcBorders>
              <w:top w:val="single" w:color="auto" w:sz="4" w:space="0"/>
              <w:left w:val="nil"/>
              <w:bottom w:val="single" w:color="auto" w:sz="4" w:space="0"/>
              <w:right w:val="single" w:color="auto" w:sz="4" w:space="0"/>
            </w:tcBorders>
            <w:vAlign w:val="center"/>
          </w:tcPr>
          <w:p w14:paraId="26848A4E">
            <w:pPr>
              <w:jc w:val="center"/>
              <w:rPr>
                <w:rFonts w:ascii="宋体" w:hAnsi="宋体" w:cs="宋体"/>
                <w:sz w:val="24"/>
                <w:szCs w:val="24"/>
              </w:rPr>
            </w:pPr>
            <w:r>
              <w:rPr>
                <w:rFonts w:hint="eastAsia" w:ascii="宋体" w:hAnsi="宋体" w:cs="宋体"/>
                <w:sz w:val="24"/>
                <w:szCs w:val="24"/>
              </w:rPr>
              <w:t>磋商响应文件的递交</w:t>
            </w:r>
          </w:p>
        </w:tc>
        <w:tc>
          <w:tcPr>
            <w:tcW w:w="6661" w:type="dxa"/>
            <w:tcBorders>
              <w:top w:val="single" w:color="auto" w:sz="4" w:space="0"/>
              <w:left w:val="nil"/>
              <w:bottom w:val="single" w:color="auto" w:sz="4" w:space="0"/>
              <w:right w:val="single" w:color="auto" w:sz="4" w:space="0"/>
            </w:tcBorders>
            <w:vAlign w:val="center"/>
          </w:tcPr>
          <w:p w14:paraId="7F1F5BF3">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w:t>
            </w:r>
            <w:r>
              <w:rPr>
                <w:rFonts w:hint="eastAsia" w:ascii="宋体" w:hAnsi="宋体" w:cs="宋体"/>
                <w:sz w:val="24"/>
                <w:szCs w:val="24"/>
              </w:rPr>
              <w:t>磋商</w:t>
            </w:r>
            <w:r>
              <w:rPr>
                <w:rFonts w:hint="eastAsia" w:ascii="新宋体" w:hAnsi="新宋体" w:eastAsia="新宋体"/>
                <w:color w:val="000000"/>
                <w:sz w:val="24"/>
                <w:szCs w:val="24"/>
                <w:shd w:val="clear" w:color="auto" w:fill="FFFFFF"/>
              </w:rPr>
              <w:t>文件和三门峡市公共资源交易中心官网业务办理指南。</w:t>
            </w:r>
            <w:r>
              <w:rPr>
                <w:rFonts w:hint="eastAsia" w:ascii="宋体" w:hAnsi="宋体" w:cs="宋体"/>
                <w:sz w:val="24"/>
                <w:szCs w:val="24"/>
              </w:rPr>
              <w:t>用CA在电子平台上传电子磋商文件，</w:t>
            </w:r>
            <w:r>
              <w:rPr>
                <w:rFonts w:hint="eastAsia" w:ascii="宋体" w:hAnsi="宋体"/>
                <w:color w:val="000000"/>
                <w:sz w:val="24"/>
              </w:rPr>
              <w:t>在</w:t>
            </w:r>
            <w:r>
              <w:rPr>
                <w:rFonts w:hint="eastAsia" w:ascii="宋体" w:hAnsi="宋体" w:cs="宋体"/>
                <w:sz w:val="24"/>
                <w:szCs w:val="24"/>
              </w:rPr>
              <w:t>磋商</w:t>
            </w:r>
            <w:r>
              <w:rPr>
                <w:rFonts w:hint="eastAsia" w:ascii="宋体" w:hAnsi="宋体"/>
                <w:color w:val="000000"/>
                <w:sz w:val="24"/>
              </w:rPr>
              <w:t>截止时间前成功上传至三门峡市公共资源电子化交易系统。</w:t>
            </w:r>
          </w:p>
        </w:tc>
      </w:tr>
      <w:tr w14:paraId="7E68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993" w:type="dxa"/>
            <w:tcBorders>
              <w:top w:val="single" w:color="auto" w:sz="4" w:space="0"/>
              <w:left w:val="single" w:color="auto" w:sz="4" w:space="0"/>
              <w:bottom w:val="single" w:color="auto" w:sz="4" w:space="0"/>
              <w:right w:val="single" w:color="auto" w:sz="4" w:space="0"/>
            </w:tcBorders>
            <w:vAlign w:val="center"/>
          </w:tcPr>
          <w:p w14:paraId="64060554">
            <w:pPr>
              <w:jc w:val="center"/>
              <w:rPr>
                <w:rFonts w:ascii="宋体" w:hAnsi="宋体" w:cs="宋体"/>
                <w:sz w:val="24"/>
                <w:szCs w:val="24"/>
              </w:rPr>
            </w:pPr>
            <w:r>
              <w:rPr>
                <w:rFonts w:hint="eastAsia" w:ascii="宋体" w:hAnsi="宋体" w:cs="宋体"/>
                <w:sz w:val="24"/>
                <w:szCs w:val="24"/>
              </w:rPr>
              <w:t>3.7.2</w:t>
            </w:r>
          </w:p>
        </w:tc>
        <w:tc>
          <w:tcPr>
            <w:tcW w:w="1985" w:type="dxa"/>
            <w:gridSpan w:val="2"/>
            <w:tcBorders>
              <w:top w:val="single" w:color="auto" w:sz="4" w:space="0"/>
              <w:left w:val="nil"/>
              <w:bottom w:val="single" w:color="auto" w:sz="4" w:space="0"/>
              <w:right w:val="single" w:color="auto" w:sz="4" w:space="0"/>
            </w:tcBorders>
            <w:vAlign w:val="center"/>
          </w:tcPr>
          <w:p w14:paraId="4B1BD5BB">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14:paraId="046318E3">
            <w:pPr>
              <w:spacing w:line="400" w:lineRule="exact"/>
              <w:rPr>
                <w:rFonts w:ascii="宋体" w:hAnsi="宋体" w:cs="宋体"/>
                <w:sz w:val="24"/>
                <w:szCs w:val="24"/>
              </w:rPr>
            </w:pPr>
            <w:r>
              <w:rPr>
                <w:rFonts w:hint="eastAsia" w:ascii="宋体" w:hAnsi="宋体" w:cs="宋体"/>
                <w:sz w:val="24"/>
                <w:szCs w:val="24"/>
              </w:rPr>
              <w:t>电子化投标文件的签章：</w:t>
            </w:r>
          </w:p>
          <w:p w14:paraId="0048871C">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432EF6BC">
            <w:pPr>
              <w:spacing w:line="400" w:lineRule="exact"/>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sz w:val="24"/>
              </w:rPr>
              <w:t>（</w:t>
            </w:r>
            <w:r>
              <w:rPr>
                <w:rFonts w:hint="eastAsia" w:ascii="宋体" w:hAnsi="宋体" w:cs="宋体"/>
                <w:sz w:val="24"/>
                <w:szCs w:val="24"/>
              </w:rPr>
              <w:t>电子化投标文件工具请点击：https://download.bqpoint.com/download/downloaddetail.html?SourceFrom=Ztb&amp;ZtbSoftXiaQuCode=1506&amp;ZtbSoftType=tballinclusive进行下载。</w:t>
            </w:r>
            <w:r>
              <w:rPr>
                <w:rFonts w:hint="eastAsia" w:ascii="宋体" w:hAnsi="宋体"/>
                <w:sz w:val="24"/>
              </w:rPr>
              <w:t>）</w:t>
            </w:r>
          </w:p>
        </w:tc>
      </w:tr>
      <w:tr w14:paraId="7E3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B0FBB2C">
            <w:pPr>
              <w:jc w:val="center"/>
              <w:rPr>
                <w:rFonts w:ascii="宋体" w:hAnsi="宋体" w:cs="宋体"/>
                <w:sz w:val="24"/>
                <w:szCs w:val="24"/>
              </w:rPr>
            </w:pPr>
            <w:r>
              <w:rPr>
                <w:rFonts w:hint="eastAsia" w:ascii="宋体" w:hAnsi="宋体" w:cs="宋体"/>
                <w:sz w:val="24"/>
                <w:szCs w:val="24"/>
              </w:rPr>
              <w:t>4.1</w:t>
            </w:r>
          </w:p>
        </w:tc>
        <w:tc>
          <w:tcPr>
            <w:tcW w:w="1985" w:type="dxa"/>
            <w:gridSpan w:val="2"/>
            <w:tcBorders>
              <w:top w:val="single" w:color="auto" w:sz="4" w:space="0"/>
              <w:left w:val="nil"/>
              <w:bottom w:val="single" w:color="auto" w:sz="4" w:space="0"/>
              <w:right w:val="single" w:color="auto" w:sz="4" w:space="0"/>
            </w:tcBorders>
            <w:vAlign w:val="center"/>
          </w:tcPr>
          <w:p w14:paraId="45512088">
            <w:pPr>
              <w:jc w:val="center"/>
              <w:rPr>
                <w:rFonts w:ascii="宋体" w:hAnsi="宋体" w:cs="宋体"/>
                <w:sz w:val="24"/>
                <w:szCs w:val="24"/>
              </w:rPr>
            </w:pPr>
            <w:r>
              <w:rPr>
                <w:rFonts w:hint="eastAsia" w:ascii="宋体" w:hAnsi="宋体" w:cs="宋体"/>
                <w:sz w:val="24"/>
                <w:szCs w:val="24"/>
              </w:rPr>
              <w:t>磋商响应文件递交截止时间、地点</w:t>
            </w:r>
          </w:p>
        </w:tc>
        <w:tc>
          <w:tcPr>
            <w:tcW w:w="6661" w:type="dxa"/>
            <w:tcBorders>
              <w:top w:val="single" w:color="auto" w:sz="4" w:space="0"/>
              <w:left w:val="nil"/>
              <w:bottom w:val="single" w:color="auto" w:sz="4" w:space="0"/>
              <w:right w:val="single" w:color="auto" w:sz="4" w:space="0"/>
            </w:tcBorders>
          </w:tcPr>
          <w:p w14:paraId="19D98CB9">
            <w:pPr>
              <w:kinsoku w:val="0"/>
              <w:overflowPunct w:val="0"/>
              <w:autoSpaceDE w:val="0"/>
              <w:autoSpaceDN w:val="0"/>
              <w:adjustRightInd w:val="0"/>
              <w:snapToGrid w:val="0"/>
              <w:spacing w:line="400" w:lineRule="exact"/>
              <w:rPr>
                <w:rFonts w:ascii="新宋体" w:hAnsi="新宋体" w:eastAsia="新宋体"/>
                <w:color w:val="auto"/>
                <w:sz w:val="24"/>
                <w:szCs w:val="24"/>
                <w:shd w:val="clear" w:color="auto" w:fill="FFFFFF"/>
              </w:rPr>
            </w:pPr>
            <w:r>
              <w:rPr>
                <w:rFonts w:hint="eastAsia" w:ascii="新宋体" w:hAnsi="新宋体" w:eastAsia="新宋体"/>
                <w:color w:val="auto"/>
                <w:sz w:val="24"/>
                <w:szCs w:val="24"/>
                <w:shd w:val="clear" w:color="auto" w:fill="FFFFFF"/>
              </w:rPr>
              <w:t>时间：</w:t>
            </w:r>
            <w:r>
              <w:rPr>
                <w:rFonts w:hint="eastAsia" w:ascii="新宋体" w:hAnsi="新宋体" w:eastAsia="新宋体"/>
                <w:color w:val="auto"/>
                <w:sz w:val="24"/>
                <w:szCs w:val="24"/>
                <w:highlight w:val="none"/>
                <w:shd w:val="clear" w:color="auto" w:fill="FFFFFF"/>
              </w:rPr>
              <w:t>202</w:t>
            </w:r>
            <w:r>
              <w:rPr>
                <w:rFonts w:hint="eastAsia" w:ascii="新宋体" w:hAnsi="新宋体" w:eastAsia="新宋体"/>
                <w:color w:val="auto"/>
                <w:sz w:val="24"/>
                <w:szCs w:val="24"/>
                <w:highlight w:val="none"/>
                <w:shd w:val="clear" w:color="auto" w:fill="FFFFFF"/>
                <w:lang w:val="en-US" w:eastAsia="zh-CN"/>
              </w:rPr>
              <w:t>6</w:t>
            </w:r>
            <w:r>
              <w:rPr>
                <w:rFonts w:hint="eastAsia" w:ascii="新宋体" w:hAnsi="新宋体" w:eastAsia="新宋体"/>
                <w:color w:val="auto"/>
                <w:sz w:val="24"/>
                <w:szCs w:val="24"/>
                <w:highlight w:val="none"/>
                <w:shd w:val="clear" w:color="auto" w:fill="FFFFFF"/>
              </w:rPr>
              <w:t>年</w:t>
            </w:r>
            <w:r>
              <w:rPr>
                <w:rFonts w:hint="eastAsia" w:ascii="新宋体" w:hAnsi="新宋体" w:eastAsia="新宋体"/>
                <w:color w:val="auto"/>
                <w:sz w:val="24"/>
                <w:szCs w:val="24"/>
                <w:highlight w:val="none"/>
                <w:shd w:val="clear" w:color="auto" w:fill="FFFFFF"/>
                <w:lang w:val="en-US" w:eastAsia="zh-CN"/>
              </w:rPr>
              <w:t>03</w:t>
            </w:r>
            <w:r>
              <w:rPr>
                <w:rFonts w:hint="eastAsia" w:ascii="新宋体" w:hAnsi="新宋体" w:eastAsia="新宋体"/>
                <w:color w:val="auto"/>
                <w:sz w:val="24"/>
                <w:szCs w:val="24"/>
                <w:highlight w:val="none"/>
                <w:shd w:val="clear" w:color="auto" w:fill="FFFFFF"/>
              </w:rPr>
              <w:t>月</w:t>
            </w:r>
            <w:r>
              <w:rPr>
                <w:rFonts w:hint="eastAsia" w:ascii="新宋体" w:hAnsi="新宋体" w:eastAsia="新宋体"/>
                <w:color w:val="auto"/>
                <w:sz w:val="24"/>
                <w:szCs w:val="24"/>
                <w:highlight w:val="none"/>
                <w:shd w:val="clear" w:color="auto" w:fill="FFFFFF"/>
                <w:lang w:val="en-US" w:eastAsia="zh-CN"/>
              </w:rPr>
              <w:t>24</w:t>
            </w:r>
            <w:r>
              <w:rPr>
                <w:rFonts w:hint="eastAsia" w:ascii="新宋体" w:hAnsi="新宋体" w:eastAsia="新宋体"/>
                <w:color w:val="auto"/>
                <w:sz w:val="24"/>
                <w:szCs w:val="24"/>
                <w:highlight w:val="none"/>
                <w:shd w:val="clear" w:color="auto" w:fill="FFFFFF"/>
              </w:rPr>
              <w:t>日08时</w:t>
            </w:r>
            <w:r>
              <w:rPr>
                <w:rFonts w:hint="eastAsia" w:ascii="新宋体" w:hAnsi="新宋体" w:eastAsia="新宋体"/>
                <w:color w:val="auto"/>
                <w:sz w:val="24"/>
                <w:szCs w:val="24"/>
                <w:highlight w:val="none"/>
                <w:shd w:val="clear" w:color="auto" w:fill="FFFFFF"/>
                <w:lang w:val="en-US" w:eastAsia="zh-CN"/>
              </w:rPr>
              <w:t>3</w:t>
            </w:r>
            <w:r>
              <w:rPr>
                <w:rFonts w:hint="eastAsia" w:ascii="新宋体" w:hAnsi="新宋体" w:eastAsia="新宋体"/>
                <w:color w:val="auto"/>
                <w:sz w:val="24"/>
                <w:szCs w:val="24"/>
                <w:highlight w:val="none"/>
                <w:shd w:val="clear" w:color="auto" w:fill="FFFFFF"/>
                <w:lang w:eastAsia="zh-CN"/>
              </w:rPr>
              <w:t>0分</w:t>
            </w:r>
            <w:r>
              <w:rPr>
                <w:rFonts w:hint="eastAsia" w:ascii="新宋体" w:hAnsi="新宋体" w:eastAsia="新宋体"/>
                <w:color w:val="auto"/>
                <w:sz w:val="24"/>
                <w:szCs w:val="24"/>
                <w:highlight w:val="none"/>
                <w:shd w:val="clear" w:color="auto" w:fill="FFFFFF"/>
              </w:rPr>
              <w:t>（北京时间）；</w:t>
            </w:r>
          </w:p>
          <w:p w14:paraId="63931704">
            <w:pPr>
              <w:kinsoku w:val="0"/>
              <w:overflowPunct w:val="0"/>
              <w:autoSpaceDE w:val="0"/>
              <w:autoSpaceDN w:val="0"/>
              <w:adjustRightInd w:val="0"/>
              <w:snapToGrid w:val="0"/>
              <w:spacing w:line="400" w:lineRule="exact"/>
              <w:jc w:val="left"/>
              <w:rPr>
                <w:rFonts w:ascii="宋体" w:hAnsi="宋体" w:cs="宋体"/>
                <w:sz w:val="24"/>
                <w:szCs w:val="24"/>
              </w:rPr>
            </w:pPr>
            <w:r>
              <w:rPr>
                <w:rFonts w:hint="eastAsia" w:ascii="新宋体" w:hAnsi="新宋体" w:eastAsia="新宋体"/>
                <w:sz w:val="24"/>
                <w:szCs w:val="24"/>
                <w:shd w:val="clear" w:color="auto" w:fill="FFFFFF"/>
              </w:rPr>
              <w:t>地点：</w:t>
            </w:r>
            <w:r>
              <w:rPr>
                <w:rFonts w:hint="eastAsia" w:ascii="宋体" w:hAnsi="宋体" w:cs="宋体"/>
                <w:sz w:val="24"/>
                <w:szCs w:val="24"/>
              </w:rPr>
              <w:t>在开标截止时间前上传至“三门峡市公共资源交易中心网站”</w:t>
            </w:r>
            <w:r>
              <w:rPr>
                <w:rFonts w:hint="eastAsia" w:ascii="新宋体" w:hAnsi="新宋体" w:eastAsia="新宋体"/>
                <w:sz w:val="24"/>
                <w:szCs w:val="24"/>
                <w:shd w:val="clear" w:color="auto" w:fill="FFFFFF"/>
              </w:rPr>
              <w:t>。</w:t>
            </w:r>
          </w:p>
        </w:tc>
      </w:tr>
      <w:tr w14:paraId="3F64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40A9E">
            <w:pPr>
              <w:jc w:val="center"/>
              <w:rPr>
                <w:rFonts w:ascii="宋体" w:hAnsi="宋体" w:cs="宋体"/>
                <w:sz w:val="24"/>
                <w:szCs w:val="24"/>
              </w:rPr>
            </w:pPr>
            <w:r>
              <w:rPr>
                <w:rFonts w:hint="eastAsia" w:ascii="宋体" w:hAnsi="宋体" w:cs="宋体"/>
                <w:sz w:val="24"/>
                <w:szCs w:val="24"/>
              </w:rPr>
              <w:t>4.1.1</w:t>
            </w:r>
          </w:p>
        </w:tc>
        <w:tc>
          <w:tcPr>
            <w:tcW w:w="1985" w:type="dxa"/>
            <w:gridSpan w:val="2"/>
            <w:tcBorders>
              <w:top w:val="single" w:color="auto" w:sz="4" w:space="0"/>
              <w:left w:val="nil"/>
              <w:bottom w:val="single" w:color="auto" w:sz="4" w:space="0"/>
              <w:right w:val="single" w:color="auto" w:sz="4" w:space="0"/>
            </w:tcBorders>
            <w:vAlign w:val="center"/>
          </w:tcPr>
          <w:p w14:paraId="30667915">
            <w:pPr>
              <w:jc w:val="center"/>
              <w:rPr>
                <w:rFonts w:ascii="宋体" w:hAnsi="宋体" w:cs="宋体"/>
                <w:sz w:val="24"/>
                <w:szCs w:val="24"/>
              </w:rPr>
            </w:pPr>
            <w:r>
              <w:rPr>
                <w:rFonts w:hint="eastAsia" w:ascii="宋体" w:hAnsi="宋体" w:cs="宋体"/>
                <w:sz w:val="24"/>
                <w:szCs w:val="24"/>
              </w:rPr>
              <w:t>是否退还磋商响应文件</w:t>
            </w:r>
          </w:p>
        </w:tc>
        <w:tc>
          <w:tcPr>
            <w:tcW w:w="6661" w:type="dxa"/>
            <w:tcBorders>
              <w:top w:val="single" w:color="auto" w:sz="4" w:space="0"/>
              <w:left w:val="nil"/>
              <w:bottom w:val="single" w:color="auto" w:sz="4" w:space="0"/>
              <w:right w:val="single" w:color="auto" w:sz="4" w:space="0"/>
            </w:tcBorders>
            <w:vAlign w:val="center"/>
          </w:tcPr>
          <w:p w14:paraId="45D7E8EE">
            <w:pPr>
              <w:spacing w:line="288" w:lineRule="auto"/>
              <w:rPr>
                <w:rFonts w:ascii="宋体" w:hAnsi="宋体" w:cs="宋体"/>
                <w:sz w:val="24"/>
                <w:szCs w:val="24"/>
              </w:rPr>
            </w:pPr>
            <w:r>
              <w:rPr>
                <w:rFonts w:hint="eastAsia" w:ascii="宋体" w:hAnsi="宋体" w:cs="宋体"/>
                <w:sz w:val="24"/>
                <w:szCs w:val="24"/>
              </w:rPr>
              <w:t>否</w:t>
            </w:r>
          </w:p>
        </w:tc>
      </w:tr>
      <w:tr w14:paraId="5702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00BC91A">
            <w:pPr>
              <w:jc w:val="center"/>
              <w:rPr>
                <w:rFonts w:ascii="宋体" w:hAnsi="宋体" w:cs="宋体"/>
                <w:sz w:val="24"/>
                <w:szCs w:val="24"/>
              </w:rPr>
            </w:pPr>
            <w:r>
              <w:rPr>
                <w:rFonts w:hint="eastAsia" w:ascii="宋体" w:hAnsi="宋体" w:cs="宋体"/>
                <w:sz w:val="24"/>
                <w:szCs w:val="24"/>
              </w:rPr>
              <w:t>5.1</w:t>
            </w:r>
          </w:p>
        </w:tc>
        <w:tc>
          <w:tcPr>
            <w:tcW w:w="1985" w:type="dxa"/>
            <w:gridSpan w:val="2"/>
            <w:tcBorders>
              <w:top w:val="single" w:color="auto" w:sz="4" w:space="0"/>
              <w:left w:val="nil"/>
              <w:bottom w:val="single" w:color="auto" w:sz="4" w:space="0"/>
              <w:right w:val="single" w:color="auto" w:sz="4" w:space="0"/>
            </w:tcBorders>
            <w:vAlign w:val="center"/>
          </w:tcPr>
          <w:p w14:paraId="747DA4E0">
            <w:pPr>
              <w:jc w:val="center"/>
              <w:rPr>
                <w:rFonts w:ascii="宋体" w:hAnsi="宋体" w:cs="宋体"/>
                <w:sz w:val="24"/>
                <w:szCs w:val="24"/>
              </w:rPr>
            </w:pPr>
            <w:r>
              <w:rPr>
                <w:rFonts w:hint="eastAsia" w:ascii="宋体" w:hAnsi="宋体" w:cs="宋体"/>
                <w:sz w:val="24"/>
                <w:szCs w:val="24"/>
              </w:rPr>
              <w:t>磋商时间和</w:t>
            </w:r>
          </w:p>
          <w:p w14:paraId="1553FAB4">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14:paraId="5BB83A42">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磋商时间：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日8时</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0分</w:t>
            </w:r>
          </w:p>
          <w:p w14:paraId="050AF26F">
            <w:pPr>
              <w:spacing w:line="400" w:lineRule="exact"/>
              <w:rPr>
                <w:rFonts w:hint="default" w:ascii="宋体" w:hAnsi="宋体" w:eastAsia="宋体" w:cs="宋体"/>
                <w:sz w:val="24"/>
                <w:szCs w:val="24"/>
                <w:lang w:val="en-US"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三门峡市陕州区公共资源交易中心</w:t>
            </w:r>
            <w:r>
              <w:rPr>
                <w:rFonts w:hint="eastAsia" w:ascii="宋体" w:hAnsi="宋体" w:cs="宋体"/>
                <w:color w:val="auto"/>
                <w:sz w:val="24"/>
                <w:szCs w:val="24"/>
                <w:highlight w:val="none"/>
                <w:lang w:val="en-US" w:eastAsia="zh-CN"/>
              </w:rPr>
              <w:t>评标室</w:t>
            </w:r>
          </w:p>
        </w:tc>
      </w:tr>
      <w:tr w14:paraId="55D2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FA3960">
            <w:pPr>
              <w:jc w:val="center"/>
              <w:rPr>
                <w:rFonts w:ascii="宋体" w:hAnsi="宋体" w:cs="宋体"/>
                <w:sz w:val="24"/>
                <w:szCs w:val="24"/>
              </w:rPr>
            </w:pPr>
            <w:r>
              <w:rPr>
                <w:rFonts w:hint="eastAsia" w:ascii="宋体" w:hAnsi="宋体" w:cs="宋体"/>
                <w:sz w:val="24"/>
                <w:szCs w:val="24"/>
              </w:rPr>
              <w:t>5.2</w:t>
            </w:r>
          </w:p>
        </w:tc>
        <w:tc>
          <w:tcPr>
            <w:tcW w:w="1985" w:type="dxa"/>
            <w:gridSpan w:val="2"/>
            <w:tcBorders>
              <w:top w:val="single" w:color="auto" w:sz="4" w:space="0"/>
              <w:left w:val="nil"/>
              <w:bottom w:val="single" w:color="auto" w:sz="4" w:space="0"/>
              <w:right w:val="single" w:color="auto" w:sz="4" w:space="0"/>
            </w:tcBorders>
            <w:vAlign w:val="center"/>
          </w:tcPr>
          <w:p w14:paraId="58151E2F">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14:paraId="08F995DD">
            <w:pPr>
              <w:jc w:val="left"/>
              <w:rPr>
                <w:rFonts w:ascii="宋体" w:hAnsi="宋体" w:cs="宋体"/>
                <w:sz w:val="24"/>
                <w:szCs w:val="24"/>
              </w:rPr>
            </w:pPr>
            <w:r>
              <w:rPr>
                <w:rFonts w:hint="eastAsia" w:ascii="宋体" w:hAnsi="宋体" w:cs="宋体"/>
                <w:sz w:val="24"/>
                <w:szCs w:val="24"/>
              </w:rPr>
              <w:t>按电子投标文件上传顺序开标</w:t>
            </w:r>
          </w:p>
        </w:tc>
      </w:tr>
      <w:tr w14:paraId="3951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27EB8AE">
            <w:pPr>
              <w:jc w:val="center"/>
              <w:rPr>
                <w:rFonts w:ascii="宋体" w:hAnsi="宋体" w:cs="宋体"/>
                <w:sz w:val="24"/>
                <w:szCs w:val="24"/>
              </w:rPr>
            </w:pPr>
            <w:r>
              <w:rPr>
                <w:rFonts w:hint="eastAsia" w:ascii="宋体" w:hAnsi="宋体" w:cs="宋体"/>
                <w:sz w:val="24"/>
                <w:szCs w:val="24"/>
              </w:rPr>
              <w:t>6.1.1</w:t>
            </w:r>
          </w:p>
        </w:tc>
        <w:tc>
          <w:tcPr>
            <w:tcW w:w="1985" w:type="dxa"/>
            <w:gridSpan w:val="2"/>
            <w:tcBorders>
              <w:top w:val="single" w:color="auto" w:sz="4" w:space="0"/>
              <w:left w:val="nil"/>
              <w:bottom w:val="single" w:color="auto" w:sz="4" w:space="0"/>
              <w:right w:val="single" w:color="auto" w:sz="4" w:space="0"/>
            </w:tcBorders>
            <w:vAlign w:val="center"/>
          </w:tcPr>
          <w:p w14:paraId="74231A75">
            <w:pPr>
              <w:jc w:val="center"/>
              <w:rPr>
                <w:rFonts w:ascii="宋体" w:hAnsi="宋体" w:cs="宋体"/>
                <w:sz w:val="24"/>
                <w:szCs w:val="24"/>
              </w:rPr>
            </w:pPr>
            <w:r>
              <w:rPr>
                <w:rFonts w:hint="eastAsia" w:ascii="宋体" w:hAnsi="宋体" w:cs="宋体"/>
                <w:sz w:val="24"/>
                <w:szCs w:val="24"/>
              </w:rPr>
              <w:t>评标小组的组建</w:t>
            </w:r>
          </w:p>
        </w:tc>
        <w:tc>
          <w:tcPr>
            <w:tcW w:w="6661" w:type="dxa"/>
            <w:tcBorders>
              <w:top w:val="single" w:color="auto" w:sz="4" w:space="0"/>
              <w:left w:val="nil"/>
              <w:bottom w:val="single" w:color="auto" w:sz="4" w:space="0"/>
              <w:right w:val="single" w:color="auto" w:sz="4" w:space="0"/>
            </w:tcBorders>
            <w:vAlign w:val="center"/>
          </w:tcPr>
          <w:p w14:paraId="2A46409B">
            <w:pPr>
              <w:spacing w:line="400" w:lineRule="exact"/>
              <w:rPr>
                <w:rFonts w:hint="eastAsia" w:ascii="宋体" w:hAnsi="宋体" w:eastAsia="宋体" w:cs="宋体"/>
                <w:sz w:val="24"/>
                <w:szCs w:val="24"/>
              </w:rPr>
            </w:pPr>
            <w:r>
              <w:rPr>
                <w:rFonts w:hint="eastAsia" w:ascii="宋体" w:hAnsi="宋体" w:eastAsia="宋体" w:cs="宋体"/>
                <w:sz w:val="24"/>
                <w:szCs w:val="24"/>
              </w:rPr>
              <w:t>评标小组构成：3人，其中招标人代表1人，</w:t>
            </w:r>
            <w:r>
              <w:rPr>
                <w:rFonts w:hint="eastAsia" w:ascii="宋体" w:hAnsi="宋体" w:eastAsia="宋体" w:cs="宋体"/>
                <w:sz w:val="24"/>
                <w:szCs w:val="24"/>
                <w:lang w:val="en-US" w:eastAsia="zh-CN"/>
              </w:rPr>
              <w:t>其他</w:t>
            </w:r>
            <w:r>
              <w:rPr>
                <w:rFonts w:hint="eastAsia" w:ascii="宋体" w:hAnsi="宋体" w:eastAsia="宋体" w:cs="宋体"/>
                <w:sz w:val="24"/>
                <w:szCs w:val="24"/>
              </w:rPr>
              <w:t>2名专家确定方式：</w:t>
            </w:r>
            <w:r>
              <w:rPr>
                <w:rFonts w:hint="eastAsia" w:ascii="宋体" w:hAnsi="宋体" w:eastAsia="宋体" w:cs="宋体"/>
                <w:sz w:val="24"/>
                <w:szCs w:val="24"/>
                <w:lang w:val="en-US" w:eastAsia="zh-CN"/>
              </w:rPr>
              <w:t>开标当天</w:t>
            </w:r>
            <w:r>
              <w:rPr>
                <w:rFonts w:hint="eastAsia" w:ascii="宋体" w:hAnsi="宋体" w:eastAsia="宋体" w:cs="宋体"/>
                <w:sz w:val="24"/>
                <w:szCs w:val="24"/>
              </w:rPr>
              <w:t>在相关评标专家库中随机抽取有关技术、经济等方面专家2人。</w:t>
            </w:r>
          </w:p>
        </w:tc>
      </w:tr>
      <w:tr w14:paraId="75E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1567FF49">
            <w:pPr>
              <w:jc w:val="center"/>
              <w:rPr>
                <w:rFonts w:ascii="宋体" w:hAnsi="宋体" w:cs="宋体"/>
                <w:sz w:val="24"/>
                <w:szCs w:val="24"/>
              </w:rPr>
            </w:pPr>
            <w:r>
              <w:rPr>
                <w:rFonts w:hint="eastAsia" w:ascii="宋体" w:hAnsi="宋体" w:cs="宋体"/>
                <w:sz w:val="24"/>
                <w:szCs w:val="24"/>
              </w:rPr>
              <w:t>7.1</w:t>
            </w:r>
          </w:p>
        </w:tc>
        <w:tc>
          <w:tcPr>
            <w:tcW w:w="1985" w:type="dxa"/>
            <w:gridSpan w:val="2"/>
            <w:tcBorders>
              <w:top w:val="single" w:color="auto" w:sz="4" w:space="0"/>
              <w:left w:val="nil"/>
              <w:bottom w:val="single" w:color="auto" w:sz="4" w:space="0"/>
              <w:right w:val="single" w:color="auto" w:sz="4" w:space="0"/>
            </w:tcBorders>
            <w:vAlign w:val="center"/>
          </w:tcPr>
          <w:p w14:paraId="459194B1">
            <w:pPr>
              <w:jc w:val="center"/>
              <w:rPr>
                <w:rFonts w:ascii="宋体" w:hAnsi="宋体" w:cs="宋体"/>
                <w:sz w:val="24"/>
                <w:szCs w:val="24"/>
              </w:rPr>
            </w:pPr>
            <w:r>
              <w:rPr>
                <w:rFonts w:hint="eastAsia" w:ascii="宋体" w:hAnsi="宋体" w:cs="宋体"/>
                <w:sz w:val="24"/>
                <w:szCs w:val="24"/>
              </w:rPr>
              <w:t>是否授权评标小组确定中标人</w:t>
            </w:r>
          </w:p>
        </w:tc>
        <w:tc>
          <w:tcPr>
            <w:tcW w:w="6661" w:type="dxa"/>
            <w:tcBorders>
              <w:top w:val="single" w:color="auto" w:sz="4" w:space="0"/>
              <w:left w:val="nil"/>
              <w:bottom w:val="single" w:color="auto" w:sz="4" w:space="0"/>
              <w:right w:val="single" w:color="auto" w:sz="4" w:space="0"/>
            </w:tcBorders>
            <w:vAlign w:val="center"/>
          </w:tcPr>
          <w:p w14:paraId="37A8FDB5">
            <w:pPr>
              <w:spacing w:line="400" w:lineRule="exact"/>
              <w:rPr>
                <w:rFonts w:hint="eastAsia" w:ascii="宋体" w:hAnsi="宋体" w:eastAsia="宋体" w:cs="宋体"/>
                <w:sz w:val="24"/>
                <w:szCs w:val="24"/>
              </w:rPr>
            </w:pPr>
            <w:r>
              <w:rPr>
                <w:rFonts w:hint="eastAsia" w:ascii="宋体" w:hAnsi="宋体" w:eastAsia="宋体" w:cs="宋体"/>
                <w:sz w:val="24"/>
                <w:szCs w:val="24"/>
              </w:rPr>
              <w:t>否，按顺序推荐的中标候选人数：3名</w:t>
            </w:r>
          </w:p>
        </w:tc>
      </w:tr>
      <w:tr w14:paraId="139B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25DCABF">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985" w:type="dxa"/>
            <w:gridSpan w:val="2"/>
            <w:tcBorders>
              <w:top w:val="single" w:color="auto" w:sz="4" w:space="0"/>
              <w:left w:val="nil"/>
              <w:bottom w:val="single" w:color="auto" w:sz="4" w:space="0"/>
              <w:right w:val="single" w:color="auto" w:sz="4" w:space="0"/>
            </w:tcBorders>
            <w:vAlign w:val="center"/>
          </w:tcPr>
          <w:p w14:paraId="2659D8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14:paraId="3669A40D">
            <w:pPr>
              <w:spacing w:line="400" w:lineRule="exact"/>
              <w:rPr>
                <w:rFonts w:hint="eastAsia" w:ascii="宋体" w:hAnsi="宋体" w:eastAsia="宋体" w:cs="宋体"/>
                <w:sz w:val="24"/>
                <w:szCs w:val="24"/>
              </w:rPr>
            </w:pPr>
            <w:r>
              <w:rPr>
                <w:rFonts w:hint="eastAsia" w:ascii="宋体" w:hAnsi="宋体" w:eastAsia="宋体" w:cs="宋体"/>
                <w:sz w:val="24"/>
                <w:szCs w:val="24"/>
              </w:rPr>
              <w:t>招标代理费：根据《河南省招标代理服务收费指导意见》收费标准计取，取费的基数为中标价，招标代理服务费由中标人</w:t>
            </w:r>
            <w:r>
              <w:rPr>
                <w:rFonts w:hint="eastAsia" w:ascii="宋体" w:hAnsi="宋体" w:eastAsia="宋体" w:cs="宋体"/>
                <w:sz w:val="24"/>
                <w:szCs w:val="24"/>
                <w:lang w:eastAsia="zh-CN"/>
              </w:rPr>
              <w:t>领取中标通知书时缴纳</w:t>
            </w:r>
            <w:r>
              <w:rPr>
                <w:rFonts w:hint="eastAsia" w:ascii="宋体" w:hAnsi="宋体" w:eastAsia="宋体" w:cs="宋体"/>
                <w:sz w:val="24"/>
                <w:szCs w:val="24"/>
              </w:rPr>
              <w:t>。</w:t>
            </w:r>
          </w:p>
        </w:tc>
      </w:tr>
      <w:tr w14:paraId="3BA6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1A75DC9E">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7.3</w:t>
            </w:r>
          </w:p>
        </w:tc>
        <w:tc>
          <w:tcPr>
            <w:tcW w:w="1985" w:type="dxa"/>
            <w:gridSpan w:val="2"/>
            <w:tcBorders>
              <w:top w:val="single" w:color="auto" w:sz="4" w:space="0"/>
              <w:left w:val="nil"/>
              <w:bottom w:val="single" w:color="auto" w:sz="4" w:space="0"/>
              <w:right w:val="single" w:color="auto" w:sz="4" w:space="0"/>
            </w:tcBorders>
            <w:vAlign w:val="center"/>
          </w:tcPr>
          <w:p w14:paraId="0EAB452A">
            <w:pPr>
              <w:autoSpaceDE w:val="0"/>
              <w:autoSpaceDN w:val="0"/>
              <w:adjustRightInd w:val="0"/>
              <w:spacing w:line="400" w:lineRule="exact"/>
              <w:jc w:val="left"/>
              <w:rPr>
                <w:rFonts w:ascii="宋体" w:hAnsi="宋体" w:cs="宋体"/>
                <w:sz w:val="24"/>
                <w:szCs w:val="24"/>
              </w:rPr>
            </w:pPr>
            <w:r>
              <w:rPr>
                <w:rFonts w:hint="eastAsia" w:ascii="宋体" w:hAnsi="宋体" w:cs="宋体"/>
                <w:sz w:val="24"/>
                <w:szCs w:val="24"/>
              </w:rPr>
              <w:t>电子化投标文件的格式及上传</w:t>
            </w:r>
          </w:p>
        </w:tc>
        <w:tc>
          <w:tcPr>
            <w:tcW w:w="6661" w:type="dxa"/>
            <w:tcBorders>
              <w:top w:val="single" w:color="auto" w:sz="4" w:space="0"/>
              <w:left w:val="nil"/>
              <w:bottom w:val="single" w:color="auto" w:sz="4" w:space="0"/>
              <w:right w:val="single" w:color="auto" w:sz="4" w:space="0"/>
            </w:tcBorders>
            <w:vAlign w:val="center"/>
          </w:tcPr>
          <w:p w14:paraId="48941EDB">
            <w:pPr>
              <w:spacing w:line="400" w:lineRule="exact"/>
              <w:rPr>
                <w:rFonts w:ascii="宋体" w:hAnsi="宋体" w:cs="宋体"/>
                <w:sz w:val="24"/>
                <w:szCs w:val="24"/>
              </w:rPr>
            </w:pPr>
            <w:r>
              <w:rPr>
                <w:rFonts w:hint="eastAsia" w:ascii="宋体" w:hAnsi="宋体" w:cs="宋体"/>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4FC206A">
            <w:pPr>
              <w:spacing w:line="400" w:lineRule="exact"/>
              <w:rPr>
                <w:rFonts w:ascii="宋体" w:hAnsi="宋体" w:cs="宋体"/>
                <w:sz w:val="24"/>
                <w:szCs w:val="24"/>
              </w:rPr>
            </w:pPr>
            <w:r>
              <w:rPr>
                <w:rFonts w:hint="eastAsia" w:ascii="宋体" w:hAnsi="宋体" w:cs="宋体"/>
                <w:sz w:val="24"/>
                <w:szCs w:val="24"/>
              </w:rPr>
              <w:t>注：供应商投报多个标段的，需要每个标段单独制作电子投标文件。</w:t>
            </w:r>
          </w:p>
          <w:p w14:paraId="4301A680">
            <w:pPr>
              <w:spacing w:line="400" w:lineRule="exact"/>
              <w:rPr>
                <w:rFonts w:ascii="宋体" w:hAnsi="宋体" w:cs="宋体"/>
                <w:sz w:val="24"/>
                <w:szCs w:val="24"/>
              </w:rPr>
            </w:pPr>
            <w:r>
              <w:rPr>
                <w:rFonts w:hint="eastAsia" w:ascii="宋体" w:hAnsi="宋体" w:cs="宋体"/>
                <w:sz w:val="24"/>
                <w:szCs w:val="24"/>
              </w:rPr>
              <w:t>2、电子化投标文件应在磋商截止时间前成功上传至三门峡市公共资源电子化交易系统。至磋商截止时间止，仍未上传成功的电子化投标文件将不予接收。</w:t>
            </w:r>
          </w:p>
          <w:p w14:paraId="71D5FF69">
            <w:pPr>
              <w:spacing w:line="400" w:lineRule="exact"/>
              <w:rPr>
                <w:rFonts w:ascii="宋体" w:hAnsi="宋体" w:cs="宋体"/>
                <w:sz w:val="24"/>
                <w:szCs w:val="24"/>
              </w:rPr>
            </w:pPr>
            <w:r>
              <w:rPr>
                <w:rFonts w:hint="eastAsia" w:ascii="宋体" w:hAnsi="宋体" w:cs="宋体"/>
                <w:sz w:val="24"/>
                <w:szCs w:val="24"/>
              </w:rPr>
              <w:t>注：如按照电子化投标操作教材制作完成的电子化投标文件无法上传的，供应商应在磋商截止时间前尽早的联系中心技术人员，以便有充分的时间进行处理。供应商应充分考虑到处理技术问题和上传数据等工作所需的时间问题，投标文件未在磋商截止时间前成功上传的，其投标文件不予接收。</w:t>
            </w:r>
          </w:p>
          <w:p w14:paraId="008B43BA">
            <w:pPr>
              <w:spacing w:line="400" w:lineRule="exact"/>
              <w:rPr>
                <w:rFonts w:ascii="宋体" w:hAnsi="宋体" w:cs="宋体"/>
                <w:sz w:val="24"/>
                <w:szCs w:val="24"/>
              </w:rPr>
            </w:pPr>
            <w:r>
              <w:rPr>
                <w:rFonts w:hint="eastAsia" w:ascii="宋体" w:hAnsi="宋体" w:cs="宋体"/>
                <w:sz w:val="24"/>
                <w:szCs w:val="24"/>
              </w:rPr>
              <w:t>新点客服电话:4009980000</w:t>
            </w:r>
          </w:p>
        </w:tc>
      </w:tr>
      <w:tr w14:paraId="5BFE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14:paraId="0DA77A9B">
            <w:pPr>
              <w:jc w:val="center"/>
              <w:rPr>
                <w:rFonts w:ascii="宋体" w:hAnsi="宋体" w:cs="宋体"/>
                <w:sz w:val="24"/>
                <w:szCs w:val="24"/>
              </w:rPr>
            </w:pPr>
            <w:r>
              <w:rPr>
                <w:rFonts w:hint="eastAsia" w:ascii="宋体" w:hAnsi="宋体" w:cs="宋体"/>
                <w:sz w:val="24"/>
                <w:szCs w:val="24"/>
              </w:rPr>
              <w:t>需要补充的其他内容</w:t>
            </w:r>
          </w:p>
        </w:tc>
      </w:tr>
      <w:tr w14:paraId="512B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0ABB8E">
            <w:pPr>
              <w:jc w:val="center"/>
              <w:rPr>
                <w:rFonts w:ascii="宋体" w:hAnsi="宋体" w:cs="宋体"/>
                <w:sz w:val="24"/>
                <w:szCs w:val="24"/>
              </w:rPr>
            </w:pPr>
            <w:r>
              <w:rPr>
                <w:rFonts w:hint="eastAsia" w:ascii="宋体" w:hAnsi="宋体" w:cs="宋体"/>
                <w:sz w:val="24"/>
                <w:szCs w:val="24"/>
              </w:rPr>
              <w:t>8.1</w:t>
            </w:r>
          </w:p>
        </w:tc>
        <w:tc>
          <w:tcPr>
            <w:tcW w:w="1701" w:type="dxa"/>
            <w:tcBorders>
              <w:top w:val="single" w:color="auto" w:sz="4" w:space="0"/>
              <w:left w:val="single" w:color="auto" w:sz="4" w:space="0"/>
              <w:bottom w:val="single" w:color="auto" w:sz="4" w:space="0"/>
              <w:right w:val="single" w:color="auto" w:sz="4" w:space="0"/>
            </w:tcBorders>
            <w:vAlign w:val="center"/>
          </w:tcPr>
          <w:p w14:paraId="2918D6C9">
            <w:pPr>
              <w:rPr>
                <w:rFonts w:ascii="宋体" w:hAnsi="宋体" w:cs="宋体"/>
                <w:sz w:val="24"/>
                <w:szCs w:val="24"/>
              </w:rPr>
            </w:pPr>
            <w:r>
              <w:rPr>
                <w:rFonts w:hint="eastAsia" w:ascii="宋体" w:hAnsi="宋体" w:cs="宋体"/>
                <w:color w:val="auto"/>
                <w:sz w:val="24"/>
                <w:szCs w:val="24"/>
              </w:rPr>
              <w:t>招标控制价</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2123A70B">
            <w:pPr>
              <w:rPr>
                <w:rFonts w:hint="eastAsia" w:ascii="宋体" w:hAnsi="宋体" w:eastAsia="宋体" w:cs="宋体"/>
                <w:sz w:val="24"/>
                <w:szCs w:val="24"/>
                <w:lang w:eastAsia="zh-CN"/>
              </w:rPr>
            </w:pPr>
            <w:r>
              <w:rPr>
                <w:rFonts w:hint="eastAsia" w:ascii="宋体" w:hAnsi="宋体" w:cs="宋体"/>
                <w:sz w:val="24"/>
                <w:szCs w:val="24"/>
              </w:rPr>
              <w:t>大写：</w:t>
            </w:r>
            <w:r>
              <w:rPr>
                <w:rFonts w:hint="eastAsia" w:ascii="宋体" w:hAnsi="宋体" w:cs="宋体"/>
                <w:sz w:val="24"/>
                <w:szCs w:val="24"/>
                <w:lang w:val="en-US" w:eastAsia="zh-CN"/>
              </w:rPr>
              <w:t>陆拾伍万元整</w:t>
            </w:r>
          </w:p>
          <w:p w14:paraId="72DDA377">
            <w:pPr>
              <w:rPr>
                <w:rFonts w:ascii="宋体" w:hAnsi="宋体" w:cs="宋体"/>
                <w:sz w:val="24"/>
                <w:szCs w:val="24"/>
              </w:rPr>
            </w:pPr>
            <w:r>
              <w:rPr>
                <w:rFonts w:hint="eastAsia" w:ascii="宋体" w:hAnsi="宋体" w:cs="宋体"/>
                <w:sz w:val="24"/>
                <w:szCs w:val="24"/>
              </w:rPr>
              <w:t>小写：</w:t>
            </w:r>
            <w:r>
              <w:rPr>
                <w:rFonts w:hint="eastAsia" w:ascii="宋体" w:hAnsi="宋体" w:cs="宋体"/>
                <w:sz w:val="24"/>
                <w:szCs w:val="24"/>
                <w:lang w:val="en-US" w:eastAsia="zh-CN"/>
              </w:rPr>
              <w:t>650000.00元</w:t>
            </w:r>
          </w:p>
        </w:tc>
      </w:tr>
      <w:tr w14:paraId="0EF6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58E0334B">
            <w:pPr>
              <w:spacing w:line="312" w:lineRule="auto"/>
              <w:jc w:val="center"/>
              <w:rPr>
                <w:rFonts w:ascii="宋体" w:hAnsi="宋体" w:cs="宋体"/>
                <w:sz w:val="24"/>
                <w:szCs w:val="24"/>
              </w:rPr>
            </w:pPr>
            <w:r>
              <w:rPr>
                <w:rFonts w:hint="eastAsia" w:ascii="宋体" w:hAnsi="宋体" w:cs="宋体"/>
                <w:sz w:val="24"/>
                <w:szCs w:val="24"/>
              </w:rPr>
              <w:t>8.2</w:t>
            </w:r>
          </w:p>
        </w:tc>
        <w:tc>
          <w:tcPr>
            <w:tcW w:w="1701" w:type="dxa"/>
            <w:tcBorders>
              <w:top w:val="single" w:color="auto" w:sz="4" w:space="0"/>
              <w:left w:val="nil"/>
              <w:bottom w:val="single" w:color="auto" w:sz="4" w:space="0"/>
              <w:right w:val="single" w:color="auto" w:sz="4" w:space="0"/>
            </w:tcBorders>
            <w:vAlign w:val="center"/>
          </w:tcPr>
          <w:p w14:paraId="73D789C4">
            <w:pPr>
              <w:jc w:val="center"/>
              <w:rPr>
                <w:rFonts w:ascii="宋体" w:hAnsi="宋体" w:cs="宋体"/>
                <w:sz w:val="24"/>
                <w:szCs w:val="24"/>
              </w:rPr>
            </w:pPr>
            <w:r>
              <w:rPr>
                <w:rFonts w:hint="eastAsia" w:ascii="宋体" w:hAnsi="宋体" w:cs="宋体"/>
                <w:sz w:val="24"/>
                <w:szCs w:val="24"/>
              </w:rPr>
              <w:t>磋商</w:t>
            </w:r>
            <w:r>
              <w:rPr>
                <w:rFonts w:hint="eastAsia"/>
                <w:sz w:val="24"/>
              </w:rPr>
              <w:t>解密</w:t>
            </w:r>
          </w:p>
        </w:tc>
        <w:tc>
          <w:tcPr>
            <w:tcW w:w="6945" w:type="dxa"/>
            <w:gridSpan w:val="2"/>
            <w:tcBorders>
              <w:top w:val="single" w:color="auto" w:sz="4" w:space="0"/>
              <w:left w:val="nil"/>
              <w:bottom w:val="single" w:color="auto" w:sz="4" w:space="0"/>
              <w:right w:val="single" w:color="auto" w:sz="4" w:space="0"/>
            </w:tcBorders>
            <w:vAlign w:val="center"/>
          </w:tcPr>
          <w:p w14:paraId="75E0D456">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00D3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312FBC8">
            <w:pPr>
              <w:spacing w:line="312" w:lineRule="auto"/>
              <w:jc w:val="center"/>
              <w:rPr>
                <w:rFonts w:ascii="宋体" w:hAnsi="宋体" w:cs="宋体"/>
                <w:sz w:val="24"/>
                <w:szCs w:val="24"/>
              </w:rPr>
            </w:pPr>
            <w:r>
              <w:rPr>
                <w:rFonts w:hint="eastAsia" w:ascii="宋体" w:hAnsi="宋体" w:cs="宋体"/>
                <w:sz w:val="24"/>
                <w:szCs w:val="24"/>
              </w:rPr>
              <w:t>8.3</w:t>
            </w:r>
          </w:p>
        </w:tc>
        <w:tc>
          <w:tcPr>
            <w:tcW w:w="1701" w:type="dxa"/>
            <w:tcBorders>
              <w:top w:val="single" w:color="auto" w:sz="4" w:space="0"/>
              <w:left w:val="nil"/>
              <w:bottom w:val="single" w:color="auto" w:sz="4" w:space="0"/>
              <w:right w:val="single" w:color="auto" w:sz="4" w:space="0"/>
            </w:tcBorders>
            <w:vAlign w:val="center"/>
          </w:tcPr>
          <w:p w14:paraId="0C848071">
            <w:pPr>
              <w:jc w:val="center"/>
              <w:rPr>
                <w:rFonts w:ascii="宋体" w:hAnsi="宋体" w:cs="宋体"/>
                <w:sz w:val="24"/>
                <w:szCs w:val="24"/>
              </w:rPr>
            </w:pPr>
            <w:r>
              <w:rPr>
                <w:rFonts w:hint="eastAsia" w:ascii="宋体" w:hAnsi="宋体" w:cs="宋体"/>
                <w:sz w:val="24"/>
                <w:szCs w:val="24"/>
              </w:rPr>
              <w:t>付款办法</w:t>
            </w:r>
          </w:p>
        </w:tc>
        <w:tc>
          <w:tcPr>
            <w:tcW w:w="6945" w:type="dxa"/>
            <w:gridSpan w:val="2"/>
            <w:tcBorders>
              <w:top w:val="single" w:color="auto" w:sz="4" w:space="0"/>
              <w:left w:val="nil"/>
              <w:bottom w:val="single" w:color="auto" w:sz="4" w:space="0"/>
              <w:right w:val="single" w:color="auto" w:sz="4" w:space="0"/>
            </w:tcBorders>
            <w:vAlign w:val="center"/>
          </w:tcPr>
          <w:p w14:paraId="492A0D08">
            <w:pPr>
              <w:spacing w:line="400" w:lineRule="exact"/>
              <w:ind w:right="-153" w:rightChars="-73"/>
              <w:jc w:val="left"/>
              <w:rPr>
                <w:rFonts w:ascii="宋体" w:hAnsi="宋体" w:cs="宋体"/>
                <w:sz w:val="24"/>
                <w:szCs w:val="24"/>
              </w:rPr>
            </w:pPr>
            <w:r>
              <w:rPr>
                <w:rFonts w:hint="eastAsia" w:ascii="宋体" w:hAnsi="宋体" w:cs="宋体"/>
                <w:sz w:val="24"/>
                <w:szCs w:val="24"/>
              </w:rPr>
              <w:t>具体以</w:t>
            </w:r>
            <w:r>
              <w:rPr>
                <w:rFonts w:hint="eastAsia" w:ascii="宋体" w:hAnsi="宋体" w:cs="宋体"/>
                <w:sz w:val="24"/>
                <w:szCs w:val="24"/>
                <w:lang w:val="en-US" w:eastAsia="zh-CN"/>
              </w:rPr>
              <w:t>采购</w:t>
            </w:r>
            <w:r>
              <w:rPr>
                <w:rFonts w:hint="eastAsia" w:ascii="宋体" w:hAnsi="宋体" w:cs="宋体"/>
                <w:sz w:val="24"/>
                <w:szCs w:val="24"/>
              </w:rPr>
              <w:t>人与</w:t>
            </w:r>
            <w:r>
              <w:rPr>
                <w:rFonts w:hint="eastAsia" w:ascii="宋体" w:hAnsi="宋体" w:cs="宋体"/>
                <w:sz w:val="24"/>
                <w:szCs w:val="24"/>
                <w:lang w:val="en-US" w:eastAsia="zh-CN"/>
              </w:rPr>
              <w:t>成交</w:t>
            </w:r>
            <w:r>
              <w:rPr>
                <w:rFonts w:hint="eastAsia" w:ascii="宋体" w:hAnsi="宋体" w:cs="宋体"/>
                <w:sz w:val="24"/>
                <w:szCs w:val="24"/>
              </w:rPr>
              <w:t>供应商签订合同</w:t>
            </w:r>
            <w:r>
              <w:rPr>
                <w:rFonts w:hint="eastAsia" w:ascii="宋体" w:hAnsi="宋体" w:cs="宋体"/>
                <w:sz w:val="24"/>
                <w:szCs w:val="24"/>
                <w:lang w:val="en-US" w:eastAsia="zh-CN"/>
              </w:rPr>
              <w:t>约定</w:t>
            </w:r>
            <w:r>
              <w:rPr>
                <w:rFonts w:hint="eastAsia" w:ascii="宋体" w:hAnsi="宋体" w:cs="宋体"/>
                <w:sz w:val="24"/>
                <w:szCs w:val="24"/>
              </w:rPr>
              <w:t>为准。</w:t>
            </w:r>
          </w:p>
        </w:tc>
      </w:tr>
      <w:tr w14:paraId="6F22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E7D3C43">
            <w:pPr>
              <w:jc w:val="center"/>
              <w:rPr>
                <w:rFonts w:ascii="宋体" w:hAnsi="宋体" w:cs="宋体"/>
                <w:b/>
                <w:bCs/>
                <w:sz w:val="24"/>
                <w:szCs w:val="24"/>
              </w:rPr>
            </w:pPr>
            <w:r>
              <w:rPr>
                <w:rFonts w:hint="eastAsia" w:ascii="宋体" w:hAnsi="宋体" w:cs="宋体"/>
                <w:sz w:val="24"/>
                <w:szCs w:val="24"/>
              </w:rPr>
              <w:t>8.4</w:t>
            </w:r>
          </w:p>
        </w:tc>
        <w:tc>
          <w:tcPr>
            <w:tcW w:w="1701" w:type="dxa"/>
            <w:tcBorders>
              <w:top w:val="single" w:color="auto" w:sz="4" w:space="0"/>
              <w:left w:val="nil"/>
              <w:bottom w:val="single" w:color="auto" w:sz="4" w:space="0"/>
              <w:right w:val="single" w:color="auto" w:sz="4" w:space="0"/>
            </w:tcBorders>
            <w:vAlign w:val="center"/>
          </w:tcPr>
          <w:p w14:paraId="21560A45">
            <w:pPr>
              <w:jc w:val="center"/>
              <w:rPr>
                <w:rFonts w:ascii="宋体" w:hAnsi="宋体" w:cs="宋体"/>
                <w:sz w:val="24"/>
                <w:szCs w:val="24"/>
              </w:rPr>
            </w:pPr>
            <w:r>
              <w:rPr>
                <w:rFonts w:hint="eastAsia" w:ascii="宋体" w:hAnsi="宋体" w:cs="宋体"/>
                <w:sz w:val="24"/>
                <w:szCs w:val="24"/>
              </w:rPr>
              <w:t>磋商文件的解释</w:t>
            </w:r>
          </w:p>
        </w:tc>
        <w:tc>
          <w:tcPr>
            <w:tcW w:w="6945" w:type="dxa"/>
            <w:gridSpan w:val="2"/>
            <w:tcBorders>
              <w:top w:val="single" w:color="auto" w:sz="4" w:space="0"/>
              <w:left w:val="nil"/>
              <w:bottom w:val="single" w:color="auto" w:sz="4" w:space="0"/>
              <w:right w:val="single" w:color="auto" w:sz="4" w:space="0"/>
            </w:tcBorders>
            <w:vAlign w:val="center"/>
          </w:tcPr>
          <w:p w14:paraId="08EC34DE">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在符合相关法律法规的前题下，磋商文件的解释权归招标人所有，本磋商文件中其他部分内容与供应商须知前附表不一致的，以供应商须知前附表为准。其它未尽事宜，按国家有关法律、法规执行。</w:t>
            </w:r>
          </w:p>
        </w:tc>
      </w:tr>
      <w:tr w14:paraId="079C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3" w:type="dxa"/>
            <w:tcBorders>
              <w:top w:val="single" w:color="auto" w:sz="4" w:space="0"/>
              <w:left w:val="single" w:color="auto" w:sz="4" w:space="0"/>
              <w:bottom w:val="single" w:color="auto" w:sz="4" w:space="0"/>
              <w:right w:val="single" w:color="auto" w:sz="4" w:space="0"/>
            </w:tcBorders>
            <w:vAlign w:val="center"/>
          </w:tcPr>
          <w:p w14:paraId="283606AF">
            <w:pPr>
              <w:jc w:val="center"/>
              <w:rPr>
                <w:rFonts w:ascii="宋体" w:hAnsi="宋体" w:cs="宋体"/>
                <w:sz w:val="24"/>
                <w:szCs w:val="24"/>
              </w:rPr>
            </w:pPr>
            <w:r>
              <w:rPr>
                <w:rFonts w:hint="eastAsia" w:ascii="宋体" w:hAnsi="宋体" w:cs="宋体"/>
                <w:sz w:val="24"/>
                <w:szCs w:val="24"/>
              </w:rPr>
              <w:t>8.5</w:t>
            </w:r>
          </w:p>
        </w:tc>
        <w:tc>
          <w:tcPr>
            <w:tcW w:w="1701" w:type="dxa"/>
            <w:tcBorders>
              <w:top w:val="single" w:color="auto" w:sz="4" w:space="0"/>
              <w:left w:val="nil"/>
              <w:bottom w:val="single" w:color="auto" w:sz="4" w:space="0"/>
              <w:right w:val="single" w:color="auto" w:sz="4" w:space="0"/>
            </w:tcBorders>
            <w:vAlign w:val="center"/>
          </w:tcPr>
          <w:p w14:paraId="60B118E3">
            <w:pPr>
              <w:jc w:val="center"/>
              <w:rPr>
                <w:rFonts w:ascii="宋体" w:hAnsi="宋体" w:cs="宋体"/>
                <w:sz w:val="24"/>
                <w:szCs w:val="24"/>
              </w:rPr>
            </w:pPr>
            <w:r>
              <w:rPr>
                <w:rFonts w:hint="eastAsia" w:ascii="宋体" w:hAnsi="宋体" w:cs="宋体"/>
                <w:sz w:val="24"/>
                <w:szCs w:val="24"/>
              </w:rPr>
              <w:t>磋商文件费用</w:t>
            </w:r>
          </w:p>
        </w:tc>
        <w:tc>
          <w:tcPr>
            <w:tcW w:w="6945" w:type="dxa"/>
            <w:gridSpan w:val="2"/>
            <w:tcBorders>
              <w:top w:val="single" w:color="auto" w:sz="4" w:space="0"/>
              <w:left w:val="nil"/>
              <w:bottom w:val="single" w:color="auto" w:sz="4" w:space="0"/>
              <w:right w:val="single" w:color="auto" w:sz="4" w:space="0"/>
            </w:tcBorders>
            <w:vAlign w:val="center"/>
          </w:tcPr>
          <w:p w14:paraId="72970DAF">
            <w:pPr>
              <w:rPr>
                <w:rFonts w:ascii="宋体" w:hAnsi="宋体" w:cs="宋体"/>
                <w:sz w:val="24"/>
                <w:szCs w:val="24"/>
              </w:rPr>
            </w:pPr>
            <w:r>
              <w:rPr>
                <w:rFonts w:hint="eastAsia" w:ascii="宋体" w:hAnsi="宋体" w:cs="宋体"/>
                <w:sz w:val="24"/>
                <w:szCs w:val="24"/>
              </w:rPr>
              <w:t>根据相关规定本项目不再收取文件费。</w:t>
            </w:r>
          </w:p>
        </w:tc>
      </w:tr>
      <w:tr w14:paraId="69DB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C1BAA56">
            <w:pPr>
              <w:jc w:val="center"/>
              <w:rPr>
                <w:rFonts w:ascii="宋体" w:hAnsi="宋体" w:cs="宋体"/>
                <w:sz w:val="24"/>
                <w:szCs w:val="24"/>
              </w:rPr>
            </w:pPr>
            <w:r>
              <w:rPr>
                <w:rFonts w:hint="eastAsia" w:ascii="宋体" w:hAnsi="宋体" w:cs="宋体"/>
                <w:sz w:val="24"/>
                <w:szCs w:val="24"/>
              </w:rPr>
              <w:t>8.6</w:t>
            </w:r>
          </w:p>
        </w:tc>
        <w:tc>
          <w:tcPr>
            <w:tcW w:w="1701" w:type="dxa"/>
            <w:tcBorders>
              <w:top w:val="single" w:color="auto" w:sz="4" w:space="0"/>
              <w:left w:val="nil"/>
              <w:bottom w:val="single" w:color="auto" w:sz="4" w:space="0"/>
              <w:right w:val="single" w:color="auto" w:sz="4" w:space="0"/>
            </w:tcBorders>
            <w:vAlign w:val="center"/>
          </w:tcPr>
          <w:p w14:paraId="7B70E798">
            <w:pPr>
              <w:jc w:val="center"/>
              <w:rPr>
                <w:rFonts w:ascii="宋体" w:hAnsi="宋体" w:cs="宋体"/>
                <w:sz w:val="24"/>
                <w:szCs w:val="24"/>
              </w:rPr>
            </w:pPr>
            <w:r>
              <w:rPr>
                <w:rFonts w:hint="eastAsia" w:ascii="宋体" w:hAnsi="宋体" w:cs="宋体"/>
                <w:sz w:val="24"/>
                <w:szCs w:val="24"/>
              </w:rPr>
              <w:t>纸质版响应文件的递交</w:t>
            </w:r>
          </w:p>
        </w:tc>
        <w:tc>
          <w:tcPr>
            <w:tcW w:w="6945" w:type="dxa"/>
            <w:gridSpan w:val="2"/>
            <w:tcBorders>
              <w:top w:val="single" w:color="auto" w:sz="4" w:space="0"/>
              <w:left w:val="nil"/>
              <w:bottom w:val="single" w:color="auto" w:sz="4" w:space="0"/>
              <w:right w:val="single" w:color="auto" w:sz="4" w:space="0"/>
            </w:tcBorders>
            <w:vAlign w:val="center"/>
          </w:tcPr>
          <w:p w14:paraId="65476C10">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开标时不再递交纸质投标文件，中标单位领取中标通知书时提交三份纸质投标文件，</w:t>
            </w:r>
            <w:r>
              <w:rPr>
                <w:rFonts w:hint="eastAsia" w:ascii="宋体" w:hAnsi="宋体" w:cs="宋体"/>
                <w:sz w:val="24"/>
                <w:szCs w:val="24"/>
              </w:rPr>
              <w:t>未中标单位不提交纸质版投标文件。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6FF9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8797AC5">
            <w:pPr>
              <w:jc w:val="center"/>
              <w:rPr>
                <w:rFonts w:ascii="宋体" w:hAnsi="宋体" w:cs="宋体"/>
                <w:sz w:val="24"/>
                <w:szCs w:val="24"/>
              </w:rPr>
            </w:pPr>
            <w:r>
              <w:rPr>
                <w:rFonts w:hint="eastAsia" w:ascii="宋体" w:hAnsi="宋体" w:cs="宋体"/>
                <w:sz w:val="24"/>
                <w:szCs w:val="24"/>
              </w:rPr>
              <w:t>8.7</w:t>
            </w:r>
          </w:p>
        </w:tc>
        <w:tc>
          <w:tcPr>
            <w:tcW w:w="1701" w:type="dxa"/>
            <w:tcBorders>
              <w:top w:val="single" w:color="auto" w:sz="4" w:space="0"/>
              <w:left w:val="nil"/>
              <w:bottom w:val="single" w:color="auto" w:sz="4" w:space="0"/>
              <w:right w:val="single" w:color="auto" w:sz="4" w:space="0"/>
            </w:tcBorders>
            <w:vAlign w:val="center"/>
          </w:tcPr>
          <w:p w14:paraId="2C2113FC">
            <w:pPr>
              <w:jc w:val="center"/>
              <w:rPr>
                <w:rFonts w:ascii="宋体" w:hAnsi="宋体" w:cs="宋体"/>
                <w:color w:val="auto"/>
                <w:sz w:val="24"/>
                <w:szCs w:val="24"/>
              </w:rPr>
            </w:pPr>
            <w:r>
              <w:rPr>
                <w:rFonts w:hint="eastAsia" w:ascii="宋体" w:hAnsi="宋体" w:cs="宋体"/>
                <w:color w:val="auto"/>
                <w:sz w:val="24"/>
                <w:szCs w:val="24"/>
              </w:rPr>
              <w:t>所属行业</w:t>
            </w:r>
          </w:p>
        </w:tc>
        <w:tc>
          <w:tcPr>
            <w:tcW w:w="6945" w:type="dxa"/>
            <w:gridSpan w:val="2"/>
            <w:tcBorders>
              <w:top w:val="single" w:color="auto" w:sz="4" w:space="0"/>
              <w:left w:val="nil"/>
              <w:bottom w:val="single" w:color="auto" w:sz="4" w:space="0"/>
              <w:right w:val="single" w:color="auto" w:sz="4" w:space="0"/>
            </w:tcBorders>
            <w:vAlign w:val="center"/>
          </w:tcPr>
          <w:p w14:paraId="5450AB40">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采购标的对应的中小企业划分标准所属行业：</w:t>
            </w:r>
            <w:r>
              <w:rPr>
                <w:rFonts w:hint="eastAsia" w:ascii="宋体" w:hAnsi="宋体" w:cs="宋体"/>
                <w:b/>
                <w:bCs/>
                <w:color w:val="auto"/>
                <w:sz w:val="24"/>
                <w:szCs w:val="24"/>
                <w:highlight w:val="none"/>
                <w:lang w:eastAsia="zh-CN"/>
              </w:rPr>
              <w:t>其他未列明行业</w:t>
            </w:r>
          </w:p>
          <w:p w14:paraId="4DC837DA">
            <w:pPr>
              <w:jc w:val="left"/>
              <w:rPr>
                <w:rFonts w:ascii="宋体" w:hAnsi="宋体" w:cs="宋体"/>
                <w:color w:val="auto"/>
                <w:sz w:val="24"/>
                <w:szCs w:val="24"/>
              </w:rPr>
            </w:pPr>
            <w:r>
              <w:rPr>
                <w:rFonts w:hint="eastAsia" w:ascii="宋体" w:hAnsi="宋体" w:cs="宋体"/>
                <w:color w:val="auto"/>
                <w:sz w:val="24"/>
                <w:szCs w:val="24"/>
              </w:rPr>
              <w:t>划定标准为：中小企业划分标准（见工业和信息化部国家统计局国家发展和改革委员财政部《关于印发中小企业划型标准规定的通知》（工信部联企业〔2011〕300号)）。</w:t>
            </w:r>
          </w:p>
        </w:tc>
      </w:tr>
      <w:tr w14:paraId="658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tcBorders>
              <w:top w:val="single" w:color="auto" w:sz="4" w:space="0"/>
              <w:left w:val="single" w:color="auto" w:sz="4" w:space="0"/>
              <w:bottom w:val="single" w:color="auto" w:sz="4" w:space="0"/>
              <w:right w:val="single" w:color="auto" w:sz="4" w:space="0"/>
            </w:tcBorders>
            <w:vAlign w:val="center"/>
          </w:tcPr>
          <w:p w14:paraId="78E4267D">
            <w:pPr>
              <w:jc w:val="center"/>
              <w:rPr>
                <w:rFonts w:ascii="宋体" w:hAnsi="宋体" w:cs="宋体"/>
                <w:sz w:val="24"/>
                <w:szCs w:val="24"/>
              </w:rPr>
            </w:pPr>
            <w:r>
              <w:rPr>
                <w:rFonts w:hint="eastAsia" w:ascii="宋体" w:hAnsi="宋体" w:cs="宋体"/>
                <w:sz w:val="24"/>
                <w:szCs w:val="24"/>
              </w:rPr>
              <w:t>8.8</w:t>
            </w:r>
          </w:p>
        </w:tc>
        <w:tc>
          <w:tcPr>
            <w:tcW w:w="1701" w:type="dxa"/>
            <w:tcBorders>
              <w:top w:val="single" w:color="auto" w:sz="4" w:space="0"/>
              <w:left w:val="nil"/>
              <w:bottom w:val="single" w:color="auto" w:sz="4" w:space="0"/>
              <w:right w:val="single" w:color="auto" w:sz="4" w:space="0"/>
            </w:tcBorders>
            <w:vAlign w:val="center"/>
          </w:tcPr>
          <w:p w14:paraId="5F636A91">
            <w:pPr>
              <w:rPr>
                <w:rFonts w:ascii="宋体" w:hAnsi="宋体" w:cs="宋体"/>
                <w:sz w:val="24"/>
                <w:szCs w:val="24"/>
              </w:rPr>
            </w:pPr>
            <w:r>
              <w:rPr>
                <w:rFonts w:hint="eastAsia" w:ascii="宋体" w:hAnsi="宋体" w:cs="宋体"/>
                <w:sz w:val="24"/>
                <w:szCs w:val="24"/>
              </w:rPr>
              <w:t>电子化交易注</w:t>
            </w:r>
          </w:p>
          <w:p w14:paraId="71AB631C">
            <w:pPr>
              <w:rPr>
                <w:rFonts w:ascii="宋体" w:hAnsi="宋体" w:cs="宋体"/>
                <w:sz w:val="24"/>
                <w:szCs w:val="24"/>
              </w:rPr>
            </w:pPr>
            <w:r>
              <w:rPr>
                <w:rFonts w:hint="eastAsia" w:ascii="宋体" w:hAnsi="宋体" w:cs="宋体"/>
                <w:sz w:val="24"/>
                <w:szCs w:val="24"/>
              </w:rPr>
              <w:t>意事项</w:t>
            </w:r>
          </w:p>
        </w:tc>
        <w:tc>
          <w:tcPr>
            <w:tcW w:w="6945" w:type="dxa"/>
            <w:gridSpan w:val="2"/>
            <w:tcBorders>
              <w:top w:val="single" w:color="auto" w:sz="4" w:space="0"/>
              <w:left w:val="nil"/>
              <w:bottom w:val="single" w:color="auto" w:sz="4" w:space="0"/>
              <w:right w:val="single" w:color="auto" w:sz="4" w:space="0"/>
            </w:tcBorders>
            <w:vAlign w:val="center"/>
          </w:tcPr>
          <w:p w14:paraId="42D46F69">
            <w:pPr>
              <w:ind w:firstLine="480" w:firstLineChars="200"/>
              <w:rPr>
                <w:rFonts w:ascii="宋体" w:hAnsi="宋体"/>
                <w:sz w:val="24"/>
                <w:szCs w:val="24"/>
              </w:rPr>
            </w:pPr>
            <w:r>
              <w:rPr>
                <w:rFonts w:hint="eastAsia" w:ascii="宋体" w:hAnsi="宋体"/>
                <w:sz w:val="24"/>
                <w:szCs w:val="24"/>
              </w:rPr>
              <w:t>具体要求：本项目为电子化、无纸化交易项目，响应文件是供应商通过中心响应文件制作系统制作，并经过签章和加密后生成的电子版响应文件。</w:t>
            </w:r>
          </w:p>
          <w:p w14:paraId="5494D278">
            <w:pPr>
              <w:rPr>
                <w:rFonts w:ascii="宋体" w:hAnsi="宋体"/>
                <w:sz w:val="24"/>
                <w:szCs w:val="24"/>
              </w:rPr>
            </w:pPr>
            <w:r>
              <w:rPr>
                <w:rFonts w:hint="eastAsia" w:ascii="宋体" w:hAnsi="宋体"/>
                <w:sz w:val="24"/>
                <w:szCs w:val="24"/>
              </w:rPr>
              <w:t>温馨提示：本项目为电子化、无纸化交易项目，为保证您能投标成功，请需仔细阅读以下条款。</w:t>
            </w:r>
          </w:p>
          <w:p w14:paraId="2634AF7A">
            <w:pPr>
              <w:spacing w:line="360" w:lineRule="auto"/>
              <w:rPr>
                <w:rFonts w:ascii="宋体" w:hAnsi="宋体"/>
                <w:color w:val="000000"/>
                <w:sz w:val="24"/>
              </w:rPr>
            </w:pPr>
            <w:r>
              <w:rPr>
                <w:rFonts w:ascii="宋体" w:hAnsi="宋体"/>
                <w:color w:val="000000"/>
                <w:sz w:val="24"/>
              </w:rPr>
              <w:t>一、电子化投标</w:t>
            </w:r>
          </w:p>
          <w:p w14:paraId="4EF03C8C">
            <w:pPr>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）电子化投标文件的签章</w:t>
            </w:r>
          </w:p>
          <w:p w14:paraId="4CDF5F87">
            <w:pPr>
              <w:rPr>
                <w:rFonts w:ascii="宋体" w:hAnsi="宋体"/>
                <w:sz w:val="24"/>
                <w:szCs w:val="24"/>
              </w:rPr>
            </w:pPr>
            <w:r>
              <w:rPr>
                <w:rFonts w:ascii="宋体" w:hAnsi="宋体"/>
                <w:sz w:val="24"/>
                <w:szCs w:val="24"/>
              </w:rPr>
              <w:t>1、供应商在生成电子化投标文件后，应对电子化投标文件进行签章，未进行签章的视为无效投标。</w:t>
            </w:r>
          </w:p>
          <w:p w14:paraId="7B319EFF">
            <w:pPr>
              <w:rPr>
                <w:rFonts w:ascii="宋体" w:hAnsi="宋体"/>
                <w:sz w:val="24"/>
                <w:szCs w:val="24"/>
              </w:rPr>
            </w:pPr>
            <w:r>
              <w:rPr>
                <w:rFonts w:ascii="宋体" w:hAnsi="宋体"/>
                <w:sz w:val="24"/>
                <w:szCs w:val="24"/>
              </w:rPr>
              <w:t>2、</w:t>
            </w:r>
            <w:r>
              <w:rPr>
                <w:rFonts w:hint="eastAsia" w:ascii="宋体" w:hAnsi="宋体"/>
                <w:sz w:val="24"/>
                <w:szCs w:val="24"/>
              </w:rPr>
              <w:t>磋商</w:t>
            </w:r>
            <w:r>
              <w:rPr>
                <w:rFonts w:ascii="宋体" w:hAnsi="宋体"/>
                <w:sz w:val="24"/>
                <w:szCs w:val="24"/>
              </w:rPr>
              <w:t>文件中要求法定代表人或授权委托人签字或盖章的，供应商在进行电子化投标文件签章时，以签盖法定代表人签章为准。</w:t>
            </w:r>
          </w:p>
          <w:p w14:paraId="0C9A7884">
            <w:pPr>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）电子化投标文件的格式及上传</w:t>
            </w:r>
          </w:p>
          <w:p w14:paraId="158E5629">
            <w:pPr>
              <w:ind w:firstLine="240" w:firstLineChars="100"/>
              <w:rPr>
                <w:rFonts w:ascii="宋体" w:hAnsi="宋体"/>
                <w:sz w:val="24"/>
                <w:szCs w:val="24"/>
              </w:rPr>
            </w:pPr>
            <w:r>
              <w:rPr>
                <w:rFonts w:hint="eastAsia" w:ascii="宋体" w:hAnsi="宋体"/>
                <w:sz w:val="24"/>
                <w:szCs w:val="24"/>
              </w:rPr>
              <w:t>1、供应商所上传的电子化响应文件，应是通过中心响应文件制作系统制作的，经过签章和加密后生成的电子版响应文件。其中包含用于响应文件上传的主文件（后缀为.smxtf）和用于应急补救的投标文件备份文件（后缀为.nsmxtf）。备份文件主要用于电子化磋商出现技术问题后的补救，请供应商随身携带。</w:t>
            </w:r>
          </w:p>
          <w:p w14:paraId="4D1B5D05">
            <w:pPr>
              <w:rPr>
                <w:rFonts w:ascii="宋体" w:hAnsi="宋体"/>
                <w:sz w:val="24"/>
                <w:szCs w:val="24"/>
              </w:rPr>
            </w:pPr>
            <w:r>
              <w:rPr>
                <w:rFonts w:hint="eastAsia" w:ascii="宋体" w:hAnsi="宋体"/>
                <w:sz w:val="24"/>
                <w:szCs w:val="24"/>
              </w:rPr>
              <w:t>注：供应商投报多个标段的，需要每个标段单独制作电子响应文件。</w:t>
            </w:r>
          </w:p>
          <w:p w14:paraId="5E32AFCE">
            <w:pPr>
              <w:ind w:firstLine="240" w:firstLineChars="100"/>
              <w:rPr>
                <w:rFonts w:ascii="宋体" w:hAnsi="宋体"/>
                <w:sz w:val="24"/>
                <w:szCs w:val="24"/>
              </w:rPr>
            </w:pPr>
            <w:r>
              <w:rPr>
                <w:rFonts w:hint="eastAsia" w:ascii="宋体" w:hAnsi="宋体"/>
                <w:sz w:val="24"/>
                <w:szCs w:val="24"/>
              </w:rPr>
              <w:t>2、电子化响应文件应在磋商截止时间前成功上传至三门峡市公共资源电子化交易系统。至磋商截止时间止，仍未上传成功的电子化响应文件将不予接收。</w:t>
            </w:r>
          </w:p>
          <w:p w14:paraId="2FB3AFC1">
            <w:pPr>
              <w:rPr>
                <w:rFonts w:ascii="宋体" w:hAnsi="宋体"/>
                <w:sz w:val="24"/>
                <w:szCs w:val="24"/>
              </w:rPr>
            </w:pPr>
            <w:r>
              <w:rPr>
                <w:rFonts w:hint="eastAsia" w:ascii="宋体" w:hAnsi="宋体"/>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14:paraId="7D01AAA5">
            <w:pPr>
              <w:rPr>
                <w:rFonts w:ascii="宋体" w:hAnsi="宋体"/>
                <w:sz w:val="24"/>
                <w:szCs w:val="24"/>
              </w:rPr>
            </w:pPr>
            <w:r>
              <w:rPr>
                <w:rFonts w:hint="eastAsia" w:ascii="宋体" w:hAnsi="宋体" w:cs="宋体"/>
                <w:color w:val="000000"/>
                <w:sz w:val="24"/>
                <w:szCs w:val="24"/>
              </w:rPr>
              <w:t>新点客服电话:4009980000</w:t>
            </w:r>
          </w:p>
          <w:p w14:paraId="7D2BF9B6">
            <w:pPr>
              <w:rPr>
                <w:rFonts w:ascii="宋体" w:hAnsi="宋体"/>
                <w:sz w:val="24"/>
                <w:szCs w:val="24"/>
              </w:rPr>
            </w:pPr>
            <w:r>
              <w:rPr>
                <w:rFonts w:ascii="宋体" w:hAnsi="宋体"/>
                <w:sz w:val="24"/>
                <w:szCs w:val="24"/>
              </w:rPr>
              <w:t>（四）电子化项目开标、解密、唱标、评标</w:t>
            </w:r>
          </w:p>
          <w:p w14:paraId="77133D7B">
            <w:pPr>
              <w:ind w:firstLine="240" w:firstLineChars="100"/>
              <w:jc w:val="left"/>
              <w:rPr>
                <w:rFonts w:ascii="宋体" w:hAnsi="宋体"/>
                <w:sz w:val="24"/>
                <w:szCs w:val="24"/>
              </w:rPr>
            </w:pPr>
            <w:r>
              <w:rPr>
                <w:rFonts w:ascii="宋体" w:hAnsi="宋体"/>
                <w:sz w:val="24"/>
                <w:szCs w:val="24"/>
              </w:rPr>
              <w:t>1、</w:t>
            </w:r>
            <w:r>
              <w:rPr>
                <w:rFonts w:hint="eastAsia" w:ascii="宋体" w:hAnsi="宋体"/>
                <w:sz w:val="24"/>
                <w:szCs w:val="24"/>
              </w:rPr>
              <w:t>本项目采用电子化、无纸化进行磋商，磋商当日，供应商无需到磋商现场参加开标会议，供应商应当在磋商截止时间前，登陆不见面开标大厅选择登陆三门峡市公共资源电子招投标系统进行登陆（网址为</w:t>
            </w:r>
            <w:r>
              <w:rPr>
                <w:rFonts w:hint="eastAsia" w:ascii="宋体" w:hAnsi="宋体"/>
                <w:color w:val="000000"/>
                <w:sz w:val="24"/>
                <w:szCs w:val="24"/>
              </w:rPr>
              <w:t>http://120.194.249.36:10094/BidOpening/bidopeninghallaction/hall/login</w:t>
            </w:r>
            <w:r>
              <w:rPr>
                <w:rFonts w:hint="eastAsia" w:ascii="宋体" w:hAnsi="宋体"/>
                <w:sz w:val="24"/>
                <w:szCs w:val="24"/>
              </w:rPr>
              <w:t>）,在线准时参加开标活动并进行投标文件解密等</w:t>
            </w:r>
          </w:p>
          <w:p w14:paraId="5042DCFB">
            <w:pPr>
              <w:ind w:firstLine="240" w:firstLineChars="100"/>
              <w:rPr>
                <w:rFonts w:ascii="宋体" w:hAnsi="宋体"/>
                <w:sz w:val="24"/>
                <w:szCs w:val="24"/>
              </w:rPr>
            </w:pPr>
            <w:r>
              <w:rPr>
                <w:rFonts w:ascii="宋体" w:hAnsi="宋体"/>
                <w:sz w:val="24"/>
                <w:szCs w:val="24"/>
              </w:rPr>
              <w:t>2、</w:t>
            </w:r>
            <w:r>
              <w:rPr>
                <w:rFonts w:hint="eastAsia" w:ascii="宋体" w:hAnsi="宋体"/>
                <w:sz w:val="24"/>
                <w:szCs w:val="24"/>
              </w:rPr>
              <w:t>电子化响应文件采用一次加密方式。磋商时，由供应商使用CA 证书，在规定时间内对其电子化响应文件进行解密。每位供应商的解密时间为磋商时间起30 分钟内，如在规定时间内未完成解密的，其响应文件不予接收。</w:t>
            </w:r>
          </w:p>
          <w:p w14:paraId="653A3C73">
            <w:pPr>
              <w:ind w:firstLine="240" w:firstLineChars="100"/>
              <w:rPr>
                <w:rFonts w:ascii="宋体" w:hAnsi="宋体"/>
                <w:sz w:val="24"/>
                <w:szCs w:val="24"/>
              </w:rPr>
            </w:pPr>
            <w:r>
              <w:rPr>
                <w:rFonts w:ascii="宋体" w:hAnsi="宋体"/>
                <w:sz w:val="24"/>
                <w:szCs w:val="24"/>
              </w:rPr>
              <w:t>3、电子化投标文件异常情况的处理</w:t>
            </w:r>
          </w:p>
          <w:p w14:paraId="65BF09F5">
            <w:pPr>
              <w:rPr>
                <w:rFonts w:ascii="宋体" w:hAnsi="宋体"/>
                <w:sz w:val="24"/>
                <w:szCs w:val="24"/>
              </w:rPr>
            </w:pPr>
            <w:r>
              <w:rPr>
                <w:rFonts w:ascii="宋体" w:hAnsi="宋体"/>
                <w:sz w:val="24"/>
                <w:szCs w:val="24"/>
              </w:rPr>
              <w:t>如出现供应商的电子投标文件无法解密等异常情况，供应商应及时致电中介服务机构说明。投标文件异常，按以下步骤进行处理：</w:t>
            </w:r>
          </w:p>
          <w:p w14:paraId="74F60E14">
            <w:pPr>
              <w:rPr>
                <w:rFonts w:ascii="宋体" w:hAnsi="宋体"/>
                <w:sz w:val="24"/>
                <w:szCs w:val="24"/>
              </w:rPr>
            </w:pPr>
            <w:r>
              <w:rPr>
                <w:rFonts w:hint="eastAsia" w:ascii="宋体" w:hAnsi="宋体"/>
                <w:sz w:val="24"/>
                <w:szCs w:val="24"/>
              </w:rPr>
              <w:t>（1）首先由技术人员进行问题排查。</w:t>
            </w:r>
          </w:p>
          <w:p w14:paraId="248840A0">
            <w:pPr>
              <w:rPr>
                <w:rFonts w:ascii="宋体" w:hAnsi="宋体"/>
                <w:sz w:val="24"/>
                <w:szCs w:val="24"/>
              </w:rPr>
            </w:pPr>
            <w:r>
              <w:rPr>
                <w:rFonts w:hint="eastAsia" w:ascii="宋体" w:hAnsi="宋体"/>
                <w:sz w:val="24"/>
                <w:szCs w:val="24"/>
              </w:rPr>
              <w:t>（2）经技术人员排查后，是供应商文件自身问题导致投标文件无法解密的，该响应文件将不予接收、解密。磋商会议继续进行。</w:t>
            </w:r>
          </w:p>
          <w:p w14:paraId="51362763">
            <w:pPr>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磋商会议，待问题解决后继续磋商。</w:t>
            </w:r>
          </w:p>
          <w:p w14:paraId="475AF268">
            <w:pPr>
              <w:ind w:firstLine="240" w:firstLineChars="100"/>
              <w:rPr>
                <w:rFonts w:ascii="宋体" w:hAnsi="宋体"/>
                <w:sz w:val="24"/>
                <w:szCs w:val="24"/>
              </w:rPr>
            </w:pPr>
            <w:r>
              <w:rPr>
                <w:rFonts w:ascii="宋体" w:hAnsi="宋体"/>
                <w:sz w:val="24"/>
                <w:szCs w:val="24"/>
              </w:rPr>
              <w:t>4、待所有供应商投标文件解密完成后，由中介服务机构操作，对所有已解密投标文件进行</w:t>
            </w:r>
            <w:r>
              <w:rPr>
                <w:rFonts w:hint="eastAsia" w:ascii="宋体" w:hAnsi="宋体"/>
                <w:sz w:val="24"/>
                <w:szCs w:val="24"/>
              </w:rPr>
              <w:t>上传</w:t>
            </w:r>
            <w:r>
              <w:rPr>
                <w:rFonts w:ascii="宋体" w:hAnsi="宋体"/>
                <w:sz w:val="24"/>
                <w:szCs w:val="24"/>
              </w:rPr>
              <w:t>。供应商应保证在</w:t>
            </w:r>
            <w:r>
              <w:rPr>
                <w:rFonts w:hint="eastAsia" w:ascii="宋体" w:hAnsi="宋体"/>
                <w:sz w:val="24"/>
                <w:szCs w:val="24"/>
              </w:rPr>
              <w:t>磋商</w:t>
            </w:r>
            <w:r>
              <w:rPr>
                <w:rFonts w:ascii="宋体" w:hAnsi="宋体"/>
                <w:sz w:val="24"/>
                <w:szCs w:val="24"/>
              </w:rPr>
              <w:t>期间电话、电脑、网络能够正常工作，供应商因停电、电脑病毒、网络堵塞等原因，未在规定的解密时间内对投标文件进行解密的，其投标文件不予接收、唱标。</w:t>
            </w:r>
          </w:p>
          <w:p w14:paraId="1F53EF0A">
            <w:pPr>
              <w:ind w:firstLine="240" w:firstLineChars="100"/>
              <w:rPr>
                <w:rFonts w:ascii="宋体" w:hAnsi="宋体"/>
                <w:sz w:val="24"/>
                <w:szCs w:val="24"/>
              </w:rPr>
            </w:pPr>
            <w:r>
              <w:rPr>
                <w:rFonts w:ascii="宋体" w:hAnsi="宋体"/>
                <w:sz w:val="24"/>
                <w:szCs w:val="24"/>
              </w:rPr>
              <w:t>5、</w:t>
            </w:r>
            <w:r>
              <w:rPr>
                <w:rFonts w:hint="eastAsia" w:ascii="宋体" w:hAnsi="宋体"/>
                <w:sz w:val="24"/>
                <w:szCs w:val="24"/>
              </w:rPr>
              <w:t>磋商</w:t>
            </w:r>
            <w:r>
              <w:rPr>
                <w:rFonts w:ascii="宋体" w:hAnsi="宋体"/>
                <w:sz w:val="24"/>
                <w:szCs w:val="24"/>
              </w:rPr>
              <w:t>时供应商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91FC3E1">
            <w:pPr>
              <w:ind w:firstLine="240" w:firstLineChars="100"/>
              <w:rPr>
                <w:rFonts w:ascii="宋体" w:hAnsi="宋体"/>
                <w:sz w:val="24"/>
                <w:szCs w:val="24"/>
              </w:rPr>
            </w:pPr>
            <w:r>
              <w:rPr>
                <w:rFonts w:ascii="宋体" w:hAnsi="宋体"/>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1FF9A22B">
            <w:pPr>
              <w:ind w:firstLine="240" w:firstLineChars="100"/>
              <w:rPr>
                <w:rFonts w:ascii="宋体" w:hAnsi="宋体"/>
                <w:sz w:val="24"/>
                <w:szCs w:val="24"/>
              </w:rPr>
            </w:pPr>
            <w:r>
              <w:rPr>
                <w:rFonts w:ascii="宋体" w:hAnsi="宋体"/>
                <w:sz w:val="24"/>
                <w:szCs w:val="24"/>
              </w:rPr>
              <w:t>7、如评标委员会对需要回复的供应商连续三次致电未接通的，视为供应商放弃回复，评标委员会将自行对需要回复的内容进行认定。</w:t>
            </w:r>
          </w:p>
          <w:p w14:paraId="021990DE">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4520CF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03E8AD95">
            <w:pPr>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46DFC0A8">
      <w:pPr>
        <w:spacing w:line="520" w:lineRule="exact"/>
        <w:ind w:firstLine="482" w:firstLineChars="200"/>
        <w:rPr>
          <w:rFonts w:ascii="宋体" w:hAnsi="宋体" w:cs="宋体"/>
          <w:b/>
          <w:bCs/>
          <w:kern w:val="0"/>
          <w:sz w:val="24"/>
          <w:szCs w:val="24"/>
        </w:rPr>
      </w:pPr>
      <w:bookmarkStart w:id="19" w:name="_Toc270604617"/>
      <w:bookmarkStart w:id="20" w:name="_Toc254788523"/>
      <w:bookmarkStart w:id="21" w:name="_Toc256519755"/>
      <w:bookmarkStart w:id="22" w:name="_Toc271556721"/>
      <w:r>
        <w:rPr>
          <w:rFonts w:hint="eastAsia" w:ascii="宋体" w:hAnsi="宋体" w:cs="宋体"/>
          <w:b/>
          <w:bCs/>
          <w:kern w:val="0"/>
          <w:sz w:val="24"/>
          <w:szCs w:val="24"/>
        </w:rPr>
        <w:t>1.总则</w:t>
      </w:r>
    </w:p>
    <w:p w14:paraId="19C6A652">
      <w:pPr>
        <w:spacing w:line="520" w:lineRule="exact"/>
        <w:ind w:firstLine="482" w:firstLineChars="200"/>
        <w:rPr>
          <w:rFonts w:ascii="宋体" w:hAnsi="宋体" w:cs="宋体"/>
          <w:b/>
          <w:bCs/>
          <w:kern w:val="0"/>
          <w:sz w:val="24"/>
          <w:szCs w:val="24"/>
        </w:rPr>
      </w:pPr>
      <w:r>
        <w:rPr>
          <w:rFonts w:hint="eastAsia" w:ascii="宋体" w:hAnsi="宋体" w:cs="宋体"/>
          <w:b/>
          <w:bCs/>
          <w:kern w:val="0"/>
          <w:sz w:val="24"/>
          <w:szCs w:val="24"/>
        </w:rPr>
        <w:t>1.1项目概况</w:t>
      </w:r>
    </w:p>
    <w:p w14:paraId="5C2F39CE">
      <w:pPr>
        <w:spacing w:line="520" w:lineRule="exact"/>
        <w:ind w:firstLine="480" w:firstLineChars="200"/>
        <w:rPr>
          <w:rFonts w:ascii="宋体" w:hAnsi="宋体" w:cs="宋体"/>
          <w:sz w:val="24"/>
          <w:szCs w:val="24"/>
        </w:rPr>
      </w:pPr>
      <w:r>
        <w:rPr>
          <w:rFonts w:hint="eastAsia" w:ascii="宋体" w:hAnsi="宋体" w:cs="宋体"/>
          <w:sz w:val="24"/>
          <w:szCs w:val="24"/>
        </w:rPr>
        <w:t>1.1.1 根据《中华人民共和国政府采购法》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《中华人民共和国政府采购法</w:t>
      </w:r>
      <w:r>
        <w:rPr>
          <w:rFonts w:hint="eastAsia" w:ascii="宋体" w:hAnsi="宋体" w:cs="宋体"/>
          <w:sz w:val="24"/>
          <w:szCs w:val="24"/>
          <w:lang w:val="en-US" w:eastAsia="zh-CN"/>
        </w:rPr>
        <w:t>实施条例</w:t>
      </w:r>
      <w:r>
        <w:rPr>
          <w:rFonts w:hint="eastAsia" w:ascii="宋体" w:hAnsi="宋体" w:cs="宋体"/>
          <w:sz w:val="24"/>
          <w:szCs w:val="24"/>
        </w:rPr>
        <w:t>》等有关法律、法规和规章的规定，本项目已具备</w:t>
      </w:r>
      <w:r>
        <w:rPr>
          <w:rFonts w:hint="eastAsia" w:ascii="宋体" w:hAnsi="宋体" w:cs="宋体"/>
          <w:sz w:val="24"/>
          <w:szCs w:val="24"/>
          <w:lang w:val="en-US" w:eastAsia="zh-CN"/>
        </w:rPr>
        <w:t>采购</w:t>
      </w:r>
      <w:r>
        <w:rPr>
          <w:rFonts w:hint="eastAsia" w:ascii="宋体" w:hAnsi="宋体" w:cs="宋体"/>
          <w:sz w:val="24"/>
          <w:szCs w:val="24"/>
        </w:rPr>
        <w:t>条件，现对本项目进行竞争性磋商。</w:t>
      </w:r>
    </w:p>
    <w:p w14:paraId="6BD5E693">
      <w:pPr>
        <w:spacing w:line="520" w:lineRule="exact"/>
        <w:ind w:firstLine="480" w:firstLineChars="200"/>
        <w:rPr>
          <w:rFonts w:ascii="宋体" w:hAnsi="宋体" w:cs="宋体"/>
          <w:sz w:val="24"/>
          <w:szCs w:val="24"/>
        </w:rPr>
      </w:pPr>
      <w:r>
        <w:rPr>
          <w:rFonts w:hint="eastAsia" w:ascii="宋体" w:hAnsi="宋体" w:cs="宋体"/>
          <w:sz w:val="24"/>
          <w:szCs w:val="24"/>
        </w:rPr>
        <w:t>1.1.2 本项目</w:t>
      </w:r>
      <w:r>
        <w:rPr>
          <w:rFonts w:hint="eastAsia" w:ascii="宋体" w:hAnsi="宋体" w:cs="宋体"/>
          <w:sz w:val="24"/>
          <w:szCs w:val="24"/>
          <w:lang w:val="en-US" w:eastAsia="zh-CN"/>
        </w:rPr>
        <w:t>采购</w:t>
      </w:r>
      <w:r>
        <w:rPr>
          <w:rFonts w:hint="eastAsia" w:ascii="宋体" w:hAnsi="宋体" w:cs="宋体"/>
          <w:sz w:val="24"/>
          <w:szCs w:val="24"/>
        </w:rPr>
        <w:t>人：见供应商须知前附表。</w:t>
      </w:r>
    </w:p>
    <w:p w14:paraId="48A9C5E5">
      <w:pPr>
        <w:spacing w:line="520" w:lineRule="exact"/>
        <w:ind w:firstLine="480" w:firstLineChars="200"/>
        <w:rPr>
          <w:rFonts w:ascii="宋体" w:hAnsi="宋体" w:cs="宋体"/>
          <w:sz w:val="24"/>
          <w:szCs w:val="24"/>
        </w:rPr>
      </w:pPr>
      <w:r>
        <w:rPr>
          <w:rFonts w:hint="eastAsia" w:ascii="宋体" w:hAnsi="宋体" w:cs="宋体"/>
          <w:sz w:val="24"/>
          <w:szCs w:val="24"/>
        </w:rPr>
        <w:t>1.1.3 本项目招标代理机构：见供应商须知前附表。</w:t>
      </w:r>
    </w:p>
    <w:p w14:paraId="78DEE063">
      <w:pPr>
        <w:spacing w:line="520" w:lineRule="exact"/>
        <w:ind w:firstLine="480" w:firstLineChars="200"/>
        <w:rPr>
          <w:rFonts w:ascii="宋体" w:hAnsi="宋体" w:cs="宋体"/>
          <w:sz w:val="24"/>
          <w:szCs w:val="24"/>
        </w:rPr>
      </w:pPr>
      <w:r>
        <w:rPr>
          <w:rFonts w:hint="eastAsia" w:ascii="宋体" w:hAnsi="宋体" w:cs="宋体"/>
          <w:sz w:val="24"/>
          <w:szCs w:val="24"/>
        </w:rPr>
        <w:t>1.1.4 本项目名称：见供应商须知前附表。</w:t>
      </w:r>
    </w:p>
    <w:p w14:paraId="6EBC7024">
      <w:pPr>
        <w:spacing w:line="520" w:lineRule="exact"/>
        <w:ind w:firstLine="480" w:firstLineChars="200"/>
        <w:rPr>
          <w:rFonts w:ascii="宋体" w:hAnsi="宋体" w:cs="宋体"/>
          <w:sz w:val="24"/>
          <w:szCs w:val="24"/>
        </w:rPr>
      </w:pPr>
      <w:r>
        <w:rPr>
          <w:rFonts w:hint="eastAsia" w:ascii="宋体" w:hAnsi="宋体" w:cs="宋体"/>
          <w:sz w:val="24"/>
          <w:szCs w:val="24"/>
        </w:rPr>
        <w:t>1.1.5 本项目地点：见供应商须知前附表。</w:t>
      </w:r>
    </w:p>
    <w:p w14:paraId="0AB63F4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1.2 资金来源</w:t>
      </w:r>
    </w:p>
    <w:p w14:paraId="310DCC5D">
      <w:pPr>
        <w:spacing w:line="520" w:lineRule="exact"/>
        <w:ind w:firstLine="480" w:firstLineChars="200"/>
        <w:rPr>
          <w:rFonts w:ascii="宋体" w:hAnsi="宋体" w:cs="宋体"/>
          <w:sz w:val="24"/>
          <w:szCs w:val="24"/>
        </w:rPr>
      </w:pPr>
      <w:r>
        <w:rPr>
          <w:rFonts w:hint="eastAsia" w:ascii="宋体" w:hAnsi="宋体" w:cs="宋体"/>
          <w:sz w:val="24"/>
          <w:szCs w:val="24"/>
        </w:rPr>
        <w:t>1.2.1 本项目的资金来源：见供应商须知前附表。</w:t>
      </w:r>
    </w:p>
    <w:p w14:paraId="7DBDE714">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1.3 磋商范围、服务周期和质量要求</w:t>
      </w:r>
    </w:p>
    <w:p w14:paraId="456BEA37">
      <w:pPr>
        <w:spacing w:line="520" w:lineRule="exact"/>
        <w:ind w:firstLine="480" w:firstLineChars="200"/>
        <w:rPr>
          <w:rFonts w:ascii="宋体" w:hAnsi="宋体" w:cs="宋体"/>
          <w:sz w:val="24"/>
          <w:szCs w:val="24"/>
        </w:rPr>
      </w:pPr>
      <w:r>
        <w:rPr>
          <w:rFonts w:hint="eastAsia" w:ascii="宋体" w:hAnsi="宋体" w:cs="宋体"/>
          <w:sz w:val="24"/>
          <w:szCs w:val="24"/>
        </w:rPr>
        <w:t>1.3.1 本次磋商范围：见供应商须知前附表。</w:t>
      </w:r>
    </w:p>
    <w:p w14:paraId="591573A0">
      <w:pPr>
        <w:spacing w:line="520" w:lineRule="exact"/>
        <w:ind w:firstLine="480" w:firstLineChars="200"/>
        <w:rPr>
          <w:rFonts w:ascii="宋体" w:hAnsi="宋体" w:cs="宋体"/>
          <w:sz w:val="24"/>
          <w:szCs w:val="24"/>
        </w:rPr>
      </w:pPr>
      <w:r>
        <w:rPr>
          <w:rFonts w:hint="eastAsia" w:ascii="宋体" w:hAnsi="宋体" w:cs="宋体"/>
          <w:sz w:val="24"/>
          <w:szCs w:val="24"/>
        </w:rPr>
        <w:t>1.3.2 本项目服务周期：见供应商须知前附表。</w:t>
      </w:r>
    </w:p>
    <w:p w14:paraId="4FB4F5B5">
      <w:pPr>
        <w:spacing w:line="520" w:lineRule="exact"/>
        <w:ind w:firstLine="480" w:firstLineChars="200"/>
        <w:rPr>
          <w:rFonts w:ascii="宋体" w:hAnsi="宋体" w:cs="宋体"/>
          <w:sz w:val="24"/>
          <w:szCs w:val="24"/>
        </w:rPr>
      </w:pPr>
      <w:r>
        <w:rPr>
          <w:rFonts w:hint="eastAsia" w:ascii="宋体" w:hAnsi="宋体" w:cs="宋体"/>
          <w:sz w:val="24"/>
          <w:szCs w:val="24"/>
        </w:rPr>
        <w:t>1.3.3 本项目的质量要求：见供应商须知前附表。</w:t>
      </w:r>
    </w:p>
    <w:p w14:paraId="18F68BC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1.4供应商资格要求</w:t>
      </w:r>
    </w:p>
    <w:p w14:paraId="66173E84">
      <w:pPr>
        <w:spacing w:line="520" w:lineRule="exact"/>
        <w:ind w:firstLine="480" w:firstLineChars="200"/>
        <w:rPr>
          <w:rFonts w:ascii="宋体" w:hAnsi="宋体" w:cs="宋体"/>
          <w:sz w:val="24"/>
          <w:szCs w:val="24"/>
        </w:rPr>
      </w:pPr>
      <w:r>
        <w:rPr>
          <w:rFonts w:hint="eastAsia" w:ascii="宋体" w:hAnsi="宋体" w:cs="宋体"/>
          <w:sz w:val="24"/>
          <w:szCs w:val="24"/>
        </w:rPr>
        <w:t>1.4.1 供应商应具备承担本项目的资质条件、能力和信誉见前附表。</w:t>
      </w:r>
    </w:p>
    <w:p w14:paraId="4A50FF51">
      <w:pPr>
        <w:spacing w:line="520" w:lineRule="exact"/>
        <w:ind w:firstLine="480" w:firstLineChars="200"/>
        <w:rPr>
          <w:rFonts w:ascii="宋体" w:hAnsi="宋体" w:cs="宋体"/>
          <w:sz w:val="24"/>
          <w:szCs w:val="24"/>
        </w:rPr>
      </w:pPr>
      <w:r>
        <w:rPr>
          <w:rFonts w:hint="eastAsia" w:ascii="宋体" w:hAnsi="宋体" w:cs="宋体"/>
          <w:sz w:val="24"/>
          <w:szCs w:val="24"/>
        </w:rPr>
        <w:t>1.4.2 供应商不得存在下列情形之一：</w:t>
      </w:r>
    </w:p>
    <w:p w14:paraId="3D87B844">
      <w:pPr>
        <w:spacing w:line="520" w:lineRule="exact"/>
        <w:ind w:firstLine="480" w:firstLineChars="200"/>
        <w:rPr>
          <w:rFonts w:ascii="宋体" w:hAnsi="宋体" w:cs="宋体"/>
          <w:sz w:val="24"/>
          <w:szCs w:val="24"/>
        </w:rPr>
      </w:pPr>
      <w:r>
        <w:rPr>
          <w:rFonts w:hint="eastAsia" w:ascii="宋体" w:hAnsi="宋体" w:cs="宋体"/>
          <w:sz w:val="24"/>
          <w:szCs w:val="24"/>
        </w:rPr>
        <w:t>(l）为招标人不具有独立法人资格的附属机构（单位）；</w:t>
      </w:r>
    </w:p>
    <w:p w14:paraId="7FC15324">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）为本磋商项目提供采购代理服务的；</w:t>
      </w:r>
    </w:p>
    <w:p w14:paraId="6465D285">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）与本磋商项目的采购代理机构同为一个法定代表人的；</w:t>
      </w:r>
    </w:p>
    <w:p w14:paraId="0291F7CC">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）与本磋商项目的采购代理机构相互控股或参股的；</w:t>
      </w:r>
    </w:p>
    <w:p w14:paraId="078AD05E">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）与本磋商项目的采购代理机构相互任职或工作的；</w:t>
      </w:r>
    </w:p>
    <w:p w14:paraId="2D0630CA">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）被责令停业的；</w:t>
      </w:r>
    </w:p>
    <w:p w14:paraId="783BE98C">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）被暂停或取消磋商资格的；</w:t>
      </w:r>
    </w:p>
    <w:p w14:paraId="737A7AE0">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）财产被接管或冻结的；</w:t>
      </w:r>
    </w:p>
    <w:p w14:paraId="524A3A1E">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）在最近三年内有骗取成交或严重违约或</w:t>
      </w:r>
      <w:r>
        <w:rPr>
          <w:rFonts w:hint="eastAsia" w:ascii="宋体" w:hAnsi="宋体" w:cs="宋体"/>
          <w:sz w:val="24"/>
          <w:szCs w:val="24"/>
          <w:lang w:val="en-US" w:eastAsia="zh-CN"/>
        </w:rPr>
        <w:t>在履约过程中发生</w:t>
      </w:r>
      <w:r>
        <w:rPr>
          <w:rFonts w:hint="eastAsia" w:ascii="宋体" w:hAnsi="宋体" w:cs="宋体"/>
          <w:sz w:val="24"/>
          <w:szCs w:val="24"/>
        </w:rPr>
        <w:t>重大</w:t>
      </w:r>
      <w:r>
        <w:rPr>
          <w:rFonts w:hint="eastAsia" w:ascii="宋体" w:hAnsi="宋体" w:cs="宋体"/>
          <w:sz w:val="24"/>
          <w:szCs w:val="24"/>
          <w:lang w:val="en-US" w:eastAsia="zh-CN"/>
        </w:rPr>
        <w:t>安全</w:t>
      </w:r>
      <w:r>
        <w:rPr>
          <w:rFonts w:hint="eastAsia" w:ascii="宋体" w:hAnsi="宋体" w:cs="宋体"/>
          <w:sz w:val="24"/>
          <w:szCs w:val="24"/>
        </w:rPr>
        <w:t>问题的。</w:t>
      </w:r>
    </w:p>
    <w:p w14:paraId="5CD1FD8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1.5 费用承担</w:t>
      </w:r>
    </w:p>
    <w:p w14:paraId="6C77730F">
      <w:pPr>
        <w:spacing w:line="520" w:lineRule="exact"/>
        <w:ind w:firstLine="480" w:firstLineChars="200"/>
        <w:rPr>
          <w:rFonts w:ascii="宋体" w:hAnsi="宋体" w:cs="宋体"/>
          <w:sz w:val="24"/>
          <w:szCs w:val="24"/>
        </w:rPr>
      </w:pPr>
      <w:r>
        <w:rPr>
          <w:rFonts w:hint="eastAsia" w:ascii="宋体" w:hAnsi="宋体" w:cs="宋体"/>
          <w:sz w:val="24"/>
          <w:szCs w:val="24"/>
        </w:rPr>
        <w:t>供应商准备和参加磋商活动发生的费用自理。</w:t>
      </w:r>
    </w:p>
    <w:p w14:paraId="794089F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1.6 保密</w:t>
      </w:r>
    </w:p>
    <w:p w14:paraId="570F2349">
      <w:pPr>
        <w:spacing w:line="520" w:lineRule="exact"/>
        <w:ind w:firstLine="480" w:firstLineChars="200"/>
        <w:rPr>
          <w:rFonts w:ascii="宋体" w:hAnsi="宋体" w:cs="宋体"/>
          <w:sz w:val="24"/>
          <w:szCs w:val="24"/>
        </w:rPr>
      </w:pPr>
      <w:r>
        <w:rPr>
          <w:rFonts w:hint="eastAsia" w:ascii="宋体" w:hAnsi="宋体" w:cs="宋体"/>
          <w:sz w:val="24"/>
          <w:szCs w:val="24"/>
        </w:rPr>
        <w:t>参与磋商活动的各方应对磋商文件和响应文件中的商业和技术等秘密保密，违者应对由此造成的后果承担法律责任。</w:t>
      </w:r>
    </w:p>
    <w:p w14:paraId="190DE98F">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1.7 语言文字</w:t>
      </w:r>
    </w:p>
    <w:p w14:paraId="58E80144">
      <w:pPr>
        <w:spacing w:line="520" w:lineRule="exact"/>
        <w:ind w:firstLine="480" w:firstLineChars="200"/>
        <w:rPr>
          <w:rFonts w:ascii="宋体" w:hAnsi="宋体" w:cs="宋体"/>
          <w:sz w:val="24"/>
          <w:szCs w:val="24"/>
        </w:rPr>
      </w:pPr>
      <w:r>
        <w:rPr>
          <w:rFonts w:hint="eastAsia" w:ascii="宋体" w:hAnsi="宋体" w:cs="宋体"/>
          <w:sz w:val="24"/>
          <w:szCs w:val="24"/>
        </w:rPr>
        <w:t>除专用术语外，与磋商</w:t>
      </w:r>
      <w:r>
        <w:rPr>
          <w:rFonts w:hint="eastAsia" w:ascii="宋体" w:hAnsi="宋体" w:cs="宋体"/>
          <w:sz w:val="24"/>
          <w:szCs w:val="24"/>
          <w:lang w:val="en-US" w:eastAsia="zh-CN"/>
        </w:rPr>
        <w:t>招标</w:t>
      </w:r>
      <w:r>
        <w:rPr>
          <w:rFonts w:hint="eastAsia" w:ascii="宋体" w:hAnsi="宋体" w:cs="宋体"/>
          <w:sz w:val="24"/>
          <w:szCs w:val="24"/>
        </w:rPr>
        <w:t>有关的语言均使用中文。必要时专用术语应附有中文注释。</w:t>
      </w:r>
    </w:p>
    <w:p w14:paraId="4F41E6CE">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1.8 计量单位</w:t>
      </w:r>
    </w:p>
    <w:p w14:paraId="43B32513">
      <w:pPr>
        <w:spacing w:line="520" w:lineRule="exact"/>
        <w:ind w:firstLine="480" w:firstLineChars="200"/>
        <w:rPr>
          <w:rFonts w:ascii="宋体" w:hAnsi="宋体" w:cs="宋体"/>
          <w:sz w:val="24"/>
          <w:szCs w:val="24"/>
        </w:rPr>
      </w:pPr>
      <w:r>
        <w:rPr>
          <w:rFonts w:hint="eastAsia" w:ascii="宋体" w:hAnsi="宋体" w:cs="宋体"/>
          <w:sz w:val="24"/>
          <w:szCs w:val="24"/>
        </w:rPr>
        <w:t>所有计量均采用中华人民共和国法定计量单位。</w:t>
      </w:r>
    </w:p>
    <w:p w14:paraId="66C047F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1.9 踏勘现场</w:t>
      </w:r>
    </w:p>
    <w:p w14:paraId="28C637B8">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组织</w:t>
      </w:r>
      <w:r>
        <w:rPr>
          <w:rFonts w:hint="eastAsia" w:ascii="宋体" w:hAnsi="宋体" w:cs="宋体"/>
          <w:sz w:val="24"/>
          <w:szCs w:val="24"/>
          <w:lang w:eastAsia="zh-CN"/>
        </w:rPr>
        <w:t>，</w:t>
      </w:r>
      <w:r>
        <w:rPr>
          <w:rFonts w:hint="eastAsia" w:ascii="宋体" w:hAnsi="宋体" w:cs="宋体"/>
          <w:sz w:val="24"/>
          <w:szCs w:val="24"/>
          <w:lang w:val="en-US" w:eastAsia="zh-CN"/>
        </w:rPr>
        <w:t>具体内容详监本章供应商须知前附表。</w:t>
      </w:r>
    </w:p>
    <w:p w14:paraId="70755BA7">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1.10 磋商预备会</w:t>
      </w:r>
    </w:p>
    <w:p w14:paraId="5E691126">
      <w:pPr>
        <w:spacing w:line="520" w:lineRule="exact"/>
        <w:ind w:firstLine="480" w:firstLineChars="200"/>
        <w:rPr>
          <w:rFonts w:ascii="宋体" w:hAnsi="宋体" w:cs="宋体"/>
          <w:sz w:val="24"/>
          <w:szCs w:val="24"/>
        </w:rPr>
      </w:pPr>
      <w:r>
        <w:rPr>
          <w:rFonts w:hint="eastAsia" w:ascii="宋体" w:hAnsi="宋体" w:cs="宋体"/>
          <w:sz w:val="24"/>
          <w:szCs w:val="24"/>
        </w:rPr>
        <w:t>不组织</w:t>
      </w:r>
    </w:p>
    <w:p w14:paraId="5D51FC71">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1.11 分包</w:t>
      </w:r>
    </w:p>
    <w:p w14:paraId="0ACF66DC">
      <w:pPr>
        <w:spacing w:line="520" w:lineRule="exact"/>
        <w:ind w:firstLine="480" w:firstLineChars="200"/>
        <w:rPr>
          <w:rFonts w:ascii="宋体" w:hAnsi="宋体" w:cs="宋体"/>
          <w:sz w:val="24"/>
          <w:szCs w:val="24"/>
        </w:rPr>
      </w:pPr>
      <w:r>
        <w:rPr>
          <w:rFonts w:hint="eastAsia" w:ascii="宋体" w:hAnsi="宋体" w:cs="宋体"/>
          <w:sz w:val="24"/>
          <w:szCs w:val="24"/>
        </w:rPr>
        <w:t>不允许分包。</w:t>
      </w:r>
    </w:p>
    <w:p w14:paraId="5B17C4EC">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1.12 偏离</w:t>
      </w:r>
    </w:p>
    <w:p w14:paraId="2D7A869F">
      <w:pPr>
        <w:spacing w:line="520" w:lineRule="exact"/>
        <w:ind w:firstLine="480" w:firstLineChars="200"/>
        <w:rPr>
          <w:rFonts w:ascii="宋体" w:hAnsi="宋体" w:cs="宋体"/>
          <w:sz w:val="24"/>
          <w:szCs w:val="24"/>
        </w:rPr>
      </w:pPr>
      <w:bookmarkStart w:id="23" w:name="_Toc184635072"/>
      <w:bookmarkEnd w:id="23"/>
      <w:r>
        <w:rPr>
          <w:rFonts w:hint="eastAsia" w:ascii="宋体" w:hAnsi="宋体" w:cs="宋体"/>
          <w:sz w:val="24"/>
          <w:szCs w:val="24"/>
        </w:rPr>
        <w:t>不允计偏离</w:t>
      </w:r>
    </w:p>
    <w:p w14:paraId="2BE0914C">
      <w:pPr>
        <w:pStyle w:val="3"/>
        <w:spacing w:line="520" w:lineRule="exact"/>
        <w:rPr>
          <w:rFonts w:hAnsi="宋体"/>
          <w:sz w:val="24"/>
          <w:szCs w:val="24"/>
        </w:rPr>
      </w:pPr>
      <w:bookmarkStart w:id="24" w:name="_Toc466566784"/>
      <w:bookmarkEnd w:id="24"/>
      <w:bookmarkStart w:id="25" w:name="_Toc466566695"/>
      <w:bookmarkStart w:id="26" w:name="_Toc2220"/>
      <w:r>
        <w:rPr>
          <w:rFonts w:hint="eastAsia" w:hAnsi="宋体"/>
          <w:sz w:val="24"/>
          <w:szCs w:val="24"/>
        </w:rPr>
        <w:t>2．竞争性磋商文件</w:t>
      </w:r>
      <w:bookmarkEnd w:id="25"/>
      <w:bookmarkEnd w:id="26"/>
    </w:p>
    <w:p w14:paraId="5DC9AFFE">
      <w:pPr>
        <w:pStyle w:val="3"/>
        <w:spacing w:line="520" w:lineRule="exact"/>
        <w:rPr>
          <w:rFonts w:hAnsi="宋体"/>
          <w:sz w:val="24"/>
          <w:szCs w:val="24"/>
        </w:rPr>
      </w:pPr>
      <w:bookmarkStart w:id="27" w:name="_Toc4809"/>
      <w:r>
        <w:rPr>
          <w:rFonts w:hint="eastAsia" w:hAnsi="宋体"/>
          <w:sz w:val="24"/>
          <w:szCs w:val="24"/>
        </w:rPr>
        <w:t>2.1 竞争性磋商文件的组成</w:t>
      </w:r>
      <w:bookmarkEnd w:id="27"/>
    </w:p>
    <w:p w14:paraId="6D125068">
      <w:pPr>
        <w:spacing w:line="520" w:lineRule="exact"/>
        <w:ind w:firstLine="480" w:firstLineChars="200"/>
        <w:rPr>
          <w:rFonts w:ascii="宋体" w:hAnsi="宋体" w:cs="宋体"/>
          <w:sz w:val="24"/>
          <w:szCs w:val="24"/>
        </w:rPr>
      </w:pPr>
      <w:r>
        <w:rPr>
          <w:rFonts w:hint="eastAsia" w:ascii="宋体" w:hAnsi="宋体" w:cs="宋体"/>
          <w:sz w:val="24"/>
          <w:szCs w:val="24"/>
        </w:rPr>
        <w:t>本竞争性磋商文件包括：</w:t>
      </w:r>
    </w:p>
    <w:p w14:paraId="3CCB0598">
      <w:pPr>
        <w:spacing w:line="520" w:lineRule="exact"/>
        <w:ind w:firstLine="480" w:firstLineChars="200"/>
        <w:rPr>
          <w:rFonts w:ascii="宋体" w:hAnsi="宋体" w:cs="宋体"/>
          <w:sz w:val="24"/>
          <w:szCs w:val="24"/>
        </w:rPr>
      </w:pPr>
      <w:r>
        <w:rPr>
          <w:rFonts w:hint="eastAsia" w:ascii="宋体" w:hAnsi="宋体" w:cs="宋体"/>
          <w:sz w:val="24"/>
          <w:szCs w:val="24"/>
        </w:rPr>
        <w:t>(1）竞争性磋商公告；</w:t>
      </w:r>
    </w:p>
    <w:p w14:paraId="2C5BD4EC">
      <w:pPr>
        <w:spacing w:line="520" w:lineRule="exact"/>
        <w:ind w:firstLine="480" w:firstLineChars="200"/>
        <w:rPr>
          <w:rFonts w:ascii="宋体" w:hAnsi="宋体" w:cs="宋体"/>
          <w:sz w:val="24"/>
          <w:szCs w:val="24"/>
        </w:rPr>
      </w:pPr>
      <w:r>
        <w:rPr>
          <w:rFonts w:hint="eastAsia" w:ascii="宋体" w:hAnsi="宋体" w:cs="宋体"/>
          <w:sz w:val="24"/>
          <w:szCs w:val="24"/>
        </w:rPr>
        <w:t>(2）供应商须知；</w:t>
      </w:r>
    </w:p>
    <w:p w14:paraId="1442A012">
      <w:pPr>
        <w:spacing w:line="520" w:lineRule="exact"/>
        <w:ind w:firstLine="480" w:firstLineChars="200"/>
        <w:rPr>
          <w:rFonts w:ascii="宋体" w:hAnsi="宋体" w:cs="宋体"/>
          <w:sz w:val="24"/>
          <w:szCs w:val="24"/>
        </w:rPr>
      </w:pPr>
      <w:r>
        <w:rPr>
          <w:rFonts w:hint="eastAsia" w:ascii="宋体" w:hAnsi="宋体" w:cs="宋体"/>
          <w:sz w:val="24"/>
          <w:szCs w:val="24"/>
        </w:rPr>
        <w:t>(3）磋商办法；</w:t>
      </w:r>
    </w:p>
    <w:p w14:paraId="4B9A946B">
      <w:pPr>
        <w:spacing w:line="520" w:lineRule="exact"/>
        <w:ind w:firstLine="480" w:firstLineChars="200"/>
        <w:rPr>
          <w:rFonts w:ascii="宋体" w:hAnsi="宋体" w:cs="宋体"/>
          <w:sz w:val="24"/>
          <w:szCs w:val="24"/>
        </w:rPr>
      </w:pPr>
      <w:r>
        <w:rPr>
          <w:rFonts w:hint="eastAsia" w:ascii="宋体" w:hAnsi="宋体" w:cs="宋体"/>
          <w:sz w:val="24"/>
          <w:szCs w:val="24"/>
        </w:rPr>
        <w:t>(4）合同条款及格式；</w:t>
      </w:r>
    </w:p>
    <w:p w14:paraId="58227BE1">
      <w:pPr>
        <w:spacing w:line="520" w:lineRule="exact"/>
        <w:ind w:firstLine="424" w:firstLineChars="177"/>
        <w:rPr>
          <w:rFonts w:ascii="宋体" w:hAnsi="宋体" w:cs="宋体"/>
          <w:sz w:val="24"/>
          <w:szCs w:val="24"/>
        </w:rPr>
      </w:pPr>
      <w:r>
        <w:rPr>
          <w:rFonts w:hint="eastAsia" w:ascii="宋体" w:hAnsi="宋体" w:cs="宋体"/>
          <w:sz w:val="24"/>
          <w:szCs w:val="24"/>
        </w:rPr>
        <w:t>（5）采购需求；</w:t>
      </w:r>
    </w:p>
    <w:p w14:paraId="1A027145">
      <w:pPr>
        <w:spacing w:line="52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（6）竞争性磋商响应文件格式；</w:t>
      </w:r>
    </w:p>
    <w:p w14:paraId="6A332AB7">
      <w:pPr>
        <w:spacing w:line="520" w:lineRule="exact"/>
        <w:ind w:firstLine="480" w:firstLineChars="200"/>
        <w:rPr>
          <w:rFonts w:ascii="宋体" w:hAnsi="宋体" w:cs="宋体"/>
          <w:sz w:val="24"/>
          <w:szCs w:val="24"/>
        </w:rPr>
      </w:pPr>
      <w:r>
        <w:rPr>
          <w:rFonts w:hint="eastAsia" w:ascii="宋体" w:hAnsi="宋体" w:cs="宋体"/>
          <w:sz w:val="24"/>
          <w:szCs w:val="24"/>
        </w:rPr>
        <w:t>对竞争性磋商文件所作的澄清、修改，构成竞争性磋商文件的组成部分。</w:t>
      </w:r>
    </w:p>
    <w:p w14:paraId="17187AF1">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2.2 竞争性磋商文件的澄清</w:t>
      </w:r>
    </w:p>
    <w:p w14:paraId="5FE4F4EB">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2.2.1 供应商应仔细阅读和检查竞争性磋商文件的全部内容。如发现内容不完整或附件不全，应及时向招标人提出，以便补齐。如有疑问，应在供应商须知前附表规定的时间在三门峡市公共资源交易系统中提出质询，要求招标人对竞争性磋商文件予以澄清。</w:t>
      </w:r>
      <w:r>
        <w:rPr>
          <w:rFonts w:hint="eastAsia" w:ascii="宋体" w:hAnsi="宋体" w:cs="宋体"/>
          <w:sz w:val="24"/>
          <w:szCs w:val="24"/>
        </w:rPr>
        <w:br w:type="textWrapping"/>
      </w:r>
      <w:r>
        <w:rPr>
          <w:rFonts w:hint="eastAsia" w:ascii="宋体" w:hAnsi="宋体" w:cs="宋体"/>
          <w:sz w:val="24"/>
          <w:szCs w:val="24"/>
        </w:rPr>
        <w:t xml:space="preserve">   </w:t>
      </w:r>
      <w:r>
        <w:rPr>
          <w:rFonts w:hint="eastAsia" w:ascii="宋体" w:hAnsi="宋体" w:cs="宋体"/>
          <w:color w:val="000000" w:themeColor="text1"/>
          <w:sz w:val="24"/>
          <w:szCs w:val="24"/>
          <w14:textFill>
            <w14:solidFill>
              <w14:schemeClr w14:val="tx1"/>
            </w14:solidFill>
          </w14:textFill>
        </w:rPr>
        <w:t xml:space="preserve"> 2.2.2 竞争性磋商文件的澄清以澄清回复的方式在三门峡市公共资源交易系统中回复所有报名完成供应商，但不指明澄清问题的来源。澄清竞争性磋商文件实质性内容且影响响应文件编制的，将相应延长磋商截止时间。 </w:t>
      </w:r>
    </w:p>
    <w:p w14:paraId="3A255278">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 供应商应自行查看澄清信息。</w:t>
      </w:r>
    </w:p>
    <w:p w14:paraId="284E952B">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2.3 竞争性磋商文件的修改</w:t>
      </w:r>
    </w:p>
    <w:p w14:paraId="324E42AF">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 在磋商截止时间5天前，招标人可以修改竞争性磋商文件，并以变更公告形式通知所有已购买竞争性磋商文件的供应商；</w:t>
      </w:r>
    </w:p>
    <w:p w14:paraId="5882E4AD">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2.3.2如果修改竞争性磋商文件，会在三门峡市公共资源交易中心网发布变更公告，不再发纸质的变更信息。提醒供应商随时注意网上发布的信息。如因磋商</w:t>
      </w:r>
      <w:r>
        <w:rPr>
          <w:rFonts w:hint="eastAsia" w:ascii="宋体" w:hAnsi="宋体" w:cs="宋体"/>
          <w:sz w:val="24"/>
          <w:szCs w:val="24"/>
        </w:rPr>
        <w:t>供应商自身原因未看到信息，因此造成的一切后果由供应商自行承担；</w:t>
      </w:r>
    </w:p>
    <w:p w14:paraId="49E789E9">
      <w:pPr>
        <w:spacing w:line="360" w:lineRule="auto"/>
        <w:ind w:firstLine="480" w:firstLineChars="200"/>
        <w:rPr>
          <w:rFonts w:ascii="宋体" w:hAnsi="宋体" w:cs="宋体"/>
          <w:b/>
          <w:bCs/>
          <w:sz w:val="24"/>
          <w:szCs w:val="24"/>
        </w:rPr>
      </w:pPr>
      <w:r>
        <w:rPr>
          <w:rFonts w:hint="eastAsia" w:ascii="宋体" w:hAnsi="宋体" w:cs="宋体"/>
          <w:sz w:val="24"/>
          <w:szCs w:val="24"/>
        </w:rPr>
        <w:t>2.3.3为使供应商在准备响应文件时有合理的时间考虑竞争性磋商文件的修改，</w:t>
      </w:r>
      <w:r>
        <w:rPr>
          <w:rFonts w:hint="eastAsia"/>
          <w:color w:val="000000" w:themeColor="text1"/>
          <w:sz w:val="24"/>
          <w:szCs w:val="24"/>
          <w14:textFill>
            <w14:solidFill>
              <w14:schemeClr w14:val="tx1"/>
            </w14:solidFill>
          </w14:textFill>
        </w:rPr>
        <w:t>如果修改</w:t>
      </w:r>
      <w:r>
        <w:rPr>
          <w:rFonts w:hint="eastAsia"/>
          <w:color w:val="000000" w:themeColor="text1"/>
          <w:sz w:val="24"/>
          <w:szCs w:val="24"/>
          <w:lang w:val="en-US" w:eastAsia="zh-CN"/>
          <w14:textFill>
            <w14:solidFill>
              <w14:schemeClr w14:val="tx1"/>
            </w14:solidFill>
          </w14:textFill>
        </w:rPr>
        <w:t>磋商</w:t>
      </w:r>
      <w:r>
        <w:rPr>
          <w:rFonts w:hint="eastAsia"/>
          <w:color w:val="000000" w:themeColor="text1"/>
          <w:sz w:val="24"/>
          <w:szCs w:val="24"/>
          <w14:textFill>
            <w14:solidFill>
              <w14:schemeClr w14:val="tx1"/>
            </w14:solidFill>
          </w14:textFill>
        </w:rPr>
        <w:t>文件的时间距</w:t>
      </w:r>
      <w:r>
        <w:rPr>
          <w:rFonts w:hint="eastAsia"/>
          <w:color w:val="000000" w:themeColor="text1"/>
          <w:sz w:val="24"/>
          <w:szCs w:val="24"/>
          <w:lang w:val="en-US" w:eastAsia="zh-CN"/>
          <w14:textFill>
            <w14:solidFill>
              <w14:schemeClr w14:val="tx1"/>
            </w14:solidFill>
          </w14:textFill>
        </w:rPr>
        <w:t>响应文件提交</w:t>
      </w:r>
      <w:r>
        <w:rPr>
          <w:rFonts w:hint="eastAsia"/>
          <w:color w:val="000000" w:themeColor="text1"/>
          <w:sz w:val="24"/>
          <w:szCs w:val="24"/>
          <w14:textFill>
            <w14:solidFill>
              <w14:schemeClr w14:val="tx1"/>
            </w14:solidFill>
          </w14:textFill>
        </w:rPr>
        <w:t>截止时间不足5天</w:t>
      </w:r>
      <w:r>
        <w:rPr>
          <w:rFonts w:hint="eastAsia" w:ascii="宋体" w:hAnsi="宋体" w:cs="宋体"/>
          <w:sz w:val="24"/>
          <w:szCs w:val="24"/>
        </w:rPr>
        <w:t>招标代理机构可推迟磋商截止时间和磋商时间，该修改内容为竞争性磋商文件的组成部分。在此情况下，</w:t>
      </w:r>
      <w:r>
        <w:rPr>
          <w:rFonts w:hint="eastAsia" w:ascii="宋体" w:hAnsi="宋体" w:cs="宋体"/>
          <w:sz w:val="24"/>
          <w:szCs w:val="24"/>
          <w:lang w:val="en-US" w:eastAsia="zh-CN"/>
        </w:rPr>
        <w:t>采购</w:t>
      </w:r>
      <w:r>
        <w:rPr>
          <w:rFonts w:hint="eastAsia" w:ascii="宋体" w:hAnsi="宋体" w:cs="宋体"/>
          <w:sz w:val="24"/>
          <w:szCs w:val="24"/>
        </w:rPr>
        <w:t>人和供应商受磋商截止期制约的所有权利和义务均应延长至新的截止日期。</w:t>
      </w:r>
      <w:bookmarkStart w:id="28" w:name="_Toc184635073"/>
      <w:bookmarkEnd w:id="28"/>
      <w:r>
        <w:rPr>
          <w:rFonts w:hint="eastAsia" w:ascii="宋体" w:hAnsi="宋体" w:cs="宋体"/>
          <w:b/>
          <w:bCs/>
          <w:sz w:val="24"/>
          <w:szCs w:val="24"/>
        </w:rPr>
        <w:t xml:space="preserve"> </w:t>
      </w:r>
    </w:p>
    <w:p w14:paraId="03207B17">
      <w:pPr>
        <w:spacing w:line="520" w:lineRule="exact"/>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3．响应文件</w:t>
      </w:r>
    </w:p>
    <w:p w14:paraId="1A070E10">
      <w:pPr>
        <w:spacing w:line="520" w:lineRule="exact"/>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3.1 响应文件的组成</w:t>
      </w:r>
    </w:p>
    <w:p w14:paraId="755CAA66">
      <w:pPr>
        <w:pStyle w:val="5"/>
        <w:spacing w:before="0" w:after="0" w:line="52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3.1.1 响应文件应包括下列内容：</w:t>
      </w:r>
    </w:p>
    <w:p w14:paraId="5CB7422D">
      <w:pPr>
        <w:spacing w:line="520" w:lineRule="exact"/>
        <w:ind w:firstLine="480" w:firstLineChars="200"/>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3.1.1.1供应商承诺书</w:t>
      </w:r>
    </w:p>
    <w:p w14:paraId="5597AD68">
      <w:pPr>
        <w:spacing w:line="520" w:lineRule="exact"/>
        <w:ind w:firstLine="480" w:firstLineChars="200"/>
        <w:textAlignment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3.1.1.2竞争性磋商响应函</w:t>
      </w:r>
      <w:r>
        <w:rPr>
          <w:rFonts w:hint="eastAsia" w:ascii="宋体" w:hAnsi="宋体" w:cs="宋体"/>
          <w:color w:val="000000" w:themeColor="text1"/>
          <w:sz w:val="24"/>
          <w:lang w:val="en-US" w:eastAsia="zh-CN"/>
          <w14:textFill>
            <w14:solidFill>
              <w14:schemeClr w14:val="tx1"/>
            </w14:solidFill>
          </w14:textFill>
        </w:rPr>
        <w:t>及附录</w:t>
      </w:r>
    </w:p>
    <w:p w14:paraId="1120E74F">
      <w:pPr>
        <w:spacing w:line="520" w:lineRule="exact"/>
        <w:ind w:firstLine="480" w:firstLineChars="200"/>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3.1.1.3授权委托书</w:t>
      </w:r>
    </w:p>
    <w:p w14:paraId="780AF444">
      <w:pPr>
        <w:spacing w:line="520" w:lineRule="exact"/>
        <w:ind w:firstLine="480" w:firstLineChars="200"/>
        <w:textAlignment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3.1.1.4</w:t>
      </w:r>
      <w:r>
        <w:rPr>
          <w:rFonts w:hint="eastAsia" w:ascii="宋体" w:hAnsi="宋体" w:cs="宋体"/>
          <w:color w:val="000000" w:themeColor="text1"/>
          <w:sz w:val="24"/>
          <w:lang w:val="en-US" w:eastAsia="zh-CN"/>
          <w14:textFill>
            <w14:solidFill>
              <w14:schemeClr w14:val="tx1"/>
            </w14:solidFill>
          </w14:textFill>
        </w:rPr>
        <w:t>供应商基本情况</w:t>
      </w:r>
    </w:p>
    <w:p w14:paraId="5320E0EB">
      <w:pPr>
        <w:spacing w:line="520" w:lineRule="exact"/>
        <w:ind w:firstLine="480" w:firstLineChars="200"/>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3.1.1.5项目管理机构</w:t>
      </w:r>
    </w:p>
    <w:p w14:paraId="4C7A489B">
      <w:pPr>
        <w:spacing w:line="520" w:lineRule="exact"/>
        <w:ind w:firstLine="480" w:firstLineChars="200"/>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技术资料</w:t>
      </w:r>
    </w:p>
    <w:p w14:paraId="73DEC5BF">
      <w:pPr>
        <w:spacing w:line="520" w:lineRule="exact"/>
        <w:ind w:firstLine="480" w:firstLineChars="200"/>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服务承诺及保障</w:t>
      </w:r>
    </w:p>
    <w:p w14:paraId="43737B52">
      <w:pPr>
        <w:spacing w:line="520" w:lineRule="exact"/>
        <w:ind w:firstLine="480" w:firstLineChars="200"/>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3.1.1.</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供应商认为需要提供的其他材料</w:t>
      </w:r>
    </w:p>
    <w:p w14:paraId="4BDE91B6">
      <w:pPr>
        <w:autoSpaceDE w:val="0"/>
        <w:autoSpaceDN w:val="0"/>
        <w:adjustRightInd w:val="0"/>
        <w:spacing w:line="48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3.2 磋商报价</w:t>
      </w:r>
    </w:p>
    <w:p w14:paraId="2314B6AF">
      <w:pPr>
        <w:spacing w:line="336"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2.</w:t>
      </w:r>
      <w:r>
        <w:rPr>
          <w:rFonts w:hint="eastAsia" w:ascii="宋体" w:hAnsi="宋体"/>
          <w:sz w:val="24"/>
          <w:szCs w:val="24"/>
        </w:rPr>
        <w:t>1供应商的报价应含有所投项目、税费、交付后约定期限内免费后续等所发生的一切应有费用。</w:t>
      </w:r>
    </w:p>
    <w:p w14:paraId="42BF759B">
      <w:pPr>
        <w:spacing w:line="336" w:lineRule="auto"/>
        <w:ind w:firstLine="480" w:firstLineChars="200"/>
        <w:rPr>
          <w:rFonts w:ascii="宋体" w:hAnsi="宋体"/>
          <w:sz w:val="24"/>
          <w:szCs w:val="24"/>
        </w:rPr>
      </w:pPr>
      <w:r>
        <w:rPr>
          <w:rFonts w:hint="eastAsia" w:ascii="宋体" w:hAnsi="宋体"/>
          <w:sz w:val="24"/>
          <w:szCs w:val="24"/>
        </w:rPr>
        <w:t>本项目的报价应按照竞争磋商文件、补充通知、答疑纪要、现场情况、承包范围，并充分考虑服务周期内市场风险和国家政策性调整等风险系数，由各供应商根据自身情况，在合理范围内，自主考虑、优惠报价，但不得低于企业成本。</w:t>
      </w:r>
    </w:p>
    <w:p w14:paraId="54345D76">
      <w:pPr>
        <w:spacing w:line="336" w:lineRule="auto"/>
        <w:ind w:firstLine="480" w:firstLineChars="200"/>
        <w:rPr>
          <w:rFonts w:ascii="宋体" w:hAnsi="宋体"/>
          <w:sz w:val="24"/>
          <w:szCs w:val="24"/>
        </w:rPr>
      </w:pPr>
      <w:r>
        <w:rPr>
          <w:rFonts w:hint="eastAsia" w:ascii="宋体" w:hAnsi="宋体"/>
          <w:sz w:val="24"/>
          <w:szCs w:val="24"/>
        </w:rPr>
        <w:t>3.2.2响应文件的磋商报价应是竞争性磋商文件所确定的磋商范围内的全部工作内容的价格体现。供应商应认真阅读竞争性磋商文件，根据竞争性磋商文件规定的内容，对本次磋商的全部工作内容进行磋商报价。磋商报价应包含验收合格正式交付使用前所发生的一切费用，且供应商只能提出一个不变价格，招标人不接受任何选择报价。</w:t>
      </w:r>
    </w:p>
    <w:p w14:paraId="240CF1EE">
      <w:pPr>
        <w:spacing w:line="336" w:lineRule="auto"/>
        <w:ind w:firstLine="480" w:firstLineChars="200"/>
        <w:rPr>
          <w:rFonts w:ascii="宋体" w:hAnsi="宋体"/>
          <w:color w:val="000000" w:themeColor="text1"/>
          <w:sz w:val="24"/>
          <w:szCs w:val="24"/>
          <w14:textFill>
            <w14:solidFill>
              <w14:schemeClr w14:val="tx1"/>
            </w14:solidFill>
          </w14:textFill>
        </w:rPr>
      </w:pPr>
      <w:r>
        <w:rPr>
          <w:rFonts w:ascii="宋体" w:hAnsi="宋体"/>
          <w:sz w:val="24"/>
          <w:szCs w:val="24"/>
        </w:rPr>
        <w:t>3.2.3</w:t>
      </w:r>
      <w:r>
        <w:rPr>
          <w:rFonts w:hint="eastAsia" w:ascii="宋体" w:hAnsi="宋体"/>
          <w:sz w:val="24"/>
          <w:szCs w:val="24"/>
        </w:rPr>
        <w:t xml:space="preserve"> 磋商报价包括的风险范围为：供应商应结合自身条件，并充分考虑本项目难度</w:t>
      </w:r>
      <w:r>
        <w:rPr>
          <w:rFonts w:hint="eastAsia" w:ascii="宋体" w:hAnsi="宋体"/>
          <w:color w:val="000000" w:themeColor="text1"/>
          <w:sz w:val="24"/>
          <w:szCs w:val="24"/>
          <w14:textFill>
            <w14:solidFill>
              <w14:schemeClr w14:val="tx1"/>
            </w14:solidFill>
          </w14:textFill>
        </w:rPr>
        <w:t xml:space="preserve">、服务要求、质量要求以及市场因素、现场环境因素、社会因素、市场价格调整因素等各方面原因合理报价。但不得低于企业实际成本。  </w:t>
      </w:r>
      <w:r>
        <w:rPr>
          <w:rFonts w:ascii="宋体" w:hAnsi="宋体"/>
          <w:color w:val="000000" w:themeColor="text1"/>
          <w:sz w:val="24"/>
          <w:szCs w:val="24"/>
          <w14:textFill>
            <w14:solidFill>
              <w14:schemeClr w14:val="tx1"/>
            </w14:solidFill>
          </w14:textFill>
        </w:rPr>
        <w:t xml:space="preserve"> </w:t>
      </w:r>
    </w:p>
    <w:p w14:paraId="6002247A">
      <w:pPr>
        <w:spacing w:line="336"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磋商报价将被认为已综合考虑了在项目全过程中可能发生的全部不可预见费用。供应商未考虑到或漏算的项目，合同执行期间人员费用等相关的变动；各种原因服务周期工作时间延长，成交人无权再以任何理由提出延长服务周期、增加价款或索赔等要求。如果供应商对任何报价遗漏或未计，均被认为已包含在其他费用中，招标人不另行支付。</w:t>
      </w:r>
    </w:p>
    <w:p w14:paraId="7C36A351">
      <w:pPr>
        <w:spacing w:line="336" w:lineRule="auto"/>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91A88DA">
      <w:pPr>
        <w:spacing w:line="336" w:lineRule="auto"/>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5 全部报价均应以人民币为计量币种，并以人民币进行结算。</w:t>
      </w:r>
    </w:p>
    <w:p w14:paraId="0D57D07F">
      <w:pPr>
        <w:spacing w:line="336" w:lineRule="auto"/>
        <w:ind w:firstLine="480" w:firstLineChars="200"/>
        <w:rPr>
          <w:rFonts w:ascii="宋体" w:hAnsi="宋体" w:cs="宋体"/>
          <w:sz w:val="24"/>
          <w:szCs w:val="24"/>
        </w:rPr>
      </w:pPr>
      <w:r>
        <w:rPr>
          <w:rFonts w:hint="eastAsia" w:ascii="宋体" w:hAnsi="宋体"/>
          <w:sz w:val="24"/>
          <w:szCs w:val="24"/>
        </w:rPr>
        <w:t>3.2.6供应商在磋商报价前可以自行踏勘现场，充分考虑了现状条件可能影响到项目正常服务工作的所有风险因素。无论供应商是否进行了上述现场踏勘工作，其磋商报价中均将被认为已包含有在作业期间发生的全部不可预见</w:t>
      </w:r>
      <w:r>
        <w:rPr>
          <w:rFonts w:hint="eastAsia" w:ascii="宋体" w:hAnsi="宋体" w:cs="宋体"/>
          <w:sz w:val="24"/>
          <w:szCs w:val="24"/>
        </w:rPr>
        <w:t>的风险费用，供应商成交后则无权因此要求任何服务周期或费用上的索赔。</w:t>
      </w:r>
    </w:p>
    <w:p w14:paraId="3945B205">
      <w:pPr>
        <w:spacing w:line="520" w:lineRule="exact"/>
        <w:ind w:firstLine="480" w:firstLineChars="200"/>
        <w:rPr>
          <w:rFonts w:ascii="宋体" w:hAnsi="宋体" w:cs="宋体"/>
          <w:sz w:val="24"/>
          <w:szCs w:val="24"/>
        </w:rPr>
      </w:pPr>
      <w:r>
        <w:rPr>
          <w:rFonts w:hint="eastAsia" w:ascii="宋体" w:hAnsi="宋体" w:cs="宋体"/>
          <w:sz w:val="24"/>
          <w:szCs w:val="24"/>
        </w:rPr>
        <w:t>3.2.7服务期间由于项目条件发生变化或供应商原因造成技术方案的更改，所增加的措施费用及服务周期一概不予调整，相应的费用供应商应在磋商报价中充分考虑，招标人不另支付。</w:t>
      </w:r>
    </w:p>
    <w:p w14:paraId="71B589AC">
      <w:pPr>
        <w:spacing w:line="520" w:lineRule="exact"/>
        <w:ind w:firstLine="480" w:firstLineChars="200"/>
        <w:rPr>
          <w:rFonts w:ascii="宋体" w:hAnsi="宋体" w:cs="宋体"/>
          <w:sz w:val="24"/>
          <w:szCs w:val="24"/>
        </w:rPr>
      </w:pPr>
      <w:r>
        <w:rPr>
          <w:rFonts w:hint="eastAsia" w:ascii="宋体" w:hAnsi="宋体" w:cs="宋体"/>
          <w:sz w:val="24"/>
          <w:szCs w:val="24"/>
        </w:rPr>
        <w:t>3.2.8增值税属不可竞争费用，如违背国家税收规定的，对未按规定计取增值税的</w:t>
      </w:r>
    </w:p>
    <w:p w14:paraId="0CF10B5F">
      <w:pPr>
        <w:spacing w:line="520" w:lineRule="exact"/>
        <w:rPr>
          <w:rFonts w:ascii="宋体" w:hAnsi="宋体" w:cs="宋体"/>
          <w:sz w:val="24"/>
          <w:szCs w:val="24"/>
        </w:rPr>
      </w:pPr>
      <w:r>
        <w:rPr>
          <w:rFonts w:hint="eastAsia" w:ascii="宋体" w:hAnsi="宋体" w:cs="宋体"/>
          <w:sz w:val="24"/>
          <w:szCs w:val="24"/>
        </w:rPr>
        <w:t>供应商，其磋商报价按低于成本价处理。</w:t>
      </w:r>
    </w:p>
    <w:p w14:paraId="138BA4D4">
      <w:pPr>
        <w:spacing w:line="520" w:lineRule="exact"/>
        <w:ind w:firstLine="482" w:firstLineChars="200"/>
        <w:rPr>
          <w:rFonts w:ascii="宋体" w:hAnsi="宋体" w:cs="宋体"/>
          <w:sz w:val="24"/>
          <w:szCs w:val="24"/>
        </w:rPr>
      </w:pPr>
      <w:r>
        <w:rPr>
          <w:rFonts w:hint="eastAsia" w:ascii="宋体" w:hAnsi="宋体" w:cs="宋体"/>
          <w:b/>
          <w:sz w:val="24"/>
          <w:szCs w:val="24"/>
        </w:rPr>
        <w:t>3.2.9本项目为竞争性磋商，允许二次报价。响应文件中的报价为第一次报价，第二次报价为最终报价。</w:t>
      </w:r>
    </w:p>
    <w:p w14:paraId="4DDC80D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3.3 磋商有效期</w:t>
      </w:r>
    </w:p>
    <w:p w14:paraId="29C7E829">
      <w:pPr>
        <w:spacing w:line="520" w:lineRule="exact"/>
        <w:ind w:firstLine="480" w:firstLineChars="200"/>
        <w:rPr>
          <w:rFonts w:ascii="宋体" w:hAnsi="宋体" w:cs="宋体"/>
          <w:sz w:val="24"/>
          <w:szCs w:val="24"/>
        </w:rPr>
      </w:pPr>
      <w:r>
        <w:rPr>
          <w:rFonts w:hint="eastAsia" w:ascii="宋体" w:hAnsi="宋体" w:cs="宋体"/>
          <w:sz w:val="24"/>
          <w:szCs w:val="24"/>
        </w:rPr>
        <w:t>3.3.1 在供应商须知前附表规定的磋商有效期内，供应商不得要求撤销或修改其响应文件。</w:t>
      </w:r>
    </w:p>
    <w:p w14:paraId="575FCCED">
      <w:pPr>
        <w:spacing w:line="520" w:lineRule="exact"/>
        <w:ind w:firstLine="480" w:firstLineChars="200"/>
        <w:rPr>
          <w:rFonts w:ascii="宋体" w:hAnsi="宋体" w:cs="宋体"/>
          <w:sz w:val="24"/>
          <w:szCs w:val="24"/>
        </w:rPr>
      </w:pPr>
      <w:r>
        <w:rPr>
          <w:rFonts w:hint="eastAsia" w:ascii="宋体" w:hAnsi="宋体" w:cs="宋体"/>
          <w:sz w:val="24"/>
          <w:szCs w:val="24"/>
        </w:rPr>
        <w:t>3.3.2 出现特殊情况需要延长磋商有效期的，招标人以书面形式通知所有供应商延长磋商有效期。供应商同意延长的，不得要求或被允许修改或撤销其响应文件；供应商拒绝延长的，其磋商失效。</w:t>
      </w:r>
    </w:p>
    <w:p w14:paraId="6ED708B5">
      <w:pPr>
        <w:spacing w:line="520" w:lineRule="exact"/>
        <w:ind w:firstLine="480" w:firstLineChars="200"/>
        <w:rPr>
          <w:rFonts w:ascii="宋体" w:hAnsi="宋体" w:cs="宋体"/>
          <w:sz w:val="24"/>
          <w:szCs w:val="24"/>
        </w:rPr>
      </w:pPr>
      <w:r>
        <w:rPr>
          <w:rFonts w:hint="eastAsia" w:ascii="宋体" w:hAnsi="宋体" w:cs="宋体"/>
          <w:sz w:val="24"/>
          <w:szCs w:val="24"/>
        </w:rPr>
        <w:t>3.4 磋商保证金：不收取。</w:t>
      </w:r>
    </w:p>
    <w:p w14:paraId="50EE5AFB">
      <w:pPr>
        <w:pStyle w:val="5"/>
        <w:spacing w:before="0" w:after="0" w:line="52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3.5 资格审查资料</w:t>
      </w:r>
    </w:p>
    <w:p w14:paraId="6514E034">
      <w:pPr>
        <w:spacing w:line="600" w:lineRule="exact"/>
        <w:ind w:firstLine="480" w:firstLineChars="200"/>
        <w:jc w:val="left"/>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3.5.1</w:t>
      </w:r>
      <w:r>
        <w:rPr>
          <w:rFonts w:hint="eastAsia" w:ascii="宋体" w:hAnsi="宋体" w:cs="宋体"/>
          <w:color w:val="auto"/>
          <w:sz w:val="24"/>
          <w:szCs w:val="24"/>
          <w:lang w:val="zh-TW"/>
        </w:rPr>
        <w:t>供应商必须符合《中华人民共和国政府采购法》第二十二条的规定</w:t>
      </w:r>
      <w:r>
        <w:rPr>
          <w:rFonts w:hint="eastAsia" w:ascii="宋体" w:hAnsi="宋体" w:cs="宋体"/>
          <w:color w:val="auto"/>
          <w:sz w:val="24"/>
          <w:szCs w:val="24"/>
          <w:lang w:val="zh-TW" w:eastAsia="zh-CN"/>
        </w:rPr>
        <w:t>，</w:t>
      </w:r>
      <w:r>
        <w:rPr>
          <w:rFonts w:hint="eastAsia" w:ascii="宋体" w:hAnsi="宋体" w:cs="宋体"/>
          <w:color w:val="auto"/>
          <w:sz w:val="24"/>
          <w:szCs w:val="24"/>
          <w:lang w:val="en-US" w:eastAsia="zh-CN"/>
        </w:rPr>
        <w:t>提供相关证明资料或承诺书</w:t>
      </w:r>
      <w:r>
        <w:rPr>
          <w:rFonts w:hint="eastAsia" w:ascii="宋体" w:hAnsi="宋体" w:cs="宋体"/>
          <w:color w:val="auto"/>
          <w:sz w:val="24"/>
          <w:szCs w:val="24"/>
          <w:lang w:val="zh-TW" w:eastAsia="zh-CN"/>
        </w:rPr>
        <w:t>；</w:t>
      </w:r>
    </w:p>
    <w:p w14:paraId="271D4CC1">
      <w:pPr>
        <w:spacing w:line="600" w:lineRule="exact"/>
        <w:ind w:firstLine="480" w:firstLineChars="2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3.5.2</w:t>
      </w:r>
      <w:r>
        <w:rPr>
          <w:rFonts w:hint="eastAsia" w:ascii="宋体" w:hAnsi="宋体" w:cs="宋体"/>
          <w:color w:val="auto"/>
          <w:sz w:val="24"/>
          <w:szCs w:val="24"/>
          <w:lang w:val="en-US" w:eastAsia="zh-CN"/>
        </w:rPr>
        <w:t>本项目为专门面向中小企业采购项目,投标供应商需提供《中小企业声明函》；</w:t>
      </w:r>
    </w:p>
    <w:p w14:paraId="11AAB635">
      <w:pPr>
        <w:spacing w:line="600" w:lineRule="exact"/>
        <w:ind w:firstLine="480" w:firstLineChars="200"/>
        <w:jc w:val="left"/>
        <w:rPr>
          <w:rFonts w:hint="eastAsia" w:ascii="宋体" w:hAnsi="宋体" w:eastAsia="宋体" w:cs="宋体"/>
          <w:color w:val="FF0000"/>
          <w:sz w:val="24"/>
          <w:szCs w:val="24"/>
          <w:lang w:val="zh-TW" w:eastAsia="zh-CN"/>
        </w:rPr>
      </w:pPr>
      <w:r>
        <w:rPr>
          <w:rFonts w:hint="eastAsia" w:ascii="宋体" w:hAnsi="宋体" w:cs="宋体"/>
          <w:color w:val="auto"/>
          <w:sz w:val="24"/>
          <w:szCs w:val="24"/>
          <w:lang w:val="en-US" w:eastAsia="zh-CN"/>
        </w:rPr>
        <w:t>3.5.3</w:t>
      </w:r>
      <w:r>
        <w:rPr>
          <w:rFonts w:hint="eastAsia" w:ascii="宋体" w:hAnsi="宋体" w:cs="宋体"/>
          <w:color w:val="auto"/>
          <w:sz w:val="24"/>
          <w:szCs w:val="24"/>
          <w:lang w:val="zh-TW" w:eastAsia="zh-CN"/>
        </w:rPr>
        <w:t>具有合法有效的营业执照</w:t>
      </w:r>
      <w:r>
        <w:rPr>
          <w:rFonts w:hint="eastAsia" w:ascii="宋体" w:hAnsi="宋体" w:eastAsia="宋体" w:cs="宋体"/>
          <w:color w:val="auto"/>
          <w:sz w:val="24"/>
          <w:szCs w:val="24"/>
          <w:lang w:val="zh-TW" w:eastAsia="zh-CN"/>
        </w:rPr>
        <w:t>；</w:t>
      </w:r>
    </w:p>
    <w:p w14:paraId="62EC7BE9">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3.5.4</w:t>
      </w:r>
      <w:r>
        <w:rPr>
          <w:rFonts w:hint="eastAsia" w:ascii="宋体" w:hAnsi="宋体" w:cs="宋体"/>
          <w:color w:val="auto"/>
          <w:sz w:val="24"/>
          <w:szCs w:val="24"/>
          <w:highlight w:val="none"/>
          <w:lang w:val="zh-TW"/>
        </w:rPr>
        <w:t>具有履行</w:t>
      </w:r>
      <w:r>
        <w:rPr>
          <w:rFonts w:hint="eastAsia" w:ascii="宋体" w:hAnsi="宋体" w:cs="宋体"/>
          <w:color w:val="auto"/>
          <w:sz w:val="24"/>
          <w:szCs w:val="24"/>
          <w:highlight w:val="none"/>
          <w:lang w:val="en-US" w:eastAsia="zh-CN"/>
        </w:rPr>
        <w:t>本项目服务内容</w:t>
      </w:r>
      <w:r>
        <w:rPr>
          <w:rFonts w:hint="eastAsia" w:ascii="宋体" w:hAnsi="宋体" w:cs="宋体"/>
          <w:color w:val="auto"/>
          <w:sz w:val="24"/>
          <w:szCs w:val="24"/>
          <w:highlight w:val="none"/>
          <w:lang w:val="zh-TW"/>
        </w:rPr>
        <w:t>所必需的设备和专业技术能力（</w:t>
      </w:r>
      <w:r>
        <w:rPr>
          <w:rFonts w:hint="eastAsia" w:ascii="宋体" w:hAnsi="宋体" w:cs="宋体"/>
          <w:color w:val="auto"/>
          <w:sz w:val="24"/>
          <w:szCs w:val="24"/>
          <w:highlight w:val="none"/>
          <w:lang w:val="zh-TW" w:eastAsia="zh-CN"/>
        </w:rPr>
        <w:t>提供</w:t>
      </w:r>
      <w:r>
        <w:rPr>
          <w:rFonts w:hint="eastAsia" w:ascii="宋体" w:hAnsi="宋体" w:cs="宋体"/>
          <w:color w:val="auto"/>
          <w:sz w:val="24"/>
          <w:szCs w:val="24"/>
          <w:highlight w:val="none"/>
          <w:lang w:val="en-US" w:eastAsia="zh-CN"/>
        </w:rPr>
        <w:t>相关证明材料</w:t>
      </w:r>
      <w:r>
        <w:rPr>
          <w:rFonts w:hint="eastAsia" w:ascii="宋体" w:hAnsi="宋体" w:cs="宋体"/>
          <w:color w:val="auto"/>
          <w:sz w:val="24"/>
          <w:szCs w:val="24"/>
          <w:highlight w:val="none"/>
          <w:lang w:val="zh-TW" w:eastAsia="zh-CN"/>
        </w:rPr>
        <w:t>或承诺书</w:t>
      </w:r>
      <w:r>
        <w:rPr>
          <w:rFonts w:hint="eastAsia" w:ascii="宋体" w:hAnsi="宋体" w:cs="宋体"/>
          <w:color w:val="auto"/>
          <w:sz w:val="24"/>
          <w:szCs w:val="24"/>
          <w:highlight w:val="none"/>
          <w:lang w:val="zh-TW"/>
        </w:rPr>
        <w:t>，承诺书格式自拟）；</w:t>
      </w:r>
    </w:p>
    <w:p w14:paraId="338BCDE5">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3.5.5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p>
    <w:p w14:paraId="0EA0E73E">
      <w:pPr>
        <w:spacing w:line="360" w:lineRule="auto"/>
        <w:ind w:firstLine="480" w:firstLineChars="200"/>
        <w:rPr>
          <w:rFonts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3.5.6</w:t>
      </w:r>
      <w:r>
        <w:rPr>
          <w:rFonts w:hint="eastAsia" w:ascii="宋体" w:hAnsi="宋体" w:cs="宋体"/>
          <w:color w:val="auto"/>
          <w:sz w:val="24"/>
          <w:szCs w:val="24"/>
          <w:highlight w:val="none"/>
          <w:lang w:val="zh-TW" w:eastAsia="zh-CN"/>
        </w:rPr>
        <w:t>供应商须出具本企业无商业贿赂及不正当竞争行为承诺书（格式自拟）</w:t>
      </w:r>
      <w:r>
        <w:rPr>
          <w:rFonts w:hint="eastAsia" w:ascii="宋体" w:hAnsi="宋体" w:cs="宋体"/>
          <w:color w:val="auto"/>
          <w:sz w:val="24"/>
          <w:szCs w:val="24"/>
          <w:highlight w:val="none"/>
          <w:lang w:val="zh-TW"/>
        </w:rPr>
        <w:t>；</w:t>
      </w:r>
    </w:p>
    <w:p w14:paraId="4B209F8F">
      <w:pPr>
        <w:spacing w:line="360" w:lineRule="auto"/>
        <w:ind w:firstLine="480" w:firstLineChars="200"/>
        <w:rPr>
          <w:rFonts w:hint="eastAsia" w:ascii="宋体" w:hAnsi="宋体" w:cs="宋体"/>
          <w:color w:val="auto"/>
          <w:sz w:val="24"/>
          <w:szCs w:val="24"/>
          <w:highlight w:val="none"/>
          <w:lang w:val="zh-TW" w:eastAsia="zh-CN"/>
        </w:rPr>
      </w:pPr>
      <w:r>
        <w:rPr>
          <w:rFonts w:hint="eastAsia" w:ascii="宋体" w:hAnsi="宋体" w:cs="宋体"/>
          <w:color w:val="auto"/>
          <w:sz w:val="24"/>
          <w:szCs w:val="24"/>
          <w:highlight w:val="none"/>
          <w:lang w:val="en-US" w:eastAsia="zh-CN"/>
        </w:rPr>
        <w:t>3.5.7</w:t>
      </w:r>
      <w:r>
        <w:rPr>
          <w:rFonts w:hint="eastAsia" w:ascii="宋体" w:hAnsi="宋体" w:cs="宋体"/>
          <w:color w:val="auto"/>
          <w:sz w:val="24"/>
          <w:szCs w:val="24"/>
          <w:highlight w:val="none"/>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2B05F905">
      <w:pPr>
        <w:spacing w:line="360" w:lineRule="auto"/>
        <w:ind w:firstLine="480" w:firstLineChars="200"/>
        <w:rPr>
          <w:rFonts w:hint="eastAsia" w:ascii="宋体" w:hAnsi="宋体" w:cs="宋体"/>
          <w:color w:val="auto"/>
          <w:sz w:val="24"/>
          <w:szCs w:val="24"/>
          <w:highlight w:val="none"/>
          <w:lang w:val="zh-TW"/>
        </w:rPr>
      </w:pPr>
      <w:r>
        <w:rPr>
          <w:rFonts w:hint="eastAsia" w:ascii="宋体" w:hAnsi="宋体" w:cs="宋体"/>
          <w:color w:val="auto"/>
          <w:sz w:val="24"/>
          <w:szCs w:val="24"/>
          <w:highlight w:val="none"/>
          <w:lang w:val="en-US" w:eastAsia="zh-CN"/>
        </w:rPr>
        <w:t>3.5.8</w:t>
      </w:r>
      <w:r>
        <w:rPr>
          <w:rFonts w:hint="eastAsia" w:ascii="宋体" w:hAnsi="宋体" w:eastAsia="宋体" w:cs="宋体"/>
          <w:color w:val="auto"/>
          <w:sz w:val="24"/>
          <w:szCs w:val="24"/>
          <w:highlight w:val="none"/>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5BFA4F5D">
      <w:pPr>
        <w:spacing w:line="360" w:lineRule="auto"/>
        <w:ind w:firstLine="480" w:firstLineChars="200"/>
        <w:rPr>
          <w:rFonts w:ascii="宋体" w:hAnsi="宋体" w:cs="宋体"/>
          <w:color w:val="558ED5" w:themeColor="text2" w:themeTint="99"/>
          <w:sz w:val="24"/>
          <w:szCs w:val="24"/>
          <w:highlight w:val="none"/>
          <w:lang w:val="zh-TW"/>
          <w14:textFill>
            <w14:solidFill>
              <w14:schemeClr w14:val="tx2">
                <w14:lumMod w14:val="60000"/>
                <w14:lumOff w14:val="40000"/>
              </w14:schemeClr>
            </w14:solidFill>
          </w14:textFill>
        </w:rPr>
      </w:pPr>
      <w:r>
        <w:rPr>
          <w:rFonts w:hint="eastAsia" w:ascii="宋体" w:hAnsi="宋体" w:cs="宋体"/>
          <w:color w:val="auto"/>
          <w:sz w:val="24"/>
          <w:szCs w:val="24"/>
          <w:highlight w:val="none"/>
          <w:lang w:val="en-US" w:eastAsia="zh-CN"/>
        </w:rPr>
        <w:t>3.5.9</w:t>
      </w:r>
      <w:r>
        <w:rPr>
          <w:rFonts w:hint="eastAsia" w:ascii="宋体" w:hAnsi="宋体" w:cs="宋体"/>
          <w:color w:val="auto"/>
          <w:sz w:val="24"/>
          <w:szCs w:val="24"/>
          <w:highlight w:val="none"/>
          <w:lang w:val="zh-TW" w:eastAsia="zh-CN"/>
        </w:rPr>
        <w:t>本项目不接受联合体投标</w:t>
      </w:r>
      <w:r>
        <w:rPr>
          <w:rFonts w:hint="eastAsia" w:ascii="宋体" w:hAnsi="宋体" w:cs="宋体"/>
          <w:color w:val="auto"/>
          <w:sz w:val="24"/>
          <w:szCs w:val="24"/>
          <w:highlight w:val="none"/>
          <w:lang w:val="zh-TW"/>
        </w:rPr>
        <w:t>。</w:t>
      </w:r>
    </w:p>
    <w:p w14:paraId="54738DC3">
      <w:pPr>
        <w:spacing w:line="600" w:lineRule="exact"/>
        <w:ind w:firstLine="480" w:firstLineChars="200"/>
        <w:jc w:val="left"/>
        <w:rPr>
          <w:rFonts w:ascii="宋体" w:hAnsi="宋体" w:cs="宋体"/>
          <w:sz w:val="24"/>
          <w:szCs w:val="24"/>
        </w:rPr>
      </w:pPr>
      <w:r>
        <w:rPr>
          <w:rFonts w:hint="eastAsia" w:ascii="宋体" w:hAnsi="宋体" w:cs="宋体"/>
          <w:sz w:val="24"/>
          <w:szCs w:val="24"/>
        </w:rPr>
        <w:t>3.6 响应文件的编制</w:t>
      </w:r>
    </w:p>
    <w:p w14:paraId="3FA9405F">
      <w:pPr>
        <w:spacing w:line="520" w:lineRule="exact"/>
        <w:ind w:firstLine="480" w:firstLineChars="200"/>
        <w:rPr>
          <w:rFonts w:ascii="宋体" w:hAnsi="宋体" w:cs="宋体"/>
          <w:sz w:val="24"/>
          <w:szCs w:val="24"/>
        </w:rPr>
      </w:pPr>
      <w:r>
        <w:rPr>
          <w:rFonts w:hint="eastAsia" w:ascii="宋体" w:hAnsi="宋体" w:cs="宋体"/>
          <w:sz w:val="24"/>
          <w:szCs w:val="24"/>
        </w:rPr>
        <w:t>3.6.1 响应文件</w:t>
      </w:r>
      <w:r>
        <w:rPr>
          <w:rFonts w:hint="eastAsia" w:ascii="宋体" w:hAnsi="宋体" w:cs="宋体"/>
          <w:color w:val="000000" w:themeColor="text1"/>
          <w:sz w:val="24"/>
          <w:szCs w:val="24"/>
          <w14:textFill>
            <w14:solidFill>
              <w14:schemeClr w14:val="tx1"/>
            </w14:solidFill>
          </w14:textFill>
        </w:rPr>
        <w:t>应按第六章“响应</w:t>
      </w:r>
      <w:r>
        <w:rPr>
          <w:rFonts w:hint="eastAsia" w:ascii="宋体" w:hAnsi="宋体" w:cs="宋体"/>
          <w:sz w:val="24"/>
          <w:szCs w:val="24"/>
        </w:rPr>
        <w:t>文件格式”进行编写，如有必要，可以增加附页，作为响应文件的组成部分。其中，磋商报价函在满足磋商文件实质性要求的基础上，可以提出比磋商文件要求更有利于招标人的承诺。</w:t>
      </w:r>
    </w:p>
    <w:p w14:paraId="4ABD103C">
      <w:pPr>
        <w:spacing w:line="520" w:lineRule="exact"/>
        <w:ind w:firstLine="480" w:firstLineChars="200"/>
        <w:rPr>
          <w:rFonts w:ascii="宋体" w:hAnsi="宋体" w:cs="宋体"/>
          <w:sz w:val="24"/>
          <w:szCs w:val="24"/>
        </w:rPr>
      </w:pPr>
      <w:r>
        <w:rPr>
          <w:rFonts w:hint="eastAsia" w:ascii="宋体" w:hAnsi="宋体" w:cs="宋体"/>
          <w:sz w:val="24"/>
          <w:szCs w:val="24"/>
        </w:rPr>
        <w:t>3.6.2 响应文件应当对磋商文件有关服务周期、磋商有效期、质量要求、磋商范围等实质性内容作出响应。</w:t>
      </w:r>
    </w:p>
    <w:p w14:paraId="1A12B42D">
      <w:pPr>
        <w:spacing w:line="520" w:lineRule="exact"/>
        <w:ind w:firstLine="482" w:firstLineChars="200"/>
        <w:rPr>
          <w:rFonts w:ascii="宋体" w:hAnsi="宋体" w:cs="宋体"/>
          <w:b/>
          <w:bCs/>
          <w:sz w:val="24"/>
          <w:szCs w:val="24"/>
        </w:rPr>
      </w:pPr>
      <w:r>
        <w:rPr>
          <w:rFonts w:hint="eastAsia" w:ascii="宋体" w:hAnsi="宋体" w:cs="宋体"/>
          <w:b/>
          <w:bCs/>
          <w:sz w:val="24"/>
          <w:szCs w:val="24"/>
        </w:rPr>
        <w:t>3.7 响应文件的签署</w:t>
      </w:r>
    </w:p>
    <w:p w14:paraId="5141FD9E">
      <w:pPr>
        <w:spacing w:line="520" w:lineRule="exact"/>
        <w:ind w:firstLine="480" w:firstLineChars="200"/>
        <w:rPr>
          <w:rFonts w:ascii="宋体" w:hAnsi="宋体" w:cs="宋体"/>
          <w:sz w:val="24"/>
          <w:szCs w:val="24"/>
        </w:rPr>
      </w:pPr>
      <w:r>
        <w:rPr>
          <w:rFonts w:hint="eastAsia" w:ascii="宋体" w:hAnsi="宋体" w:cs="宋体"/>
          <w:sz w:val="24"/>
          <w:szCs w:val="24"/>
        </w:rPr>
        <w:t>3.7.1电子响应文件必须上传电子评标系统</w:t>
      </w:r>
      <w:r>
        <w:rPr>
          <w:rFonts w:hint="eastAsia" w:ascii="宋体" w:hAnsi="宋体" w:cs="宋体"/>
          <w:b/>
          <w:bCs/>
          <w:sz w:val="24"/>
          <w:szCs w:val="24"/>
        </w:rPr>
        <w:t>。</w:t>
      </w:r>
    </w:p>
    <w:p w14:paraId="49F54422">
      <w:pPr>
        <w:spacing w:line="520" w:lineRule="exact"/>
        <w:ind w:firstLine="480" w:firstLineChars="200"/>
        <w:rPr>
          <w:rFonts w:ascii="宋体" w:hAnsi="宋体" w:cs="宋体"/>
          <w:sz w:val="24"/>
          <w:szCs w:val="24"/>
        </w:rPr>
      </w:pPr>
      <w:r>
        <w:rPr>
          <w:rFonts w:hint="eastAsia" w:ascii="宋体" w:hAnsi="宋体" w:cs="宋体"/>
          <w:sz w:val="24"/>
          <w:szCs w:val="24"/>
        </w:rPr>
        <w:t>3.7.2电子响应文件由供应商的法定代表人签字或盖章。</w:t>
      </w:r>
      <w:bookmarkStart w:id="29" w:name="_Toc184635074"/>
      <w:bookmarkEnd w:id="29"/>
    </w:p>
    <w:p w14:paraId="721D30ED">
      <w:pPr>
        <w:numPr>
          <w:ilvl w:val="0"/>
          <w:numId w:val="1"/>
        </w:numPr>
        <w:spacing w:line="520" w:lineRule="exact"/>
        <w:ind w:firstLine="482" w:firstLineChars="200"/>
        <w:rPr>
          <w:rFonts w:ascii="宋体" w:hAnsi="宋体" w:cs="宋体"/>
          <w:b/>
          <w:bCs/>
          <w:kern w:val="28"/>
          <w:sz w:val="24"/>
          <w:szCs w:val="24"/>
        </w:rPr>
      </w:pPr>
      <w:r>
        <w:rPr>
          <w:rFonts w:hint="eastAsia" w:ascii="宋体" w:hAnsi="宋体" w:cs="宋体"/>
          <w:b/>
          <w:bCs/>
          <w:kern w:val="28"/>
          <w:sz w:val="24"/>
          <w:szCs w:val="24"/>
        </w:rPr>
        <w:t>磋商</w:t>
      </w:r>
    </w:p>
    <w:p w14:paraId="56D52D3F">
      <w:pPr>
        <w:spacing w:line="520" w:lineRule="exact"/>
        <w:ind w:firstLine="480" w:firstLineChars="200"/>
        <w:rPr>
          <w:rFonts w:ascii="宋体" w:hAnsi="宋体" w:cs="宋体"/>
          <w:sz w:val="24"/>
          <w:szCs w:val="24"/>
        </w:rPr>
      </w:pPr>
      <w:r>
        <w:rPr>
          <w:rFonts w:hint="eastAsia" w:ascii="宋体" w:hAnsi="宋体" w:cs="宋体"/>
          <w:sz w:val="24"/>
          <w:szCs w:val="24"/>
        </w:rPr>
        <w:t>4.1电子响应文件的递交</w:t>
      </w:r>
    </w:p>
    <w:p w14:paraId="513D4AA3">
      <w:pPr>
        <w:spacing w:line="520" w:lineRule="exact"/>
        <w:ind w:firstLine="480" w:firstLineChars="200"/>
        <w:rPr>
          <w:rFonts w:ascii="宋体" w:hAnsi="宋体" w:cs="宋体"/>
          <w:sz w:val="24"/>
          <w:szCs w:val="24"/>
        </w:rPr>
      </w:pPr>
      <w:r>
        <w:rPr>
          <w:rFonts w:hint="eastAsia" w:ascii="宋体" w:hAnsi="宋体" w:cs="宋体"/>
          <w:sz w:val="24"/>
          <w:szCs w:val="24"/>
        </w:rPr>
        <w:t>4.1.1供应商应在规定的磋商截止时间前递交响应文件。</w:t>
      </w:r>
    </w:p>
    <w:p w14:paraId="617DC89E">
      <w:pPr>
        <w:spacing w:line="520" w:lineRule="exact"/>
        <w:ind w:firstLine="480" w:firstLineChars="200"/>
        <w:rPr>
          <w:rFonts w:ascii="宋体" w:hAnsi="宋体" w:cs="宋体"/>
          <w:sz w:val="24"/>
          <w:szCs w:val="24"/>
        </w:rPr>
      </w:pPr>
      <w:r>
        <w:rPr>
          <w:rFonts w:hint="eastAsia" w:ascii="宋体" w:hAnsi="宋体" w:cs="宋体"/>
          <w:sz w:val="24"/>
          <w:szCs w:val="24"/>
        </w:rPr>
        <w:t>4.1.2供应商递交响应文件的地点：见供应商须知前附表。</w:t>
      </w:r>
      <w:bookmarkStart w:id="30" w:name="_Toc466566696"/>
      <w:bookmarkEnd w:id="30"/>
      <w:bookmarkStart w:id="31" w:name="_Toc466566785"/>
      <w:bookmarkEnd w:id="31"/>
      <w:bookmarkStart w:id="32" w:name="_Toc184635075"/>
    </w:p>
    <w:p w14:paraId="34816E97">
      <w:pPr>
        <w:spacing w:line="520" w:lineRule="exact"/>
        <w:ind w:firstLine="480" w:firstLineChars="200"/>
        <w:rPr>
          <w:rFonts w:ascii="宋体" w:hAnsi="宋体" w:cs="宋体"/>
          <w:sz w:val="24"/>
          <w:szCs w:val="24"/>
        </w:rPr>
      </w:pPr>
      <w:r>
        <w:rPr>
          <w:rFonts w:hint="eastAsia" w:ascii="宋体" w:hAnsi="宋体" w:cs="宋体"/>
          <w:sz w:val="24"/>
          <w:szCs w:val="24"/>
        </w:rPr>
        <w:t>4.1.3 逾期递交或者未递交指定地点的响应文件，招标人不予受理。</w:t>
      </w:r>
      <w:bookmarkEnd w:id="32"/>
    </w:p>
    <w:p w14:paraId="0587EADF">
      <w:pPr>
        <w:pStyle w:val="3"/>
        <w:spacing w:line="520" w:lineRule="exact"/>
        <w:jc w:val="left"/>
        <w:rPr>
          <w:rFonts w:hAnsi="宋体"/>
          <w:sz w:val="24"/>
          <w:szCs w:val="24"/>
        </w:rPr>
      </w:pPr>
      <w:bookmarkStart w:id="33" w:name="_Toc6772"/>
      <w:r>
        <w:rPr>
          <w:rFonts w:hint="eastAsia" w:hAnsi="宋体"/>
          <w:sz w:val="24"/>
          <w:szCs w:val="24"/>
        </w:rPr>
        <w:t>5．磋商</w:t>
      </w:r>
      <w:bookmarkEnd w:id="33"/>
    </w:p>
    <w:p w14:paraId="506BC60A">
      <w:pPr>
        <w:pStyle w:val="3"/>
        <w:spacing w:line="520" w:lineRule="exact"/>
        <w:rPr>
          <w:rFonts w:hAnsi="宋体"/>
          <w:sz w:val="24"/>
          <w:szCs w:val="24"/>
        </w:rPr>
      </w:pPr>
      <w:bookmarkStart w:id="34" w:name="_Toc21215"/>
      <w:r>
        <w:rPr>
          <w:rFonts w:hint="eastAsia" w:hAnsi="宋体"/>
          <w:sz w:val="24"/>
          <w:szCs w:val="24"/>
        </w:rPr>
        <w:t>5.1 磋商时间和地点</w:t>
      </w:r>
      <w:bookmarkEnd w:id="34"/>
    </w:p>
    <w:p w14:paraId="7845BD12">
      <w:pPr>
        <w:spacing w:line="520" w:lineRule="exact"/>
        <w:ind w:firstLine="480" w:firstLineChars="200"/>
        <w:rPr>
          <w:rFonts w:ascii="宋体" w:hAnsi="宋体" w:cs="宋体"/>
          <w:sz w:val="24"/>
          <w:szCs w:val="24"/>
        </w:rPr>
      </w:pPr>
      <w:r>
        <w:rPr>
          <w:rFonts w:hint="eastAsia" w:ascii="宋体" w:hAnsi="宋体" w:cs="宋体"/>
          <w:sz w:val="24"/>
          <w:szCs w:val="24"/>
        </w:rPr>
        <w:t>招标人在本磋商文件规定的响应文件递交截止时间（磋商时间）和地点进行竞争性磋商。</w:t>
      </w:r>
    </w:p>
    <w:p w14:paraId="46628BD8">
      <w:pPr>
        <w:spacing w:line="520" w:lineRule="exact"/>
        <w:ind w:firstLine="482" w:firstLineChars="200"/>
        <w:rPr>
          <w:rFonts w:ascii="宋体" w:hAnsi="宋体" w:cs="宋体"/>
          <w:sz w:val="24"/>
          <w:szCs w:val="24"/>
        </w:rPr>
      </w:pPr>
      <w:r>
        <w:rPr>
          <w:rFonts w:hint="eastAsia" w:ascii="宋体" w:hAnsi="宋体" w:cs="宋体"/>
          <w:b/>
          <w:bCs/>
          <w:sz w:val="24"/>
          <w:szCs w:val="24"/>
        </w:rPr>
        <w:t>5.2  磋商程序</w:t>
      </w:r>
    </w:p>
    <w:p w14:paraId="0B98357D">
      <w:pPr>
        <w:spacing w:line="520" w:lineRule="exact"/>
        <w:ind w:firstLine="480" w:firstLineChars="200"/>
        <w:rPr>
          <w:rFonts w:ascii="宋体" w:hAnsi="宋体" w:cs="宋体"/>
          <w:sz w:val="24"/>
          <w:szCs w:val="24"/>
        </w:rPr>
      </w:pPr>
      <w:r>
        <w:rPr>
          <w:rFonts w:hint="eastAsia" w:ascii="宋体" w:hAnsi="宋体" w:cs="宋体"/>
          <w:sz w:val="24"/>
          <w:szCs w:val="24"/>
        </w:rPr>
        <w:t>5.2.1招标人按须知前附表规定的时间和地点磋商；</w:t>
      </w:r>
    </w:p>
    <w:p w14:paraId="5484627D">
      <w:pPr>
        <w:snapToGrid w:val="0"/>
        <w:spacing w:line="520" w:lineRule="exact"/>
        <w:ind w:firstLine="480" w:firstLineChars="200"/>
        <w:rPr>
          <w:rFonts w:ascii="宋体" w:hAnsi="宋体" w:cs="宋体"/>
          <w:sz w:val="24"/>
          <w:szCs w:val="24"/>
        </w:rPr>
      </w:pPr>
      <w:r>
        <w:rPr>
          <w:rFonts w:hint="eastAsia" w:ascii="宋体" w:hAnsi="宋体" w:cs="宋体"/>
          <w:sz w:val="24"/>
          <w:szCs w:val="24"/>
        </w:rPr>
        <w:t>5.2.2本项目采用</w:t>
      </w:r>
      <w:r>
        <w:rPr>
          <w:rFonts w:hint="eastAsia" w:ascii="宋体" w:hAnsi="宋体" w:cs="宋体"/>
          <w:b/>
          <w:bCs/>
          <w:sz w:val="24"/>
          <w:szCs w:val="24"/>
        </w:rPr>
        <w:t>电子化、无纸化</w:t>
      </w:r>
      <w:r>
        <w:rPr>
          <w:rFonts w:hint="eastAsia" w:ascii="宋体" w:hAnsi="宋体" w:cs="宋体"/>
          <w:sz w:val="24"/>
          <w:szCs w:val="24"/>
        </w:rPr>
        <w:t>进行磋商；</w:t>
      </w:r>
    </w:p>
    <w:p w14:paraId="395A1B21">
      <w:pPr>
        <w:spacing w:line="520" w:lineRule="exact"/>
        <w:ind w:firstLine="480" w:firstLineChars="200"/>
        <w:rPr>
          <w:rFonts w:ascii="宋体" w:hAnsi="宋体" w:cs="宋体"/>
          <w:sz w:val="24"/>
          <w:szCs w:val="24"/>
        </w:rPr>
      </w:pPr>
      <w:r>
        <w:rPr>
          <w:rFonts w:hint="eastAsia" w:ascii="宋体" w:hAnsi="宋体" w:cs="宋体"/>
          <w:sz w:val="24"/>
          <w:szCs w:val="24"/>
        </w:rPr>
        <w:t>5.2.3响应文件有下列情况之一的,招标人将不予接收：</w:t>
      </w:r>
    </w:p>
    <w:p w14:paraId="6600C31C">
      <w:pPr>
        <w:spacing w:line="520" w:lineRule="exact"/>
        <w:ind w:firstLine="480" w:firstLineChars="200"/>
        <w:rPr>
          <w:rFonts w:ascii="宋体" w:hAnsi="宋体" w:cs="宋体"/>
          <w:sz w:val="24"/>
          <w:szCs w:val="24"/>
        </w:rPr>
      </w:pPr>
      <w:r>
        <w:rPr>
          <w:rFonts w:hint="eastAsia" w:ascii="宋体" w:hAnsi="宋体" w:cs="宋体"/>
          <w:sz w:val="24"/>
          <w:szCs w:val="24"/>
        </w:rPr>
        <w:t>5.2.3.1响应文件递交截止时间后上传的；</w:t>
      </w:r>
    </w:p>
    <w:p w14:paraId="51F46D13">
      <w:pPr>
        <w:autoSpaceDE w:val="0"/>
        <w:spacing w:line="600" w:lineRule="exact"/>
        <w:ind w:firstLine="480" w:firstLineChars="200"/>
        <w:rPr>
          <w:rFonts w:ascii="宋体" w:hAnsi="宋体" w:cs="宋体"/>
          <w:sz w:val="24"/>
          <w:szCs w:val="24"/>
        </w:rPr>
      </w:pPr>
      <w:r>
        <w:rPr>
          <w:rFonts w:hint="eastAsia" w:ascii="宋体" w:hAnsi="宋体" w:cs="宋体"/>
          <w:sz w:val="24"/>
          <w:szCs w:val="24"/>
        </w:rPr>
        <w:t>5.2.4按照响应文件上传顺序进行解密；</w:t>
      </w:r>
    </w:p>
    <w:p w14:paraId="2CB89EB7">
      <w:pPr>
        <w:autoSpaceDE w:val="0"/>
        <w:spacing w:line="600" w:lineRule="exact"/>
        <w:ind w:firstLine="480" w:firstLineChars="200"/>
        <w:rPr>
          <w:rFonts w:ascii="宋体" w:hAnsi="宋体" w:cs="宋体"/>
          <w:sz w:val="24"/>
          <w:szCs w:val="24"/>
        </w:rPr>
      </w:pPr>
      <w:r>
        <w:rPr>
          <w:rFonts w:hint="eastAsia" w:ascii="宋体" w:hAnsi="宋体" w:cs="宋体"/>
          <w:sz w:val="24"/>
          <w:szCs w:val="24"/>
        </w:rPr>
        <w:t>5.2.5经确认无误后，按照报送时间顺序确定磋商顺序；</w:t>
      </w:r>
    </w:p>
    <w:p w14:paraId="291E36CA">
      <w:pPr>
        <w:autoSpaceDE w:val="0"/>
        <w:spacing w:line="600" w:lineRule="exact"/>
        <w:ind w:firstLine="480" w:firstLineChars="200"/>
        <w:rPr>
          <w:rFonts w:ascii="宋体" w:hAnsi="宋体" w:cs="宋体"/>
          <w:sz w:val="24"/>
          <w:szCs w:val="24"/>
        </w:rPr>
      </w:pPr>
      <w:r>
        <w:rPr>
          <w:rFonts w:hint="eastAsia" w:ascii="宋体" w:hAnsi="宋体" w:cs="宋体"/>
          <w:sz w:val="24"/>
          <w:szCs w:val="24"/>
        </w:rPr>
        <w:t>5.2.6磋商时供应商如对磋商过程有异议的，应在供应商解密成功后10分钟内向中介服务机构电话质疑。</w:t>
      </w:r>
    </w:p>
    <w:p w14:paraId="68441E82">
      <w:pPr>
        <w:spacing w:line="520" w:lineRule="exact"/>
        <w:ind w:firstLine="482" w:firstLineChars="200"/>
        <w:rPr>
          <w:rFonts w:ascii="宋体" w:hAnsi="宋体" w:cs="宋体"/>
          <w:b/>
          <w:bCs/>
          <w:kern w:val="28"/>
          <w:sz w:val="24"/>
          <w:szCs w:val="24"/>
        </w:rPr>
      </w:pPr>
      <w:r>
        <w:rPr>
          <w:rFonts w:hint="eastAsia" w:ascii="宋体" w:hAnsi="宋体" w:cs="宋体"/>
          <w:b/>
          <w:bCs/>
          <w:kern w:val="28"/>
          <w:sz w:val="24"/>
          <w:szCs w:val="24"/>
        </w:rPr>
        <w:t>6. 磋商细则</w:t>
      </w:r>
    </w:p>
    <w:p w14:paraId="5C8E0A52">
      <w:pPr>
        <w:spacing w:line="520" w:lineRule="exact"/>
        <w:ind w:firstLine="480" w:firstLineChars="200"/>
        <w:rPr>
          <w:rFonts w:ascii="宋体" w:hAnsi="宋体" w:cs="宋体"/>
          <w:sz w:val="24"/>
          <w:szCs w:val="24"/>
        </w:rPr>
      </w:pPr>
      <w:r>
        <w:rPr>
          <w:rFonts w:hint="eastAsia" w:ascii="宋体" w:hAnsi="宋体" w:cs="宋体"/>
          <w:sz w:val="24"/>
          <w:szCs w:val="24"/>
        </w:rPr>
        <w:t>6.1磋商小组按照上传响应文件时间的顺序，决定磋商顺序；</w:t>
      </w:r>
    </w:p>
    <w:p w14:paraId="39BE2DD1">
      <w:pPr>
        <w:spacing w:line="520" w:lineRule="exact"/>
        <w:ind w:firstLine="480" w:firstLineChars="200"/>
        <w:rPr>
          <w:rFonts w:ascii="宋体" w:hAnsi="宋体" w:cs="宋体"/>
          <w:sz w:val="24"/>
          <w:szCs w:val="24"/>
        </w:rPr>
      </w:pPr>
      <w:r>
        <w:rPr>
          <w:rFonts w:hint="eastAsia" w:ascii="宋体" w:hAnsi="宋体" w:cs="宋体"/>
          <w:sz w:val="24"/>
          <w:szCs w:val="24"/>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35DC5BB4">
      <w:pPr>
        <w:spacing w:line="520" w:lineRule="exact"/>
        <w:ind w:firstLine="480" w:firstLineChars="200"/>
        <w:rPr>
          <w:rFonts w:ascii="宋体" w:hAnsi="宋体" w:cs="宋体"/>
          <w:sz w:val="24"/>
          <w:szCs w:val="24"/>
        </w:rPr>
      </w:pPr>
      <w:r>
        <w:rPr>
          <w:rFonts w:hint="eastAsia" w:ascii="宋体" w:hAnsi="宋体" w:cs="宋体"/>
          <w:sz w:val="24"/>
          <w:szCs w:val="24"/>
        </w:rPr>
        <w:t>6.3本次磋商中，响应文件中的磋商报价为第一次报价。</w:t>
      </w:r>
    </w:p>
    <w:p w14:paraId="08843029">
      <w:pPr>
        <w:spacing w:line="520" w:lineRule="exact"/>
        <w:ind w:firstLine="480" w:firstLineChars="200"/>
        <w:rPr>
          <w:rFonts w:ascii="宋体" w:hAnsi="宋体" w:cs="宋体"/>
          <w:sz w:val="24"/>
          <w:szCs w:val="24"/>
        </w:rPr>
      </w:pPr>
      <w:r>
        <w:rPr>
          <w:rFonts w:hint="eastAsia" w:ascii="宋体" w:hAnsi="宋体" w:cs="宋体"/>
          <w:sz w:val="24"/>
          <w:szCs w:val="24"/>
        </w:rPr>
        <w:t>6.4供应商可以在磋商小组规定的时间内进行第二次报价，通过交易中心系统以电子形式递交，第二次报价为最终报价。</w:t>
      </w:r>
    </w:p>
    <w:p w14:paraId="3F17E9F2">
      <w:pPr>
        <w:spacing w:line="520" w:lineRule="exact"/>
        <w:ind w:firstLine="480" w:firstLineChars="200"/>
        <w:rPr>
          <w:rFonts w:ascii="宋体" w:hAnsi="宋体" w:cs="宋体"/>
          <w:sz w:val="24"/>
          <w:szCs w:val="24"/>
        </w:rPr>
      </w:pPr>
      <w:r>
        <w:rPr>
          <w:rFonts w:hint="eastAsia" w:ascii="宋体" w:hAnsi="宋体" w:cs="宋体"/>
          <w:sz w:val="24"/>
          <w:szCs w:val="24"/>
        </w:rPr>
        <w:t>6.5本项目采用综合评分法，磋商小组成员综合评审各供应商提交的响应文件，按总得分由高到低的顺序推荐3名成交候选人，并编写评标报告。</w:t>
      </w:r>
    </w:p>
    <w:p w14:paraId="5D1EFEB7">
      <w:pPr>
        <w:spacing w:line="520" w:lineRule="exact"/>
        <w:ind w:firstLine="482" w:firstLineChars="200"/>
        <w:rPr>
          <w:rFonts w:ascii="宋体" w:hAnsi="宋体" w:cs="宋体"/>
          <w:b/>
          <w:bCs/>
          <w:sz w:val="24"/>
          <w:szCs w:val="24"/>
        </w:rPr>
      </w:pPr>
      <w:r>
        <w:rPr>
          <w:rFonts w:hint="eastAsia" w:ascii="宋体" w:hAnsi="宋体" w:cs="宋体"/>
          <w:b/>
          <w:bCs/>
          <w:sz w:val="24"/>
          <w:szCs w:val="24"/>
        </w:rPr>
        <w:t>7、磋商</w:t>
      </w:r>
    </w:p>
    <w:p w14:paraId="0EC3D437">
      <w:pPr>
        <w:pStyle w:val="70"/>
        <w:spacing w:before="0" w:after="0" w:line="520" w:lineRule="exact"/>
        <w:ind w:firstLine="480" w:firstLineChars="200"/>
        <w:jc w:val="both"/>
        <w:rPr>
          <w:kern w:val="2"/>
        </w:rPr>
      </w:pPr>
      <w:r>
        <w:rPr>
          <w:rFonts w:hint="eastAsia"/>
        </w:rPr>
        <w:t>7</w:t>
      </w:r>
      <w:r>
        <w:rPr>
          <w:rFonts w:hint="eastAsia"/>
          <w:kern w:val="2"/>
        </w:rPr>
        <w:t>.1磋商小组由招标人依法组建，负责磋商。根据《政府采购竞争性磋商采购方式管理办法》的规定，磋商小组应当履行以下义务：</w:t>
      </w:r>
    </w:p>
    <w:p w14:paraId="3DCE2937">
      <w:pPr>
        <w:pStyle w:val="70"/>
        <w:spacing w:before="0" w:after="0" w:line="520" w:lineRule="exact"/>
        <w:ind w:firstLine="480" w:firstLineChars="200"/>
        <w:jc w:val="both"/>
        <w:rPr>
          <w:kern w:val="2"/>
        </w:rPr>
      </w:pPr>
      <w:r>
        <w:rPr>
          <w:rFonts w:hint="eastAsia"/>
          <w:kern w:val="2"/>
        </w:rPr>
        <w:t>（一）遵纪守法，客观、公正、廉洁地履行职责；</w:t>
      </w:r>
    </w:p>
    <w:p w14:paraId="0988318F">
      <w:pPr>
        <w:pStyle w:val="70"/>
        <w:spacing w:before="0" w:after="0" w:line="520" w:lineRule="exact"/>
        <w:ind w:firstLine="480" w:firstLineChars="200"/>
        <w:jc w:val="both"/>
        <w:rPr>
          <w:kern w:val="2"/>
        </w:rPr>
      </w:pPr>
      <w:r>
        <w:rPr>
          <w:rFonts w:hint="eastAsia"/>
          <w:kern w:val="2"/>
        </w:rPr>
        <w:t>（二）根据竞争性磋商文件的规定独立进行评审，对个人的评审意见承担法律责任；</w:t>
      </w:r>
    </w:p>
    <w:p w14:paraId="623BF9E6">
      <w:pPr>
        <w:pStyle w:val="70"/>
        <w:spacing w:before="0" w:after="0" w:line="520" w:lineRule="exact"/>
        <w:ind w:firstLine="480" w:firstLineChars="200"/>
        <w:jc w:val="both"/>
        <w:rPr>
          <w:kern w:val="2"/>
        </w:rPr>
      </w:pPr>
      <w:r>
        <w:rPr>
          <w:rFonts w:hint="eastAsia"/>
          <w:kern w:val="2"/>
        </w:rPr>
        <w:t>（三）参与磋商报告的起草；</w:t>
      </w:r>
    </w:p>
    <w:p w14:paraId="426E358B">
      <w:pPr>
        <w:pStyle w:val="70"/>
        <w:spacing w:before="0" w:after="0" w:line="520" w:lineRule="exact"/>
        <w:ind w:firstLine="480" w:firstLineChars="200"/>
        <w:jc w:val="both"/>
        <w:rPr>
          <w:kern w:val="2"/>
        </w:rPr>
      </w:pPr>
      <w:r>
        <w:rPr>
          <w:rFonts w:hint="eastAsia"/>
          <w:kern w:val="2"/>
        </w:rPr>
        <w:t>（四）配合招标人、采购代理机构答复响应标人提出的质疑；</w:t>
      </w:r>
    </w:p>
    <w:p w14:paraId="3955924F">
      <w:pPr>
        <w:pStyle w:val="70"/>
        <w:spacing w:before="0" w:after="0" w:line="520" w:lineRule="exact"/>
        <w:ind w:firstLine="480" w:firstLineChars="200"/>
        <w:jc w:val="both"/>
        <w:rPr>
          <w:kern w:val="2"/>
        </w:rPr>
      </w:pPr>
      <w:r>
        <w:rPr>
          <w:rFonts w:hint="eastAsia"/>
          <w:kern w:val="2"/>
        </w:rPr>
        <w:t>（五）配合财政部门的投诉处理和监督检查工作。</w:t>
      </w:r>
    </w:p>
    <w:p w14:paraId="4FC2D5BB">
      <w:pPr>
        <w:spacing w:line="520" w:lineRule="exact"/>
        <w:ind w:firstLine="480" w:firstLineChars="200"/>
        <w:rPr>
          <w:rFonts w:ascii="宋体" w:hAnsi="宋体" w:cs="宋体"/>
          <w:sz w:val="24"/>
          <w:szCs w:val="24"/>
        </w:rPr>
      </w:pPr>
      <w:r>
        <w:rPr>
          <w:rFonts w:hint="eastAsia" w:ascii="宋体" w:hAnsi="宋体" w:cs="宋体"/>
          <w:sz w:val="24"/>
          <w:szCs w:val="24"/>
        </w:rPr>
        <w:t>7.2磋商小组由有关技术、经济方面的专家组成。磋商小组人数及技术、经济专家的确定方式见供应商须知前附表。</w:t>
      </w:r>
    </w:p>
    <w:p w14:paraId="445B1BFF">
      <w:pPr>
        <w:spacing w:line="520" w:lineRule="exact"/>
        <w:ind w:firstLine="480" w:firstLineChars="200"/>
        <w:rPr>
          <w:rFonts w:ascii="宋体" w:hAnsi="宋体" w:cs="宋体"/>
          <w:sz w:val="24"/>
          <w:szCs w:val="24"/>
        </w:rPr>
      </w:pPr>
      <w:r>
        <w:rPr>
          <w:rFonts w:hint="eastAsia" w:ascii="宋体" w:hAnsi="宋体" w:cs="宋体"/>
          <w:sz w:val="24"/>
          <w:szCs w:val="24"/>
        </w:rPr>
        <w:t>7.3 磋商原则</w:t>
      </w:r>
    </w:p>
    <w:p w14:paraId="3ADC9284">
      <w:pPr>
        <w:spacing w:line="520" w:lineRule="exact"/>
        <w:ind w:firstLine="480" w:firstLineChars="200"/>
        <w:rPr>
          <w:rFonts w:ascii="宋体" w:hAnsi="宋体" w:cs="宋体"/>
          <w:sz w:val="24"/>
          <w:szCs w:val="24"/>
        </w:rPr>
      </w:pPr>
      <w:r>
        <w:rPr>
          <w:rFonts w:hint="eastAsia" w:ascii="宋体" w:hAnsi="宋体" w:cs="宋体"/>
          <w:sz w:val="24"/>
          <w:szCs w:val="24"/>
        </w:rPr>
        <w:t>7.3.1严格按照竞争性磋商文件中的所有相关规定；按照“公平、公正、科学”的原则进行磋商。</w:t>
      </w:r>
    </w:p>
    <w:p w14:paraId="6023DE80">
      <w:pPr>
        <w:spacing w:line="520" w:lineRule="exact"/>
        <w:ind w:firstLine="480" w:firstLineChars="200"/>
        <w:rPr>
          <w:rFonts w:ascii="宋体" w:hAnsi="宋体" w:cs="宋体"/>
          <w:sz w:val="24"/>
          <w:szCs w:val="24"/>
        </w:rPr>
      </w:pPr>
      <w:r>
        <w:rPr>
          <w:rFonts w:hint="eastAsia" w:ascii="宋体" w:hAnsi="宋体" w:cs="宋体"/>
          <w:sz w:val="24"/>
          <w:szCs w:val="24"/>
        </w:rPr>
        <w:t>7.3.2反对不正当竞争。</w:t>
      </w:r>
    </w:p>
    <w:p w14:paraId="1D692CF3">
      <w:pPr>
        <w:spacing w:line="520" w:lineRule="exact"/>
        <w:ind w:firstLine="482" w:firstLineChars="200"/>
        <w:rPr>
          <w:rFonts w:ascii="宋体" w:hAnsi="宋体" w:cs="宋体"/>
          <w:b/>
          <w:bCs/>
          <w:sz w:val="24"/>
          <w:szCs w:val="24"/>
        </w:rPr>
      </w:pPr>
      <w:r>
        <w:rPr>
          <w:rFonts w:hint="eastAsia" w:ascii="宋体" w:hAnsi="宋体" w:cs="宋体"/>
          <w:b/>
          <w:bCs/>
          <w:sz w:val="24"/>
          <w:szCs w:val="24"/>
        </w:rPr>
        <w:t>8、磋商过程的保密</w:t>
      </w:r>
    </w:p>
    <w:p w14:paraId="6665A153">
      <w:pPr>
        <w:spacing w:line="520" w:lineRule="exact"/>
        <w:ind w:firstLine="480" w:firstLineChars="200"/>
        <w:rPr>
          <w:rFonts w:ascii="宋体" w:hAnsi="宋体" w:cs="宋体"/>
          <w:sz w:val="24"/>
          <w:szCs w:val="24"/>
        </w:rPr>
      </w:pPr>
      <w:r>
        <w:rPr>
          <w:rFonts w:hint="eastAsia" w:ascii="宋体" w:hAnsi="宋体" w:cs="宋体"/>
          <w:sz w:val="24"/>
          <w:szCs w:val="24"/>
        </w:rPr>
        <w:t>8.1响应文件的审查、澄清、评价和比较的有关资料以及成交候选人的推荐情况，与磋商有关的其他任何情况均应严格保密。</w:t>
      </w:r>
    </w:p>
    <w:p w14:paraId="7826EC91">
      <w:pPr>
        <w:spacing w:line="520" w:lineRule="exact"/>
        <w:ind w:firstLine="480" w:firstLineChars="200"/>
        <w:rPr>
          <w:rFonts w:ascii="宋体" w:hAnsi="宋体" w:cs="宋体"/>
          <w:sz w:val="24"/>
          <w:szCs w:val="24"/>
        </w:rPr>
      </w:pPr>
      <w:r>
        <w:rPr>
          <w:rFonts w:hint="eastAsia" w:ascii="宋体" w:hAnsi="宋体" w:cs="宋体"/>
          <w:sz w:val="24"/>
          <w:szCs w:val="24"/>
        </w:rPr>
        <w:t>8.2在响应文件的评审和比较、成交候选人推荐以及授予合同的过程中，供应商向招标人和磋商小组施加影响的任何行为，都将会导致其磋商被拒绝。</w:t>
      </w:r>
    </w:p>
    <w:p w14:paraId="202A858C">
      <w:pPr>
        <w:spacing w:line="520" w:lineRule="exact"/>
        <w:ind w:firstLine="480" w:firstLineChars="200"/>
        <w:rPr>
          <w:rFonts w:ascii="宋体" w:hAnsi="宋体" w:cs="宋体"/>
          <w:sz w:val="24"/>
          <w:szCs w:val="24"/>
        </w:rPr>
      </w:pPr>
      <w:r>
        <w:rPr>
          <w:rFonts w:hint="eastAsia" w:ascii="宋体" w:hAnsi="宋体" w:cs="宋体"/>
          <w:sz w:val="24"/>
          <w:szCs w:val="24"/>
        </w:rPr>
        <w:t>8.3招标人不对未成交人就磋商过程以及未能成交原因作出任何解释。未成交人不得向磋商小组成员和其他有关人员索问磋商过程的情况和资料。</w:t>
      </w:r>
    </w:p>
    <w:p w14:paraId="4C250E2B">
      <w:pPr>
        <w:spacing w:line="520" w:lineRule="exact"/>
        <w:ind w:firstLine="482" w:firstLineChars="200"/>
        <w:rPr>
          <w:rFonts w:ascii="宋体" w:hAnsi="宋体" w:cs="宋体"/>
          <w:b/>
          <w:bCs/>
          <w:sz w:val="24"/>
          <w:szCs w:val="24"/>
        </w:rPr>
      </w:pPr>
      <w:r>
        <w:rPr>
          <w:rFonts w:hint="eastAsia" w:ascii="宋体" w:hAnsi="宋体" w:cs="宋体"/>
          <w:b/>
          <w:bCs/>
          <w:sz w:val="24"/>
          <w:szCs w:val="24"/>
        </w:rPr>
        <w:t>9、响应文件的澄清</w:t>
      </w:r>
    </w:p>
    <w:p w14:paraId="4488BAB6">
      <w:pPr>
        <w:spacing w:line="520" w:lineRule="exact"/>
        <w:ind w:firstLine="480" w:firstLineChars="200"/>
        <w:rPr>
          <w:rFonts w:ascii="宋体" w:hAnsi="宋体" w:cs="宋体"/>
          <w:sz w:val="24"/>
          <w:szCs w:val="24"/>
        </w:rPr>
      </w:pPr>
      <w:r>
        <w:rPr>
          <w:rFonts w:hint="eastAsia" w:ascii="宋体" w:hAnsi="宋体" w:cs="宋体"/>
          <w:sz w:val="24"/>
          <w:szCs w:val="24"/>
        </w:rPr>
        <w:t>磋商小组可以以书面形式要求供应商对其响应文件中含义不明确的内容作必要的澄清或说明。供应商应采用书面形式进行澄清和说明，但不得超出响应文件的范围或者改变响应文件实质性内容。凡属于磋商小组在磋商发现的计算错误并进行核实的修改不在此列。</w:t>
      </w:r>
    </w:p>
    <w:p w14:paraId="597F61D2">
      <w:pPr>
        <w:spacing w:line="520" w:lineRule="exact"/>
        <w:ind w:firstLine="482" w:firstLineChars="200"/>
        <w:rPr>
          <w:rFonts w:ascii="宋体" w:hAnsi="宋体" w:cs="宋体"/>
          <w:b/>
          <w:bCs/>
          <w:sz w:val="24"/>
          <w:szCs w:val="24"/>
        </w:rPr>
      </w:pPr>
      <w:r>
        <w:rPr>
          <w:rFonts w:hint="eastAsia" w:ascii="宋体" w:hAnsi="宋体" w:cs="宋体"/>
          <w:b/>
          <w:bCs/>
          <w:sz w:val="24"/>
          <w:szCs w:val="24"/>
        </w:rPr>
        <w:t>10、响应文件的初步评审</w:t>
      </w:r>
    </w:p>
    <w:p w14:paraId="1A4DA311">
      <w:pPr>
        <w:spacing w:line="520" w:lineRule="exact"/>
        <w:ind w:firstLine="480" w:firstLineChars="200"/>
        <w:rPr>
          <w:rFonts w:ascii="宋体" w:hAnsi="宋体" w:cs="宋体"/>
          <w:sz w:val="24"/>
          <w:szCs w:val="24"/>
        </w:rPr>
      </w:pPr>
      <w:r>
        <w:rPr>
          <w:rFonts w:hint="eastAsia" w:ascii="宋体" w:hAnsi="宋体" w:cs="宋体"/>
          <w:sz w:val="24"/>
          <w:szCs w:val="24"/>
        </w:rPr>
        <w:t>10.1根据初步评审要求经审查有效的响应文件，才能提交磋商小组进行评审。</w:t>
      </w:r>
    </w:p>
    <w:p w14:paraId="27209B67">
      <w:pPr>
        <w:spacing w:line="520" w:lineRule="exact"/>
        <w:ind w:firstLine="480" w:firstLineChars="200"/>
        <w:rPr>
          <w:rFonts w:ascii="宋体" w:hAnsi="宋体" w:cs="宋体"/>
          <w:sz w:val="24"/>
          <w:szCs w:val="24"/>
        </w:rPr>
      </w:pPr>
      <w:r>
        <w:rPr>
          <w:rFonts w:hint="eastAsia" w:ascii="宋体" w:hAnsi="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供应商的义务方面造成重大的限制，纠正这些差异或保留，将会对其他实质上响应竞争性磋商文件要求的供应商的竞争地位产生不公正的影响。</w:t>
      </w:r>
    </w:p>
    <w:p w14:paraId="7A2E3114">
      <w:pPr>
        <w:spacing w:line="500" w:lineRule="exact"/>
        <w:ind w:firstLine="480" w:firstLineChars="200"/>
        <w:rPr>
          <w:rFonts w:ascii="宋体" w:hAnsi="宋体" w:cs="宋体"/>
          <w:sz w:val="24"/>
          <w:szCs w:val="24"/>
        </w:rPr>
      </w:pPr>
      <w:r>
        <w:rPr>
          <w:rFonts w:hint="eastAsia" w:ascii="宋体" w:hAnsi="宋体" w:cs="宋体"/>
          <w:sz w:val="24"/>
          <w:szCs w:val="24"/>
        </w:rPr>
        <w:t>10.3如果响应文件实质上不响应竞争性磋商文件的要求，招标人将予以拒绝，并且不允许供应商通过修改或撤消其不符合要求的差异或保留，使之成为具有响应性的磋商。</w:t>
      </w:r>
    </w:p>
    <w:p w14:paraId="081BE2FE">
      <w:pPr>
        <w:spacing w:line="500" w:lineRule="exact"/>
        <w:ind w:firstLine="482" w:firstLineChars="200"/>
        <w:rPr>
          <w:rFonts w:ascii="宋体" w:hAnsi="宋体" w:cs="宋体"/>
          <w:b/>
          <w:bCs/>
          <w:sz w:val="24"/>
          <w:szCs w:val="24"/>
        </w:rPr>
      </w:pPr>
      <w:r>
        <w:rPr>
          <w:rFonts w:hint="eastAsia" w:ascii="宋体" w:hAnsi="宋体" w:cs="宋体"/>
          <w:b/>
          <w:bCs/>
          <w:sz w:val="24"/>
          <w:szCs w:val="24"/>
        </w:rPr>
        <w:t>11.响应文件计算错误的修正</w:t>
      </w:r>
    </w:p>
    <w:p w14:paraId="273715F8">
      <w:pPr>
        <w:spacing w:line="500" w:lineRule="exact"/>
        <w:ind w:firstLine="480" w:firstLineChars="200"/>
        <w:rPr>
          <w:rFonts w:ascii="宋体" w:hAnsi="宋体" w:cs="宋体"/>
          <w:sz w:val="24"/>
          <w:szCs w:val="24"/>
        </w:rPr>
      </w:pPr>
      <w:r>
        <w:rPr>
          <w:rFonts w:hint="eastAsia" w:ascii="宋体" w:hAnsi="宋体" w:cs="宋体"/>
          <w:sz w:val="24"/>
          <w:szCs w:val="24"/>
        </w:rPr>
        <w:t>11.1磋商小组将对确定为实质上响应竞争性磋商文件要求的响应文件进行校核，看其是否有计算或表达上的错误，修正错误的原则如下：</w:t>
      </w:r>
    </w:p>
    <w:p w14:paraId="593CC578">
      <w:pPr>
        <w:spacing w:line="500" w:lineRule="exact"/>
        <w:ind w:firstLine="480" w:firstLineChars="200"/>
        <w:rPr>
          <w:rFonts w:ascii="宋体" w:hAnsi="宋体" w:cs="宋体"/>
          <w:sz w:val="24"/>
          <w:szCs w:val="24"/>
        </w:rPr>
      </w:pPr>
      <w:r>
        <w:rPr>
          <w:rFonts w:hint="eastAsia" w:ascii="宋体" w:hAnsi="宋体" w:cs="宋体"/>
          <w:sz w:val="24"/>
          <w:szCs w:val="24"/>
        </w:rPr>
        <w:t>11.1.1如果数字表示的金额和用文字表示的金额不一致时，应以文字表示的金额为准；</w:t>
      </w:r>
    </w:p>
    <w:p w14:paraId="6862CF15">
      <w:pPr>
        <w:spacing w:line="500" w:lineRule="exact"/>
        <w:ind w:firstLine="480" w:firstLineChars="200"/>
        <w:rPr>
          <w:rFonts w:ascii="宋体" w:hAnsi="宋体" w:cs="宋体"/>
          <w:sz w:val="24"/>
          <w:szCs w:val="24"/>
        </w:rPr>
      </w:pPr>
      <w:r>
        <w:rPr>
          <w:rFonts w:hint="eastAsia" w:ascii="宋体" w:hAnsi="宋体" w:cs="宋体"/>
          <w:sz w:val="24"/>
          <w:szCs w:val="24"/>
        </w:rPr>
        <w:t>11.1.2当单价与数量的乘积与合价不一致时，以单价为准，除非磋商小组认为单价有明显的小数点错误，此时应以标出的合价为准，并修改单价。</w:t>
      </w:r>
    </w:p>
    <w:p w14:paraId="5663ACB8">
      <w:pPr>
        <w:spacing w:line="500" w:lineRule="exact"/>
        <w:ind w:firstLine="480" w:firstLineChars="200"/>
        <w:rPr>
          <w:rFonts w:ascii="宋体" w:hAnsi="宋体" w:cs="宋体"/>
          <w:sz w:val="24"/>
          <w:szCs w:val="24"/>
        </w:rPr>
      </w:pPr>
      <w:r>
        <w:rPr>
          <w:rFonts w:hint="eastAsia" w:ascii="宋体" w:hAnsi="宋体" w:cs="宋体"/>
          <w:sz w:val="24"/>
          <w:szCs w:val="24"/>
        </w:rPr>
        <w:t>11.2按上述修正错误的原则及方法调整或修正响应文件的磋商报价，供应商同意后，调整后的磋商报价对供应商起约束作用。如果供应商不接受修正后的报价，则磋商小组对其不再进行评审。</w:t>
      </w:r>
    </w:p>
    <w:p w14:paraId="6585E21D">
      <w:pPr>
        <w:spacing w:line="500" w:lineRule="exact"/>
        <w:ind w:firstLine="482" w:firstLineChars="200"/>
        <w:rPr>
          <w:rFonts w:ascii="宋体" w:hAnsi="宋体" w:cs="宋体"/>
          <w:b/>
          <w:bCs/>
          <w:sz w:val="24"/>
          <w:szCs w:val="24"/>
        </w:rPr>
      </w:pPr>
      <w:r>
        <w:rPr>
          <w:rFonts w:hint="eastAsia" w:ascii="宋体" w:hAnsi="宋体" w:cs="宋体"/>
          <w:b/>
          <w:bCs/>
          <w:sz w:val="24"/>
          <w:szCs w:val="24"/>
        </w:rPr>
        <w:t>12. 响应文件的评审、比较和否决</w:t>
      </w:r>
    </w:p>
    <w:p w14:paraId="3694E3DF">
      <w:pPr>
        <w:snapToGrid w:val="0"/>
        <w:spacing w:line="500" w:lineRule="exact"/>
        <w:ind w:firstLine="480" w:firstLineChars="200"/>
        <w:rPr>
          <w:rFonts w:ascii="宋体" w:hAnsi="宋体" w:cs="宋体"/>
          <w:sz w:val="24"/>
          <w:szCs w:val="24"/>
        </w:rPr>
      </w:pPr>
      <w:r>
        <w:rPr>
          <w:rFonts w:hint="eastAsia" w:ascii="宋体" w:hAnsi="宋体" w:cs="宋体"/>
          <w:sz w:val="24"/>
          <w:szCs w:val="24"/>
        </w:rPr>
        <w:t>12.1磋商小组仅对在实质上响应竞争性磋商文件要求的响应文件进行评估和比较。</w:t>
      </w:r>
    </w:p>
    <w:p w14:paraId="51DF39F6">
      <w:pPr>
        <w:snapToGrid w:val="0"/>
        <w:spacing w:line="500" w:lineRule="exact"/>
        <w:ind w:firstLine="480" w:firstLineChars="200"/>
        <w:rPr>
          <w:rFonts w:ascii="宋体" w:hAnsi="宋体" w:cs="宋体"/>
          <w:sz w:val="24"/>
          <w:szCs w:val="24"/>
        </w:rPr>
      </w:pPr>
      <w:r>
        <w:rPr>
          <w:rFonts w:hint="eastAsia" w:ascii="宋体" w:hAnsi="宋体" w:cs="宋体"/>
          <w:sz w:val="24"/>
          <w:szCs w:val="24"/>
        </w:rPr>
        <w:t>12.2在磋商过程中，磋商小组发现供应商的磋商报价明显低于其他供应商的报价，并有可能低于其企业成本的，则磋商小组可以以书面形式要求该供应商作出书面说明并提供相关证明材料。供应商不能合理说明或不能提供相关证明材料的，磋商小组对其响应文件不再进行评审。</w:t>
      </w:r>
    </w:p>
    <w:p w14:paraId="1820088F">
      <w:pPr>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12.3在首轮磋商的基础上，磋商小组讨论、分析、综合各种因素后，决定是否与各方再次进行磋商。 </w:t>
      </w:r>
    </w:p>
    <w:p w14:paraId="3F118254">
      <w:pPr>
        <w:spacing w:line="500" w:lineRule="exact"/>
        <w:ind w:firstLine="482" w:firstLineChars="200"/>
        <w:rPr>
          <w:rFonts w:ascii="宋体" w:hAnsi="宋体" w:cs="宋体"/>
          <w:b/>
          <w:bCs/>
          <w:sz w:val="24"/>
          <w:szCs w:val="24"/>
        </w:rPr>
      </w:pPr>
      <w:r>
        <w:rPr>
          <w:rFonts w:hint="eastAsia" w:ascii="宋体" w:hAnsi="宋体" w:cs="宋体"/>
          <w:b/>
          <w:bCs/>
          <w:sz w:val="24"/>
          <w:szCs w:val="24"/>
        </w:rPr>
        <w:t>13、定标</w:t>
      </w:r>
    </w:p>
    <w:p w14:paraId="1E621034">
      <w:pPr>
        <w:snapToGrid w:val="0"/>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磋商小组成员综合评审各供应商提交的响应文件，按总得分由高到低的顺序推荐3名成交候选人</w:t>
      </w:r>
      <w:r>
        <w:rPr>
          <w:rFonts w:hint="eastAsia" w:ascii="宋体" w:hAnsi="宋体" w:cs="宋体"/>
          <w:sz w:val="24"/>
          <w:szCs w:val="24"/>
          <w:lang w:eastAsia="zh-CN"/>
        </w:rPr>
        <w:t>，</w:t>
      </w:r>
      <w:r>
        <w:rPr>
          <w:rFonts w:hint="eastAsia" w:ascii="宋体" w:hAnsi="宋体" w:cs="宋体"/>
          <w:sz w:val="24"/>
          <w:szCs w:val="24"/>
          <w:lang w:val="en-US" w:eastAsia="zh-CN"/>
        </w:rPr>
        <w:t>总</w:t>
      </w:r>
      <w:r>
        <w:rPr>
          <w:rFonts w:hint="eastAsia" w:ascii="宋体" w:hAnsi="宋体" w:cs="宋体"/>
          <w:sz w:val="24"/>
          <w:szCs w:val="24"/>
        </w:rPr>
        <w:t>得分相同的，按照最</w:t>
      </w:r>
      <w:r>
        <w:rPr>
          <w:rFonts w:hint="eastAsia" w:ascii="宋体" w:hAnsi="宋体" w:cs="宋体"/>
          <w:sz w:val="24"/>
          <w:szCs w:val="24"/>
          <w:lang w:val="en-US" w:eastAsia="zh-CN"/>
        </w:rPr>
        <w:t>终</w:t>
      </w:r>
      <w:r>
        <w:rPr>
          <w:rFonts w:hint="eastAsia" w:ascii="宋体" w:hAnsi="宋体" w:cs="宋体"/>
          <w:sz w:val="24"/>
          <w:szCs w:val="24"/>
        </w:rPr>
        <w:t>报价由低到高的顺序推荐</w:t>
      </w:r>
      <w:r>
        <w:rPr>
          <w:rFonts w:hint="eastAsia" w:ascii="宋体" w:hAnsi="宋体" w:cs="宋体"/>
          <w:sz w:val="24"/>
          <w:szCs w:val="24"/>
          <w:lang w:eastAsia="zh-CN"/>
        </w:rPr>
        <w:t>，</w:t>
      </w:r>
      <w:r>
        <w:rPr>
          <w:rFonts w:hint="eastAsia" w:ascii="宋体" w:hAnsi="宋体" w:cs="宋体"/>
          <w:sz w:val="24"/>
          <w:szCs w:val="24"/>
        </w:rPr>
        <w:t>最</w:t>
      </w:r>
      <w:r>
        <w:rPr>
          <w:rFonts w:hint="eastAsia" w:ascii="宋体" w:hAnsi="宋体" w:cs="宋体"/>
          <w:sz w:val="24"/>
          <w:szCs w:val="24"/>
          <w:lang w:val="en-US" w:eastAsia="zh-CN"/>
        </w:rPr>
        <w:t>终</w:t>
      </w:r>
      <w:r>
        <w:rPr>
          <w:rFonts w:hint="eastAsia" w:ascii="宋体" w:hAnsi="宋体" w:cs="宋体"/>
          <w:sz w:val="24"/>
          <w:szCs w:val="24"/>
        </w:rPr>
        <w:t>报价</w:t>
      </w:r>
      <w:r>
        <w:rPr>
          <w:rFonts w:hint="eastAsia" w:ascii="宋体" w:hAnsi="宋体" w:cs="宋体"/>
          <w:sz w:val="24"/>
          <w:szCs w:val="24"/>
          <w:lang w:val="en-US" w:eastAsia="zh-CN"/>
        </w:rPr>
        <w:t>也</w:t>
      </w:r>
      <w:r>
        <w:rPr>
          <w:rFonts w:hint="eastAsia" w:ascii="宋体" w:hAnsi="宋体" w:cs="宋体"/>
          <w:sz w:val="24"/>
          <w:szCs w:val="24"/>
        </w:rPr>
        <w:t>相同的，</w:t>
      </w:r>
      <w:r>
        <w:rPr>
          <w:rFonts w:hint="eastAsia" w:ascii="宋体" w:hAnsi="宋体" w:cs="宋体"/>
          <w:sz w:val="24"/>
          <w:szCs w:val="24"/>
          <w:lang w:val="en-US" w:eastAsia="zh-CN"/>
        </w:rPr>
        <w:t>按照技术得分由高到低顺序推荐。</w:t>
      </w:r>
      <w:r>
        <w:rPr>
          <w:rFonts w:hint="eastAsia" w:ascii="宋体" w:hAnsi="宋体" w:eastAsia="宋体" w:cs="宋体"/>
          <w:sz w:val="24"/>
          <w:szCs w:val="24"/>
        </w:rPr>
        <w:t>招标单位依据</w:t>
      </w:r>
      <w:r>
        <w:rPr>
          <w:rFonts w:hint="eastAsia" w:ascii="宋体" w:hAnsi="宋体" w:cs="宋体"/>
          <w:sz w:val="24"/>
          <w:szCs w:val="24"/>
          <w:lang w:val="en-US" w:eastAsia="zh-CN"/>
        </w:rPr>
        <w:t>磋商小组</w:t>
      </w:r>
      <w:r>
        <w:rPr>
          <w:rFonts w:hint="eastAsia" w:ascii="宋体" w:hAnsi="宋体" w:eastAsia="宋体" w:cs="宋体"/>
          <w:sz w:val="24"/>
          <w:szCs w:val="24"/>
        </w:rPr>
        <w:t>推荐的</w:t>
      </w:r>
      <w:r>
        <w:rPr>
          <w:rFonts w:hint="eastAsia" w:ascii="宋体" w:hAnsi="宋体" w:cs="宋体"/>
          <w:sz w:val="24"/>
          <w:szCs w:val="24"/>
          <w:lang w:val="en-US" w:eastAsia="zh-CN"/>
        </w:rPr>
        <w:t>成交</w:t>
      </w:r>
      <w:r>
        <w:rPr>
          <w:rFonts w:hint="eastAsia" w:ascii="宋体" w:hAnsi="宋体" w:eastAsia="宋体" w:cs="宋体"/>
          <w:sz w:val="24"/>
          <w:szCs w:val="24"/>
        </w:rPr>
        <w:t>候选人确定</w:t>
      </w:r>
      <w:r>
        <w:rPr>
          <w:rFonts w:hint="eastAsia" w:ascii="宋体" w:hAnsi="宋体" w:cs="宋体"/>
          <w:sz w:val="24"/>
          <w:szCs w:val="24"/>
          <w:lang w:val="en-US" w:eastAsia="zh-CN"/>
        </w:rPr>
        <w:t>成交供应商。</w:t>
      </w:r>
    </w:p>
    <w:p w14:paraId="2DD83E37">
      <w:pPr>
        <w:snapToGrid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或者</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代理机构应当在</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确定后2个工作日内，在《河南省政府采购网》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《三门峡市公共资源交易中心网》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《中国招标投标公共服务平台》等网站上发布</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结果</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rPr>
        <w:t>同时向</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发出</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通知书</w:t>
      </w:r>
      <w:r>
        <w:rPr>
          <w:rFonts w:hint="eastAsia" w:ascii="宋体" w:hAnsi="宋体" w:cs="宋体"/>
          <w:color w:val="auto"/>
          <w:sz w:val="24"/>
          <w:szCs w:val="24"/>
          <w:lang w:eastAsia="zh-CN"/>
        </w:rPr>
        <w:t>。</w:t>
      </w:r>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如第一</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候选人放弃中标，</w:t>
      </w:r>
      <w:r>
        <w:rPr>
          <w:rFonts w:hint="eastAsia" w:ascii="宋体" w:hAnsi="宋体" w:eastAsia="宋体" w:cs="宋体"/>
          <w:color w:val="auto"/>
          <w:sz w:val="24"/>
          <w:szCs w:val="24"/>
        </w:rPr>
        <w:t>因不可抗力不能履行合同、不按照要求提交履约保证金，或者被查实存在影响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结果的违法行为等情形，</w:t>
      </w:r>
      <w:r>
        <w:rPr>
          <w:rFonts w:hint="eastAsia" w:ascii="宋体" w:hAnsi="宋体" w:eastAsia="宋体" w:cs="宋体"/>
          <w:sz w:val="24"/>
          <w:szCs w:val="24"/>
        </w:rPr>
        <w:t>不符合</w:t>
      </w:r>
      <w:r>
        <w:rPr>
          <w:rFonts w:hint="eastAsia" w:ascii="宋体" w:hAnsi="宋体" w:cs="宋体"/>
          <w:sz w:val="24"/>
          <w:szCs w:val="24"/>
          <w:lang w:val="en-US" w:eastAsia="zh-CN"/>
        </w:rPr>
        <w:t>成交</w:t>
      </w:r>
      <w:r>
        <w:rPr>
          <w:rFonts w:hint="eastAsia" w:ascii="宋体" w:hAnsi="宋体" w:eastAsia="宋体" w:cs="宋体"/>
          <w:sz w:val="24"/>
          <w:szCs w:val="24"/>
        </w:rPr>
        <w:t>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cs="宋体"/>
          <w:sz w:val="24"/>
          <w:szCs w:val="24"/>
          <w:lang w:val="en-US" w:eastAsia="zh-CN"/>
        </w:rPr>
        <w:t>成交</w:t>
      </w:r>
      <w:r>
        <w:rPr>
          <w:rFonts w:hint="eastAsia" w:ascii="宋体" w:hAnsi="宋体" w:eastAsia="宋体" w:cs="宋体"/>
          <w:sz w:val="24"/>
          <w:szCs w:val="24"/>
        </w:rPr>
        <w:t>候选人名单排序依次确定其他成交候选人为</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6A2BAD15">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41FCF480">
      <w:pPr>
        <w:spacing w:line="500" w:lineRule="exact"/>
        <w:ind w:firstLine="482" w:firstLineChars="200"/>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4</w:t>
      </w:r>
      <w:r>
        <w:rPr>
          <w:rFonts w:hint="eastAsia" w:ascii="宋体" w:hAnsi="宋体" w:cs="宋体"/>
          <w:b/>
          <w:bCs/>
          <w:sz w:val="24"/>
          <w:szCs w:val="24"/>
        </w:rPr>
        <w:t>.成交通知书</w:t>
      </w:r>
    </w:p>
    <w:p w14:paraId="43739202">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.l</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w:t>
      </w:r>
      <w:r>
        <w:rPr>
          <w:rFonts w:hint="eastAsia" w:ascii="宋体" w:hAnsi="宋体" w:cs="宋体"/>
          <w:color w:val="auto"/>
          <w:sz w:val="24"/>
          <w:szCs w:val="24"/>
          <w:lang w:val="en-US" w:eastAsia="zh-CN"/>
        </w:rPr>
        <w:t>在成交结果公告发布</w:t>
      </w:r>
      <w:r>
        <w:rPr>
          <w:rFonts w:hint="eastAsia" w:ascii="宋体" w:hAnsi="宋体" w:eastAsia="宋体" w:cs="宋体"/>
          <w:sz w:val="24"/>
          <w:szCs w:val="24"/>
        </w:rPr>
        <w:t>同时向</w:t>
      </w:r>
      <w:r>
        <w:rPr>
          <w:rFonts w:hint="eastAsia" w:ascii="宋体" w:hAnsi="宋体" w:cs="宋体"/>
          <w:sz w:val="24"/>
          <w:szCs w:val="24"/>
          <w:lang w:val="en-US" w:eastAsia="zh-CN"/>
        </w:rPr>
        <w:t>成交供应商</w:t>
      </w:r>
      <w:r>
        <w:rPr>
          <w:rFonts w:hint="eastAsia" w:ascii="宋体" w:hAnsi="宋体" w:eastAsia="宋体" w:cs="宋体"/>
          <w:sz w:val="24"/>
          <w:szCs w:val="24"/>
        </w:rPr>
        <w:t>发出</w:t>
      </w:r>
      <w:r>
        <w:rPr>
          <w:rFonts w:hint="eastAsia" w:ascii="宋体" w:hAnsi="宋体" w:cs="宋体"/>
          <w:sz w:val="24"/>
          <w:szCs w:val="24"/>
          <w:lang w:val="en-US" w:eastAsia="zh-CN"/>
        </w:rPr>
        <w:t>成交</w:t>
      </w:r>
      <w:r>
        <w:rPr>
          <w:rFonts w:hint="eastAsia" w:ascii="宋体" w:hAnsi="宋体" w:eastAsia="宋体" w:cs="宋体"/>
          <w:sz w:val="24"/>
          <w:szCs w:val="24"/>
        </w:rPr>
        <w:t>通知书，《</w:t>
      </w:r>
      <w:r>
        <w:rPr>
          <w:rFonts w:hint="eastAsia" w:ascii="宋体" w:hAnsi="宋体" w:cs="宋体"/>
          <w:sz w:val="24"/>
          <w:szCs w:val="24"/>
          <w:lang w:val="en-US" w:eastAsia="zh-CN"/>
        </w:rPr>
        <w:t>成交</w:t>
      </w:r>
      <w:r>
        <w:rPr>
          <w:rFonts w:hint="eastAsia" w:ascii="宋体" w:hAnsi="宋体" w:eastAsia="宋体" w:cs="宋体"/>
          <w:sz w:val="24"/>
          <w:szCs w:val="24"/>
        </w:rPr>
        <w:t>通知书》对</w:t>
      </w:r>
      <w:r>
        <w:rPr>
          <w:rFonts w:hint="eastAsia" w:ascii="宋体" w:hAnsi="宋体" w:cs="宋体"/>
          <w:sz w:val="24"/>
          <w:szCs w:val="24"/>
          <w:lang w:val="en-US" w:eastAsia="zh-CN"/>
        </w:rPr>
        <w:t>成交供应商</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r>
        <w:rPr>
          <w:rFonts w:hint="eastAsia" w:ascii="宋体" w:hAnsi="宋体" w:cs="宋体"/>
          <w:sz w:val="24"/>
          <w:szCs w:val="24"/>
        </w:rPr>
        <w:t>。</w:t>
      </w:r>
    </w:p>
    <w:p w14:paraId="026729B6">
      <w:pPr>
        <w:spacing w:line="50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.2成交通知书是合同的组成部分。</w:t>
      </w:r>
    </w:p>
    <w:p w14:paraId="3248532F">
      <w:pPr>
        <w:spacing w:line="500" w:lineRule="exact"/>
        <w:ind w:firstLine="482" w:firstLineChars="200"/>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5</w:t>
      </w:r>
      <w:r>
        <w:rPr>
          <w:rFonts w:hint="eastAsia" w:ascii="宋体" w:hAnsi="宋体" w:cs="宋体"/>
          <w:b/>
          <w:bCs/>
          <w:sz w:val="24"/>
          <w:szCs w:val="24"/>
        </w:rPr>
        <w:t>、合同的授予</w:t>
      </w:r>
    </w:p>
    <w:p w14:paraId="597CB56C">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.1合同授予标准</w:t>
      </w:r>
    </w:p>
    <w:p w14:paraId="7700A155">
      <w:pPr>
        <w:spacing w:line="500" w:lineRule="exact"/>
        <w:ind w:firstLine="480" w:firstLineChars="200"/>
        <w:rPr>
          <w:rFonts w:hint="eastAsia" w:ascii="宋体" w:hAnsi="宋体" w:cs="宋体"/>
          <w:sz w:val="24"/>
          <w:szCs w:val="24"/>
        </w:rPr>
      </w:pPr>
      <w:r>
        <w:rPr>
          <w:rFonts w:hint="eastAsia" w:ascii="宋体" w:hAnsi="宋体" w:cs="宋体"/>
          <w:sz w:val="24"/>
          <w:szCs w:val="24"/>
        </w:rPr>
        <w:t>本磋商项目的合同将授予按本须知办法确定的成交人。</w:t>
      </w:r>
    </w:p>
    <w:p w14:paraId="7C7B9A8D">
      <w:pPr>
        <w:spacing w:line="500" w:lineRule="exact"/>
        <w:ind w:firstLine="482" w:firstLineChars="200"/>
        <w:rPr>
          <w:rFonts w:ascii="宋体" w:hAnsi="宋体" w:cs="宋体"/>
          <w:b/>
          <w:bCs/>
          <w:sz w:val="24"/>
          <w:szCs w:val="24"/>
        </w:rPr>
      </w:pPr>
      <w:r>
        <w:rPr>
          <w:rFonts w:hint="eastAsia" w:ascii="宋体" w:hAnsi="宋体" w:cs="宋体"/>
          <w:b/>
          <w:bCs/>
          <w:sz w:val="24"/>
          <w:szCs w:val="24"/>
        </w:rPr>
        <w:t>16、合同协议书的签订</w:t>
      </w:r>
    </w:p>
    <w:p w14:paraId="08AC85AF">
      <w:pPr>
        <w:spacing w:line="500" w:lineRule="exact"/>
        <w:ind w:firstLine="480" w:firstLineChars="200"/>
        <w:rPr>
          <w:rFonts w:ascii="宋体" w:hAnsi="宋体" w:cs="宋体"/>
          <w:sz w:val="24"/>
          <w:szCs w:val="24"/>
        </w:rPr>
      </w:pPr>
      <w:r>
        <w:rPr>
          <w:rFonts w:hint="eastAsia" w:ascii="宋体" w:hAnsi="宋体" w:cs="宋体"/>
          <w:sz w:val="24"/>
          <w:szCs w:val="24"/>
        </w:rPr>
        <w:t>16.l招标人与成交人将于成交通知书发出之日起30日内，按照竞争性磋商文件和成交人的响应文件签订合同。</w:t>
      </w:r>
    </w:p>
    <w:p w14:paraId="7D24F646">
      <w:pPr>
        <w:spacing w:line="500" w:lineRule="exact"/>
        <w:ind w:firstLine="480" w:firstLineChars="200"/>
        <w:rPr>
          <w:rFonts w:ascii="宋体" w:hAnsi="宋体" w:cs="宋体"/>
          <w:b/>
          <w:bCs/>
          <w:sz w:val="24"/>
          <w:szCs w:val="24"/>
        </w:rPr>
      </w:pPr>
      <w:r>
        <w:rPr>
          <w:rFonts w:hint="eastAsia" w:ascii="宋体" w:hAnsi="宋体" w:cs="宋体"/>
          <w:sz w:val="24"/>
          <w:szCs w:val="24"/>
        </w:rPr>
        <w:t>16.2</w:t>
      </w:r>
      <w:r>
        <w:rPr>
          <w:rFonts w:hint="eastAsia" w:ascii="宋体" w:hAnsi="宋体" w:cs="宋体"/>
          <w:spacing w:val="-3"/>
          <w:sz w:val="24"/>
          <w:szCs w:val="24"/>
        </w:rPr>
        <w:t>成交人无正当理由拒签合同的</w:t>
      </w:r>
      <w:r>
        <w:rPr>
          <w:rFonts w:hint="eastAsia" w:ascii="宋体" w:hAnsi="宋体" w:cs="宋体"/>
          <w:sz w:val="24"/>
          <w:szCs w:val="24"/>
        </w:rPr>
        <w:t>，招标人将废除授标，同时</w:t>
      </w:r>
      <w:r>
        <w:rPr>
          <w:rFonts w:hint="eastAsia" w:ascii="宋体" w:hAnsi="宋体" w:cs="宋体"/>
          <w:spacing w:val="-3"/>
          <w:sz w:val="24"/>
          <w:szCs w:val="24"/>
        </w:rPr>
        <w:t>成交人</w:t>
      </w:r>
      <w:r>
        <w:rPr>
          <w:rFonts w:hint="eastAsia" w:ascii="宋体" w:hAnsi="宋体" w:cs="宋体"/>
          <w:sz w:val="24"/>
          <w:szCs w:val="24"/>
        </w:rPr>
        <w:t>依法承担相应的法律责任。</w:t>
      </w:r>
    </w:p>
    <w:p w14:paraId="6E0FB1DD">
      <w:pPr>
        <w:numPr>
          <w:ilvl w:val="0"/>
          <w:numId w:val="0"/>
        </w:numPr>
        <w:ind w:firstLine="482" w:firstLineChars="200"/>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17、</w:t>
      </w:r>
      <w:r>
        <w:rPr>
          <w:rFonts w:hint="eastAsia" w:ascii="宋体" w:hAnsi="宋体" w:cs="宋体"/>
          <w:b/>
          <w:bCs/>
          <w:sz w:val="24"/>
          <w:szCs w:val="24"/>
          <w:lang w:val="en-US" w:eastAsia="zh-CN"/>
        </w:rPr>
        <w:t>质疑和投诉</w:t>
      </w:r>
    </w:p>
    <w:p w14:paraId="0B7566B0">
      <w:pPr>
        <w:spacing w:line="500" w:lineRule="exact"/>
        <w:ind w:firstLine="480" w:firstLineChars="200"/>
        <w:rPr>
          <w:rFonts w:hint="eastAsia" w:ascii="宋体" w:hAnsi="宋体" w:cs="宋体"/>
          <w:sz w:val="24"/>
          <w:szCs w:val="24"/>
        </w:rPr>
      </w:pPr>
      <w:r>
        <w:rPr>
          <w:rFonts w:hint="eastAsia" w:ascii="宋体" w:hAnsi="宋体" w:cs="宋体"/>
          <w:sz w:val="24"/>
          <w:szCs w:val="24"/>
          <w:lang w:val="en-US" w:eastAsia="zh-CN"/>
        </w:rPr>
        <w:t>17</w:t>
      </w:r>
      <w:r>
        <w:rPr>
          <w:rFonts w:hint="eastAsia" w:ascii="宋体" w:hAnsi="宋体" w:cs="宋体"/>
          <w:sz w:val="24"/>
          <w:szCs w:val="24"/>
        </w:rPr>
        <w:t>.1 供应商认为竞争性磋商文件使自己的合法权益受到损害的，应在递交响应性文件截止时间5日之前提出质疑</w:t>
      </w:r>
      <w:r>
        <w:rPr>
          <w:rFonts w:hint="eastAsia" w:ascii="宋体" w:hAnsi="宋体" w:cs="宋体"/>
          <w:sz w:val="24"/>
          <w:szCs w:val="24"/>
          <w:lang w:eastAsia="zh-CN"/>
        </w:rPr>
        <w:t>；</w:t>
      </w:r>
      <w:r>
        <w:rPr>
          <w:rFonts w:hint="eastAsia" w:ascii="宋体" w:hAnsi="宋体" w:cs="宋体"/>
          <w:sz w:val="24"/>
          <w:szCs w:val="24"/>
        </w:rPr>
        <w:t>供应商对磋商过程和成交结果使自己的合法权益受到损害的，应当在知道或者应知其权益受到损害之日起7个工作日内提出质疑。供应商对采购人或采购代理机构的质疑答复不满意或采购人或采购代理机构未在规定时间内作出答复的，可以在答复期满后15个工作日内向同级财政部门投诉。</w:t>
      </w:r>
    </w:p>
    <w:p w14:paraId="082D079A">
      <w:pPr>
        <w:spacing w:line="500" w:lineRule="exact"/>
        <w:ind w:firstLine="480" w:firstLineChars="200"/>
        <w:rPr>
          <w:rFonts w:ascii="宋体" w:hAnsi="宋体" w:cs="宋体"/>
          <w:b/>
          <w:bCs/>
          <w:sz w:val="36"/>
          <w:szCs w:val="36"/>
        </w:rPr>
      </w:pPr>
      <w:r>
        <w:rPr>
          <w:rFonts w:hint="eastAsia" w:ascii="宋体" w:hAnsi="宋体" w:cs="宋体"/>
          <w:sz w:val="24"/>
          <w:szCs w:val="24"/>
          <w:lang w:val="en-US" w:eastAsia="zh-CN"/>
        </w:rPr>
        <w:t>17</w:t>
      </w:r>
      <w:r>
        <w:rPr>
          <w:rFonts w:hint="eastAsia" w:ascii="宋体" w:hAnsi="宋体" w:cs="宋体"/>
          <w:sz w:val="24"/>
          <w:szCs w:val="24"/>
        </w:rPr>
        <w:t>.2 质疑、投诉应当采用书面形式，质疑书、投诉书均应明确阐述竞争性磋商文件、磋商过程和磋商结果中使自己合法权益受到损害的实质性内容，提供</w:t>
      </w:r>
      <w:r>
        <w:rPr>
          <w:rFonts w:hint="eastAsia" w:ascii="宋体" w:hAnsi="宋体" w:cs="宋体"/>
          <w:sz w:val="24"/>
          <w:szCs w:val="24"/>
          <w:lang w:val="en-US" w:eastAsia="zh-CN"/>
        </w:rPr>
        <w:t>相关事实、依据和证据及其来源或线索，便于有关单位调查、答复、处理。</w:t>
      </w:r>
      <w:r>
        <w:rPr>
          <w:rFonts w:ascii="宋体" w:hAnsi="宋体" w:cs="宋体"/>
          <w:b/>
          <w:bCs/>
          <w:sz w:val="36"/>
          <w:szCs w:val="36"/>
        </w:rPr>
        <w:br w:type="page"/>
      </w:r>
    </w:p>
    <w:p w14:paraId="288754CC">
      <w:pPr>
        <w:pStyle w:val="2"/>
        <w:bidi w:val="0"/>
        <w:jc w:val="center"/>
      </w:pPr>
      <w:bookmarkStart w:id="35" w:name="_Toc14092"/>
      <w:bookmarkStart w:id="36" w:name="_Toc38013556"/>
      <w:bookmarkStart w:id="37" w:name="_Toc5478"/>
      <w:r>
        <w:rPr>
          <w:rFonts w:hint="eastAsia"/>
        </w:rPr>
        <w:t>第三章 磋商办法</w:t>
      </w:r>
      <w:bookmarkEnd w:id="35"/>
      <w:bookmarkEnd w:id="36"/>
    </w:p>
    <w:p w14:paraId="318BB6C5">
      <w:pPr>
        <w:spacing w:line="520" w:lineRule="exact"/>
        <w:ind w:firstLine="422" w:firstLineChars="200"/>
        <w:rPr>
          <w:rFonts w:ascii="宋体" w:hAnsi="宋体" w:cs="宋体"/>
          <w:b/>
          <w:sz w:val="24"/>
          <w:szCs w:val="24"/>
        </w:rPr>
      </w:pPr>
      <w:bookmarkStart w:id="38" w:name="_Toc38013557"/>
      <w:bookmarkStart w:id="39" w:name="_Toc28251232"/>
      <w:r>
        <w:rPr>
          <w:rFonts w:hint="eastAsia" w:ascii="黑体" w:hAnsi="黑体"/>
          <w:b/>
          <w:bCs/>
          <w:szCs w:val="20"/>
        </w:rPr>
        <w:t>1.</w:t>
      </w:r>
      <w:bookmarkEnd w:id="38"/>
      <w:bookmarkEnd w:id="39"/>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w:t>
      </w:r>
      <w:r>
        <w:rPr>
          <w:rFonts w:hint="eastAsia" w:ascii="宋体" w:hAnsi="宋体" w:cs="宋体"/>
          <w:sz w:val="24"/>
          <w:szCs w:val="24"/>
          <w:lang w:val="en-US" w:eastAsia="zh-CN"/>
        </w:rPr>
        <w:t>总</w:t>
      </w:r>
      <w:r>
        <w:rPr>
          <w:rFonts w:hint="eastAsia" w:ascii="宋体" w:hAnsi="宋体" w:cs="宋体"/>
          <w:sz w:val="24"/>
          <w:szCs w:val="24"/>
        </w:rPr>
        <w:t>得分由高到低顺序推荐3名成交候选人</w:t>
      </w:r>
      <w:bookmarkStart w:id="40" w:name="_Toc28030"/>
      <w:bookmarkEnd w:id="40"/>
      <w:bookmarkStart w:id="41" w:name="_Toc19618"/>
      <w:bookmarkEnd w:id="41"/>
      <w:bookmarkStart w:id="42" w:name="_Toc179632619"/>
      <w:bookmarkEnd w:id="42"/>
      <w:bookmarkStart w:id="43" w:name="_Toc29880"/>
      <w:r>
        <w:rPr>
          <w:rFonts w:hint="eastAsia" w:ascii="宋体" w:hAnsi="宋体" w:cs="宋体"/>
          <w:sz w:val="24"/>
          <w:szCs w:val="24"/>
          <w:lang w:eastAsia="zh-CN"/>
        </w:rPr>
        <w:t>，</w:t>
      </w:r>
      <w:r>
        <w:rPr>
          <w:rFonts w:hint="eastAsia" w:ascii="宋体" w:hAnsi="宋体" w:cs="宋体"/>
          <w:sz w:val="24"/>
          <w:szCs w:val="24"/>
          <w:lang w:val="en-US" w:eastAsia="zh-CN"/>
        </w:rPr>
        <w:t>总</w:t>
      </w:r>
      <w:r>
        <w:rPr>
          <w:rFonts w:hint="eastAsia" w:ascii="宋体" w:hAnsi="宋体" w:cs="宋体"/>
          <w:sz w:val="24"/>
          <w:szCs w:val="24"/>
        </w:rPr>
        <w:t>得分相同的，按照最</w:t>
      </w:r>
      <w:r>
        <w:rPr>
          <w:rFonts w:hint="eastAsia" w:ascii="宋体" w:hAnsi="宋体" w:cs="宋体"/>
          <w:sz w:val="24"/>
          <w:szCs w:val="24"/>
          <w:lang w:val="en-US" w:eastAsia="zh-CN"/>
        </w:rPr>
        <w:t>终</w:t>
      </w:r>
      <w:r>
        <w:rPr>
          <w:rFonts w:hint="eastAsia" w:ascii="宋体" w:hAnsi="宋体" w:cs="宋体"/>
          <w:sz w:val="24"/>
          <w:szCs w:val="24"/>
        </w:rPr>
        <w:t>报价由低到高的顺序推荐</w:t>
      </w:r>
      <w:r>
        <w:rPr>
          <w:rFonts w:hint="eastAsia" w:ascii="宋体" w:hAnsi="宋体" w:cs="宋体"/>
          <w:sz w:val="24"/>
          <w:szCs w:val="24"/>
          <w:lang w:eastAsia="zh-CN"/>
        </w:rPr>
        <w:t>，</w:t>
      </w:r>
      <w:r>
        <w:rPr>
          <w:rFonts w:hint="eastAsia" w:ascii="宋体" w:hAnsi="宋体" w:cs="宋体"/>
          <w:sz w:val="24"/>
          <w:szCs w:val="24"/>
        </w:rPr>
        <w:t>最</w:t>
      </w:r>
      <w:r>
        <w:rPr>
          <w:rFonts w:hint="eastAsia" w:ascii="宋体" w:hAnsi="宋体" w:cs="宋体"/>
          <w:sz w:val="24"/>
          <w:szCs w:val="24"/>
          <w:lang w:val="en-US" w:eastAsia="zh-CN"/>
        </w:rPr>
        <w:t>终</w:t>
      </w:r>
      <w:r>
        <w:rPr>
          <w:rFonts w:hint="eastAsia" w:ascii="宋体" w:hAnsi="宋体" w:cs="宋体"/>
          <w:sz w:val="24"/>
          <w:szCs w:val="24"/>
        </w:rPr>
        <w:t>报价</w:t>
      </w:r>
      <w:r>
        <w:rPr>
          <w:rFonts w:hint="eastAsia" w:ascii="宋体" w:hAnsi="宋体" w:cs="宋体"/>
          <w:sz w:val="24"/>
          <w:szCs w:val="24"/>
          <w:lang w:val="en-US" w:eastAsia="zh-CN"/>
        </w:rPr>
        <w:t>也</w:t>
      </w:r>
      <w:r>
        <w:rPr>
          <w:rFonts w:hint="eastAsia" w:ascii="宋体" w:hAnsi="宋体" w:cs="宋体"/>
          <w:sz w:val="24"/>
          <w:szCs w:val="24"/>
        </w:rPr>
        <w:t>相同的，</w:t>
      </w:r>
      <w:r>
        <w:rPr>
          <w:rFonts w:hint="eastAsia" w:ascii="宋体" w:hAnsi="宋体" w:cs="宋体"/>
          <w:sz w:val="24"/>
          <w:szCs w:val="24"/>
          <w:lang w:val="en-US" w:eastAsia="zh-CN"/>
        </w:rPr>
        <w:t>按照技术得分由高到低顺序推荐。</w:t>
      </w:r>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43"/>
    </w:p>
    <w:p w14:paraId="41BF530B">
      <w:pPr>
        <w:pStyle w:val="71"/>
        <w:keepLines w:val="0"/>
        <w:widowControl/>
        <w:spacing w:line="520" w:lineRule="exact"/>
        <w:ind w:firstLine="480" w:firstLineChars="200"/>
        <w:rPr>
          <w:rFonts w:ascii="宋体" w:hAnsi="宋体" w:eastAsia="宋体"/>
        </w:rPr>
      </w:pPr>
      <w:bookmarkStart w:id="44" w:name="_Toc179632620"/>
      <w:bookmarkEnd w:id="44"/>
      <w:bookmarkStart w:id="45" w:name="_Toc23196"/>
      <w:bookmarkEnd w:id="45"/>
      <w:bookmarkStart w:id="46" w:name="_Toc31847"/>
      <w:bookmarkEnd w:id="46"/>
      <w:bookmarkStart w:id="47" w:name="_Toc12931"/>
      <w:bookmarkEnd w:id="47"/>
      <w:bookmarkStart w:id="48" w:name="_Toc12074"/>
      <w:r>
        <w:rPr>
          <w:rFonts w:hint="eastAsia" w:ascii="宋体" w:hAnsi="宋体" w:eastAsia="宋体"/>
        </w:rPr>
        <w:t>2.1 初步评审标准</w:t>
      </w:r>
      <w:bookmarkEnd w:id="48"/>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71"/>
        <w:keepLines w:val="0"/>
        <w:widowControl/>
        <w:spacing w:line="520" w:lineRule="exact"/>
        <w:ind w:firstLine="480" w:firstLineChars="200"/>
        <w:rPr>
          <w:rFonts w:ascii="宋体" w:hAnsi="宋体" w:eastAsia="宋体"/>
        </w:rPr>
      </w:pPr>
      <w:bookmarkStart w:id="49" w:name="_Toc11804"/>
      <w:bookmarkEnd w:id="49"/>
      <w:bookmarkStart w:id="50" w:name="_Toc179632621"/>
      <w:bookmarkEnd w:id="50"/>
      <w:bookmarkStart w:id="51" w:name="_Toc16603"/>
      <w:bookmarkEnd w:id="51"/>
      <w:bookmarkStart w:id="52" w:name="_Toc607"/>
      <w:bookmarkEnd w:id="52"/>
      <w:bookmarkStart w:id="53" w:name="_Toc12819"/>
      <w:r>
        <w:rPr>
          <w:rFonts w:hint="eastAsia" w:ascii="宋体" w:hAnsi="宋体" w:eastAsia="宋体"/>
        </w:rPr>
        <w:t>2.1.3 响应性评审标准：见磋商办法前附表。</w:t>
      </w:r>
      <w:bookmarkEnd w:id="53"/>
    </w:p>
    <w:p w14:paraId="61162416">
      <w:pPr>
        <w:pStyle w:val="71"/>
        <w:keepLines w:val="0"/>
        <w:widowControl/>
        <w:spacing w:line="520" w:lineRule="exact"/>
        <w:ind w:firstLine="480" w:firstLineChars="200"/>
        <w:rPr>
          <w:rFonts w:ascii="宋体" w:hAnsi="宋体" w:eastAsia="宋体"/>
        </w:rPr>
      </w:pPr>
      <w:bookmarkStart w:id="54" w:name="_Toc7169"/>
      <w:r>
        <w:rPr>
          <w:rFonts w:hint="eastAsia" w:ascii="宋体" w:hAnsi="宋体" w:eastAsia="宋体"/>
        </w:rPr>
        <w:t>2.2 详细评审</w:t>
      </w:r>
      <w:bookmarkEnd w:id="54"/>
    </w:p>
    <w:p w14:paraId="169C0867">
      <w:pPr>
        <w:spacing w:line="520" w:lineRule="exact"/>
        <w:ind w:firstLine="480" w:firstLineChars="200"/>
        <w:rPr>
          <w:rFonts w:ascii="宋体" w:hAnsi="宋体" w:cs="宋体"/>
          <w:color w:val="auto"/>
          <w:sz w:val="24"/>
          <w:szCs w:val="24"/>
        </w:rPr>
      </w:pPr>
      <w:r>
        <w:rPr>
          <w:rFonts w:hint="eastAsia" w:ascii="宋体" w:hAnsi="宋体" w:cs="宋体"/>
          <w:color w:val="auto"/>
          <w:sz w:val="24"/>
          <w:szCs w:val="24"/>
        </w:rPr>
        <w:t>2.2.1 分值构成</w:t>
      </w:r>
    </w:p>
    <w:p w14:paraId="74162B53">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（1）投标报价的权重占</w:t>
      </w:r>
      <w:r>
        <w:rPr>
          <w:rFonts w:hint="eastAsia" w:ascii="宋体" w:hAnsi="宋体" w:cs="宋体"/>
          <w:color w:val="auto"/>
          <w:sz w:val="24"/>
          <w:szCs w:val="24"/>
          <w:lang w:val="en-US" w:eastAsia="zh-CN"/>
        </w:rPr>
        <w:t>1</w:t>
      </w:r>
      <w:r>
        <w:rPr>
          <w:rFonts w:hint="eastAsia" w:ascii="宋体" w:hAnsi="宋体" w:cs="宋体"/>
          <w:color w:val="auto"/>
          <w:sz w:val="24"/>
          <w:szCs w:val="24"/>
        </w:rPr>
        <w:t>0%</w:t>
      </w:r>
    </w:p>
    <w:p w14:paraId="5CA9DADD">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（2）技术标的权重占</w:t>
      </w:r>
      <w:r>
        <w:rPr>
          <w:rFonts w:hint="eastAsia" w:ascii="宋体" w:hAnsi="宋体" w:cs="宋体"/>
          <w:color w:val="auto"/>
          <w:sz w:val="24"/>
          <w:szCs w:val="24"/>
          <w:lang w:val="en-US" w:eastAsia="zh-CN"/>
        </w:rPr>
        <w:t>65</w:t>
      </w:r>
      <w:r>
        <w:rPr>
          <w:rFonts w:hint="eastAsia" w:ascii="宋体" w:hAnsi="宋体" w:cs="宋体"/>
          <w:color w:val="auto"/>
          <w:sz w:val="24"/>
          <w:szCs w:val="24"/>
        </w:rPr>
        <w:t>%</w:t>
      </w:r>
    </w:p>
    <w:p w14:paraId="5E76E10C">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综合</w:t>
      </w:r>
      <w:r>
        <w:rPr>
          <w:rFonts w:hint="eastAsia" w:ascii="宋体" w:hAnsi="宋体" w:cs="宋体"/>
          <w:color w:val="auto"/>
          <w:sz w:val="24"/>
          <w:szCs w:val="24"/>
        </w:rPr>
        <w:t>标的权重占</w:t>
      </w:r>
      <w:r>
        <w:rPr>
          <w:rFonts w:hint="eastAsia" w:ascii="宋体" w:hAnsi="宋体" w:cs="宋体"/>
          <w:color w:val="auto"/>
          <w:sz w:val="24"/>
          <w:szCs w:val="24"/>
          <w:lang w:val="en-US" w:eastAsia="zh-CN"/>
        </w:rPr>
        <w:t>25</w:t>
      </w:r>
      <w:r>
        <w:rPr>
          <w:rFonts w:hint="eastAsia" w:ascii="宋体" w:hAnsi="宋体" w:cs="宋体"/>
          <w:color w:val="auto"/>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color w:val="auto"/>
          <w:sz w:val="24"/>
          <w:szCs w:val="24"/>
        </w:rPr>
        <w:t>2.2.2  评分标准：见磋商办法前</w:t>
      </w:r>
      <w:r>
        <w:rPr>
          <w:rFonts w:hint="eastAsia" w:ascii="宋体" w:hAnsi="宋体" w:cs="宋体"/>
          <w:sz w:val="24"/>
          <w:szCs w:val="24"/>
        </w:rPr>
        <w:t>附表。</w:t>
      </w:r>
      <w:bookmarkStart w:id="55" w:name="_Toc144974571"/>
      <w:bookmarkEnd w:id="55"/>
      <w:bookmarkStart w:id="56" w:name="_Toc179632622"/>
      <w:bookmarkEnd w:id="56"/>
      <w:bookmarkStart w:id="57" w:name="_Toc11715"/>
      <w:bookmarkEnd w:id="57"/>
      <w:bookmarkStart w:id="58" w:name="_Toc152045604"/>
      <w:bookmarkEnd w:id="58"/>
      <w:bookmarkStart w:id="59" w:name="_Toc25534"/>
      <w:bookmarkEnd w:id="59"/>
      <w:bookmarkStart w:id="60" w:name="_Toc13158"/>
      <w:bookmarkEnd w:id="60"/>
      <w:bookmarkStart w:id="61"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61"/>
    </w:p>
    <w:p w14:paraId="16AE81CA">
      <w:pPr>
        <w:pStyle w:val="71"/>
        <w:keepLines w:val="0"/>
        <w:widowControl/>
        <w:spacing w:line="520" w:lineRule="exact"/>
        <w:ind w:firstLine="480" w:firstLineChars="200"/>
        <w:rPr>
          <w:rFonts w:ascii="宋体" w:hAnsi="宋体" w:eastAsia="宋体"/>
        </w:rPr>
      </w:pPr>
      <w:bookmarkStart w:id="62" w:name="_Toc30372"/>
      <w:bookmarkEnd w:id="62"/>
      <w:bookmarkStart w:id="63" w:name="_Toc8644"/>
      <w:bookmarkEnd w:id="63"/>
      <w:bookmarkStart w:id="64" w:name="_Toc152045605"/>
      <w:bookmarkEnd w:id="64"/>
      <w:bookmarkStart w:id="65" w:name="_Toc31010"/>
      <w:bookmarkEnd w:id="65"/>
      <w:bookmarkStart w:id="66" w:name="_Toc144974572"/>
      <w:bookmarkEnd w:id="66"/>
      <w:bookmarkStart w:id="67" w:name="_Toc152042382"/>
      <w:bookmarkEnd w:id="67"/>
      <w:bookmarkStart w:id="68" w:name="_Toc179632623"/>
      <w:bookmarkStart w:id="69" w:name="_Toc10475"/>
      <w:r>
        <w:rPr>
          <w:rFonts w:hint="eastAsia" w:ascii="宋体" w:hAnsi="宋体" w:eastAsia="宋体"/>
        </w:rPr>
        <w:t>3.1 初步评审</w:t>
      </w:r>
      <w:bookmarkEnd w:id="68"/>
      <w:bookmarkEnd w:id="69"/>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70" w:name="_Toc152042383"/>
      <w:bookmarkEnd w:id="70"/>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71" w:name="_Toc179632624"/>
      <w:bookmarkEnd w:id="71"/>
      <w:bookmarkStart w:id="72" w:name="_Toc152042384"/>
      <w:bookmarkEnd w:id="72"/>
      <w:bookmarkStart w:id="73" w:name="_Toc144974573"/>
      <w:bookmarkEnd w:id="73"/>
      <w:bookmarkStart w:id="74" w:name="_Toc152045606"/>
      <w:r>
        <w:rPr>
          <w:rFonts w:hint="eastAsia" w:ascii="宋体" w:hAnsi="宋体" w:cs="宋体"/>
          <w:sz w:val="24"/>
          <w:szCs w:val="24"/>
        </w:rPr>
        <w:t>3.2 详细评审</w:t>
      </w:r>
      <w:bookmarkEnd w:id="74"/>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75" w:name="_Toc421805017"/>
      <w:bookmarkEnd w:id="75"/>
      <w:bookmarkStart w:id="76" w:name="_Toc152042385"/>
      <w:bookmarkEnd w:id="76"/>
      <w:bookmarkStart w:id="77" w:name="_Toc466566711"/>
      <w:bookmarkEnd w:id="77"/>
      <w:bookmarkStart w:id="78" w:name="_Toc387498748"/>
      <w:bookmarkEnd w:id="78"/>
      <w:bookmarkStart w:id="79" w:name="_Toc466566800"/>
      <w:bookmarkEnd w:id="79"/>
      <w:bookmarkStart w:id="80" w:name="_Toc144974575"/>
      <w:bookmarkEnd w:id="80"/>
      <w:bookmarkStart w:id="81" w:name="_Toc423358132"/>
      <w:bookmarkEnd w:id="81"/>
      <w:bookmarkStart w:id="82" w:name="_Toc389384087"/>
      <w:bookmarkEnd w:id="82"/>
      <w:bookmarkStart w:id="83" w:name="_Toc401926485"/>
      <w:bookmarkEnd w:id="83"/>
      <w:bookmarkStart w:id="84" w:name="_Toc421698384"/>
      <w:bookmarkEnd w:id="84"/>
      <w:bookmarkStart w:id="85" w:name="_Toc401512224"/>
      <w:bookmarkEnd w:id="85"/>
      <w:bookmarkStart w:id="86" w:name="_Toc418605429"/>
      <w:bookmarkEnd w:id="86"/>
      <w:bookmarkStart w:id="87" w:name="_Toc179632625"/>
      <w:bookmarkEnd w:id="87"/>
      <w:bookmarkStart w:id="88" w:name="_Toc418608950"/>
      <w:bookmarkEnd w:id="88"/>
      <w:bookmarkStart w:id="89" w:name="_Toc152045607"/>
      <w:r>
        <w:rPr>
          <w:rFonts w:hint="eastAsia" w:ascii="宋体" w:hAnsi="宋体" w:cs="宋体"/>
          <w:sz w:val="24"/>
          <w:szCs w:val="24"/>
        </w:rPr>
        <w:t xml:space="preserve">3.3 </w:t>
      </w:r>
      <w:bookmarkEnd w:id="89"/>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90" w:name="_Toc421698385"/>
      <w:bookmarkEnd w:id="90"/>
      <w:bookmarkStart w:id="91" w:name="_Toc179632626"/>
      <w:bookmarkEnd w:id="91"/>
      <w:bookmarkStart w:id="92" w:name="_Toc389384088"/>
      <w:bookmarkEnd w:id="92"/>
      <w:bookmarkStart w:id="93" w:name="_Toc423358133"/>
      <w:bookmarkEnd w:id="93"/>
      <w:bookmarkStart w:id="94" w:name="_Toc421805018"/>
      <w:bookmarkEnd w:id="94"/>
      <w:bookmarkStart w:id="95" w:name="_Toc401512225"/>
      <w:bookmarkEnd w:id="95"/>
      <w:bookmarkStart w:id="96" w:name="_Toc401926486"/>
      <w:bookmarkEnd w:id="96"/>
      <w:bookmarkStart w:id="97" w:name="_Toc418608951"/>
      <w:bookmarkEnd w:id="97"/>
      <w:bookmarkStart w:id="98" w:name="_Toc152045608"/>
      <w:bookmarkEnd w:id="98"/>
      <w:bookmarkStart w:id="99" w:name="_Toc418605430"/>
      <w:bookmarkEnd w:id="99"/>
      <w:bookmarkStart w:id="100" w:name="_Toc152042386"/>
      <w:bookmarkEnd w:id="100"/>
      <w:bookmarkStart w:id="101" w:name="_Toc144974576"/>
      <w:bookmarkEnd w:id="101"/>
      <w:bookmarkStart w:id="102" w:name="_Toc466566712"/>
      <w:bookmarkEnd w:id="102"/>
      <w:bookmarkStart w:id="103" w:name="_Toc466566801"/>
      <w:bookmarkEnd w:id="103"/>
      <w:bookmarkStart w:id="104" w:name="_Toc387498749"/>
      <w:r>
        <w:rPr>
          <w:rFonts w:hint="eastAsia" w:ascii="宋体" w:hAnsi="宋体" w:cs="宋体"/>
          <w:sz w:val="24"/>
          <w:szCs w:val="24"/>
        </w:rPr>
        <w:t>3.4供应商的最终得分</w:t>
      </w:r>
      <w:bookmarkEnd w:id="104"/>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0523741F">
      <w:pPr>
        <w:spacing w:line="520" w:lineRule="exact"/>
        <w:ind w:firstLine="480" w:firstLineChars="200"/>
        <w:rPr>
          <w:rFonts w:hint="eastAsia" w:ascii="宋体" w:hAnsi="宋体" w:cs="宋体"/>
          <w:sz w:val="24"/>
          <w:szCs w:val="24"/>
        </w:rPr>
      </w:pPr>
      <w:r>
        <w:rPr>
          <w:rFonts w:hint="eastAsia" w:ascii="宋体" w:hAnsi="宋体" w:cs="宋体"/>
          <w:sz w:val="24"/>
          <w:szCs w:val="24"/>
        </w:rPr>
        <w:t>3.5.2 磋商小组完成磋商后，应当向招标人提交书面评标报告。</w:t>
      </w:r>
    </w:p>
    <w:p w14:paraId="53D53C8D">
      <w:pPr>
        <w:spacing w:line="520" w:lineRule="exact"/>
        <w:ind w:firstLine="480" w:firstLineChars="200"/>
        <w:rPr>
          <w:rFonts w:hint="eastAsia" w:ascii="宋体" w:hAnsi="宋体" w:cs="宋体"/>
          <w:sz w:val="24"/>
          <w:szCs w:val="24"/>
        </w:rPr>
      </w:pPr>
      <w:r>
        <w:rPr>
          <w:rFonts w:hint="eastAsia" w:ascii="宋体" w:hAnsi="宋体" w:eastAsia="宋体" w:cs="宋体"/>
          <w:color w:val="auto"/>
          <w:sz w:val="24"/>
          <w:szCs w:val="24"/>
          <w:lang w:val="en-US" w:eastAsia="zh-CN"/>
        </w:rPr>
        <w:t>3.5.3评标报告应当由</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全体人员签字认可。</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会成员对评标报告有异议的</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按照少数服从多数的原则推荐</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候选人，</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程序继续进行。对评标报告有异议的</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成员，应当在报告上签署不同意见并说明理由，由</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书面记录相关情况。</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lang w:val="en-US" w:eastAsia="zh-CN"/>
        </w:rPr>
        <w:t>成员拒绝在报告上签字</w:t>
      </w:r>
      <w:r>
        <w:rPr>
          <w:rFonts w:hint="eastAsia" w:ascii="宋体" w:hAnsi="宋体" w:eastAsia="宋体" w:cs="宋体"/>
          <w:sz w:val="24"/>
          <w:szCs w:val="24"/>
          <w:lang w:val="en-US" w:eastAsia="zh-CN"/>
        </w:rPr>
        <w:t>又不书面说明其不同意见和理由的，视为同意评标报告。</w:t>
      </w:r>
    </w:p>
    <w:p w14:paraId="146F0BB1">
      <w:pPr>
        <w:spacing w:line="520" w:lineRule="exact"/>
        <w:ind w:firstLine="480" w:firstLineChars="200"/>
        <w:rPr>
          <w:rFonts w:hint="eastAsia" w:ascii="宋体" w:hAnsi="宋体" w:cs="宋体"/>
          <w:sz w:val="24"/>
          <w:szCs w:val="24"/>
        </w:rPr>
      </w:pPr>
    </w:p>
    <w:p w14:paraId="74790E31">
      <w:pPr>
        <w:rPr>
          <w:rFonts w:hint="eastAsia" w:ascii="宋体" w:hAnsi="宋体" w:cs="宋体"/>
          <w:b/>
          <w:bCs/>
          <w:sz w:val="28"/>
          <w:szCs w:val="28"/>
        </w:rPr>
      </w:pPr>
      <w:bookmarkStart w:id="105" w:name="_Toc12961084"/>
      <w:bookmarkStart w:id="106" w:name="_Toc12959919"/>
      <w:r>
        <w:rPr>
          <w:rFonts w:hint="eastAsia" w:ascii="宋体" w:hAnsi="宋体" w:cs="宋体"/>
          <w:b/>
          <w:bCs/>
          <w:sz w:val="28"/>
          <w:szCs w:val="28"/>
        </w:rPr>
        <w:br w:type="page"/>
      </w:r>
    </w:p>
    <w:p w14:paraId="2D11114B">
      <w:pPr>
        <w:spacing w:line="480" w:lineRule="auto"/>
        <w:jc w:val="center"/>
        <w:rPr>
          <w:rFonts w:ascii="宋体" w:hAnsi="宋体"/>
          <w:b/>
          <w:sz w:val="28"/>
          <w:szCs w:val="28"/>
        </w:rPr>
      </w:pPr>
      <w:r>
        <w:rPr>
          <w:rFonts w:hint="eastAsia" w:ascii="宋体" w:hAnsi="宋体" w:cs="宋体"/>
          <w:b/>
          <w:bCs/>
          <w:sz w:val="28"/>
          <w:szCs w:val="28"/>
        </w:rPr>
        <w:t>2.1初步评审表</w:t>
      </w:r>
      <w:bookmarkEnd w:id="105"/>
      <w:bookmarkEnd w:id="106"/>
    </w:p>
    <w:tbl>
      <w:tblPr>
        <w:tblStyle w:val="4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766"/>
        <w:gridCol w:w="1493"/>
        <w:gridCol w:w="6127"/>
      </w:tblGrid>
      <w:tr w14:paraId="67B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4" w:type="dxa"/>
            <w:gridSpan w:val="2"/>
            <w:tcBorders>
              <w:top w:val="single" w:color="auto" w:sz="4" w:space="0"/>
              <w:left w:val="single" w:color="auto" w:sz="4" w:space="0"/>
              <w:bottom w:val="single" w:color="auto" w:sz="4" w:space="0"/>
              <w:right w:val="single" w:color="auto" w:sz="4" w:space="0"/>
            </w:tcBorders>
            <w:vAlign w:val="center"/>
          </w:tcPr>
          <w:p w14:paraId="22884E6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1493" w:type="dxa"/>
            <w:tcBorders>
              <w:top w:val="single" w:color="auto" w:sz="4" w:space="0"/>
              <w:left w:val="nil"/>
              <w:bottom w:val="single" w:color="auto" w:sz="4" w:space="0"/>
              <w:right w:val="single" w:color="auto" w:sz="4" w:space="0"/>
            </w:tcBorders>
            <w:vAlign w:val="center"/>
          </w:tcPr>
          <w:p w14:paraId="41240AA3">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6127" w:type="dxa"/>
            <w:tcBorders>
              <w:top w:val="single" w:color="auto" w:sz="4" w:space="0"/>
              <w:left w:val="nil"/>
              <w:bottom w:val="single" w:color="auto" w:sz="4" w:space="0"/>
              <w:right w:val="single" w:color="auto" w:sz="4" w:space="0"/>
            </w:tcBorders>
            <w:vAlign w:val="center"/>
          </w:tcPr>
          <w:p w14:paraId="536A9E5B">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16C3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8" w:type="dxa"/>
            <w:vMerge w:val="restart"/>
            <w:tcBorders>
              <w:top w:val="nil"/>
              <w:left w:val="single" w:color="auto" w:sz="4" w:space="0"/>
              <w:bottom w:val="single" w:color="auto" w:sz="4" w:space="0"/>
              <w:right w:val="single" w:color="auto" w:sz="4" w:space="0"/>
            </w:tcBorders>
            <w:vAlign w:val="center"/>
          </w:tcPr>
          <w:p w14:paraId="166DD3E7">
            <w:pPr>
              <w:spacing w:line="400" w:lineRule="exact"/>
              <w:jc w:val="center"/>
              <w:rPr>
                <w:rFonts w:ascii="宋体" w:hAnsi="宋体" w:cs="宋体"/>
                <w:sz w:val="24"/>
                <w:szCs w:val="24"/>
              </w:rPr>
            </w:pPr>
            <w:r>
              <w:rPr>
                <w:rFonts w:hint="eastAsia" w:ascii="宋体" w:hAnsi="宋体" w:cs="宋体"/>
                <w:sz w:val="24"/>
                <w:szCs w:val="24"/>
              </w:rPr>
              <w:t>2.1.1</w:t>
            </w:r>
          </w:p>
        </w:tc>
        <w:tc>
          <w:tcPr>
            <w:tcW w:w="766" w:type="dxa"/>
            <w:vMerge w:val="restart"/>
            <w:tcBorders>
              <w:top w:val="nil"/>
              <w:left w:val="nil"/>
              <w:bottom w:val="single" w:color="auto" w:sz="4" w:space="0"/>
              <w:right w:val="single" w:color="auto" w:sz="4" w:space="0"/>
            </w:tcBorders>
            <w:vAlign w:val="center"/>
          </w:tcPr>
          <w:p w14:paraId="628C0942">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1493" w:type="dxa"/>
            <w:tcBorders>
              <w:top w:val="single" w:color="auto" w:sz="4" w:space="0"/>
              <w:left w:val="nil"/>
              <w:bottom w:val="single" w:color="auto" w:sz="4" w:space="0"/>
              <w:right w:val="single" w:color="auto" w:sz="4" w:space="0"/>
            </w:tcBorders>
            <w:vAlign w:val="center"/>
          </w:tcPr>
          <w:p w14:paraId="5A38BA09">
            <w:pPr>
              <w:spacing w:line="320" w:lineRule="exact"/>
              <w:jc w:val="center"/>
              <w:rPr>
                <w:rFonts w:ascii="宋体" w:hAnsi="宋体" w:cs="宋体"/>
                <w:sz w:val="24"/>
                <w:szCs w:val="24"/>
              </w:rPr>
            </w:pPr>
            <w:r>
              <w:rPr>
                <w:rFonts w:hint="eastAsia" w:ascii="宋体" w:hAnsi="宋体" w:cs="宋体"/>
                <w:sz w:val="24"/>
                <w:szCs w:val="24"/>
              </w:rPr>
              <w:t>供应商名称</w:t>
            </w:r>
          </w:p>
        </w:tc>
        <w:tc>
          <w:tcPr>
            <w:tcW w:w="6127" w:type="dxa"/>
            <w:tcBorders>
              <w:top w:val="single" w:color="auto" w:sz="4" w:space="0"/>
              <w:left w:val="nil"/>
              <w:bottom w:val="single" w:color="auto" w:sz="4" w:space="0"/>
              <w:right w:val="single" w:color="auto" w:sz="4" w:space="0"/>
            </w:tcBorders>
            <w:vAlign w:val="center"/>
          </w:tcPr>
          <w:p w14:paraId="0817E57F">
            <w:pPr>
              <w:jc w:val="left"/>
              <w:rPr>
                <w:rFonts w:ascii="宋体" w:hAnsi="宋体" w:cs="宋体"/>
                <w:sz w:val="24"/>
                <w:szCs w:val="24"/>
              </w:rPr>
            </w:pPr>
            <w:r>
              <w:rPr>
                <w:rFonts w:hint="eastAsia" w:ascii="宋体" w:hAnsi="宋体" w:cs="宋体"/>
                <w:sz w:val="24"/>
                <w:szCs w:val="24"/>
              </w:rPr>
              <w:t>与营业执照一致</w:t>
            </w:r>
          </w:p>
        </w:tc>
      </w:tr>
      <w:tr w14:paraId="2CDB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68" w:type="dxa"/>
            <w:vMerge w:val="continue"/>
            <w:tcBorders>
              <w:top w:val="nil"/>
              <w:left w:val="single" w:color="auto" w:sz="4" w:space="0"/>
              <w:bottom w:val="single" w:color="auto" w:sz="4" w:space="0"/>
              <w:right w:val="single" w:color="auto" w:sz="4" w:space="0"/>
            </w:tcBorders>
            <w:vAlign w:val="center"/>
          </w:tcPr>
          <w:p w14:paraId="31B31B80">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544E77C9">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2DE21D8B">
            <w:pPr>
              <w:spacing w:line="320" w:lineRule="exact"/>
              <w:jc w:val="center"/>
              <w:rPr>
                <w:rFonts w:ascii="宋体" w:hAnsi="宋体" w:cs="宋体"/>
                <w:sz w:val="24"/>
                <w:szCs w:val="24"/>
              </w:rPr>
            </w:pPr>
            <w:r>
              <w:rPr>
                <w:rFonts w:hint="eastAsia" w:ascii="宋体" w:hAnsi="宋体" w:cs="宋体"/>
                <w:sz w:val="24"/>
              </w:rPr>
              <w:t>磋商文件签字盖章</w:t>
            </w:r>
          </w:p>
        </w:tc>
        <w:tc>
          <w:tcPr>
            <w:tcW w:w="6127" w:type="dxa"/>
            <w:tcBorders>
              <w:top w:val="single" w:color="auto" w:sz="4" w:space="0"/>
              <w:left w:val="nil"/>
              <w:bottom w:val="single" w:color="auto" w:sz="4" w:space="0"/>
              <w:right w:val="single" w:color="auto" w:sz="4" w:space="0"/>
            </w:tcBorders>
            <w:vAlign w:val="center"/>
          </w:tcPr>
          <w:p w14:paraId="71B32D85">
            <w:pPr>
              <w:spacing w:line="320" w:lineRule="exact"/>
              <w:jc w:val="left"/>
              <w:rPr>
                <w:rFonts w:ascii="宋体" w:hAnsi="宋体" w:cs="宋体"/>
                <w:sz w:val="24"/>
                <w:szCs w:val="24"/>
              </w:rPr>
            </w:pPr>
            <w:r>
              <w:rPr>
                <w:rFonts w:hint="eastAsia" w:ascii="宋体" w:hAnsi="宋体" w:cs="宋体"/>
                <w:sz w:val="24"/>
                <w:szCs w:val="24"/>
              </w:rPr>
              <w:t>符合磋商文件要求</w:t>
            </w:r>
          </w:p>
        </w:tc>
      </w:tr>
      <w:tr w14:paraId="58A8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8" w:type="dxa"/>
            <w:vMerge w:val="continue"/>
            <w:tcBorders>
              <w:top w:val="nil"/>
              <w:left w:val="single" w:color="auto" w:sz="4" w:space="0"/>
              <w:bottom w:val="single" w:color="auto" w:sz="4" w:space="0"/>
              <w:right w:val="single" w:color="auto" w:sz="4" w:space="0"/>
            </w:tcBorders>
            <w:vAlign w:val="center"/>
          </w:tcPr>
          <w:p w14:paraId="2C9B2D36">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38BCFE3E">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4A8E1460">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6127" w:type="dxa"/>
            <w:tcBorders>
              <w:top w:val="single" w:color="auto" w:sz="4" w:space="0"/>
              <w:left w:val="nil"/>
              <w:bottom w:val="single" w:color="auto" w:sz="4" w:space="0"/>
              <w:right w:val="single" w:color="auto" w:sz="4" w:space="0"/>
            </w:tcBorders>
            <w:vAlign w:val="center"/>
          </w:tcPr>
          <w:p w14:paraId="1E209851">
            <w:pPr>
              <w:spacing w:line="320" w:lineRule="exact"/>
              <w:jc w:val="left"/>
              <w:rPr>
                <w:rFonts w:ascii="宋体" w:hAnsi="宋体" w:cs="宋体"/>
                <w:sz w:val="24"/>
                <w:szCs w:val="24"/>
              </w:rPr>
            </w:pPr>
            <w:r>
              <w:rPr>
                <w:rFonts w:hint="eastAsia" w:ascii="宋体" w:hAnsi="宋体" w:cs="宋体"/>
                <w:sz w:val="24"/>
                <w:szCs w:val="24"/>
              </w:rPr>
              <w:t>响应</w:t>
            </w:r>
            <w:r>
              <w:rPr>
                <w:rFonts w:hint="eastAsia" w:ascii="宋体" w:hAnsi="宋体" w:cs="宋体"/>
                <w:sz w:val="24"/>
              </w:rPr>
              <w:t>磋商</w:t>
            </w:r>
            <w:r>
              <w:rPr>
                <w:rFonts w:hint="eastAsia" w:ascii="宋体" w:hAnsi="宋体" w:cs="宋体"/>
                <w:sz w:val="24"/>
                <w:szCs w:val="24"/>
              </w:rPr>
              <w:t>文件要求，符合“响应文件格式”的要求</w:t>
            </w:r>
          </w:p>
        </w:tc>
      </w:tr>
      <w:tr w14:paraId="7D25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8" w:type="dxa"/>
            <w:vMerge w:val="continue"/>
            <w:tcBorders>
              <w:top w:val="nil"/>
              <w:left w:val="single" w:color="auto" w:sz="4" w:space="0"/>
              <w:bottom w:val="single" w:color="auto" w:sz="4" w:space="0"/>
              <w:right w:val="single" w:color="auto" w:sz="4" w:space="0"/>
            </w:tcBorders>
            <w:vAlign w:val="center"/>
          </w:tcPr>
          <w:p w14:paraId="4C232499">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72CFD8E8">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D6C42C7">
            <w:pPr>
              <w:spacing w:line="320" w:lineRule="exact"/>
              <w:jc w:val="center"/>
              <w:rPr>
                <w:rFonts w:ascii="宋体" w:hAnsi="宋体" w:cs="宋体"/>
                <w:sz w:val="24"/>
                <w:szCs w:val="24"/>
              </w:rPr>
            </w:pPr>
            <w:r>
              <w:rPr>
                <w:rFonts w:hint="eastAsia" w:ascii="宋体" w:hAnsi="宋体" w:cs="宋体"/>
                <w:sz w:val="24"/>
                <w:szCs w:val="24"/>
              </w:rPr>
              <w:t>报价唯一</w:t>
            </w:r>
          </w:p>
        </w:tc>
        <w:tc>
          <w:tcPr>
            <w:tcW w:w="6127" w:type="dxa"/>
            <w:tcBorders>
              <w:top w:val="single" w:color="auto" w:sz="4" w:space="0"/>
              <w:left w:val="nil"/>
              <w:bottom w:val="single" w:color="auto" w:sz="4" w:space="0"/>
              <w:right w:val="single" w:color="auto" w:sz="4" w:space="0"/>
            </w:tcBorders>
            <w:vAlign w:val="center"/>
          </w:tcPr>
          <w:p w14:paraId="144F710A">
            <w:pPr>
              <w:spacing w:line="320" w:lineRule="exact"/>
              <w:jc w:val="left"/>
              <w:rPr>
                <w:rFonts w:ascii="宋体" w:hAnsi="宋体" w:cs="宋体"/>
                <w:sz w:val="24"/>
                <w:szCs w:val="24"/>
              </w:rPr>
            </w:pPr>
            <w:r>
              <w:rPr>
                <w:rFonts w:hint="eastAsia" w:ascii="宋体" w:hAnsi="宋体" w:cs="宋体"/>
                <w:sz w:val="24"/>
                <w:szCs w:val="24"/>
              </w:rPr>
              <w:t>只能有一个有效投标报价</w:t>
            </w:r>
          </w:p>
        </w:tc>
      </w:tr>
      <w:tr w14:paraId="317E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restart"/>
            <w:tcBorders>
              <w:top w:val="nil"/>
              <w:left w:val="single" w:color="auto" w:sz="4" w:space="0"/>
              <w:right w:val="single" w:color="auto" w:sz="4" w:space="0"/>
            </w:tcBorders>
            <w:vAlign w:val="center"/>
          </w:tcPr>
          <w:p w14:paraId="3FE0D05F">
            <w:pPr>
              <w:spacing w:line="400" w:lineRule="exact"/>
              <w:jc w:val="center"/>
              <w:rPr>
                <w:rFonts w:ascii="宋体" w:hAnsi="宋体" w:cs="宋体"/>
                <w:sz w:val="24"/>
                <w:szCs w:val="24"/>
              </w:rPr>
            </w:pPr>
            <w:r>
              <w:rPr>
                <w:rFonts w:hint="eastAsia" w:ascii="宋体" w:hAnsi="宋体" w:cs="宋体"/>
                <w:sz w:val="24"/>
                <w:szCs w:val="24"/>
              </w:rPr>
              <w:t>2.1.2</w:t>
            </w:r>
          </w:p>
        </w:tc>
        <w:tc>
          <w:tcPr>
            <w:tcW w:w="766" w:type="dxa"/>
            <w:vMerge w:val="restart"/>
            <w:tcBorders>
              <w:top w:val="nil"/>
              <w:left w:val="nil"/>
              <w:right w:val="single" w:color="auto" w:sz="4" w:space="0"/>
            </w:tcBorders>
            <w:vAlign w:val="center"/>
          </w:tcPr>
          <w:p w14:paraId="30D32909">
            <w:pPr>
              <w:spacing w:line="400" w:lineRule="exact"/>
              <w:jc w:val="center"/>
              <w:rPr>
                <w:rFonts w:ascii="宋体" w:hAnsi="宋体" w:cs="宋体"/>
                <w:sz w:val="24"/>
                <w:szCs w:val="24"/>
              </w:rPr>
            </w:pPr>
            <w:r>
              <w:rPr>
                <w:rFonts w:hint="eastAsia" w:ascii="宋体" w:hAnsi="宋体" w:cs="宋体"/>
                <w:sz w:val="24"/>
                <w:szCs w:val="24"/>
              </w:rPr>
              <w:t>资格 评审</w:t>
            </w:r>
          </w:p>
          <w:p w14:paraId="078F5D7B">
            <w:pPr>
              <w:spacing w:line="400" w:lineRule="exact"/>
              <w:jc w:val="center"/>
              <w:rPr>
                <w:rFonts w:ascii="宋体" w:hAnsi="宋体" w:cs="宋体"/>
                <w:sz w:val="24"/>
                <w:szCs w:val="24"/>
              </w:rPr>
            </w:pPr>
            <w:r>
              <w:rPr>
                <w:rFonts w:hint="eastAsia" w:ascii="宋体" w:hAnsi="宋体" w:cs="宋体"/>
                <w:sz w:val="24"/>
                <w:szCs w:val="24"/>
              </w:rPr>
              <w:t>标准</w:t>
            </w:r>
          </w:p>
        </w:tc>
        <w:tc>
          <w:tcPr>
            <w:tcW w:w="1493" w:type="dxa"/>
            <w:tcBorders>
              <w:top w:val="single" w:color="auto" w:sz="4" w:space="0"/>
              <w:left w:val="nil"/>
              <w:bottom w:val="single" w:color="auto" w:sz="4" w:space="0"/>
              <w:right w:val="single" w:color="auto" w:sz="4" w:space="0"/>
            </w:tcBorders>
            <w:vAlign w:val="center"/>
          </w:tcPr>
          <w:p w14:paraId="7FDE81D1">
            <w:pPr>
              <w:spacing w:line="320" w:lineRule="exact"/>
              <w:jc w:val="center"/>
              <w:rPr>
                <w:rFonts w:hint="eastAsia" w:ascii="宋体" w:hAnsi="宋体" w:eastAsia="宋体" w:cs="宋体"/>
                <w:sz w:val="24"/>
              </w:rPr>
            </w:pPr>
            <w:r>
              <w:rPr>
                <w:rFonts w:hint="eastAsia" w:ascii="宋体" w:hAnsi="宋体" w:eastAsia="宋体" w:cs="宋体"/>
                <w:sz w:val="24"/>
                <w:lang w:val="zh-TW"/>
              </w:rPr>
              <w:t>符合《中华人民共和国政府采购法》第二十二条的规定</w:t>
            </w:r>
          </w:p>
        </w:tc>
        <w:tc>
          <w:tcPr>
            <w:tcW w:w="6127" w:type="dxa"/>
            <w:tcBorders>
              <w:top w:val="single" w:color="auto" w:sz="4" w:space="0"/>
              <w:left w:val="nil"/>
              <w:bottom w:val="single" w:color="auto" w:sz="4" w:space="0"/>
              <w:right w:val="single" w:color="auto" w:sz="4" w:space="0"/>
            </w:tcBorders>
            <w:vAlign w:val="center"/>
          </w:tcPr>
          <w:p w14:paraId="5919A01D">
            <w:pPr>
              <w:pStyle w:val="26"/>
              <w:spacing w:line="276" w:lineRule="auto"/>
              <w:rPr>
                <w:rFonts w:hint="default" w:ascii="宋体" w:hAnsi="宋体" w:eastAsia="宋体" w:cs="宋体"/>
                <w:kern w:val="2"/>
                <w:sz w:val="24"/>
                <w:szCs w:val="24"/>
                <w:lang w:val="en-US" w:eastAsia="zh-CN" w:bidi="ar-SA"/>
              </w:rPr>
            </w:pPr>
            <w:r>
              <w:rPr>
                <w:rFonts w:hint="eastAsia" w:ascii="宋体" w:hAnsi="宋体" w:cs="宋体"/>
                <w:sz w:val="24"/>
                <w:szCs w:val="24"/>
                <w:lang w:val="zh-TW"/>
              </w:rPr>
              <w:t>供应商必须符合《中华人民共和国政府采购法》第二十二条的规定</w:t>
            </w:r>
            <w:r>
              <w:rPr>
                <w:rFonts w:hint="eastAsia" w:ascii="宋体" w:hAnsi="宋体" w:cs="宋体"/>
                <w:sz w:val="24"/>
                <w:szCs w:val="24"/>
                <w:lang w:val="zh-TW" w:eastAsia="zh-CN"/>
              </w:rPr>
              <w:t>，</w:t>
            </w:r>
            <w:r>
              <w:rPr>
                <w:rFonts w:hint="eastAsia" w:ascii="宋体" w:hAnsi="宋体" w:cs="宋体"/>
                <w:sz w:val="24"/>
                <w:szCs w:val="24"/>
                <w:lang w:val="en-US" w:eastAsia="zh-CN"/>
              </w:rPr>
              <w:t>提供相关证明资料或承诺书</w:t>
            </w:r>
            <w:r>
              <w:rPr>
                <w:rFonts w:hint="eastAsia" w:ascii="宋体" w:hAnsi="宋体" w:cs="宋体"/>
                <w:color w:val="auto"/>
                <w:sz w:val="24"/>
                <w:szCs w:val="24"/>
                <w:lang w:val="zh-TW" w:eastAsia="zh-CN"/>
              </w:rPr>
              <w:t>。</w:t>
            </w:r>
          </w:p>
        </w:tc>
      </w:tr>
      <w:tr w14:paraId="717D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left w:val="single" w:color="auto" w:sz="4" w:space="0"/>
              <w:right w:val="single" w:color="auto" w:sz="4" w:space="0"/>
            </w:tcBorders>
            <w:vAlign w:val="center"/>
          </w:tcPr>
          <w:p w14:paraId="4A384E9E">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151ACA43">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56D0B56A">
            <w:pPr>
              <w:spacing w:line="320" w:lineRule="exact"/>
              <w:jc w:val="center"/>
              <w:rPr>
                <w:rFonts w:hint="default" w:ascii="宋体" w:hAnsi="宋体" w:eastAsia="宋体" w:cs="宋体"/>
                <w:sz w:val="24"/>
                <w:lang w:val="en-US" w:eastAsia="zh-CN"/>
              </w:rPr>
            </w:pPr>
            <w:r>
              <w:rPr>
                <w:rFonts w:hint="eastAsia" w:ascii="宋体" w:hAnsi="宋体" w:cs="宋体"/>
                <w:sz w:val="24"/>
                <w:lang w:val="en-US" w:eastAsia="zh-CN"/>
              </w:rPr>
              <w:t>中小企业声明函</w:t>
            </w:r>
          </w:p>
        </w:tc>
        <w:tc>
          <w:tcPr>
            <w:tcW w:w="6127" w:type="dxa"/>
            <w:tcBorders>
              <w:top w:val="single" w:color="auto" w:sz="4" w:space="0"/>
              <w:left w:val="nil"/>
              <w:bottom w:val="single" w:color="auto" w:sz="4" w:space="0"/>
              <w:right w:val="single" w:color="auto" w:sz="4" w:space="0"/>
            </w:tcBorders>
            <w:vAlign w:val="center"/>
          </w:tcPr>
          <w:p w14:paraId="247C3D6C">
            <w:pPr>
              <w:pStyle w:val="26"/>
              <w:spacing w:line="276" w:lineRule="auto"/>
              <w:rPr>
                <w:rFonts w:hint="eastAsia" w:ascii="宋体" w:hAnsi="宋体" w:cs="宋体"/>
                <w:sz w:val="24"/>
                <w:szCs w:val="24"/>
                <w:lang w:val="zh-TW"/>
              </w:rPr>
            </w:pPr>
            <w:r>
              <w:rPr>
                <w:rFonts w:hint="eastAsia" w:ascii="宋体" w:hAnsi="宋体" w:cs="宋体"/>
                <w:sz w:val="24"/>
                <w:szCs w:val="24"/>
                <w:lang w:val="en-US" w:eastAsia="zh-CN"/>
              </w:rPr>
              <w:t>本项目为专门面向中小企业采购项目,投标供应商需提供《中小企业声明函》</w:t>
            </w:r>
            <w:r>
              <w:rPr>
                <w:rFonts w:hint="eastAsia" w:hAnsi="宋体" w:cs="宋体"/>
                <w:sz w:val="24"/>
                <w:szCs w:val="24"/>
                <w:lang w:val="en-US" w:eastAsia="zh-CN"/>
              </w:rPr>
              <w:t>。</w:t>
            </w:r>
          </w:p>
        </w:tc>
      </w:tr>
      <w:tr w14:paraId="51D4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left w:val="single" w:color="auto" w:sz="4" w:space="0"/>
              <w:right w:val="single" w:color="auto" w:sz="4" w:space="0"/>
            </w:tcBorders>
            <w:vAlign w:val="center"/>
          </w:tcPr>
          <w:p w14:paraId="5C6C8754">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13CBAD9F">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FE97BCA">
            <w:pPr>
              <w:spacing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营业执照</w:t>
            </w:r>
          </w:p>
        </w:tc>
        <w:tc>
          <w:tcPr>
            <w:tcW w:w="6127" w:type="dxa"/>
            <w:tcBorders>
              <w:top w:val="single" w:color="auto" w:sz="4" w:space="0"/>
              <w:left w:val="nil"/>
              <w:bottom w:val="single" w:color="auto" w:sz="4" w:space="0"/>
              <w:right w:val="single" w:color="auto" w:sz="4" w:space="0"/>
            </w:tcBorders>
            <w:vAlign w:val="center"/>
          </w:tcPr>
          <w:p w14:paraId="14BFEEAC">
            <w:pPr>
              <w:numPr>
                <w:ilvl w:val="0"/>
                <w:numId w:val="0"/>
              </w:numPr>
              <w:spacing w:line="320" w:lineRule="exact"/>
              <w:ind w:left="0" w:leftChars="0" w:firstLine="0" w:firstLineChars="0"/>
              <w:jc w:val="left"/>
              <w:rPr>
                <w:rFonts w:hint="eastAsia" w:ascii="仿宋" w:hAnsi="仿宋" w:cs="宋体"/>
                <w:bCs/>
                <w:sz w:val="24"/>
                <w:lang w:eastAsia="zh-CN"/>
              </w:rPr>
            </w:pPr>
            <w:r>
              <w:rPr>
                <w:rFonts w:hint="eastAsia" w:ascii="仿宋" w:hAnsi="仿宋" w:cs="宋体"/>
                <w:bCs/>
                <w:sz w:val="24"/>
                <w:lang w:eastAsia="zh-CN"/>
              </w:rPr>
              <w:t>具有合法有效的营业执照。</w:t>
            </w:r>
          </w:p>
        </w:tc>
      </w:tr>
      <w:tr w14:paraId="7F77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left w:val="single" w:color="auto" w:sz="4" w:space="0"/>
              <w:right w:val="single" w:color="auto" w:sz="4" w:space="0"/>
            </w:tcBorders>
            <w:vAlign w:val="center"/>
          </w:tcPr>
          <w:p w14:paraId="735C31C1">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5859AD56">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0919E9C0">
            <w:pPr>
              <w:spacing w:line="320" w:lineRule="exact"/>
              <w:jc w:val="center"/>
              <w:rPr>
                <w:rFonts w:hint="default"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企业履约能力</w:t>
            </w:r>
          </w:p>
        </w:tc>
        <w:tc>
          <w:tcPr>
            <w:tcW w:w="6127" w:type="dxa"/>
            <w:tcBorders>
              <w:top w:val="single" w:color="auto" w:sz="4" w:space="0"/>
              <w:left w:val="nil"/>
              <w:bottom w:val="single" w:color="auto" w:sz="4" w:space="0"/>
              <w:right w:val="single" w:color="auto" w:sz="4" w:space="0"/>
            </w:tcBorders>
            <w:vAlign w:val="center"/>
          </w:tcPr>
          <w:p w14:paraId="5583D74F">
            <w:pPr>
              <w:spacing w:line="320" w:lineRule="exact"/>
              <w:jc w:val="left"/>
              <w:rPr>
                <w:rFonts w:hint="eastAsia" w:ascii="仿宋" w:hAnsi="仿宋" w:eastAsia="宋体" w:cs="宋体"/>
                <w:bCs/>
                <w:color w:val="558ED5" w:themeColor="text2" w:themeTint="99"/>
                <w:sz w:val="24"/>
                <w:highlight w:val="none"/>
                <w:lang w:eastAsia="zh-CN"/>
                <w14:textFill>
                  <w14:solidFill>
                    <w14:schemeClr w14:val="tx2">
                      <w14:lumMod w14:val="60000"/>
                      <w14:lumOff w14:val="40000"/>
                    </w14:schemeClr>
                  </w14:solidFill>
                </w14:textFill>
              </w:rPr>
            </w:pPr>
            <w:r>
              <w:rPr>
                <w:rFonts w:hint="eastAsia" w:ascii="宋体" w:hAnsi="宋体" w:cs="宋体"/>
                <w:color w:val="auto"/>
                <w:sz w:val="24"/>
                <w:szCs w:val="24"/>
                <w:highlight w:val="none"/>
                <w:lang w:val="en-US" w:eastAsia="zh-CN"/>
              </w:rPr>
              <w:t>具有履行本项目服务内容所必需的设备和专业技术能力（提供相关证明材料或承诺书，承诺书格式自拟）</w:t>
            </w:r>
            <w:r>
              <w:rPr>
                <w:rFonts w:hint="eastAsia" w:ascii="宋体" w:hAnsi="宋体" w:eastAsia="宋体" w:cs="宋体"/>
                <w:color w:val="auto"/>
                <w:sz w:val="24"/>
                <w:szCs w:val="24"/>
                <w:highlight w:val="none"/>
                <w:lang w:val="en-US" w:eastAsia="zh-CN"/>
              </w:rPr>
              <w:t>。</w:t>
            </w:r>
          </w:p>
        </w:tc>
      </w:tr>
      <w:tr w14:paraId="14F5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968" w:type="dxa"/>
            <w:vMerge w:val="continue"/>
            <w:tcBorders>
              <w:left w:val="single" w:color="auto" w:sz="4" w:space="0"/>
              <w:right w:val="single" w:color="auto" w:sz="4" w:space="0"/>
            </w:tcBorders>
            <w:vAlign w:val="center"/>
          </w:tcPr>
          <w:p w14:paraId="4C1FE7FC">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4EB157B8">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31C2280A">
            <w:pPr>
              <w:spacing w:line="320" w:lineRule="exact"/>
              <w:jc w:val="center"/>
              <w:rPr>
                <w:rFonts w:hint="default" w:ascii="宋体" w:hAnsi="宋体" w:eastAsia="宋体" w:cs="宋体"/>
                <w:color w:val="FF0000"/>
                <w:sz w:val="24"/>
                <w:szCs w:val="24"/>
                <w:highlight w:val="none"/>
                <w:lang w:val="en-US" w:eastAsia="zh-CN"/>
              </w:rPr>
            </w:pPr>
            <w:r>
              <w:rPr>
                <w:rFonts w:hint="eastAsia" w:ascii="宋体" w:hAnsi="宋体" w:cs="宋体"/>
                <w:sz w:val="24"/>
                <w:szCs w:val="24"/>
                <w:highlight w:val="none"/>
                <w:lang w:val="en-US" w:eastAsia="zh-CN"/>
              </w:rPr>
              <w:t>财务状况</w:t>
            </w:r>
          </w:p>
        </w:tc>
        <w:tc>
          <w:tcPr>
            <w:tcW w:w="6127" w:type="dxa"/>
            <w:tcBorders>
              <w:top w:val="single" w:color="auto" w:sz="4" w:space="0"/>
              <w:left w:val="nil"/>
              <w:right w:val="single" w:color="auto" w:sz="4" w:space="0"/>
            </w:tcBorders>
            <w:vAlign w:val="center"/>
          </w:tcPr>
          <w:p w14:paraId="306EA4CB">
            <w:pPr>
              <w:spacing w:line="320" w:lineRule="exact"/>
              <w:jc w:val="left"/>
              <w:rPr>
                <w:rFonts w:hint="eastAsia" w:ascii="仿宋" w:hAnsi="仿宋" w:eastAsia="宋体" w:cs="宋体"/>
                <w:bCs/>
                <w:color w:val="558ED5" w:themeColor="text2" w:themeTint="99"/>
                <w:sz w:val="24"/>
                <w:highlight w:val="none"/>
                <w:lang w:eastAsia="zh-CN"/>
                <w14:textFill>
                  <w14:solidFill>
                    <w14:schemeClr w14:val="tx2">
                      <w14:lumMod w14:val="60000"/>
                      <w14:lumOff w14:val="40000"/>
                    </w14:schemeClr>
                  </w14:solidFill>
                </w14:textFill>
              </w:rPr>
            </w:pPr>
            <w:r>
              <w:rPr>
                <w:rFonts w:hint="eastAsia" w:ascii="宋体" w:hAnsi="宋体" w:cs="宋体"/>
                <w:color w:val="auto"/>
                <w:sz w:val="24"/>
                <w:szCs w:val="24"/>
                <w:highlight w:val="none"/>
                <w:lang w:val="en-US" w:eastAsia="zh-CN"/>
              </w:rPr>
              <w:t>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p>
        </w:tc>
      </w:tr>
      <w:tr w14:paraId="02FC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5C7A044C">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6D6EBE77">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7C986FDB">
            <w:pPr>
              <w:spacing w:line="320" w:lineRule="exact"/>
              <w:jc w:val="center"/>
              <w:rPr>
                <w:rFonts w:ascii="宋体" w:hAnsi="宋体" w:cs="宋体"/>
                <w:sz w:val="24"/>
                <w:szCs w:val="24"/>
              </w:rPr>
            </w:pPr>
            <w:r>
              <w:rPr>
                <w:rFonts w:hint="eastAsia" w:ascii="宋体" w:hAnsi="宋体" w:cs="宋体"/>
                <w:sz w:val="24"/>
                <w:szCs w:val="24"/>
              </w:rPr>
              <w:t>承诺书</w:t>
            </w:r>
          </w:p>
        </w:tc>
        <w:tc>
          <w:tcPr>
            <w:tcW w:w="6127" w:type="dxa"/>
            <w:tcBorders>
              <w:top w:val="single" w:color="auto" w:sz="4" w:space="0"/>
              <w:left w:val="nil"/>
              <w:bottom w:val="single" w:color="auto" w:sz="4" w:space="0"/>
              <w:right w:val="single" w:color="auto" w:sz="4" w:space="0"/>
            </w:tcBorders>
            <w:vAlign w:val="center"/>
          </w:tcPr>
          <w:p w14:paraId="4E2BB279">
            <w:pPr>
              <w:spacing w:line="320" w:lineRule="exact"/>
              <w:jc w:val="left"/>
              <w:rPr>
                <w:rFonts w:hint="eastAsia" w:ascii="仿宋" w:hAnsi="仿宋" w:eastAsia="宋体" w:cs="宋体"/>
                <w:bCs/>
                <w:sz w:val="24"/>
                <w:lang w:eastAsia="zh-CN"/>
              </w:rPr>
            </w:pPr>
            <w:r>
              <w:rPr>
                <w:rFonts w:hint="eastAsia" w:ascii="仿宋" w:hAnsi="仿宋" w:cs="宋体"/>
                <w:bCs/>
                <w:sz w:val="24"/>
              </w:rPr>
              <w:t>企业自行出具本单位无商业贿赂及不正当竞争行为的承诺书（格式自拟）</w:t>
            </w:r>
            <w:r>
              <w:rPr>
                <w:rFonts w:hint="eastAsia" w:ascii="仿宋" w:hAnsi="仿宋" w:cs="宋体"/>
                <w:bCs/>
                <w:sz w:val="24"/>
                <w:lang w:eastAsia="zh-CN"/>
              </w:rPr>
              <w:t>。</w:t>
            </w:r>
          </w:p>
        </w:tc>
      </w:tr>
      <w:tr w14:paraId="031A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18EB772A">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28D568D4">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747F73E3">
            <w:pPr>
              <w:spacing w:line="320" w:lineRule="exact"/>
              <w:jc w:val="center"/>
              <w:rPr>
                <w:rFonts w:hint="eastAsia" w:ascii="宋体" w:hAnsi="宋体" w:cs="宋体"/>
                <w:sz w:val="24"/>
                <w:szCs w:val="24"/>
              </w:rPr>
            </w:pPr>
            <w:r>
              <w:rPr>
                <w:rFonts w:hint="eastAsia" w:ascii="宋体" w:hAnsi="宋体" w:cs="宋体"/>
                <w:sz w:val="24"/>
                <w:szCs w:val="24"/>
              </w:rPr>
              <w:t>信用查询</w:t>
            </w:r>
          </w:p>
        </w:tc>
        <w:tc>
          <w:tcPr>
            <w:tcW w:w="6127" w:type="dxa"/>
            <w:tcBorders>
              <w:top w:val="single" w:color="auto" w:sz="4" w:space="0"/>
              <w:left w:val="nil"/>
              <w:bottom w:val="single" w:color="auto" w:sz="4" w:space="0"/>
              <w:right w:val="single" w:color="auto" w:sz="4" w:space="0"/>
            </w:tcBorders>
            <w:vAlign w:val="center"/>
          </w:tcPr>
          <w:p w14:paraId="6C5FE21F">
            <w:pPr>
              <w:spacing w:line="320" w:lineRule="exact"/>
              <w:jc w:val="left"/>
              <w:rPr>
                <w:rFonts w:hint="eastAsia" w:ascii="仿宋" w:hAnsi="仿宋" w:cs="宋体"/>
                <w:bCs/>
                <w:sz w:val="24"/>
              </w:rPr>
            </w:pP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ascii="仿宋" w:hAnsi="仿宋" w:cs="宋体"/>
                <w:bCs/>
                <w:sz w:val="24"/>
              </w:rPr>
              <w:t>。</w:t>
            </w:r>
          </w:p>
        </w:tc>
      </w:tr>
      <w:tr w14:paraId="064F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50BFC5EA">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485EA0FF">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1164E34C">
            <w:pPr>
              <w:spacing w:line="320" w:lineRule="exact"/>
              <w:jc w:val="center"/>
              <w:rPr>
                <w:rFonts w:hint="default" w:ascii="宋体" w:hAnsi="宋体" w:cs="宋体"/>
                <w:sz w:val="24"/>
                <w:szCs w:val="24"/>
                <w:lang w:val="en-US"/>
              </w:rPr>
            </w:pPr>
            <w:r>
              <w:rPr>
                <w:rFonts w:hint="eastAsia" w:ascii="宋体" w:hAnsi="宋体" w:eastAsia="宋体" w:cs="宋体"/>
                <w:sz w:val="24"/>
                <w:szCs w:val="24"/>
                <w:lang w:val="en-US" w:eastAsia="zh-CN"/>
              </w:rPr>
              <w:t>企业</w:t>
            </w:r>
            <w:r>
              <w:rPr>
                <w:rFonts w:hint="eastAsia" w:ascii="宋体" w:hAnsi="宋体" w:eastAsia="宋体" w:cs="宋体"/>
                <w:sz w:val="24"/>
                <w:szCs w:val="24"/>
                <w:lang w:val="zh-TW" w:eastAsia="zh-CN"/>
              </w:rPr>
              <w:t>控股、管理关系</w:t>
            </w:r>
          </w:p>
        </w:tc>
        <w:tc>
          <w:tcPr>
            <w:tcW w:w="6127" w:type="dxa"/>
            <w:tcBorders>
              <w:top w:val="single" w:color="auto" w:sz="4" w:space="0"/>
              <w:left w:val="nil"/>
              <w:bottom w:val="single" w:color="auto" w:sz="4" w:space="0"/>
              <w:right w:val="single" w:color="auto" w:sz="4" w:space="0"/>
            </w:tcBorders>
            <w:vAlign w:val="center"/>
          </w:tcPr>
          <w:p w14:paraId="5D880A37">
            <w:pPr>
              <w:spacing w:line="320" w:lineRule="exact"/>
              <w:jc w:val="left"/>
              <w:rPr>
                <w:rFonts w:hint="eastAsia" w:ascii="仿宋" w:hAnsi="仿宋" w:cs="宋体"/>
                <w:bCs/>
                <w:sz w:val="24"/>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14:paraId="66D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68" w:type="dxa"/>
            <w:vMerge w:val="restart"/>
            <w:tcBorders>
              <w:top w:val="nil"/>
              <w:left w:val="single" w:color="auto" w:sz="4" w:space="0"/>
              <w:bottom w:val="single" w:color="auto" w:sz="4" w:space="0"/>
              <w:right w:val="single" w:color="auto" w:sz="4" w:space="0"/>
            </w:tcBorders>
            <w:vAlign w:val="center"/>
          </w:tcPr>
          <w:p w14:paraId="51EDF876">
            <w:pPr>
              <w:rPr>
                <w:rFonts w:ascii="宋体" w:hAnsi="宋体" w:cs="宋体"/>
                <w:sz w:val="24"/>
                <w:szCs w:val="24"/>
              </w:rPr>
            </w:pPr>
            <w:r>
              <w:rPr>
                <w:rFonts w:hint="eastAsia" w:ascii="宋体" w:hAnsi="宋体" w:cs="宋体"/>
                <w:sz w:val="24"/>
                <w:szCs w:val="24"/>
              </w:rPr>
              <w:t>2.1.3</w:t>
            </w:r>
          </w:p>
        </w:tc>
        <w:tc>
          <w:tcPr>
            <w:tcW w:w="766" w:type="dxa"/>
            <w:vMerge w:val="restart"/>
            <w:tcBorders>
              <w:top w:val="single" w:color="auto" w:sz="4" w:space="0"/>
              <w:left w:val="nil"/>
              <w:bottom w:val="single" w:color="auto" w:sz="4" w:space="0"/>
              <w:right w:val="single" w:color="auto" w:sz="4" w:space="0"/>
            </w:tcBorders>
            <w:vAlign w:val="center"/>
          </w:tcPr>
          <w:p w14:paraId="28A9ED29">
            <w:pPr>
              <w:jc w:val="center"/>
              <w:rPr>
                <w:rFonts w:ascii="宋体" w:hAnsi="宋体" w:cs="宋体"/>
                <w:sz w:val="24"/>
                <w:szCs w:val="24"/>
              </w:rPr>
            </w:pPr>
            <w:r>
              <w:rPr>
                <w:rFonts w:hint="eastAsia" w:ascii="宋体" w:hAnsi="宋体" w:cs="宋体"/>
                <w:sz w:val="24"/>
                <w:szCs w:val="24"/>
              </w:rPr>
              <w:t>响</w:t>
            </w:r>
          </w:p>
          <w:p w14:paraId="2A64619C">
            <w:pPr>
              <w:jc w:val="center"/>
              <w:rPr>
                <w:rFonts w:ascii="宋体" w:hAnsi="宋体" w:cs="宋体"/>
                <w:sz w:val="24"/>
                <w:szCs w:val="24"/>
              </w:rPr>
            </w:pPr>
            <w:r>
              <w:rPr>
                <w:rFonts w:hint="eastAsia" w:ascii="宋体" w:hAnsi="宋体" w:cs="宋体"/>
                <w:sz w:val="24"/>
                <w:szCs w:val="24"/>
              </w:rPr>
              <w:t>应</w:t>
            </w:r>
          </w:p>
          <w:p w14:paraId="7538E243">
            <w:pPr>
              <w:jc w:val="center"/>
              <w:rPr>
                <w:rFonts w:ascii="宋体" w:hAnsi="宋体" w:cs="宋体"/>
                <w:sz w:val="24"/>
                <w:szCs w:val="24"/>
              </w:rPr>
            </w:pPr>
            <w:r>
              <w:rPr>
                <w:rFonts w:hint="eastAsia" w:ascii="宋体" w:hAnsi="宋体" w:cs="宋体"/>
                <w:sz w:val="24"/>
                <w:szCs w:val="24"/>
              </w:rPr>
              <w:t>性</w:t>
            </w:r>
          </w:p>
          <w:p w14:paraId="003131C8">
            <w:pPr>
              <w:jc w:val="center"/>
              <w:rPr>
                <w:rFonts w:ascii="宋体" w:hAnsi="宋体" w:cs="宋体"/>
                <w:sz w:val="24"/>
                <w:szCs w:val="24"/>
              </w:rPr>
            </w:pPr>
            <w:r>
              <w:rPr>
                <w:rFonts w:hint="eastAsia" w:ascii="宋体" w:hAnsi="宋体" w:cs="宋体"/>
                <w:sz w:val="24"/>
                <w:szCs w:val="24"/>
              </w:rPr>
              <w:t>评</w:t>
            </w:r>
          </w:p>
          <w:p w14:paraId="137B2A1F">
            <w:pPr>
              <w:jc w:val="center"/>
              <w:rPr>
                <w:rFonts w:ascii="宋体" w:hAnsi="宋体" w:cs="宋体"/>
                <w:sz w:val="24"/>
                <w:szCs w:val="24"/>
              </w:rPr>
            </w:pPr>
            <w:r>
              <w:rPr>
                <w:rFonts w:hint="eastAsia" w:ascii="宋体" w:hAnsi="宋体" w:cs="宋体"/>
                <w:sz w:val="24"/>
                <w:szCs w:val="24"/>
              </w:rPr>
              <w:t>审</w:t>
            </w:r>
          </w:p>
        </w:tc>
        <w:tc>
          <w:tcPr>
            <w:tcW w:w="1493" w:type="dxa"/>
            <w:tcBorders>
              <w:top w:val="single" w:color="auto" w:sz="4" w:space="0"/>
              <w:left w:val="nil"/>
              <w:bottom w:val="single" w:color="auto" w:sz="4" w:space="0"/>
              <w:right w:val="single" w:color="auto" w:sz="4" w:space="0"/>
            </w:tcBorders>
            <w:vAlign w:val="center"/>
          </w:tcPr>
          <w:p w14:paraId="678F6CDD">
            <w:pPr>
              <w:jc w:val="center"/>
              <w:rPr>
                <w:rFonts w:ascii="宋体" w:hAnsi="宋体" w:cs="宋体"/>
                <w:sz w:val="24"/>
                <w:szCs w:val="24"/>
              </w:rPr>
            </w:pPr>
            <w:r>
              <w:rPr>
                <w:rFonts w:hint="eastAsia" w:ascii="宋体" w:hAnsi="宋体" w:cs="宋体"/>
                <w:sz w:val="24"/>
                <w:szCs w:val="24"/>
              </w:rPr>
              <w:t>投标内容</w:t>
            </w:r>
          </w:p>
        </w:tc>
        <w:tc>
          <w:tcPr>
            <w:tcW w:w="6127" w:type="dxa"/>
            <w:tcBorders>
              <w:top w:val="single" w:color="auto" w:sz="4" w:space="0"/>
              <w:left w:val="nil"/>
              <w:bottom w:val="single" w:color="auto" w:sz="4" w:space="0"/>
              <w:right w:val="single" w:color="auto" w:sz="4" w:space="0"/>
            </w:tcBorders>
            <w:vAlign w:val="center"/>
          </w:tcPr>
          <w:p w14:paraId="1D1BCEDE">
            <w:pPr>
              <w:jc w:val="left"/>
              <w:rPr>
                <w:rFonts w:ascii="宋体" w:hAnsi="宋体" w:cs="宋体"/>
                <w:sz w:val="24"/>
                <w:szCs w:val="24"/>
              </w:rPr>
            </w:pPr>
            <w:r>
              <w:rPr>
                <w:rFonts w:hint="eastAsia" w:ascii="宋体" w:hAnsi="宋体"/>
                <w:sz w:val="24"/>
                <w:szCs w:val="24"/>
              </w:rPr>
              <w:t>与本项目磋商范围一致</w:t>
            </w:r>
          </w:p>
        </w:tc>
      </w:tr>
      <w:tr w14:paraId="0791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Merge w:val="continue"/>
            <w:tcBorders>
              <w:top w:val="nil"/>
              <w:left w:val="single" w:color="auto" w:sz="4" w:space="0"/>
              <w:bottom w:val="single" w:color="auto" w:sz="4" w:space="0"/>
              <w:right w:val="single" w:color="auto" w:sz="4" w:space="0"/>
            </w:tcBorders>
            <w:vAlign w:val="center"/>
          </w:tcPr>
          <w:p w14:paraId="57A11304">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2A05A6DF">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03C152E">
            <w:pPr>
              <w:jc w:val="center"/>
              <w:rPr>
                <w:rFonts w:ascii="宋体" w:hAnsi="宋体" w:cs="宋体"/>
                <w:sz w:val="24"/>
                <w:szCs w:val="24"/>
              </w:rPr>
            </w:pPr>
            <w:r>
              <w:rPr>
                <w:rFonts w:hint="eastAsia" w:ascii="宋体" w:hAnsi="宋体" w:cs="宋体"/>
                <w:sz w:val="24"/>
                <w:szCs w:val="24"/>
              </w:rPr>
              <w:t>服务期</w:t>
            </w:r>
          </w:p>
        </w:tc>
        <w:tc>
          <w:tcPr>
            <w:tcW w:w="6127" w:type="dxa"/>
            <w:tcBorders>
              <w:top w:val="single" w:color="auto" w:sz="4" w:space="0"/>
              <w:left w:val="nil"/>
              <w:bottom w:val="single" w:color="auto" w:sz="4" w:space="0"/>
              <w:right w:val="single" w:color="auto" w:sz="4" w:space="0"/>
            </w:tcBorders>
            <w:vAlign w:val="center"/>
          </w:tcPr>
          <w:p w14:paraId="3343580A">
            <w:pPr>
              <w:spacing w:line="320" w:lineRule="exact"/>
              <w:rPr>
                <w:rFonts w:hint="eastAsia" w:ascii="宋体" w:hAnsi="宋体" w:cs="宋体"/>
                <w:sz w:val="24"/>
                <w:szCs w:val="24"/>
                <w:lang w:eastAsia="zh-CN"/>
              </w:rPr>
            </w:pPr>
            <w:r>
              <w:rPr>
                <w:rFonts w:hint="eastAsia" w:ascii="宋体" w:hAnsi="宋体" w:cs="宋体"/>
                <w:sz w:val="24"/>
                <w:szCs w:val="24"/>
                <w:lang w:eastAsia="zh-CN"/>
              </w:rPr>
              <w:t>自合同签订之日起8个月</w:t>
            </w:r>
          </w:p>
        </w:tc>
      </w:tr>
      <w:tr w14:paraId="4383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8" w:type="dxa"/>
            <w:vMerge w:val="continue"/>
            <w:tcBorders>
              <w:top w:val="nil"/>
              <w:left w:val="single" w:color="auto" w:sz="4" w:space="0"/>
              <w:bottom w:val="single" w:color="auto" w:sz="4" w:space="0"/>
              <w:right w:val="single" w:color="auto" w:sz="4" w:space="0"/>
            </w:tcBorders>
            <w:vAlign w:val="center"/>
          </w:tcPr>
          <w:p w14:paraId="577CC514">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1C5065F6">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26F357AA">
            <w:pPr>
              <w:jc w:val="center"/>
              <w:rPr>
                <w:rFonts w:ascii="宋体" w:hAnsi="宋体" w:cs="宋体"/>
                <w:sz w:val="24"/>
                <w:szCs w:val="24"/>
              </w:rPr>
            </w:pPr>
            <w:r>
              <w:rPr>
                <w:rFonts w:hint="eastAsia" w:ascii="宋体" w:hAnsi="宋体" w:cs="宋体"/>
                <w:sz w:val="24"/>
                <w:szCs w:val="24"/>
              </w:rPr>
              <w:t>质量要求</w:t>
            </w:r>
          </w:p>
        </w:tc>
        <w:tc>
          <w:tcPr>
            <w:tcW w:w="6127" w:type="dxa"/>
            <w:tcBorders>
              <w:top w:val="single" w:color="auto" w:sz="4" w:space="0"/>
              <w:left w:val="nil"/>
              <w:bottom w:val="single" w:color="auto" w:sz="4" w:space="0"/>
              <w:right w:val="single" w:color="auto" w:sz="4" w:space="0"/>
            </w:tcBorders>
            <w:vAlign w:val="center"/>
          </w:tcPr>
          <w:p w14:paraId="3E38868B">
            <w:pPr>
              <w:spacing w:line="320" w:lineRule="exact"/>
              <w:rPr>
                <w:rFonts w:hint="eastAsia" w:ascii="宋体" w:hAnsi="宋体" w:eastAsia="宋体" w:cs="宋体"/>
                <w:sz w:val="24"/>
                <w:szCs w:val="24"/>
                <w:lang w:eastAsia="zh-CN"/>
              </w:rPr>
            </w:pPr>
            <w:r>
              <w:rPr>
                <w:rFonts w:hint="eastAsia" w:ascii="宋体" w:hAnsi="宋体" w:cs="宋体"/>
                <w:sz w:val="24"/>
                <w:szCs w:val="24"/>
                <w:lang w:eastAsia="zh-CN"/>
              </w:rPr>
              <w:t>符合国家及地方行业相关规范及采购人要求</w:t>
            </w:r>
          </w:p>
        </w:tc>
      </w:tr>
      <w:tr w14:paraId="42BF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vMerge w:val="continue"/>
            <w:tcBorders>
              <w:top w:val="nil"/>
              <w:left w:val="single" w:color="auto" w:sz="4" w:space="0"/>
              <w:bottom w:val="single" w:color="auto" w:sz="4" w:space="0"/>
              <w:right w:val="single" w:color="auto" w:sz="4" w:space="0"/>
            </w:tcBorders>
            <w:vAlign w:val="center"/>
          </w:tcPr>
          <w:p w14:paraId="44D6912C">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5B0AAE15">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3D808DD6">
            <w:pPr>
              <w:jc w:val="center"/>
              <w:rPr>
                <w:rFonts w:ascii="宋体" w:hAnsi="宋体" w:cs="宋体"/>
                <w:sz w:val="24"/>
                <w:szCs w:val="24"/>
              </w:rPr>
            </w:pPr>
            <w:r>
              <w:rPr>
                <w:rFonts w:hint="eastAsia" w:ascii="宋体" w:hAnsi="宋体" w:cs="宋体"/>
                <w:sz w:val="24"/>
                <w:szCs w:val="24"/>
              </w:rPr>
              <w:t>投标有效期</w:t>
            </w:r>
          </w:p>
        </w:tc>
        <w:tc>
          <w:tcPr>
            <w:tcW w:w="6127" w:type="dxa"/>
            <w:tcBorders>
              <w:top w:val="single" w:color="auto" w:sz="4" w:space="0"/>
              <w:left w:val="nil"/>
              <w:bottom w:val="single" w:color="auto" w:sz="4" w:space="0"/>
              <w:right w:val="single" w:color="auto" w:sz="4" w:space="0"/>
            </w:tcBorders>
            <w:vAlign w:val="center"/>
          </w:tcPr>
          <w:p w14:paraId="6B62A605">
            <w:pPr>
              <w:jc w:val="left"/>
              <w:rPr>
                <w:rFonts w:ascii="宋体" w:hAnsi="宋体" w:cs="宋体"/>
                <w:sz w:val="24"/>
                <w:szCs w:val="24"/>
              </w:rPr>
            </w:pPr>
            <w:r>
              <w:rPr>
                <w:rFonts w:hint="eastAsia" w:ascii="宋体" w:hAnsi="宋体"/>
                <w:sz w:val="24"/>
                <w:szCs w:val="24"/>
              </w:rPr>
              <w:t>自竞争性磋商响应文件递交截止之日起60日历天</w:t>
            </w:r>
          </w:p>
        </w:tc>
      </w:tr>
      <w:tr w14:paraId="4A72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8" w:type="dxa"/>
            <w:vMerge w:val="continue"/>
            <w:tcBorders>
              <w:top w:val="nil"/>
              <w:left w:val="single" w:color="auto" w:sz="4" w:space="0"/>
              <w:bottom w:val="single" w:color="auto" w:sz="4" w:space="0"/>
              <w:right w:val="single" w:color="auto" w:sz="4" w:space="0"/>
            </w:tcBorders>
            <w:vAlign w:val="center"/>
          </w:tcPr>
          <w:p w14:paraId="0B55CB2E">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134A5A4C">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32839228">
            <w:pPr>
              <w:pStyle w:val="26"/>
              <w:spacing w:line="360" w:lineRule="auto"/>
              <w:jc w:val="center"/>
              <w:rPr>
                <w:rFonts w:hAnsi="宋体" w:cs="宋体"/>
                <w:sz w:val="24"/>
                <w:szCs w:val="24"/>
              </w:rPr>
            </w:pPr>
            <w:r>
              <w:rPr>
                <w:rFonts w:hint="eastAsia" w:hAnsi="宋体" w:cs="宋体"/>
                <w:sz w:val="24"/>
                <w:szCs w:val="24"/>
              </w:rPr>
              <w:t>投标报价</w:t>
            </w:r>
          </w:p>
        </w:tc>
        <w:tc>
          <w:tcPr>
            <w:tcW w:w="6127" w:type="dxa"/>
            <w:tcBorders>
              <w:top w:val="single" w:color="auto" w:sz="4" w:space="0"/>
              <w:left w:val="nil"/>
              <w:bottom w:val="single" w:color="auto" w:sz="4" w:space="0"/>
              <w:right w:val="single" w:color="auto" w:sz="4" w:space="0"/>
            </w:tcBorders>
            <w:vAlign w:val="center"/>
          </w:tcPr>
          <w:p w14:paraId="6C7B069D">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10B25571">
      <w:pPr>
        <w:spacing w:line="320" w:lineRule="exact"/>
        <w:rPr>
          <w:rFonts w:ascii="宋体" w:hAnsi="宋体" w:cs="宋体"/>
          <w:b/>
          <w:bCs/>
          <w:kern w:val="0"/>
          <w:sz w:val="24"/>
          <w:szCs w:val="24"/>
        </w:rPr>
      </w:pPr>
      <w:bookmarkStart w:id="107" w:name="_Toc12959920"/>
      <w:bookmarkStart w:id="108" w:name="_Toc12961085"/>
      <w:r>
        <w:rPr>
          <w:rFonts w:hint="eastAsia" w:ascii="宋体" w:hAnsi="宋体" w:cs="宋体"/>
          <w:b/>
          <w:bCs/>
          <w:sz w:val="28"/>
          <w:szCs w:val="28"/>
        </w:rPr>
        <w:t>注：</w:t>
      </w:r>
      <w:r>
        <w:rPr>
          <w:rFonts w:hint="eastAsia" w:ascii="宋体" w:hAnsi="宋体" w:cs="宋体"/>
          <w:b/>
          <w:bCs/>
          <w:kern w:val="0"/>
          <w:sz w:val="24"/>
          <w:szCs w:val="24"/>
        </w:rPr>
        <w:t>以上评审相关原件以供应商自行上传到</w:t>
      </w:r>
      <w:r>
        <w:rPr>
          <w:rFonts w:hint="eastAsia" w:ascii="宋体" w:hAnsi="宋体" w:cs="宋体"/>
          <w:b/>
          <w:bCs/>
          <w:kern w:val="0"/>
          <w:sz w:val="24"/>
          <w:szCs w:val="24"/>
          <w:lang w:val="en-US" w:eastAsia="zh-CN"/>
        </w:rPr>
        <w:t>响应</w:t>
      </w:r>
      <w:r>
        <w:rPr>
          <w:rFonts w:hint="eastAsia" w:ascii="宋体" w:hAnsi="宋体" w:cs="宋体"/>
          <w:b/>
          <w:bCs/>
          <w:kern w:val="0"/>
          <w:sz w:val="24"/>
          <w:szCs w:val="24"/>
        </w:rPr>
        <w:t>文件中的相应内容为准。供应商未按要求上传资料的或上传的资料不符合</w:t>
      </w:r>
      <w:r>
        <w:rPr>
          <w:rFonts w:hint="eastAsia" w:ascii="宋体" w:hAnsi="宋体" w:cs="宋体"/>
          <w:b/>
          <w:bCs/>
          <w:kern w:val="0"/>
          <w:sz w:val="24"/>
          <w:szCs w:val="24"/>
          <w:lang w:val="en-US" w:eastAsia="zh-CN"/>
        </w:rPr>
        <w:t>磋商</w:t>
      </w:r>
      <w:r>
        <w:rPr>
          <w:rFonts w:hint="eastAsia" w:ascii="宋体" w:hAnsi="宋体" w:cs="宋体"/>
          <w:b/>
          <w:bCs/>
          <w:kern w:val="0"/>
          <w:sz w:val="24"/>
          <w:szCs w:val="24"/>
        </w:rPr>
        <w:t>文件要求的均视为资格审查不通过，资格审查不通过的供应商按无效投标处理，不再进行下一步的评标。</w:t>
      </w:r>
    </w:p>
    <w:p w14:paraId="66D0B657">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49"/>
        <w:tblW w:w="4943" w:type="pct"/>
        <w:tblInd w:w="0" w:type="dxa"/>
        <w:tblLayout w:type="autofit"/>
        <w:tblCellMar>
          <w:top w:w="0" w:type="dxa"/>
          <w:left w:w="108" w:type="dxa"/>
          <w:bottom w:w="0" w:type="dxa"/>
          <w:right w:w="108" w:type="dxa"/>
        </w:tblCellMar>
      </w:tblPr>
      <w:tblGrid>
        <w:gridCol w:w="937"/>
        <w:gridCol w:w="1538"/>
        <w:gridCol w:w="6656"/>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1545" w:hRule="atLeast"/>
        </w:trPr>
        <w:tc>
          <w:tcPr>
            <w:tcW w:w="513" w:type="pct"/>
            <w:tcBorders>
              <w:top w:val="nil"/>
              <w:left w:val="single" w:color="auto" w:sz="4" w:space="0"/>
              <w:bottom w:val="single" w:color="auto" w:sz="4" w:space="0"/>
              <w:right w:val="single" w:color="auto" w:sz="4" w:space="0"/>
            </w:tcBorders>
            <w:vAlign w:val="center"/>
          </w:tcPr>
          <w:p w14:paraId="7B9CE856">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1</w:t>
            </w:r>
            <w:r>
              <w:rPr>
                <w:rFonts w:hint="eastAsia" w:ascii="宋体" w:hAnsi="宋体" w:cs="宋体"/>
                <w:color w:val="000000"/>
                <w:kern w:val="0"/>
                <w:sz w:val="24"/>
              </w:rPr>
              <w:t>0分）</w:t>
            </w:r>
          </w:p>
        </w:tc>
        <w:tc>
          <w:tcPr>
            <w:tcW w:w="842" w:type="pct"/>
            <w:tcBorders>
              <w:top w:val="nil"/>
              <w:left w:val="nil"/>
              <w:bottom w:val="single" w:color="auto" w:sz="4" w:space="0"/>
              <w:right w:val="single" w:color="auto" w:sz="4" w:space="0"/>
            </w:tcBorders>
            <w:vAlign w:val="center"/>
          </w:tcPr>
          <w:p w14:paraId="3D1B6DAC">
            <w:pPr>
              <w:widowControl/>
              <w:jc w:val="center"/>
              <w:rPr>
                <w:rFonts w:ascii="宋体" w:hAnsi="宋体" w:cs="宋体"/>
                <w:color w:val="000000"/>
                <w:kern w:val="0"/>
                <w:sz w:val="24"/>
              </w:rPr>
            </w:pPr>
            <w:r>
              <w:rPr>
                <w:rFonts w:hint="eastAsia" w:ascii="宋体" w:hAnsi="宋体" w:cs="宋体"/>
                <w:color w:val="000000"/>
                <w:kern w:val="0"/>
                <w:sz w:val="24"/>
              </w:rPr>
              <w:t>投标报价</w:t>
            </w:r>
          </w:p>
          <w:p w14:paraId="46724F5D">
            <w:pPr>
              <w:widowControl/>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1、磋商报价高于“最高限价”的，采购人将不予接受，且本次投标做无效处理；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kern w:val="0"/>
                <w:sz w:val="24"/>
                <w:szCs w:val="24"/>
                <w:lang w:val="en-US" w:eastAsia="zh-CN"/>
              </w:rPr>
              <w:t>最终投标报价</w:t>
            </w:r>
            <w:r>
              <w:rPr>
                <w:rFonts w:hint="eastAsia" w:asciiTheme="minorEastAsia" w:hAnsiTheme="minorEastAsia" w:eastAsiaTheme="minorEastAsia" w:cstheme="minorEastAsia"/>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03C87020">
            <w:pPr>
              <w:widowControl/>
              <w:spacing w:line="400" w:lineRule="exact"/>
              <w:ind w:firstLine="480" w:firstLineChars="200"/>
              <w:jc w:val="left"/>
              <w:rPr>
                <w:rFonts w:hint="eastAsia" w:asciiTheme="minorEastAsia" w:hAnsiTheme="minorEastAsia" w:eastAsiaTheme="minorEastAsia" w:cstheme="minorEastAsia"/>
                <w:color w:val="00B050"/>
                <w:kern w:val="0"/>
                <w:sz w:val="24"/>
                <w:szCs w:val="24"/>
                <w:lang w:val="zh-CN" w:eastAsia="zh-CN"/>
              </w:rPr>
            </w:pPr>
            <w:r>
              <w:rPr>
                <w:rFonts w:hint="eastAsia" w:asciiTheme="minorEastAsia" w:hAnsiTheme="minorEastAsia" w:eastAsiaTheme="minorEastAsia" w:cstheme="minorEastAsia"/>
                <w:color w:val="auto"/>
                <w:kern w:val="0"/>
                <w:sz w:val="24"/>
                <w:szCs w:val="24"/>
                <w:lang w:val="en-US" w:eastAsia="zh-CN"/>
              </w:rPr>
              <w:t>本项目为</w:t>
            </w:r>
            <w:r>
              <w:rPr>
                <w:rFonts w:hint="eastAsia" w:asciiTheme="minorEastAsia" w:hAnsiTheme="minorEastAsia" w:eastAsiaTheme="minorEastAsia" w:cstheme="minorEastAsia"/>
                <w:color w:val="auto"/>
                <w:kern w:val="0"/>
                <w:sz w:val="24"/>
                <w:szCs w:val="24"/>
                <w:lang w:val="zh-CN" w:eastAsia="zh-CN"/>
              </w:rPr>
              <w:t>专门面向中小企业采购项目，</w:t>
            </w:r>
            <w:r>
              <w:rPr>
                <w:rFonts w:hint="eastAsia" w:asciiTheme="minorEastAsia" w:hAnsiTheme="minorEastAsia" w:eastAsiaTheme="minorEastAsia" w:cstheme="minorEastAsia"/>
                <w:color w:val="auto"/>
                <w:kern w:val="0"/>
                <w:sz w:val="24"/>
                <w:szCs w:val="24"/>
                <w:lang w:val="en-US" w:eastAsia="zh-CN"/>
              </w:rPr>
              <w:t>小型、微型企业、监狱企业、</w:t>
            </w:r>
            <w:r>
              <w:rPr>
                <w:rFonts w:hint="eastAsia" w:asciiTheme="minorEastAsia" w:hAnsiTheme="minorEastAsia" w:eastAsiaTheme="minorEastAsia" w:cstheme="minorEastAsia"/>
                <w:color w:val="auto"/>
                <w:kern w:val="0"/>
                <w:sz w:val="24"/>
                <w:szCs w:val="24"/>
                <w:lang w:val="zh-CN" w:eastAsia="zh-CN"/>
              </w:rPr>
              <w:t>残疾人福利性</w:t>
            </w:r>
            <w:r>
              <w:rPr>
                <w:rFonts w:hint="eastAsia" w:asciiTheme="minorEastAsia" w:hAnsiTheme="minorEastAsia" w:eastAsiaTheme="minorEastAsia" w:cstheme="minorEastAsia"/>
                <w:color w:val="auto"/>
                <w:kern w:val="0"/>
                <w:sz w:val="24"/>
                <w:szCs w:val="24"/>
                <w:lang w:val="en-US" w:eastAsia="zh-CN"/>
              </w:rPr>
              <w:t>不再进行政策优惠报价调整</w:t>
            </w:r>
            <w:r>
              <w:rPr>
                <w:rFonts w:hint="eastAsia" w:asciiTheme="minorEastAsia" w:hAnsiTheme="minorEastAsia" w:eastAsiaTheme="minorEastAsia" w:cstheme="minorEastAsia"/>
                <w:color w:val="auto"/>
                <w:kern w:val="0"/>
                <w:sz w:val="24"/>
                <w:szCs w:val="24"/>
                <w:lang w:val="zh-CN" w:eastAsia="zh-CN"/>
              </w:rPr>
              <w:t xml:space="preserve"> 。</w:t>
            </w:r>
          </w:p>
          <w:p w14:paraId="074DDB59">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2C85D1C0">
        <w:tblPrEx>
          <w:tblCellMar>
            <w:top w:w="0" w:type="dxa"/>
            <w:left w:w="108" w:type="dxa"/>
            <w:bottom w:w="0" w:type="dxa"/>
            <w:right w:w="108" w:type="dxa"/>
          </w:tblCellMar>
        </w:tblPrEx>
        <w:trPr>
          <w:trHeight w:val="544" w:hRule="atLeast"/>
        </w:trPr>
        <w:tc>
          <w:tcPr>
            <w:tcW w:w="513" w:type="pct"/>
            <w:vMerge w:val="restart"/>
            <w:tcBorders>
              <w:top w:val="single" w:color="auto" w:sz="4" w:space="0"/>
              <w:left w:val="single" w:color="auto" w:sz="4" w:space="0"/>
              <w:bottom w:val="single" w:color="auto" w:sz="4" w:space="0"/>
              <w:right w:val="single" w:color="auto" w:sz="4" w:space="0"/>
            </w:tcBorders>
            <w:vAlign w:val="center"/>
          </w:tcPr>
          <w:p w14:paraId="4A1B8F41">
            <w:pPr>
              <w:widowControl/>
              <w:spacing w:before="100" w:beforeAutospacing="1" w:after="100" w:afterAutospacing="1" w:line="280" w:lineRule="exact"/>
              <w:jc w:val="center"/>
              <w:rPr>
                <w:rFonts w:ascii="宋体" w:hAnsi="宋体" w:cs="宋体"/>
                <w:color w:val="FF0000"/>
                <w:kern w:val="0"/>
                <w:sz w:val="24"/>
                <w:szCs w:val="24"/>
              </w:rPr>
            </w:pPr>
            <w:r>
              <w:rPr>
                <w:rFonts w:hint="eastAsia" w:ascii="宋体" w:hAnsi="宋体" w:cs="宋体"/>
                <w:color w:val="auto"/>
                <w:kern w:val="0"/>
                <w:sz w:val="24"/>
                <w:szCs w:val="24"/>
              </w:rPr>
              <w:t>2、技术标评审（</w:t>
            </w:r>
            <w:r>
              <w:rPr>
                <w:rFonts w:hint="eastAsia" w:ascii="宋体" w:hAnsi="宋体" w:cs="宋体"/>
                <w:color w:val="auto"/>
                <w:kern w:val="0"/>
                <w:sz w:val="24"/>
                <w:szCs w:val="24"/>
                <w:lang w:val="en-US" w:eastAsia="zh-CN"/>
              </w:rPr>
              <w:t>65</w:t>
            </w:r>
            <w:r>
              <w:rPr>
                <w:rFonts w:hint="eastAsia" w:ascii="宋体" w:hAnsi="宋体" w:cs="宋体"/>
                <w:color w:val="auto"/>
                <w:kern w:val="0"/>
                <w:sz w:val="24"/>
                <w:szCs w:val="24"/>
              </w:rPr>
              <w:t>分）</w:t>
            </w:r>
            <w:r>
              <w:rPr>
                <w:rFonts w:hint="eastAsia" w:ascii="宋体" w:hAnsi="宋体" w:cs="宋体"/>
                <w:color w:val="FF0000"/>
                <w:kern w:val="0"/>
                <w:sz w:val="24"/>
                <w:szCs w:val="24"/>
              </w:rPr>
              <w:t xml:space="preserve"> </w:t>
            </w:r>
          </w:p>
          <w:p w14:paraId="636BDD3D">
            <w:pPr>
              <w:widowControl/>
              <w:spacing w:before="100" w:beforeAutospacing="1" w:after="100" w:afterAutospacing="1" w:line="280" w:lineRule="exact"/>
              <w:jc w:val="center"/>
              <w:rPr>
                <w:rFonts w:ascii="宋体" w:hAnsi="宋体" w:cs="宋体"/>
                <w:color w:val="FF0000"/>
                <w:kern w:val="0"/>
                <w:sz w:val="24"/>
                <w:szCs w:val="18"/>
              </w:rPr>
            </w:pPr>
          </w:p>
          <w:p w14:paraId="5AF45314">
            <w:pPr>
              <w:widowControl/>
              <w:spacing w:before="100" w:beforeAutospacing="1" w:after="100" w:afterAutospacing="1" w:line="280" w:lineRule="exact"/>
              <w:jc w:val="center"/>
              <w:rPr>
                <w:rFonts w:ascii="宋体" w:hAnsi="宋体" w:cs="宋体"/>
                <w:color w:val="FF0000"/>
                <w:kern w:val="0"/>
                <w:sz w:val="24"/>
                <w:szCs w:val="24"/>
              </w:rPr>
            </w:pPr>
          </w:p>
        </w:tc>
        <w:tc>
          <w:tcPr>
            <w:tcW w:w="842" w:type="pct"/>
            <w:tcBorders>
              <w:top w:val="single" w:color="auto" w:sz="4" w:space="0"/>
              <w:left w:val="single" w:color="auto" w:sz="4" w:space="0"/>
              <w:bottom w:val="single" w:color="auto" w:sz="4" w:space="0"/>
              <w:right w:val="single" w:color="auto" w:sz="4" w:space="0"/>
            </w:tcBorders>
            <w:vAlign w:val="center"/>
          </w:tcPr>
          <w:p w14:paraId="14270008">
            <w:pPr>
              <w:widowControl/>
              <w:ind w:left="0" w:leftChars="0" w:right="0" w:rightChars="0" w:firstLine="0" w:firstLineChars="0"/>
              <w:jc w:val="center"/>
              <w:rPr>
                <w:rFonts w:hint="eastAsia" w:ascii="宋体" w:hAnsi="宋体" w:eastAsia="宋体" w:cs="宋体"/>
                <w:color w:val="FF0000"/>
                <w:kern w:val="0"/>
                <w:sz w:val="24"/>
              </w:rPr>
            </w:pPr>
            <w:r>
              <w:rPr>
                <w:rFonts w:hint="eastAsia" w:eastAsia="宋体" w:cs="Times New Roman"/>
                <w:sz w:val="24"/>
                <w:szCs w:val="24"/>
                <w:lang w:val="en-US" w:eastAsia="zh-CN"/>
              </w:rPr>
              <w:t>对项目的理解、掌握程度</w:t>
            </w:r>
            <w:r>
              <w:rPr>
                <w:rFonts w:hint="eastAsia" w:eastAsia="宋体" w:cs="Times New Roman"/>
                <w:sz w:val="24"/>
                <w:szCs w:val="24"/>
                <w:highlight w:val="none"/>
                <w:lang w:val="en-US" w:eastAsia="zh-CN"/>
              </w:rPr>
              <w:t>（</w:t>
            </w:r>
            <w:r>
              <w:rPr>
                <w:rFonts w:hint="eastAsia" w:cs="Times New Roman"/>
                <w:sz w:val="24"/>
                <w:szCs w:val="24"/>
                <w:highlight w:val="none"/>
                <w:lang w:val="en-US" w:eastAsia="zh-CN"/>
              </w:rPr>
              <w:t>10</w:t>
            </w:r>
            <w:r>
              <w:rPr>
                <w:rFonts w:hint="eastAsia" w:eastAsia="宋体" w:cs="Times New Roman"/>
                <w:sz w:val="24"/>
                <w:szCs w:val="24"/>
                <w:highlight w:val="none"/>
                <w:lang w:val="en-US" w:eastAsia="zh-CN"/>
              </w:rPr>
              <w:t>分）</w:t>
            </w:r>
          </w:p>
        </w:tc>
        <w:tc>
          <w:tcPr>
            <w:tcW w:w="3644" w:type="pct"/>
            <w:tcBorders>
              <w:top w:val="single" w:color="auto" w:sz="4" w:space="0"/>
              <w:left w:val="single" w:color="auto" w:sz="4" w:space="0"/>
              <w:bottom w:val="single" w:color="auto" w:sz="4" w:space="0"/>
              <w:right w:val="single" w:color="auto" w:sz="4" w:space="0"/>
            </w:tcBorders>
            <w:vAlign w:val="center"/>
          </w:tcPr>
          <w:p w14:paraId="0820ABA5">
            <w:pPr>
              <w:numPr>
                <w:ilvl w:val="0"/>
                <w:numId w:val="0"/>
              </w:numPr>
              <w:spacing w:line="360" w:lineRule="exact"/>
              <w:ind w:left="0" w:leftChars="0" w:firstLine="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从服务好业主角度出发，根据投标人对本项目基本情况、项目背景及现状概况理解，以及与本项目相关政策和要求的掌握程度进行评</w:t>
            </w:r>
            <w:r>
              <w:rPr>
                <w:rFonts w:hint="eastAsia" w:eastAsia="宋体" w:cs="Times New Roman"/>
                <w:sz w:val="24"/>
                <w:szCs w:val="24"/>
                <w:lang w:val="en-US" w:eastAsia="zh-CN"/>
              </w:rPr>
              <w:t>审</w:t>
            </w:r>
            <w:r>
              <w:rPr>
                <w:rFonts w:hint="eastAsia" w:cs="Times New Roman"/>
                <w:sz w:val="24"/>
                <w:szCs w:val="24"/>
                <w:lang w:val="en-US" w:eastAsia="zh-CN"/>
              </w:rPr>
              <w:t>：</w:t>
            </w:r>
          </w:p>
          <w:p w14:paraId="1D0DAFEE">
            <w:pPr>
              <w:numPr>
                <w:ilvl w:val="0"/>
                <w:numId w:val="0"/>
              </w:numPr>
              <w:spacing w:line="360" w:lineRule="exact"/>
              <w:ind w:left="0" w:leftChars="0" w:firstLine="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1.对项目理解清楚到位，了解透彻本项目相关政策和要求，编制内容全面详细得</w:t>
            </w:r>
            <w:r>
              <w:rPr>
                <w:rFonts w:hint="eastAsia" w:cs="Times New Roman"/>
                <w:sz w:val="24"/>
                <w:szCs w:val="24"/>
                <w:lang w:val="en-US" w:eastAsia="zh-CN"/>
              </w:rPr>
              <w:t>10</w:t>
            </w:r>
            <w:r>
              <w:rPr>
                <w:rFonts w:hint="eastAsia" w:ascii="Times New Roman" w:hAnsi="Times New Roman" w:eastAsia="宋体" w:cs="Times New Roman"/>
                <w:sz w:val="24"/>
                <w:szCs w:val="24"/>
                <w:lang w:val="en-US" w:eastAsia="zh-CN"/>
              </w:rPr>
              <w:t>分;</w:t>
            </w:r>
          </w:p>
          <w:p w14:paraId="312D3378">
            <w:pPr>
              <w:numPr>
                <w:ilvl w:val="0"/>
                <w:numId w:val="0"/>
              </w:numPr>
              <w:spacing w:line="360" w:lineRule="exact"/>
              <w:ind w:left="0" w:leftChars="0" w:firstLine="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2.对项目理解基本清楚，基本了解本项目相关政策和要求，编制内容基本全面得</w:t>
            </w:r>
            <w:r>
              <w:rPr>
                <w:rFonts w:hint="eastAsia" w:cs="Times New Roman"/>
                <w:sz w:val="24"/>
                <w:szCs w:val="24"/>
                <w:lang w:val="en-US" w:eastAsia="zh-CN"/>
              </w:rPr>
              <w:t>6</w:t>
            </w:r>
            <w:r>
              <w:rPr>
                <w:rFonts w:hint="eastAsia" w:ascii="Times New Roman" w:hAnsi="Times New Roman" w:eastAsia="宋体" w:cs="Times New Roman"/>
                <w:sz w:val="24"/>
                <w:szCs w:val="24"/>
                <w:lang w:val="en-US" w:eastAsia="zh-CN"/>
              </w:rPr>
              <w:t>分;</w:t>
            </w:r>
          </w:p>
          <w:p w14:paraId="0F490855">
            <w:pPr>
              <w:numPr>
                <w:ilvl w:val="0"/>
                <w:numId w:val="0"/>
              </w:numPr>
              <w:spacing w:line="360" w:lineRule="exact"/>
              <w:ind w:left="0" w:leftChars="0" w:firstLine="0" w:firstLineChars="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3.对项目理解不清楚，不够了解本项目相关政策和要求，编制内容简略、不全面得</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分:</w:t>
            </w:r>
          </w:p>
          <w:p w14:paraId="7D900FEB">
            <w:pPr>
              <w:numPr>
                <w:ilvl w:val="0"/>
                <w:numId w:val="0"/>
              </w:numPr>
              <w:spacing w:line="360" w:lineRule="exact"/>
              <w:ind w:left="0" w:leftChars="0" w:firstLine="0" w:firstLineChars="0"/>
              <w:rPr>
                <w:rFonts w:hint="eastAsia" w:asciiTheme="minorEastAsia" w:hAnsiTheme="minorEastAsia" w:eastAsiaTheme="minorEastAsia" w:cstheme="minorEastAsia"/>
                <w:kern w:val="0"/>
                <w:sz w:val="24"/>
                <w:szCs w:val="24"/>
                <w:lang w:val="zh-CN" w:eastAsia="zh-CN"/>
              </w:rPr>
            </w:pPr>
            <w:r>
              <w:rPr>
                <w:rFonts w:hint="eastAsia" w:ascii="Times New Roman" w:hAnsi="Times New Roman" w:eastAsia="宋体" w:cs="Times New Roman"/>
                <w:sz w:val="24"/>
                <w:szCs w:val="24"/>
                <w:lang w:val="en-US" w:eastAsia="zh-CN"/>
              </w:rPr>
              <w:t>4.不提供则不得分。</w:t>
            </w:r>
          </w:p>
        </w:tc>
      </w:tr>
      <w:tr w14:paraId="3339E7AE">
        <w:tblPrEx>
          <w:tblCellMar>
            <w:top w:w="0" w:type="dxa"/>
            <w:left w:w="108" w:type="dxa"/>
            <w:bottom w:w="0" w:type="dxa"/>
            <w:right w:w="108" w:type="dxa"/>
          </w:tblCellMar>
        </w:tblPrEx>
        <w:trPr>
          <w:trHeight w:val="1174" w:hRule="atLeast"/>
        </w:trPr>
        <w:tc>
          <w:tcPr>
            <w:tcW w:w="513" w:type="pct"/>
            <w:vMerge w:val="continue"/>
            <w:tcBorders>
              <w:top w:val="single" w:color="auto" w:sz="4" w:space="0"/>
              <w:left w:val="single" w:color="auto" w:sz="4" w:space="0"/>
              <w:right w:val="single" w:color="auto" w:sz="4" w:space="0"/>
            </w:tcBorders>
            <w:vAlign w:val="center"/>
          </w:tcPr>
          <w:p w14:paraId="5D1F125D">
            <w:pPr>
              <w:widowControl/>
              <w:spacing w:before="100" w:beforeAutospacing="1" w:after="100" w:afterAutospacing="1" w:line="280" w:lineRule="exact"/>
              <w:jc w:val="center"/>
              <w:rPr>
                <w:rFonts w:ascii="宋体" w:hAnsi="宋体" w:cs="宋体"/>
                <w:color w:val="000000"/>
                <w:kern w:val="0"/>
                <w:sz w:val="24"/>
                <w:szCs w:val="24"/>
              </w:rPr>
            </w:pPr>
          </w:p>
        </w:tc>
        <w:tc>
          <w:tcPr>
            <w:tcW w:w="842" w:type="pct"/>
            <w:tcBorders>
              <w:top w:val="single" w:color="auto" w:sz="4" w:space="0"/>
              <w:left w:val="nil"/>
              <w:bottom w:val="single" w:color="auto" w:sz="4" w:space="0"/>
              <w:right w:val="single" w:color="auto" w:sz="4" w:space="0"/>
            </w:tcBorders>
            <w:vAlign w:val="center"/>
          </w:tcPr>
          <w:p w14:paraId="34512368">
            <w:pPr>
              <w:widowControl/>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技术服务方案</w:t>
            </w:r>
          </w:p>
          <w:p w14:paraId="048CDDEB">
            <w:pPr>
              <w:widowControl/>
              <w:ind w:left="0" w:leftChars="0" w:right="0" w:rightChars="0" w:firstLine="0" w:firstLineChars="0"/>
              <w:jc w:val="center"/>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w:t>
            </w:r>
            <w:r>
              <w:rPr>
                <w:rFonts w:hint="eastAsia" w:ascii="宋体" w:hAnsi="宋体" w:cs="宋体"/>
                <w:color w:val="000000"/>
                <w:kern w:val="0"/>
                <w:sz w:val="24"/>
                <w:lang w:val="en-US" w:eastAsia="zh-CN"/>
              </w:rPr>
              <w:t>15</w:t>
            </w:r>
            <w:r>
              <w:rPr>
                <w:rFonts w:hint="eastAsia" w:ascii="宋体" w:hAnsi="宋体" w:eastAsia="宋体" w:cs="宋体"/>
                <w:color w:val="000000"/>
                <w:kern w:val="0"/>
                <w:sz w:val="24"/>
                <w:lang w:val="en-US" w:eastAsia="zh-CN"/>
              </w:rPr>
              <w:t>分）</w:t>
            </w:r>
          </w:p>
        </w:tc>
        <w:tc>
          <w:tcPr>
            <w:tcW w:w="3644" w:type="pct"/>
            <w:tcBorders>
              <w:top w:val="single" w:color="auto" w:sz="4" w:space="0"/>
              <w:left w:val="nil"/>
              <w:bottom w:val="single" w:color="auto" w:sz="4" w:space="0"/>
              <w:right w:val="single" w:color="auto" w:sz="4" w:space="0"/>
            </w:tcBorders>
            <w:vAlign w:val="center"/>
          </w:tcPr>
          <w:p w14:paraId="1F7C2E0D">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供应商根据本项目采购内容编制技术服务方案，评标委员会根据投标人技术方案的详实性、合理性、创新性进行评价赋分。</w:t>
            </w:r>
          </w:p>
          <w:p w14:paraId="3044128B">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1、</w:t>
            </w:r>
            <w:r>
              <w:rPr>
                <w:rFonts w:hint="eastAsia" w:ascii="宋体" w:hAnsi="宋体" w:eastAsia="宋体" w:cs="Times New Roman"/>
                <w:color w:val="000000"/>
                <w:sz w:val="24"/>
                <w:szCs w:val="24"/>
                <w:lang w:val="en-US" w:eastAsia="zh-CN"/>
              </w:rPr>
              <w:t>技术方案完全响应采购人需求、目标明确、思路清晰、方案全面无缺失的，得</w:t>
            </w:r>
            <w:r>
              <w:rPr>
                <w:rFonts w:hint="eastAsia" w:ascii="宋体" w:hAnsi="宋体" w:cs="Times New Roman"/>
                <w:color w:val="000000"/>
                <w:sz w:val="24"/>
                <w:szCs w:val="24"/>
                <w:lang w:val="en-US" w:eastAsia="zh-CN"/>
              </w:rPr>
              <w:t>15</w:t>
            </w:r>
            <w:r>
              <w:rPr>
                <w:rFonts w:hint="eastAsia" w:ascii="宋体" w:hAnsi="宋体" w:eastAsia="宋体" w:cs="Times New Roman"/>
                <w:color w:val="000000"/>
                <w:sz w:val="24"/>
                <w:szCs w:val="24"/>
                <w:lang w:val="en-US" w:eastAsia="zh-CN"/>
              </w:rPr>
              <w:t>分；</w:t>
            </w:r>
          </w:p>
          <w:p w14:paraId="48B664EF">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sz w:val="24"/>
                <w:szCs w:val="24"/>
                <w:lang w:val="en-US" w:eastAsia="zh-CN"/>
              </w:rPr>
              <w:t>技术方案基本满足采购需求，但有可完善和提高的地方的，得</w:t>
            </w: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lang w:val="en-US" w:eastAsia="zh-CN"/>
              </w:rPr>
              <w:t xml:space="preserve">分； </w:t>
            </w:r>
          </w:p>
          <w:p w14:paraId="02B04FC8">
            <w:pPr>
              <w:numPr>
                <w:ilvl w:val="0"/>
                <w:numId w:val="0"/>
              </w:numPr>
              <w:spacing w:line="360" w:lineRule="exact"/>
              <w:ind w:left="0" w:leftChars="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提供了技术方案，但总体表述模糊笼统的，得</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分；</w:t>
            </w:r>
          </w:p>
          <w:p w14:paraId="6B3B4129">
            <w:pPr>
              <w:numPr>
                <w:ilvl w:val="0"/>
                <w:numId w:val="0"/>
              </w:numPr>
              <w:spacing w:line="360" w:lineRule="exact"/>
              <w:ind w:left="0" w:leftChars="0" w:firstLine="0" w:firstLineChars="0"/>
              <w:rPr>
                <w:rFonts w:hint="eastAsia" w:ascii="宋体" w:hAnsi="宋体" w:eastAsia="宋体" w:cs="Times New Roman"/>
                <w:color w:val="000000"/>
                <w:sz w:val="24"/>
                <w:szCs w:val="24"/>
              </w:rPr>
            </w:pP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sz w:val="24"/>
                <w:szCs w:val="24"/>
                <w:lang w:val="en-US" w:eastAsia="zh-CN"/>
              </w:rPr>
              <w:t>提供了技术方案但不符合项目实际和需求的，得2分；</w:t>
            </w:r>
          </w:p>
          <w:p w14:paraId="1104F3B2">
            <w:pPr>
              <w:numPr>
                <w:ilvl w:val="0"/>
                <w:numId w:val="0"/>
              </w:numPr>
              <w:spacing w:line="360" w:lineRule="exact"/>
              <w:ind w:left="0" w:leftChars="0" w:firstLine="0" w:firstLineChars="0"/>
              <w:rPr>
                <w:rFonts w:hint="eastAsia" w:ascii="宋体" w:hAnsi="宋体" w:eastAsia="宋体" w:cs="Times New Roman"/>
                <w:color w:val="000000"/>
                <w:sz w:val="24"/>
                <w:szCs w:val="24"/>
              </w:rPr>
            </w:pPr>
            <w:r>
              <w:rPr>
                <w:rFonts w:hint="eastAsia" w:ascii="宋体" w:hAnsi="宋体" w:eastAsia="宋体" w:cs="Times New Roman"/>
                <w:color w:val="000000"/>
                <w:kern w:val="2"/>
                <w:sz w:val="24"/>
                <w:szCs w:val="24"/>
                <w:lang w:val="en-US" w:eastAsia="zh-CN" w:bidi="ar-SA"/>
              </w:rPr>
              <w:t>5、</w:t>
            </w:r>
            <w:r>
              <w:rPr>
                <w:rFonts w:hint="eastAsia" w:ascii="宋体" w:hAnsi="宋体" w:eastAsia="宋体" w:cs="Times New Roman"/>
                <w:color w:val="000000"/>
                <w:sz w:val="24"/>
                <w:szCs w:val="24"/>
                <w:lang w:val="en-US" w:eastAsia="zh-CN"/>
              </w:rPr>
              <w:t>不提供者不得分。</w:t>
            </w:r>
          </w:p>
        </w:tc>
      </w:tr>
      <w:tr w14:paraId="39FC6754">
        <w:tblPrEx>
          <w:tblCellMar>
            <w:top w:w="0" w:type="dxa"/>
            <w:left w:w="108" w:type="dxa"/>
            <w:bottom w:w="0" w:type="dxa"/>
            <w:right w:w="108" w:type="dxa"/>
          </w:tblCellMar>
        </w:tblPrEx>
        <w:trPr>
          <w:trHeight w:val="1174" w:hRule="atLeast"/>
        </w:trPr>
        <w:tc>
          <w:tcPr>
            <w:tcW w:w="513" w:type="pct"/>
            <w:vMerge w:val="continue"/>
            <w:tcBorders>
              <w:top w:val="nil"/>
              <w:left w:val="single" w:color="auto" w:sz="4" w:space="0"/>
              <w:right w:val="single" w:color="auto" w:sz="4" w:space="0"/>
            </w:tcBorders>
            <w:vAlign w:val="center"/>
          </w:tcPr>
          <w:p w14:paraId="218606CA">
            <w:pPr>
              <w:widowControl/>
              <w:spacing w:before="100" w:beforeAutospacing="1" w:after="100" w:afterAutospacing="1" w:line="280" w:lineRule="exact"/>
              <w:jc w:val="center"/>
              <w:rPr>
                <w:rFonts w:ascii="宋体" w:hAnsi="宋体" w:cs="宋体"/>
                <w:color w:val="000000"/>
                <w:kern w:val="0"/>
                <w:sz w:val="24"/>
                <w:szCs w:val="24"/>
              </w:rPr>
            </w:pPr>
          </w:p>
        </w:tc>
        <w:tc>
          <w:tcPr>
            <w:tcW w:w="842" w:type="pct"/>
            <w:tcBorders>
              <w:top w:val="nil"/>
              <w:left w:val="nil"/>
              <w:bottom w:val="single" w:color="auto" w:sz="4" w:space="0"/>
              <w:right w:val="single" w:color="auto" w:sz="4" w:space="0"/>
            </w:tcBorders>
            <w:vAlign w:val="center"/>
          </w:tcPr>
          <w:p w14:paraId="71BB0F87">
            <w:pPr>
              <w:widowControl/>
              <w:ind w:left="0" w:leftChars="0" w:right="0" w:rightChars="0" w:firstLine="0" w:firstLineChars="0"/>
              <w:jc w:val="center"/>
              <w:rPr>
                <w:rFonts w:hint="eastAsia" w:ascii="宋体" w:hAnsi="宋体" w:eastAsia="宋体" w:cs="宋体"/>
                <w:b/>
                <w:bCs/>
                <w:color w:val="000000"/>
                <w:kern w:val="0"/>
                <w:sz w:val="24"/>
                <w:lang w:val="en-US" w:eastAsia="zh-CN"/>
              </w:rPr>
            </w:pPr>
            <w:r>
              <w:rPr>
                <w:rFonts w:hint="eastAsia" w:ascii="宋体" w:hAnsi="宋体" w:eastAsia="宋体" w:cs="宋体"/>
                <w:color w:val="auto"/>
                <w:sz w:val="24"/>
                <w:szCs w:val="24"/>
                <w:highlight w:val="none"/>
                <w:lang w:val="en-US" w:eastAsia="zh-CN"/>
              </w:rPr>
              <w:t>技术组织措施（1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c>
          <w:tcPr>
            <w:tcW w:w="3644" w:type="pct"/>
            <w:tcBorders>
              <w:top w:val="nil"/>
              <w:left w:val="nil"/>
              <w:bottom w:val="single" w:color="auto" w:sz="4" w:space="0"/>
              <w:right w:val="single" w:color="auto" w:sz="4" w:space="0"/>
            </w:tcBorders>
            <w:vAlign w:val="center"/>
          </w:tcPr>
          <w:p w14:paraId="777A2FF6">
            <w:pPr>
              <w:numPr>
                <w:ilvl w:val="0"/>
                <w:numId w:val="0"/>
              </w:numPr>
              <w:spacing w:line="360" w:lineRule="exact"/>
              <w:ind w:left="0" w:leftChars="0" w:firstLine="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宋体"/>
                <w:color w:val="auto"/>
                <w:sz w:val="24"/>
                <w:szCs w:val="24"/>
                <w:highlight w:val="none"/>
                <w:lang w:val="en-US" w:eastAsia="zh-CN"/>
              </w:rPr>
              <w:t>对本项目特点有详尽、科学合理的确保隐患排查及达标质量的技术组织，并针对本项目质量的薄弱环节有预防措施，合理得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分，一般得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分，不满足项目需求得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0953BAA5">
        <w:tblPrEx>
          <w:tblCellMar>
            <w:top w:w="0" w:type="dxa"/>
            <w:left w:w="108" w:type="dxa"/>
            <w:bottom w:w="0" w:type="dxa"/>
            <w:right w:w="108" w:type="dxa"/>
          </w:tblCellMar>
        </w:tblPrEx>
        <w:trPr>
          <w:trHeight w:val="563" w:hRule="atLeast"/>
        </w:trPr>
        <w:tc>
          <w:tcPr>
            <w:tcW w:w="513" w:type="pct"/>
            <w:vMerge w:val="continue"/>
            <w:tcBorders>
              <w:left w:val="single" w:color="auto" w:sz="4" w:space="0"/>
              <w:right w:val="single" w:color="auto" w:sz="4" w:space="0"/>
            </w:tcBorders>
            <w:vAlign w:val="center"/>
          </w:tcPr>
          <w:p w14:paraId="0E2853DA">
            <w:pPr>
              <w:widowControl/>
              <w:spacing w:before="100" w:beforeAutospacing="1" w:after="100" w:afterAutospacing="1" w:line="280" w:lineRule="exact"/>
              <w:jc w:val="center"/>
              <w:rPr>
                <w:rFonts w:ascii="宋体" w:hAnsi="宋体" w:cs="宋体"/>
                <w:color w:val="000000"/>
                <w:kern w:val="0"/>
                <w:sz w:val="24"/>
                <w:szCs w:val="18"/>
              </w:rPr>
            </w:pPr>
          </w:p>
        </w:tc>
        <w:tc>
          <w:tcPr>
            <w:tcW w:w="842" w:type="pct"/>
            <w:tcBorders>
              <w:top w:val="nil"/>
              <w:left w:val="nil"/>
              <w:bottom w:val="single" w:color="auto" w:sz="4" w:space="0"/>
              <w:right w:val="single" w:color="auto" w:sz="4" w:space="0"/>
            </w:tcBorders>
            <w:vAlign w:val="center"/>
          </w:tcPr>
          <w:p w14:paraId="3748ABAE">
            <w:pPr>
              <w:widowControl/>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实施进度保证措施（10分）</w:t>
            </w:r>
          </w:p>
        </w:tc>
        <w:tc>
          <w:tcPr>
            <w:tcW w:w="3644" w:type="pct"/>
            <w:tcBorders>
              <w:top w:val="nil"/>
              <w:left w:val="nil"/>
              <w:bottom w:val="single" w:color="auto" w:sz="4" w:space="0"/>
              <w:right w:val="single" w:color="auto" w:sz="4" w:space="0"/>
            </w:tcBorders>
            <w:vAlign w:val="center"/>
          </w:tcPr>
          <w:p w14:paraId="6EB53A80">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w:t>
            </w:r>
            <w:r>
              <w:rPr>
                <w:rFonts w:hint="eastAsia" w:ascii="宋体" w:hAnsi="宋体" w:eastAsia="宋体" w:cs="宋体"/>
                <w:color w:val="000000"/>
                <w:sz w:val="24"/>
                <w:szCs w:val="24"/>
                <w:highlight w:val="none"/>
                <w:lang w:val="en-US" w:eastAsia="zh-CN"/>
              </w:rPr>
              <w:t>进度安排合理，成果提交计划满足业主要求，措施具体得当</w:t>
            </w:r>
            <w:r>
              <w:rPr>
                <w:rFonts w:hint="eastAsia" w:ascii="宋体" w:hAnsi="宋体" w:eastAsia="宋体" w:cs="Times New Roman"/>
                <w:color w:val="000000"/>
                <w:sz w:val="24"/>
                <w:szCs w:val="24"/>
                <w:lang w:val="en-US" w:eastAsia="zh-CN"/>
              </w:rPr>
              <w:t>得10分；</w:t>
            </w:r>
          </w:p>
          <w:p w14:paraId="2DF5E856">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sz w:val="24"/>
                <w:szCs w:val="24"/>
                <w:lang w:val="en-US" w:eastAsia="zh-CN"/>
              </w:rPr>
              <w:t>保证措施全面，</w:t>
            </w:r>
            <w:r>
              <w:rPr>
                <w:rFonts w:hint="eastAsia" w:ascii="宋体" w:hAnsi="宋体" w:eastAsia="宋体" w:cs="宋体"/>
                <w:color w:val="000000"/>
                <w:sz w:val="24"/>
                <w:szCs w:val="24"/>
                <w:highlight w:val="none"/>
                <w:lang w:val="en-US" w:eastAsia="zh-CN"/>
              </w:rPr>
              <w:t>成果提交计划</w:t>
            </w:r>
            <w:r>
              <w:rPr>
                <w:rFonts w:hint="eastAsia" w:ascii="宋体" w:hAnsi="宋体" w:eastAsia="宋体" w:cs="Times New Roman"/>
                <w:color w:val="000000"/>
                <w:sz w:val="24"/>
                <w:szCs w:val="24"/>
                <w:lang w:val="en-US" w:eastAsia="zh-CN"/>
              </w:rPr>
              <w:t>基本满足要求，但有可完善和提高的地方的，得7分；</w:t>
            </w:r>
          </w:p>
          <w:p w14:paraId="3FF96D54">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提供了保证措施，但总体表述模糊笼统的得4分；</w:t>
            </w:r>
          </w:p>
          <w:p w14:paraId="7FF8793C">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sz w:val="24"/>
                <w:szCs w:val="24"/>
                <w:lang w:val="en-US" w:eastAsia="zh-CN"/>
              </w:rPr>
              <w:t>提供了保证措施，但不符合项目实际和需求的，得2分；</w:t>
            </w:r>
          </w:p>
          <w:p w14:paraId="41CBF0FB">
            <w:pPr>
              <w:spacing w:line="360" w:lineRule="auto"/>
              <w:ind w:left="0" w:leftChars="0" w:right="0" w:rightChars="0" w:firstLine="0" w:firstLineChars="0"/>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5、不提供者不得分</w:t>
            </w:r>
          </w:p>
        </w:tc>
      </w:tr>
      <w:tr w14:paraId="27D60323">
        <w:tblPrEx>
          <w:tblCellMar>
            <w:top w:w="0" w:type="dxa"/>
            <w:left w:w="108" w:type="dxa"/>
            <w:bottom w:w="0" w:type="dxa"/>
            <w:right w:w="108" w:type="dxa"/>
          </w:tblCellMar>
        </w:tblPrEx>
        <w:trPr>
          <w:trHeight w:val="563" w:hRule="atLeast"/>
        </w:trPr>
        <w:tc>
          <w:tcPr>
            <w:tcW w:w="513" w:type="pct"/>
            <w:vMerge w:val="continue"/>
            <w:tcBorders>
              <w:left w:val="single" w:color="auto" w:sz="4" w:space="0"/>
              <w:right w:val="single" w:color="auto" w:sz="4" w:space="0"/>
            </w:tcBorders>
            <w:vAlign w:val="center"/>
          </w:tcPr>
          <w:p w14:paraId="0BCED551">
            <w:pPr>
              <w:widowControl/>
              <w:spacing w:before="100" w:beforeAutospacing="1" w:after="100" w:afterAutospacing="1" w:line="280" w:lineRule="exact"/>
              <w:jc w:val="center"/>
              <w:rPr>
                <w:rFonts w:ascii="宋体" w:hAnsi="宋体" w:cs="宋体"/>
                <w:color w:val="000000"/>
                <w:kern w:val="0"/>
                <w:sz w:val="24"/>
                <w:szCs w:val="18"/>
              </w:rPr>
            </w:pPr>
          </w:p>
        </w:tc>
        <w:tc>
          <w:tcPr>
            <w:tcW w:w="842" w:type="pct"/>
            <w:tcBorders>
              <w:top w:val="nil"/>
              <w:left w:val="nil"/>
              <w:bottom w:val="single" w:color="auto" w:sz="4" w:space="0"/>
              <w:right w:val="single" w:color="auto" w:sz="4" w:space="0"/>
            </w:tcBorders>
            <w:vAlign w:val="center"/>
          </w:tcPr>
          <w:p w14:paraId="46ED6F86">
            <w:pPr>
              <w:widowControl/>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质量及保证措施</w:t>
            </w:r>
          </w:p>
          <w:p w14:paraId="61FC5F2B">
            <w:pPr>
              <w:widowControl/>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3644" w:type="pct"/>
            <w:tcBorders>
              <w:top w:val="nil"/>
              <w:left w:val="nil"/>
              <w:bottom w:val="single" w:color="auto" w:sz="4" w:space="0"/>
              <w:right w:val="single" w:color="auto" w:sz="4" w:space="0"/>
            </w:tcBorders>
            <w:vAlign w:val="center"/>
          </w:tcPr>
          <w:p w14:paraId="2E34EC2E">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供应商应根据招标文件要求提供项目</w:t>
            </w:r>
            <w:r>
              <w:rPr>
                <w:rFonts w:hint="eastAsia" w:ascii="宋体" w:hAnsi="宋体" w:eastAsia="宋体" w:cs="宋体"/>
                <w:color w:val="000000"/>
                <w:sz w:val="24"/>
                <w:szCs w:val="24"/>
                <w:highlight w:val="none"/>
                <w:lang w:val="en-US" w:eastAsia="zh-CN"/>
              </w:rPr>
              <w:t>成果质量及保证措施</w:t>
            </w:r>
            <w:r>
              <w:rPr>
                <w:rFonts w:hint="eastAsia" w:ascii="宋体" w:hAnsi="宋体" w:eastAsia="宋体" w:cs="Times New Roman"/>
                <w:color w:val="000000"/>
                <w:sz w:val="24"/>
                <w:szCs w:val="24"/>
                <w:lang w:val="en-US" w:eastAsia="zh-CN"/>
              </w:rPr>
              <w:t>，评标委员会根据投标人的工作人员、设备、安全保密、项目管理、质量保障等各方面保证措施进行评价赋分。</w:t>
            </w:r>
          </w:p>
          <w:p w14:paraId="47645BF7">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1、保证措施全面无缺失，内容合理且完全满足要求得10分；</w:t>
            </w:r>
          </w:p>
          <w:p w14:paraId="33E552A6">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sz w:val="24"/>
                <w:szCs w:val="24"/>
                <w:lang w:val="en-US" w:eastAsia="zh-CN"/>
              </w:rPr>
              <w:t>保证措施全面、基本满足要求，但有可完善和提高的地方的，得7分；</w:t>
            </w:r>
          </w:p>
          <w:p w14:paraId="1A18F296">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提供了保证措施，但总体表述模糊笼统的得4分；</w:t>
            </w:r>
          </w:p>
          <w:p w14:paraId="2BB208E2">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4、</w:t>
            </w:r>
            <w:r>
              <w:rPr>
                <w:rFonts w:hint="eastAsia" w:ascii="宋体" w:hAnsi="宋体" w:eastAsia="宋体" w:cs="Times New Roman"/>
                <w:color w:val="000000"/>
                <w:sz w:val="24"/>
                <w:szCs w:val="24"/>
                <w:lang w:val="en-US" w:eastAsia="zh-CN"/>
              </w:rPr>
              <w:t>提供了保证措施，但不符合项目实际和需求的，得2分；</w:t>
            </w:r>
          </w:p>
          <w:p w14:paraId="33CA19F6">
            <w:pPr>
              <w:spacing w:line="360" w:lineRule="auto"/>
              <w:ind w:left="0" w:leftChars="0" w:right="0" w:rightChars="0"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5、不提供者不得分</w:t>
            </w:r>
          </w:p>
        </w:tc>
      </w:tr>
      <w:tr w14:paraId="0B924354">
        <w:tblPrEx>
          <w:tblCellMar>
            <w:top w:w="0" w:type="dxa"/>
            <w:left w:w="108" w:type="dxa"/>
            <w:bottom w:w="0" w:type="dxa"/>
            <w:right w:w="108" w:type="dxa"/>
          </w:tblCellMar>
        </w:tblPrEx>
        <w:trPr>
          <w:trHeight w:val="563" w:hRule="atLeast"/>
        </w:trPr>
        <w:tc>
          <w:tcPr>
            <w:tcW w:w="513" w:type="pct"/>
            <w:vMerge w:val="continue"/>
            <w:tcBorders>
              <w:left w:val="single" w:color="auto" w:sz="4" w:space="0"/>
              <w:right w:val="single" w:color="auto" w:sz="4" w:space="0"/>
            </w:tcBorders>
            <w:vAlign w:val="center"/>
          </w:tcPr>
          <w:p w14:paraId="302361F4">
            <w:pPr>
              <w:widowControl/>
              <w:spacing w:before="100" w:beforeAutospacing="1" w:after="100" w:afterAutospacing="1" w:line="280" w:lineRule="exact"/>
              <w:jc w:val="center"/>
              <w:rPr>
                <w:rFonts w:ascii="宋体" w:hAnsi="宋体" w:cs="宋体"/>
                <w:color w:val="000000"/>
                <w:kern w:val="0"/>
                <w:sz w:val="24"/>
                <w:szCs w:val="18"/>
              </w:rPr>
            </w:pPr>
          </w:p>
        </w:tc>
        <w:tc>
          <w:tcPr>
            <w:tcW w:w="842" w:type="pct"/>
            <w:tcBorders>
              <w:top w:val="nil"/>
              <w:left w:val="nil"/>
              <w:bottom w:val="single" w:color="auto" w:sz="4" w:space="0"/>
              <w:right w:val="single" w:color="auto" w:sz="4" w:space="0"/>
            </w:tcBorders>
            <w:vAlign w:val="center"/>
          </w:tcPr>
          <w:p w14:paraId="10B274CA">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组织机构和分工职责</w:t>
            </w:r>
          </w:p>
          <w:p w14:paraId="51F37098">
            <w:pPr>
              <w:widowControl/>
              <w:ind w:left="0" w:leftChars="0" w:right="0" w:rightChars="0" w:firstLine="0" w:firstLineChars="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lang w:val="en-US" w:eastAsia="zh-CN"/>
              </w:rPr>
              <w:t>分）</w:t>
            </w:r>
          </w:p>
        </w:tc>
        <w:tc>
          <w:tcPr>
            <w:tcW w:w="3644" w:type="pct"/>
            <w:tcBorders>
              <w:top w:val="nil"/>
              <w:left w:val="nil"/>
              <w:bottom w:val="single" w:color="auto" w:sz="4" w:space="0"/>
              <w:right w:val="single" w:color="auto" w:sz="4" w:space="0"/>
            </w:tcBorders>
            <w:vAlign w:val="top"/>
          </w:tcPr>
          <w:p w14:paraId="09ADF2E1">
            <w:pPr>
              <w:numPr>
                <w:ilvl w:val="0"/>
                <w:numId w:val="0"/>
              </w:numPr>
              <w:spacing w:line="36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供应商应针对本项目设置组织机构，评标委员会对组织机构的设立和分工职责的科学性及合理性进行评价赋分：</w:t>
            </w:r>
          </w:p>
          <w:p w14:paraId="5D5E8D36">
            <w:pPr>
              <w:numPr>
                <w:ilvl w:val="0"/>
                <w:numId w:val="0"/>
              </w:numPr>
              <w:spacing w:line="36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1、项目组织机构健全、职责明确、配置合理、分工明确职责清晰合理的，得</w:t>
            </w:r>
            <w:r>
              <w:rPr>
                <w:rFonts w:hint="eastAsia" w:ascii="宋体" w:hAnsi="宋体" w:cs="Times New Roman"/>
                <w:color w:val="auto"/>
                <w:sz w:val="24"/>
                <w:szCs w:val="24"/>
                <w:lang w:val="en-US" w:eastAsia="zh-CN"/>
              </w:rPr>
              <w:t>8</w:t>
            </w:r>
            <w:r>
              <w:rPr>
                <w:rFonts w:hint="eastAsia" w:ascii="宋体" w:hAnsi="宋体" w:eastAsia="宋体" w:cs="Times New Roman"/>
                <w:color w:val="auto"/>
                <w:sz w:val="24"/>
                <w:szCs w:val="24"/>
                <w:lang w:val="en-US" w:eastAsia="zh-CN"/>
              </w:rPr>
              <w:t>分；</w:t>
            </w:r>
          </w:p>
          <w:p w14:paraId="14150F14">
            <w:pPr>
              <w:numPr>
                <w:ilvl w:val="0"/>
                <w:numId w:val="0"/>
              </w:numPr>
              <w:spacing w:line="36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2、组织机构和分工职责较为明确合理，能够基本满足项目需求但有可完善和提高的地方的，得</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分；</w:t>
            </w:r>
          </w:p>
          <w:p w14:paraId="0E3DD2B8">
            <w:pPr>
              <w:numPr>
                <w:ilvl w:val="0"/>
                <w:numId w:val="0"/>
              </w:numPr>
              <w:spacing w:line="36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3、提供了组织机构设置和分工职责，但不满足项目实际和需求的，得</w:t>
            </w:r>
            <w:r>
              <w:rPr>
                <w:rFonts w:hint="eastAsia" w:ascii="宋体" w:hAnsi="宋体" w:cs="Times New Roman"/>
                <w:color w:val="auto"/>
                <w:sz w:val="24"/>
                <w:szCs w:val="24"/>
                <w:lang w:val="en-US" w:eastAsia="zh-CN"/>
              </w:rPr>
              <w:t>2</w:t>
            </w:r>
            <w:r>
              <w:rPr>
                <w:rFonts w:hint="eastAsia" w:ascii="宋体" w:hAnsi="宋体" w:eastAsia="宋体" w:cs="Times New Roman"/>
                <w:color w:val="auto"/>
                <w:sz w:val="24"/>
                <w:szCs w:val="24"/>
                <w:lang w:val="en-US" w:eastAsia="zh-CN"/>
              </w:rPr>
              <w:t>分；</w:t>
            </w:r>
          </w:p>
          <w:p w14:paraId="311D224B">
            <w:pPr>
              <w:numPr>
                <w:ilvl w:val="0"/>
                <w:numId w:val="0"/>
              </w:numPr>
              <w:spacing w:line="360" w:lineRule="exact"/>
              <w:ind w:left="0" w:leftChars="0" w:firstLine="0" w:firstLineChars="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4、不提供者不得分。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3B44807D">
            <w:pPr>
              <w:widowControl/>
              <w:spacing w:before="100" w:beforeAutospacing="1" w:after="100" w:afterAutospacing="1" w:line="280" w:lineRule="exact"/>
              <w:jc w:val="center"/>
              <w:rPr>
                <w:rFonts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adjustRightInd w:val="0"/>
              <w:snapToGrid w:val="0"/>
              <w:spacing w:line="360" w:lineRule="exact"/>
              <w:rPr>
                <w:rFonts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90" w:hRule="atLeast"/>
        </w:trPr>
        <w:tc>
          <w:tcPr>
            <w:tcW w:w="513" w:type="pct"/>
            <w:vMerge w:val="restart"/>
            <w:tcBorders>
              <w:top w:val="single" w:color="auto" w:sz="4" w:space="0"/>
              <w:left w:val="single" w:color="auto" w:sz="4" w:space="0"/>
              <w:right w:val="single" w:color="auto" w:sz="4" w:space="0"/>
            </w:tcBorders>
            <w:vAlign w:val="center"/>
          </w:tcPr>
          <w:p w14:paraId="33237810">
            <w:pPr>
              <w:jc w:val="center"/>
              <w:rPr>
                <w:rFonts w:hint="eastAsia" w:ascii="宋体" w:hAnsi="宋体" w:cs="宋体"/>
                <w:color w:val="FF0000"/>
                <w:kern w:val="0"/>
                <w:sz w:val="24"/>
              </w:rPr>
            </w:pPr>
          </w:p>
          <w:p w14:paraId="60943BE1">
            <w:pPr>
              <w:jc w:val="center"/>
              <w:rPr>
                <w:rFonts w:hint="eastAsia" w:ascii="宋体" w:hAnsi="宋体" w:cs="宋体"/>
                <w:color w:val="FF0000"/>
                <w:kern w:val="0"/>
                <w:sz w:val="24"/>
              </w:rPr>
            </w:pPr>
          </w:p>
          <w:p w14:paraId="1A7FACFE">
            <w:pPr>
              <w:jc w:val="center"/>
              <w:rPr>
                <w:rFonts w:hint="eastAsia" w:ascii="宋体" w:hAnsi="宋体" w:cs="宋体"/>
                <w:color w:val="FF0000"/>
                <w:kern w:val="0"/>
                <w:sz w:val="24"/>
              </w:rPr>
            </w:pPr>
          </w:p>
          <w:p w14:paraId="29743CE3">
            <w:pPr>
              <w:jc w:val="center"/>
              <w:rPr>
                <w:rFonts w:hint="eastAsia" w:ascii="宋体" w:hAnsi="宋体" w:cs="宋体"/>
                <w:color w:val="FF0000"/>
                <w:kern w:val="0"/>
                <w:sz w:val="24"/>
              </w:rPr>
            </w:pPr>
          </w:p>
          <w:p w14:paraId="3058EFF8">
            <w:pPr>
              <w:jc w:val="center"/>
              <w:rPr>
                <w:rFonts w:hint="eastAsia" w:ascii="宋体" w:hAnsi="宋体" w:cs="宋体"/>
                <w:color w:val="FF0000"/>
                <w:kern w:val="0"/>
                <w:sz w:val="24"/>
              </w:rPr>
            </w:pPr>
          </w:p>
          <w:p w14:paraId="122935FA">
            <w:pPr>
              <w:jc w:val="center"/>
              <w:rPr>
                <w:rFonts w:hint="eastAsia" w:ascii="宋体" w:hAnsi="宋体" w:cs="宋体"/>
                <w:color w:val="FF0000"/>
                <w:kern w:val="0"/>
                <w:sz w:val="24"/>
              </w:rPr>
            </w:pPr>
          </w:p>
          <w:p w14:paraId="41664254">
            <w:pPr>
              <w:jc w:val="center"/>
              <w:rPr>
                <w:rFonts w:hint="eastAsia" w:ascii="宋体" w:hAnsi="宋体" w:cs="宋体"/>
                <w:color w:val="FF0000"/>
                <w:kern w:val="0"/>
                <w:sz w:val="24"/>
              </w:rPr>
            </w:pPr>
          </w:p>
          <w:p w14:paraId="416C75ED">
            <w:pPr>
              <w:jc w:val="center"/>
              <w:rPr>
                <w:rFonts w:hint="eastAsia" w:ascii="宋体" w:hAnsi="宋体" w:cs="宋体"/>
                <w:color w:val="FF0000"/>
                <w:kern w:val="0"/>
                <w:sz w:val="24"/>
              </w:rPr>
            </w:pPr>
          </w:p>
          <w:p w14:paraId="395D3239">
            <w:pPr>
              <w:jc w:val="center"/>
              <w:rPr>
                <w:rFonts w:hint="eastAsia" w:ascii="宋体" w:hAnsi="宋体" w:cs="宋体"/>
                <w:color w:val="FF0000"/>
                <w:kern w:val="0"/>
                <w:sz w:val="24"/>
              </w:rPr>
            </w:pPr>
          </w:p>
          <w:p w14:paraId="0F4E7166">
            <w:pPr>
              <w:jc w:val="center"/>
              <w:rPr>
                <w:rFonts w:ascii="宋体" w:hAnsi="宋体" w:cs="宋体"/>
                <w:color w:val="FF0000"/>
                <w:kern w:val="0"/>
                <w:sz w:val="24"/>
              </w:rPr>
            </w:pPr>
            <w:r>
              <w:rPr>
                <w:rFonts w:hint="eastAsia" w:ascii="宋体" w:hAnsi="宋体" w:cs="宋体"/>
                <w:color w:val="auto"/>
                <w:kern w:val="0"/>
                <w:sz w:val="24"/>
              </w:rPr>
              <w:t>3、</w:t>
            </w:r>
            <w:r>
              <w:rPr>
                <w:rFonts w:hint="eastAsia" w:ascii="宋体" w:hAnsi="宋体" w:cs="宋体"/>
                <w:color w:val="auto"/>
                <w:kern w:val="0"/>
                <w:sz w:val="24"/>
                <w:lang w:val="en-US" w:eastAsia="zh-CN"/>
              </w:rPr>
              <w:t>综合</w:t>
            </w:r>
            <w:r>
              <w:rPr>
                <w:rFonts w:hint="eastAsia" w:ascii="宋体" w:hAnsi="宋体" w:cs="宋体"/>
                <w:color w:val="auto"/>
                <w:kern w:val="0"/>
                <w:sz w:val="24"/>
              </w:rPr>
              <w:t>标评审（</w:t>
            </w:r>
            <w:r>
              <w:rPr>
                <w:rFonts w:hint="eastAsia" w:ascii="宋体" w:hAnsi="宋体" w:cs="宋体"/>
                <w:color w:val="auto"/>
                <w:kern w:val="0"/>
                <w:sz w:val="24"/>
                <w:lang w:val="en-US" w:eastAsia="zh-CN"/>
              </w:rPr>
              <w:t>25</w:t>
            </w:r>
            <w:r>
              <w:rPr>
                <w:rFonts w:hint="eastAsia" w:ascii="宋体" w:hAnsi="宋体" w:cs="宋体"/>
                <w:color w:val="auto"/>
                <w:kern w:val="0"/>
                <w:sz w:val="24"/>
              </w:rPr>
              <w:t>分）</w:t>
            </w:r>
          </w:p>
        </w:tc>
        <w:tc>
          <w:tcPr>
            <w:tcW w:w="842" w:type="pct"/>
            <w:tcBorders>
              <w:top w:val="single" w:color="auto" w:sz="4" w:space="0"/>
              <w:left w:val="single" w:color="auto" w:sz="4" w:space="0"/>
              <w:bottom w:val="single" w:color="auto" w:sz="4" w:space="0"/>
              <w:right w:val="single" w:color="auto" w:sz="4" w:space="0"/>
            </w:tcBorders>
            <w:vAlign w:val="center"/>
          </w:tcPr>
          <w:p w14:paraId="5353F687">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企业业绩</w:t>
            </w:r>
          </w:p>
          <w:p w14:paraId="5C8650C3">
            <w:pPr>
              <w:widowControl/>
              <w:ind w:left="0" w:leftChars="0" w:right="0" w:rightChars="0" w:firstLine="0" w:firstLineChars="0"/>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分）</w:t>
            </w:r>
          </w:p>
        </w:tc>
        <w:tc>
          <w:tcPr>
            <w:tcW w:w="3644" w:type="pct"/>
            <w:tcBorders>
              <w:top w:val="single" w:color="auto" w:sz="4" w:space="0"/>
              <w:left w:val="single" w:color="auto" w:sz="4" w:space="0"/>
              <w:bottom w:val="single" w:color="auto" w:sz="4" w:space="0"/>
              <w:right w:val="single" w:color="auto" w:sz="4" w:space="0"/>
            </w:tcBorders>
            <w:vAlign w:val="top"/>
          </w:tcPr>
          <w:p w14:paraId="00440607">
            <w:pPr>
              <w:numPr>
                <w:ilvl w:val="0"/>
                <w:numId w:val="0"/>
              </w:numPr>
              <w:spacing w:line="360" w:lineRule="exact"/>
              <w:rPr>
                <w:rFonts w:hint="eastAsia" w:ascii="宋体" w:hAnsi="宋体" w:eastAsia="宋体" w:cs="Times New Roman"/>
                <w:color w:val="auto"/>
                <w:sz w:val="24"/>
                <w:szCs w:val="24"/>
                <w:lang w:val="en-US" w:eastAsia="zh-CN"/>
              </w:rPr>
            </w:pPr>
            <w:r>
              <w:rPr>
                <w:rFonts w:hint="eastAsia" w:asciiTheme="minorEastAsia" w:hAnsiTheme="minorEastAsia" w:eastAsiaTheme="minorEastAsia" w:cstheme="minorEastAsia"/>
                <w:kern w:val="0"/>
                <w:sz w:val="24"/>
                <w:szCs w:val="24"/>
                <w:lang w:val="zh-CN" w:eastAsia="zh-CN"/>
              </w:rPr>
              <w:t>提供202</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年1月1日以</w:t>
            </w:r>
            <w:r>
              <w:rPr>
                <w:rFonts w:hint="eastAsia" w:asciiTheme="minorEastAsia" w:hAnsiTheme="minorEastAsia" w:eastAsiaTheme="minorEastAsia" w:cstheme="minorEastAsia"/>
                <w:color w:val="auto"/>
                <w:kern w:val="0"/>
                <w:sz w:val="24"/>
                <w:szCs w:val="24"/>
                <w:lang w:val="zh-CN" w:eastAsia="zh-CN"/>
              </w:rPr>
              <w:t>来</w:t>
            </w:r>
            <w:r>
              <w:rPr>
                <w:rFonts w:hint="eastAsia" w:asciiTheme="minorEastAsia" w:hAnsiTheme="minorEastAsia" w:eastAsiaTheme="minorEastAsia" w:cstheme="minorEastAsia"/>
                <w:color w:val="auto"/>
                <w:kern w:val="0"/>
                <w:sz w:val="24"/>
                <w:szCs w:val="24"/>
                <w:lang w:val="en-US" w:eastAsia="zh-CN"/>
              </w:rPr>
              <w:t>类似</w:t>
            </w:r>
            <w:r>
              <w:rPr>
                <w:rFonts w:hint="eastAsia" w:asciiTheme="minorEastAsia" w:hAnsiTheme="minorEastAsia" w:eastAsiaTheme="minorEastAsia" w:cstheme="minorEastAsia"/>
                <w:kern w:val="0"/>
                <w:sz w:val="24"/>
                <w:szCs w:val="24"/>
                <w:lang w:val="zh-CN" w:eastAsia="zh-CN"/>
              </w:rPr>
              <w:t>项目业绩</w:t>
            </w:r>
            <w:r>
              <w:rPr>
                <w:rFonts w:hint="eastAsia" w:ascii="宋体" w:hAnsi="宋体" w:eastAsia="宋体" w:cs="Times New Roman"/>
                <w:color w:val="auto"/>
                <w:sz w:val="24"/>
                <w:szCs w:val="24"/>
                <w:lang w:val="en-US" w:eastAsia="zh-CN"/>
              </w:rPr>
              <w:t>，每提供一项业绩</w:t>
            </w:r>
            <w:r>
              <w:rPr>
                <w:rFonts w:hint="eastAsia" w:ascii="宋体" w:hAnsi="宋体" w:cs="Times New Roman"/>
                <w:color w:val="auto"/>
                <w:sz w:val="24"/>
                <w:szCs w:val="24"/>
                <w:lang w:val="en-US" w:eastAsia="zh-CN"/>
              </w:rPr>
              <w:t>得4</w:t>
            </w:r>
            <w:r>
              <w:rPr>
                <w:rFonts w:hint="eastAsia" w:ascii="宋体" w:hAnsi="宋体" w:eastAsia="宋体" w:cs="Times New Roman"/>
                <w:color w:val="auto"/>
                <w:sz w:val="24"/>
                <w:szCs w:val="24"/>
                <w:lang w:val="en-US" w:eastAsia="zh-CN"/>
              </w:rPr>
              <w:t>分，最多得</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分</w:t>
            </w:r>
            <w:r>
              <w:rPr>
                <w:rFonts w:hint="eastAsia" w:ascii="宋体" w:hAnsi="宋体" w:cs="Times New Roman"/>
                <w:color w:val="auto"/>
                <w:sz w:val="24"/>
                <w:szCs w:val="24"/>
                <w:lang w:val="en-US" w:eastAsia="zh-CN"/>
              </w:rPr>
              <w:t>，</w:t>
            </w:r>
            <w:r>
              <w:rPr>
                <w:rFonts w:hint="eastAsia" w:ascii="宋体" w:hAnsi="宋体" w:eastAsia="宋体" w:cs="Times New Roman"/>
                <w:color w:val="auto"/>
                <w:sz w:val="24"/>
                <w:szCs w:val="24"/>
                <w:lang w:val="en-US" w:eastAsia="zh-CN"/>
              </w:rPr>
              <w:t>未提供不得分。</w:t>
            </w:r>
          </w:p>
          <w:p w14:paraId="011BBFC7">
            <w:pPr>
              <w:numPr>
                <w:ilvl w:val="0"/>
                <w:numId w:val="0"/>
              </w:numPr>
              <w:spacing w:line="360" w:lineRule="exact"/>
              <w:ind w:left="0" w:leftChars="0" w:firstLine="0" w:firstLineChars="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（提供合同</w:t>
            </w:r>
            <w:r>
              <w:rPr>
                <w:rFonts w:hint="eastAsia" w:ascii="宋体" w:hAnsi="宋体" w:cs="Times New Roman"/>
                <w:color w:val="auto"/>
                <w:sz w:val="24"/>
                <w:szCs w:val="24"/>
                <w:lang w:val="en-US" w:eastAsia="zh-CN"/>
              </w:rPr>
              <w:t>清晰扫描件</w:t>
            </w:r>
            <w:r>
              <w:rPr>
                <w:rFonts w:hint="eastAsia" w:ascii="宋体" w:hAnsi="宋体" w:eastAsia="宋体" w:cs="Times New Roman"/>
                <w:color w:val="auto"/>
                <w:sz w:val="24"/>
                <w:szCs w:val="24"/>
                <w:lang w:val="en-US" w:eastAsia="zh-CN"/>
              </w:rPr>
              <w:t>，</w:t>
            </w:r>
            <w:r>
              <w:rPr>
                <w:rFonts w:hint="eastAsia" w:ascii="宋体" w:hAnsi="宋体" w:cs="Times New Roman"/>
                <w:color w:val="auto"/>
                <w:sz w:val="24"/>
                <w:szCs w:val="24"/>
                <w:lang w:val="en-US" w:eastAsia="zh-CN"/>
              </w:rPr>
              <w:t>业绩时间</w:t>
            </w:r>
            <w:r>
              <w:rPr>
                <w:rFonts w:hint="eastAsia" w:ascii="宋体" w:hAnsi="宋体" w:eastAsia="宋体" w:cs="Times New Roman"/>
                <w:color w:val="auto"/>
                <w:sz w:val="24"/>
                <w:szCs w:val="24"/>
                <w:lang w:val="en-US" w:eastAsia="zh-CN"/>
              </w:rPr>
              <w:t>以合同签订时间为准</w:t>
            </w:r>
            <w:r>
              <w:rPr>
                <w:rFonts w:hint="eastAsia" w:ascii="宋体" w:hAnsi="宋体" w:cs="Times New Roman"/>
                <w:color w:val="auto"/>
                <w:sz w:val="24"/>
                <w:szCs w:val="24"/>
                <w:lang w:val="en-US" w:eastAsia="zh-CN"/>
              </w:rPr>
              <w:t>。</w:t>
            </w:r>
            <w:r>
              <w:rPr>
                <w:rFonts w:hint="eastAsia" w:ascii="宋体" w:hAnsi="宋体" w:eastAsia="宋体" w:cs="Times New Roman"/>
                <w:color w:val="auto"/>
                <w:sz w:val="24"/>
                <w:szCs w:val="24"/>
                <w:lang w:val="en-US" w:eastAsia="zh-CN"/>
              </w:rPr>
              <w:t>）</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2C3D2DFD">
            <w:pPr>
              <w:jc w:val="center"/>
              <w:rPr>
                <w:rFonts w:ascii="宋体" w:hAnsi="宋体" w:cs="宋体"/>
                <w:color w:val="FF0000"/>
                <w:kern w:val="0"/>
                <w:sz w:val="24"/>
              </w:rPr>
            </w:pPr>
          </w:p>
        </w:tc>
        <w:tc>
          <w:tcPr>
            <w:tcW w:w="842" w:type="pct"/>
            <w:tcBorders>
              <w:top w:val="single" w:color="auto" w:sz="4" w:space="0"/>
              <w:left w:val="nil"/>
              <w:bottom w:val="single" w:color="auto" w:sz="4" w:space="0"/>
              <w:right w:val="single" w:color="auto" w:sz="4" w:space="0"/>
            </w:tcBorders>
            <w:vAlign w:val="center"/>
          </w:tcPr>
          <w:p w14:paraId="2FFD28AB">
            <w:pPr>
              <w:widowControl/>
              <w:spacing w:line="400" w:lineRule="exact"/>
              <w:jc w:val="center"/>
              <w:rPr>
                <w:rFonts w:hint="eastAsia" w:asciiTheme="minorEastAsia" w:hAnsiTheme="minorEastAsia" w:eastAsiaTheme="minorEastAsia" w:cstheme="minorEastAsia"/>
                <w:color w:val="auto"/>
                <w:kern w:val="0"/>
                <w:sz w:val="24"/>
                <w:szCs w:val="24"/>
                <w:highlight w:val="none"/>
                <w:lang w:val="zh-CN" w:eastAsia="zh-CN"/>
              </w:rPr>
            </w:pPr>
            <w:r>
              <w:rPr>
                <w:rFonts w:hint="eastAsia" w:asciiTheme="minorEastAsia" w:hAnsiTheme="minorEastAsia" w:eastAsiaTheme="minorEastAsia" w:cstheme="minorEastAsia"/>
                <w:color w:val="auto"/>
                <w:kern w:val="0"/>
                <w:sz w:val="24"/>
                <w:szCs w:val="24"/>
                <w:highlight w:val="none"/>
                <w:lang w:val="zh-CN" w:eastAsia="zh-CN"/>
              </w:rPr>
              <w:t>管理体系认证</w:t>
            </w:r>
          </w:p>
          <w:p w14:paraId="063BCEF6">
            <w:pPr>
              <w:widowControl/>
              <w:ind w:left="0" w:leftChars="0" w:right="0" w:rightChars="0" w:firstLine="0" w:firstLineChars="0"/>
              <w:jc w:val="center"/>
              <w:rPr>
                <w:rFonts w:hint="eastAsia" w:ascii="宋体" w:hAnsi="宋体" w:eastAsia="宋体" w:cs="宋体"/>
                <w:color w:val="auto"/>
                <w:kern w:val="0"/>
                <w:sz w:val="24"/>
                <w:highlight w:val="none"/>
                <w:lang w:val="en-US" w:eastAsia="zh-CN"/>
              </w:rPr>
            </w:pPr>
            <w:r>
              <w:rPr>
                <w:rFonts w:hint="eastAsia" w:asciiTheme="minorEastAsia" w:hAnsiTheme="minorEastAsia" w:eastAsiaTheme="minorEastAsia" w:cstheme="minorEastAsia"/>
                <w:color w:val="auto"/>
                <w:kern w:val="0"/>
                <w:sz w:val="24"/>
                <w:szCs w:val="24"/>
                <w:highlight w:val="none"/>
                <w:lang w:val="zh-CN" w:eastAsia="zh-CN"/>
              </w:rPr>
              <w:t>（</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lang w:val="zh-CN" w:eastAsia="zh-CN"/>
              </w:rPr>
              <w:t>分）</w:t>
            </w:r>
          </w:p>
        </w:tc>
        <w:tc>
          <w:tcPr>
            <w:tcW w:w="3644" w:type="pct"/>
            <w:tcBorders>
              <w:top w:val="single" w:color="auto" w:sz="4" w:space="0"/>
              <w:left w:val="nil"/>
              <w:bottom w:val="single" w:color="auto" w:sz="4" w:space="0"/>
              <w:right w:val="single" w:color="auto" w:sz="4" w:space="0"/>
            </w:tcBorders>
            <w:vAlign w:val="top"/>
          </w:tcPr>
          <w:p w14:paraId="6A3EE973">
            <w:pPr>
              <w:numPr>
                <w:ilvl w:val="0"/>
                <w:numId w:val="0"/>
              </w:numPr>
              <w:spacing w:line="360" w:lineRule="exact"/>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en-US" w:eastAsia="zh-CN"/>
              </w:rPr>
              <w:t>投标</w:t>
            </w:r>
            <w:r>
              <w:rPr>
                <w:rFonts w:hint="eastAsia" w:ascii="宋体" w:hAnsi="宋体" w:eastAsia="宋体" w:cs="Times New Roman"/>
                <w:color w:val="auto"/>
                <w:sz w:val="24"/>
                <w:szCs w:val="24"/>
                <w:highlight w:val="none"/>
                <w:lang w:val="zh-CN" w:eastAsia="zh-CN"/>
              </w:rPr>
              <w:t>供应商同时具有有效期内的</w:t>
            </w:r>
            <w:r>
              <w:rPr>
                <w:rFonts w:hint="eastAsia" w:ascii="宋体" w:hAnsi="宋体" w:eastAsia="宋体" w:cs="Times New Roman"/>
                <w:color w:val="auto"/>
                <w:sz w:val="24"/>
                <w:szCs w:val="24"/>
                <w:highlight w:val="none"/>
                <w:lang w:val="en-US" w:eastAsia="zh-CN"/>
              </w:rPr>
              <w:t>ISO9001质量管理体系认证证书、ISO14001环境管理体系认证证书、ISO45001职业健康安全管理体系认证证书</w:t>
            </w:r>
            <w:r>
              <w:rPr>
                <w:rFonts w:hint="eastAsia" w:ascii="宋体" w:hAnsi="宋体" w:eastAsia="宋体" w:cs="Times New Roman"/>
                <w:color w:val="auto"/>
                <w:sz w:val="24"/>
                <w:szCs w:val="24"/>
                <w:highlight w:val="none"/>
                <w:lang w:val="zh-CN" w:eastAsia="zh-CN"/>
              </w:rPr>
              <w:t>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zh-CN" w:eastAsia="zh-CN"/>
              </w:rPr>
              <w:t>分，</w:t>
            </w:r>
            <w:r>
              <w:rPr>
                <w:rFonts w:hint="eastAsia" w:ascii="宋体" w:hAnsi="宋体" w:eastAsia="宋体" w:cs="Times New Roman"/>
                <w:color w:val="auto"/>
                <w:sz w:val="24"/>
                <w:szCs w:val="24"/>
                <w:highlight w:val="none"/>
                <w:lang w:val="en-US" w:eastAsia="zh-CN"/>
              </w:rPr>
              <w:t>缺任何一项或不提供者不得分</w:t>
            </w:r>
            <w:r>
              <w:rPr>
                <w:rFonts w:hint="eastAsia" w:ascii="宋体" w:hAnsi="宋体" w:eastAsia="宋体" w:cs="Times New Roman"/>
                <w:color w:val="auto"/>
                <w:sz w:val="24"/>
                <w:szCs w:val="24"/>
                <w:highlight w:val="none"/>
                <w:lang w:val="zh-CN" w:eastAsia="zh-CN"/>
              </w:rPr>
              <w:t>。</w:t>
            </w:r>
          </w:p>
          <w:p w14:paraId="293B3135">
            <w:pPr>
              <w:numPr>
                <w:ilvl w:val="0"/>
                <w:numId w:val="0"/>
              </w:numPr>
              <w:spacing w:line="360" w:lineRule="exact"/>
              <w:ind w:left="0" w:leftChars="0" w:firstLine="0" w:firstLineChars="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zh-CN" w:eastAsia="zh-CN"/>
              </w:rPr>
              <w:t>注：提供以上所需证明证件原件的扫描件。</w:t>
            </w:r>
          </w:p>
        </w:tc>
      </w:tr>
      <w:tr w14:paraId="288AFA5B">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4A0D0716">
            <w:pPr>
              <w:jc w:val="center"/>
              <w:rPr>
                <w:rFonts w:ascii="宋体" w:hAnsi="宋体" w:cs="宋体"/>
                <w:color w:val="FF0000"/>
                <w:kern w:val="0"/>
                <w:sz w:val="24"/>
              </w:rPr>
            </w:pPr>
          </w:p>
        </w:tc>
        <w:tc>
          <w:tcPr>
            <w:tcW w:w="842" w:type="pct"/>
            <w:tcBorders>
              <w:top w:val="single" w:color="auto" w:sz="4" w:space="0"/>
              <w:left w:val="nil"/>
              <w:bottom w:val="single" w:color="auto" w:sz="4" w:space="0"/>
              <w:right w:val="single" w:color="auto" w:sz="4" w:space="0"/>
            </w:tcBorders>
            <w:vAlign w:val="center"/>
          </w:tcPr>
          <w:p w14:paraId="02CD79D3">
            <w:pPr>
              <w:widowControl/>
              <w:spacing w:line="400" w:lineRule="exact"/>
              <w:jc w:val="center"/>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履职尽责承诺书</w:t>
            </w:r>
          </w:p>
          <w:p w14:paraId="3F729570">
            <w:pPr>
              <w:widowControl/>
              <w:spacing w:line="400" w:lineRule="exact"/>
              <w:jc w:val="center"/>
              <w:rPr>
                <w:rFonts w:hint="eastAsia" w:asciiTheme="minorEastAsia" w:hAnsiTheme="minorEastAsia" w:eastAsiaTheme="minorEastAsia" w:cstheme="minorEastAsia"/>
                <w:kern w:val="0"/>
                <w:sz w:val="24"/>
                <w:szCs w:val="24"/>
                <w:highlight w:val="yellow"/>
                <w:lang w:val="zh-CN" w:eastAsia="zh-CN"/>
              </w:rPr>
            </w:pPr>
            <w:r>
              <w:rPr>
                <w:rFonts w:hint="eastAsia" w:asciiTheme="minorEastAsia" w:hAnsiTheme="minorEastAsia" w:eastAsiaTheme="minorEastAsia" w:cstheme="minorEastAsia"/>
                <w:kern w:val="0"/>
                <w:sz w:val="24"/>
                <w:szCs w:val="24"/>
                <w:lang w:val="zh-CN" w:eastAsia="zh-CN"/>
              </w:rPr>
              <w:t>（</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lang w:val="zh-CN" w:eastAsia="zh-CN"/>
              </w:rPr>
              <w:t>分）</w:t>
            </w:r>
          </w:p>
        </w:tc>
        <w:tc>
          <w:tcPr>
            <w:tcW w:w="3644" w:type="pct"/>
            <w:tcBorders>
              <w:top w:val="single" w:color="auto" w:sz="4" w:space="0"/>
              <w:left w:val="nil"/>
              <w:bottom w:val="single" w:color="auto" w:sz="4" w:space="0"/>
              <w:right w:val="single" w:color="auto" w:sz="4" w:space="0"/>
            </w:tcBorders>
            <w:vAlign w:val="center"/>
          </w:tcPr>
          <w:p w14:paraId="15B71BA0">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承诺书</w:t>
            </w:r>
            <w:r>
              <w:rPr>
                <w:rFonts w:hint="eastAsia" w:asciiTheme="minorEastAsia" w:hAnsiTheme="minorEastAsia" w:eastAsiaTheme="minorEastAsia" w:cstheme="minorEastAsia"/>
                <w:kern w:val="0"/>
                <w:sz w:val="24"/>
                <w:szCs w:val="24"/>
                <w:lang w:val="zh-CN" w:eastAsia="zh-CN"/>
              </w:rPr>
              <w:t>具有全面、详实、可行、合法有效的书面保证措施</w:t>
            </w:r>
            <w:r>
              <w:rPr>
                <w:rFonts w:hint="eastAsia" w:asciiTheme="minorEastAsia" w:hAnsiTheme="minorEastAsia" w:eastAsiaTheme="minorEastAsia" w:cstheme="minorEastAsia"/>
                <w:kern w:val="0"/>
                <w:sz w:val="24"/>
                <w:szCs w:val="24"/>
                <w:lang w:val="en-US" w:eastAsia="zh-CN"/>
              </w:rPr>
              <w:t>、</w:t>
            </w:r>
            <w:r>
              <w:rPr>
                <w:rFonts w:hint="eastAsia" w:asciiTheme="minorEastAsia" w:hAnsiTheme="minorEastAsia" w:eastAsiaTheme="minorEastAsia" w:cstheme="minorEastAsia"/>
                <w:kern w:val="0"/>
                <w:sz w:val="24"/>
                <w:szCs w:val="24"/>
                <w:lang w:val="zh-CN" w:eastAsia="zh-CN"/>
              </w:rPr>
              <w:t>落实到位的承诺</w:t>
            </w:r>
            <w:r>
              <w:rPr>
                <w:rFonts w:hint="eastAsia" w:asciiTheme="minorEastAsia" w:hAnsiTheme="minorEastAsia" w:eastAsiaTheme="minorEastAsia" w:cstheme="minorEastAsia"/>
                <w:kern w:val="0"/>
                <w:sz w:val="24"/>
                <w:szCs w:val="24"/>
                <w:lang w:val="en-US" w:eastAsia="zh-CN"/>
              </w:rPr>
              <w:t>及</w:t>
            </w:r>
            <w:r>
              <w:rPr>
                <w:rFonts w:hint="eastAsia" w:asciiTheme="minorEastAsia" w:hAnsiTheme="minorEastAsia" w:eastAsiaTheme="minorEastAsia" w:cstheme="minorEastAsia"/>
                <w:kern w:val="0"/>
                <w:sz w:val="24"/>
                <w:szCs w:val="24"/>
                <w:lang w:val="zh-CN" w:eastAsia="zh-CN"/>
              </w:rPr>
              <w:t>落实不到位的处理承诺，包括各关键岗位人员（项目负责人及相关人员等）的在岗、更换等履职尽责承诺，</w:t>
            </w:r>
            <w:r>
              <w:rPr>
                <w:rFonts w:hint="eastAsia" w:asciiTheme="minorEastAsia" w:hAnsiTheme="minorEastAsia" w:eastAsiaTheme="minorEastAsia" w:cstheme="minorEastAsia"/>
                <w:kern w:val="0"/>
                <w:sz w:val="24"/>
                <w:szCs w:val="24"/>
                <w:lang w:val="en-US" w:eastAsia="zh-CN"/>
              </w:rPr>
              <w:t>及投标供应商的</w:t>
            </w:r>
            <w:r>
              <w:rPr>
                <w:rFonts w:hint="eastAsia" w:asciiTheme="minorEastAsia" w:hAnsiTheme="minorEastAsia" w:eastAsiaTheme="minorEastAsia" w:cstheme="minorEastAsia"/>
                <w:kern w:val="0"/>
                <w:sz w:val="24"/>
                <w:szCs w:val="24"/>
                <w:lang w:val="zh-CN" w:eastAsia="zh-CN"/>
              </w:rPr>
              <w:t>履约保证。</w:t>
            </w:r>
          </w:p>
          <w:p w14:paraId="315AE863">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宋体" w:hAnsi="宋体" w:cs="Times New Roman"/>
                <w:color w:val="000000"/>
                <w:sz w:val="24"/>
                <w:szCs w:val="24"/>
                <w:lang w:val="en-US" w:eastAsia="zh-CN"/>
              </w:rPr>
              <w:t>1</w:t>
            </w:r>
            <w:r>
              <w:rPr>
                <w:rFonts w:hint="eastAsia" w:asciiTheme="minorEastAsia" w:hAnsiTheme="minorEastAsia" w:eastAsiaTheme="minorEastAsia" w:cstheme="minorEastAsia"/>
                <w:kern w:val="0"/>
                <w:sz w:val="24"/>
                <w:szCs w:val="24"/>
                <w:lang w:val="en-US" w:eastAsia="zh-CN"/>
              </w:rPr>
              <w:t>、承诺内容完全满足要求得5分；</w:t>
            </w:r>
          </w:p>
          <w:p w14:paraId="2909B523">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2、承诺内容不完整，内容质量一般，得2分；</w:t>
            </w:r>
          </w:p>
          <w:p w14:paraId="0AF890F5">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color w:val="000000"/>
                <w:sz w:val="24"/>
                <w:szCs w:val="24"/>
                <w:highlight w:val="yellow"/>
                <w:lang w:val="zh-CN" w:eastAsia="zh-CN"/>
              </w:rPr>
            </w:pPr>
            <w:r>
              <w:rPr>
                <w:rFonts w:hint="eastAsia" w:asciiTheme="minorEastAsia" w:hAnsiTheme="minorEastAsia" w:eastAsiaTheme="minorEastAsia" w:cstheme="minorEastAsia"/>
                <w:kern w:val="0"/>
                <w:sz w:val="24"/>
                <w:szCs w:val="24"/>
                <w:lang w:val="en-US" w:eastAsia="zh-CN"/>
              </w:rPr>
              <w:t>3、</w:t>
            </w:r>
            <w:r>
              <w:rPr>
                <w:rFonts w:hint="eastAsia" w:ascii="宋体" w:hAnsi="宋体" w:eastAsia="宋体" w:cs="Times New Roman"/>
                <w:color w:val="000000"/>
                <w:sz w:val="24"/>
                <w:szCs w:val="24"/>
                <w:lang w:val="en-US" w:eastAsia="zh-CN"/>
              </w:rPr>
              <w:t>不提供者不得分。</w:t>
            </w:r>
          </w:p>
        </w:tc>
      </w:tr>
      <w:tr w14:paraId="0ABEA58B">
        <w:tblPrEx>
          <w:tblCellMar>
            <w:top w:w="0" w:type="dxa"/>
            <w:left w:w="108" w:type="dxa"/>
            <w:bottom w:w="0" w:type="dxa"/>
            <w:right w:w="108" w:type="dxa"/>
          </w:tblCellMar>
        </w:tblPrEx>
        <w:trPr>
          <w:trHeight w:val="485" w:hRule="atLeast"/>
        </w:trPr>
        <w:tc>
          <w:tcPr>
            <w:tcW w:w="513" w:type="pct"/>
            <w:vMerge w:val="continue"/>
            <w:tcBorders>
              <w:left w:val="single" w:color="auto" w:sz="4" w:space="0"/>
              <w:right w:val="single" w:color="auto" w:sz="4" w:space="0"/>
            </w:tcBorders>
            <w:vAlign w:val="center"/>
          </w:tcPr>
          <w:p w14:paraId="6F1BB761">
            <w:pPr>
              <w:widowControl/>
              <w:jc w:val="center"/>
              <w:rPr>
                <w:rFonts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0ED525FE">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服务承诺</w:t>
            </w:r>
          </w:p>
          <w:p w14:paraId="76548A1A">
            <w:pPr>
              <w:ind w:firstLine="240" w:firstLineChars="100"/>
              <w:jc w:val="left"/>
              <w:rPr>
                <w:rFonts w:ascii="宋体" w:hAnsi="宋体" w:cs="宋体"/>
                <w:kern w:val="0"/>
                <w:sz w:val="24"/>
                <w:szCs w:val="24"/>
                <w:highlight w:val="yellow"/>
              </w:rPr>
            </w:pPr>
            <w:r>
              <w:rPr>
                <w:rFonts w:hint="eastAsia" w:ascii="宋体" w:hAnsi="宋体" w:eastAsia="宋体" w:cs="宋体"/>
                <w:color w:val="auto"/>
                <w:kern w:val="0"/>
                <w:sz w:val="24"/>
                <w:highlight w:val="none"/>
                <w:lang w:val="en-US" w:eastAsia="zh-CN"/>
              </w:rPr>
              <w:t>（</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lang w:val="en-US" w:eastAsia="zh-CN"/>
              </w:rPr>
              <w:t>分）</w:t>
            </w:r>
          </w:p>
        </w:tc>
        <w:tc>
          <w:tcPr>
            <w:tcW w:w="3644" w:type="pct"/>
            <w:tcBorders>
              <w:top w:val="single" w:color="auto" w:sz="4" w:space="0"/>
              <w:left w:val="nil"/>
              <w:bottom w:val="single" w:color="auto" w:sz="4" w:space="0"/>
              <w:right w:val="single" w:color="auto" w:sz="4" w:space="0"/>
            </w:tcBorders>
            <w:vAlign w:val="center"/>
          </w:tcPr>
          <w:p w14:paraId="2B3A5700">
            <w:pPr>
              <w:numPr>
                <w:ilvl w:val="0"/>
                <w:numId w:val="0"/>
              </w:numPr>
              <w:spacing w:line="360" w:lineRule="exact"/>
              <w:rPr>
                <w:rFonts w:hint="eastAsia" w:ascii="宋体" w:hAnsi="宋体" w:cs="Times New Roman"/>
                <w:color w:val="000000"/>
                <w:sz w:val="24"/>
                <w:szCs w:val="24"/>
                <w:lang w:val="en-US" w:eastAsia="zh-CN"/>
              </w:rPr>
            </w:pPr>
            <w:r>
              <w:rPr>
                <w:rFonts w:hint="eastAsia" w:ascii="宋体" w:hAnsi="宋体" w:eastAsia="宋体" w:cs="Times New Roman"/>
                <w:color w:val="000000"/>
                <w:sz w:val="24"/>
                <w:szCs w:val="24"/>
                <w:lang w:val="en-US" w:eastAsia="zh-CN"/>
              </w:rPr>
              <w:t>供应商提供以下承诺：服务承诺包含但不限于隐患排查设备保障、时间响应、服务态度、遵守业主管理制度及考核规章制度办法、不得随意更换人员、按时完成服务任务等</w:t>
            </w:r>
            <w:r>
              <w:rPr>
                <w:rFonts w:hint="eastAsia" w:ascii="宋体" w:hAnsi="宋体" w:cs="Times New Roman"/>
                <w:color w:val="000000"/>
                <w:sz w:val="24"/>
                <w:szCs w:val="24"/>
                <w:lang w:val="en-US" w:eastAsia="zh-CN"/>
              </w:rPr>
              <w:t>。</w:t>
            </w:r>
          </w:p>
          <w:p w14:paraId="078D8F2D">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1、承诺内容完整，</w:t>
            </w:r>
            <w:r>
              <w:rPr>
                <w:rFonts w:hint="eastAsia" w:ascii="宋体" w:hAnsi="宋体" w:eastAsia="宋体" w:cs="Times New Roman"/>
                <w:color w:val="000000"/>
                <w:sz w:val="24"/>
                <w:szCs w:val="24"/>
                <w:lang w:val="en-US" w:eastAsia="zh-CN"/>
              </w:rPr>
              <w:t>实际操作性</w:t>
            </w:r>
            <w:r>
              <w:rPr>
                <w:rFonts w:hint="eastAsia" w:ascii="宋体" w:hAnsi="宋体" w:cs="Times New Roman"/>
                <w:color w:val="000000"/>
                <w:sz w:val="24"/>
                <w:szCs w:val="24"/>
                <w:lang w:val="en-US" w:eastAsia="zh-CN"/>
              </w:rPr>
              <w:t>强，完全满足项目要求</w:t>
            </w:r>
            <w:r>
              <w:rPr>
                <w:rFonts w:hint="eastAsia" w:ascii="宋体" w:hAnsi="宋体" w:eastAsia="宋体" w:cs="Times New Roman"/>
                <w:color w:val="000000"/>
                <w:sz w:val="24"/>
                <w:szCs w:val="24"/>
                <w:lang w:val="en-US" w:eastAsia="zh-CN"/>
              </w:rPr>
              <w:t>得</w:t>
            </w:r>
            <w:r>
              <w:rPr>
                <w:rFonts w:hint="eastAsia" w:ascii="宋体" w:hAnsi="宋体" w:cs="Times New Roman"/>
                <w:color w:val="000000"/>
                <w:sz w:val="24"/>
                <w:szCs w:val="24"/>
                <w:lang w:val="en-US" w:eastAsia="zh-CN"/>
              </w:rPr>
              <w:t>8</w:t>
            </w:r>
            <w:r>
              <w:rPr>
                <w:rFonts w:hint="eastAsia" w:ascii="宋体" w:hAnsi="宋体" w:eastAsia="宋体" w:cs="Times New Roman"/>
                <w:color w:val="000000"/>
                <w:sz w:val="24"/>
                <w:szCs w:val="24"/>
                <w:lang w:val="en-US" w:eastAsia="zh-CN"/>
              </w:rPr>
              <w:t>分；</w:t>
            </w:r>
          </w:p>
          <w:p w14:paraId="39DD98F0">
            <w:pPr>
              <w:numPr>
                <w:ilvl w:val="0"/>
                <w:numId w:val="0"/>
              </w:numPr>
              <w:spacing w:line="360" w:lineRule="exact"/>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2、承诺内容基本完整，</w:t>
            </w:r>
            <w:r>
              <w:rPr>
                <w:rFonts w:hint="eastAsia" w:ascii="宋体" w:hAnsi="宋体" w:eastAsia="宋体" w:cs="Times New Roman"/>
                <w:color w:val="000000"/>
                <w:sz w:val="24"/>
                <w:szCs w:val="24"/>
                <w:lang w:val="en-US" w:eastAsia="zh-CN"/>
              </w:rPr>
              <w:t>有简单的服务内容和承诺，实际操作性较</w:t>
            </w:r>
            <w:r>
              <w:rPr>
                <w:rFonts w:hint="eastAsia" w:ascii="宋体" w:hAnsi="宋体" w:cs="Times New Roman"/>
                <w:color w:val="000000"/>
                <w:sz w:val="24"/>
                <w:szCs w:val="24"/>
                <w:lang w:val="en-US" w:eastAsia="zh-CN"/>
              </w:rPr>
              <w:t>强，</w:t>
            </w:r>
            <w:r>
              <w:rPr>
                <w:rFonts w:hint="eastAsia" w:ascii="宋体" w:hAnsi="宋体" w:eastAsia="宋体" w:cs="Times New Roman"/>
                <w:color w:val="000000"/>
                <w:sz w:val="24"/>
                <w:szCs w:val="24"/>
                <w:lang w:val="en-US" w:eastAsia="zh-CN"/>
              </w:rPr>
              <w:t>基本满足项目要求得</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分；</w:t>
            </w:r>
          </w:p>
          <w:p w14:paraId="1B712AB7">
            <w:pPr>
              <w:numPr>
                <w:ilvl w:val="0"/>
                <w:numId w:val="0"/>
              </w:numPr>
              <w:spacing w:line="360" w:lineRule="exact"/>
              <w:rPr>
                <w:rFonts w:hint="eastAsia" w:ascii="宋体" w:hAnsi="宋体" w:cs="Times New Roman"/>
                <w:color w:val="000000"/>
                <w:sz w:val="24"/>
                <w:szCs w:val="24"/>
                <w:lang w:val="en-US" w:eastAsia="zh-CN"/>
              </w:rPr>
            </w:pPr>
            <w:r>
              <w:rPr>
                <w:rFonts w:hint="eastAsia" w:ascii="宋体" w:hAnsi="宋体" w:cs="Times New Roman"/>
                <w:color w:val="000000"/>
                <w:sz w:val="24"/>
                <w:szCs w:val="24"/>
                <w:lang w:val="en-US" w:eastAsia="zh-CN"/>
              </w:rPr>
              <w:t>3、承诺内容缺项，</w:t>
            </w:r>
            <w:r>
              <w:rPr>
                <w:rFonts w:hint="eastAsia" w:ascii="宋体" w:hAnsi="宋体" w:eastAsia="宋体" w:cs="Times New Roman"/>
                <w:color w:val="000000"/>
                <w:sz w:val="24"/>
                <w:szCs w:val="24"/>
                <w:lang w:val="en-US" w:eastAsia="zh-CN"/>
              </w:rPr>
              <w:t>服务内容和承诺针对性一般，实际操作性一般，得</w:t>
            </w: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lang w:val="en-US" w:eastAsia="zh-CN"/>
              </w:rPr>
              <w:t>分；</w:t>
            </w:r>
          </w:p>
          <w:p w14:paraId="1E0F4426">
            <w:pPr>
              <w:numPr>
                <w:ilvl w:val="0"/>
                <w:numId w:val="0"/>
              </w:numPr>
              <w:spacing w:line="360" w:lineRule="exact"/>
              <w:rPr>
                <w:rFonts w:ascii="宋体" w:hAnsi="宋体" w:cs="宋体"/>
                <w:kern w:val="0"/>
                <w:sz w:val="24"/>
                <w:szCs w:val="24"/>
                <w:highlight w:val="yellow"/>
              </w:rPr>
            </w:pP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lang w:val="en-US" w:eastAsia="zh-CN"/>
              </w:rPr>
              <w:t>内容与项目实际不符、且不具有实际操作性</w:t>
            </w:r>
            <w:r>
              <w:rPr>
                <w:rFonts w:hint="eastAsia" w:ascii="宋体" w:hAnsi="宋体" w:cs="Times New Roman"/>
                <w:color w:val="000000"/>
                <w:sz w:val="24"/>
                <w:szCs w:val="24"/>
                <w:lang w:val="en-US" w:eastAsia="zh-CN"/>
              </w:rPr>
              <w:t>或</w:t>
            </w:r>
            <w:r>
              <w:rPr>
                <w:rFonts w:hint="eastAsia" w:ascii="宋体" w:hAnsi="宋体" w:eastAsia="宋体" w:cs="Times New Roman"/>
                <w:color w:val="000000"/>
                <w:sz w:val="24"/>
                <w:szCs w:val="24"/>
                <w:lang w:val="en-US" w:eastAsia="zh-CN"/>
              </w:rPr>
              <w:t>缺项得0分。</w:t>
            </w:r>
          </w:p>
        </w:tc>
      </w:tr>
      <w:tr w14:paraId="29117C88">
        <w:tblPrEx>
          <w:tblCellMar>
            <w:top w:w="0" w:type="dxa"/>
            <w:left w:w="108" w:type="dxa"/>
            <w:bottom w:w="0" w:type="dxa"/>
            <w:right w:w="108" w:type="dxa"/>
          </w:tblCellMar>
        </w:tblPrEx>
        <w:trPr>
          <w:trHeight w:val="485" w:hRule="atLeast"/>
        </w:trPr>
        <w:tc>
          <w:tcPr>
            <w:tcW w:w="513" w:type="pct"/>
            <w:tcBorders>
              <w:left w:val="single" w:color="auto" w:sz="4" w:space="0"/>
              <w:right w:val="single" w:color="auto" w:sz="4" w:space="0"/>
            </w:tcBorders>
            <w:vAlign w:val="center"/>
          </w:tcPr>
          <w:p w14:paraId="3A990CF7">
            <w:pPr>
              <w:widowControl/>
              <w:jc w:val="center"/>
              <w:rPr>
                <w:rFonts w:ascii="宋体" w:hAnsi="宋体" w:cs="宋体"/>
                <w:color w:val="000000"/>
                <w:kern w:val="0"/>
                <w:sz w:val="24"/>
              </w:rPr>
            </w:pPr>
            <w:bookmarkStart w:id="109" w:name="_Toc31229"/>
          </w:p>
        </w:tc>
        <w:tc>
          <w:tcPr>
            <w:tcW w:w="842" w:type="pct"/>
            <w:tcBorders>
              <w:top w:val="single" w:color="auto" w:sz="4" w:space="0"/>
              <w:left w:val="nil"/>
              <w:bottom w:val="single" w:color="auto" w:sz="4" w:space="0"/>
              <w:right w:val="single" w:color="auto" w:sz="4" w:space="0"/>
            </w:tcBorders>
            <w:vAlign w:val="center"/>
          </w:tcPr>
          <w:p w14:paraId="1EA56DBA">
            <w:pPr>
              <w:widowControl/>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勘察现场</w:t>
            </w:r>
          </w:p>
          <w:p w14:paraId="039C99EA">
            <w:pPr>
              <w:ind w:firstLine="240" w:firstLineChars="100"/>
              <w:jc w:val="left"/>
              <w:rPr>
                <w:rFonts w:hint="eastAsia" w:ascii="宋体" w:hAnsi="宋体" w:eastAsia="宋体" w:cs="宋体"/>
                <w:color w:val="FF0000"/>
                <w:kern w:val="0"/>
                <w:sz w:val="24"/>
                <w:highlight w:val="yellow"/>
                <w:lang w:val="en-US" w:eastAsia="zh-CN"/>
              </w:rPr>
            </w:pPr>
            <w:r>
              <w:rPr>
                <w:rFonts w:hint="eastAsia" w:ascii="Times New Roman" w:hAnsi="Times New Roman" w:eastAsia="宋体" w:cs="Times New Roman"/>
                <w:color w:val="auto"/>
                <w:sz w:val="24"/>
                <w:szCs w:val="24"/>
                <w:lang w:val="en-US" w:eastAsia="zh-CN"/>
              </w:rPr>
              <w:t>（5分）</w:t>
            </w:r>
          </w:p>
        </w:tc>
        <w:tc>
          <w:tcPr>
            <w:tcW w:w="3644" w:type="pct"/>
            <w:tcBorders>
              <w:top w:val="single" w:color="auto" w:sz="4" w:space="0"/>
              <w:left w:val="nil"/>
              <w:bottom w:val="single" w:color="auto" w:sz="4" w:space="0"/>
              <w:right w:val="single" w:color="auto" w:sz="4" w:space="0"/>
            </w:tcBorders>
            <w:vAlign w:val="center"/>
          </w:tcPr>
          <w:p w14:paraId="1C0580B7">
            <w:pPr>
              <w:numPr>
                <w:ilvl w:val="0"/>
                <w:numId w:val="0"/>
              </w:numPr>
              <w:spacing w:line="360" w:lineRule="exact"/>
              <w:rPr>
                <w:rFonts w:hint="eastAsia" w:ascii="宋体" w:hAnsi="宋体" w:cs="Times New Roman"/>
                <w:color w:val="000000"/>
                <w:sz w:val="24"/>
                <w:szCs w:val="24"/>
                <w:lang w:val="en-US" w:eastAsia="zh-CN"/>
              </w:rPr>
            </w:pPr>
            <w:r>
              <w:rPr>
                <w:rFonts w:hint="eastAsia" w:ascii="Times New Roman" w:hAnsi="Times New Roman" w:eastAsia="宋体" w:cs="Times New Roman"/>
                <w:sz w:val="24"/>
                <w:szCs w:val="24"/>
                <w:lang w:val="en-US" w:eastAsia="zh-CN"/>
              </w:rPr>
              <w:t>因项目情况复杂，技术要求较高，为使供应商充分了解评估</w:t>
            </w:r>
            <w:r>
              <w:rPr>
                <w:rFonts w:hint="eastAsia" w:eastAsia="宋体" w:cs="Times New Roman"/>
                <w:sz w:val="24"/>
                <w:szCs w:val="24"/>
                <w:lang w:val="en-US" w:eastAsia="zh-CN"/>
              </w:rPr>
              <w:t>项目</w:t>
            </w:r>
            <w:r>
              <w:rPr>
                <w:rFonts w:hint="eastAsia" w:ascii="Times New Roman" w:hAnsi="Times New Roman" w:eastAsia="宋体" w:cs="Times New Roman"/>
                <w:sz w:val="24"/>
                <w:szCs w:val="24"/>
                <w:lang w:val="en-US" w:eastAsia="zh-CN"/>
              </w:rPr>
              <w:t>基本情况及后期服务工作，避免盲目投标，保障项目后期的顺利实施，</w:t>
            </w:r>
            <w:r>
              <w:rPr>
                <w:rFonts w:hint="eastAsia" w:cs="Times New Roman"/>
                <w:sz w:val="24"/>
                <w:szCs w:val="24"/>
                <w:lang w:val="en-US" w:eastAsia="zh-CN"/>
              </w:rPr>
              <w:t>投标人可根据“供应商须知前附表1.9.1勘察现场”说明</w:t>
            </w:r>
            <w:r>
              <w:rPr>
                <w:rFonts w:hint="eastAsia" w:ascii="Times New Roman" w:hAnsi="Times New Roman" w:eastAsia="宋体" w:cs="Times New Roman"/>
                <w:sz w:val="24"/>
                <w:szCs w:val="24"/>
                <w:lang w:val="en-US" w:eastAsia="zh-CN"/>
              </w:rPr>
              <w:t>对供货现场和周围环境</w:t>
            </w:r>
            <w:r>
              <w:rPr>
                <w:rFonts w:hint="eastAsia" w:cs="Times New Roman"/>
                <w:sz w:val="24"/>
                <w:szCs w:val="24"/>
                <w:lang w:val="en-US" w:eastAsia="zh-CN"/>
              </w:rPr>
              <w:t>进行现场勘察。</w:t>
            </w:r>
            <w:r>
              <w:rPr>
                <w:rFonts w:hint="eastAsia" w:ascii="Times New Roman" w:hAnsi="Times New Roman" w:eastAsia="宋体" w:cs="Times New Roman"/>
                <w:sz w:val="24"/>
                <w:szCs w:val="24"/>
                <w:lang w:val="en-US" w:eastAsia="zh-CN"/>
              </w:rPr>
              <w:t>采购人</w:t>
            </w:r>
            <w:r>
              <w:rPr>
                <w:rFonts w:hint="eastAsia" w:cs="Times New Roman"/>
                <w:sz w:val="24"/>
                <w:szCs w:val="24"/>
                <w:lang w:val="en-US" w:eastAsia="zh-CN"/>
              </w:rPr>
              <w:t>为按时参加勘察现场的供应商</w:t>
            </w:r>
            <w:r>
              <w:rPr>
                <w:rFonts w:hint="eastAsia" w:ascii="Times New Roman" w:hAnsi="Times New Roman" w:eastAsia="宋体" w:cs="Times New Roman"/>
                <w:sz w:val="24"/>
                <w:szCs w:val="24"/>
                <w:lang w:val="en-US" w:eastAsia="zh-CN"/>
              </w:rPr>
              <w:t>开具加盖采购单位公章的勘察证明函。供应商将勘察证明函原件</w:t>
            </w:r>
            <w:r>
              <w:rPr>
                <w:rFonts w:hint="eastAsia" w:cs="Times New Roman"/>
                <w:sz w:val="24"/>
                <w:szCs w:val="24"/>
                <w:lang w:val="en-US" w:eastAsia="zh-CN"/>
              </w:rPr>
              <w:t>扫描件</w:t>
            </w:r>
            <w:r>
              <w:rPr>
                <w:rFonts w:hint="eastAsia" w:ascii="Times New Roman" w:hAnsi="Times New Roman" w:eastAsia="宋体" w:cs="Times New Roman"/>
                <w:sz w:val="24"/>
                <w:szCs w:val="24"/>
                <w:lang w:val="en-US" w:eastAsia="zh-CN"/>
              </w:rPr>
              <w:t>放在投标文件中</w:t>
            </w:r>
            <w:r>
              <w:rPr>
                <w:rFonts w:hint="eastAsia" w:cs="Times New Roman"/>
                <w:sz w:val="24"/>
                <w:szCs w:val="24"/>
                <w:lang w:val="en-US" w:eastAsia="zh-CN"/>
              </w:rPr>
              <w:t>并</w:t>
            </w:r>
            <w:r>
              <w:rPr>
                <w:rFonts w:hint="eastAsia" w:ascii="Times New Roman" w:hAnsi="Times New Roman" w:eastAsia="宋体" w:cs="Times New Roman"/>
                <w:sz w:val="24"/>
                <w:szCs w:val="24"/>
                <w:lang w:val="en-US" w:eastAsia="zh-CN"/>
              </w:rPr>
              <w:t>提供</w:t>
            </w:r>
            <w:r>
              <w:rPr>
                <w:rFonts w:hint="eastAsia" w:ascii="宋体" w:hAnsi="宋体" w:eastAsia="宋体" w:cs="宋体"/>
                <w:color w:val="auto"/>
                <w:sz w:val="24"/>
                <w:lang w:val="en-US" w:eastAsia="zh-CN"/>
              </w:rPr>
              <w:t>真实性承诺</w:t>
            </w:r>
            <w:r>
              <w:rPr>
                <w:rFonts w:hint="eastAsia" w:ascii="宋体" w:hAnsi="宋体" w:cs="宋体"/>
                <w:color w:val="auto"/>
                <w:sz w:val="24"/>
                <w:lang w:val="en-US" w:eastAsia="zh-CN"/>
              </w:rPr>
              <w:t>（格式自拟）</w:t>
            </w:r>
            <w:r>
              <w:rPr>
                <w:rFonts w:hint="eastAsia" w:ascii="Times New Roman" w:hAnsi="Times New Roman" w:eastAsia="宋体" w:cs="Times New Roman"/>
                <w:color w:val="auto"/>
                <w:sz w:val="24"/>
                <w:szCs w:val="24"/>
                <w:lang w:val="en-US" w:eastAsia="zh-CN"/>
              </w:rPr>
              <w:t>的得</w:t>
            </w:r>
            <w:r>
              <w:rPr>
                <w:rFonts w:hint="eastAsia" w:ascii="Times New Roman" w:hAnsi="Times New Roman" w:eastAsia="宋体" w:cs="Times New Roman"/>
                <w:sz w:val="24"/>
                <w:szCs w:val="24"/>
                <w:lang w:val="en-US" w:eastAsia="zh-CN"/>
              </w:rPr>
              <w:t>5分，未提供不得分。</w:t>
            </w:r>
          </w:p>
        </w:tc>
      </w:tr>
      <w:tr w14:paraId="6800E404">
        <w:tblPrEx>
          <w:tblCellMar>
            <w:top w:w="0" w:type="dxa"/>
            <w:left w:w="108" w:type="dxa"/>
            <w:bottom w:w="0" w:type="dxa"/>
            <w:right w:w="108" w:type="dxa"/>
          </w:tblCellMar>
        </w:tblPrEx>
        <w:trPr>
          <w:trHeight w:val="485" w:hRule="atLeast"/>
        </w:trPr>
        <w:tc>
          <w:tcPr>
            <w:tcW w:w="513" w:type="pct"/>
            <w:tcBorders>
              <w:left w:val="single" w:color="auto" w:sz="4" w:space="0"/>
              <w:bottom w:val="single" w:color="auto" w:sz="4" w:space="0"/>
              <w:right w:val="single" w:color="auto" w:sz="4" w:space="0"/>
            </w:tcBorders>
            <w:vAlign w:val="center"/>
          </w:tcPr>
          <w:p w14:paraId="1DF709BD">
            <w:pPr>
              <w:widowControl/>
              <w:jc w:val="center"/>
              <w:rPr>
                <w:rFonts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shd w:val="clear" w:color="auto" w:fill="auto"/>
            <w:vAlign w:val="center"/>
          </w:tcPr>
          <w:p w14:paraId="4098D709">
            <w:pPr>
              <w:jc w:val="left"/>
              <w:rPr>
                <w:rFonts w:hint="eastAsia" w:ascii="宋体" w:hAnsi="宋体" w:eastAsia="宋体" w:cs="宋体"/>
                <w:kern w:val="0"/>
                <w:sz w:val="24"/>
                <w:szCs w:val="24"/>
                <w:lang w:val="en-US" w:eastAsia="zh-CN" w:bidi="ar-SA"/>
              </w:rPr>
            </w:pPr>
            <w:r>
              <w:rPr>
                <w:rFonts w:hint="eastAsia"/>
                <w:sz w:val="24"/>
                <w:szCs w:val="24"/>
              </w:rPr>
              <w:t>备注：以上项目若有缺项的，该项为0分；不缺项的，不低于最低分。</w:t>
            </w:r>
          </w:p>
        </w:tc>
      </w:tr>
      <w:bookmarkEnd w:id="107"/>
      <w:bookmarkEnd w:id="108"/>
    </w:tbl>
    <w:p w14:paraId="1FE6A21B">
      <w:pPr>
        <w:rPr>
          <w:rFonts w:hint="eastAsia"/>
        </w:rPr>
      </w:pPr>
      <w:r>
        <w:rPr>
          <w:rFonts w:hint="eastAsia"/>
        </w:rPr>
        <w:br w:type="page"/>
      </w:r>
    </w:p>
    <w:p w14:paraId="78DBFC91">
      <w:pPr>
        <w:pStyle w:val="2"/>
        <w:bidi w:val="0"/>
        <w:jc w:val="center"/>
        <w:rPr>
          <w:rFonts w:ascii="宋体" w:hAnsi="宋体" w:cs="宋体"/>
          <w:b/>
          <w:bCs/>
          <w:szCs w:val="36"/>
        </w:rPr>
      </w:pPr>
      <w:r>
        <w:rPr>
          <w:rFonts w:hint="eastAsia"/>
        </w:rPr>
        <w:t>第四章  合同条款及格式</w:t>
      </w:r>
      <w:bookmarkEnd w:id="109"/>
    </w:p>
    <w:p w14:paraId="5DEE3F11">
      <w:pPr>
        <w:pStyle w:val="254"/>
        <w:jc w:val="center"/>
        <w:rPr>
          <w:rFonts w:ascii="宋体" w:hAnsi="宋体"/>
          <w:b/>
          <w:sz w:val="24"/>
          <w:szCs w:val="24"/>
        </w:rPr>
      </w:pPr>
    </w:p>
    <w:p w14:paraId="5BF89999">
      <w:pPr>
        <w:pStyle w:val="254"/>
        <w:jc w:val="center"/>
        <w:rPr>
          <w:rFonts w:hint="eastAsia" w:ascii="宋体" w:hAnsi="宋体" w:eastAsia="宋体" w:cs="Times New Roman"/>
          <w:b/>
          <w:sz w:val="24"/>
          <w:szCs w:val="24"/>
        </w:rPr>
      </w:pPr>
      <w:r>
        <w:rPr>
          <w:rFonts w:hint="eastAsia" w:ascii="宋体" w:hAnsi="宋体"/>
          <w:b/>
          <w:sz w:val="24"/>
          <w:szCs w:val="24"/>
        </w:rPr>
        <w:t>（此合同为范本，仅供参考</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具</w:t>
      </w:r>
      <w:r>
        <w:rPr>
          <w:rFonts w:hint="eastAsia" w:ascii="宋体" w:hAnsi="宋体" w:eastAsia="宋体" w:cs="Times New Roman"/>
          <w:b/>
          <w:sz w:val="24"/>
          <w:szCs w:val="24"/>
          <w:lang w:val="en-US" w:eastAsia="zh-CN"/>
        </w:rPr>
        <w:t>内容</w:t>
      </w:r>
      <w:r>
        <w:rPr>
          <w:rFonts w:hint="eastAsia" w:ascii="宋体" w:hAnsi="宋体" w:eastAsia="宋体" w:cs="Times New Roman"/>
          <w:b/>
          <w:sz w:val="24"/>
          <w:szCs w:val="24"/>
        </w:rPr>
        <w:t>以甲乙双方签订合同为准）</w:t>
      </w:r>
    </w:p>
    <w:p w14:paraId="1D3EE2AE">
      <w:pPr>
        <w:pStyle w:val="254"/>
        <w:rPr>
          <w:rFonts w:ascii="宋体" w:hAnsi="宋体"/>
          <w:sz w:val="96"/>
          <w:szCs w:val="96"/>
        </w:rPr>
      </w:pPr>
      <w:r>
        <w:rPr>
          <w:rFonts w:hint="eastAsia" w:ascii="宋体" w:hAnsi="宋体"/>
          <w:b/>
          <w:sz w:val="96"/>
          <w:szCs w:val="96"/>
        </w:rPr>
        <w:t xml:space="preserve"> </w:t>
      </w:r>
    </w:p>
    <w:p w14:paraId="5C4C5B4E">
      <w:pPr>
        <w:pStyle w:val="254"/>
        <w:jc w:val="center"/>
        <w:rPr>
          <w:rFonts w:ascii="宋体" w:hAnsi="宋体"/>
          <w:b/>
          <w:sz w:val="72"/>
          <w:szCs w:val="72"/>
        </w:rPr>
      </w:pPr>
      <w:r>
        <w:rPr>
          <w:rFonts w:hint="eastAsia" w:ascii="宋体" w:hAnsi="宋体"/>
          <w:b/>
          <w:sz w:val="72"/>
          <w:szCs w:val="72"/>
        </w:rPr>
        <w:t>政府采购合同</w:t>
      </w:r>
    </w:p>
    <w:p w14:paraId="7CED5BD2">
      <w:pPr>
        <w:pStyle w:val="254"/>
        <w:jc w:val="center"/>
        <w:rPr>
          <w:rFonts w:ascii="宋体" w:hAnsi="宋体"/>
          <w:b/>
          <w:sz w:val="96"/>
          <w:szCs w:val="96"/>
        </w:rPr>
      </w:pPr>
      <w:r>
        <w:rPr>
          <w:rFonts w:hint="eastAsia" w:ascii="宋体" w:hAnsi="宋体"/>
          <w:b/>
          <w:sz w:val="96"/>
          <w:szCs w:val="96"/>
        </w:rPr>
        <w:t xml:space="preserve"> </w:t>
      </w:r>
    </w:p>
    <w:p w14:paraId="0E99BCD5">
      <w:pPr>
        <w:pStyle w:val="254"/>
        <w:jc w:val="center"/>
        <w:rPr>
          <w:rFonts w:ascii="宋体" w:hAnsi="宋体"/>
          <w:b/>
          <w:sz w:val="96"/>
          <w:szCs w:val="96"/>
        </w:rPr>
      </w:pPr>
      <w:r>
        <w:rPr>
          <w:rFonts w:hint="eastAsia" w:ascii="宋体" w:hAnsi="宋体"/>
          <w:b/>
          <w:sz w:val="96"/>
          <w:szCs w:val="96"/>
        </w:rPr>
        <w:t xml:space="preserve"> </w:t>
      </w:r>
    </w:p>
    <w:p w14:paraId="090E5998">
      <w:pPr>
        <w:pStyle w:val="254"/>
        <w:ind w:firstLine="640" w:firstLineChars="200"/>
        <w:rPr>
          <w:rFonts w:ascii="仿宋" w:hAnsi="仿宋" w:eastAsia="仿宋"/>
          <w:sz w:val="32"/>
          <w:szCs w:val="32"/>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14:paraId="1119DB12">
      <w:pPr>
        <w:pStyle w:val="254"/>
        <w:ind w:firstLine="640" w:firstLineChars="200"/>
        <w:rPr>
          <w:rFonts w:ascii="仿宋" w:hAnsi="仿宋" w:eastAsia="仿宋"/>
          <w:sz w:val="32"/>
          <w:szCs w:val="32"/>
          <w:u w:val="single"/>
        </w:rPr>
      </w:pPr>
      <w:r>
        <w:rPr>
          <w:rFonts w:hint="eastAsia" w:ascii="仿宋" w:hAnsi="仿宋" w:eastAsia="仿宋"/>
          <w:sz w:val="32"/>
          <w:szCs w:val="32"/>
        </w:rPr>
        <w:t>政府采购管理部门备案编号：</w:t>
      </w:r>
      <w:r>
        <w:rPr>
          <w:rFonts w:hint="eastAsia" w:ascii="仿宋" w:hAnsi="仿宋" w:eastAsia="仿宋"/>
          <w:sz w:val="32"/>
          <w:szCs w:val="32"/>
          <w:u w:val="single"/>
        </w:rPr>
        <w:t xml:space="preserve">                   </w:t>
      </w:r>
    </w:p>
    <w:p w14:paraId="37BE3D0F">
      <w:pPr>
        <w:pStyle w:val="254"/>
        <w:ind w:firstLine="640" w:firstLineChars="200"/>
        <w:rPr>
          <w:rFonts w:ascii="仿宋" w:hAnsi="仿宋" w:eastAsia="仿宋"/>
          <w:sz w:val="32"/>
          <w:szCs w:val="32"/>
        </w:rPr>
      </w:pPr>
      <w:r>
        <w:rPr>
          <w:rFonts w:hint="eastAsia" w:ascii="仿宋" w:hAnsi="仿宋" w:eastAsia="仿宋"/>
          <w:sz w:val="32"/>
          <w:szCs w:val="32"/>
        </w:rPr>
        <w:t>招标文件编号：</w:t>
      </w:r>
      <w:r>
        <w:rPr>
          <w:rFonts w:hint="eastAsia" w:ascii="仿宋" w:hAnsi="仿宋" w:eastAsia="仿宋"/>
          <w:sz w:val="32"/>
          <w:szCs w:val="32"/>
          <w:u w:val="single"/>
        </w:rPr>
        <w:t xml:space="preserve">                           </w:t>
      </w:r>
    </w:p>
    <w:p w14:paraId="32B460C5">
      <w:pPr>
        <w:pStyle w:val="254"/>
        <w:ind w:firstLine="640" w:firstLineChars="200"/>
        <w:rPr>
          <w:rFonts w:ascii="仿宋" w:hAnsi="仿宋" w:eastAsia="仿宋"/>
          <w:sz w:val="32"/>
          <w:szCs w:val="32"/>
        </w:rPr>
      </w:pPr>
      <w:r>
        <w:rPr>
          <w:rFonts w:hint="eastAsia" w:ascii="仿宋" w:hAnsi="仿宋" w:eastAsia="仿宋"/>
          <w:sz w:val="32"/>
          <w:szCs w:val="32"/>
        </w:rPr>
        <w:t>甲方合同编号：</w:t>
      </w:r>
      <w:r>
        <w:rPr>
          <w:rFonts w:hint="eastAsia" w:ascii="仿宋" w:hAnsi="仿宋" w:eastAsia="仿宋"/>
          <w:sz w:val="32"/>
          <w:szCs w:val="32"/>
          <w:u w:val="single"/>
        </w:rPr>
        <w:t xml:space="preserve">                               </w:t>
      </w:r>
    </w:p>
    <w:p w14:paraId="72ACDC8D">
      <w:pPr>
        <w:pStyle w:val="254"/>
        <w:ind w:firstLine="640" w:firstLineChars="200"/>
        <w:rPr>
          <w:rFonts w:ascii="仿宋" w:hAnsi="仿宋" w:eastAsia="仿宋"/>
          <w:sz w:val="32"/>
          <w:szCs w:val="32"/>
          <w:u w:val="single"/>
        </w:rPr>
      </w:pPr>
      <w:r>
        <w:rPr>
          <w:rFonts w:hint="eastAsia" w:ascii="仿宋" w:hAnsi="仿宋" w:eastAsia="仿宋"/>
          <w:sz w:val="32"/>
          <w:szCs w:val="32"/>
        </w:rPr>
        <w:t>甲方：</w:t>
      </w:r>
      <w:r>
        <w:rPr>
          <w:rFonts w:hint="eastAsia" w:ascii="仿宋" w:hAnsi="仿宋" w:eastAsia="仿宋"/>
          <w:sz w:val="32"/>
          <w:szCs w:val="32"/>
          <w:u w:val="single"/>
        </w:rPr>
        <w:t xml:space="preserve">                                       </w:t>
      </w:r>
    </w:p>
    <w:p w14:paraId="38D33B72">
      <w:pPr>
        <w:pStyle w:val="254"/>
        <w:ind w:firstLine="640" w:firstLineChars="200"/>
        <w:rPr>
          <w:rFonts w:ascii="仿宋" w:hAnsi="仿宋" w:eastAsia="仿宋"/>
          <w:sz w:val="32"/>
          <w:szCs w:val="32"/>
        </w:rPr>
      </w:pPr>
      <w:r>
        <w:rPr>
          <w:rFonts w:hint="eastAsia" w:ascii="仿宋" w:hAnsi="仿宋" w:eastAsia="仿宋"/>
          <w:sz w:val="32"/>
          <w:szCs w:val="32"/>
        </w:rPr>
        <w:t>乙方：</w:t>
      </w:r>
      <w:r>
        <w:rPr>
          <w:rFonts w:hint="eastAsia" w:ascii="仿宋" w:hAnsi="仿宋" w:eastAsia="仿宋"/>
          <w:sz w:val="32"/>
          <w:szCs w:val="32"/>
          <w:u w:val="single"/>
        </w:rPr>
        <w:t xml:space="preserve">                                       </w:t>
      </w:r>
    </w:p>
    <w:p w14:paraId="179361D0">
      <w:pPr>
        <w:pStyle w:val="254"/>
        <w:ind w:firstLine="640" w:firstLineChars="200"/>
        <w:rPr>
          <w:rFonts w:ascii="仿宋" w:hAnsi="仿宋" w:eastAsia="仿宋"/>
          <w:sz w:val="32"/>
          <w:szCs w:val="32"/>
          <w:u w:val="single"/>
        </w:rPr>
      </w:pPr>
      <w:r>
        <w:rPr>
          <w:rFonts w:hint="eastAsia" w:ascii="仿宋" w:hAnsi="仿宋" w:eastAsia="仿宋"/>
          <w:sz w:val="32"/>
          <w:szCs w:val="32"/>
        </w:rPr>
        <w:t>甲方合同法律审核部门：</w:t>
      </w:r>
      <w:r>
        <w:rPr>
          <w:rFonts w:hint="eastAsia" w:ascii="仿宋" w:hAnsi="仿宋" w:eastAsia="仿宋"/>
          <w:sz w:val="32"/>
          <w:szCs w:val="32"/>
          <w:u w:val="single"/>
        </w:rPr>
        <w:t xml:space="preserve">                       </w:t>
      </w:r>
    </w:p>
    <w:p w14:paraId="558E63EC">
      <w:pPr>
        <w:pStyle w:val="254"/>
        <w:spacing w:line="360" w:lineRule="auto"/>
        <w:ind w:firstLine="640" w:firstLineChars="200"/>
        <w:rPr>
          <w:rFonts w:ascii="华文中宋" w:hAnsi="华文中宋" w:eastAsia="华文中宋"/>
          <w:b/>
        </w:rPr>
      </w:pPr>
      <w:r>
        <w:rPr>
          <w:rFonts w:hint="eastAsia" w:ascii="仿宋" w:hAnsi="仿宋" w:eastAsia="仿宋"/>
          <w:sz w:val="32"/>
          <w:szCs w:val="32"/>
        </w:rPr>
        <w:t>签订时间：      年    月    日</w:t>
      </w:r>
    </w:p>
    <w:p w14:paraId="4E0F9C5F">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br w:type="page"/>
      </w:r>
      <w:r>
        <w:rPr>
          <w:rFonts w:hint="eastAsia" w:ascii="仿宋" w:hAnsi="仿宋" w:eastAsia="仿宋"/>
          <w:sz w:val="24"/>
          <w:szCs w:val="24"/>
        </w:rPr>
        <w:t>（甲方）（××项目）委托（代理机构名称）进行了政府采购。按照评委会评审推荐、甲方确定乙方为成交单位。现甲乙双方协商同意签订本合同。</w:t>
      </w:r>
    </w:p>
    <w:p w14:paraId="4A86C056">
      <w:pPr>
        <w:pStyle w:val="254"/>
        <w:spacing w:line="360" w:lineRule="auto"/>
        <w:ind w:firstLine="482" w:firstLineChars="200"/>
        <w:rPr>
          <w:rFonts w:ascii="仿宋" w:hAnsi="仿宋" w:eastAsia="仿宋"/>
          <w:b/>
          <w:sz w:val="24"/>
          <w:szCs w:val="24"/>
        </w:rPr>
      </w:pPr>
      <w:r>
        <w:rPr>
          <w:rFonts w:hint="eastAsia" w:ascii="仿宋" w:hAnsi="仿宋" w:eastAsia="仿宋"/>
          <w:b/>
          <w:sz w:val="24"/>
          <w:szCs w:val="24"/>
        </w:rPr>
        <w:t xml:space="preserve"> 合同文件</w:t>
      </w:r>
    </w:p>
    <w:p w14:paraId="292F062D">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下列与本次采购活动有关的文件及附件是本合同不可分割的组成部分，与本合同具有同等法律效力，这些文件包括但不限于：</w:t>
      </w:r>
    </w:p>
    <w:p w14:paraId="4B60AC89">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1.（××号）招标文件</w:t>
      </w:r>
    </w:p>
    <w:p w14:paraId="06DEEDF7">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2.投标文件</w:t>
      </w:r>
    </w:p>
    <w:p w14:paraId="4418E574">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3.乙方在响应时的书面承诺</w:t>
      </w:r>
    </w:p>
    <w:p w14:paraId="11B8501E">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4.（××号）成交通知书</w:t>
      </w:r>
    </w:p>
    <w:p w14:paraId="15B63194">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5.合同补充条款或说明</w:t>
      </w:r>
    </w:p>
    <w:p w14:paraId="45EA767D">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6.保密协议或条款</w:t>
      </w:r>
    </w:p>
    <w:p w14:paraId="6CBC5F2B">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7.相关附件、图纸及电子版资料</w:t>
      </w:r>
    </w:p>
    <w:p w14:paraId="56E9D3B6">
      <w:pPr>
        <w:pStyle w:val="254"/>
        <w:spacing w:line="360" w:lineRule="auto"/>
        <w:ind w:left="482"/>
        <w:rPr>
          <w:rFonts w:ascii="仿宋" w:hAnsi="仿宋" w:eastAsia="仿宋"/>
          <w:b/>
          <w:sz w:val="24"/>
          <w:szCs w:val="24"/>
        </w:rPr>
      </w:pPr>
      <w:r>
        <w:rPr>
          <w:rFonts w:hint="eastAsia" w:ascii="仿宋" w:hAnsi="仿宋" w:eastAsia="仿宋"/>
          <w:b/>
          <w:sz w:val="24"/>
          <w:szCs w:val="24"/>
        </w:rPr>
        <w:t>第二条  合同内容</w:t>
      </w:r>
    </w:p>
    <w:p w14:paraId="01347AAD">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服务名称：</w:t>
      </w:r>
    </w:p>
    <w:p w14:paraId="72A6ACCA">
      <w:pPr>
        <w:pStyle w:val="254"/>
        <w:spacing w:line="360" w:lineRule="auto"/>
        <w:ind w:left="482"/>
        <w:rPr>
          <w:rFonts w:ascii="仿宋" w:hAnsi="仿宋" w:eastAsia="仿宋"/>
          <w:b/>
          <w:sz w:val="24"/>
          <w:szCs w:val="24"/>
        </w:rPr>
      </w:pPr>
      <w:r>
        <w:rPr>
          <w:rFonts w:hint="eastAsia" w:ascii="仿宋" w:hAnsi="仿宋" w:eastAsia="仿宋"/>
          <w:b/>
          <w:sz w:val="24"/>
          <w:szCs w:val="24"/>
        </w:rPr>
        <w:t>第三条  合同总金额</w:t>
      </w:r>
    </w:p>
    <w:p w14:paraId="52D704B1">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本合同服务总金额：￥</w:t>
      </w:r>
      <w:r>
        <w:rPr>
          <w:rFonts w:hint="eastAsia" w:ascii="仿宋" w:hAnsi="仿宋" w:eastAsia="仿宋"/>
          <w:sz w:val="24"/>
          <w:szCs w:val="24"/>
          <w:u w:val="single"/>
        </w:rPr>
        <w:t xml:space="preserve">                   </w:t>
      </w:r>
      <w:r>
        <w:rPr>
          <w:rFonts w:hint="eastAsia" w:ascii="仿宋" w:hAnsi="仿宋" w:eastAsia="仿宋"/>
          <w:sz w:val="24"/>
          <w:szCs w:val="24"/>
        </w:rPr>
        <w:t>元。</w:t>
      </w:r>
    </w:p>
    <w:p w14:paraId="16C2FB25">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大写：</w:t>
      </w:r>
      <w:r>
        <w:rPr>
          <w:rFonts w:hint="eastAsia" w:ascii="仿宋" w:hAnsi="仿宋" w:eastAsia="仿宋"/>
          <w:sz w:val="24"/>
          <w:szCs w:val="24"/>
          <w:u w:val="single"/>
        </w:rPr>
        <w:t xml:space="preserve">                                      </w:t>
      </w:r>
      <w:r>
        <w:rPr>
          <w:rFonts w:hint="eastAsia" w:ascii="仿宋" w:hAnsi="仿宋" w:eastAsia="仿宋"/>
          <w:sz w:val="24"/>
          <w:szCs w:val="24"/>
        </w:rPr>
        <w:t>元。</w:t>
      </w:r>
    </w:p>
    <w:p w14:paraId="2F18C830">
      <w:pPr>
        <w:pStyle w:val="254"/>
        <w:spacing w:line="360" w:lineRule="auto"/>
        <w:ind w:left="482"/>
        <w:rPr>
          <w:rFonts w:ascii="仿宋" w:hAnsi="仿宋" w:eastAsia="仿宋"/>
          <w:b/>
          <w:sz w:val="24"/>
          <w:szCs w:val="24"/>
        </w:rPr>
      </w:pPr>
      <w:r>
        <w:rPr>
          <w:rFonts w:hint="eastAsia" w:ascii="仿宋" w:hAnsi="仿宋" w:eastAsia="仿宋"/>
          <w:b/>
          <w:sz w:val="24"/>
          <w:szCs w:val="24"/>
        </w:rPr>
        <w:t>第四条  权利义务和质量保证</w:t>
      </w:r>
    </w:p>
    <w:p w14:paraId="2D8E9AE8">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1.甲方保证服务期间，对乙方工作给予支持，提供水、电、场地等必须的基础工作条件。如乙方有需要，还应提供履行合同所必需的有文件、数据、资料等。没有甲方事先同意，乙方不得将甲方资料提供给与履行本合同无关的任何其他人。即使向履行本合同有关的人员提供，也应注意保密并限于履行合同的必需范围内。</w:t>
      </w:r>
    </w:p>
    <w:p w14:paraId="7EF176FE">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3D713DD8">
      <w:pPr>
        <w:pStyle w:val="254"/>
        <w:spacing w:line="360" w:lineRule="auto"/>
        <w:ind w:left="482"/>
        <w:rPr>
          <w:rFonts w:ascii="仿宋" w:hAnsi="仿宋" w:eastAsia="仿宋"/>
          <w:b/>
          <w:sz w:val="24"/>
          <w:szCs w:val="24"/>
        </w:rPr>
      </w:pPr>
      <w:r>
        <w:rPr>
          <w:rFonts w:hint="eastAsia" w:ascii="仿宋" w:hAnsi="仿宋" w:eastAsia="仿宋"/>
          <w:b/>
          <w:sz w:val="24"/>
          <w:szCs w:val="24"/>
        </w:rPr>
        <w:t>第五条  付款方式</w:t>
      </w:r>
    </w:p>
    <w:p w14:paraId="60633884">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1.本合同项下所有款项均以人民币支付。</w:t>
      </w:r>
    </w:p>
    <w:p w14:paraId="1DB06F3F">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按项目进度阶段性付款；</w:t>
      </w:r>
    </w:p>
    <w:p w14:paraId="0EBD01F2">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（2）经甲方确认的发票；</w:t>
      </w:r>
    </w:p>
    <w:p w14:paraId="4B8F5F81">
      <w:pPr>
        <w:pStyle w:val="254"/>
        <w:spacing w:line="360" w:lineRule="auto"/>
        <w:ind w:firstLine="480" w:firstLineChars="200"/>
        <w:rPr>
          <w:rFonts w:ascii="仿宋" w:hAnsi="仿宋" w:eastAsia="仿宋"/>
          <w:sz w:val="24"/>
          <w:szCs w:val="24"/>
          <w:u w:val="single"/>
        </w:rPr>
      </w:pPr>
      <w:r>
        <w:rPr>
          <w:rFonts w:hint="eastAsia" w:ascii="仿宋" w:hAnsi="仿宋" w:eastAsia="仿宋"/>
          <w:sz w:val="24"/>
          <w:szCs w:val="24"/>
        </w:rPr>
        <w:t>3.付款方式：</w:t>
      </w:r>
      <w:r>
        <w:rPr>
          <w:rFonts w:hint="eastAsia" w:ascii="仿宋" w:hAnsi="仿宋" w:eastAsia="仿宋"/>
          <w:sz w:val="24"/>
          <w:szCs w:val="24"/>
          <w:u w:val="single"/>
        </w:rPr>
        <w:t xml:space="preserve">                                   </w:t>
      </w:r>
    </w:p>
    <w:p w14:paraId="2A4AEB60">
      <w:pPr>
        <w:pStyle w:val="254"/>
        <w:spacing w:line="360" w:lineRule="auto"/>
        <w:ind w:left="482"/>
        <w:rPr>
          <w:rFonts w:ascii="仿宋" w:hAnsi="仿宋" w:eastAsia="仿宋"/>
          <w:b/>
          <w:sz w:val="24"/>
          <w:szCs w:val="24"/>
        </w:rPr>
      </w:pPr>
      <w:r>
        <w:rPr>
          <w:rFonts w:hint="eastAsia" w:ascii="仿宋" w:hAnsi="仿宋" w:eastAsia="仿宋"/>
          <w:b/>
          <w:sz w:val="24"/>
          <w:szCs w:val="24"/>
        </w:rPr>
        <w:t>第六条  履约保证金</w:t>
      </w:r>
    </w:p>
    <w:p w14:paraId="3A5C8FD8">
      <w:pPr>
        <w:pStyle w:val="254"/>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免收履约保证金。</w:t>
      </w:r>
    </w:p>
    <w:p w14:paraId="444548C9">
      <w:pPr>
        <w:pStyle w:val="254"/>
        <w:spacing w:line="360" w:lineRule="auto"/>
        <w:ind w:left="482"/>
        <w:rPr>
          <w:rFonts w:ascii="仿宋" w:hAnsi="仿宋" w:eastAsia="仿宋"/>
          <w:b/>
          <w:sz w:val="24"/>
          <w:szCs w:val="24"/>
        </w:rPr>
      </w:pPr>
      <w:r>
        <w:rPr>
          <w:rFonts w:hint="eastAsia" w:ascii="仿宋" w:hAnsi="仿宋" w:eastAsia="仿宋"/>
          <w:b/>
          <w:sz w:val="24"/>
          <w:szCs w:val="24"/>
        </w:rPr>
        <w:t>第七条  验收</w:t>
      </w:r>
    </w:p>
    <w:p w14:paraId="2732077E">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1.服务期限： </w:t>
      </w:r>
      <w:r>
        <w:rPr>
          <w:rFonts w:hint="eastAsia" w:ascii="仿宋" w:hAnsi="仿宋" w:eastAsia="仿宋"/>
          <w:sz w:val="24"/>
          <w:szCs w:val="24"/>
          <w:u w:val="single"/>
        </w:rPr>
        <w:t xml:space="preserve">           </w:t>
      </w:r>
      <w:r>
        <w:rPr>
          <w:rFonts w:hint="eastAsia" w:ascii="仿宋" w:hAnsi="仿宋" w:eastAsia="仿宋"/>
          <w:sz w:val="24"/>
          <w:szCs w:val="24"/>
        </w:rPr>
        <w:t>。</w:t>
      </w:r>
    </w:p>
    <w:p w14:paraId="4DB06B2D">
      <w:pPr>
        <w:pStyle w:val="254"/>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服务地点： </w:t>
      </w:r>
      <w:r>
        <w:rPr>
          <w:rFonts w:hint="eastAsia" w:ascii="仿宋" w:hAnsi="仿宋" w:eastAsia="仿宋"/>
          <w:sz w:val="24"/>
          <w:szCs w:val="24"/>
          <w:u w:val="single"/>
        </w:rPr>
        <w:t xml:space="preserve">           </w:t>
      </w:r>
      <w:r>
        <w:rPr>
          <w:rFonts w:hint="eastAsia" w:ascii="仿宋" w:hAnsi="仿宋" w:eastAsia="仿宋"/>
          <w:sz w:val="24"/>
          <w:szCs w:val="24"/>
        </w:rPr>
        <w:t>。</w:t>
      </w:r>
    </w:p>
    <w:p w14:paraId="54A26187">
      <w:pPr>
        <w:pStyle w:val="254"/>
        <w:spacing w:line="360" w:lineRule="auto"/>
        <w:ind w:firstLine="720" w:firstLineChars="300"/>
        <w:rPr>
          <w:rFonts w:ascii="仿宋" w:hAnsi="仿宋" w:eastAsia="仿宋"/>
          <w:sz w:val="24"/>
          <w:szCs w:val="24"/>
          <w:u w:val="single"/>
        </w:rPr>
      </w:pPr>
      <w:r>
        <w:rPr>
          <w:rFonts w:hint="eastAsia" w:ascii="仿宋" w:hAnsi="仿宋" w:eastAsia="仿宋"/>
          <w:sz w:val="24"/>
          <w:szCs w:val="24"/>
        </w:rPr>
        <w:t xml:space="preserve">验收时间： </w:t>
      </w:r>
      <w:r>
        <w:rPr>
          <w:rFonts w:hint="eastAsia" w:ascii="仿宋" w:hAnsi="仿宋" w:eastAsia="仿宋"/>
          <w:sz w:val="24"/>
          <w:szCs w:val="24"/>
          <w:u w:val="single"/>
        </w:rPr>
        <w:t xml:space="preserve">                                        </w:t>
      </w:r>
      <w:r>
        <w:rPr>
          <w:rFonts w:hint="eastAsia" w:ascii="仿宋" w:hAnsi="仿宋" w:eastAsia="仿宋"/>
          <w:sz w:val="24"/>
          <w:szCs w:val="24"/>
        </w:rPr>
        <w:t>。</w:t>
      </w:r>
    </w:p>
    <w:p w14:paraId="15A6FC19">
      <w:pPr>
        <w:pStyle w:val="254"/>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验收地点： </w:t>
      </w:r>
      <w:r>
        <w:rPr>
          <w:rFonts w:hint="eastAsia" w:ascii="仿宋" w:hAnsi="仿宋" w:eastAsia="仿宋"/>
          <w:sz w:val="24"/>
          <w:szCs w:val="24"/>
          <w:u w:val="single"/>
        </w:rPr>
        <w:t xml:space="preserve">                                        </w:t>
      </w:r>
      <w:r>
        <w:rPr>
          <w:rFonts w:hint="eastAsia" w:ascii="仿宋" w:hAnsi="仿宋" w:eastAsia="仿宋"/>
          <w:sz w:val="24"/>
          <w:szCs w:val="24"/>
        </w:rPr>
        <w:t>。</w:t>
      </w:r>
    </w:p>
    <w:p w14:paraId="08A601D8">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 乙方应对提供的服务成果作出全面自查和整理，并列出清单，作为甲方验收和使用的服务条件依据，清单应随提供的服务成果交给甲方。</w:t>
      </w:r>
    </w:p>
    <w:p w14:paraId="5AA21202">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3F967AF0">
      <w:pPr>
        <w:pStyle w:val="254"/>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4.甲方可以视项目规模或复杂情况聘请专业人员参与验收，大型或复杂项目，以及涉及专业服务内容的应当邀请国家认可的第三方质量检测机构参与验收，也可以视项目情况邀请参加本项目招标的落标人参与验收。</w:t>
      </w:r>
    </w:p>
    <w:p w14:paraId="20120AC9">
      <w:pPr>
        <w:pStyle w:val="254"/>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5.如根据项目实施情况需要分阶段验收，则双方分阶段签署《验收报告》。</w:t>
      </w:r>
    </w:p>
    <w:p w14:paraId="00DA6DF8">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6.如果合同双方对《验收报告》有分歧，双方须于出现分歧后</w:t>
      </w:r>
      <w:r>
        <w:rPr>
          <w:rFonts w:hint="eastAsia" w:ascii="仿宋" w:hAnsi="仿宋" w:eastAsia="仿宋"/>
          <w:sz w:val="24"/>
          <w:szCs w:val="24"/>
          <w:u w:val="single"/>
        </w:rPr>
        <w:t xml:space="preserve"> 2</w:t>
      </w:r>
      <w:r>
        <w:rPr>
          <w:rFonts w:hint="eastAsia" w:ascii="仿宋" w:hAnsi="仿宋" w:eastAsia="仿宋"/>
          <w:sz w:val="24"/>
          <w:szCs w:val="24"/>
        </w:rPr>
        <w:t>天内给对方书面声明，以陈述己方的理由及要求，并附有关证据。分歧应通过协商解决。</w:t>
      </w:r>
    </w:p>
    <w:p w14:paraId="40043B3D">
      <w:pPr>
        <w:pStyle w:val="254"/>
        <w:spacing w:line="360" w:lineRule="auto"/>
        <w:ind w:left="482"/>
        <w:rPr>
          <w:rFonts w:ascii="仿宋" w:hAnsi="仿宋" w:eastAsia="仿宋"/>
          <w:b/>
          <w:sz w:val="24"/>
          <w:szCs w:val="24"/>
        </w:rPr>
      </w:pPr>
      <w:r>
        <w:rPr>
          <w:rFonts w:hint="eastAsia" w:ascii="仿宋" w:hAnsi="仿宋" w:eastAsia="仿宋"/>
          <w:b/>
          <w:sz w:val="24"/>
          <w:szCs w:val="24"/>
        </w:rPr>
        <w:t>第八条  项目管理服务</w:t>
      </w:r>
    </w:p>
    <w:p w14:paraId="77253E24">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乙方应组建技术熟练、称职的团队全面履行合同,并指定不少于一人全权全程负责本项目服务的落实，包括服务的咨询、执行和后续工作。</w:t>
      </w:r>
    </w:p>
    <w:p w14:paraId="15D73D7D">
      <w:pPr>
        <w:pStyle w:val="254"/>
        <w:snapToGrid w:val="0"/>
        <w:spacing w:line="360" w:lineRule="auto"/>
        <w:ind w:firstLine="481"/>
        <w:textAlignment w:val="baseline"/>
        <w:rPr>
          <w:rFonts w:ascii="仿宋" w:hAnsi="仿宋" w:eastAsia="仿宋"/>
        </w:rPr>
      </w:pPr>
      <w:r>
        <w:rPr>
          <w:rFonts w:hint="eastAsia" w:ascii="仿宋" w:hAnsi="仿宋" w:eastAsia="仿宋"/>
          <w:sz w:val="24"/>
          <w:szCs w:val="24"/>
        </w:rPr>
        <w:t xml:space="preserve">项目负责人姓名： </w:t>
      </w:r>
      <w:r>
        <w:rPr>
          <w:rFonts w:hint="eastAsia" w:ascii="仿宋" w:hAnsi="仿宋" w:eastAsia="仿宋"/>
          <w:sz w:val="24"/>
          <w:szCs w:val="24"/>
          <w:u w:val="single" w:color="000000"/>
        </w:rPr>
        <w:t xml:space="preserve">              </w:t>
      </w:r>
      <w:r>
        <w:rPr>
          <w:rFonts w:hint="eastAsia" w:ascii="仿宋" w:hAnsi="仿宋" w:eastAsia="仿宋"/>
          <w:sz w:val="24"/>
          <w:szCs w:val="24"/>
        </w:rPr>
        <w:t>； 联系电话：</w:t>
      </w:r>
      <w:r>
        <w:rPr>
          <w:rFonts w:hint="eastAsia" w:ascii="仿宋" w:hAnsi="仿宋" w:eastAsia="仿宋"/>
          <w:sz w:val="24"/>
          <w:szCs w:val="24"/>
          <w:u w:val="single" w:color="000000"/>
        </w:rPr>
        <w:t xml:space="preserve">                      </w:t>
      </w:r>
      <w:r>
        <w:rPr>
          <w:rFonts w:hint="eastAsia" w:ascii="仿宋" w:hAnsi="仿宋" w:eastAsia="仿宋"/>
          <w:sz w:val="24"/>
          <w:szCs w:val="24"/>
        </w:rPr>
        <w:t>。</w:t>
      </w:r>
    </w:p>
    <w:p w14:paraId="3C41145F">
      <w:pPr>
        <w:pStyle w:val="254"/>
        <w:spacing w:line="360" w:lineRule="auto"/>
        <w:ind w:firstLine="472" w:firstLineChars="196"/>
        <w:rPr>
          <w:rFonts w:ascii="仿宋" w:hAnsi="仿宋" w:eastAsia="仿宋"/>
          <w:b/>
          <w:sz w:val="24"/>
          <w:szCs w:val="24"/>
        </w:rPr>
      </w:pPr>
      <w:r>
        <w:rPr>
          <w:rFonts w:hint="eastAsia" w:ascii="仿宋" w:hAnsi="仿宋" w:eastAsia="仿宋"/>
          <w:b/>
          <w:sz w:val="24"/>
          <w:szCs w:val="24"/>
        </w:rPr>
        <w:t>第九条  售后服务</w:t>
      </w:r>
    </w:p>
    <w:p w14:paraId="36420315">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1.乙方提供服务的质量保证期为自服务通过最终验收之日起</w:t>
      </w:r>
      <w:r>
        <w:rPr>
          <w:rFonts w:hint="eastAsia" w:ascii="仿宋" w:hAnsi="仿宋" w:eastAsia="仿宋"/>
          <w:sz w:val="24"/>
          <w:szCs w:val="24"/>
          <w:u w:val="single"/>
        </w:rPr>
        <w:t xml:space="preserve">    </w:t>
      </w:r>
      <w:r>
        <w:rPr>
          <w:rFonts w:hint="eastAsia" w:ascii="仿宋" w:hAnsi="仿宋" w:eastAsia="仿宋"/>
          <w:sz w:val="24"/>
          <w:szCs w:val="24"/>
        </w:rPr>
        <w:t>个月。若国家有明确规定的质量保证期高于此质量保证期的，执行国家规定。</w:t>
      </w:r>
    </w:p>
    <w:p w14:paraId="37E49F07">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2.服务期内，乙方应提供相关服务支持。对甲方所反映的任何服务问题在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（小时）之内做出及时响应，在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（小时）之内赶到现场实地解决问题。若问题在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（小时）后仍无法解决，乙方应在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（小时）内免费提供服务的补偿、替换方案，直至服务恢复正常。</w:t>
      </w:r>
    </w:p>
    <w:p w14:paraId="356976C9">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3.乙方必须遵守甲方的有关管理制度、操作规程。对于乙方违规操作造成甲方损失的，由乙方按照本合同第十二条的约定承担赔偿责任。</w:t>
      </w:r>
    </w:p>
    <w:p w14:paraId="7EE82078">
      <w:pPr>
        <w:pStyle w:val="254"/>
        <w:spacing w:line="360" w:lineRule="auto"/>
        <w:ind w:left="482"/>
        <w:rPr>
          <w:rFonts w:ascii="仿宋" w:hAnsi="仿宋" w:eastAsia="仿宋"/>
          <w:b/>
          <w:sz w:val="24"/>
          <w:szCs w:val="24"/>
        </w:rPr>
      </w:pPr>
      <w:r>
        <w:rPr>
          <w:rFonts w:hint="eastAsia" w:ascii="仿宋" w:hAnsi="仿宋" w:eastAsia="仿宋"/>
          <w:b/>
          <w:sz w:val="24"/>
          <w:szCs w:val="24"/>
        </w:rPr>
        <w:t>第十条  分包</w:t>
      </w:r>
    </w:p>
    <w:p w14:paraId="7CF07273">
      <w:pPr>
        <w:pStyle w:val="254"/>
        <w:spacing w:line="360" w:lineRule="auto"/>
        <w:ind w:firstLine="480" w:firstLineChars="200"/>
        <w:rPr>
          <w:rFonts w:ascii="仿宋" w:hAnsi="仿宋" w:eastAsia="仿宋"/>
          <w:strike/>
          <w:sz w:val="24"/>
          <w:szCs w:val="24"/>
        </w:rPr>
      </w:pPr>
      <w:r>
        <w:rPr>
          <w:rFonts w:hint="eastAsia" w:ascii="仿宋" w:hAnsi="仿宋" w:eastAsia="仿宋"/>
          <w:sz w:val="24"/>
          <w:szCs w:val="24"/>
        </w:rPr>
        <w:t>除招标文件事先说明、且经甲方事先书面同意外，乙方不得分包、转包其应履行的合同义务。</w:t>
      </w:r>
    </w:p>
    <w:p w14:paraId="5E337C80">
      <w:pPr>
        <w:pStyle w:val="254"/>
        <w:spacing w:line="360" w:lineRule="auto"/>
        <w:ind w:firstLine="482" w:firstLineChars="200"/>
        <w:rPr>
          <w:rFonts w:ascii="仿宋" w:hAnsi="仿宋" w:eastAsia="仿宋"/>
          <w:b/>
          <w:sz w:val="24"/>
          <w:szCs w:val="24"/>
        </w:rPr>
      </w:pPr>
      <w:r>
        <w:rPr>
          <w:rFonts w:hint="eastAsia" w:ascii="仿宋" w:hAnsi="仿宋" w:eastAsia="仿宋"/>
          <w:b/>
          <w:sz w:val="24"/>
          <w:szCs w:val="24"/>
        </w:rPr>
        <w:t>第十一条  合同的生效</w:t>
      </w:r>
    </w:p>
    <w:p w14:paraId="3475C57B">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1.本合同经甲乙双方授权代表签字并加盖公章或合同专用章后生效。</w:t>
      </w:r>
    </w:p>
    <w:p w14:paraId="6739A9BC">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2.生效后，除《政府采购法》第49条、第50条第二款规定的情形外，甲乙双方不得擅自变更、中止或终止合同。</w:t>
      </w:r>
    </w:p>
    <w:p w14:paraId="39A12640">
      <w:pPr>
        <w:pStyle w:val="254"/>
        <w:spacing w:line="360" w:lineRule="auto"/>
        <w:ind w:left="482"/>
        <w:rPr>
          <w:rFonts w:ascii="仿宋" w:hAnsi="仿宋" w:eastAsia="仿宋"/>
          <w:b/>
          <w:sz w:val="24"/>
          <w:szCs w:val="24"/>
        </w:rPr>
      </w:pPr>
      <w:r>
        <w:rPr>
          <w:rFonts w:hint="eastAsia" w:ascii="仿宋" w:hAnsi="仿宋" w:eastAsia="仿宋"/>
          <w:b/>
          <w:sz w:val="24"/>
          <w:szCs w:val="24"/>
        </w:rPr>
        <w:t>第十二条  违约责任</w:t>
      </w:r>
    </w:p>
    <w:p w14:paraId="03203C79">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1.乙方所交付服务成果不符合本合同规定的，甲方有权拒收，乙方在得到甲方通知之日起</w:t>
      </w:r>
      <w:r>
        <w:rPr>
          <w:rFonts w:hint="eastAsia" w:ascii="仿宋" w:hAnsi="仿宋" w:eastAsia="仿宋"/>
          <w:sz w:val="24"/>
          <w:szCs w:val="24"/>
          <w:u w:val="single"/>
        </w:rPr>
        <w:t xml:space="preserve">  1  </w:t>
      </w:r>
      <w:r>
        <w:rPr>
          <w:rFonts w:hint="eastAsia" w:ascii="仿宋" w:hAnsi="仿宋" w:eastAsia="仿宋"/>
          <w:sz w:val="24"/>
          <w:szCs w:val="24"/>
        </w:rPr>
        <w:t>个工作日内采取补救措施，逾期仍未采取有效措施的，甲方有权要求乙方赔偿因此造成的损失或扣留履约保证金；同时乙方应向甲方支付合同总价</w:t>
      </w:r>
      <w:r>
        <w:rPr>
          <w:rFonts w:hint="eastAsia" w:ascii="仿宋" w:hAnsi="仿宋" w:eastAsia="仿宋"/>
          <w:sz w:val="24"/>
          <w:szCs w:val="24"/>
          <w:u w:val="single"/>
        </w:rPr>
        <w:t xml:space="preserve">   5  </w:t>
      </w:r>
      <w:r>
        <w:rPr>
          <w:rFonts w:hint="eastAsia" w:ascii="仿宋" w:hAnsi="仿宋" w:eastAsia="仿宋"/>
          <w:sz w:val="24"/>
          <w:szCs w:val="24"/>
        </w:rPr>
        <w:t>％的违约金。</w:t>
      </w:r>
    </w:p>
    <w:p w14:paraId="6D1C05E8">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2.甲方无正当理由拒收服务，甲方应向乙方偿付拒付服务费用 </w:t>
      </w:r>
      <w:r>
        <w:rPr>
          <w:rFonts w:hint="eastAsia" w:ascii="仿宋" w:hAnsi="仿宋" w:eastAsia="仿宋"/>
          <w:sz w:val="24"/>
          <w:szCs w:val="24"/>
          <w:u w:val="single"/>
        </w:rPr>
        <w:t xml:space="preserve">  0.5  </w:t>
      </w:r>
      <w:r>
        <w:rPr>
          <w:rFonts w:hint="eastAsia" w:ascii="仿宋" w:hAnsi="仿宋" w:eastAsia="仿宋"/>
          <w:sz w:val="24"/>
          <w:szCs w:val="24"/>
        </w:rPr>
        <w:t>％的违约金。</w:t>
      </w:r>
    </w:p>
    <w:p w14:paraId="4D665001">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3.乙方无正当理由逾期交付服务的，每逾期1天，乙方向甲方偿付合同总额的</w:t>
      </w:r>
      <w:r>
        <w:rPr>
          <w:rFonts w:hint="eastAsia" w:ascii="仿宋" w:hAnsi="仿宋" w:eastAsia="仿宋"/>
          <w:sz w:val="24"/>
          <w:szCs w:val="24"/>
          <w:u w:val="single"/>
        </w:rPr>
        <w:t xml:space="preserve">  1  </w:t>
      </w:r>
      <w:r>
        <w:rPr>
          <w:rFonts w:hint="eastAsia" w:ascii="仿宋" w:hAnsi="仿宋" w:eastAsia="仿宋"/>
          <w:sz w:val="24"/>
          <w:szCs w:val="24"/>
        </w:rPr>
        <w:t>‰的违约金。如乙方逾期达</w:t>
      </w:r>
      <w:r>
        <w:rPr>
          <w:rFonts w:hint="eastAsia" w:ascii="仿宋" w:hAnsi="仿宋" w:eastAsia="仿宋"/>
          <w:sz w:val="24"/>
          <w:szCs w:val="24"/>
          <w:u w:val="single"/>
        </w:rPr>
        <w:t xml:space="preserve">  1  </w:t>
      </w:r>
      <w:r>
        <w:rPr>
          <w:rFonts w:hint="eastAsia" w:ascii="仿宋" w:hAnsi="仿宋" w:eastAsia="仿宋"/>
          <w:sz w:val="24"/>
          <w:szCs w:val="24"/>
        </w:rPr>
        <w:t>天，甲方有权解除合同，甲方解除合同的通知自到达乙方时生效。在此情况下，乙方给甲方造成的实际损失高于违约金的，对高出违约金的部分乙方应予以赔偿。</w:t>
      </w:r>
    </w:p>
    <w:p w14:paraId="07B66A68">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4.甲方未按合同规定的期限向乙方支付合同款的，每逾期1天甲方向乙方偿付欠款总额的</w:t>
      </w:r>
      <w:r>
        <w:rPr>
          <w:rFonts w:hint="eastAsia" w:ascii="仿宋" w:hAnsi="仿宋" w:eastAsia="仿宋"/>
          <w:sz w:val="24"/>
          <w:szCs w:val="24"/>
          <w:u w:val="single"/>
        </w:rPr>
        <w:t xml:space="preserve">  0.5  </w:t>
      </w:r>
      <w:r>
        <w:rPr>
          <w:rFonts w:hint="eastAsia" w:ascii="仿宋" w:hAnsi="仿宋" w:eastAsia="仿宋"/>
          <w:sz w:val="24"/>
          <w:szCs w:val="24"/>
        </w:rPr>
        <w:t>‰违约金，但累计违约金总额不超过欠款总额的</w:t>
      </w:r>
      <w:r>
        <w:rPr>
          <w:rFonts w:hint="eastAsia" w:ascii="仿宋" w:hAnsi="仿宋" w:eastAsia="仿宋"/>
          <w:sz w:val="24"/>
          <w:szCs w:val="24"/>
          <w:u w:val="single"/>
        </w:rPr>
        <w:t xml:space="preserve">  1  </w:t>
      </w:r>
      <w:r>
        <w:rPr>
          <w:rFonts w:hint="eastAsia" w:ascii="仿宋" w:hAnsi="仿宋" w:eastAsia="仿宋"/>
          <w:sz w:val="24"/>
          <w:szCs w:val="24"/>
        </w:rPr>
        <w:t>％。</w:t>
      </w:r>
    </w:p>
    <w:p w14:paraId="691001A5">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5.其它未尽事宜，以《中华人民共和国民法典》和《政府采购法》等有关法律法规规定为准，无相关规定的，双方协商解决。</w:t>
      </w:r>
    </w:p>
    <w:p w14:paraId="22FAA3B4">
      <w:pPr>
        <w:pStyle w:val="254"/>
        <w:spacing w:line="360" w:lineRule="auto"/>
        <w:ind w:left="482"/>
        <w:rPr>
          <w:rFonts w:ascii="仿宋" w:hAnsi="仿宋" w:eastAsia="仿宋"/>
          <w:b/>
          <w:sz w:val="24"/>
          <w:szCs w:val="24"/>
        </w:rPr>
      </w:pPr>
      <w:r>
        <w:rPr>
          <w:rFonts w:hint="eastAsia" w:ascii="仿宋" w:hAnsi="仿宋" w:eastAsia="仿宋"/>
          <w:b/>
          <w:sz w:val="24"/>
          <w:szCs w:val="24"/>
        </w:rPr>
        <w:t>第十三条  不可抗力</w:t>
      </w:r>
    </w:p>
    <w:p w14:paraId="1FDDF19E">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甲、乙方中任何一方，因不可抗力不能按时或完全履行合同的，应及时通知对方，并在</w:t>
      </w:r>
      <w:r>
        <w:rPr>
          <w:rFonts w:hint="eastAsia" w:ascii="仿宋" w:hAnsi="仿宋" w:eastAsia="仿宋"/>
          <w:sz w:val="24"/>
          <w:szCs w:val="24"/>
          <w:u w:val="single"/>
        </w:rPr>
        <w:t xml:space="preserve">  1  </w:t>
      </w:r>
      <w:r>
        <w:rPr>
          <w:rFonts w:hint="eastAsia" w:ascii="仿宋" w:hAnsi="仿宋" w:eastAsia="仿宋"/>
          <w:sz w:val="24"/>
          <w:szCs w:val="24"/>
        </w:rPr>
        <w:t>个工作日内提供相应证明，结算服务费用。未履行的部分是否继续履行、如何履行等问题，可由双方初步协商，并向主管部门和政府采购管理部门报告。确定为不可抗力原因造成的损失，免予承担责任。</w:t>
      </w:r>
    </w:p>
    <w:p w14:paraId="475DA11A">
      <w:pPr>
        <w:pStyle w:val="254"/>
        <w:spacing w:line="360" w:lineRule="auto"/>
        <w:ind w:left="482"/>
        <w:rPr>
          <w:rFonts w:ascii="仿宋" w:hAnsi="仿宋" w:eastAsia="仿宋"/>
          <w:b/>
          <w:sz w:val="24"/>
          <w:szCs w:val="24"/>
        </w:rPr>
      </w:pPr>
      <w:r>
        <w:rPr>
          <w:rFonts w:hint="eastAsia" w:ascii="仿宋" w:hAnsi="仿宋" w:eastAsia="仿宋"/>
          <w:b/>
          <w:sz w:val="24"/>
          <w:szCs w:val="24"/>
        </w:rPr>
        <w:t>第十四条  争议的解决方式</w:t>
      </w:r>
    </w:p>
    <w:p w14:paraId="67761C66">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1.因服务质量问题发生争议的，应当邀请国家认可的质量检测机构对服务进行鉴定。服务符合标准的，鉴定费由甲方承担；不符合质量标准的，鉴定费由乙方承担。</w:t>
      </w:r>
    </w:p>
    <w:p w14:paraId="4FEF3733">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2.在解释或者执行本合同的过程中发生争议时，双方应通过协商方式解决。</w:t>
      </w:r>
    </w:p>
    <w:p w14:paraId="32D1E612">
      <w:pPr>
        <w:pStyle w:val="254"/>
        <w:spacing w:line="480" w:lineRule="exact"/>
        <w:ind w:firstLine="480" w:firstLineChars="200"/>
        <w:rPr>
          <w:rFonts w:ascii="仿宋" w:hAnsi="仿宋" w:eastAsia="仿宋"/>
          <w:sz w:val="24"/>
          <w:szCs w:val="24"/>
        </w:rPr>
      </w:pPr>
      <w:r>
        <w:rPr>
          <w:rFonts w:hint="eastAsia" w:ascii="仿宋" w:hAnsi="仿宋" w:eastAsia="仿宋"/>
          <w:sz w:val="24"/>
          <w:szCs w:val="24"/>
        </w:rPr>
        <w:t>3.经协商不能解决的争议，双方可选择以下第</w:t>
      </w:r>
      <w:r>
        <w:rPr>
          <w:rFonts w:hint="eastAsia" w:ascii="仿宋" w:hAnsi="仿宋" w:eastAsia="仿宋"/>
          <w:sz w:val="24"/>
          <w:szCs w:val="24"/>
          <w:u w:val="single"/>
        </w:rPr>
        <w:t xml:space="preserve">   </w:t>
      </w:r>
      <w:r>
        <w:rPr>
          <w:rFonts w:hint="eastAsia" w:ascii="仿宋" w:hAnsi="仿宋" w:eastAsia="仿宋"/>
          <w:sz w:val="24"/>
          <w:szCs w:val="24"/>
        </w:rPr>
        <w:t>种方式解决：</w:t>
      </w:r>
    </w:p>
    <w:p w14:paraId="2DD8CE87">
      <w:pPr>
        <w:pStyle w:val="254"/>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①</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市有管辖权的法院提起诉讼；</w:t>
      </w:r>
    </w:p>
    <w:p w14:paraId="18339C7B">
      <w:pPr>
        <w:pStyle w:val="254"/>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②</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仲裁委员会提出仲裁。</w:t>
      </w:r>
    </w:p>
    <w:p w14:paraId="2C119E81">
      <w:pPr>
        <w:pStyle w:val="254"/>
        <w:spacing w:line="480" w:lineRule="exact"/>
        <w:ind w:firstLine="480" w:firstLineChars="200"/>
        <w:rPr>
          <w:rFonts w:ascii="仿宋" w:hAnsi="仿宋" w:eastAsia="仿宋"/>
          <w:sz w:val="24"/>
          <w:szCs w:val="24"/>
        </w:rPr>
      </w:pPr>
      <w:r>
        <w:rPr>
          <w:rFonts w:hint="eastAsia" w:ascii="仿宋" w:hAnsi="仿宋" w:eastAsia="仿宋"/>
          <w:sz w:val="24"/>
          <w:szCs w:val="24"/>
        </w:rPr>
        <w:t>4.在法院审理和仲裁期间，除有争议部分外，本合同其他部分可以履行的仍应按合同条款继续履行。</w:t>
      </w:r>
    </w:p>
    <w:p w14:paraId="1A33DE8C">
      <w:pPr>
        <w:pStyle w:val="254"/>
        <w:spacing w:line="360" w:lineRule="auto"/>
        <w:ind w:left="482"/>
        <w:rPr>
          <w:rFonts w:ascii="仿宋" w:hAnsi="仿宋" w:eastAsia="仿宋"/>
          <w:b/>
          <w:sz w:val="24"/>
          <w:szCs w:val="24"/>
        </w:rPr>
      </w:pPr>
      <w:r>
        <w:rPr>
          <w:rFonts w:hint="eastAsia" w:ascii="仿宋" w:hAnsi="仿宋" w:eastAsia="仿宋"/>
          <w:b/>
          <w:sz w:val="24"/>
          <w:szCs w:val="24"/>
        </w:rPr>
        <w:t>第十五条  其他</w:t>
      </w:r>
    </w:p>
    <w:p w14:paraId="0DAB632D">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符合《政府采购法》第49条规定的，经双方协商，办理政府采购手续后，可签订补充合同，所签订的补充合同与本合同具有同等法律效力。</w:t>
      </w:r>
    </w:p>
    <w:p w14:paraId="123A74E9">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肆 </w:t>
      </w:r>
      <w:r>
        <w:rPr>
          <w:rFonts w:hint="eastAsia" w:ascii="仿宋" w:hAnsi="仿宋" w:eastAsia="仿宋"/>
          <w:sz w:val="24"/>
          <w:szCs w:val="24"/>
        </w:rPr>
        <w:t>份，甲、乙双方各执</w:t>
      </w:r>
      <w:r>
        <w:rPr>
          <w:rFonts w:hint="eastAsia" w:ascii="仿宋" w:hAnsi="仿宋" w:eastAsia="仿宋"/>
          <w:sz w:val="24"/>
          <w:szCs w:val="24"/>
          <w:u w:val="single"/>
        </w:rPr>
        <w:t xml:space="preserve"> 贰   </w:t>
      </w:r>
      <w:r>
        <w:rPr>
          <w:rFonts w:hint="eastAsia" w:ascii="仿宋" w:hAnsi="仿宋" w:eastAsia="仿宋"/>
          <w:sz w:val="24"/>
          <w:szCs w:val="24"/>
        </w:rPr>
        <w:t>份。</w:t>
      </w:r>
    </w:p>
    <w:p w14:paraId="43DD0D13">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w:t>
      </w:r>
    </w:p>
    <w:p w14:paraId="5CE4ECFD">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甲   方：                        乙   方：</w:t>
      </w:r>
    </w:p>
    <w:p w14:paraId="467EAD77">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名称：（盖章）                   名称：（盖章）</w:t>
      </w:r>
    </w:p>
    <w:p w14:paraId="38230209">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地址：                           地址：</w:t>
      </w:r>
    </w:p>
    <w:p w14:paraId="047718BC">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法定代表人（签字）：             法定代表人（签字）：</w:t>
      </w:r>
    </w:p>
    <w:p w14:paraId="0C92E082">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授权代表（签字）：               授权代表（签字）：</w:t>
      </w:r>
    </w:p>
    <w:p w14:paraId="4B027AED">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开户银行：                       开户银行（基本账户）：</w:t>
      </w:r>
    </w:p>
    <w:p w14:paraId="167BCFA7">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银行帐号：                       银行帐号（基本账户）：</w:t>
      </w:r>
    </w:p>
    <w:p w14:paraId="2E0F1C5E">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甲方合同法律审核（盖章）：</w:t>
      </w:r>
    </w:p>
    <w:p w14:paraId="2DED5569">
      <w:pPr>
        <w:pStyle w:val="254"/>
        <w:spacing w:line="360" w:lineRule="auto"/>
        <w:ind w:firstLine="480" w:firstLineChars="200"/>
        <w:rPr>
          <w:rFonts w:ascii="仿宋" w:hAnsi="仿宋" w:eastAsia="仿宋"/>
          <w:sz w:val="24"/>
          <w:szCs w:val="24"/>
        </w:rPr>
      </w:pPr>
      <w:r>
        <w:rPr>
          <w:rFonts w:hint="eastAsia" w:ascii="仿宋" w:hAnsi="仿宋" w:eastAsia="仿宋"/>
          <w:sz w:val="24"/>
          <w:szCs w:val="24"/>
        </w:rPr>
        <w:t>时间：         年     月     日</w:t>
      </w:r>
    </w:p>
    <w:p w14:paraId="2D8CB3D9">
      <w:pPr>
        <w:pStyle w:val="254"/>
        <w:spacing w:line="480" w:lineRule="exact"/>
        <w:ind w:firstLine="480" w:firstLineChars="200"/>
        <w:rPr>
          <w:rFonts w:ascii="仿宋" w:hAnsi="仿宋" w:eastAsia="仿宋"/>
          <w:sz w:val="24"/>
          <w:szCs w:val="24"/>
        </w:rPr>
      </w:pPr>
      <w:r>
        <w:rPr>
          <w:rFonts w:hint="eastAsia" w:ascii="仿宋" w:hAnsi="仿宋" w:eastAsia="仿宋"/>
          <w:sz w:val="24"/>
          <w:szCs w:val="24"/>
        </w:rPr>
        <w:t>特别说明：</w:t>
      </w:r>
    </w:p>
    <w:p w14:paraId="01F00525">
      <w:pPr>
        <w:pStyle w:val="254"/>
        <w:spacing w:line="480" w:lineRule="exact"/>
        <w:ind w:firstLine="480" w:firstLineChars="200"/>
        <w:rPr>
          <w:rFonts w:ascii="仿宋" w:hAnsi="仿宋" w:eastAsia="仿宋"/>
          <w:sz w:val="24"/>
          <w:szCs w:val="24"/>
        </w:rPr>
      </w:pPr>
      <w:r>
        <w:rPr>
          <w:rFonts w:hint="eastAsia" w:ascii="仿宋" w:hAnsi="仿宋" w:eastAsia="仿宋"/>
          <w:sz w:val="24"/>
          <w:szCs w:val="24"/>
        </w:rPr>
        <w:t>1.本范本根据《政府采购法》、《中华人民共和国民法典》等法律法规制定。具体项目的采购合同条款，在本范本框架内由甲乙双方协商一致签订。空格处划横线。</w:t>
      </w:r>
    </w:p>
    <w:p w14:paraId="450AEEF2">
      <w:pPr>
        <w:pStyle w:val="254"/>
        <w:spacing w:line="480" w:lineRule="exact"/>
        <w:ind w:firstLine="480" w:firstLineChars="200"/>
        <w:rPr>
          <w:rFonts w:ascii="仿宋" w:hAnsi="仿宋" w:eastAsia="仿宋"/>
          <w:sz w:val="24"/>
          <w:szCs w:val="24"/>
        </w:rPr>
      </w:pPr>
      <w:r>
        <w:rPr>
          <w:rFonts w:hint="eastAsia" w:ascii="仿宋" w:hAnsi="仿宋" w:eastAsia="仿宋"/>
          <w:sz w:val="24"/>
          <w:szCs w:val="24"/>
        </w:rPr>
        <w:t>2.收款单位名称应与本合同乙方单位名称、项目成交单位名称、开具发票单位名称相一致。</w:t>
      </w:r>
    </w:p>
    <w:p w14:paraId="445D0EBD">
      <w:pPr>
        <w:pStyle w:val="254"/>
        <w:spacing w:line="480" w:lineRule="exact"/>
        <w:ind w:firstLine="480" w:firstLineChars="200"/>
        <w:rPr>
          <w:rFonts w:ascii="仿宋" w:hAnsi="仿宋" w:eastAsia="仿宋"/>
          <w:sz w:val="24"/>
          <w:szCs w:val="24"/>
        </w:rPr>
      </w:pPr>
      <w:r>
        <w:rPr>
          <w:rFonts w:hint="eastAsia" w:ascii="仿宋" w:hAnsi="仿宋" w:eastAsia="仿宋"/>
          <w:sz w:val="24"/>
          <w:szCs w:val="24"/>
        </w:rPr>
        <w:t>3.甲方（采购单位）应盖本单位公章（不允许盖内设科室章），乙方应盖单位公章或合同专用章，合同双方应盖骑缝章。</w:t>
      </w:r>
    </w:p>
    <w:p w14:paraId="54F13062">
      <w:pPr>
        <w:pStyle w:val="254"/>
        <w:spacing w:line="480" w:lineRule="exact"/>
        <w:ind w:firstLine="480" w:firstLineChars="200"/>
        <w:rPr>
          <w:rFonts w:ascii="仿宋_GB2312" w:hAnsi="宋体"/>
          <w:sz w:val="24"/>
          <w:szCs w:val="24"/>
          <w:u w:val="single"/>
        </w:rPr>
      </w:pPr>
      <w:r>
        <w:rPr>
          <w:rFonts w:hint="eastAsia" w:ascii="仿宋" w:hAnsi="仿宋" w:eastAsia="仿宋"/>
          <w:sz w:val="24"/>
          <w:szCs w:val="24"/>
        </w:rPr>
        <w:t>4. 除涉密项目外，根据《政府采购法实施条例》第50条规定：采购人应当自政府采购合同签订之日起2个工作日内，将政府采购合同在省级以上人民政府财政部门指定的媒体上公告。</w:t>
      </w:r>
    </w:p>
    <w:p w14:paraId="5DCD7E69">
      <w:pPr>
        <w:jc w:val="center"/>
        <w:rPr>
          <w:rFonts w:ascii="宋体" w:hAnsi="宋体" w:cs="宋体"/>
          <w:b/>
          <w:bCs/>
          <w:sz w:val="24"/>
          <w:szCs w:val="24"/>
        </w:rPr>
      </w:pPr>
    </w:p>
    <w:p w14:paraId="05A102B9">
      <w:pPr>
        <w:jc w:val="center"/>
        <w:rPr>
          <w:rFonts w:ascii="宋体" w:hAnsi="宋体" w:cs="宋体"/>
          <w:b/>
          <w:bCs/>
          <w:sz w:val="24"/>
          <w:szCs w:val="24"/>
        </w:rPr>
      </w:pPr>
    </w:p>
    <w:p w14:paraId="3717F213">
      <w:pPr>
        <w:jc w:val="center"/>
        <w:rPr>
          <w:rFonts w:ascii="宋体" w:hAnsi="宋体" w:cs="宋体"/>
          <w:b/>
          <w:bCs/>
          <w:sz w:val="24"/>
          <w:szCs w:val="24"/>
        </w:rPr>
      </w:pPr>
    </w:p>
    <w:p w14:paraId="7F19007A">
      <w:pPr>
        <w:jc w:val="center"/>
        <w:rPr>
          <w:rFonts w:ascii="宋体" w:hAnsi="宋体" w:cs="宋体"/>
          <w:b/>
          <w:bCs/>
          <w:sz w:val="24"/>
          <w:szCs w:val="24"/>
        </w:rPr>
      </w:pPr>
    </w:p>
    <w:p w14:paraId="55FBECA9">
      <w:pPr>
        <w:jc w:val="center"/>
        <w:rPr>
          <w:rFonts w:ascii="宋体" w:hAnsi="宋体" w:cs="宋体"/>
          <w:b/>
          <w:bCs/>
          <w:sz w:val="24"/>
          <w:szCs w:val="24"/>
        </w:rPr>
      </w:pPr>
    </w:p>
    <w:p w14:paraId="438A2FE3">
      <w:pPr>
        <w:jc w:val="center"/>
        <w:rPr>
          <w:rFonts w:ascii="宋体" w:hAnsi="宋体" w:cs="宋体"/>
          <w:b/>
          <w:bCs/>
          <w:sz w:val="24"/>
          <w:szCs w:val="24"/>
        </w:rPr>
      </w:pPr>
    </w:p>
    <w:p w14:paraId="2257D2DE">
      <w:pPr>
        <w:jc w:val="center"/>
        <w:rPr>
          <w:rFonts w:ascii="宋体" w:hAnsi="宋体" w:cs="宋体"/>
          <w:b/>
          <w:bCs/>
          <w:sz w:val="24"/>
          <w:szCs w:val="24"/>
        </w:rPr>
      </w:pPr>
    </w:p>
    <w:p w14:paraId="7A10EA6D">
      <w:pPr>
        <w:jc w:val="center"/>
        <w:rPr>
          <w:rFonts w:ascii="宋体" w:hAnsi="宋体" w:cs="宋体"/>
          <w:b/>
          <w:bCs/>
          <w:sz w:val="24"/>
          <w:szCs w:val="24"/>
        </w:rPr>
      </w:pPr>
    </w:p>
    <w:p w14:paraId="3DCDA780">
      <w:pPr>
        <w:jc w:val="center"/>
        <w:rPr>
          <w:rFonts w:ascii="宋体" w:hAnsi="宋体" w:cs="宋体"/>
          <w:b/>
          <w:bCs/>
          <w:sz w:val="24"/>
          <w:szCs w:val="24"/>
        </w:rPr>
      </w:pPr>
    </w:p>
    <w:p w14:paraId="69FBAF3A">
      <w:pPr>
        <w:jc w:val="center"/>
        <w:rPr>
          <w:rFonts w:ascii="宋体" w:hAnsi="宋体" w:cs="宋体"/>
          <w:b/>
          <w:bCs/>
          <w:sz w:val="24"/>
          <w:szCs w:val="24"/>
        </w:rPr>
      </w:pPr>
    </w:p>
    <w:p w14:paraId="5A4EFD0A">
      <w:pPr>
        <w:pStyle w:val="2"/>
        <w:bidi w:val="0"/>
        <w:jc w:val="center"/>
        <w:rPr>
          <w:color w:val="auto"/>
          <w:szCs w:val="36"/>
        </w:rPr>
      </w:pPr>
      <w:bookmarkStart w:id="110" w:name="_Toc12464209"/>
      <w:bookmarkStart w:id="111" w:name="_Toc22407"/>
      <w:bookmarkStart w:id="112" w:name="_Toc514226064"/>
      <w:bookmarkStart w:id="113" w:name="_Toc377025612"/>
      <w:bookmarkStart w:id="114" w:name="_Toc512673808"/>
      <w:bookmarkStart w:id="115" w:name="_Toc632"/>
      <w:r>
        <w:rPr>
          <w:rFonts w:hint="eastAsia"/>
          <w:color w:val="auto"/>
        </w:rPr>
        <w:t xml:space="preserve">第五章  </w:t>
      </w:r>
      <w:bookmarkEnd w:id="110"/>
      <w:r>
        <w:rPr>
          <w:rFonts w:hint="eastAsia"/>
          <w:color w:val="auto"/>
        </w:rPr>
        <w:t>采购需求</w:t>
      </w:r>
      <w:bookmarkEnd w:id="111"/>
    </w:p>
    <w:p w14:paraId="53A987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lang w:val="en-US"/>
        </w:rPr>
      </w:pPr>
      <w:bookmarkStart w:id="116" w:name="_Toc25626"/>
      <w:r>
        <w:rPr>
          <w:rFonts w:hint="eastAsia" w:ascii="宋体" w:hAnsi="宋体" w:cs="宋体"/>
          <w:sz w:val="28"/>
          <w:szCs w:val="28"/>
          <w:lang w:val="en-US" w:eastAsia="zh-CN"/>
        </w:rPr>
        <w:t>一、项目名称：</w:t>
      </w:r>
      <w:r>
        <w:rPr>
          <w:rFonts w:hint="eastAsia" w:ascii="宋体" w:hAnsi="宋体" w:eastAsia="宋体" w:cs="宋体"/>
          <w:sz w:val="28"/>
          <w:szCs w:val="28"/>
          <w:lang w:eastAsia="zh-CN"/>
        </w:rPr>
        <w:t>陕州区地下水国考点位隐患排查技术服务项目</w:t>
      </w:r>
    </w:p>
    <w:p w14:paraId="0936DA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rPr>
        <w:t>、采购内容</w:t>
      </w:r>
      <w:r>
        <w:rPr>
          <w:rFonts w:hint="eastAsia" w:ascii="宋体" w:hAnsi="宋体" w:eastAsia="宋体" w:cs="宋体"/>
          <w:sz w:val="28"/>
          <w:szCs w:val="28"/>
          <w:lang w:val="en-US" w:eastAsia="zh-CN"/>
        </w:rPr>
        <w:t>: 围绕陕州区地下水国考点位对周边10公里范围内进行全面科学的隐患排查和论证，查找具体原因并制定可行达标方案，确保地下水国考点位水质不断改善向好。</w:t>
      </w:r>
    </w:p>
    <w:p w14:paraId="5C5D85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三</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项目地点：三门峡市陕州区</w:t>
      </w:r>
    </w:p>
    <w:p w14:paraId="6C28C9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color w:val="auto"/>
          <w:sz w:val="28"/>
          <w:szCs w:val="28"/>
          <w:lang w:val="en-US" w:eastAsia="zh-CN"/>
        </w:rPr>
        <w:t>服务期</w:t>
      </w:r>
      <w:r>
        <w:rPr>
          <w:rFonts w:hint="eastAsia" w:ascii="宋体" w:hAnsi="宋体" w:eastAsia="宋体" w:cs="宋体"/>
          <w:color w:val="auto"/>
          <w:sz w:val="28"/>
          <w:szCs w:val="28"/>
        </w:rPr>
        <w:t>：自合同签订之日起</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个月</w:t>
      </w:r>
    </w:p>
    <w:p w14:paraId="44549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Times New Roman"/>
          <w:sz w:val="24"/>
          <w:lang w:val="en-US" w:eastAsia="zh-CN"/>
        </w:rPr>
      </w:pPr>
      <w:r>
        <w:rPr>
          <w:rFonts w:hint="eastAsia" w:ascii="宋体" w:hAnsi="宋体" w:eastAsia="宋体" w:cs="宋体"/>
          <w:sz w:val="28"/>
          <w:szCs w:val="28"/>
          <w:lang w:val="en-US" w:eastAsia="zh-CN"/>
        </w:rPr>
        <w:t>五</w:t>
      </w:r>
      <w:r>
        <w:rPr>
          <w:rFonts w:hint="eastAsia" w:ascii="宋体" w:hAnsi="宋体" w:eastAsia="宋体" w:cs="宋体"/>
          <w:sz w:val="28"/>
          <w:szCs w:val="28"/>
        </w:rPr>
        <w:t>、质量要求：</w:t>
      </w:r>
      <w:r>
        <w:rPr>
          <w:rFonts w:hint="eastAsia" w:ascii="宋体" w:hAnsi="宋体" w:eastAsia="宋体" w:cs="宋体"/>
          <w:sz w:val="28"/>
          <w:szCs w:val="28"/>
          <w:lang w:eastAsia="zh-CN"/>
        </w:rPr>
        <w:t>符合国家及地方行业相关规范及采购人要求</w:t>
      </w:r>
    </w:p>
    <w:p w14:paraId="55508A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六、项目要求</w:t>
      </w:r>
    </w:p>
    <w:p w14:paraId="682E11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1、技术要求：</w:t>
      </w:r>
    </w:p>
    <w:p w14:paraId="259C91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供应商具有完善的质量管理体系，能严格执行《地下水污染地质调查评价规范》（DD2008-01）等国家及行业标准；具备地下水污染数值模拟、风险评估及达标方案编制的技术能力。</w:t>
      </w:r>
    </w:p>
    <w:p w14:paraId="0E0BA9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2、项目实施要求</w:t>
      </w:r>
    </w:p>
    <w:p w14:paraId="78068FB2">
      <w:pPr>
        <w:pStyle w:val="58"/>
        <w:ind w:left="0" w:leftChars="0" w:firstLine="560" w:firstLineChars="200"/>
        <w:rPr>
          <w:rFonts w:hint="eastAsia"/>
          <w:lang w:val="en-US" w:eastAsia="zh-CN"/>
        </w:rPr>
      </w:pPr>
      <w:r>
        <w:rPr>
          <w:rFonts w:hint="eastAsia" w:ascii="宋体" w:hAnsi="宋体" w:eastAsia="宋体" w:cs="宋体"/>
          <w:color w:val="auto"/>
          <w:sz w:val="28"/>
          <w:szCs w:val="28"/>
          <w:lang w:val="en-US" w:eastAsia="zh-CN"/>
        </w:rPr>
        <w:t>成交供应商的排查方案需经过招标人业务科室同意后方可实施。</w:t>
      </w:r>
    </w:p>
    <w:p w14:paraId="469834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3、服务与成果要求（与本项目直接挂钩）</w:t>
      </w:r>
    </w:p>
    <w:p w14:paraId="5912D3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（1）成果交付：提交《陕州区地下水国考点位隐患排查报告》《污染成因分析报告》《达标方案》等成果，成果需通过专家评审及采购人验收。</w:t>
      </w:r>
    </w:p>
    <w:p w14:paraId="7483C3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成果需符合国家及地方行业规范，数据真实可靠，方案具备可操作性。</w:t>
      </w:r>
    </w:p>
    <w:p w14:paraId="12A0F5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sz w:val="28"/>
          <w:szCs w:val="28"/>
          <w:lang w:val="en-US" w:eastAsia="zh-CN"/>
        </w:rPr>
        <w:t>成交供应商需按招标人要求，配合完成数据上报、成果归档及后续技术支撑工作。</w:t>
      </w:r>
    </w:p>
    <w:p w14:paraId="393433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br w:type="page"/>
      </w:r>
    </w:p>
    <w:p w14:paraId="7D00FD08">
      <w:pPr>
        <w:pStyle w:val="2"/>
        <w:bidi w:val="0"/>
        <w:jc w:val="center"/>
        <w:rPr>
          <w:rFonts w:ascii="宋体" w:hAnsi="宋体" w:cs="宋体"/>
          <w:szCs w:val="44"/>
        </w:rPr>
      </w:pPr>
      <w:r>
        <w:rPr>
          <w:rFonts w:hint="eastAsia"/>
        </w:rPr>
        <w:t xml:space="preserve">第六章  </w:t>
      </w:r>
      <w:bookmarkEnd w:id="112"/>
      <w:r>
        <w:rPr>
          <w:rFonts w:hint="eastAsia"/>
        </w:rPr>
        <w:t>竞争性磋商响应文件格式</w:t>
      </w:r>
      <w:bookmarkEnd w:id="116"/>
    </w:p>
    <w:p w14:paraId="16EE2A61">
      <w:pPr>
        <w:pStyle w:val="3"/>
        <w:spacing w:before="260" w:after="260" w:line="413" w:lineRule="auto"/>
        <w:jc w:val="center"/>
        <w:rPr>
          <w:rFonts w:hAnsi="宋体"/>
          <w:b w:val="0"/>
          <w:w w:val="200"/>
          <w:sz w:val="44"/>
          <w:szCs w:val="44"/>
        </w:rPr>
      </w:pPr>
      <w:bookmarkStart w:id="117" w:name="_Toc377025611"/>
      <w:bookmarkStart w:id="118" w:name="_Toc18553"/>
      <w:bookmarkStart w:id="119" w:name="_Toc16690678"/>
      <w:bookmarkStart w:id="120" w:name="_Toc11245"/>
      <w:bookmarkStart w:id="121" w:name="_Toc514226065"/>
      <w:r>
        <w:rPr>
          <w:rFonts w:hint="eastAsia" w:ascii="Arial" w:eastAsia="黑体" w:cs="Times New Roman"/>
          <w:sz w:val="44"/>
          <w:szCs w:val="44"/>
          <w:lang w:eastAsia="zh-CN"/>
        </w:rPr>
        <w:t>（</w:t>
      </w:r>
      <w:r>
        <w:rPr>
          <w:rFonts w:hint="eastAsia" w:ascii="Arial" w:eastAsia="黑体" w:cs="Times New Roman"/>
          <w:sz w:val="44"/>
          <w:szCs w:val="44"/>
        </w:rPr>
        <w:t>封面</w:t>
      </w:r>
      <w:bookmarkEnd w:id="117"/>
      <w:bookmarkEnd w:id="118"/>
      <w:bookmarkEnd w:id="119"/>
      <w:bookmarkEnd w:id="120"/>
      <w:bookmarkEnd w:id="121"/>
      <w:r>
        <w:rPr>
          <w:rFonts w:hint="eastAsia" w:ascii="Arial" w:eastAsia="黑体" w:cs="Times New Roman"/>
          <w:sz w:val="44"/>
          <w:szCs w:val="44"/>
          <w:lang w:eastAsia="zh-CN"/>
        </w:rPr>
        <w:t>）</w:t>
      </w:r>
    </w:p>
    <w:p w14:paraId="661E1486">
      <w:pPr>
        <w:spacing w:line="400" w:lineRule="exact"/>
        <w:rPr>
          <w:rFonts w:ascii="宋体" w:hAnsi="宋体"/>
          <w:b/>
          <w:bCs/>
          <w:sz w:val="52"/>
          <w:szCs w:val="52"/>
        </w:rPr>
      </w:pPr>
      <w:r>
        <w:rPr>
          <w:rFonts w:hint="eastAsia" w:ascii="宋体" w:hAnsi="宋体"/>
          <w:sz w:val="48"/>
        </w:rPr>
        <w:t xml:space="preserve"> </w:t>
      </w:r>
      <w:r>
        <w:rPr>
          <w:rFonts w:hint="eastAsia" w:ascii="华文新魏" w:eastAsia="华文新魏"/>
        </w:rPr>
        <w:t xml:space="preserve">  </w:t>
      </w:r>
      <w:r>
        <w:rPr>
          <w:rFonts w:hint="eastAsia" w:ascii="宋体" w:hAnsi="宋体"/>
          <w:sz w:val="48"/>
        </w:rPr>
        <w:t xml:space="preserve"> </w:t>
      </w:r>
      <w:r>
        <w:rPr>
          <w:rFonts w:hint="eastAsia" w:ascii="宋体" w:hAnsi="宋体"/>
          <w:b/>
          <w:bCs/>
          <w:sz w:val="48"/>
          <w:szCs w:val="48"/>
        </w:rPr>
        <w:t xml:space="preserve">           </w:t>
      </w:r>
      <w:r>
        <w:rPr>
          <w:rFonts w:hint="eastAsia" w:ascii="宋体" w:hAnsi="宋体"/>
          <w:b/>
          <w:bCs/>
          <w:sz w:val="52"/>
          <w:szCs w:val="52"/>
        </w:rPr>
        <w:t xml:space="preserve">   </w:t>
      </w:r>
    </w:p>
    <w:p w14:paraId="62DE5782">
      <w:pPr>
        <w:keepNext w:val="0"/>
        <w:keepLines w:val="0"/>
        <w:pageBreakBefore w:val="0"/>
        <w:widowControl w:val="0"/>
        <w:kinsoku/>
        <w:wordWrap/>
        <w:overflowPunct/>
        <w:topLinePunct w:val="0"/>
        <w:autoSpaceDE/>
        <w:autoSpaceDN/>
        <w:bidi w:val="0"/>
        <w:adjustRightInd/>
        <w:snapToGrid/>
        <w:spacing w:line="360" w:lineRule="auto"/>
        <w:jc w:val="center"/>
        <w:textAlignment w:val="baseline"/>
        <w:rPr>
          <w:rFonts w:hint="eastAsia" w:ascii="宋体" w:hAnsi="宋体" w:cs="宋体"/>
          <w:b/>
          <w:bCs/>
          <w:spacing w:val="-11"/>
          <w:sz w:val="48"/>
          <w:szCs w:val="48"/>
          <w:lang w:eastAsia="zh-CN"/>
        </w:rPr>
      </w:pPr>
      <w:r>
        <w:rPr>
          <w:rFonts w:hint="eastAsia" w:ascii="宋体" w:hAnsi="宋体" w:cs="宋体"/>
          <w:b/>
          <w:bCs/>
          <w:spacing w:val="-11"/>
          <w:sz w:val="48"/>
          <w:szCs w:val="48"/>
          <w:lang w:eastAsia="zh-CN"/>
        </w:rPr>
        <w:t>陕州区地下水国考点位隐患排查</w:t>
      </w:r>
    </w:p>
    <w:p w14:paraId="6644EB88">
      <w:pPr>
        <w:spacing w:afterLines="100" w:line="360" w:lineRule="auto"/>
        <w:jc w:val="center"/>
        <w:textAlignment w:val="baseline"/>
        <w:rPr>
          <w:rFonts w:hint="eastAsia" w:ascii="宋体" w:hAnsi="宋体" w:eastAsia="宋体" w:cs="宋体"/>
          <w:b/>
          <w:bCs/>
          <w:spacing w:val="-11"/>
          <w:sz w:val="52"/>
          <w:szCs w:val="52"/>
          <w:lang w:eastAsia="zh-CN"/>
        </w:rPr>
      </w:pPr>
      <w:r>
        <w:rPr>
          <w:rFonts w:hint="eastAsia" w:ascii="宋体" w:hAnsi="宋体" w:cs="宋体"/>
          <w:b/>
          <w:bCs/>
          <w:spacing w:val="-11"/>
          <w:sz w:val="48"/>
          <w:szCs w:val="48"/>
          <w:lang w:eastAsia="zh-CN"/>
        </w:rPr>
        <w:t>技术服务项目</w:t>
      </w:r>
    </w:p>
    <w:p w14:paraId="1216B390">
      <w:pPr>
        <w:spacing w:line="360" w:lineRule="auto"/>
        <w:jc w:val="center"/>
        <w:textAlignment w:val="baseline"/>
        <w:rPr>
          <w:rFonts w:ascii="宋体" w:hAnsi="宋体"/>
          <w:b/>
          <w:sz w:val="72"/>
          <w:szCs w:val="72"/>
        </w:rPr>
      </w:pPr>
      <w:r>
        <w:rPr>
          <w:rFonts w:hint="eastAsia" w:ascii="宋体" w:hAnsi="宋体"/>
          <w:b/>
          <w:sz w:val="72"/>
          <w:szCs w:val="72"/>
        </w:rPr>
        <w:t>响应文件</w:t>
      </w:r>
    </w:p>
    <w:p w14:paraId="7C7FCE8E">
      <w:pPr>
        <w:spacing w:line="360" w:lineRule="auto"/>
        <w:jc w:val="center"/>
        <w:textAlignment w:val="baseline"/>
        <w:rPr>
          <w:rFonts w:ascii="宋体" w:hAnsi="宋体"/>
          <w:b/>
          <w:color w:val="auto"/>
          <w:sz w:val="32"/>
          <w:szCs w:val="32"/>
        </w:rPr>
      </w:pPr>
      <w:r>
        <w:rPr>
          <w:rFonts w:hint="eastAsia" w:ascii="宋体" w:hAnsi="宋体"/>
          <w:b/>
          <w:color w:val="auto"/>
          <w:sz w:val="32"/>
          <w:szCs w:val="32"/>
        </w:rPr>
        <w:t>项目编号：</w:t>
      </w:r>
      <w:r>
        <w:rPr>
          <w:rFonts w:hint="eastAsia" w:ascii="宋体" w:hAnsi="宋体"/>
          <w:b/>
          <w:color w:val="auto"/>
          <w:sz w:val="32"/>
          <w:szCs w:val="32"/>
          <w:lang w:eastAsia="zh-CN"/>
        </w:rPr>
        <w:t xml:space="preserve">陕州竞磋采购-2026-5 </w:t>
      </w:r>
      <w:r>
        <w:rPr>
          <w:rFonts w:hint="eastAsia" w:ascii="宋体" w:hAnsi="宋体"/>
          <w:b/>
          <w:color w:val="auto"/>
          <w:sz w:val="32"/>
          <w:szCs w:val="32"/>
          <w:highlight w:val="none"/>
          <w:lang w:eastAsia="zh-CN"/>
        </w:rPr>
        <w:t xml:space="preserve"> SZGZ[2026]019-ZC014</w:t>
      </w:r>
      <w:r>
        <w:rPr>
          <w:rFonts w:ascii="宋体" w:hAnsi="宋体"/>
          <w:b/>
          <w:color w:val="auto"/>
          <w:sz w:val="32"/>
          <w:szCs w:val="32"/>
          <w:highlight w:val="none"/>
        </w:rPr>
        <w:t xml:space="preserve"> </w:t>
      </w:r>
    </w:p>
    <w:p w14:paraId="6CC66B2F">
      <w:pPr>
        <w:rPr>
          <w:rFonts w:ascii="宋体" w:hAnsi="宋体"/>
          <w:b/>
          <w:sz w:val="44"/>
          <w:szCs w:val="44"/>
        </w:rPr>
      </w:pPr>
    </w:p>
    <w:p w14:paraId="00028C4F">
      <w:pPr>
        <w:spacing w:line="360" w:lineRule="auto"/>
        <w:jc w:val="center"/>
        <w:textAlignment w:val="baseline"/>
        <w:rPr>
          <w:rFonts w:ascii="宋体" w:hAnsi="宋体"/>
          <w:b/>
          <w:w w:val="200"/>
          <w:sz w:val="28"/>
          <w:szCs w:val="28"/>
        </w:rPr>
      </w:pPr>
    </w:p>
    <w:p w14:paraId="29F71AEB">
      <w:pPr>
        <w:widowControl/>
        <w:snapToGrid w:val="0"/>
        <w:spacing w:line="365" w:lineRule="atLeast"/>
        <w:rPr>
          <w:rFonts w:ascii="仿宋_GB2312" w:eastAsia="仿宋_GB2312"/>
          <w:b/>
          <w:kern w:val="0"/>
          <w:sz w:val="36"/>
          <w:szCs w:val="36"/>
        </w:rPr>
      </w:pPr>
    </w:p>
    <w:p w14:paraId="0E138444">
      <w:pPr>
        <w:widowControl/>
        <w:snapToGrid w:val="0"/>
        <w:spacing w:line="365" w:lineRule="atLeast"/>
        <w:rPr>
          <w:rFonts w:ascii="仿宋_GB2312" w:eastAsia="仿宋_GB2312"/>
          <w:b/>
          <w:kern w:val="0"/>
          <w:sz w:val="36"/>
          <w:szCs w:val="36"/>
        </w:rPr>
      </w:pPr>
    </w:p>
    <w:p w14:paraId="14F56C79">
      <w:pPr>
        <w:widowControl/>
        <w:snapToGrid w:val="0"/>
        <w:spacing w:line="365" w:lineRule="atLeast"/>
        <w:rPr>
          <w:rFonts w:ascii="仿宋_GB2312" w:eastAsia="仿宋_GB2312"/>
          <w:b/>
          <w:kern w:val="0"/>
          <w:sz w:val="36"/>
          <w:szCs w:val="36"/>
        </w:rPr>
      </w:pPr>
    </w:p>
    <w:p w14:paraId="5AF1923A">
      <w:pPr>
        <w:spacing w:line="520" w:lineRule="exact"/>
        <w:rPr>
          <w:rFonts w:ascii="宋体" w:hAnsi="宋体"/>
          <w:b/>
          <w:sz w:val="32"/>
          <w:szCs w:val="32"/>
        </w:rPr>
      </w:pPr>
    </w:p>
    <w:p w14:paraId="4FD3E592">
      <w:pPr>
        <w:spacing w:line="520" w:lineRule="exact"/>
        <w:jc w:val="center"/>
        <w:rPr>
          <w:rFonts w:ascii="宋体" w:hAnsi="宋体"/>
          <w:b/>
          <w:sz w:val="32"/>
          <w:szCs w:val="32"/>
        </w:rPr>
      </w:pPr>
      <w:r>
        <w:rPr>
          <w:rFonts w:hint="eastAsia" w:ascii="宋体" w:hAnsi="宋体"/>
          <w:b/>
          <w:sz w:val="32"/>
          <w:szCs w:val="32"/>
        </w:rPr>
        <w:t xml:space="preserve">        </w:t>
      </w:r>
    </w:p>
    <w:p w14:paraId="07F370C2">
      <w:pPr>
        <w:spacing w:line="520" w:lineRule="exact"/>
        <w:jc w:val="center"/>
        <w:rPr>
          <w:rFonts w:ascii="宋体" w:hAnsi="宋体"/>
          <w:b/>
          <w:sz w:val="32"/>
          <w:szCs w:val="32"/>
        </w:rPr>
      </w:pPr>
    </w:p>
    <w:p w14:paraId="0B2432C6">
      <w:pPr>
        <w:spacing w:line="520" w:lineRule="exact"/>
        <w:jc w:val="center"/>
        <w:rPr>
          <w:rFonts w:ascii="宋体" w:hAnsi="宋体"/>
          <w:b/>
          <w:sz w:val="32"/>
          <w:szCs w:val="32"/>
        </w:rPr>
      </w:pPr>
    </w:p>
    <w:p w14:paraId="4810BCD3">
      <w:pPr>
        <w:spacing w:line="360" w:lineRule="auto"/>
        <w:jc w:val="center"/>
        <w:rPr>
          <w:rFonts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 xml:space="preserve"> 商：</w:t>
      </w:r>
      <w:r>
        <w:rPr>
          <w:rFonts w:hint="eastAsia" w:ascii="宋体" w:hAnsi="宋体"/>
          <w:b/>
          <w:sz w:val="32"/>
          <w:szCs w:val="32"/>
          <w:u w:val="single"/>
        </w:rPr>
        <w:t>　　　      　　　　　</w:t>
      </w:r>
      <w:r>
        <w:rPr>
          <w:rFonts w:hint="eastAsia" w:ascii="宋体" w:hAnsi="宋体"/>
          <w:b/>
          <w:sz w:val="32"/>
          <w:szCs w:val="32"/>
        </w:rPr>
        <w:t>（单位签章）</w:t>
      </w:r>
    </w:p>
    <w:p w14:paraId="3E102C5E">
      <w:pPr>
        <w:spacing w:line="360" w:lineRule="auto"/>
        <w:rPr>
          <w:rFonts w:ascii="宋体" w:hAnsi="宋体"/>
          <w:b/>
          <w:sz w:val="32"/>
          <w:szCs w:val="32"/>
        </w:rPr>
      </w:pPr>
      <w:r>
        <w:rPr>
          <w:rFonts w:hint="eastAsia" w:ascii="宋体" w:hAnsi="宋体"/>
          <w:b/>
          <w:sz w:val="32"/>
          <w:szCs w:val="32"/>
        </w:rPr>
        <w:t xml:space="preserve">      法定代表人或委托代理人：</w:t>
      </w:r>
      <w:r>
        <w:rPr>
          <w:rFonts w:hint="eastAsia" w:ascii="宋体" w:hAnsi="宋体"/>
          <w:b/>
          <w:sz w:val="32"/>
          <w:szCs w:val="32"/>
          <w:u w:val="single"/>
        </w:rPr>
        <w:t>　　　  　</w:t>
      </w:r>
      <w:r>
        <w:rPr>
          <w:rFonts w:hint="eastAsia" w:ascii="宋体" w:hAnsi="宋体"/>
          <w:b/>
          <w:sz w:val="32"/>
          <w:szCs w:val="32"/>
        </w:rPr>
        <w:t>（电子签章）</w:t>
      </w:r>
    </w:p>
    <w:p w14:paraId="18885BF3">
      <w:pPr>
        <w:spacing w:line="360" w:lineRule="auto"/>
        <w:ind w:firstLine="964" w:firstLineChars="300"/>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期：</w:t>
      </w:r>
      <w:r>
        <w:rPr>
          <w:rFonts w:hint="eastAsia" w:ascii="宋体" w:hAnsi="宋体"/>
          <w:b/>
          <w:sz w:val="32"/>
          <w:szCs w:val="32"/>
          <w:u w:val="single"/>
        </w:rPr>
        <w:t>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7277E7D2">
      <w:pPr>
        <w:spacing w:line="360" w:lineRule="auto"/>
        <w:ind w:firstLine="964" w:firstLineChars="300"/>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4CDC9E01">
      <w:pPr>
        <w:spacing w:line="520" w:lineRule="exact"/>
        <w:ind w:firstLine="643" w:firstLineChars="200"/>
        <w:rPr>
          <w:rFonts w:ascii="宋体" w:hAnsi="宋体"/>
          <w:b/>
          <w:sz w:val="32"/>
          <w:szCs w:val="32"/>
        </w:rPr>
      </w:pPr>
    </w:p>
    <w:p w14:paraId="41FFEE8C">
      <w:pPr>
        <w:pStyle w:val="3"/>
        <w:spacing w:before="260" w:after="260" w:line="413" w:lineRule="auto"/>
        <w:jc w:val="center"/>
        <w:rPr>
          <w:rFonts w:ascii="Arial" w:eastAsia="黑体" w:cs="Times New Roman"/>
        </w:rPr>
      </w:pPr>
      <w:bookmarkStart w:id="122" w:name="_Toc38013571"/>
    </w:p>
    <w:p w14:paraId="1E9285A4">
      <w:pPr>
        <w:pStyle w:val="3"/>
        <w:spacing w:before="260" w:after="260" w:line="413" w:lineRule="auto"/>
        <w:jc w:val="center"/>
        <w:rPr>
          <w:rFonts w:ascii="Arial" w:eastAsia="黑体" w:cs="Times New Roman"/>
        </w:rPr>
      </w:pPr>
      <w:bookmarkStart w:id="123" w:name="_Toc20486"/>
      <w:r>
        <w:rPr>
          <w:rFonts w:hint="eastAsia" w:ascii="Arial" w:eastAsia="黑体" w:cs="Times New Roman"/>
        </w:rPr>
        <w:t>目录（自行编制）</w:t>
      </w:r>
      <w:bookmarkEnd w:id="113"/>
      <w:bookmarkEnd w:id="114"/>
      <w:bookmarkEnd w:id="115"/>
      <w:bookmarkEnd w:id="122"/>
      <w:bookmarkEnd w:id="123"/>
    </w:p>
    <w:p w14:paraId="6EB26968">
      <w:pPr>
        <w:rPr>
          <w:sz w:val="28"/>
          <w:szCs w:val="28"/>
        </w:rPr>
      </w:pPr>
    </w:p>
    <w:p w14:paraId="4F236DB0">
      <w:pPr>
        <w:rPr>
          <w:sz w:val="28"/>
          <w:szCs w:val="28"/>
        </w:rPr>
      </w:pPr>
    </w:p>
    <w:p w14:paraId="02935532">
      <w:pPr>
        <w:rPr>
          <w:sz w:val="28"/>
          <w:szCs w:val="28"/>
        </w:rPr>
      </w:pPr>
    </w:p>
    <w:p w14:paraId="0AE1A40C">
      <w:pPr>
        <w:rPr>
          <w:sz w:val="28"/>
          <w:szCs w:val="28"/>
        </w:rPr>
      </w:pPr>
    </w:p>
    <w:p w14:paraId="22A320D8">
      <w:pPr>
        <w:rPr>
          <w:sz w:val="28"/>
          <w:szCs w:val="28"/>
        </w:rPr>
      </w:pPr>
    </w:p>
    <w:p w14:paraId="28D5F557">
      <w:pPr>
        <w:rPr>
          <w:sz w:val="28"/>
          <w:szCs w:val="28"/>
        </w:rPr>
      </w:pPr>
    </w:p>
    <w:p w14:paraId="1E172431">
      <w:pPr>
        <w:rPr>
          <w:sz w:val="28"/>
          <w:szCs w:val="28"/>
        </w:rPr>
      </w:pPr>
    </w:p>
    <w:p w14:paraId="7FD143DF">
      <w:pPr>
        <w:rPr>
          <w:sz w:val="28"/>
          <w:szCs w:val="28"/>
        </w:rPr>
      </w:pPr>
    </w:p>
    <w:p w14:paraId="1449F5CE">
      <w:pPr>
        <w:rPr>
          <w:sz w:val="28"/>
          <w:szCs w:val="28"/>
        </w:rPr>
      </w:pPr>
    </w:p>
    <w:p w14:paraId="1BFC98DC">
      <w:pPr>
        <w:rPr>
          <w:sz w:val="28"/>
          <w:szCs w:val="28"/>
        </w:rPr>
      </w:pPr>
    </w:p>
    <w:p w14:paraId="34D20DF1">
      <w:pPr>
        <w:rPr>
          <w:sz w:val="28"/>
          <w:szCs w:val="28"/>
        </w:rPr>
      </w:pPr>
    </w:p>
    <w:p w14:paraId="551697C7">
      <w:pPr>
        <w:rPr>
          <w:sz w:val="28"/>
          <w:szCs w:val="28"/>
        </w:rPr>
      </w:pPr>
    </w:p>
    <w:p w14:paraId="2EB4D605">
      <w:pPr>
        <w:rPr>
          <w:sz w:val="28"/>
          <w:szCs w:val="28"/>
        </w:rPr>
      </w:pPr>
    </w:p>
    <w:p w14:paraId="19DD132C">
      <w:pPr>
        <w:spacing w:line="240" w:lineRule="atLeast"/>
        <w:rPr>
          <w:sz w:val="28"/>
          <w:szCs w:val="28"/>
        </w:rPr>
      </w:pPr>
    </w:p>
    <w:p w14:paraId="2AC9BE44">
      <w:pPr>
        <w:rPr>
          <w:sz w:val="28"/>
          <w:szCs w:val="28"/>
        </w:rPr>
      </w:pPr>
    </w:p>
    <w:p w14:paraId="2058CAE9">
      <w:pPr>
        <w:rPr>
          <w:sz w:val="28"/>
          <w:szCs w:val="28"/>
        </w:rPr>
      </w:pPr>
    </w:p>
    <w:p w14:paraId="01DF2EF6">
      <w:pPr>
        <w:spacing w:line="0" w:lineRule="atLeast"/>
        <w:jc w:val="center"/>
        <w:rPr>
          <w:rFonts w:ascii="宋体" w:hAnsi="宋体" w:cs="宋体"/>
          <w:b/>
          <w:bCs/>
          <w:sz w:val="24"/>
          <w:szCs w:val="24"/>
        </w:rPr>
      </w:pPr>
    </w:p>
    <w:p w14:paraId="238F5C6B">
      <w:pPr>
        <w:spacing w:line="0" w:lineRule="atLeast"/>
        <w:jc w:val="center"/>
        <w:rPr>
          <w:rFonts w:ascii="宋体" w:hAnsi="宋体" w:cs="宋体"/>
          <w:b/>
          <w:bCs/>
          <w:sz w:val="24"/>
          <w:szCs w:val="24"/>
        </w:rPr>
      </w:pPr>
    </w:p>
    <w:p w14:paraId="16BA563D">
      <w:pPr>
        <w:spacing w:line="0" w:lineRule="atLeast"/>
        <w:rPr>
          <w:rFonts w:ascii="宋体" w:hAnsi="宋体" w:cs="宋体"/>
          <w:b/>
          <w:bCs/>
          <w:sz w:val="24"/>
          <w:szCs w:val="24"/>
        </w:rPr>
      </w:pPr>
    </w:p>
    <w:p w14:paraId="2570B407">
      <w:pPr>
        <w:pStyle w:val="3"/>
        <w:spacing w:before="260" w:after="260"/>
        <w:rPr>
          <w:rFonts w:ascii="Arial" w:eastAsia="黑体" w:cs="Times New Roman"/>
          <w:sz w:val="32"/>
          <w:szCs w:val="32"/>
        </w:rPr>
      </w:pPr>
      <w:bookmarkStart w:id="124" w:name="_Toc507510300"/>
      <w:bookmarkStart w:id="125" w:name="_Toc38013572"/>
      <w:bookmarkStart w:id="126" w:name="_Toc12604917"/>
    </w:p>
    <w:p w14:paraId="5AE54195">
      <w:pPr>
        <w:pStyle w:val="3"/>
        <w:spacing w:before="260" w:after="260"/>
        <w:rPr>
          <w:rFonts w:ascii="Arial" w:eastAsia="黑体" w:cs="Times New Roman"/>
          <w:sz w:val="32"/>
          <w:szCs w:val="32"/>
        </w:rPr>
      </w:pPr>
    </w:p>
    <w:p w14:paraId="02C029A1">
      <w:pPr>
        <w:pStyle w:val="3"/>
        <w:spacing w:before="260" w:after="260"/>
        <w:rPr>
          <w:rFonts w:ascii="Arial" w:eastAsia="黑体" w:cs="Times New Roman"/>
          <w:sz w:val="32"/>
          <w:szCs w:val="32"/>
        </w:rPr>
      </w:pPr>
    </w:p>
    <w:p w14:paraId="6DA7DE9D">
      <w:pPr>
        <w:rPr>
          <w:rFonts w:ascii="Arial" w:eastAsia="黑体"/>
          <w:sz w:val="32"/>
          <w:szCs w:val="32"/>
        </w:rPr>
      </w:pPr>
    </w:p>
    <w:p w14:paraId="2AB1512E">
      <w:pPr>
        <w:pStyle w:val="3"/>
        <w:spacing w:before="260" w:after="260" w:line="120" w:lineRule="auto"/>
        <w:jc w:val="center"/>
        <w:rPr>
          <w:rFonts w:ascii="Arial" w:eastAsia="黑体" w:cs="Times New Roman"/>
          <w:sz w:val="32"/>
          <w:szCs w:val="32"/>
        </w:rPr>
        <w:sectPr>
          <w:footerReference r:id="rId7" w:type="default"/>
          <w:pgSz w:w="11900" w:h="16838"/>
          <w:pgMar w:top="1304" w:right="1332" w:bottom="1406" w:left="1548" w:header="720" w:footer="720" w:gutter="0"/>
          <w:pgNumType w:fmt="decimal"/>
          <w:cols w:space="0" w:num="1"/>
          <w:rtlGutter w:val="0"/>
          <w:docGrid w:type="lines" w:linePitch="362" w:charSpace="0"/>
        </w:sectPr>
      </w:pPr>
    </w:p>
    <w:p w14:paraId="72253B0E">
      <w:pPr>
        <w:pStyle w:val="3"/>
        <w:spacing w:before="260" w:after="260" w:line="120" w:lineRule="auto"/>
        <w:jc w:val="center"/>
        <w:rPr>
          <w:sz w:val="32"/>
          <w:szCs w:val="32"/>
        </w:rPr>
      </w:pPr>
      <w:bookmarkStart w:id="127" w:name="_Toc25237"/>
      <w:r>
        <w:rPr>
          <w:rFonts w:hint="eastAsia" w:ascii="Arial" w:eastAsia="黑体" w:cs="Times New Roman"/>
          <w:sz w:val="32"/>
          <w:szCs w:val="32"/>
        </w:rPr>
        <w:t>一、供应商承诺书</w:t>
      </w:r>
      <w:bookmarkEnd w:id="124"/>
      <w:bookmarkEnd w:id="125"/>
      <w:bookmarkEnd w:id="126"/>
      <w:bookmarkEnd w:id="127"/>
    </w:p>
    <w:p w14:paraId="6701B84E">
      <w:pPr>
        <w:spacing w:line="360" w:lineRule="auto"/>
        <w:jc w:val="center"/>
        <w:rPr>
          <w:rFonts w:ascii="宋体" w:hAnsi="宋体"/>
          <w:b/>
          <w:sz w:val="44"/>
          <w:szCs w:val="36"/>
        </w:rPr>
      </w:pPr>
      <w:bookmarkStart w:id="128" w:name="_Toc38013573"/>
      <w:r>
        <w:rPr>
          <w:rFonts w:hint="eastAsia" w:ascii="宋体" w:hAnsi="宋体"/>
          <w:b/>
          <w:sz w:val="44"/>
          <w:szCs w:val="36"/>
        </w:rPr>
        <w:t>供应商承诺书</w:t>
      </w:r>
    </w:p>
    <w:p w14:paraId="4D8EBC02">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FA78E76">
      <w:pPr>
        <w:spacing w:line="480" w:lineRule="exact"/>
        <w:ind w:firstLine="480" w:firstLineChars="200"/>
        <w:rPr>
          <w:rFonts w:ascii="宋体" w:hAnsi="宋体"/>
          <w:sz w:val="24"/>
        </w:rPr>
      </w:pPr>
      <w:r>
        <w:rPr>
          <w:rFonts w:hint="eastAsia" w:ascii="宋体" w:hAnsi="宋体"/>
          <w:sz w:val="24"/>
        </w:rPr>
        <w:t>本投标单位已详细阅读了</w:t>
      </w:r>
      <w:r>
        <w:rPr>
          <w:rFonts w:hint="eastAsia" w:ascii="宋体" w:hAnsi="宋体"/>
          <w:sz w:val="24"/>
          <w:u w:val="single"/>
        </w:rPr>
        <w:t xml:space="preserve">   （项目名称）  </w:t>
      </w:r>
      <w:r>
        <w:rPr>
          <w:rFonts w:hint="eastAsia" w:ascii="宋体" w:hAnsi="宋体"/>
          <w:sz w:val="24"/>
        </w:rPr>
        <w:t>项目磋商文件，自愿参加上述项目磋商，现就有关事项向招标单位郑重承诺如下：</w:t>
      </w:r>
    </w:p>
    <w:p w14:paraId="3DC437C0">
      <w:pPr>
        <w:spacing w:line="480" w:lineRule="exact"/>
        <w:ind w:firstLine="480" w:firstLineChars="200"/>
        <w:rPr>
          <w:rFonts w:ascii="宋体" w:hAnsi="宋体"/>
          <w:sz w:val="24"/>
        </w:rPr>
      </w:pPr>
      <w:r>
        <w:rPr>
          <w:rFonts w:hint="eastAsia" w:ascii="宋体" w:hAnsi="宋体"/>
          <w:sz w:val="24"/>
        </w:rPr>
        <w:t>1、遵守中华人民共和国、省、市有关</w:t>
      </w:r>
      <w:r>
        <w:rPr>
          <w:rFonts w:hint="eastAsia" w:ascii="宋体" w:hAnsi="宋体"/>
          <w:sz w:val="24"/>
          <w:lang w:val="en-US" w:eastAsia="zh-CN"/>
        </w:rPr>
        <w:t>政府采购</w:t>
      </w:r>
      <w:r>
        <w:rPr>
          <w:rFonts w:hint="eastAsia" w:ascii="宋体" w:hAnsi="宋体"/>
          <w:sz w:val="24"/>
        </w:rPr>
        <w:t>的法律法规，自觉维护市场秩序。</w:t>
      </w:r>
    </w:p>
    <w:p w14:paraId="01D0C6F4">
      <w:pPr>
        <w:spacing w:line="480" w:lineRule="exact"/>
        <w:ind w:firstLine="480" w:firstLineChars="200"/>
        <w:rPr>
          <w:rFonts w:ascii="宋体" w:hAnsi="宋体"/>
          <w:sz w:val="24"/>
        </w:rPr>
      </w:pPr>
      <w:r>
        <w:rPr>
          <w:rFonts w:hint="eastAsia" w:ascii="宋体" w:hAnsi="宋体"/>
          <w:sz w:val="24"/>
        </w:rPr>
        <w:t>2、接受磋商文件全部内容。</w:t>
      </w:r>
    </w:p>
    <w:p w14:paraId="5B459013">
      <w:pPr>
        <w:spacing w:line="480" w:lineRule="exact"/>
        <w:ind w:firstLine="480" w:firstLineChars="200"/>
        <w:rPr>
          <w:rFonts w:ascii="宋体" w:hAnsi="宋体"/>
          <w:sz w:val="24"/>
        </w:rPr>
      </w:pPr>
      <w:r>
        <w:rPr>
          <w:rFonts w:hint="eastAsia" w:ascii="宋体" w:hAnsi="宋体"/>
          <w:sz w:val="24"/>
        </w:rPr>
        <w:t>3、服从《供应商须知》的安排。</w:t>
      </w:r>
    </w:p>
    <w:p w14:paraId="0FC5438E">
      <w:pPr>
        <w:spacing w:line="480" w:lineRule="exact"/>
        <w:ind w:firstLine="480" w:firstLineChars="200"/>
        <w:rPr>
          <w:rFonts w:ascii="宋体" w:hAnsi="宋体"/>
          <w:sz w:val="24"/>
        </w:rPr>
      </w:pPr>
      <w:r>
        <w:rPr>
          <w:rFonts w:hint="eastAsia" w:ascii="宋体" w:hAnsi="宋体"/>
          <w:sz w:val="24"/>
        </w:rPr>
        <w:t>4、保证磋商内容无任何虚假。若评标过程中查出有虚假，同意作无效磋商响应文件处理并承担相应责任；若中标之后查出有虚假，同意废除中标资格并承担相应责任。</w:t>
      </w:r>
    </w:p>
    <w:p w14:paraId="69700D30">
      <w:pPr>
        <w:spacing w:line="480" w:lineRule="exact"/>
        <w:ind w:firstLine="480" w:firstLineChars="200"/>
        <w:rPr>
          <w:rFonts w:ascii="宋体" w:hAnsi="宋体"/>
          <w:sz w:val="24"/>
        </w:rPr>
      </w:pPr>
      <w:r>
        <w:rPr>
          <w:rFonts w:hint="eastAsia" w:ascii="宋体" w:hAnsi="宋体"/>
          <w:sz w:val="24"/>
        </w:rPr>
        <w:t>5、保证竞争性磋商响应文件不存在低于成本的恶意报价行为。</w:t>
      </w:r>
    </w:p>
    <w:p w14:paraId="175535BB">
      <w:pPr>
        <w:spacing w:line="480" w:lineRule="exact"/>
        <w:ind w:firstLine="480" w:firstLineChars="200"/>
        <w:rPr>
          <w:rFonts w:ascii="宋体" w:hAnsi="宋体"/>
          <w:sz w:val="24"/>
        </w:rPr>
      </w:pPr>
      <w:r>
        <w:rPr>
          <w:rFonts w:hint="eastAsia" w:ascii="宋体" w:hAnsi="宋体"/>
          <w:sz w:val="24"/>
        </w:rPr>
        <w:t>6、保证按磋商文件及成交通知书规定商签服务合同。</w:t>
      </w:r>
    </w:p>
    <w:p w14:paraId="6D0732DF">
      <w:pPr>
        <w:spacing w:line="480" w:lineRule="exact"/>
        <w:ind w:firstLine="480" w:firstLineChars="200"/>
        <w:rPr>
          <w:rFonts w:ascii="宋体" w:hAnsi="宋体"/>
          <w:sz w:val="24"/>
        </w:rPr>
      </w:pPr>
      <w:r>
        <w:rPr>
          <w:rFonts w:hint="eastAsia" w:ascii="宋体" w:hAnsi="宋体"/>
          <w:sz w:val="24"/>
        </w:rPr>
        <w:t>7、保证按服务合同约定完成合同范围内的全部内容，履行服务期的责任。</w:t>
      </w:r>
    </w:p>
    <w:p w14:paraId="70435918">
      <w:pPr>
        <w:spacing w:line="480" w:lineRule="exact"/>
        <w:ind w:firstLine="480" w:firstLineChars="200"/>
        <w:rPr>
          <w:rFonts w:ascii="宋体" w:hAnsi="宋体"/>
          <w:sz w:val="24"/>
        </w:rPr>
      </w:pPr>
      <w:r>
        <w:rPr>
          <w:rFonts w:hint="eastAsia" w:ascii="宋体" w:hAnsi="宋体"/>
          <w:sz w:val="24"/>
        </w:rPr>
        <w:t>8、保证成交之后按竞争性磋商响应文件承诺安排</w:t>
      </w:r>
      <w:r>
        <w:rPr>
          <w:rFonts w:hint="eastAsia" w:ascii="宋体" w:hAnsi="宋体"/>
          <w:color w:val="000000"/>
          <w:sz w:val="24"/>
        </w:rPr>
        <w:t>项目负责人</w:t>
      </w:r>
      <w:r>
        <w:rPr>
          <w:rFonts w:hint="eastAsia" w:ascii="宋体" w:hAnsi="宋体"/>
          <w:sz w:val="24"/>
        </w:rPr>
        <w:t>；在合同服务期内不经招标单位同意，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4DBE0194">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30B4FDAC">
      <w:pPr>
        <w:spacing w:line="480" w:lineRule="exact"/>
        <w:ind w:firstLine="480" w:firstLineChars="200"/>
        <w:rPr>
          <w:rFonts w:ascii="宋体" w:hAnsi="宋体"/>
          <w:sz w:val="24"/>
        </w:rPr>
      </w:pPr>
      <w:r>
        <w:rPr>
          <w:rFonts w:hint="eastAsia" w:ascii="宋体" w:hAnsi="宋体"/>
          <w:sz w:val="24"/>
        </w:rPr>
        <w:t>10、保证按竞争性磋商文件及服务合同约定的原则处理相关费用调整事宜，不发生签署服务合同之后恶意提高费用的行为。</w:t>
      </w:r>
    </w:p>
    <w:p w14:paraId="07A6D6D4">
      <w:pPr>
        <w:spacing w:line="480" w:lineRule="exact"/>
        <w:ind w:firstLine="480" w:firstLineChars="200"/>
        <w:rPr>
          <w:rFonts w:ascii="宋体" w:hAnsi="宋体"/>
          <w:sz w:val="24"/>
        </w:rPr>
      </w:pPr>
      <w:r>
        <w:rPr>
          <w:rFonts w:hint="eastAsia" w:ascii="宋体" w:hAnsi="宋体"/>
          <w:sz w:val="24"/>
        </w:rPr>
        <w:t>若有违反以上1、2、3、5任何一条，同意被废除</w:t>
      </w:r>
      <w:r>
        <w:rPr>
          <w:rFonts w:hint="eastAsia" w:ascii="宋体" w:hAnsi="宋体"/>
          <w:sz w:val="24"/>
          <w:lang w:val="en-US" w:eastAsia="zh-CN"/>
        </w:rPr>
        <w:t>投标</w:t>
      </w:r>
      <w:r>
        <w:rPr>
          <w:rFonts w:hint="eastAsia" w:ascii="宋体" w:hAnsi="宋体"/>
          <w:sz w:val="24"/>
        </w:rPr>
        <w:t>资格并接受处罚。</w:t>
      </w:r>
    </w:p>
    <w:p w14:paraId="2804C708">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若有违反以上4、6、7、8、9、10任何一条，同意接受招标单位违约处罚并承担相应责任。</w:t>
      </w:r>
    </w:p>
    <w:p w14:paraId="16B19494">
      <w:pPr>
        <w:spacing w:line="480" w:lineRule="exact"/>
        <w:ind w:firstLine="480" w:firstLineChars="200"/>
        <w:rPr>
          <w:rFonts w:ascii="宋体" w:hAnsi="宋体"/>
          <w:sz w:val="24"/>
        </w:rPr>
      </w:pPr>
    </w:p>
    <w:p w14:paraId="459ECE1B">
      <w:pPr>
        <w:spacing w:line="480" w:lineRule="exact"/>
        <w:ind w:firstLine="4560" w:firstLineChars="1900"/>
        <w:rPr>
          <w:rFonts w:ascii="宋体" w:hAnsi="宋体"/>
          <w:sz w:val="24"/>
        </w:rPr>
      </w:pPr>
      <w:r>
        <w:rPr>
          <w:rFonts w:hint="eastAsia" w:ascii="宋体" w:hAnsi="宋体"/>
          <w:sz w:val="24"/>
        </w:rPr>
        <w:t>供应商(单位签章)：</w:t>
      </w:r>
    </w:p>
    <w:p w14:paraId="7314D31C">
      <w:pPr>
        <w:spacing w:line="480" w:lineRule="exact"/>
        <w:ind w:firstLine="4560" w:firstLineChars="1900"/>
        <w:rPr>
          <w:rFonts w:ascii="宋体" w:hAnsi="宋体"/>
          <w:sz w:val="24"/>
        </w:rPr>
      </w:pPr>
      <w:r>
        <w:rPr>
          <w:rFonts w:hint="eastAsia" w:ascii="宋体" w:hAnsi="宋体"/>
          <w:sz w:val="24"/>
        </w:rPr>
        <w:t>法定代表人（电子签章）：</w:t>
      </w:r>
    </w:p>
    <w:p w14:paraId="39989C13">
      <w:pPr>
        <w:spacing w:line="480" w:lineRule="exact"/>
        <w:ind w:firstLine="4560" w:firstLineChars="1900"/>
        <w:rPr>
          <w:rFonts w:hint="eastAsia" w:ascii="宋体" w:hAnsi="宋体" w:eastAsia="宋体" w:cs="Times New Roman"/>
          <w:sz w:val="24"/>
        </w:rPr>
      </w:pPr>
      <w:r>
        <w:rPr>
          <w:rFonts w:hint="eastAsia" w:ascii="宋体" w:hAnsi="宋体"/>
          <w:sz w:val="24"/>
        </w:rPr>
        <w:t xml:space="preserve">日  </w:t>
      </w:r>
      <w:r>
        <w:rPr>
          <w:rFonts w:hint="eastAsia" w:ascii="宋体" w:hAnsi="宋体" w:eastAsia="宋体" w:cs="Times New Roman"/>
          <w:sz w:val="24"/>
        </w:rPr>
        <w:t>期：</w:t>
      </w:r>
    </w:p>
    <w:p w14:paraId="0A09CCE0">
      <w:pPr>
        <w:pStyle w:val="3"/>
        <w:spacing w:before="260" w:after="260" w:line="413" w:lineRule="auto"/>
        <w:jc w:val="center"/>
        <w:rPr>
          <w:rFonts w:hint="eastAsia" w:hAnsi="宋体" w:eastAsia="黑体"/>
          <w:b w:val="0"/>
          <w:bCs w:val="0"/>
          <w:sz w:val="32"/>
          <w:szCs w:val="32"/>
          <w:lang w:val="en-US" w:eastAsia="zh-CN"/>
        </w:rPr>
      </w:pPr>
      <w:bookmarkStart w:id="129" w:name="_Toc6578"/>
      <w:r>
        <w:rPr>
          <w:rFonts w:hint="eastAsia" w:ascii="Arial" w:eastAsia="黑体" w:cs="Times New Roman"/>
          <w:sz w:val="32"/>
          <w:szCs w:val="32"/>
        </w:rPr>
        <w:t>二、</w:t>
      </w:r>
      <w:bookmarkEnd w:id="128"/>
      <w:r>
        <w:rPr>
          <w:rFonts w:hint="eastAsia" w:ascii="Arial" w:eastAsia="黑体" w:cs="Times New Roman"/>
          <w:sz w:val="32"/>
          <w:szCs w:val="32"/>
        </w:rPr>
        <w:t>竞争性磋商响应函</w:t>
      </w:r>
      <w:bookmarkEnd w:id="129"/>
    </w:p>
    <w:p w14:paraId="3CE38C38">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响应函</w:t>
      </w:r>
    </w:p>
    <w:p w14:paraId="6B11B5DE">
      <w:pPr>
        <w:spacing w:line="460" w:lineRule="exact"/>
        <w:jc w:val="left"/>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（招标单位名称）</w:t>
      </w:r>
    </w:p>
    <w:p w14:paraId="2FD7D0AB">
      <w:pPr>
        <w:spacing w:line="560" w:lineRule="exact"/>
        <w:ind w:firstLine="560"/>
        <w:rPr>
          <w:rFonts w:ascii="宋体" w:hAnsi="宋体"/>
          <w:kern w:val="0"/>
          <w:sz w:val="24"/>
          <w:szCs w:val="24"/>
        </w:rPr>
      </w:pPr>
      <w:r>
        <w:rPr>
          <w:rFonts w:hint="eastAsia" w:ascii="宋体" w:hAnsi="宋体"/>
          <w:sz w:val="24"/>
          <w:szCs w:val="24"/>
        </w:rPr>
        <w:t>1、根据已收到的项目编号为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的磋商文件，遵守《中华人民共和国政府采购法》和有关文件的规定，</w:t>
      </w:r>
      <w:r>
        <w:rPr>
          <w:rFonts w:hint="eastAsia" w:ascii="宋体" w:hAnsi="宋体" w:eastAsia="宋体" w:cs="Times New Roman"/>
          <w:sz w:val="24"/>
          <w:szCs w:val="24"/>
        </w:rPr>
        <w:t>我方承诺接</w:t>
      </w:r>
      <w:r>
        <w:rPr>
          <w:rFonts w:hint="eastAsia" w:ascii="宋体" w:hAnsi="宋体" w:eastAsia="宋体" w:cs="Times New Roman"/>
          <w:sz w:val="24"/>
          <w:szCs w:val="24"/>
          <w:lang w:val="en-US" w:eastAsia="zh-CN"/>
        </w:rPr>
        <w:t>受招标</w:t>
      </w:r>
      <w:r>
        <w:rPr>
          <w:rFonts w:hint="eastAsia" w:ascii="宋体" w:hAnsi="宋体" w:eastAsia="宋体" w:cs="Times New Roman"/>
          <w:sz w:val="24"/>
          <w:szCs w:val="24"/>
        </w:rPr>
        <w:t>文件及澄清修改部分（如有）的全部条款（包括</w:t>
      </w:r>
      <w:r>
        <w:rPr>
          <w:rFonts w:hint="eastAsia" w:ascii="宋体" w:hAnsi="宋体" w:eastAsia="宋体" w:cs="Times New Roman"/>
          <w:sz w:val="24"/>
          <w:szCs w:val="24"/>
          <w:lang w:val="en-US" w:eastAsia="zh-CN"/>
        </w:rPr>
        <w:t>投标</w:t>
      </w:r>
      <w:r>
        <w:rPr>
          <w:rFonts w:hint="eastAsia" w:ascii="宋体" w:hAnsi="宋体" w:eastAsia="宋体" w:cs="Times New Roman"/>
          <w:sz w:val="24"/>
          <w:szCs w:val="24"/>
        </w:rPr>
        <w:t>文件递交截止时间、资格条件、评审成交标准以及</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需求等其他所有条款）且无任何异议，</w:t>
      </w:r>
      <w:r>
        <w:rPr>
          <w:rFonts w:hint="eastAsia" w:ascii="宋体" w:hAnsi="宋体"/>
          <w:color w:val="auto"/>
          <w:sz w:val="24"/>
          <w:szCs w:val="24"/>
        </w:rPr>
        <w:t>我公司愿以</w:t>
      </w:r>
      <w:r>
        <w:rPr>
          <w:rFonts w:hint="eastAsia" w:ascii="宋体" w:hAnsi="宋体"/>
          <w:color w:val="auto"/>
          <w:kern w:val="0"/>
          <w:sz w:val="24"/>
          <w:szCs w:val="24"/>
        </w:rPr>
        <w:t>人民币:大写：</w:t>
      </w:r>
      <w:r>
        <w:rPr>
          <w:rFonts w:hint="eastAsia" w:ascii="宋体" w:hAnsi="宋体"/>
          <w:color w:val="auto"/>
          <w:sz w:val="24"/>
          <w:szCs w:val="24"/>
          <w:u w:val="single"/>
        </w:rPr>
        <w:t xml:space="preserve">         </w:t>
      </w: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w:t>
      </w:r>
      <w:r>
        <w:rPr>
          <w:rFonts w:hint="eastAsia" w:ascii="宋体" w:hAnsi="宋体"/>
          <w:sz w:val="24"/>
          <w:szCs w:val="24"/>
        </w:rPr>
        <w:t>的报价参加该项目的投标，并按上述文件中的条款承包该项目。</w:t>
      </w:r>
    </w:p>
    <w:p w14:paraId="170AFA44">
      <w:pPr>
        <w:spacing w:line="560" w:lineRule="exact"/>
        <w:ind w:firstLine="480" w:firstLineChars="200"/>
        <w:rPr>
          <w:rFonts w:ascii="宋体" w:hAnsi="宋体"/>
          <w:sz w:val="24"/>
          <w:szCs w:val="24"/>
        </w:rPr>
      </w:pPr>
      <w:r>
        <w:rPr>
          <w:rFonts w:hint="eastAsia" w:ascii="宋体" w:hAnsi="宋体"/>
          <w:sz w:val="24"/>
          <w:szCs w:val="24"/>
        </w:rPr>
        <w:t>2、我公司完全响应竞争性磋商文件中提出的所有实质性要求。</w:t>
      </w:r>
    </w:p>
    <w:p w14:paraId="52512275">
      <w:pPr>
        <w:spacing w:line="560" w:lineRule="exact"/>
        <w:ind w:firstLine="480" w:firstLineChars="200"/>
        <w:rPr>
          <w:rFonts w:ascii="宋体" w:hAnsi="宋体"/>
          <w:sz w:val="24"/>
          <w:szCs w:val="24"/>
        </w:rPr>
      </w:pPr>
      <w:r>
        <w:rPr>
          <w:rFonts w:hint="eastAsia" w:ascii="宋体" w:hAnsi="宋体"/>
          <w:sz w:val="24"/>
          <w:szCs w:val="24"/>
        </w:rPr>
        <w:t>3、我公司同意在竞争性磋商文件规定的磋商期限内，本竞争性磋商响应文件始终对我公司具有约束力，且随时可以按此文件成交。</w:t>
      </w:r>
    </w:p>
    <w:p w14:paraId="35FE661A">
      <w:pPr>
        <w:spacing w:line="560" w:lineRule="exact"/>
        <w:ind w:firstLine="480" w:firstLineChars="200"/>
        <w:rPr>
          <w:rFonts w:hint="default" w:ascii="宋体" w:hAnsi="宋体" w:eastAsia="宋体"/>
          <w:sz w:val="24"/>
          <w:szCs w:val="24"/>
          <w:u w:val="single"/>
          <w:lang w:val="en-US" w:eastAsia="zh-CN"/>
        </w:rPr>
      </w:pPr>
      <w:r>
        <w:rPr>
          <w:rFonts w:hint="eastAsia" w:ascii="宋体" w:hAnsi="宋体"/>
          <w:sz w:val="24"/>
          <w:szCs w:val="24"/>
        </w:rPr>
        <w:t>4、一旦我公司成交，我公司保证在成交后的规定期限内签订项目服务合同，</w:t>
      </w:r>
      <w:r>
        <w:rPr>
          <w:rFonts w:hint="eastAsia" w:ascii="宋体" w:hAnsi="宋体"/>
          <w:color w:val="000000"/>
          <w:sz w:val="24"/>
          <w:szCs w:val="24"/>
        </w:rPr>
        <w:t>服务期</w:t>
      </w:r>
      <w:r>
        <w:rPr>
          <w:rFonts w:hint="eastAsia" w:ascii="宋体" w:hAnsi="宋体"/>
          <w:color w:val="000000"/>
          <w:sz w:val="24"/>
          <w:szCs w:val="24"/>
          <w:lang w:val="en-US" w:eastAsia="zh-CN"/>
        </w:rPr>
        <w:t>为</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确保达到质量要求：</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lang w:eastAsia="zh-CN"/>
        </w:rPr>
        <w:t>，</w:t>
      </w:r>
      <w:r>
        <w:rPr>
          <w:rFonts w:hint="eastAsia" w:ascii="宋体" w:hAnsi="宋体"/>
          <w:sz w:val="24"/>
          <w:szCs w:val="24"/>
          <w:lang w:val="en-US" w:eastAsia="zh-CN"/>
        </w:rPr>
        <w:t>拟派项目负责人：</w:t>
      </w:r>
      <w:r>
        <w:rPr>
          <w:rFonts w:hint="eastAsia" w:ascii="宋体" w:hAnsi="宋体"/>
          <w:sz w:val="24"/>
          <w:szCs w:val="24"/>
          <w:u w:val="single"/>
          <w:lang w:val="en-US" w:eastAsia="zh-CN"/>
        </w:rPr>
        <w:t xml:space="preserve"> （姓名及电话）   </w:t>
      </w:r>
    </w:p>
    <w:p w14:paraId="34D32090">
      <w:pPr>
        <w:spacing w:line="560" w:lineRule="exact"/>
        <w:ind w:firstLine="480" w:firstLineChars="200"/>
        <w:rPr>
          <w:rFonts w:ascii="宋体" w:hAnsi="宋体"/>
          <w:sz w:val="24"/>
          <w:szCs w:val="24"/>
        </w:rPr>
      </w:pPr>
      <w:r>
        <w:rPr>
          <w:rFonts w:hint="eastAsia" w:ascii="宋体" w:hAnsi="宋体"/>
          <w:sz w:val="24"/>
          <w:szCs w:val="24"/>
        </w:rPr>
        <w:t>5、我们承诺最低报价是成交的重要选择，但不是唯一选择。</w:t>
      </w:r>
    </w:p>
    <w:p w14:paraId="2883A37C">
      <w:pPr>
        <w:spacing w:line="560" w:lineRule="exact"/>
        <w:ind w:firstLine="480" w:firstLineChars="200"/>
        <w:rPr>
          <w:rFonts w:ascii="宋体" w:hAnsi="宋体"/>
          <w:sz w:val="24"/>
          <w:szCs w:val="24"/>
        </w:rPr>
      </w:pPr>
      <w:r>
        <w:rPr>
          <w:rFonts w:hint="eastAsia" w:ascii="宋体" w:hAnsi="宋体"/>
          <w:sz w:val="24"/>
          <w:szCs w:val="24"/>
        </w:rPr>
        <w:t>6、除非与贵方另外达成协议并生效，贵方的成交通知书、本竞争性磋商响应文件将与双方签订的合同具有同等的约束力。</w:t>
      </w:r>
    </w:p>
    <w:p w14:paraId="2EE415E6">
      <w:pPr>
        <w:spacing w:line="600" w:lineRule="exact"/>
        <w:ind w:firstLine="3578" w:firstLineChars="1491"/>
        <w:jc w:val="left"/>
        <w:textAlignment w:val="center"/>
        <w:rPr>
          <w:rFonts w:ascii="宋体" w:hAnsi="宋体" w:cs="宋体"/>
          <w:sz w:val="24"/>
          <w:szCs w:val="24"/>
        </w:rPr>
      </w:pPr>
    </w:p>
    <w:p w14:paraId="6F662826">
      <w:pPr>
        <w:spacing w:line="600" w:lineRule="exact"/>
        <w:ind w:firstLine="3578" w:firstLineChars="1491"/>
        <w:jc w:val="left"/>
        <w:textAlignment w:val="center"/>
        <w:rPr>
          <w:rFonts w:ascii="宋体" w:hAnsi="宋体" w:cs="宋体"/>
          <w:sz w:val="24"/>
          <w:szCs w:val="24"/>
        </w:rPr>
      </w:pPr>
    </w:p>
    <w:p w14:paraId="4E462E84">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25FB093C">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法定代表人：(电子签章）</w:t>
      </w:r>
    </w:p>
    <w:p w14:paraId="76AD9F8D">
      <w:pPr>
        <w:spacing w:line="600" w:lineRule="exact"/>
        <w:ind w:firstLine="3600" w:firstLineChars="1500"/>
        <w:jc w:val="left"/>
        <w:rPr>
          <w:rFonts w:ascii="宋体" w:hAnsi="宋体" w:cs="宋体"/>
          <w:b/>
          <w:bCs/>
          <w:sz w:val="24"/>
          <w:szCs w:val="24"/>
        </w:rPr>
      </w:pPr>
      <w:r>
        <w:rPr>
          <w:rFonts w:hint="eastAsia" w:ascii="宋体" w:hAnsi="宋体" w:cs="宋体"/>
          <w:sz w:val="24"/>
          <w:szCs w:val="24"/>
        </w:rPr>
        <w:t>日  期：     年   月  日</w:t>
      </w:r>
    </w:p>
    <w:p w14:paraId="267F0E7F">
      <w:pPr>
        <w:widowControl/>
        <w:jc w:val="left"/>
        <w:rPr>
          <w:rFonts w:ascii="宋体" w:hAnsi="宋体" w:cs="宋体"/>
          <w:sz w:val="24"/>
          <w:szCs w:val="24"/>
        </w:rPr>
      </w:pPr>
    </w:p>
    <w:p w14:paraId="62D527AA">
      <w:pPr>
        <w:widowControl/>
        <w:snapToGrid w:val="0"/>
        <w:spacing w:line="365" w:lineRule="atLeast"/>
        <w:jc w:val="center"/>
        <w:rPr>
          <w:rFonts w:hint="eastAsia" w:ascii="宋体" w:hAnsi="宋体"/>
          <w:b/>
          <w:bCs/>
          <w:kern w:val="0"/>
          <w:sz w:val="36"/>
          <w:szCs w:val="36"/>
        </w:rPr>
        <w:sectPr>
          <w:pgSz w:w="11900" w:h="16838"/>
          <w:pgMar w:top="1304" w:right="1332" w:bottom="1406" w:left="1548" w:header="720" w:footer="720" w:gutter="0"/>
          <w:pgNumType w:fmt="decimal"/>
          <w:cols w:space="0" w:num="1"/>
          <w:rtlGutter w:val="0"/>
          <w:docGrid w:type="lines" w:linePitch="362" w:charSpace="0"/>
        </w:sectPr>
      </w:pPr>
    </w:p>
    <w:p w14:paraId="321A329C">
      <w:pPr>
        <w:keepNext w:val="0"/>
        <w:keepLines w:val="0"/>
        <w:pageBreakBefore w:val="0"/>
        <w:widowControl/>
        <w:kinsoku/>
        <w:wordWrap/>
        <w:overflowPunct/>
        <w:topLinePunct w:val="0"/>
        <w:autoSpaceDE/>
        <w:autoSpaceDN/>
        <w:bidi w:val="0"/>
        <w:adjustRightInd/>
        <w:snapToGrid w:val="0"/>
        <w:spacing w:after="363" w:afterLines="100" w:line="365" w:lineRule="atLeast"/>
        <w:jc w:val="center"/>
        <w:textAlignment w:val="auto"/>
        <w:rPr>
          <w:rFonts w:ascii="宋体" w:hAnsi="宋体"/>
          <w:b/>
          <w:bCs/>
          <w:kern w:val="0"/>
          <w:sz w:val="44"/>
          <w:szCs w:val="36"/>
        </w:rPr>
      </w:pPr>
      <w:r>
        <w:rPr>
          <w:rFonts w:hint="eastAsia" w:ascii="宋体" w:hAnsi="宋体"/>
          <w:b/>
          <w:bCs/>
          <w:kern w:val="0"/>
          <w:sz w:val="36"/>
          <w:szCs w:val="36"/>
          <w:lang w:eastAsia="zh-CN"/>
        </w:rPr>
        <w:t>（</w:t>
      </w:r>
      <w:r>
        <w:rPr>
          <w:rFonts w:hint="eastAsia" w:ascii="宋体" w:hAnsi="宋体"/>
          <w:b/>
          <w:bCs/>
          <w:kern w:val="0"/>
          <w:sz w:val="36"/>
          <w:szCs w:val="36"/>
          <w:lang w:val="en-US" w:eastAsia="zh-CN"/>
        </w:rPr>
        <w:t>二</w:t>
      </w:r>
      <w:r>
        <w:rPr>
          <w:rFonts w:hint="eastAsia" w:ascii="宋体" w:hAnsi="宋体"/>
          <w:b/>
          <w:bCs/>
          <w:kern w:val="0"/>
          <w:sz w:val="36"/>
          <w:szCs w:val="36"/>
          <w:lang w:eastAsia="zh-CN"/>
        </w:rPr>
        <w:t>）</w:t>
      </w:r>
      <w:r>
        <w:rPr>
          <w:rFonts w:hint="eastAsia" w:ascii="宋体" w:hAnsi="宋体"/>
          <w:b/>
          <w:bCs/>
          <w:kern w:val="0"/>
          <w:sz w:val="36"/>
          <w:szCs w:val="36"/>
          <w:lang w:val="en-US" w:eastAsia="zh-CN"/>
        </w:rPr>
        <w:t>响应函附录</w:t>
      </w:r>
      <w:r>
        <w:rPr>
          <w:rFonts w:hint="eastAsia" w:ascii="宋体" w:hAnsi="宋体"/>
          <w:b/>
          <w:bCs/>
          <w:kern w:val="0"/>
          <w:sz w:val="44"/>
          <w:szCs w:val="36"/>
        </w:rPr>
        <w:t xml:space="preserve"> </w:t>
      </w:r>
    </w:p>
    <w:tbl>
      <w:tblPr>
        <w:tblStyle w:val="49"/>
        <w:tblW w:w="8522" w:type="dxa"/>
        <w:tblInd w:w="0" w:type="dxa"/>
        <w:tblLayout w:type="fixed"/>
        <w:tblCellMar>
          <w:top w:w="15" w:type="dxa"/>
          <w:left w:w="15" w:type="dxa"/>
          <w:bottom w:w="15" w:type="dxa"/>
          <w:right w:w="15" w:type="dxa"/>
        </w:tblCellMar>
      </w:tblPr>
      <w:tblGrid>
        <w:gridCol w:w="2997"/>
        <w:gridCol w:w="5525"/>
      </w:tblGrid>
      <w:tr w14:paraId="3385A987">
        <w:tblPrEx>
          <w:tblCellMar>
            <w:top w:w="15" w:type="dxa"/>
            <w:left w:w="15" w:type="dxa"/>
            <w:bottom w:w="15" w:type="dxa"/>
            <w:right w:w="15" w:type="dxa"/>
          </w:tblCellMar>
        </w:tblPrEx>
        <w:trPr>
          <w:trHeight w:val="1050" w:hRule="atLeast"/>
        </w:trPr>
        <w:tc>
          <w:tcPr>
            <w:tcW w:w="2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89CF91">
            <w:pPr>
              <w:widowControl/>
              <w:snapToGrid w:val="0"/>
              <w:spacing w:line="365" w:lineRule="atLeast"/>
              <w:jc w:val="center"/>
              <w:rPr>
                <w:rFonts w:ascii="宋体" w:hAnsi="宋体"/>
                <w:kern w:val="0"/>
                <w:sz w:val="24"/>
                <w:szCs w:val="24"/>
              </w:rPr>
            </w:pPr>
            <w:r>
              <w:rPr>
                <w:rFonts w:hint="eastAsia" w:ascii="宋体" w:hAnsi="宋体"/>
                <w:kern w:val="0"/>
                <w:sz w:val="24"/>
                <w:szCs w:val="24"/>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43A4392">
            <w:pPr>
              <w:widowControl/>
              <w:snapToGrid w:val="0"/>
              <w:spacing w:line="365" w:lineRule="atLeast"/>
              <w:ind w:left="1"/>
              <w:jc w:val="center"/>
              <w:rPr>
                <w:rFonts w:ascii="宋体" w:hAnsi="宋体"/>
                <w:kern w:val="0"/>
                <w:sz w:val="24"/>
                <w:szCs w:val="24"/>
              </w:rPr>
            </w:pPr>
          </w:p>
        </w:tc>
      </w:tr>
      <w:tr w14:paraId="5CEB9BC2">
        <w:tblPrEx>
          <w:tblCellMar>
            <w:top w:w="15" w:type="dxa"/>
            <w:left w:w="15" w:type="dxa"/>
            <w:bottom w:w="15" w:type="dxa"/>
            <w:right w:w="15" w:type="dxa"/>
          </w:tblCellMar>
        </w:tblPrEx>
        <w:trPr>
          <w:trHeight w:val="1120"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AE34C">
            <w:pPr>
              <w:widowControl/>
              <w:snapToGrid w:val="0"/>
              <w:spacing w:line="365" w:lineRule="atLeast"/>
              <w:jc w:val="center"/>
              <w:rPr>
                <w:rFonts w:ascii="宋体" w:hAnsi="宋体"/>
                <w:kern w:val="0"/>
                <w:sz w:val="24"/>
                <w:szCs w:val="24"/>
              </w:rPr>
            </w:pPr>
            <w:r>
              <w:rPr>
                <w:rFonts w:hint="eastAsia" w:ascii="宋体" w:hAnsi="宋体"/>
                <w:kern w:val="0"/>
                <w:sz w:val="24"/>
                <w:szCs w:val="24"/>
              </w:rPr>
              <w:t>服务期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3E86DEB">
            <w:pPr>
              <w:widowControl/>
              <w:snapToGrid w:val="0"/>
              <w:spacing w:line="365" w:lineRule="atLeast"/>
              <w:ind w:left="1"/>
              <w:jc w:val="center"/>
              <w:rPr>
                <w:rFonts w:ascii="宋体" w:hAnsi="宋体"/>
                <w:kern w:val="0"/>
                <w:sz w:val="24"/>
                <w:szCs w:val="24"/>
              </w:rPr>
            </w:pPr>
          </w:p>
          <w:p w14:paraId="30C8AC08">
            <w:pPr>
              <w:widowControl/>
              <w:snapToGrid w:val="0"/>
              <w:spacing w:line="365" w:lineRule="atLeast"/>
              <w:ind w:left="1"/>
              <w:jc w:val="center"/>
              <w:rPr>
                <w:rFonts w:ascii="宋体" w:hAnsi="宋体"/>
                <w:kern w:val="0"/>
                <w:sz w:val="24"/>
                <w:szCs w:val="24"/>
              </w:rPr>
            </w:pPr>
          </w:p>
        </w:tc>
      </w:tr>
      <w:tr w14:paraId="68CD53FF">
        <w:tblPrEx>
          <w:tblCellMar>
            <w:top w:w="15" w:type="dxa"/>
            <w:left w:w="15" w:type="dxa"/>
            <w:bottom w:w="15" w:type="dxa"/>
            <w:right w:w="15" w:type="dxa"/>
          </w:tblCellMar>
        </w:tblPrEx>
        <w:trPr>
          <w:trHeight w:val="1120"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3F620">
            <w:pPr>
              <w:widowControl/>
              <w:snapToGrid w:val="0"/>
              <w:spacing w:line="365" w:lineRule="atLeast"/>
              <w:jc w:val="center"/>
              <w:rPr>
                <w:rFonts w:ascii="宋体" w:hAnsi="宋体"/>
                <w:kern w:val="0"/>
                <w:sz w:val="24"/>
                <w:szCs w:val="24"/>
              </w:rPr>
            </w:pPr>
            <w:r>
              <w:rPr>
                <w:rFonts w:hint="eastAsia" w:ascii="宋体" w:hAnsi="宋体"/>
                <w:kern w:val="0"/>
                <w:sz w:val="24"/>
                <w:szCs w:val="24"/>
              </w:rPr>
              <w:t>磋商有效期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FEA858A">
            <w:pPr>
              <w:widowControl/>
              <w:snapToGrid w:val="0"/>
              <w:spacing w:line="365" w:lineRule="atLeast"/>
              <w:ind w:left="1"/>
              <w:jc w:val="both"/>
              <w:rPr>
                <w:rFonts w:hint="eastAsia" w:ascii="宋体" w:hAnsi="宋体" w:eastAsia="宋体"/>
                <w:kern w:val="0"/>
                <w:sz w:val="24"/>
                <w:szCs w:val="24"/>
                <w:lang w:eastAsia="zh-CN"/>
              </w:rPr>
            </w:pPr>
            <w:r>
              <w:rPr>
                <w:rFonts w:hint="eastAsia" w:ascii="宋体" w:hAnsi="宋体" w:cs="宋体"/>
                <w:sz w:val="24"/>
                <w:szCs w:val="24"/>
              </w:rPr>
              <w:t>自竞争性磋商响应文件递交截止之日起60日历天</w:t>
            </w:r>
            <w:r>
              <w:rPr>
                <w:rFonts w:hint="eastAsia" w:ascii="宋体" w:hAnsi="宋体" w:cs="宋体"/>
                <w:sz w:val="24"/>
                <w:szCs w:val="24"/>
                <w:lang w:eastAsia="zh-CN"/>
              </w:rPr>
              <w:t>。</w:t>
            </w:r>
          </w:p>
        </w:tc>
      </w:tr>
      <w:tr w14:paraId="2D8EDEDD">
        <w:tblPrEx>
          <w:tblCellMar>
            <w:top w:w="15" w:type="dxa"/>
            <w:left w:w="15" w:type="dxa"/>
            <w:bottom w:w="15" w:type="dxa"/>
            <w:right w:w="15" w:type="dxa"/>
          </w:tblCellMar>
        </w:tblPrEx>
        <w:trPr>
          <w:trHeight w:val="1108"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4B879">
            <w:pPr>
              <w:widowControl/>
              <w:snapToGrid w:val="0"/>
              <w:spacing w:line="365" w:lineRule="atLeast"/>
              <w:jc w:val="center"/>
              <w:rPr>
                <w:rFonts w:ascii="宋体" w:hAnsi="宋体"/>
                <w:kern w:val="0"/>
                <w:sz w:val="24"/>
                <w:szCs w:val="24"/>
              </w:rPr>
            </w:pPr>
            <w:r>
              <w:rPr>
                <w:rFonts w:hint="eastAsia" w:ascii="宋体" w:hAnsi="宋体"/>
                <w:kern w:val="0"/>
                <w:sz w:val="24"/>
                <w:szCs w:val="24"/>
              </w:rPr>
              <w:t>质量要求</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99A3761">
            <w:pPr>
              <w:widowControl/>
              <w:snapToGrid w:val="0"/>
              <w:spacing w:line="365" w:lineRule="atLeast"/>
              <w:ind w:left="1"/>
              <w:jc w:val="center"/>
              <w:rPr>
                <w:rFonts w:ascii="宋体" w:hAnsi="宋体"/>
                <w:kern w:val="0"/>
                <w:sz w:val="24"/>
                <w:szCs w:val="24"/>
              </w:rPr>
            </w:pPr>
          </w:p>
          <w:p w14:paraId="30622FDC">
            <w:pPr>
              <w:widowControl/>
              <w:snapToGrid w:val="0"/>
              <w:spacing w:line="365" w:lineRule="atLeast"/>
              <w:ind w:left="1"/>
              <w:jc w:val="center"/>
              <w:rPr>
                <w:rFonts w:ascii="宋体" w:hAnsi="宋体"/>
                <w:kern w:val="0"/>
                <w:sz w:val="24"/>
                <w:szCs w:val="24"/>
              </w:rPr>
            </w:pPr>
          </w:p>
        </w:tc>
      </w:tr>
      <w:tr w14:paraId="20D67C04">
        <w:tblPrEx>
          <w:tblCellMar>
            <w:top w:w="15" w:type="dxa"/>
            <w:left w:w="15" w:type="dxa"/>
            <w:bottom w:w="15" w:type="dxa"/>
            <w:right w:w="15" w:type="dxa"/>
          </w:tblCellMar>
        </w:tblPrEx>
        <w:trPr>
          <w:trHeight w:val="1137"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07C68FF">
            <w:pPr>
              <w:widowControl/>
              <w:snapToGrid w:val="0"/>
              <w:spacing w:line="365" w:lineRule="atLeast"/>
              <w:jc w:val="center"/>
              <w:rPr>
                <w:rFonts w:ascii="宋体" w:hAnsi="宋体"/>
                <w:color w:val="auto"/>
                <w:kern w:val="0"/>
                <w:sz w:val="24"/>
                <w:szCs w:val="24"/>
              </w:rPr>
            </w:pPr>
            <w:r>
              <w:rPr>
                <w:rFonts w:hint="eastAsia" w:ascii="宋体" w:hAnsi="宋体"/>
                <w:color w:val="auto"/>
                <w:kern w:val="0"/>
                <w:sz w:val="24"/>
                <w:szCs w:val="24"/>
                <w:lang w:val="en-US" w:eastAsia="zh-CN"/>
              </w:rPr>
              <w:t>投标总</w:t>
            </w:r>
            <w:r>
              <w:rPr>
                <w:rFonts w:hint="eastAsia" w:ascii="宋体" w:hAnsi="宋体"/>
                <w:color w:val="auto"/>
                <w:kern w:val="0"/>
                <w:sz w:val="24"/>
                <w:szCs w:val="24"/>
              </w:rPr>
              <w:t>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637C222">
            <w:pPr>
              <w:widowControl/>
              <w:snapToGrid w:val="0"/>
              <w:spacing w:line="365" w:lineRule="atLeast"/>
              <w:rPr>
                <w:rFonts w:ascii="宋体" w:hAnsi="宋体"/>
                <w:color w:val="auto"/>
                <w:kern w:val="0"/>
                <w:sz w:val="24"/>
                <w:szCs w:val="24"/>
              </w:rPr>
            </w:pPr>
          </w:p>
          <w:p w14:paraId="430050FB">
            <w:pPr>
              <w:widowControl/>
              <w:snapToGrid w:val="0"/>
              <w:spacing w:line="365" w:lineRule="atLeast"/>
              <w:rPr>
                <w:rFonts w:ascii="宋体" w:hAnsi="宋体"/>
                <w:color w:val="auto"/>
                <w:kern w:val="0"/>
                <w:sz w:val="24"/>
                <w:szCs w:val="24"/>
              </w:rPr>
            </w:pPr>
            <w:r>
              <w:rPr>
                <w:rFonts w:hint="eastAsia" w:ascii="宋体" w:hAnsi="宋体"/>
                <w:color w:val="auto"/>
                <w:kern w:val="0"/>
                <w:sz w:val="24"/>
                <w:szCs w:val="24"/>
              </w:rPr>
              <w:t>大写：</w:t>
            </w:r>
          </w:p>
          <w:p w14:paraId="24470B35">
            <w:pPr>
              <w:widowControl/>
              <w:snapToGrid w:val="0"/>
              <w:spacing w:line="365" w:lineRule="atLeast"/>
              <w:rPr>
                <w:rFonts w:ascii="宋体" w:hAnsi="宋体"/>
                <w:color w:val="auto"/>
                <w:kern w:val="0"/>
                <w:sz w:val="24"/>
                <w:szCs w:val="24"/>
              </w:rPr>
            </w:pPr>
          </w:p>
          <w:p w14:paraId="1CD4EDD4">
            <w:pPr>
              <w:widowControl/>
              <w:snapToGrid w:val="0"/>
              <w:spacing w:line="365" w:lineRule="atLeast"/>
              <w:rPr>
                <w:rFonts w:ascii="宋体" w:hAnsi="宋体"/>
                <w:color w:val="auto"/>
                <w:kern w:val="0"/>
                <w:sz w:val="24"/>
                <w:szCs w:val="24"/>
              </w:rPr>
            </w:pPr>
          </w:p>
          <w:p w14:paraId="257FB530">
            <w:pPr>
              <w:widowControl/>
              <w:snapToGrid w:val="0"/>
              <w:spacing w:line="365" w:lineRule="atLeast"/>
              <w:rPr>
                <w:rFonts w:ascii="宋体" w:hAnsi="宋体"/>
                <w:color w:val="auto"/>
                <w:kern w:val="0"/>
                <w:sz w:val="24"/>
                <w:szCs w:val="24"/>
              </w:rPr>
            </w:pPr>
            <w:r>
              <w:rPr>
                <w:rFonts w:hint="eastAsia" w:ascii="宋体" w:hAnsi="宋体"/>
                <w:color w:val="auto"/>
                <w:kern w:val="0"/>
                <w:sz w:val="24"/>
                <w:szCs w:val="24"/>
              </w:rPr>
              <w:t>小写：</w:t>
            </w:r>
          </w:p>
          <w:p w14:paraId="03765617">
            <w:pPr>
              <w:widowControl/>
              <w:snapToGrid w:val="0"/>
              <w:spacing w:line="365" w:lineRule="atLeast"/>
              <w:rPr>
                <w:rFonts w:ascii="宋体" w:hAnsi="宋体"/>
                <w:color w:val="auto"/>
                <w:kern w:val="0"/>
                <w:sz w:val="24"/>
                <w:szCs w:val="24"/>
              </w:rPr>
            </w:pPr>
          </w:p>
        </w:tc>
      </w:tr>
      <w:tr w14:paraId="631E59F0">
        <w:tblPrEx>
          <w:tblCellMar>
            <w:top w:w="15" w:type="dxa"/>
            <w:left w:w="15" w:type="dxa"/>
            <w:bottom w:w="15" w:type="dxa"/>
            <w:right w:w="15" w:type="dxa"/>
          </w:tblCellMar>
        </w:tblPrEx>
        <w:trPr>
          <w:trHeight w:val="1686"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C16E7">
            <w:pPr>
              <w:widowControl/>
              <w:snapToGrid w:val="0"/>
              <w:spacing w:line="365" w:lineRule="atLeast"/>
              <w:jc w:val="center"/>
              <w:rPr>
                <w:rFonts w:ascii="宋体" w:hAnsi="宋体"/>
                <w:kern w:val="0"/>
                <w:sz w:val="24"/>
                <w:szCs w:val="24"/>
              </w:rPr>
            </w:pPr>
            <w:r>
              <w:rPr>
                <w:rFonts w:hint="eastAsia" w:ascii="宋体" w:hAnsi="宋体"/>
                <w:kern w:val="0"/>
                <w:sz w:val="24"/>
                <w:szCs w:val="24"/>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6A08C29">
            <w:pPr>
              <w:widowControl/>
              <w:snapToGrid w:val="0"/>
              <w:spacing w:line="365" w:lineRule="atLeast"/>
              <w:rPr>
                <w:rFonts w:ascii="宋体" w:hAnsi="宋体"/>
                <w:kern w:val="0"/>
                <w:sz w:val="24"/>
                <w:szCs w:val="24"/>
              </w:rPr>
            </w:pPr>
          </w:p>
        </w:tc>
      </w:tr>
    </w:tbl>
    <w:p w14:paraId="4C7BA03A">
      <w:pPr>
        <w:wordWrap w:val="0"/>
        <w:ind w:right="210" w:firstLine="2940" w:firstLineChars="1050"/>
        <w:rPr>
          <w:rFonts w:ascii="宋体" w:hAnsi="宋体"/>
          <w:sz w:val="28"/>
          <w:szCs w:val="30"/>
        </w:rPr>
      </w:pPr>
    </w:p>
    <w:p w14:paraId="72DF0E3E">
      <w:pPr>
        <w:spacing w:line="600" w:lineRule="exact"/>
        <w:ind w:right="210" w:firstLine="3240" w:firstLineChars="1350"/>
        <w:rPr>
          <w:rFonts w:ascii="宋体" w:hAnsi="宋体"/>
          <w:sz w:val="24"/>
          <w:szCs w:val="24"/>
        </w:rPr>
      </w:pPr>
      <w:r>
        <w:rPr>
          <w:rFonts w:hint="eastAsia" w:ascii="宋体" w:hAnsi="宋体"/>
          <w:sz w:val="24"/>
          <w:szCs w:val="24"/>
        </w:rPr>
        <w:t>供应商名称：（单位签章）</w:t>
      </w:r>
    </w:p>
    <w:p w14:paraId="05CB1CAC">
      <w:pPr>
        <w:widowControl/>
        <w:snapToGrid w:val="0"/>
        <w:spacing w:line="600" w:lineRule="exact"/>
        <w:rPr>
          <w:rFonts w:ascii="宋体" w:hAnsi="宋体"/>
          <w:b/>
          <w:bCs/>
          <w:kern w:val="0"/>
          <w:sz w:val="24"/>
          <w:szCs w:val="24"/>
        </w:rPr>
      </w:pPr>
      <w:r>
        <w:rPr>
          <w:rFonts w:hint="eastAsia" w:ascii="宋体" w:hAnsi="宋体"/>
          <w:sz w:val="24"/>
          <w:szCs w:val="24"/>
        </w:rPr>
        <w:t xml:space="preserve">                           法定代表人：（电子签章）</w:t>
      </w:r>
    </w:p>
    <w:p w14:paraId="002FEC4D">
      <w:pPr>
        <w:widowControl/>
        <w:snapToGrid w:val="0"/>
        <w:spacing w:line="600" w:lineRule="exact"/>
        <w:rPr>
          <w:rFonts w:ascii="宋体" w:hAnsi="宋体"/>
          <w:kern w:val="0"/>
          <w:sz w:val="28"/>
          <w:szCs w:val="30"/>
        </w:rPr>
      </w:pPr>
      <w:r>
        <w:rPr>
          <w:rFonts w:hint="eastAsia" w:ascii="宋体" w:hAnsi="宋体"/>
          <w:kern w:val="0"/>
          <w:sz w:val="24"/>
          <w:szCs w:val="24"/>
        </w:rPr>
        <w:t xml:space="preserve">                              </w:t>
      </w:r>
      <w:r>
        <w:rPr>
          <w:rFonts w:hint="eastAsia" w:ascii="宋体" w:hAnsi="宋体"/>
          <w:kern w:val="0"/>
          <w:sz w:val="24"/>
          <w:szCs w:val="24"/>
          <w:lang w:val="en-US" w:eastAsia="zh-CN"/>
        </w:rPr>
        <w:t xml:space="preserve">          </w:t>
      </w:r>
      <w:r>
        <w:rPr>
          <w:rFonts w:hint="eastAsia" w:ascii="宋体" w:hAnsi="宋体"/>
          <w:kern w:val="0"/>
          <w:sz w:val="24"/>
          <w:szCs w:val="24"/>
        </w:rPr>
        <w:t xml:space="preserve">   年    月    日</w:t>
      </w:r>
      <w:r>
        <w:rPr>
          <w:rFonts w:hint="eastAsia" w:ascii="宋体" w:hAnsi="宋体"/>
          <w:kern w:val="0"/>
          <w:sz w:val="28"/>
          <w:szCs w:val="30"/>
        </w:rPr>
        <w:t xml:space="preserve">  </w:t>
      </w:r>
    </w:p>
    <w:p w14:paraId="64CA8A96">
      <w:pPr>
        <w:pStyle w:val="43"/>
        <w:sectPr>
          <w:pgSz w:w="11900" w:h="16838"/>
          <w:pgMar w:top="1304" w:right="1332" w:bottom="1406" w:left="1548" w:header="720" w:footer="720" w:gutter="0"/>
          <w:pgNumType w:fmt="decimal"/>
          <w:cols w:space="0" w:num="1"/>
          <w:rtlGutter w:val="0"/>
          <w:docGrid w:type="lines" w:linePitch="362" w:charSpace="0"/>
        </w:sectPr>
      </w:pPr>
    </w:p>
    <w:p w14:paraId="7B63E826">
      <w:pPr>
        <w:pStyle w:val="3"/>
        <w:spacing w:before="260" w:after="260" w:line="413" w:lineRule="auto"/>
        <w:jc w:val="center"/>
        <w:rPr>
          <w:sz w:val="32"/>
          <w:szCs w:val="32"/>
        </w:rPr>
      </w:pPr>
      <w:bookmarkStart w:id="130" w:name="page58"/>
      <w:bookmarkEnd w:id="130"/>
      <w:bookmarkStart w:id="131" w:name="_Toc12604919"/>
      <w:bookmarkStart w:id="132" w:name="_Toc38013574"/>
      <w:bookmarkStart w:id="133" w:name="_Toc10417"/>
      <w:r>
        <w:rPr>
          <w:rFonts w:hint="eastAsia" w:ascii="Arial" w:eastAsia="黑体" w:cs="Times New Roman"/>
          <w:sz w:val="32"/>
          <w:szCs w:val="32"/>
        </w:rPr>
        <w:t>三、授权委托书</w:t>
      </w:r>
      <w:bookmarkEnd w:id="131"/>
      <w:bookmarkEnd w:id="132"/>
      <w:bookmarkEnd w:id="133"/>
    </w:p>
    <w:p w14:paraId="4ECE483E">
      <w:pPr>
        <w:jc w:val="center"/>
        <w:rPr>
          <w:rFonts w:ascii="宋体" w:hAnsi="宋体"/>
          <w:b/>
          <w:color w:val="000000"/>
          <w:sz w:val="24"/>
          <w:szCs w:val="24"/>
        </w:rPr>
      </w:pPr>
      <w:r>
        <w:rPr>
          <w:rFonts w:hint="eastAsia" w:ascii="宋体" w:hAnsi="宋体"/>
          <w:b/>
          <w:bCs/>
          <w:kern w:val="0"/>
          <w:sz w:val="24"/>
          <w:szCs w:val="24"/>
        </w:rPr>
        <w:t>（一）</w:t>
      </w:r>
      <w:r>
        <w:rPr>
          <w:rFonts w:hint="eastAsia" w:ascii="宋体" w:hAnsi="宋体"/>
          <w:b/>
          <w:color w:val="000000"/>
          <w:sz w:val="24"/>
          <w:szCs w:val="24"/>
        </w:rPr>
        <w:t>法定代表人身份证明</w:t>
      </w:r>
    </w:p>
    <w:p w14:paraId="42759158">
      <w:pPr>
        <w:jc w:val="center"/>
        <w:rPr>
          <w:rFonts w:ascii="宋体" w:hAnsi="宋体"/>
          <w:color w:val="000000"/>
          <w:sz w:val="24"/>
          <w:szCs w:val="24"/>
        </w:rPr>
      </w:pPr>
    </w:p>
    <w:p w14:paraId="17F49A58">
      <w:pPr>
        <w:spacing w:line="480" w:lineRule="auto"/>
        <w:rPr>
          <w:rFonts w:ascii="宋体" w:hAnsi="宋体"/>
          <w:kern w:val="0"/>
          <w:sz w:val="24"/>
          <w:szCs w:val="24"/>
        </w:rPr>
      </w:pPr>
      <w:r>
        <w:rPr>
          <w:rFonts w:hint="eastAsia" w:ascii="宋体" w:hAnsi="宋体"/>
          <w:kern w:val="0"/>
          <w:sz w:val="24"/>
          <w:szCs w:val="24"/>
        </w:rPr>
        <w:t xml:space="preserve">供 应 商：                                                        </w:t>
      </w:r>
    </w:p>
    <w:p w14:paraId="7C74DA47">
      <w:pPr>
        <w:spacing w:line="480" w:lineRule="auto"/>
        <w:rPr>
          <w:rFonts w:ascii="宋体" w:hAnsi="宋体"/>
          <w:kern w:val="0"/>
          <w:sz w:val="24"/>
          <w:szCs w:val="24"/>
        </w:rPr>
      </w:pPr>
      <w:r>
        <w:rPr>
          <w:rFonts w:hint="eastAsia" w:ascii="宋体" w:hAnsi="宋体"/>
          <w:kern w:val="0"/>
          <w:sz w:val="24"/>
          <w:szCs w:val="24"/>
        </w:rPr>
        <w:t xml:space="preserve">单位性质：                                                        </w:t>
      </w:r>
    </w:p>
    <w:p w14:paraId="7A983449">
      <w:pPr>
        <w:spacing w:line="480" w:lineRule="auto"/>
        <w:rPr>
          <w:rFonts w:ascii="宋体" w:hAnsi="宋体"/>
          <w:kern w:val="0"/>
          <w:sz w:val="24"/>
          <w:szCs w:val="24"/>
        </w:rPr>
      </w:pPr>
      <w:r>
        <w:rPr>
          <w:rFonts w:hint="eastAsia" w:ascii="宋体" w:hAnsi="宋体"/>
          <w:kern w:val="0"/>
          <w:sz w:val="24"/>
          <w:szCs w:val="24"/>
        </w:rPr>
        <w:t xml:space="preserve">地    址：                                                        </w:t>
      </w:r>
    </w:p>
    <w:p w14:paraId="4D4ED07D">
      <w:pPr>
        <w:spacing w:line="480" w:lineRule="auto"/>
        <w:rPr>
          <w:rFonts w:ascii="宋体" w:hAnsi="宋体"/>
          <w:kern w:val="0"/>
          <w:sz w:val="24"/>
          <w:szCs w:val="24"/>
        </w:rPr>
      </w:pPr>
      <w:r>
        <w:rPr>
          <w:rFonts w:hint="eastAsia" w:ascii="宋体" w:hAnsi="宋体"/>
          <w:kern w:val="0"/>
          <w:sz w:val="24"/>
          <w:szCs w:val="24"/>
        </w:rPr>
        <w:t>成立时间：      年     月   日</w:t>
      </w:r>
    </w:p>
    <w:p w14:paraId="05E2ABEF">
      <w:pPr>
        <w:spacing w:line="480" w:lineRule="auto"/>
        <w:rPr>
          <w:rFonts w:ascii="宋体" w:hAnsi="宋体"/>
          <w:kern w:val="0"/>
          <w:sz w:val="24"/>
          <w:szCs w:val="24"/>
        </w:rPr>
      </w:pPr>
      <w:r>
        <w:rPr>
          <w:rFonts w:hint="eastAsia" w:ascii="宋体" w:hAnsi="宋体"/>
          <w:kern w:val="0"/>
          <w:sz w:val="24"/>
          <w:szCs w:val="24"/>
        </w:rPr>
        <w:t xml:space="preserve">经营期限：                                                        </w:t>
      </w:r>
    </w:p>
    <w:p w14:paraId="26373891">
      <w:pPr>
        <w:spacing w:line="480" w:lineRule="auto"/>
        <w:rPr>
          <w:rFonts w:ascii="宋体" w:hAnsi="宋体"/>
          <w:kern w:val="0"/>
          <w:sz w:val="24"/>
          <w:szCs w:val="24"/>
        </w:rPr>
      </w:pPr>
      <w:r>
        <w:rPr>
          <w:rFonts w:hint="eastAsia" w:ascii="宋体" w:hAnsi="宋体"/>
          <w:kern w:val="0"/>
          <w:sz w:val="24"/>
          <w:szCs w:val="24"/>
        </w:rPr>
        <w:t xml:space="preserve">姓    名：                  性    别：                </w:t>
      </w:r>
    </w:p>
    <w:p w14:paraId="1B5C1C7C">
      <w:pPr>
        <w:spacing w:line="480" w:lineRule="auto"/>
        <w:rPr>
          <w:rFonts w:ascii="宋体" w:hAnsi="宋体"/>
          <w:kern w:val="0"/>
          <w:sz w:val="24"/>
          <w:szCs w:val="24"/>
        </w:rPr>
      </w:pPr>
      <w:r>
        <w:rPr>
          <w:rFonts w:hint="eastAsia" w:ascii="宋体" w:hAnsi="宋体"/>
          <w:kern w:val="0"/>
          <w:sz w:val="24"/>
          <w:szCs w:val="24"/>
        </w:rPr>
        <w:t xml:space="preserve">年    龄：                  职    务：                </w:t>
      </w:r>
    </w:p>
    <w:p w14:paraId="28460DEB">
      <w:pPr>
        <w:spacing w:line="480" w:lineRule="auto"/>
        <w:rPr>
          <w:rFonts w:ascii="宋体" w:hAnsi="宋体"/>
          <w:kern w:val="0"/>
          <w:sz w:val="24"/>
          <w:szCs w:val="24"/>
        </w:rPr>
      </w:pPr>
      <w:r>
        <w:rPr>
          <w:rFonts w:hint="eastAsia" w:ascii="宋体" w:hAnsi="宋体"/>
          <w:kern w:val="0"/>
          <w:sz w:val="24"/>
          <w:szCs w:val="24"/>
        </w:rPr>
        <w:t xml:space="preserve">系 </w:t>
      </w:r>
      <w:r>
        <w:rPr>
          <w:rFonts w:hint="eastAsia" w:ascii="宋体" w:hAnsi="宋体"/>
          <w:kern w:val="0"/>
          <w:sz w:val="24"/>
          <w:szCs w:val="24"/>
          <w:u w:val="single"/>
        </w:rPr>
        <w:t xml:space="preserve">          （供应商名称）</w:t>
      </w:r>
      <w:r>
        <w:rPr>
          <w:rFonts w:hint="eastAsia" w:ascii="宋体" w:hAnsi="宋体"/>
          <w:kern w:val="0"/>
          <w:sz w:val="24"/>
          <w:szCs w:val="24"/>
        </w:rPr>
        <w:t>的法定代表人。</w:t>
      </w:r>
    </w:p>
    <w:p w14:paraId="0F3A870B">
      <w:pPr>
        <w:spacing w:line="480" w:lineRule="auto"/>
        <w:rPr>
          <w:rFonts w:ascii="宋体" w:hAnsi="宋体"/>
          <w:kern w:val="0"/>
          <w:sz w:val="24"/>
          <w:szCs w:val="24"/>
        </w:rPr>
      </w:pPr>
      <w:r>
        <w:rPr>
          <w:rFonts w:hint="eastAsia" w:ascii="宋体" w:hAnsi="宋体"/>
          <w:kern w:val="0"/>
          <w:sz w:val="24"/>
          <w:szCs w:val="24"/>
        </w:rPr>
        <w:t>特此证明。</w:t>
      </w:r>
    </w:p>
    <w:p w14:paraId="0272DF07">
      <w:pPr>
        <w:spacing w:line="480" w:lineRule="exact"/>
        <w:rPr>
          <w:rFonts w:hint="default" w:ascii="宋体" w:hAnsi="宋体" w:eastAsia="宋体"/>
          <w:kern w:val="0"/>
          <w:sz w:val="24"/>
          <w:szCs w:val="24"/>
          <w:lang w:val="en-US" w:eastAsia="zh-CN"/>
        </w:rPr>
      </w:pPr>
      <w:r>
        <w:rPr>
          <w:rFonts w:hint="eastAsia" w:ascii="宋体" w:hAnsi="宋体"/>
          <w:kern w:val="0"/>
          <w:sz w:val="24"/>
          <w:szCs w:val="24"/>
          <w:lang w:val="en-US" w:eastAsia="zh-CN"/>
        </w:rPr>
        <w:t>注：后附法人身份证复印件并加盖公章。</w:t>
      </w:r>
    </w:p>
    <w:p w14:paraId="4AE6BA94">
      <w:pPr>
        <w:spacing w:line="480" w:lineRule="exact"/>
        <w:rPr>
          <w:rFonts w:ascii="宋体" w:hAnsi="宋体"/>
          <w:kern w:val="0"/>
          <w:sz w:val="24"/>
          <w:szCs w:val="24"/>
        </w:rPr>
      </w:pPr>
    </w:p>
    <w:p w14:paraId="3565A067">
      <w:pPr>
        <w:spacing w:line="480" w:lineRule="auto"/>
        <w:jc w:val="center"/>
        <w:rPr>
          <w:rFonts w:ascii="宋体" w:hAnsi="宋体"/>
          <w:kern w:val="0"/>
          <w:sz w:val="24"/>
          <w:szCs w:val="24"/>
        </w:rPr>
      </w:pP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xml:space="preserve">            </w:t>
      </w:r>
      <w:r>
        <w:rPr>
          <w:rFonts w:hint="eastAsia" w:ascii="宋体" w:hAnsi="宋体"/>
          <w:kern w:val="0"/>
          <w:sz w:val="24"/>
          <w:szCs w:val="24"/>
        </w:rPr>
        <w:t>（单位签章）</w:t>
      </w:r>
    </w:p>
    <w:p w14:paraId="4AECF413">
      <w:pPr>
        <w:tabs>
          <w:tab w:val="left" w:pos="8280"/>
        </w:tabs>
        <w:spacing w:line="480" w:lineRule="auto"/>
        <w:ind w:firstLine="3840" w:firstLineChars="1600"/>
        <w:rPr>
          <w:rFonts w:ascii="宋体" w:hAnsi="宋体"/>
          <w:kern w:val="0"/>
          <w:sz w:val="24"/>
          <w:szCs w:val="24"/>
        </w:rPr>
      </w:pPr>
      <w:r>
        <w:rPr>
          <w:rFonts w:hint="eastAsia" w:ascii="宋体" w:hAnsi="宋体"/>
          <w:kern w:val="0"/>
          <w:sz w:val="24"/>
          <w:szCs w:val="24"/>
        </w:rPr>
        <w:t xml:space="preserve">     年     月    日</w:t>
      </w:r>
    </w:p>
    <w:p w14:paraId="504D650B">
      <w:pPr>
        <w:widowControl/>
        <w:snapToGrid w:val="0"/>
        <w:spacing w:line="365" w:lineRule="atLeast"/>
        <w:rPr>
          <w:b/>
          <w:bCs/>
          <w:kern w:val="0"/>
          <w:sz w:val="30"/>
          <w:szCs w:val="30"/>
        </w:rPr>
      </w:pPr>
    </w:p>
    <w:p w14:paraId="0C9F00D7">
      <w:pPr>
        <w:widowControl/>
        <w:snapToGrid w:val="0"/>
        <w:spacing w:line="365" w:lineRule="atLeast"/>
        <w:ind w:firstLine="2699" w:firstLineChars="896"/>
        <w:rPr>
          <w:b/>
          <w:bCs/>
          <w:kern w:val="0"/>
          <w:sz w:val="30"/>
          <w:szCs w:val="30"/>
        </w:rPr>
      </w:pPr>
    </w:p>
    <w:p w14:paraId="0C843F3F">
      <w:pPr>
        <w:widowControl/>
        <w:snapToGrid w:val="0"/>
        <w:spacing w:line="365" w:lineRule="atLeast"/>
        <w:ind w:firstLine="2699" w:firstLineChars="896"/>
        <w:rPr>
          <w:b/>
          <w:bCs/>
          <w:kern w:val="0"/>
          <w:sz w:val="30"/>
          <w:szCs w:val="30"/>
        </w:rPr>
      </w:pPr>
    </w:p>
    <w:p w14:paraId="2283718A">
      <w:pPr>
        <w:widowControl/>
        <w:snapToGrid w:val="0"/>
        <w:spacing w:line="365" w:lineRule="atLeast"/>
        <w:ind w:firstLine="2699" w:firstLineChars="896"/>
        <w:rPr>
          <w:b/>
          <w:bCs/>
          <w:kern w:val="0"/>
          <w:sz w:val="30"/>
          <w:szCs w:val="30"/>
        </w:rPr>
      </w:pPr>
    </w:p>
    <w:p w14:paraId="0E148089">
      <w:pPr>
        <w:widowControl/>
        <w:snapToGrid w:val="0"/>
        <w:spacing w:line="365" w:lineRule="atLeast"/>
        <w:ind w:firstLine="2699" w:firstLineChars="896"/>
        <w:rPr>
          <w:b/>
          <w:bCs/>
          <w:kern w:val="0"/>
          <w:sz w:val="30"/>
          <w:szCs w:val="30"/>
        </w:rPr>
      </w:pPr>
    </w:p>
    <w:p w14:paraId="7ADF8E2A">
      <w:pPr>
        <w:widowControl/>
        <w:snapToGrid w:val="0"/>
        <w:spacing w:line="365" w:lineRule="atLeast"/>
        <w:ind w:firstLine="2699" w:firstLineChars="896"/>
        <w:rPr>
          <w:b/>
          <w:bCs/>
          <w:kern w:val="0"/>
          <w:sz w:val="30"/>
          <w:szCs w:val="30"/>
        </w:rPr>
      </w:pPr>
    </w:p>
    <w:p w14:paraId="54D625AA">
      <w:pPr>
        <w:widowControl/>
        <w:snapToGrid w:val="0"/>
        <w:spacing w:line="365" w:lineRule="atLeast"/>
        <w:ind w:firstLine="2699" w:firstLineChars="896"/>
        <w:rPr>
          <w:b/>
          <w:bCs/>
          <w:kern w:val="0"/>
          <w:sz w:val="30"/>
          <w:szCs w:val="30"/>
        </w:rPr>
      </w:pPr>
    </w:p>
    <w:p w14:paraId="4F53A96B">
      <w:pPr>
        <w:widowControl/>
        <w:snapToGrid w:val="0"/>
        <w:spacing w:line="365" w:lineRule="atLeast"/>
        <w:ind w:firstLine="2699" w:firstLineChars="896"/>
        <w:rPr>
          <w:b/>
          <w:bCs/>
          <w:kern w:val="0"/>
          <w:sz w:val="30"/>
          <w:szCs w:val="30"/>
        </w:rPr>
      </w:pPr>
    </w:p>
    <w:p w14:paraId="3E0CBDBB">
      <w:pPr>
        <w:widowControl/>
        <w:snapToGrid w:val="0"/>
        <w:spacing w:line="365" w:lineRule="atLeast"/>
        <w:jc w:val="center"/>
        <w:rPr>
          <w:rFonts w:hint="eastAsia" w:ascii="宋体" w:hAnsi="宋体"/>
          <w:b/>
          <w:bCs/>
          <w:kern w:val="0"/>
          <w:sz w:val="30"/>
          <w:szCs w:val="30"/>
        </w:rPr>
        <w:sectPr>
          <w:footerReference r:id="rId8" w:type="default"/>
          <w:pgSz w:w="11900" w:h="16838"/>
          <w:pgMar w:top="1304" w:right="1332" w:bottom="1406" w:left="1548" w:header="720" w:footer="720" w:gutter="0"/>
          <w:pgNumType w:fmt="decimal"/>
          <w:cols w:space="0" w:num="1"/>
          <w:rtlGutter w:val="0"/>
          <w:docGrid w:type="lines" w:linePitch="362" w:charSpace="0"/>
        </w:sectPr>
      </w:pPr>
    </w:p>
    <w:p w14:paraId="415ED4AB">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20D827AB">
      <w:pPr>
        <w:widowControl/>
        <w:snapToGrid w:val="0"/>
        <w:spacing w:line="600" w:lineRule="atLeast"/>
        <w:ind w:firstLine="480" w:firstLineChars="200"/>
        <w:rPr>
          <w:rFonts w:ascii="宋体" w:hAnsi="宋体"/>
          <w:kern w:val="0"/>
          <w:sz w:val="24"/>
          <w:szCs w:val="24"/>
        </w:rPr>
      </w:pPr>
      <w:r>
        <w:rPr>
          <w:rFonts w:hint="eastAsia" w:ascii="宋体" w:hAnsi="宋体"/>
          <w:kern w:val="0"/>
          <w:sz w:val="24"/>
          <w:szCs w:val="24"/>
        </w:rPr>
        <w:t>本人</w:t>
      </w:r>
      <w:r>
        <w:rPr>
          <w:rFonts w:hint="eastAsia" w:ascii="宋体" w:hAnsi="宋体"/>
          <w:kern w:val="0"/>
          <w:sz w:val="24"/>
          <w:szCs w:val="24"/>
          <w:u w:val="single"/>
        </w:rPr>
        <w:t xml:space="preserve">   （姓名） </w:t>
      </w:r>
      <w:r>
        <w:rPr>
          <w:rFonts w:hint="eastAsia" w:ascii="宋体" w:hAnsi="宋体"/>
          <w:kern w:val="0"/>
          <w:sz w:val="24"/>
          <w:szCs w:val="24"/>
        </w:rPr>
        <w:t>系</w:t>
      </w:r>
      <w:r>
        <w:rPr>
          <w:rFonts w:hint="eastAsia" w:ascii="宋体" w:hAnsi="宋体"/>
          <w:kern w:val="0"/>
          <w:sz w:val="24"/>
          <w:szCs w:val="24"/>
          <w:u w:val="single"/>
        </w:rPr>
        <w:t xml:space="preserve">  （供应商名称） </w:t>
      </w:r>
      <w:r>
        <w:rPr>
          <w:rFonts w:hint="eastAsia" w:ascii="宋体" w:hAnsi="宋体"/>
          <w:kern w:val="0"/>
          <w:sz w:val="24"/>
          <w:szCs w:val="24"/>
        </w:rPr>
        <w:t>的法定代表人，现授权委托</w:t>
      </w:r>
      <w:r>
        <w:rPr>
          <w:rFonts w:hint="eastAsia" w:ascii="宋体" w:hAnsi="宋体"/>
          <w:kern w:val="0"/>
          <w:sz w:val="24"/>
          <w:szCs w:val="24"/>
          <w:u w:val="single"/>
        </w:rPr>
        <w:t xml:space="preserve">  （姓名  ）</w:t>
      </w:r>
      <w:r>
        <w:rPr>
          <w:rFonts w:hint="eastAsia" w:ascii="宋体" w:hAnsi="宋体"/>
          <w:kern w:val="0"/>
          <w:sz w:val="24"/>
          <w:szCs w:val="24"/>
        </w:rPr>
        <w:t>为我单位（公司）代理人，以本单位（公司）的名义参加</w:t>
      </w:r>
      <w:r>
        <w:rPr>
          <w:rFonts w:hint="eastAsia" w:ascii="宋体" w:hAnsi="宋体"/>
          <w:kern w:val="0"/>
          <w:sz w:val="24"/>
          <w:szCs w:val="24"/>
          <w:u w:val="single"/>
        </w:rPr>
        <w:t xml:space="preserve">  （招标单位）</w:t>
      </w:r>
      <w:r>
        <w:rPr>
          <w:rFonts w:hint="eastAsia" w:ascii="宋体" w:hAnsi="宋体"/>
          <w:kern w:val="0"/>
          <w:sz w:val="24"/>
          <w:szCs w:val="24"/>
        </w:rPr>
        <w:t>的</w:t>
      </w:r>
      <w:r>
        <w:rPr>
          <w:rFonts w:hint="eastAsia" w:ascii="宋体" w:hAnsi="宋体"/>
          <w:kern w:val="0"/>
          <w:sz w:val="24"/>
          <w:szCs w:val="24"/>
          <w:u w:val="single"/>
        </w:rPr>
        <w:t xml:space="preserve">  （项目名称）</w:t>
      </w:r>
      <w:r>
        <w:rPr>
          <w:rFonts w:hint="eastAsia" w:ascii="宋体" w:hAnsi="宋体"/>
          <w:kern w:val="0"/>
          <w:sz w:val="24"/>
          <w:szCs w:val="24"/>
        </w:rPr>
        <w:t>的投标活动。代理人在开标、评标、合同谈判过程中所签署的一切文件和处理与之有关的一切事务，其法律后果由我方承担。</w:t>
      </w:r>
    </w:p>
    <w:p w14:paraId="26C147C7">
      <w:pPr>
        <w:widowControl/>
        <w:snapToGrid w:val="0"/>
        <w:spacing w:line="600" w:lineRule="atLeast"/>
        <w:ind w:firstLine="624"/>
        <w:rPr>
          <w:rFonts w:ascii="宋体" w:hAnsi="宋体"/>
          <w:kern w:val="0"/>
          <w:sz w:val="24"/>
          <w:szCs w:val="24"/>
        </w:rPr>
      </w:pPr>
      <w:r>
        <w:rPr>
          <w:rFonts w:hint="eastAsia" w:ascii="宋体" w:hAnsi="宋体"/>
          <w:kern w:val="0"/>
          <w:sz w:val="24"/>
          <w:szCs w:val="24"/>
        </w:rPr>
        <w:t>代理人无转委托权，特此证明。</w:t>
      </w:r>
    </w:p>
    <w:p w14:paraId="351DBD89">
      <w:pPr>
        <w:widowControl/>
        <w:snapToGrid w:val="0"/>
        <w:spacing w:line="548" w:lineRule="atLeast"/>
        <w:rPr>
          <w:rFonts w:ascii="宋体" w:hAnsi="宋体"/>
          <w:kern w:val="0"/>
          <w:sz w:val="24"/>
          <w:szCs w:val="24"/>
        </w:rPr>
      </w:pPr>
    </w:p>
    <w:p w14:paraId="5F916D52">
      <w:pPr>
        <w:widowControl/>
        <w:snapToGrid w:val="0"/>
        <w:spacing w:line="548" w:lineRule="atLeast"/>
        <w:rPr>
          <w:rFonts w:ascii="宋体" w:hAnsi="宋体"/>
          <w:kern w:val="0"/>
          <w:sz w:val="24"/>
          <w:szCs w:val="24"/>
          <w:u w:val="single"/>
        </w:rPr>
      </w:pPr>
      <w:r>
        <w:rPr>
          <w:rFonts w:hint="eastAsia" w:ascii="宋体" w:hAnsi="宋体"/>
          <w:kern w:val="0"/>
          <w:sz w:val="24"/>
          <w:szCs w:val="24"/>
        </w:rPr>
        <w:t>供  应  商：</w:t>
      </w:r>
      <w:r>
        <w:rPr>
          <w:rFonts w:hint="eastAsia" w:ascii="宋体" w:hAnsi="宋体"/>
          <w:kern w:val="0"/>
          <w:sz w:val="24"/>
          <w:szCs w:val="24"/>
          <w:u w:val="single"/>
        </w:rPr>
        <w:t xml:space="preserve">                           </w:t>
      </w:r>
      <w:r>
        <w:rPr>
          <w:rFonts w:hint="eastAsia" w:ascii="宋体" w:hAnsi="宋体"/>
          <w:kern w:val="0"/>
          <w:sz w:val="24"/>
          <w:szCs w:val="24"/>
        </w:rPr>
        <w:t>（单位签章）</w:t>
      </w:r>
    </w:p>
    <w:p w14:paraId="6B67368E">
      <w:pPr>
        <w:widowControl/>
        <w:snapToGrid w:val="0"/>
        <w:spacing w:line="548" w:lineRule="atLeast"/>
        <w:rPr>
          <w:rFonts w:ascii="宋体" w:hAnsi="宋体"/>
          <w:kern w:val="0"/>
          <w:sz w:val="24"/>
          <w:szCs w:val="24"/>
          <w:u w:val="single"/>
        </w:rPr>
      </w:pPr>
      <w:r>
        <w:rPr>
          <w:rFonts w:hint="eastAsia" w:ascii="宋体" w:hAnsi="宋体"/>
          <w:kern w:val="0"/>
          <w:sz w:val="24"/>
          <w:szCs w:val="24"/>
        </w:rPr>
        <w:t>法定代表人：</w:t>
      </w:r>
      <w:r>
        <w:rPr>
          <w:rFonts w:hint="eastAsia" w:ascii="宋体" w:hAnsi="宋体"/>
          <w:kern w:val="0"/>
          <w:sz w:val="24"/>
          <w:szCs w:val="24"/>
          <w:u w:val="single"/>
        </w:rPr>
        <w:t xml:space="preserve">                           </w:t>
      </w:r>
      <w:r>
        <w:rPr>
          <w:rFonts w:hint="eastAsia" w:ascii="宋体" w:hAnsi="宋体"/>
          <w:kern w:val="0"/>
          <w:sz w:val="24"/>
          <w:szCs w:val="24"/>
        </w:rPr>
        <w:t xml:space="preserve">（电子签章） </w:t>
      </w:r>
    </w:p>
    <w:p w14:paraId="4E271C3A">
      <w:pPr>
        <w:widowControl/>
        <w:snapToGrid w:val="0"/>
        <w:spacing w:line="548" w:lineRule="atLeast"/>
        <w:rPr>
          <w:rFonts w:ascii="宋体" w:hAnsi="宋体"/>
          <w:kern w:val="0"/>
          <w:sz w:val="24"/>
          <w:szCs w:val="24"/>
        </w:rPr>
      </w:pPr>
      <w:r>
        <w:rPr>
          <w:rFonts w:hint="eastAsia" w:ascii="宋体" w:hAnsi="宋体"/>
          <w:kern w:val="0"/>
          <w:sz w:val="24"/>
          <w:szCs w:val="24"/>
        </w:rPr>
        <w:t>法定代表人身份证号码：</w:t>
      </w:r>
      <w:r>
        <w:rPr>
          <w:rFonts w:hint="eastAsia" w:ascii="宋体" w:hAnsi="宋体"/>
          <w:kern w:val="0"/>
          <w:sz w:val="24"/>
          <w:szCs w:val="24"/>
          <w:u w:val="single"/>
        </w:rPr>
        <w:t xml:space="preserve">                  </w:t>
      </w:r>
      <w:r>
        <w:rPr>
          <w:rFonts w:hint="eastAsia" w:ascii="宋体" w:hAnsi="宋体"/>
          <w:kern w:val="0"/>
          <w:sz w:val="24"/>
          <w:szCs w:val="24"/>
        </w:rPr>
        <w:t xml:space="preserve"> </w:t>
      </w:r>
    </w:p>
    <w:p w14:paraId="024B3767">
      <w:pPr>
        <w:widowControl/>
        <w:snapToGrid w:val="0"/>
        <w:spacing w:line="548" w:lineRule="atLeast"/>
        <w:rPr>
          <w:rFonts w:ascii="宋体" w:hAnsi="宋体"/>
          <w:kern w:val="0"/>
          <w:sz w:val="24"/>
          <w:szCs w:val="24"/>
        </w:rPr>
      </w:pPr>
      <w:r>
        <w:rPr>
          <w:rFonts w:hint="eastAsia" w:ascii="宋体" w:hAnsi="宋体"/>
          <w:kern w:val="0"/>
          <w:sz w:val="24"/>
          <w:szCs w:val="24"/>
        </w:rPr>
        <w:t>委托代理人：</w:t>
      </w:r>
      <w:r>
        <w:rPr>
          <w:rFonts w:hint="eastAsia" w:ascii="宋体" w:hAnsi="宋体"/>
          <w:kern w:val="0"/>
          <w:sz w:val="24"/>
          <w:szCs w:val="24"/>
          <w:u w:val="single"/>
        </w:rPr>
        <w:t xml:space="preserve">             </w:t>
      </w:r>
      <w:r>
        <w:rPr>
          <w:rFonts w:hint="eastAsia" w:ascii="宋体" w:hAnsi="宋体"/>
          <w:kern w:val="0"/>
          <w:sz w:val="24"/>
          <w:szCs w:val="24"/>
        </w:rPr>
        <w:t>（签字）</w:t>
      </w:r>
    </w:p>
    <w:p w14:paraId="782D35E7">
      <w:pPr>
        <w:widowControl/>
        <w:snapToGrid w:val="0"/>
        <w:spacing w:line="548" w:lineRule="atLeast"/>
        <w:rPr>
          <w:rFonts w:ascii="宋体" w:hAnsi="宋体"/>
          <w:kern w:val="0"/>
          <w:sz w:val="24"/>
          <w:szCs w:val="24"/>
          <w:u w:val="single"/>
        </w:rPr>
      </w:pPr>
      <w:r>
        <w:rPr>
          <w:rFonts w:hint="eastAsia" w:ascii="宋体" w:hAnsi="宋体"/>
          <w:kern w:val="0"/>
          <w:sz w:val="24"/>
          <w:szCs w:val="24"/>
        </w:rPr>
        <w:t>委托代理人身份证号码：</w:t>
      </w:r>
      <w:r>
        <w:rPr>
          <w:rFonts w:hint="eastAsia" w:ascii="宋体" w:hAnsi="宋体"/>
          <w:kern w:val="0"/>
          <w:sz w:val="24"/>
          <w:szCs w:val="24"/>
          <w:u w:val="single"/>
        </w:rPr>
        <w:t xml:space="preserve">                  </w:t>
      </w:r>
    </w:p>
    <w:p w14:paraId="16F78A60">
      <w:pPr>
        <w:widowControl/>
        <w:snapToGrid w:val="0"/>
        <w:spacing w:line="548" w:lineRule="atLeast"/>
        <w:ind w:firstLine="3360" w:firstLineChars="1400"/>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 xml:space="preserve">日 </w:t>
      </w:r>
    </w:p>
    <w:p w14:paraId="46705A9D">
      <w:pPr>
        <w:widowControl/>
        <w:tabs>
          <w:tab w:val="left" w:pos="6405"/>
        </w:tabs>
        <w:snapToGrid w:val="0"/>
        <w:spacing w:line="548" w:lineRule="atLeast"/>
        <w:rPr>
          <w:rFonts w:ascii="宋体" w:hAnsi="宋体"/>
          <w:kern w:val="0"/>
          <w:sz w:val="24"/>
          <w:szCs w:val="24"/>
        </w:rPr>
      </w:pPr>
    </w:p>
    <w:p w14:paraId="588BC19C">
      <w:pPr>
        <w:widowControl/>
        <w:snapToGrid w:val="0"/>
        <w:spacing w:line="548" w:lineRule="atLeast"/>
        <w:rPr>
          <w:rFonts w:ascii="宋体" w:hAnsi="宋体"/>
          <w:kern w:val="0"/>
          <w:sz w:val="24"/>
          <w:szCs w:val="24"/>
        </w:rPr>
      </w:pPr>
      <w:r>
        <w:rPr>
          <w:rFonts w:hint="eastAsia" w:ascii="宋体" w:hAnsi="宋体"/>
          <w:kern w:val="0"/>
          <w:sz w:val="24"/>
          <w:szCs w:val="24"/>
        </w:rPr>
        <w:t>附：委托代理人身份证明</w:t>
      </w:r>
      <w:r>
        <w:rPr>
          <w:rFonts w:hint="eastAsia" w:ascii="宋体" w:hAnsi="宋体"/>
          <w:kern w:val="0"/>
          <w:sz w:val="24"/>
          <w:szCs w:val="24"/>
          <w:lang w:val="en-US" w:eastAsia="zh-CN"/>
        </w:rPr>
        <w:t>复印件</w:t>
      </w:r>
      <w:r>
        <w:rPr>
          <w:rFonts w:hint="eastAsia" w:ascii="宋体" w:hAnsi="宋体"/>
          <w:kern w:val="0"/>
          <w:sz w:val="24"/>
          <w:szCs w:val="24"/>
        </w:rPr>
        <w:t>并加单位签章。</w:t>
      </w:r>
    </w:p>
    <w:p w14:paraId="7F88D0BB">
      <w:pPr>
        <w:spacing w:line="440" w:lineRule="exact"/>
        <w:jc w:val="center"/>
        <w:rPr>
          <w:rFonts w:hAnsi="宋体"/>
          <w:sz w:val="24"/>
          <w:szCs w:val="24"/>
        </w:rPr>
      </w:pPr>
    </w:p>
    <w:p w14:paraId="1B5F42EB">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0CCA7D06">
      <w:pPr>
        <w:spacing w:line="440" w:lineRule="exact"/>
        <w:jc w:val="left"/>
        <w:rPr>
          <w:rFonts w:hAnsi="宋体"/>
          <w:sz w:val="30"/>
          <w:szCs w:val="30"/>
        </w:rPr>
      </w:pPr>
    </w:p>
    <w:p w14:paraId="2B585D30">
      <w:pPr>
        <w:spacing w:line="440" w:lineRule="exact"/>
        <w:jc w:val="center"/>
        <w:rPr>
          <w:rFonts w:hAnsi="宋体"/>
          <w:sz w:val="30"/>
          <w:szCs w:val="30"/>
        </w:rPr>
      </w:pPr>
    </w:p>
    <w:p w14:paraId="6EB663B9">
      <w:pPr>
        <w:spacing w:line="440" w:lineRule="exact"/>
        <w:jc w:val="center"/>
        <w:rPr>
          <w:rFonts w:hAnsi="宋体"/>
          <w:sz w:val="30"/>
          <w:szCs w:val="30"/>
        </w:rPr>
      </w:pPr>
    </w:p>
    <w:p w14:paraId="44523F9B">
      <w:pPr>
        <w:spacing w:line="440" w:lineRule="exact"/>
        <w:jc w:val="center"/>
        <w:rPr>
          <w:rFonts w:hAnsi="宋体"/>
          <w:sz w:val="30"/>
          <w:szCs w:val="30"/>
        </w:rPr>
      </w:pPr>
    </w:p>
    <w:p w14:paraId="2DB9A41F">
      <w:pPr>
        <w:pStyle w:val="3"/>
        <w:keepNext w:val="0"/>
        <w:spacing w:before="260" w:after="260" w:line="413" w:lineRule="auto"/>
        <w:jc w:val="center"/>
        <w:rPr>
          <w:rFonts w:ascii="Arial" w:eastAsia="黑体" w:cs="Times New Roman"/>
          <w:sz w:val="32"/>
          <w:szCs w:val="32"/>
        </w:rPr>
      </w:pPr>
      <w:bookmarkStart w:id="134" w:name="_Toc12604920"/>
      <w:bookmarkStart w:id="135" w:name="_Toc14881"/>
      <w:bookmarkStart w:id="136" w:name="_Toc507510303"/>
      <w:bookmarkStart w:id="137" w:name="_Toc38013575"/>
    </w:p>
    <w:p w14:paraId="50C91046">
      <w:pPr>
        <w:pStyle w:val="3"/>
        <w:keepNext w:val="0"/>
        <w:spacing w:before="260" w:after="260" w:line="413" w:lineRule="auto"/>
        <w:jc w:val="center"/>
        <w:rPr>
          <w:rFonts w:ascii="Arial" w:eastAsia="黑体" w:cs="Times New Roman"/>
          <w:sz w:val="32"/>
          <w:szCs w:val="32"/>
        </w:rPr>
      </w:pPr>
    </w:p>
    <w:p w14:paraId="57FA774E">
      <w:pPr>
        <w:pStyle w:val="3"/>
        <w:keepNext w:val="0"/>
        <w:spacing w:before="260" w:after="260" w:line="413" w:lineRule="auto"/>
        <w:jc w:val="center"/>
        <w:rPr>
          <w:rFonts w:hint="eastAsia" w:ascii="Arial" w:eastAsia="黑体" w:cs="Times New Roman"/>
          <w:sz w:val="32"/>
          <w:szCs w:val="32"/>
        </w:rPr>
        <w:sectPr>
          <w:pgSz w:w="11900" w:h="16838"/>
          <w:pgMar w:top="1304" w:right="1332" w:bottom="1406" w:left="1548" w:header="720" w:footer="720" w:gutter="0"/>
          <w:pgNumType w:fmt="decimal"/>
          <w:cols w:space="0" w:num="1"/>
          <w:rtlGutter w:val="0"/>
          <w:docGrid w:type="lines" w:linePitch="362" w:charSpace="0"/>
        </w:sectPr>
      </w:pPr>
      <w:bookmarkStart w:id="138" w:name="_Toc7328"/>
    </w:p>
    <w:p w14:paraId="5411E46B">
      <w:pPr>
        <w:pStyle w:val="3"/>
        <w:keepNext w:val="0"/>
        <w:spacing w:before="260" w:after="260" w:line="413" w:lineRule="auto"/>
        <w:jc w:val="center"/>
        <w:rPr>
          <w:rFonts w:hint="default" w:eastAsia="黑体"/>
          <w:lang w:val="en-US" w:eastAsia="zh-CN"/>
        </w:rPr>
      </w:pPr>
      <w:r>
        <w:rPr>
          <w:rFonts w:hint="eastAsia" w:ascii="Arial" w:eastAsia="黑体" w:cs="Times New Roman"/>
          <w:sz w:val="32"/>
          <w:szCs w:val="32"/>
        </w:rPr>
        <w:t>四、</w:t>
      </w:r>
      <w:bookmarkEnd w:id="134"/>
      <w:bookmarkEnd w:id="135"/>
      <w:bookmarkEnd w:id="136"/>
      <w:bookmarkEnd w:id="137"/>
      <w:bookmarkEnd w:id="138"/>
      <w:r>
        <w:rPr>
          <w:rFonts w:hint="eastAsia" w:ascii="Arial" w:eastAsia="黑体" w:cs="Times New Roman"/>
          <w:sz w:val="32"/>
          <w:szCs w:val="32"/>
          <w:lang w:val="en-US" w:eastAsia="zh-CN"/>
        </w:rPr>
        <w:t>供应商基本情况</w:t>
      </w:r>
    </w:p>
    <w:p w14:paraId="16D82D75">
      <w:pPr>
        <w:topLinePunct/>
        <w:spacing w:line="440" w:lineRule="exact"/>
        <w:rPr>
          <w:b/>
          <w:sz w:val="28"/>
          <w:szCs w:val="28"/>
        </w:rPr>
      </w:pPr>
      <w:r>
        <w:rPr>
          <w:rFonts w:hint="eastAsia"/>
          <w:b/>
          <w:sz w:val="28"/>
          <w:szCs w:val="28"/>
        </w:rPr>
        <w:t>（一）供应商基本情况表</w:t>
      </w:r>
    </w:p>
    <w:tbl>
      <w:tblPr>
        <w:tblStyle w:val="49"/>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2409"/>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2"/>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3483"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3899" w:type="dxa"/>
            <w:gridSpan w:val="2"/>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4"/>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4"/>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1F41BF8B">
      <w:pPr>
        <w:autoSpaceDE w:val="0"/>
        <w:autoSpaceDN w:val="0"/>
        <w:adjustRightInd w:val="0"/>
        <w:spacing w:line="400" w:lineRule="exac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p>
    <w:p w14:paraId="04DFD48D">
      <w:pPr>
        <w:autoSpaceDE w:val="0"/>
        <w:autoSpaceDN w:val="0"/>
        <w:adjustRightInd w:val="0"/>
        <w:spacing w:line="400" w:lineRule="exact"/>
        <w:rPr>
          <w:rFonts w:ascii="宋体" w:hAnsi="宋体"/>
          <w:sz w:val="24"/>
          <w:u w:val="single"/>
        </w:rPr>
      </w:pPr>
    </w:p>
    <w:p w14:paraId="29214152">
      <w:pPr>
        <w:spacing w:beforeLines="100" w:afterLines="50" w:line="480" w:lineRule="exact"/>
        <w:textAlignment w:val="center"/>
        <w:rPr>
          <w:rFonts w:ascii="宋体" w:hAnsi="宋体" w:cs="宋体"/>
          <w:b/>
          <w:bCs/>
          <w:sz w:val="30"/>
          <w:szCs w:val="30"/>
        </w:rPr>
      </w:pPr>
      <w:r>
        <w:rPr>
          <w:rFonts w:hint="eastAsia"/>
          <w:b/>
          <w:sz w:val="28"/>
          <w:szCs w:val="28"/>
        </w:rPr>
        <w:t>（二）近年发生的诉讼及仲裁情况表</w:t>
      </w:r>
    </w:p>
    <w:p w14:paraId="71E5FD8D">
      <w:pPr>
        <w:spacing w:line="400" w:lineRule="exact"/>
        <w:jc w:val="center"/>
        <w:rPr>
          <w:color w:val="auto"/>
        </w:rPr>
      </w:pPr>
      <w:r>
        <w:rPr>
          <w:rFonts w:hint="eastAsia"/>
          <w:color w:val="auto"/>
        </w:rPr>
        <w:t>（近年指</w:t>
      </w:r>
      <w:r>
        <w:rPr>
          <w:rFonts w:hint="eastAsia"/>
          <w:color w:val="auto"/>
          <w:u w:val="single"/>
        </w:rPr>
        <w:t>202</w:t>
      </w:r>
      <w:r>
        <w:rPr>
          <w:rFonts w:hint="eastAsia"/>
          <w:color w:val="auto"/>
          <w:u w:val="single"/>
          <w:lang w:val="en-US" w:eastAsia="zh-CN"/>
        </w:rPr>
        <w:t>3</w:t>
      </w:r>
      <w:r>
        <w:rPr>
          <w:rFonts w:hint="eastAsia"/>
          <w:color w:val="auto"/>
          <w:u w:val="single"/>
        </w:rPr>
        <w:t>年</w:t>
      </w:r>
      <w:r>
        <w:rPr>
          <w:rFonts w:hint="eastAsia"/>
          <w:color w:val="auto"/>
          <w:u w:val="single"/>
          <w:lang w:val="en-US" w:eastAsia="zh-CN"/>
        </w:rPr>
        <w:t>1</w:t>
      </w:r>
      <w:r>
        <w:rPr>
          <w:rFonts w:hint="eastAsia"/>
          <w:color w:val="auto"/>
          <w:u w:val="single"/>
        </w:rPr>
        <w:t>月1日至今</w:t>
      </w:r>
      <w:r>
        <w:rPr>
          <w:rFonts w:hint="eastAsia"/>
          <w:color w:val="auto"/>
        </w:rPr>
        <w:t>）</w:t>
      </w:r>
    </w:p>
    <w:tbl>
      <w:tblPr>
        <w:tblStyle w:val="4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5397D3BA">
      <w:pPr>
        <w:spacing w:line="440" w:lineRule="exact"/>
        <w:jc w:val="center"/>
        <w:rPr>
          <w:rFonts w:ascii="宋体" w:hAnsi="宋体"/>
          <w:sz w:val="18"/>
          <w:szCs w:val="18"/>
        </w:rPr>
      </w:pPr>
    </w:p>
    <w:p w14:paraId="7866DEC6">
      <w:pPr>
        <w:jc w:val="left"/>
        <w:rPr>
          <w:sz w:val="28"/>
          <w:szCs w:val="28"/>
        </w:rPr>
      </w:pPr>
      <w:bookmarkStart w:id="139" w:name="_Toc488135760"/>
    </w:p>
    <w:p w14:paraId="5D8987A4">
      <w:pPr>
        <w:jc w:val="left"/>
        <w:rPr>
          <w:rFonts w:hint="eastAsia"/>
          <w:b/>
          <w:sz w:val="28"/>
          <w:szCs w:val="28"/>
        </w:rPr>
      </w:pPr>
    </w:p>
    <w:p w14:paraId="4F58E1DF">
      <w:pPr>
        <w:jc w:val="left"/>
        <w:rPr>
          <w:sz w:val="28"/>
          <w:szCs w:val="28"/>
        </w:rPr>
      </w:pPr>
      <w:r>
        <w:rPr>
          <w:rFonts w:hint="eastAsia"/>
          <w:b/>
          <w:sz w:val="28"/>
          <w:szCs w:val="28"/>
        </w:rPr>
        <w:t>（三）近年</w:t>
      </w:r>
      <w:bookmarkEnd w:id="139"/>
      <w:r>
        <w:rPr>
          <w:rFonts w:hint="eastAsia"/>
          <w:b/>
          <w:sz w:val="28"/>
          <w:szCs w:val="28"/>
        </w:rPr>
        <w:t>企业具有类似项目业绩及荣誉</w:t>
      </w:r>
    </w:p>
    <w:p w14:paraId="20716259">
      <w:pPr>
        <w:spacing w:line="400" w:lineRule="exact"/>
        <w:jc w:val="center"/>
        <w:rPr>
          <w:rFonts w:ascii="宋体" w:hAnsi="宋体" w:cs="宋体"/>
          <w:color w:val="auto"/>
          <w:sz w:val="24"/>
        </w:rPr>
      </w:pPr>
      <w:r>
        <w:rPr>
          <w:rFonts w:hint="eastAsia" w:ascii="宋体" w:hAnsi="宋体" w:cs="宋体"/>
          <w:color w:val="auto"/>
          <w:sz w:val="24"/>
        </w:rPr>
        <w:t>（近年指</w:t>
      </w:r>
      <w:r>
        <w:rPr>
          <w:rFonts w:hint="eastAsia" w:ascii="宋体" w:hAnsi="宋体" w:cs="宋体"/>
          <w:color w:val="auto"/>
          <w:sz w:val="24"/>
          <w:u w:val="single"/>
        </w:rPr>
        <w:t>202</w:t>
      </w:r>
      <w:r>
        <w:rPr>
          <w:rFonts w:hint="eastAsia" w:ascii="宋体" w:hAnsi="宋体" w:cs="宋体"/>
          <w:color w:val="auto"/>
          <w:sz w:val="24"/>
          <w:u w:val="single"/>
          <w:lang w:val="en-US" w:eastAsia="zh-CN"/>
        </w:rPr>
        <w:t>3</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月1日至今</w:t>
      </w:r>
      <w:r>
        <w:rPr>
          <w:rFonts w:hint="eastAsia" w:ascii="宋体" w:hAnsi="宋体" w:cs="宋体"/>
          <w:color w:val="auto"/>
          <w:sz w:val="24"/>
        </w:rPr>
        <w:t>）</w:t>
      </w:r>
    </w:p>
    <w:tbl>
      <w:tblPr>
        <w:tblStyle w:val="49"/>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38"/>
        <w:gridCol w:w="1726"/>
        <w:gridCol w:w="1726"/>
        <w:gridCol w:w="1823"/>
        <w:gridCol w:w="1134"/>
        <w:gridCol w:w="1153"/>
      </w:tblGrid>
      <w:tr w14:paraId="5F64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6EA958FF">
            <w:pPr>
              <w:spacing w:line="360" w:lineRule="auto"/>
              <w:jc w:val="center"/>
              <w:rPr>
                <w:rFonts w:ascii="宋体" w:hAnsi="宋体"/>
                <w:kern w:val="0"/>
                <w:sz w:val="24"/>
              </w:rPr>
            </w:pPr>
            <w:r>
              <w:rPr>
                <w:rFonts w:hint="eastAsia" w:ascii="宋体" w:hAnsi="宋体"/>
                <w:kern w:val="0"/>
                <w:sz w:val="24"/>
              </w:rPr>
              <w:t>序号</w:t>
            </w:r>
          </w:p>
        </w:tc>
        <w:tc>
          <w:tcPr>
            <w:tcW w:w="1838" w:type="dxa"/>
            <w:vAlign w:val="center"/>
          </w:tcPr>
          <w:p w14:paraId="64F059E3">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3052CF9B">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726" w:type="dxa"/>
            <w:vAlign w:val="center"/>
          </w:tcPr>
          <w:p w14:paraId="3202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项目预算金额</w:t>
            </w:r>
          </w:p>
          <w:p w14:paraId="571DF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（万元）</w:t>
            </w:r>
          </w:p>
        </w:tc>
        <w:tc>
          <w:tcPr>
            <w:tcW w:w="1823" w:type="dxa"/>
            <w:vAlign w:val="center"/>
          </w:tcPr>
          <w:p w14:paraId="45C5B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业主单位</w:t>
            </w:r>
          </w:p>
          <w:p w14:paraId="54260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名称</w:t>
            </w:r>
          </w:p>
        </w:tc>
        <w:tc>
          <w:tcPr>
            <w:tcW w:w="1134" w:type="dxa"/>
            <w:vAlign w:val="center"/>
          </w:tcPr>
          <w:p w14:paraId="3E16B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eastAsia="zh-CN"/>
              </w:rPr>
            </w:pPr>
            <w:r>
              <w:rPr>
                <w:rFonts w:hint="eastAsia" w:ascii="宋体" w:hAnsi="宋体"/>
                <w:kern w:val="0"/>
                <w:sz w:val="24"/>
                <w:lang w:val="en-US" w:eastAsia="zh-CN"/>
              </w:rPr>
              <w:t>日期</w:t>
            </w:r>
          </w:p>
        </w:tc>
        <w:tc>
          <w:tcPr>
            <w:tcW w:w="1153" w:type="dxa"/>
            <w:vAlign w:val="center"/>
          </w:tcPr>
          <w:p w14:paraId="40200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val="en-US" w:eastAsia="zh-CN"/>
              </w:rPr>
            </w:pPr>
            <w:r>
              <w:rPr>
                <w:rFonts w:hint="eastAsia" w:ascii="宋体" w:hAnsi="宋体"/>
                <w:kern w:val="0"/>
                <w:sz w:val="24"/>
                <w:lang w:val="en-US" w:eastAsia="zh-CN"/>
              </w:rPr>
              <w:t>备注</w:t>
            </w:r>
          </w:p>
        </w:tc>
      </w:tr>
      <w:tr w14:paraId="7EF6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1DAC5B3C">
            <w:pPr>
              <w:spacing w:line="360" w:lineRule="auto"/>
              <w:rPr>
                <w:rFonts w:ascii="宋体" w:hAnsi="宋体"/>
                <w:b/>
                <w:bCs/>
                <w:kern w:val="0"/>
                <w:sz w:val="24"/>
              </w:rPr>
            </w:pPr>
          </w:p>
        </w:tc>
        <w:tc>
          <w:tcPr>
            <w:tcW w:w="1838" w:type="dxa"/>
            <w:vAlign w:val="center"/>
          </w:tcPr>
          <w:p w14:paraId="3FFB8788">
            <w:pPr>
              <w:spacing w:line="360" w:lineRule="auto"/>
              <w:rPr>
                <w:rFonts w:ascii="宋体" w:hAnsi="宋体"/>
                <w:b/>
                <w:bCs/>
                <w:kern w:val="0"/>
                <w:sz w:val="24"/>
              </w:rPr>
            </w:pPr>
          </w:p>
        </w:tc>
        <w:tc>
          <w:tcPr>
            <w:tcW w:w="1726" w:type="dxa"/>
            <w:vAlign w:val="center"/>
          </w:tcPr>
          <w:p w14:paraId="46A03C4B">
            <w:pPr>
              <w:spacing w:line="360" w:lineRule="auto"/>
              <w:rPr>
                <w:rFonts w:ascii="宋体" w:hAnsi="宋体"/>
                <w:b/>
                <w:bCs/>
                <w:kern w:val="0"/>
                <w:sz w:val="24"/>
              </w:rPr>
            </w:pPr>
          </w:p>
        </w:tc>
        <w:tc>
          <w:tcPr>
            <w:tcW w:w="1726" w:type="dxa"/>
            <w:vAlign w:val="center"/>
          </w:tcPr>
          <w:p w14:paraId="589B059C">
            <w:pPr>
              <w:spacing w:line="360" w:lineRule="auto"/>
              <w:rPr>
                <w:rFonts w:ascii="宋体" w:hAnsi="宋体"/>
                <w:b/>
                <w:bCs/>
                <w:kern w:val="0"/>
                <w:sz w:val="24"/>
              </w:rPr>
            </w:pPr>
          </w:p>
        </w:tc>
        <w:tc>
          <w:tcPr>
            <w:tcW w:w="1823" w:type="dxa"/>
            <w:vAlign w:val="center"/>
          </w:tcPr>
          <w:p w14:paraId="552892F6">
            <w:pPr>
              <w:spacing w:line="360" w:lineRule="auto"/>
              <w:rPr>
                <w:rFonts w:ascii="宋体" w:hAnsi="宋体"/>
                <w:b/>
                <w:bCs/>
                <w:kern w:val="0"/>
                <w:sz w:val="24"/>
              </w:rPr>
            </w:pPr>
          </w:p>
        </w:tc>
        <w:tc>
          <w:tcPr>
            <w:tcW w:w="1134" w:type="dxa"/>
            <w:vAlign w:val="center"/>
          </w:tcPr>
          <w:p w14:paraId="425EA370">
            <w:pPr>
              <w:spacing w:line="360" w:lineRule="auto"/>
              <w:rPr>
                <w:rFonts w:ascii="宋体" w:hAnsi="宋体"/>
                <w:b/>
                <w:bCs/>
                <w:kern w:val="0"/>
                <w:sz w:val="24"/>
              </w:rPr>
            </w:pPr>
          </w:p>
        </w:tc>
        <w:tc>
          <w:tcPr>
            <w:tcW w:w="1153" w:type="dxa"/>
          </w:tcPr>
          <w:p w14:paraId="4BB147D6">
            <w:pPr>
              <w:spacing w:line="360" w:lineRule="auto"/>
              <w:rPr>
                <w:rFonts w:ascii="宋体" w:hAnsi="宋体"/>
                <w:b/>
                <w:bCs/>
                <w:kern w:val="0"/>
                <w:sz w:val="24"/>
              </w:rPr>
            </w:pPr>
          </w:p>
        </w:tc>
      </w:tr>
      <w:tr w14:paraId="39A7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3854C9C4">
            <w:pPr>
              <w:spacing w:line="360" w:lineRule="auto"/>
              <w:jc w:val="center"/>
              <w:rPr>
                <w:rFonts w:ascii="宋体" w:hAnsi="宋体"/>
                <w:b/>
                <w:bCs/>
                <w:kern w:val="0"/>
                <w:sz w:val="24"/>
              </w:rPr>
            </w:pPr>
          </w:p>
        </w:tc>
        <w:tc>
          <w:tcPr>
            <w:tcW w:w="1838" w:type="dxa"/>
          </w:tcPr>
          <w:p w14:paraId="6F9F8D06">
            <w:pPr>
              <w:spacing w:line="360" w:lineRule="auto"/>
              <w:jc w:val="center"/>
              <w:rPr>
                <w:rFonts w:ascii="宋体" w:hAnsi="宋体"/>
                <w:b/>
                <w:bCs/>
                <w:kern w:val="0"/>
                <w:sz w:val="24"/>
              </w:rPr>
            </w:pPr>
          </w:p>
        </w:tc>
        <w:tc>
          <w:tcPr>
            <w:tcW w:w="1726" w:type="dxa"/>
          </w:tcPr>
          <w:p w14:paraId="41C4DEB1">
            <w:pPr>
              <w:spacing w:line="360" w:lineRule="auto"/>
              <w:jc w:val="center"/>
              <w:rPr>
                <w:rFonts w:ascii="宋体" w:hAnsi="宋体"/>
                <w:b/>
                <w:bCs/>
                <w:kern w:val="0"/>
                <w:sz w:val="24"/>
              </w:rPr>
            </w:pPr>
          </w:p>
        </w:tc>
        <w:tc>
          <w:tcPr>
            <w:tcW w:w="1726" w:type="dxa"/>
          </w:tcPr>
          <w:p w14:paraId="3DCFB8CC">
            <w:pPr>
              <w:spacing w:line="360" w:lineRule="auto"/>
              <w:jc w:val="center"/>
              <w:rPr>
                <w:rFonts w:ascii="宋体" w:hAnsi="宋体"/>
                <w:b/>
                <w:bCs/>
                <w:kern w:val="0"/>
                <w:sz w:val="24"/>
              </w:rPr>
            </w:pPr>
          </w:p>
        </w:tc>
        <w:tc>
          <w:tcPr>
            <w:tcW w:w="1823" w:type="dxa"/>
          </w:tcPr>
          <w:p w14:paraId="2E5ACEA9">
            <w:pPr>
              <w:spacing w:line="360" w:lineRule="auto"/>
              <w:jc w:val="center"/>
              <w:rPr>
                <w:rFonts w:ascii="宋体" w:hAnsi="宋体"/>
                <w:b/>
                <w:bCs/>
                <w:kern w:val="0"/>
                <w:sz w:val="24"/>
              </w:rPr>
            </w:pPr>
          </w:p>
        </w:tc>
        <w:tc>
          <w:tcPr>
            <w:tcW w:w="1134" w:type="dxa"/>
          </w:tcPr>
          <w:p w14:paraId="68789E4B">
            <w:pPr>
              <w:spacing w:line="360" w:lineRule="auto"/>
              <w:jc w:val="center"/>
              <w:rPr>
                <w:rFonts w:ascii="宋体" w:hAnsi="宋体"/>
                <w:b/>
                <w:bCs/>
                <w:kern w:val="0"/>
                <w:sz w:val="24"/>
              </w:rPr>
            </w:pPr>
          </w:p>
        </w:tc>
        <w:tc>
          <w:tcPr>
            <w:tcW w:w="1153" w:type="dxa"/>
          </w:tcPr>
          <w:p w14:paraId="434BF871">
            <w:pPr>
              <w:spacing w:line="360" w:lineRule="auto"/>
              <w:jc w:val="center"/>
              <w:rPr>
                <w:rFonts w:ascii="宋体" w:hAnsi="宋体"/>
                <w:b/>
                <w:bCs/>
                <w:kern w:val="0"/>
                <w:sz w:val="24"/>
              </w:rPr>
            </w:pPr>
          </w:p>
        </w:tc>
      </w:tr>
      <w:tr w14:paraId="4563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4B0F4B14">
            <w:pPr>
              <w:spacing w:line="360" w:lineRule="auto"/>
              <w:jc w:val="center"/>
              <w:rPr>
                <w:rFonts w:ascii="宋体" w:hAnsi="宋体"/>
                <w:b/>
                <w:bCs/>
                <w:kern w:val="0"/>
                <w:sz w:val="24"/>
              </w:rPr>
            </w:pPr>
          </w:p>
        </w:tc>
        <w:tc>
          <w:tcPr>
            <w:tcW w:w="1838" w:type="dxa"/>
          </w:tcPr>
          <w:p w14:paraId="7F5668FC">
            <w:pPr>
              <w:spacing w:line="360" w:lineRule="auto"/>
              <w:jc w:val="center"/>
              <w:rPr>
                <w:rFonts w:ascii="宋体" w:hAnsi="宋体"/>
                <w:b/>
                <w:bCs/>
                <w:kern w:val="0"/>
                <w:sz w:val="24"/>
              </w:rPr>
            </w:pPr>
          </w:p>
        </w:tc>
        <w:tc>
          <w:tcPr>
            <w:tcW w:w="1726" w:type="dxa"/>
          </w:tcPr>
          <w:p w14:paraId="18CA4792">
            <w:pPr>
              <w:spacing w:line="360" w:lineRule="auto"/>
              <w:jc w:val="center"/>
              <w:rPr>
                <w:rFonts w:ascii="宋体" w:hAnsi="宋体"/>
                <w:b/>
                <w:bCs/>
                <w:kern w:val="0"/>
                <w:sz w:val="24"/>
              </w:rPr>
            </w:pPr>
          </w:p>
        </w:tc>
        <w:tc>
          <w:tcPr>
            <w:tcW w:w="1726" w:type="dxa"/>
          </w:tcPr>
          <w:p w14:paraId="631C7846">
            <w:pPr>
              <w:spacing w:line="360" w:lineRule="auto"/>
              <w:jc w:val="center"/>
              <w:rPr>
                <w:rFonts w:ascii="宋体" w:hAnsi="宋体"/>
                <w:b/>
                <w:bCs/>
                <w:kern w:val="0"/>
                <w:sz w:val="24"/>
              </w:rPr>
            </w:pPr>
          </w:p>
        </w:tc>
        <w:tc>
          <w:tcPr>
            <w:tcW w:w="1823" w:type="dxa"/>
          </w:tcPr>
          <w:p w14:paraId="09995CF0">
            <w:pPr>
              <w:spacing w:line="360" w:lineRule="auto"/>
              <w:jc w:val="center"/>
              <w:rPr>
                <w:rFonts w:ascii="宋体" w:hAnsi="宋体"/>
                <w:b/>
                <w:bCs/>
                <w:kern w:val="0"/>
                <w:sz w:val="24"/>
              </w:rPr>
            </w:pPr>
          </w:p>
        </w:tc>
        <w:tc>
          <w:tcPr>
            <w:tcW w:w="1134" w:type="dxa"/>
          </w:tcPr>
          <w:p w14:paraId="776AC7CA">
            <w:pPr>
              <w:spacing w:line="360" w:lineRule="auto"/>
              <w:jc w:val="center"/>
              <w:rPr>
                <w:rFonts w:ascii="宋体" w:hAnsi="宋体"/>
                <w:b/>
                <w:bCs/>
                <w:kern w:val="0"/>
                <w:sz w:val="24"/>
              </w:rPr>
            </w:pPr>
          </w:p>
        </w:tc>
        <w:tc>
          <w:tcPr>
            <w:tcW w:w="1153" w:type="dxa"/>
          </w:tcPr>
          <w:p w14:paraId="60F309A1">
            <w:pPr>
              <w:spacing w:line="360" w:lineRule="auto"/>
              <w:jc w:val="center"/>
              <w:rPr>
                <w:rFonts w:ascii="宋体" w:hAnsi="宋体"/>
                <w:b/>
                <w:bCs/>
                <w:kern w:val="0"/>
                <w:sz w:val="24"/>
              </w:rPr>
            </w:pPr>
          </w:p>
        </w:tc>
      </w:tr>
      <w:tr w14:paraId="257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23722003">
            <w:pPr>
              <w:spacing w:line="360" w:lineRule="auto"/>
              <w:jc w:val="center"/>
              <w:rPr>
                <w:rFonts w:ascii="宋体" w:hAnsi="宋体"/>
                <w:b/>
                <w:bCs/>
                <w:kern w:val="0"/>
                <w:sz w:val="24"/>
              </w:rPr>
            </w:pPr>
          </w:p>
        </w:tc>
        <w:tc>
          <w:tcPr>
            <w:tcW w:w="1838" w:type="dxa"/>
          </w:tcPr>
          <w:p w14:paraId="46538B99">
            <w:pPr>
              <w:spacing w:line="360" w:lineRule="auto"/>
              <w:jc w:val="center"/>
              <w:rPr>
                <w:rFonts w:ascii="宋体" w:hAnsi="宋体"/>
                <w:b/>
                <w:bCs/>
                <w:kern w:val="0"/>
                <w:sz w:val="24"/>
              </w:rPr>
            </w:pPr>
          </w:p>
        </w:tc>
        <w:tc>
          <w:tcPr>
            <w:tcW w:w="1726" w:type="dxa"/>
          </w:tcPr>
          <w:p w14:paraId="0F2C7701">
            <w:pPr>
              <w:spacing w:line="360" w:lineRule="auto"/>
              <w:jc w:val="center"/>
              <w:rPr>
                <w:rFonts w:ascii="宋体" w:hAnsi="宋体"/>
                <w:b/>
                <w:bCs/>
                <w:kern w:val="0"/>
                <w:sz w:val="24"/>
              </w:rPr>
            </w:pPr>
          </w:p>
        </w:tc>
        <w:tc>
          <w:tcPr>
            <w:tcW w:w="1726" w:type="dxa"/>
          </w:tcPr>
          <w:p w14:paraId="5375C262">
            <w:pPr>
              <w:spacing w:line="360" w:lineRule="auto"/>
              <w:jc w:val="center"/>
              <w:rPr>
                <w:rFonts w:ascii="宋体" w:hAnsi="宋体"/>
                <w:b/>
                <w:bCs/>
                <w:kern w:val="0"/>
                <w:sz w:val="24"/>
              </w:rPr>
            </w:pPr>
          </w:p>
        </w:tc>
        <w:tc>
          <w:tcPr>
            <w:tcW w:w="1823" w:type="dxa"/>
          </w:tcPr>
          <w:p w14:paraId="41DC80A5">
            <w:pPr>
              <w:spacing w:line="360" w:lineRule="auto"/>
              <w:jc w:val="center"/>
              <w:rPr>
                <w:rFonts w:ascii="宋体" w:hAnsi="宋体"/>
                <w:b/>
                <w:bCs/>
                <w:kern w:val="0"/>
                <w:sz w:val="24"/>
              </w:rPr>
            </w:pPr>
          </w:p>
        </w:tc>
        <w:tc>
          <w:tcPr>
            <w:tcW w:w="1134" w:type="dxa"/>
          </w:tcPr>
          <w:p w14:paraId="643F5ECD">
            <w:pPr>
              <w:spacing w:line="360" w:lineRule="auto"/>
              <w:jc w:val="center"/>
              <w:rPr>
                <w:rFonts w:ascii="宋体" w:hAnsi="宋体"/>
                <w:b/>
                <w:bCs/>
                <w:kern w:val="0"/>
                <w:sz w:val="24"/>
              </w:rPr>
            </w:pPr>
          </w:p>
        </w:tc>
        <w:tc>
          <w:tcPr>
            <w:tcW w:w="1153" w:type="dxa"/>
          </w:tcPr>
          <w:p w14:paraId="480FDD4C">
            <w:pPr>
              <w:spacing w:line="360" w:lineRule="auto"/>
              <w:jc w:val="center"/>
              <w:rPr>
                <w:rFonts w:ascii="宋体" w:hAnsi="宋体"/>
                <w:b/>
                <w:bCs/>
                <w:kern w:val="0"/>
                <w:sz w:val="24"/>
              </w:rPr>
            </w:pPr>
          </w:p>
        </w:tc>
      </w:tr>
      <w:tr w14:paraId="078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3E4F03F">
            <w:pPr>
              <w:spacing w:line="360" w:lineRule="auto"/>
              <w:jc w:val="center"/>
              <w:rPr>
                <w:rFonts w:ascii="宋体" w:hAnsi="宋体"/>
                <w:b/>
                <w:bCs/>
                <w:kern w:val="0"/>
                <w:sz w:val="24"/>
              </w:rPr>
            </w:pPr>
          </w:p>
        </w:tc>
        <w:tc>
          <w:tcPr>
            <w:tcW w:w="1838" w:type="dxa"/>
          </w:tcPr>
          <w:p w14:paraId="6C953021">
            <w:pPr>
              <w:spacing w:line="360" w:lineRule="auto"/>
              <w:jc w:val="center"/>
              <w:rPr>
                <w:rFonts w:ascii="宋体" w:hAnsi="宋体"/>
                <w:b/>
                <w:bCs/>
                <w:kern w:val="0"/>
                <w:sz w:val="24"/>
              </w:rPr>
            </w:pPr>
          </w:p>
        </w:tc>
        <w:tc>
          <w:tcPr>
            <w:tcW w:w="1726" w:type="dxa"/>
          </w:tcPr>
          <w:p w14:paraId="34F3DE03">
            <w:pPr>
              <w:spacing w:line="360" w:lineRule="auto"/>
              <w:jc w:val="center"/>
              <w:rPr>
                <w:rFonts w:ascii="宋体" w:hAnsi="宋体"/>
                <w:b/>
                <w:bCs/>
                <w:kern w:val="0"/>
                <w:sz w:val="24"/>
              </w:rPr>
            </w:pPr>
          </w:p>
        </w:tc>
        <w:tc>
          <w:tcPr>
            <w:tcW w:w="1726" w:type="dxa"/>
          </w:tcPr>
          <w:p w14:paraId="1BDEB41B">
            <w:pPr>
              <w:spacing w:line="360" w:lineRule="auto"/>
              <w:jc w:val="center"/>
              <w:rPr>
                <w:rFonts w:ascii="宋体" w:hAnsi="宋体"/>
                <w:b/>
                <w:bCs/>
                <w:kern w:val="0"/>
                <w:sz w:val="24"/>
              </w:rPr>
            </w:pPr>
          </w:p>
        </w:tc>
        <w:tc>
          <w:tcPr>
            <w:tcW w:w="1823" w:type="dxa"/>
          </w:tcPr>
          <w:p w14:paraId="1DC0AF4B">
            <w:pPr>
              <w:spacing w:line="360" w:lineRule="auto"/>
              <w:jc w:val="center"/>
              <w:rPr>
                <w:rFonts w:ascii="宋体" w:hAnsi="宋体"/>
                <w:b/>
                <w:bCs/>
                <w:kern w:val="0"/>
                <w:sz w:val="24"/>
              </w:rPr>
            </w:pPr>
          </w:p>
        </w:tc>
        <w:tc>
          <w:tcPr>
            <w:tcW w:w="1134" w:type="dxa"/>
          </w:tcPr>
          <w:p w14:paraId="3E345D4E">
            <w:pPr>
              <w:spacing w:line="360" w:lineRule="auto"/>
              <w:jc w:val="center"/>
              <w:rPr>
                <w:rFonts w:ascii="宋体" w:hAnsi="宋体"/>
                <w:b/>
                <w:bCs/>
                <w:kern w:val="0"/>
                <w:sz w:val="24"/>
              </w:rPr>
            </w:pPr>
          </w:p>
        </w:tc>
        <w:tc>
          <w:tcPr>
            <w:tcW w:w="1153" w:type="dxa"/>
          </w:tcPr>
          <w:p w14:paraId="37EF4010">
            <w:pPr>
              <w:spacing w:line="360" w:lineRule="auto"/>
              <w:jc w:val="center"/>
              <w:rPr>
                <w:rFonts w:ascii="宋体" w:hAnsi="宋体"/>
                <w:b/>
                <w:bCs/>
                <w:kern w:val="0"/>
                <w:sz w:val="24"/>
              </w:rPr>
            </w:pPr>
          </w:p>
        </w:tc>
      </w:tr>
      <w:tr w14:paraId="230E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4CAA768F">
            <w:pPr>
              <w:spacing w:line="360" w:lineRule="auto"/>
              <w:jc w:val="center"/>
              <w:rPr>
                <w:rFonts w:ascii="宋体" w:hAnsi="宋体"/>
                <w:b/>
                <w:bCs/>
                <w:kern w:val="0"/>
                <w:sz w:val="24"/>
              </w:rPr>
            </w:pPr>
          </w:p>
        </w:tc>
        <w:tc>
          <w:tcPr>
            <w:tcW w:w="1838" w:type="dxa"/>
          </w:tcPr>
          <w:p w14:paraId="6554C830">
            <w:pPr>
              <w:spacing w:line="360" w:lineRule="auto"/>
              <w:jc w:val="center"/>
              <w:rPr>
                <w:rFonts w:ascii="宋体" w:hAnsi="宋体"/>
                <w:b/>
                <w:bCs/>
                <w:kern w:val="0"/>
                <w:sz w:val="24"/>
              </w:rPr>
            </w:pPr>
          </w:p>
        </w:tc>
        <w:tc>
          <w:tcPr>
            <w:tcW w:w="1726" w:type="dxa"/>
          </w:tcPr>
          <w:p w14:paraId="01DF6802">
            <w:pPr>
              <w:spacing w:line="360" w:lineRule="auto"/>
              <w:jc w:val="center"/>
              <w:rPr>
                <w:rFonts w:ascii="宋体" w:hAnsi="宋体"/>
                <w:b/>
                <w:bCs/>
                <w:kern w:val="0"/>
                <w:sz w:val="24"/>
              </w:rPr>
            </w:pPr>
          </w:p>
        </w:tc>
        <w:tc>
          <w:tcPr>
            <w:tcW w:w="1726" w:type="dxa"/>
          </w:tcPr>
          <w:p w14:paraId="36015C0C">
            <w:pPr>
              <w:spacing w:line="360" w:lineRule="auto"/>
              <w:jc w:val="center"/>
              <w:rPr>
                <w:rFonts w:ascii="宋体" w:hAnsi="宋体"/>
                <w:b/>
                <w:bCs/>
                <w:kern w:val="0"/>
                <w:sz w:val="24"/>
              </w:rPr>
            </w:pPr>
          </w:p>
        </w:tc>
        <w:tc>
          <w:tcPr>
            <w:tcW w:w="1823" w:type="dxa"/>
          </w:tcPr>
          <w:p w14:paraId="1A7C9FC2">
            <w:pPr>
              <w:spacing w:line="360" w:lineRule="auto"/>
              <w:jc w:val="center"/>
              <w:rPr>
                <w:rFonts w:ascii="宋体" w:hAnsi="宋体"/>
                <w:b/>
                <w:bCs/>
                <w:kern w:val="0"/>
                <w:sz w:val="24"/>
              </w:rPr>
            </w:pPr>
          </w:p>
        </w:tc>
        <w:tc>
          <w:tcPr>
            <w:tcW w:w="1134" w:type="dxa"/>
          </w:tcPr>
          <w:p w14:paraId="1CD142FC">
            <w:pPr>
              <w:spacing w:line="360" w:lineRule="auto"/>
              <w:jc w:val="center"/>
              <w:rPr>
                <w:rFonts w:ascii="宋体" w:hAnsi="宋体"/>
                <w:b/>
                <w:bCs/>
                <w:kern w:val="0"/>
                <w:sz w:val="24"/>
              </w:rPr>
            </w:pPr>
          </w:p>
        </w:tc>
        <w:tc>
          <w:tcPr>
            <w:tcW w:w="1153" w:type="dxa"/>
          </w:tcPr>
          <w:p w14:paraId="187E927E">
            <w:pPr>
              <w:spacing w:line="360" w:lineRule="auto"/>
              <w:jc w:val="center"/>
              <w:rPr>
                <w:rFonts w:ascii="宋体" w:hAnsi="宋体"/>
                <w:b/>
                <w:bCs/>
                <w:kern w:val="0"/>
                <w:sz w:val="24"/>
              </w:rPr>
            </w:pPr>
          </w:p>
        </w:tc>
      </w:tr>
      <w:tr w14:paraId="1C6C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37B4351">
            <w:pPr>
              <w:spacing w:line="360" w:lineRule="auto"/>
              <w:jc w:val="center"/>
              <w:rPr>
                <w:rFonts w:ascii="宋体" w:hAnsi="宋体"/>
                <w:b/>
                <w:bCs/>
                <w:kern w:val="0"/>
                <w:sz w:val="24"/>
              </w:rPr>
            </w:pPr>
          </w:p>
        </w:tc>
        <w:tc>
          <w:tcPr>
            <w:tcW w:w="1838" w:type="dxa"/>
          </w:tcPr>
          <w:p w14:paraId="01D366E8">
            <w:pPr>
              <w:spacing w:line="360" w:lineRule="auto"/>
              <w:jc w:val="center"/>
              <w:rPr>
                <w:rFonts w:ascii="宋体" w:hAnsi="宋体"/>
                <w:b/>
                <w:bCs/>
                <w:kern w:val="0"/>
                <w:sz w:val="24"/>
              </w:rPr>
            </w:pPr>
          </w:p>
        </w:tc>
        <w:tc>
          <w:tcPr>
            <w:tcW w:w="1726" w:type="dxa"/>
          </w:tcPr>
          <w:p w14:paraId="35C6EC36">
            <w:pPr>
              <w:spacing w:line="360" w:lineRule="auto"/>
              <w:jc w:val="center"/>
              <w:rPr>
                <w:rFonts w:ascii="宋体" w:hAnsi="宋体"/>
                <w:b/>
                <w:bCs/>
                <w:kern w:val="0"/>
                <w:sz w:val="24"/>
              </w:rPr>
            </w:pPr>
          </w:p>
        </w:tc>
        <w:tc>
          <w:tcPr>
            <w:tcW w:w="1726" w:type="dxa"/>
          </w:tcPr>
          <w:p w14:paraId="06C7DA14">
            <w:pPr>
              <w:spacing w:line="360" w:lineRule="auto"/>
              <w:jc w:val="center"/>
              <w:rPr>
                <w:rFonts w:ascii="宋体" w:hAnsi="宋体"/>
                <w:b/>
                <w:bCs/>
                <w:kern w:val="0"/>
                <w:sz w:val="24"/>
              </w:rPr>
            </w:pPr>
          </w:p>
        </w:tc>
        <w:tc>
          <w:tcPr>
            <w:tcW w:w="1823" w:type="dxa"/>
          </w:tcPr>
          <w:p w14:paraId="1FC0BE8B">
            <w:pPr>
              <w:spacing w:line="360" w:lineRule="auto"/>
              <w:jc w:val="center"/>
              <w:rPr>
                <w:rFonts w:ascii="宋体" w:hAnsi="宋体"/>
                <w:b/>
                <w:bCs/>
                <w:kern w:val="0"/>
                <w:sz w:val="24"/>
              </w:rPr>
            </w:pPr>
          </w:p>
        </w:tc>
        <w:tc>
          <w:tcPr>
            <w:tcW w:w="1134" w:type="dxa"/>
          </w:tcPr>
          <w:p w14:paraId="551D7810">
            <w:pPr>
              <w:spacing w:line="360" w:lineRule="auto"/>
              <w:jc w:val="center"/>
              <w:rPr>
                <w:rFonts w:ascii="宋体" w:hAnsi="宋体"/>
                <w:b/>
                <w:bCs/>
                <w:kern w:val="0"/>
                <w:sz w:val="24"/>
              </w:rPr>
            </w:pPr>
          </w:p>
        </w:tc>
        <w:tc>
          <w:tcPr>
            <w:tcW w:w="1153" w:type="dxa"/>
          </w:tcPr>
          <w:p w14:paraId="14F1EA8E">
            <w:pPr>
              <w:spacing w:line="360" w:lineRule="auto"/>
              <w:jc w:val="center"/>
              <w:rPr>
                <w:rFonts w:ascii="宋体" w:hAnsi="宋体"/>
                <w:b/>
                <w:bCs/>
                <w:kern w:val="0"/>
                <w:sz w:val="24"/>
              </w:rPr>
            </w:pPr>
          </w:p>
        </w:tc>
      </w:tr>
      <w:tr w14:paraId="789A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264B6317">
            <w:pPr>
              <w:spacing w:line="360" w:lineRule="auto"/>
              <w:jc w:val="center"/>
              <w:rPr>
                <w:rFonts w:ascii="宋体" w:hAnsi="宋体"/>
                <w:b/>
                <w:bCs/>
                <w:kern w:val="0"/>
                <w:sz w:val="24"/>
              </w:rPr>
            </w:pPr>
          </w:p>
        </w:tc>
        <w:tc>
          <w:tcPr>
            <w:tcW w:w="1838" w:type="dxa"/>
          </w:tcPr>
          <w:p w14:paraId="5624563D">
            <w:pPr>
              <w:spacing w:line="360" w:lineRule="auto"/>
              <w:jc w:val="center"/>
              <w:rPr>
                <w:rFonts w:ascii="宋体" w:hAnsi="宋体"/>
                <w:b/>
                <w:bCs/>
                <w:kern w:val="0"/>
                <w:sz w:val="24"/>
              </w:rPr>
            </w:pPr>
          </w:p>
        </w:tc>
        <w:tc>
          <w:tcPr>
            <w:tcW w:w="1726" w:type="dxa"/>
          </w:tcPr>
          <w:p w14:paraId="2FD8188F">
            <w:pPr>
              <w:spacing w:line="360" w:lineRule="auto"/>
              <w:jc w:val="center"/>
              <w:rPr>
                <w:rFonts w:ascii="宋体" w:hAnsi="宋体"/>
                <w:b/>
                <w:bCs/>
                <w:kern w:val="0"/>
                <w:sz w:val="24"/>
              </w:rPr>
            </w:pPr>
          </w:p>
        </w:tc>
        <w:tc>
          <w:tcPr>
            <w:tcW w:w="1726" w:type="dxa"/>
          </w:tcPr>
          <w:p w14:paraId="7C218445">
            <w:pPr>
              <w:spacing w:line="360" w:lineRule="auto"/>
              <w:jc w:val="center"/>
              <w:rPr>
                <w:rFonts w:ascii="宋体" w:hAnsi="宋体"/>
                <w:b/>
                <w:bCs/>
                <w:kern w:val="0"/>
                <w:sz w:val="24"/>
              </w:rPr>
            </w:pPr>
          </w:p>
        </w:tc>
        <w:tc>
          <w:tcPr>
            <w:tcW w:w="1823" w:type="dxa"/>
          </w:tcPr>
          <w:p w14:paraId="30FB98E7">
            <w:pPr>
              <w:spacing w:line="360" w:lineRule="auto"/>
              <w:jc w:val="center"/>
              <w:rPr>
                <w:rFonts w:ascii="宋体" w:hAnsi="宋体"/>
                <w:b/>
                <w:bCs/>
                <w:kern w:val="0"/>
                <w:sz w:val="24"/>
              </w:rPr>
            </w:pPr>
          </w:p>
        </w:tc>
        <w:tc>
          <w:tcPr>
            <w:tcW w:w="1134" w:type="dxa"/>
          </w:tcPr>
          <w:p w14:paraId="4E2813AC">
            <w:pPr>
              <w:spacing w:line="360" w:lineRule="auto"/>
              <w:jc w:val="center"/>
              <w:rPr>
                <w:rFonts w:ascii="宋体" w:hAnsi="宋体"/>
                <w:b/>
                <w:bCs/>
                <w:kern w:val="0"/>
                <w:sz w:val="24"/>
              </w:rPr>
            </w:pPr>
          </w:p>
        </w:tc>
        <w:tc>
          <w:tcPr>
            <w:tcW w:w="1153" w:type="dxa"/>
          </w:tcPr>
          <w:p w14:paraId="256B0EA9">
            <w:pPr>
              <w:spacing w:line="360" w:lineRule="auto"/>
              <w:jc w:val="center"/>
              <w:rPr>
                <w:rFonts w:ascii="宋体" w:hAnsi="宋体"/>
                <w:b/>
                <w:bCs/>
                <w:kern w:val="0"/>
                <w:sz w:val="24"/>
              </w:rPr>
            </w:pPr>
          </w:p>
        </w:tc>
      </w:tr>
      <w:tr w14:paraId="41AA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9F37FF8">
            <w:pPr>
              <w:spacing w:line="360" w:lineRule="auto"/>
              <w:jc w:val="center"/>
              <w:rPr>
                <w:rFonts w:ascii="宋体" w:hAnsi="宋体"/>
                <w:b/>
                <w:bCs/>
                <w:kern w:val="0"/>
                <w:sz w:val="24"/>
              </w:rPr>
            </w:pPr>
          </w:p>
        </w:tc>
        <w:tc>
          <w:tcPr>
            <w:tcW w:w="1838" w:type="dxa"/>
          </w:tcPr>
          <w:p w14:paraId="543A1206">
            <w:pPr>
              <w:spacing w:line="360" w:lineRule="auto"/>
              <w:jc w:val="center"/>
              <w:rPr>
                <w:rFonts w:ascii="宋体" w:hAnsi="宋体"/>
                <w:b/>
                <w:bCs/>
                <w:kern w:val="0"/>
                <w:sz w:val="24"/>
              </w:rPr>
            </w:pPr>
          </w:p>
        </w:tc>
        <w:tc>
          <w:tcPr>
            <w:tcW w:w="1726" w:type="dxa"/>
          </w:tcPr>
          <w:p w14:paraId="25DE81AB">
            <w:pPr>
              <w:spacing w:line="360" w:lineRule="auto"/>
              <w:jc w:val="center"/>
              <w:rPr>
                <w:rFonts w:ascii="宋体" w:hAnsi="宋体"/>
                <w:b/>
                <w:bCs/>
                <w:kern w:val="0"/>
                <w:sz w:val="24"/>
              </w:rPr>
            </w:pPr>
          </w:p>
        </w:tc>
        <w:tc>
          <w:tcPr>
            <w:tcW w:w="1726" w:type="dxa"/>
          </w:tcPr>
          <w:p w14:paraId="5D83C014">
            <w:pPr>
              <w:spacing w:line="360" w:lineRule="auto"/>
              <w:jc w:val="center"/>
              <w:rPr>
                <w:rFonts w:ascii="宋体" w:hAnsi="宋体"/>
                <w:b/>
                <w:bCs/>
                <w:kern w:val="0"/>
                <w:sz w:val="24"/>
              </w:rPr>
            </w:pPr>
          </w:p>
        </w:tc>
        <w:tc>
          <w:tcPr>
            <w:tcW w:w="1823" w:type="dxa"/>
          </w:tcPr>
          <w:p w14:paraId="56F8F5EB">
            <w:pPr>
              <w:spacing w:line="360" w:lineRule="auto"/>
              <w:jc w:val="center"/>
              <w:rPr>
                <w:rFonts w:ascii="宋体" w:hAnsi="宋体"/>
                <w:b/>
                <w:bCs/>
                <w:kern w:val="0"/>
                <w:sz w:val="24"/>
              </w:rPr>
            </w:pPr>
          </w:p>
        </w:tc>
        <w:tc>
          <w:tcPr>
            <w:tcW w:w="1134" w:type="dxa"/>
          </w:tcPr>
          <w:p w14:paraId="431AA524">
            <w:pPr>
              <w:spacing w:line="360" w:lineRule="auto"/>
              <w:jc w:val="center"/>
              <w:rPr>
                <w:rFonts w:ascii="宋体" w:hAnsi="宋体"/>
                <w:b/>
                <w:bCs/>
                <w:kern w:val="0"/>
                <w:sz w:val="24"/>
              </w:rPr>
            </w:pPr>
          </w:p>
        </w:tc>
        <w:tc>
          <w:tcPr>
            <w:tcW w:w="1153" w:type="dxa"/>
          </w:tcPr>
          <w:p w14:paraId="3D1D5532">
            <w:pPr>
              <w:spacing w:line="360" w:lineRule="auto"/>
              <w:jc w:val="center"/>
              <w:rPr>
                <w:rFonts w:ascii="宋体" w:hAnsi="宋体"/>
                <w:b/>
                <w:bCs/>
                <w:kern w:val="0"/>
                <w:sz w:val="24"/>
              </w:rPr>
            </w:pPr>
          </w:p>
        </w:tc>
      </w:tr>
      <w:tr w14:paraId="60C4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6C4FC15D">
            <w:pPr>
              <w:spacing w:line="360" w:lineRule="auto"/>
              <w:jc w:val="center"/>
              <w:rPr>
                <w:rFonts w:ascii="宋体" w:hAnsi="宋体"/>
                <w:b/>
                <w:bCs/>
                <w:kern w:val="0"/>
                <w:sz w:val="24"/>
              </w:rPr>
            </w:pPr>
          </w:p>
        </w:tc>
        <w:tc>
          <w:tcPr>
            <w:tcW w:w="1838" w:type="dxa"/>
          </w:tcPr>
          <w:p w14:paraId="7E3F61E2">
            <w:pPr>
              <w:spacing w:line="360" w:lineRule="auto"/>
              <w:jc w:val="center"/>
              <w:rPr>
                <w:rFonts w:ascii="宋体" w:hAnsi="宋体"/>
                <w:b/>
                <w:bCs/>
                <w:kern w:val="0"/>
                <w:sz w:val="24"/>
              </w:rPr>
            </w:pPr>
          </w:p>
        </w:tc>
        <w:tc>
          <w:tcPr>
            <w:tcW w:w="1726" w:type="dxa"/>
          </w:tcPr>
          <w:p w14:paraId="5806F2CC">
            <w:pPr>
              <w:spacing w:line="360" w:lineRule="auto"/>
              <w:jc w:val="center"/>
              <w:rPr>
                <w:rFonts w:ascii="宋体" w:hAnsi="宋体"/>
                <w:b/>
                <w:bCs/>
                <w:kern w:val="0"/>
                <w:sz w:val="24"/>
              </w:rPr>
            </w:pPr>
          </w:p>
        </w:tc>
        <w:tc>
          <w:tcPr>
            <w:tcW w:w="1726" w:type="dxa"/>
          </w:tcPr>
          <w:p w14:paraId="2BCB9713">
            <w:pPr>
              <w:spacing w:line="360" w:lineRule="auto"/>
              <w:jc w:val="center"/>
              <w:rPr>
                <w:rFonts w:ascii="宋体" w:hAnsi="宋体"/>
                <w:b/>
                <w:bCs/>
                <w:kern w:val="0"/>
                <w:sz w:val="24"/>
              </w:rPr>
            </w:pPr>
          </w:p>
        </w:tc>
        <w:tc>
          <w:tcPr>
            <w:tcW w:w="1823" w:type="dxa"/>
          </w:tcPr>
          <w:p w14:paraId="5297EE16">
            <w:pPr>
              <w:spacing w:line="360" w:lineRule="auto"/>
              <w:jc w:val="center"/>
              <w:rPr>
                <w:rFonts w:ascii="宋体" w:hAnsi="宋体"/>
                <w:b/>
                <w:bCs/>
                <w:kern w:val="0"/>
                <w:sz w:val="24"/>
              </w:rPr>
            </w:pPr>
          </w:p>
        </w:tc>
        <w:tc>
          <w:tcPr>
            <w:tcW w:w="1134" w:type="dxa"/>
          </w:tcPr>
          <w:p w14:paraId="44BD90AD">
            <w:pPr>
              <w:spacing w:line="360" w:lineRule="auto"/>
              <w:jc w:val="center"/>
              <w:rPr>
                <w:rFonts w:ascii="宋体" w:hAnsi="宋体"/>
                <w:b/>
                <w:bCs/>
                <w:kern w:val="0"/>
                <w:sz w:val="24"/>
              </w:rPr>
            </w:pPr>
          </w:p>
        </w:tc>
        <w:tc>
          <w:tcPr>
            <w:tcW w:w="1153" w:type="dxa"/>
          </w:tcPr>
          <w:p w14:paraId="7246B66A">
            <w:pPr>
              <w:spacing w:line="360" w:lineRule="auto"/>
              <w:jc w:val="center"/>
              <w:rPr>
                <w:rFonts w:ascii="宋体" w:hAnsi="宋体"/>
                <w:b/>
                <w:bCs/>
                <w:kern w:val="0"/>
                <w:sz w:val="24"/>
              </w:rPr>
            </w:pPr>
          </w:p>
        </w:tc>
      </w:tr>
      <w:tr w14:paraId="7725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C0B958F">
            <w:pPr>
              <w:spacing w:line="360" w:lineRule="auto"/>
              <w:jc w:val="center"/>
              <w:rPr>
                <w:rFonts w:ascii="宋体" w:hAnsi="宋体"/>
                <w:b/>
                <w:bCs/>
                <w:kern w:val="0"/>
                <w:sz w:val="24"/>
              </w:rPr>
            </w:pPr>
          </w:p>
        </w:tc>
        <w:tc>
          <w:tcPr>
            <w:tcW w:w="1838" w:type="dxa"/>
          </w:tcPr>
          <w:p w14:paraId="1D78208B">
            <w:pPr>
              <w:spacing w:line="360" w:lineRule="auto"/>
              <w:jc w:val="center"/>
              <w:rPr>
                <w:rFonts w:ascii="宋体" w:hAnsi="宋体"/>
                <w:b/>
                <w:bCs/>
                <w:kern w:val="0"/>
                <w:sz w:val="24"/>
              </w:rPr>
            </w:pPr>
          </w:p>
        </w:tc>
        <w:tc>
          <w:tcPr>
            <w:tcW w:w="1726" w:type="dxa"/>
          </w:tcPr>
          <w:p w14:paraId="657E0A85">
            <w:pPr>
              <w:spacing w:line="360" w:lineRule="auto"/>
              <w:jc w:val="center"/>
              <w:rPr>
                <w:rFonts w:ascii="宋体" w:hAnsi="宋体"/>
                <w:b/>
                <w:bCs/>
                <w:kern w:val="0"/>
                <w:sz w:val="24"/>
              </w:rPr>
            </w:pPr>
          </w:p>
        </w:tc>
        <w:tc>
          <w:tcPr>
            <w:tcW w:w="1726" w:type="dxa"/>
          </w:tcPr>
          <w:p w14:paraId="302BFB54">
            <w:pPr>
              <w:spacing w:line="360" w:lineRule="auto"/>
              <w:jc w:val="center"/>
              <w:rPr>
                <w:rFonts w:ascii="宋体" w:hAnsi="宋体"/>
                <w:b/>
                <w:bCs/>
                <w:kern w:val="0"/>
                <w:sz w:val="24"/>
              </w:rPr>
            </w:pPr>
          </w:p>
        </w:tc>
        <w:tc>
          <w:tcPr>
            <w:tcW w:w="1823" w:type="dxa"/>
          </w:tcPr>
          <w:p w14:paraId="64EBD14E">
            <w:pPr>
              <w:spacing w:line="360" w:lineRule="auto"/>
              <w:jc w:val="center"/>
              <w:rPr>
                <w:rFonts w:ascii="宋体" w:hAnsi="宋体"/>
                <w:b/>
                <w:bCs/>
                <w:kern w:val="0"/>
                <w:sz w:val="24"/>
              </w:rPr>
            </w:pPr>
          </w:p>
        </w:tc>
        <w:tc>
          <w:tcPr>
            <w:tcW w:w="1134" w:type="dxa"/>
          </w:tcPr>
          <w:p w14:paraId="11609251">
            <w:pPr>
              <w:spacing w:line="360" w:lineRule="auto"/>
              <w:jc w:val="center"/>
              <w:rPr>
                <w:rFonts w:ascii="宋体" w:hAnsi="宋体"/>
                <w:b/>
                <w:bCs/>
                <w:kern w:val="0"/>
                <w:sz w:val="24"/>
              </w:rPr>
            </w:pPr>
          </w:p>
        </w:tc>
        <w:tc>
          <w:tcPr>
            <w:tcW w:w="1153" w:type="dxa"/>
          </w:tcPr>
          <w:p w14:paraId="7FEF5374">
            <w:pPr>
              <w:spacing w:line="360" w:lineRule="auto"/>
              <w:jc w:val="center"/>
              <w:rPr>
                <w:rFonts w:ascii="宋体" w:hAnsi="宋体"/>
                <w:b/>
                <w:bCs/>
                <w:kern w:val="0"/>
                <w:sz w:val="24"/>
              </w:rPr>
            </w:pPr>
          </w:p>
        </w:tc>
      </w:tr>
    </w:tbl>
    <w:p w14:paraId="1F8AA587">
      <w:pPr>
        <w:spacing w:line="400" w:lineRule="exact"/>
        <w:jc w:val="left"/>
        <w:rPr>
          <w:rFonts w:ascii="宋体" w:hAnsi="宋体" w:cs="宋体"/>
          <w:sz w:val="24"/>
        </w:rPr>
      </w:pPr>
      <w:r>
        <w:rPr>
          <w:rFonts w:hint="eastAsia" w:ascii="宋体" w:hAnsi="宋体"/>
          <w:b/>
          <w:bCs/>
          <w:sz w:val="22"/>
        </w:rPr>
        <w:t>注：相关业绩以合同为准，相关材料扫描件（单位签章）附后。</w:t>
      </w:r>
    </w:p>
    <w:p w14:paraId="3106E2DE">
      <w:pPr>
        <w:spacing w:beforeLines="100" w:afterLines="50" w:line="480" w:lineRule="exact"/>
        <w:textAlignment w:val="center"/>
        <w:rPr>
          <w:b/>
          <w:sz w:val="28"/>
          <w:szCs w:val="28"/>
        </w:rPr>
      </w:pPr>
    </w:p>
    <w:p w14:paraId="21675DB9">
      <w:pPr>
        <w:spacing w:beforeLines="100" w:afterLines="50" w:line="480" w:lineRule="exact"/>
        <w:textAlignment w:val="center"/>
        <w:rPr>
          <w:b/>
          <w:sz w:val="28"/>
          <w:szCs w:val="28"/>
        </w:rPr>
      </w:pPr>
    </w:p>
    <w:p w14:paraId="1B30F68C">
      <w:pPr>
        <w:spacing w:beforeLines="100" w:afterLines="50" w:line="480" w:lineRule="exact"/>
        <w:textAlignment w:val="center"/>
        <w:rPr>
          <w:b/>
          <w:sz w:val="28"/>
          <w:szCs w:val="28"/>
        </w:rPr>
      </w:pPr>
    </w:p>
    <w:p w14:paraId="63987496">
      <w:pPr>
        <w:spacing w:beforeLines="100" w:afterLines="50" w:line="480" w:lineRule="exact"/>
        <w:textAlignment w:val="center"/>
        <w:rPr>
          <w:b/>
          <w:sz w:val="28"/>
          <w:szCs w:val="28"/>
        </w:rPr>
      </w:pPr>
    </w:p>
    <w:p w14:paraId="71EDCB75">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eastAsia="宋体" w:cs="宋体"/>
          <w:sz w:val="24"/>
          <w:szCs w:val="24"/>
        </w:rPr>
        <w:t>日  期：     年   月  日</w:t>
      </w:r>
    </w:p>
    <w:p w14:paraId="1F1DD6BC">
      <w:pPr>
        <w:spacing w:line="600" w:lineRule="exact"/>
        <w:ind w:firstLine="3578" w:firstLineChars="1491"/>
        <w:jc w:val="left"/>
        <w:textAlignment w:val="center"/>
        <w:rPr>
          <w:rFonts w:hint="eastAsia" w:ascii="宋体" w:hAnsi="宋体" w:eastAsia="宋体" w:cs="宋体"/>
          <w:sz w:val="24"/>
          <w:szCs w:val="24"/>
        </w:rPr>
      </w:pPr>
    </w:p>
    <w:p w14:paraId="5EC44D16">
      <w:pPr>
        <w:jc w:val="both"/>
        <w:rPr>
          <w:rFonts w:hint="default" w:ascii="宋体" w:hAnsi="宋体" w:cs="Calibri"/>
          <w:b/>
          <w:color w:val="auto"/>
          <w:spacing w:val="14"/>
          <w:kern w:val="0"/>
          <w:sz w:val="32"/>
          <w:szCs w:val="32"/>
          <w:lang w:val="en-US" w:eastAsia="zh-CN"/>
        </w:rPr>
      </w:pPr>
      <w:r>
        <w:rPr>
          <w:rFonts w:hint="eastAsia" w:ascii="宋体" w:hAnsi="宋体" w:cs="宋体"/>
          <w:b/>
          <w:bCs/>
          <w:sz w:val="28"/>
          <w:szCs w:val="28"/>
          <w:lang w:val="en-US" w:eastAsia="zh-CN"/>
        </w:rPr>
        <w:t>2、中小企业声明函</w:t>
      </w:r>
    </w:p>
    <w:p w14:paraId="4BE7F68D">
      <w:pPr>
        <w:jc w:val="center"/>
        <w:rPr>
          <w:rFonts w:ascii="宋体" w:hAnsi="宋体" w:cs="Calibri"/>
          <w:b/>
          <w:color w:val="auto"/>
          <w:spacing w:val="14"/>
          <w:kern w:val="0"/>
          <w:sz w:val="32"/>
          <w:szCs w:val="32"/>
        </w:rPr>
      </w:pPr>
      <w:r>
        <w:rPr>
          <w:rFonts w:hint="eastAsia" w:ascii="宋体" w:hAnsi="宋体" w:cs="Calibri"/>
          <w:b/>
          <w:color w:val="auto"/>
          <w:spacing w:val="14"/>
          <w:kern w:val="0"/>
          <w:sz w:val="32"/>
          <w:szCs w:val="32"/>
        </w:rPr>
        <w:t>中小企业声明函</w:t>
      </w:r>
    </w:p>
    <w:p w14:paraId="04AC6C00">
      <w:pPr>
        <w:spacing w:line="500" w:lineRule="exact"/>
        <w:jc w:val="center"/>
        <w:rPr>
          <w:rFonts w:ascii="宋体" w:hAnsi="宋体" w:cs="Calibri"/>
          <w:color w:val="auto"/>
          <w:spacing w:val="14"/>
          <w:kern w:val="0"/>
          <w:sz w:val="28"/>
          <w:szCs w:val="28"/>
        </w:rPr>
      </w:pPr>
      <w:r>
        <w:rPr>
          <w:rFonts w:hint="eastAsia" w:ascii="宋体" w:hAnsi="宋体" w:cs="Calibri"/>
          <w:color w:val="auto"/>
          <w:spacing w:val="14"/>
          <w:kern w:val="0"/>
          <w:sz w:val="28"/>
          <w:szCs w:val="28"/>
        </w:rPr>
        <w:t xml:space="preserve"> </w:t>
      </w:r>
    </w:p>
    <w:p w14:paraId="51511414">
      <w:pPr>
        <w:spacing w:line="500" w:lineRule="exact"/>
        <w:ind w:firstLine="536" w:firstLineChars="200"/>
        <w:rPr>
          <w:rFonts w:hint="eastAsia" w:ascii="宋体" w:hAnsi="宋体" w:eastAsia="宋体" w:cs="宋体"/>
          <w:color w:val="auto"/>
          <w:spacing w:val="14"/>
          <w:kern w:val="0"/>
          <w:sz w:val="24"/>
          <w:szCs w:val="24"/>
        </w:rPr>
      </w:pPr>
      <w:r>
        <w:rPr>
          <w:rFonts w:hint="eastAsia" w:ascii="宋体" w:hAnsi="宋体" w:eastAsia="宋体" w:cs="宋体"/>
          <w:color w:val="auto"/>
          <w:spacing w:val="14"/>
          <w:kern w:val="0"/>
          <w:sz w:val="24"/>
          <w:szCs w:val="24"/>
        </w:rPr>
        <w:t>本公司（联合体）郑重声明，根据《政府采购促进中小企业发展管理办法》（财库〔2020〕46号）的规定，本公司（联合体）参加</w:t>
      </w:r>
      <w:r>
        <w:rPr>
          <w:rFonts w:hint="eastAsia" w:ascii="宋体" w:hAnsi="宋体" w:eastAsia="宋体" w:cs="宋体"/>
          <w:color w:val="auto"/>
          <w:spacing w:val="14"/>
          <w:kern w:val="0"/>
          <w:sz w:val="24"/>
          <w:szCs w:val="24"/>
          <w:u w:val="single"/>
        </w:rPr>
        <w:t>（单位名称）</w:t>
      </w:r>
      <w:r>
        <w:rPr>
          <w:rFonts w:hint="eastAsia" w:ascii="宋体" w:hAnsi="宋体" w:eastAsia="宋体" w:cs="宋体"/>
          <w:color w:val="auto"/>
          <w:spacing w:val="14"/>
          <w:kern w:val="0"/>
          <w:sz w:val="24"/>
          <w:szCs w:val="24"/>
        </w:rPr>
        <w:t>的</w:t>
      </w:r>
      <w:r>
        <w:rPr>
          <w:rFonts w:hint="eastAsia" w:ascii="宋体" w:hAnsi="宋体" w:eastAsia="宋体" w:cs="宋体"/>
          <w:color w:val="auto"/>
          <w:spacing w:val="14"/>
          <w:kern w:val="0"/>
          <w:sz w:val="24"/>
          <w:szCs w:val="24"/>
          <w:u w:val="single"/>
        </w:rPr>
        <w:t>（项目名称）</w:t>
      </w:r>
      <w:r>
        <w:rPr>
          <w:rFonts w:hint="eastAsia" w:ascii="宋体" w:hAnsi="宋体" w:eastAsia="宋体" w:cs="宋体"/>
          <w:color w:val="auto"/>
          <w:spacing w:val="14"/>
          <w:kern w:val="0"/>
          <w:sz w:val="24"/>
          <w:szCs w:val="24"/>
        </w:rPr>
        <w:t>采购活动</w:t>
      </w:r>
      <w:r>
        <w:rPr>
          <w:rFonts w:hint="eastAsia" w:ascii="宋体" w:hAnsi="宋体" w:cs="宋体"/>
          <w:color w:val="auto"/>
          <w:spacing w:val="14"/>
          <w:kern w:val="0"/>
          <w:sz w:val="24"/>
          <w:szCs w:val="24"/>
          <w:lang w:eastAsia="zh-CN"/>
        </w:rPr>
        <w:t>，</w:t>
      </w:r>
      <w:r>
        <w:rPr>
          <w:rFonts w:hint="eastAsia" w:ascii="宋体" w:hAnsi="宋体" w:eastAsia="宋体" w:cs="宋体"/>
          <w:color w:val="auto"/>
          <w:spacing w:val="14"/>
          <w:kern w:val="0"/>
          <w:sz w:val="24"/>
          <w:szCs w:val="24"/>
        </w:rPr>
        <w:t>服务全部由符合政策要求的中小企业承接。相关企业（含联合体中的中小企业、签订分包意向协议的中小企业）的具体情况如下：</w:t>
      </w:r>
    </w:p>
    <w:p w14:paraId="4F77C158">
      <w:pPr>
        <w:numPr>
          <w:ilvl w:val="0"/>
          <w:numId w:val="0"/>
        </w:numPr>
        <w:spacing w:line="500" w:lineRule="exact"/>
        <w:ind w:firstLine="420" w:firstLineChars="0"/>
        <w:rPr>
          <w:rFonts w:hint="eastAsia" w:ascii="宋体" w:hAnsi="宋体" w:eastAsia="宋体" w:cs="宋体"/>
          <w:spacing w:val="14"/>
          <w:kern w:val="0"/>
          <w:sz w:val="24"/>
          <w:szCs w:val="24"/>
        </w:rPr>
      </w:pPr>
      <w:r>
        <w:rPr>
          <w:rFonts w:hint="eastAsia" w:ascii="宋体" w:hAnsi="宋体" w:eastAsia="宋体" w:cs="宋体"/>
          <w:color w:val="auto"/>
          <w:spacing w:val="14"/>
          <w:kern w:val="0"/>
          <w:sz w:val="24"/>
          <w:szCs w:val="24"/>
          <w:lang w:val="en-US" w:eastAsia="zh-CN" w:bidi="ar-SA"/>
        </w:rPr>
        <w:t>1、</w:t>
      </w:r>
      <w:r>
        <w:rPr>
          <w:rFonts w:hint="eastAsia" w:ascii="宋体" w:hAnsi="宋体" w:eastAsia="宋体" w:cs="宋体"/>
          <w:color w:val="auto"/>
          <w:spacing w:val="14"/>
          <w:kern w:val="0"/>
          <w:sz w:val="24"/>
          <w:szCs w:val="24"/>
          <w:u w:val="single"/>
        </w:rPr>
        <w:t>（标的名称）</w:t>
      </w:r>
      <w:r>
        <w:rPr>
          <w:rFonts w:hint="eastAsia" w:ascii="宋体" w:hAnsi="宋体" w:eastAsia="宋体" w:cs="宋体"/>
          <w:color w:val="auto"/>
          <w:spacing w:val="14"/>
          <w:kern w:val="0"/>
          <w:sz w:val="24"/>
          <w:szCs w:val="24"/>
        </w:rPr>
        <w:t>，属于</w:t>
      </w:r>
      <w:r>
        <w:rPr>
          <w:rFonts w:hint="eastAsia" w:ascii="宋体" w:hAnsi="宋体" w:cs="宋体"/>
          <w:color w:val="auto"/>
          <w:kern w:val="0"/>
          <w:sz w:val="24"/>
          <w:szCs w:val="24"/>
          <w:u w:val="single"/>
          <w:lang w:val="en-US" w:eastAsia="zh-CN"/>
        </w:rPr>
        <w:t>其他未列明行业</w:t>
      </w:r>
      <w:r>
        <w:rPr>
          <w:rFonts w:hint="eastAsia" w:ascii="宋体" w:hAnsi="宋体" w:eastAsia="宋体" w:cs="宋体"/>
          <w:color w:val="auto"/>
          <w:spacing w:val="14"/>
          <w:kern w:val="0"/>
          <w:sz w:val="24"/>
          <w:szCs w:val="24"/>
          <w:u w:val="single"/>
        </w:rPr>
        <w:t>（采购文件中</w:t>
      </w:r>
      <w:r>
        <w:rPr>
          <w:rFonts w:hint="eastAsia" w:ascii="宋体" w:hAnsi="宋体" w:eastAsia="宋体" w:cs="宋体"/>
          <w:spacing w:val="14"/>
          <w:kern w:val="0"/>
          <w:sz w:val="24"/>
          <w:szCs w:val="24"/>
          <w:u w:val="single"/>
        </w:rPr>
        <w:t>明确的所属行业）</w:t>
      </w:r>
      <w:r>
        <w:rPr>
          <w:rFonts w:hint="eastAsia" w:ascii="宋体" w:hAnsi="宋体" w:eastAsia="宋体" w:cs="宋体"/>
          <w:spacing w:val="14"/>
          <w:kern w:val="0"/>
          <w:sz w:val="24"/>
          <w:szCs w:val="24"/>
        </w:rPr>
        <w:t>：承建（承接）企业为</w:t>
      </w:r>
      <w:r>
        <w:rPr>
          <w:rFonts w:hint="eastAsia" w:ascii="宋体" w:hAnsi="宋体" w:eastAsia="宋体" w:cs="宋体"/>
          <w:spacing w:val="14"/>
          <w:kern w:val="0"/>
          <w:sz w:val="24"/>
          <w:szCs w:val="24"/>
          <w:u w:val="single"/>
        </w:rPr>
        <w:t>（企业名称）</w:t>
      </w:r>
      <w:r>
        <w:rPr>
          <w:rFonts w:hint="eastAsia" w:ascii="宋体" w:hAnsi="宋体" w:eastAsia="宋体" w:cs="宋体"/>
          <w:spacing w:val="14"/>
          <w:kern w:val="0"/>
          <w:sz w:val="24"/>
          <w:szCs w:val="24"/>
        </w:rPr>
        <w:t>，从业人员</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人，营业收入为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万元，资产总额为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w:t>
      </w:r>
      <w:r>
        <w:rPr>
          <w:rFonts w:hint="eastAsia" w:ascii="宋体" w:hAnsi="宋体" w:eastAsia="宋体" w:cs="宋体"/>
          <w:spacing w:val="14"/>
          <w:kern w:val="0"/>
          <w:sz w:val="24"/>
          <w:szCs w:val="24"/>
          <w:vertAlign w:val="superscript"/>
        </w:rPr>
        <w:t>1</w:t>
      </w:r>
      <w:r>
        <w:rPr>
          <w:rFonts w:hint="eastAsia" w:ascii="宋体" w:hAnsi="宋体" w:eastAsia="宋体" w:cs="宋体"/>
          <w:spacing w:val="14"/>
          <w:kern w:val="0"/>
          <w:sz w:val="24"/>
          <w:szCs w:val="24"/>
        </w:rPr>
        <w:t>，属于</w:t>
      </w:r>
      <w:r>
        <w:rPr>
          <w:rFonts w:hint="eastAsia" w:ascii="宋体" w:hAnsi="宋体" w:cs="宋体"/>
          <w:spacing w:val="14"/>
          <w:kern w:val="0"/>
          <w:sz w:val="24"/>
          <w:szCs w:val="24"/>
          <w:u w:val="single"/>
          <w:lang w:val="en-US" w:eastAsia="zh-CN"/>
        </w:rPr>
        <w:t xml:space="preserve">    </w:t>
      </w:r>
      <w:r>
        <w:rPr>
          <w:rFonts w:hint="eastAsia" w:ascii="宋体" w:hAnsi="宋体" w:eastAsia="宋体" w:cs="宋体"/>
          <w:spacing w:val="14"/>
          <w:kern w:val="0"/>
          <w:sz w:val="24"/>
          <w:szCs w:val="24"/>
          <w:u w:val="single"/>
        </w:rPr>
        <w:t>（中型企业、小型企业、微型企业）</w:t>
      </w:r>
      <w:r>
        <w:rPr>
          <w:rFonts w:hint="eastAsia" w:ascii="宋体" w:hAnsi="宋体" w:eastAsia="宋体" w:cs="宋体"/>
          <w:spacing w:val="14"/>
          <w:kern w:val="0"/>
          <w:sz w:val="24"/>
          <w:szCs w:val="24"/>
        </w:rPr>
        <w:t>；</w:t>
      </w:r>
    </w:p>
    <w:p w14:paraId="01C54A78">
      <w:pPr>
        <w:spacing w:line="6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4A797D5F">
      <w:pPr>
        <w:pStyle w:val="26"/>
        <w:numPr>
          <w:ilvl w:val="0"/>
          <w:numId w:val="0"/>
        </w:numPr>
        <w:rPr>
          <w:rFonts w:hint="eastAsia" w:ascii="宋体" w:hAnsi="宋体" w:eastAsia="宋体" w:cs="宋体"/>
          <w:sz w:val="24"/>
          <w:szCs w:val="24"/>
        </w:rPr>
      </w:pPr>
    </w:p>
    <w:p w14:paraId="5F13CD99">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以上企业，不属于大企业的分支机构，不存在控股股东为大企业的情形，也不存在与大企业的负责人为同一人的情形。</w:t>
      </w:r>
    </w:p>
    <w:p w14:paraId="10D7DDC0">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本企业对上述声明内容的真实性负责。如有虚假，将依法承担相应责任。</w:t>
      </w:r>
    </w:p>
    <w:p w14:paraId="0F22FBFC">
      <w:pPr>
        <w:ind w:firstLine="4288" w:firstLineChars="1600"/>
        <w:rPr>
          <w:rFonts w:hint="eastAsia" w:ascii="宋体" w:hAnsi="宋体" w:eastAsia="宋体" w:cs="宋体"/>
          <w:spacing w:val="14"/>
          <w:sz w:val="24"/>
          <w:szCs w:val="24"/>
        </w:rPr>
      </w:pPr>
    </w:p>
    <w:p w14:paraId="0364406F">
      <w:pPr>
        <w:ind w:firstLine="4288" w:firstLineChars="1600"/>
        <w:rPr>
          <w:rFonts w:hint="eastAsia" w:ascii="宋体" w:hAnsi="宋体" w:eastAsia="宋体" w:cs="宋体"/>
          <w:spacing w:val="14"/>
          <w:sz w:val="24"/>
          <w:szCs w:val="24"/>
        </w:rPr>
      </w:pPr>
    </w:p>
    <w:p w14:paraId="73382F76">
      <w:pPr>
        <w:ind w:firstLine="4288" w:firstLineChars="1600"/>
        <w:rPr>
          <w:rFonts w:hint="eastAsia" w:ascii="宋体" w:hAnsi="宋体" w:eastAsia="宋体" w:cs="宋体"/>
          <w:spacing w:val="14"/>
          <w:sz w:val="24"/>
          <w:szCs w:val="24"/>
        </w:rPr>
      </w:pPr>
      <w:r>
        <w:rPr>
          <w:rFonts w:hint="eastAsia" w:ascii="宋体" w:hAnsi="宋体" w:eastAsia="宋体" w:cs="宋体"/>
          <w:spacing w:val="14"/>
          <w:sz w:val="24"/>
          <w:szCs w:val="24"/>
        </w:rPr>
        <w:t>供应商（企业电子章）：</w:t>
      </w:r>
    </w:p>
    <w:p w14:paraId="479FF158">
      <w:pPr>
        <w:ind w:firstLine="4288" w:firstLineChars="1600"/>
        <w:rPr>
          <w:rFonts w:hint="eastAsia" w:ascii="宋体" w:hAnsi="宋体" w:eastAsia="宋体" w:cs="宋体"/>
          <w:spacing w:val="14"/>
          <w:sz w:val="24"/>
          <w:szCs w:val="24"/>
        </w:rPr>
      </w:pPr>
      <w:r>
        <w:rPr>
          <w:rFonts w:hint="eastAsia" w:ascii="宋体" w:hAnsi="宋体" w:eastAsia="宋体" w:cs="宋体"/>
          <w:spacing w:val="14"/>
          <w:sz w:val="24"/>
          <w:szCs w:val="24"/>
        </w:rPr>
        <w:t>日期：</w:t>
      </w:r>
    </w:p>
    <w:p w14:paraId="168DF22E">
      <w:pPr>
        <w:rPr>
          <w:rFonts w:ascii="宋体" w:hAnsi="宋体" w:cs="Calibri"/>
          <w:spacing w:val="14"/>
          <w:sz w:val="24"/>
          <w:szCs w:val="24"/>
        </w:rPr>
      </w:pPr>
      <w:r>
        <w:rPr>
          <w:rFonts w:hint="eastAsia" w:ascii="宋体" w:hAnsi="宋体" w:cs="Calibri"/>
          <w:spacing w:val="14"/>
          <w:sz w:val="24"/>
          <w:szCs w:val="24"/>
        </w:rPr>
        <w:t xml:space="preserve"> </w:t>
      </w:r>
    </w:p>
    <w:p w14:paraId="155280E5">
      <w:pPr>
        <w:spacing w:line="360" w:lineRule="auto"/>
        <w:ind w:firstLine="420" w:firstLineChars="200"/>
        <w:rPr>
          <w:rFonts w:ascii="宋体" w:hAnsi="宋体" w:cs="宋体"/>
        </w:rPr>
      </w:pPr>
      <w:r>
        <w:rPr>
          <w:rFonts w:hint="eastAsia" w:ascii="宋体" w:hAnsi="宋体" w:cs="宋体"/>
        </w:rPr>
        <w:t>备注：</w:t>
      </w:r>
    </w:p>
    <w:p w14:paraId="39BA75DB">
      <w:pPr>
        <w:spacing w:line="360" w:lineRule="auto"/>
        <w:ind w:firstLine="420" w:firstLineChars="200"/>
        <w:rPr>
          <w:rFonts w:hint="eastAsia" w:ascii="宋体" w:hAnsi="宋体" w:eastAsia="宋体" w:cs="宋体"/>
        </w:rPr>
      </w:pPr>
      <w:r>
        <w:rPr>
          <w:rFonts w:hint="eastAsia" w:ascii="宋体" w:hAnsi="宋体" w:cs="宋体"/>
        </w:rPr>
        <w:t>1、如果投标人不满足中小微企业的认定标准，或所投产品的供应商不符合小型微型企业认定标准的</w:t>
      </w:r>
      <w:r>
        <w:rPr>
          <w:rFonts w:hint="eastAsia" w:ascii="宋体" w:hAnsi="宋体" w:cs="宋体"/>
          <w:lang w:val="en-US" w:eastAsia="zh-CN"/>
        </w:rPr>
        <w:t>等</w:t>
      </w:r>
      <w:r>
        <w:rPr>
          <w:rFonts w:hint="eastAsia" w:ascii="宋体" w:hAnsi="宋体" w:eastAsia="宋体" w:cs="宋体"/>
        </w:rPr>
        <w:t>供应商提供《中小企业声明函》内容不实的,属于“隐瞒真实情况,提供虚假资料的”情形,依照《政府采购法》的有关规定追究相应责任。</w:t>
      </w:r>
    </w:p>
    <w:p w14:paraId="720E29C7">
      <w:pPr>
        <w:spacing w:after="120"/>
        <w:rPr>
          <w:rFonts w:cs="Mangal" w:asciiTheme="minorHAnsi" w:hAnsiTheme="minorHAnsi" w:eastAsiaTheme="minorEastAsia"/>
          <w:sz w:val="18"/>
          <w:szCs w:val="18"/>
        </w:rPr>
      </w:pPr>
      <w:r>
        <w:rPr>
          <w:rFonts w:hint="eastAsia" w:ascii="宋体" w:hAnsi="宋体" w:cs="宋体" w:eastAsiaTheme="minorEastAsia"/>
          <w:lang w:eastAsia="hi-IN" w:bidi="hi-IN"/>
        </w:rPr>
        <w:t xml:space="preserve">    </w:t>
      </w:r>
      <w:r>
        <w:rPr>
          <w:rFonts w:hint="eastAsia" w:ascii="宋体" w:hAnsi="宋体" w:cs="宋体" w:eastAsiaTheme="minorEastAsia"/>
          <w:lang w:val="en-US" w:eastAsia="zh-CN" w:bidi="hi-IN"/>
        </w:rPr>
        <w:t>2</w:t>
      </w:r>
      <w:r>
        <w:rPr>
          <w:rFonts w:hint="eastAsia" w:ascii="宋体" w:hAnsi="宋体" w:cs="宋体" w:eastAsiaTheme="minorEastAsia"/>
          <w:lang w:eastAsia="hi-IN" w:bidi="hi-IN"/>
        </w:rPr>
        <w:t>、从业人员、营业收入、资产总额填报上一年度数据，无上一年度数据的新成立企业可不填报。</w:t>
      </w:r>
    </w:p>
    <w:p w14:paraId="085EAE3C">
      <w:pPr>
        <w:rPr>
          <w:rFonts w:hint="eastAsia" w:ascii="宋体" w:hAnsi="宋体" w:eastAsia="宋体" w:cs="宋体"/>
          <w:b/>
          <w:sz w:val="24"/>
          <w:szCs w:val="24"/>
        </w:rPr>
      </w:pPr>
      <w:r>
        <w:rPr>
          <w:rFonts w:hint="eastAsia" w:ascii="宋体" w:hAnsi="宋体" w:eastAsia="宋体" w:cs="宋体"/>
          <w:b/>
          <w:sz w:val="24"/>
          <w:szCs w:val="24"/>
        </w:rPr>
        <w:br w:type="page"/>
      </w:r>
    </w:p>
    <w:p w14:paraId="2F980F9D">
      <w:pPr>
        <w:spacing w:line="480" w:lineRule="auto"/>
        <w:textAlignment w:val="baseline"/>
        <w:rPr>
          <w:rFonts w:hint="eastAsia" w:ascii="宋体" w:hAnsi="宋体" w:eastAsia="宋体" w:cs="宋体"/>
          <w:b/>
          <w:sz w:val="24"/>
          <w:szCs w:val="24"/>
        </w:rPr>
      </w:pPr>
      <w:r>
        <w:rPr>
          <w:rFonts w:hint="eastAsia" w:ascii="宋体" w:hAnsi="宋体" w:eastAsia="宋体" w:cs="宋体"/>
          <w:b/>
          <w:sz w:val="24"/>
          <w:szCs w:val="24"/>
        </w:rPr>
        <w:t>说明：</w:t>
      </w:r>
    </w:p>
    <w:p w14:paraId="31C96C6B">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财政部、工信部关于印发《政府采购促进中小企业发展管理办法》的通知（财库〔2020〕46号）第二条、第四条规定：中小企业（含中型、小型、微型企业）应当同时符合以下条件：</w:t>
      </w:r>
    </w:p>
    <w:p w14:paraId="0A3EF95A">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1. </w:t>
      </w:r>
      <w:r>
        <w:rPr>
          <w:rFonts w:hint="eastAsia" w:ascii="宋体" w:hAnsi="宋体" w:eastAsia="宋体" w:cs="宋体"/>
          <w:kern w:val="0"/>
          <w:sz w:val="24"/>
          <w:szCs w:val="24"/>
        </w:rPr>
        <w:t>符合中小企业划分标准（见工业和信息化部国家统计局国家发展和改革委员会财政部《关于印发中小企业划型标准规定的通知》（工信部联企业〔2011〕300号)）；</w:t>
      </w:r>
    </w:p>
    <w:p w14:paraId="741D69AC">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CFF1824">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14:paraId="41018EAB">
      <w:pPr>
        <w:widowControl/>
        <w:adjustRightInd w:val="0"/>
        <w:snapToGrid w:val="0"/>
        <w:spacing w:line="500" w:lineRule="exact"/>
        <w:ind w:firstLine="480" w:firstLineChars="200"/>
        <w:jc w:val="left"/>
        <w:rPr>
          <w:rFonts w:hint="eastAsia"/>
          <w:b/>
          <w:sz w:val="28"/>
          <w:szCs w:val="28"/>
          <w:lang w:val="en-US" w:eastAsia="zh-CN"/>
        </w:rPr>
      </w:pPr>
      <w:r>
        <w:rPr>
          <w:rFonts w:hint="eastAsia" w:ascii="宋体" w:hAnsi="宋体" w:eastAsia="宋体" w:cs="宋体"/>
          <w:kern w:val="0"/>
          <w:sz w:val="24"/>
          <w:szCs w:val="24"/>
        </w:rPr>
        <w:t>3. 在服务采购项目中，服务由中小企业承接，即提供服务的人员为中小企业依照《中华人民共和国劳动合同法》订立劳动合同的从业人员。</w:t>
      </w:r>
      <w:r>
        <w:rPr>
          <w:rFonts w:hint="eastAsia"/>
          <w:b/>
          <w:sz w:val="28"/>
          <w:szCs w:val="28"/>
          <w:lang w:val="en-US" w:eastAsia="zh-CN"/>
        </w:rPr>
        <w:br w:type="page"/>
      </w:r>
    </w:p>
    <w:p w14:paraId="2F40430E">
      <w:pPr>
        <w:rPr>
          <w:rFonts w:hint="eastAsia" w:ascii="宋体" w:hAnsi="宋体" w:cs="宋体"/>
          <w:color w:val="FF0000"/>
          <w:sz w:val="24"/>
          <w:szCs w:val="24"/>
          <w:highlight w:val="none"/>
          <w:lang w:val="en-US" w:eastAsia="zh-CN"/>
        </w:rPr>
      </w:pPr>
      <w:r>
        <w:rPr>
          <w:rFonts w:hint="eastAsia" w:eastAsia="宋体" w:cs="Times New Roman"/>
          <w:b/>
          <w:sz w:val="28"/>
          <w:szCs w:val="28"/>
          <w:lang w:val="en-US" w:eastAsia="zh-CN"/>
        </w:rPr>
        <w:t>3</w:t>
      </w:r>
      <w:r>
        <w:rPr>
          <w:rFonts w:hint="eastAsia" w:ascii="Times New Roman" w:hAnsi="Times New Roman" w:eastAsia="宋体" w:cs="Times New Roman"/>
          <w:b/>
          <w:sz w:val="28"/>
          <w:szCs w:val="28"/>
          <w:lang w:val="en-US" w:eastAsia="zh-CN"/>
        </w:rPr>
        <w:t>、</w:t>
      </w:r>
      <w:r>
        <w:rPr>
          <w:rFonts w:hint="eastAsia" w:ascii="Times New Roman" w:hAnsi="Times New Roman" w:eastAsia="宋体" w:cs="Times New Roman"/>
          <w:b/>
          <w:sz w:val="28"/>
          <w:szCs w:val="28"/>
          <w:lang w:val="zh-TW" w:eastAsia="zh-CN"/>
        </w:rPr>
        <w:t>具有履行</w:t>
      </w:r>
      <w:r>
        <w:rPr>
          <w:rFonts w:hint="eastAsia" w:ascii="Times New Roman" w:hAnsi="Times New Roman" w:eastAsia="宋体" w:cs="Times New Roman"/>
          <w:b/>
          <w:sz w:val="28"/>
          <w:szCs w:val="28"/>
          <w:lang w:val="en-US" w:eastAsia="zh-CN"/>
        </w:rPr>
        <w:t>本项目服务内容</w:t>
      </w:r>
      <w:r>
        <w:rPr>
          <w:rFonts w:hint="eastAsia" w:ascii="Times New Roman" w:hAnsi="Times New Roman" w:eastAsia="宋体" w:cs="Times New Roman"/>
          <w:b/>
          <w:sz w:val="28"/>
          <w:szCs w:val="28"/>
          <w:lang w:val="zh-TW" w:eastAsia="zh-CN"/>
        </w:rPr>
        <w:t>所必需的设备和专业技术能力（提供</w:t>
      </w:r>
      <w:r>
        <w:rPr>
          <w:rFonts w:hint="eastAsia" w:ascii="Times New Roman" w:hAnsi="Times New Roman" w:eastAsia="宋体" w:cs="Times New Roman"/>
          <w:b/>
          <w:sz w:val="28"/>
          <w:szCs w:val="28"/>
          <w:lang w:val="en-US" w:eastAsia="zh-CN"/>
        </w:rPr>
        <w:t>相关证明材料</w:t>
      </w:r>
      <w:r>
        <w:rPr>
          <w:rFonts w:hint="eastAsia" w:ascii="Times New Roman" w:hAnsi="Times New Roman" w:eastAsia="宋体" w:cs="Times New Roman"/>
          <w:b/>
          <w:sz w:val="28"/>
          <w:szCs w:val="28"/>
          <w:lang w:val="zh-TW" w:eastAsia="zh-CN"/>
        </w:rPr>
        <w:t>或承诺书，承诺书格式自拟）</w:t>
      </w:r>
      <w:r>
        <w:rPr>
          <w:rFonts w:hint="eastAsia" w:eastAsia="宋体" w:cs="Times New Roman"/>
          <w:b/>
          <w:sz w:val="28"/>
          <w:szCs w:val="28"/>
          <w:lang w:val="zh-TW" w:eastAsia="zh-CN"/>
        </w:rPr>
        <w:t>。</w:t>
      </w:r>
    </w:p>
    <w:p w14:paraId="51403191">
      <w:pPr>
        <w:rPr>
          <w:rFonts w:hint="eastAsia" w:eastAsia="宋体" w:cs="Times New Roman"/>
          <w:b/>
          <w:sz w:val="28"/>
          <w:szCs w:val="28"/>
          <w:lang w:val="en-US" w:eastAsia="zh-CN"/>
        </w:rPr>
      </w:pPr>
      <w:r>
        <w:rPr>
          <w:rFonts w:hint="eastAsia" w:eastAsia="宋体" w:cs="Times New Roman"/>
          <w:b/>
          <w:sz w:val="28"/>
          <w:szCs w:val="28"/>
          <w:lang w:val="en-US" w:eastAsia="zh-CN"/>
        </w:rPr>
        <w:br w:type="page"/>
      </w:r>
    </w:p>
    <w:p w14:paraId="0EEB5A38">
      <w:pPr>
        <w:rPr>
          <w:rFonts w:hint="eastAsia"/>
          <w:b/>
          <w:sz w:val="28"/>
          <w:szCs w:val="28"/>
          <w:highlight w:val="none"/>
          <w:lang w:val="en-US" w:eastAsia="zh-CN"/>
        </w:rPr>
      </w:pPr>
      <w:r>
        <w:rPr>
          <w:rFonts w:hint="eastAsia" w:eastAsia="宋体" w:cs="Times New Roman"/>
          <w:b/>
          <w:sz w:val="28"/>
          <w:szCs w:val="28"/>
          <w:lang w:val="en-US" w:eastAsia="zh-CN"/>
        </w:rPr>
        <w:t>4</w:t>
      </w:r>
      <w:r>
        <w:rPr>
          <w:rFonts w:hint="eastAsia" w:ascii="Times New Roman" w:hAnsi="Times New Roman" w:eastAsia="宋体" w:cs="Times New Roman"/>
          <w:b/>
          <w:sz w:val="28"/>
          <w:szCs w:val="28"/>
          <w:lang w:val="en-US" w:eastAsia="zh-CN"/>
        </w:rPr>
        <w:t>、具有良好的商业信誉和健全的财务会计制度，供应商须提供近三年（2022-2024年）会计事务所或审计机构出具的财务审计报告(成立不足三年的公司提供成立至今的审计报告，新成立不足一年的公司提供成立至今的财务报表）。</w:t>
      </w:r>
    </w:p>
    <w:p w14:paraId="43F4D697">
      <w:pPr>
        <w:rPr>
          <w:rFonts w:hint="eastAsia" w:cs="Times New Roman"/>
          <w:b/>
          <w:sz w:val="28"/>
          <w:szCs w:val="28"/>
          <w:lang w:val="en-US" w:eastAsia="zh-CN"/>
        </w:rPr>
      </w:pPr>
      <w:r>
        <w:rPr>
          <w:rFonts w:hint="eastAsia" w:cs="Times New Roman"/>
          <w:b/>
          <w:sz w:val="28"/>
          <w:szCs w:val="28"/>
          <w:lang w:val="en-US" w:eastAsia="zh-CN"/>
        </w:rPr>
        <w:br w:type="page"/>
      </w:r>
    </w:p>
    <w:p w14:paraId="0D815D86">
      <w:pPr>
        <w:spacing w:beforeLines="100" w:afterLines="50" w:line="480" w:lineRule="exact"/>
        <w:textAlignment w:val="center"/>
        <w:rPr>
          <w:rFonts w:hint="eastAsia" w:ascii="Times New Roman" w:hAnsi="Times New Roman" w:eastAsia="宋体" w:cs="Times New Roman"/>
          <w:b/>
          <w:sz w:val="28"/>
          <w:szCs w:val="28"/>
          <w:lang w:eastAsia="zh-CN"/>
        </w:rPr>
      </w:pPr>
      <w:r>
        <w:rPr>
          <w:rFonts w:hint="eastAsia" w:cs="Times New Roman"/>
          <w:b/>
          <w:sz w:val="28"/>
          <w:szCs w:val="28"/>
          <w:lang w:val="en-US" w:eastAsia="zh-CN"/>
        </w:rPr>
        <w:t>5、</w:t>
      </w:r>
      <w:r>
        <w:rPr>
          <w:rFonts w:hint="eastAsia" w:ascii="Times New Roman" w:hAnsi="Times New Roman" w:eastAsia="宋体" w:cs="Times New Roman"/>
          <w:b/>
          <w:sz w:val="28"/>
          <w:szCs w:val="28"/>
          <w:lang w:val="zh-TW"/>
        </w:rPr>
        <w:t>企业自行出具本单位无商业贿赂及不正当竞争行为的承诺书（格式自拟）</w:t>
      </w:r>
      <w:r>
        <w:rPr>
          <w:rFonts w:hint="eastAsia" w:ascii="Times New Roman" w:hAnsi="Times New Roman" w:eastAsia="宋体" w:cs="Times New Roman"/>
          <w:b/>
          <w:sz w:val="28"/>
          <w:szCs w:val="28"/>
          <w:lang w:val="zh-TW" w:eastAsia="zh-CN"/>
        </w:rPr>
        <w:t>。</w:t>
      </w:r>
    </w:p>
    <w:p w14:paraId="61536EBB">
      <w:pPr>
        <w:spacing w:beforeLines="100" w:afterLines="50" w:line="480" w:lineRule="exact"/>
        <w:textAlignment w:val="center"/>
        <w:rPr>
          <w:b/>
          <w:sz w:val="28"/>
          <w:szCs w:val="28"/>
        </w:rPr>
      </w:pPr>
    </w:p>
    <w:p w14:paraId="2B06A81D">
      <w:pPr>
        <w:spacing w:beforeLines="100" w:afterLines="50" w:line="480" w:lineRule="exact"/>
        <w:textAlignment w:val="center"/>
        <w:rPr>
          <w:b/>
          <w:sz w:val="28"/>
          <w:szCs w:val="28"/>
        </w:rPr>
      </w:pPr>
    </w:p>
    <w:p w14:paraId="198A284F">
      <w:pPr>
        <w:spacing w:beforeLines="100" w:afterLines="50" w:line="480" w:lineRule="exact"/>
        <w:textAlignment w:val="center"/>
        <w:rPr>
          <w:b/>
          <w:sz w:val="28"/>
          <w:szCs w:val="28"/>
        </w:rPr>
      </w:pPr>
    </w:p>
    <w:p w14:paraId="4BBBDAC8">
      <w:pPr>
        <w:spacing w:beforeLines="100" w:afterLines="50" w:line="480" w:lineRule="exact"/>
        <w:textAlignment w:val="center"/>
        <w:rPr>
          <w:b/>
          <w:sz w:val="28"/>
          <w:szCs w:val="28"/>
        </w:rPr>
      </w:pPr>
    </w:p>
    <w:p w14:paraId="5E6960F2">
      <w:pPr>
        <w:spacing w:beforeLines="100" w:afterLines="50" w:line="480" w:lineRule="exact"/>
        <w:textAlignment w:val="center"/>
        <w:rPr>
          <w:b/>
          <w:sz w:val="28"/>
          <w:szCs w:val="28"/>
        </w:rPr>
      </w:pPr>
    </w:p>
    <w:p w14:paraId="0CBA0E66">
      <w:pPr>
        <w:spacing w:beforeLines="100" w:afterLines="50" w:line="480" w:lineRule="exact"/>
        <w:textAlignment w:val="center"/>
        <w:rPr>
          <w:b/>
          <w:sz w:val="28"/>
          <w:szCs w:val="28"/>
        </w:rPr>
      </w:pPr>
    </w:p>
    <w:p w14:paraId="6CC40C88">
      <w:pPr>
        <w:spacing w:beforeLines="100" w:afterLines="50" w:line="480" w:lineRule="exact"/>
        <w:textAlignment w:val="center"/>
        <w:rPr>
          <w:b/>
          <w:sz w:val="28"/>
          <w:szCs w:val="28"/>
        </w:rPr>
      </w:pPr>
    </w:p>
    <w:p w14:paraId="6E76193D">
      <w:pPr>
        <w:spacing w:beforeLines="100" w:afterLines="50" w:line="480" w:lineRule="exact"/>
        <w:textAlignment w:val="center"/>
        <w:rPr>
          <w:b/>
          <w:sz w:val="28"/>
          <w:szCs w:val="28"/>
        </w:rPr>
      </w:pPr>
    </w:p>
    <w:p w14:paraId="0B9FDF8C">
      <w:pPr>
        <w:spacing w:beforeLines="100" w:afterLines="50" w:line="480" w:lineRule="exact"/>
        <w:textAlignment w:val="center"/>
        <w:rPr>
          <w:b/>
          <w:sz w:val="28"/>
          <w:szCs w:val="28"/>
        </w:rPr>
      </w:pPr>
    </w:p>
    <w:p w14:paraId="7DF5F401">
      <w:pPr>
        <w:spacing w:beforeLines="100" w:afterLines="50" w:line="480" w:lineRule="exact"/>
        <w:textAlignment w:val="center"/>
        <w:rPr>
          <w:b/>
          <w:sz w:val="28"/>
          <w:szCs w:val="28"/>
        </w:rPr>
      </w:pPr>
    </w:p>
    <w:p w14:paraId="14CA57F2">
      <w:pPr>
        <w:spacing w:beforeLines="100" w:afterLines="50" w:line="480" w:lineRule="exact"/>
        <w:textAlignment w:val="center"/>
        <w:rPr>
          <w:b/>
          <w:sz w:val="28"/>
          <w:szCs w:val="28"/>
        </w:rPr>
      </w:pPr>
    </w:p>
    <w:p w14:paraId="0169F951">
      <w:pPr>
        <w:spacing w:beforeLines="100" w:afterLines="50" w:line="480" w:lineRule="exact"/>
        <w:textAlignment w:val="center"/>
        <w:rPr>
          <w:b/>
          <w:sz w:val="28"/>
          <w:szCs w:val="28"/>
        </w:rPr>
      </w:pPr>
    </w:p>
    <w:p w14:paraId="25866AB5">
      <w:pPr>
        <w:spacing w:beforeLines="100" w:afterLines="50" w:line="480" w:lineRule="exact"/>
        <w:textAlignment w:val="center"/>
        <w:rPr>
          <w:b/>
          <w:sz w:val="28"/>
          <w:szCs w:val="28"/>
        </w:rPr>
      </w:pPr>
    </w:p>
    <w:p w14:paraId="459A357C">
      <w:pPr>
        <w:spacing w:beforeLines="100" w:afterLines="50" w:line="480" w:lineRule="exact"/>
        <w:textAlignment w:val="center"/>
        <w:rPr>
          <w:b/>
          <w:sz w:val="28"/>
          <w:szCs w:val="28"/>
        </w:rPr>
      </w:pPr>
      <w:bookmarkStart w:id="140" w:name="_Toc12604922"/>
      <w:bookmarkStart w:id="141" w:name="_Toc507510306"/>
      <w:bookmarkStart w:id="142" w:name="_Toc24112"/>
    </w:p>
    <w:p w14:paraId="58B7ABDE">
      <w:pPr>
        <w:spacing w:beforeLines="100" w:afterLines="50" w:line="480" w:lineRule="exact"/>
        <w:textAlignment w:val="center"/>
        <w:rPr>
          <w:b/>
          <w:sz w:val="28"/>
          <w:szCs w:val="28"/>
        </w:rPr>
      </w:pPr>
    </w:p>
    <w:p w14:paraId="114F6708">
      <w:pPr>
        <w:spacing w:beforeLines="100" w:afterLines="50" w:line="480" w:lineRule="exact"/>
        <w:textAlignment w:val="center"/>
        <w:rPr>
          <w:rFonts w:hint="eastAsia"/>
          <w:b/>
          <w:sz w:val="28"/>
          <w:szCs w:val="28"/>
          <w:lang w:val="en-US" w:eastAsia="zh-CN"/>
        </w:rPr>
      </w:pPr>
    </w:p>
    <w:p w14:paraId="7C074D85">
      <w:pPr>
        <w:spacing w:beforeLines="100" w:afterLines="50" w:line="480" w:lineRule="exact"/>
        <w:textAlignment w:val="center"/>
        <w:rPr>
          <w:b/>
          <w:sz w:val="28"/>
          <w:szCs w:val="28"/>
        </w:rPr>
      </w:pPr>
      <w:r>
        <w:rPr>
          <w:rFonts w:hint="eastAsia"/>
          <w:b/>
          <w:sz w:val="28"/>
          <w:szCs w:val="28"/>
          <w:lang w:val="en-US" w:eastAsia="zh-CN"/>
        </w:rPr>
        <w:t>6、</w:t>
      </w:r>
      <w:r>
        <w:rPr>
          <w:rFonts w:hint="eastAsia"/>
          <w:b/>
          <w:sz w:val="28"/>
          <w:szCs w:val="28"/>
        </w:rPr>
        <w:t>信用截图</w:t>
      </w:r>
    </w:p>
    <w:p w14:paraId="39B6E359">
      <w:pPr>
        <w:pStyle w:val="3"/>
        <w:keepNext w:val="0"/>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ascii="仿宋" w:hAnsi="仿宋"/>
          <w:b w:val="0"/>
          <w:bCs w:val="0"/>
          <w:sz w:val="24"/>
          <w:szCs w:val="21"/>
        </w:rPr>
      </w:pPr>
      <w:bookmarkStart w:id="143" w:name="_Toc25663"/>
      <w:r>
        <w:rPr>
          <w:rFonts w:hint="eastAsia" w:ascii="宋体" w:hAnsi="宋体" w:eastAsia="宋体" w:cs="宋体"/>
          <w:b w:val="0"/>
          <w:bCs w:val="0"/>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hAnsi="宋体" w:cs="宋体"/>
          <w:b w:val="0"/>
          <w:bCs w:val="0"/>
          <w:sz w:val="24"/>
          <w:szCs w:val="24"/>
          <w:lang w:val="zh-TW" w:eastAsia="zh-CN"/>
        </w:rPr>
        <w:t>。</w:t>
      </w:r>
      <w:bookmarkEnd w:id="143"/>
    </w:p>
    <w:p w14:paraId="5615227E">
      <w:pPr>
        <w:rPr>
          <w:rFonts w:hint="eastAsia"/>
          <w:b/>
          <w:sz w:val="28"/>
          <w:szCs w:val="28"/>
        </w:rPr>
      </w:pPr>
      <w:r>
        <w:rPr>
          <w:rFonts w:hint="eastAsia"/>
          <w:b/>
          <w:sz w:val="28"/>
          <w:szCs w:val="28"/>
        </w:rPr>
        <w:br w:type="page"/>
      </w:r>
    </w:p>
    <w:p w14:paraId="31108DF7">
      <w:pPr>
        <w:rPr>
          <w:rFonts w:hint="eastAsia" w:ascii="Times New Roman" w:hAnsi="Times New Roman" w:eastAsia="宋体" w:cs="Times New Roman"/>
          <w:b/>
          <w:sz w:val="28"/>
          <w:szCs w:val="28"/>
        </w:rPr>
      </w:pPr>
      <w:r>
        <w:rPr>
          <w:rFonts w:hint="eastAsia"/>
          <w:b/>
          <w:sz w:val="28"/>
          <w:szCs w:val="28"/>
          <w:lang w:val="en-US" w:eastAsia="zh-CN"/>
        </w:rPr>
        <w:t>7</w:t>
      </w:r>
      <w:r>
        <w:rPr>
          <w:rFonts w:hint="eastAsia" w:eastAsia="宋体"/>
          <w:b/>
          <w:sz w:val="28"/>
          <w:szCs w:val="28"/>
          <w:lang w:val="en-US" w:eastAsia="zh-CN"/>
        </w:rPr>
        <w:t>、</w:t>
      </w:r>
      <w:r>
        <w:rPr>
          <w:rFonts w:hint="eastAsia" w:ascii="Times New Roman" w:hAnsi="Times New Roman" w:eastAsia="宋体" w:cs="Times New Roman"/>
          <w:b/>
          <w:sz w:val="28"/>
          <w:szCs w:val="28"/>
          <w:lang w:val="en-US" w:eastAsia="zh-CN"/>
        </w:rPr>
        <w:t>企业</w:t>
      </w:r>
      <w:r>
        <w:rPr>
          <w:rFonts w:hint="eastAsia" w:ascii="Times New Roman" w:hAnsi="Times New Roman" w:eastAsia="宋体" w:cs="Times New Roman"/>
          <w:b/>
          <w:sz w:val="28"/>
          <w:szCs w:val="28"/>
          <w:lang w:val="zh-TW" w:eastAsia="zh-CN"/>
        </w:rPr>
        <w:t>控股、管理关系</w:t>
      </w:r>
    </w:p>
    <w:p w14:paraId="4FC949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sz w:val="28"/>
          <w:szCs w:val="28"/>
          <w:lang w:eastAsia="zh-CN"/>
        </w:rPr>
      </w:pPr>
      <w:r>
        <w:rPr>
          <w:rFonts w:hint="eastAsia" w:ascii="宋体" w:hAnsi="宋体" w:eastAsia="宋体" w:cs="宋体"/>
          <w:b w:val="0"/>
          <w:bCs w:val="0"/>
          <w:kern w:val="2"/>
          <w:sz w:val="24"/>
          <w:szCs w:val="24"/>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b/>
          <w:sz w:val="28"/>
          <w:szCs w:val="28"/>
          <w:lang w:eastAsia="zh-CN"/>
        </w:rPr>
        <w:br w:type="page"/>
      </w:r>
    </w:p>
    <w:p w14:paraId="1B477D2E">
      <w:pPr>
        <w:pStyle w:val="3"/>
        <w:keepNext w:val="0"/>
        <w:spacing w:before="260" w:after="260" w:line="413" w:lineRule="auto"/>
        <w:jc w:val="both"/>
        <w:rPr>
          <w:rFonts w:hint="default" w:ascii="宋体" w:hAnsi="宋体" w:eastAsia="宋体" w:cs="宋体"/>
          <w:b/>
          <w:bCs/>
          <w:kern w:val="2"/>
          <w:sz w:val="28"/>
          <w:szCs w:val="28"/>
          <w:lang w:val="en-US" w:eastAsia="zh-CN" w:bidi="ar-SA"/>
        </w:rPr>
      </w:pPr>
      <w:bookmarkStart w:id="144" w:name="_Toc20621"/>
      <w:r>
        <w:rPr>
          <w:rFonts w:hint="eastAsia" w:hAnsi="宋体" w:cs="宋体"/>
          <w:b/>
          <w:bCs/>
          <w:kern w:val="2"/>
          <w:sz w:val="28"/>
          <w:szCs w:val="28"/>
          <w:lang w:val="en-US" w:eastAsia="zh-CN" w:bidi="ar-SA"/>
        </w:rPr>
        <w:t>8、</w:t>
      </w:r>
      <w:r>
        <w:rPr>
          <w:rFonts w:hint="eastAsia" w:ascii="宋体" w:hAnsi="宋体" w:eastAsia="宋体" w:cs="宋体"/>
          <w:b/>
          <w:bCs/>
          <w:kern w:val="2"/>
          <w:sz w:val="28"/>
          <w:szCs w:val="28"/>
          <w:lang w:val="en-US" w:eastAsia="zh-CN" w:bidi="ar-SA"/>
        </w:rPr>
        <w:t>非联合体投标声明（格式自拟）</w:t>
      </w:r>
      <w:bookmarkEnd w:id="144"/>
    </w:p>
    <w:p w14:paraId="798D74F8">
      <w:pPr>
        <w:spacing w:beforeLines="100" w:afterLines="50" w:line="480" w:lineRule="exact"/>
        <w:textAlignment w:val="center"/>
        <w:rPr>
          <w:b/>
          <w:sz w:val="28"/>
          <w:szCs w:val="28"/>
        </w:rPr>
      </w:pPr>
    </w:p>
    <w:p w14:paraId="7F38BF25">
      <w:pPr>
        <w:spacing w:beforeLines="100" w:afterLines="50" w:line="480" w:lineRule="exact"/>
        <w:textAlignment w:val="center"/>
        <w:rPr>
          <w:b/>
          <w:sz w:val="28"/>
          <w:szCs w:val="28"/>
        </w:rPr>
      </w:pPr>
    </w:p>
    <w:p w14:paraId="7B694A43">
      <w:pPr>
        <w:spacing w:beforeLines="100" w:afterLines="50" w:line="480" w:lineRule="exact"/>
        <w:textAlignment w:val="center"/>
        <w:rPr>
          <w:b/>
          <w:sz w:val="28"/>
          <w:szCs w:val="28"/>
        </w:rPr>
      </w:pPr>
    </w:p>
    <w:p w14:paraId="753D76A8">
      <w:pPr>
        <w:spacing w:beforeLines="100" w:afterLines="50" w:line="480" w:lineRule="exact"/>
        <w:textAlignment w:val="center"/>
        <w:rPr>
          <w:b/>
          <w:sz w:val="28"/>
          <w:szCs w:val="28"/>
        </w:rPr>
      </w:pPr>
    </w:p>
    <w:p w14:paraId="3AF46473">
      <w:pPr>
        <w:spacing w:beforeLines="100" w:afterLines="50" w:line="480" w:lineRule="exact"/>
        <w:textAlignment w:val="center"/>
        <w:rPr>
          <w:b/>
          <w:sz w:val="28"/>
          <w:szCs w:val="28"/>
        </w:rPr>
      </w:pPr>
    </w:p>
    <w:p w14:paraId="7ADCA210">
      <w:pPr>
        <w:spacing w:beforeLines="100" w:afterLines="50" w:line="480" w:lineRule="exact"/>
        <w:textAlignment w:val="center"/>
        <w:rPr>
          <w:b/>
          <w:sz w:val="28"/>
          <w:szCs w:val="28"/>
        </w:rPr>
      </w:pPr>
    </w:p>
    <w:p w14:paraId="7E7EE263">
      <w:pPr>
        <w:spacing w:beforeLines="100" w:afterLines="50" w:line="480" w:lineRule="exact"/>
        <w:textAlignment w:val="center"/>
        <w:rPr>
          <w:b/>
          <w:sz w:val="28"/>
          <w:szCs w:val="28"/>
        </w:rPr>
      </w:pPr>
    </w:p>
    <w:p w14:paraId="497A44C0">
      <w:pPr>
        <w:spacing w:beforeLines="100" w:afterLines="50" w:line="480" w:lineRule="exact"/>
        <w:textAlignment w:val="center"/>
        <w:rPr>
          <w:b/>
          <w:sz w:val="28"/>
          <w:szCs w:val="28"/>
        </w:rPr>
      </w:pPr>
    </w:p>
    <w:p w14:paraId="4C986343">
      <w:pPr>
        <w:spacing w:beforeLines="100" w:afterLines="50" w:line="480" w:lineRule="exact"/>
        <w:textAlignment w:val="center"/>
        <w:rPr>
          <w:b/>
          <w:sz w:val="28"/>
          <w:szCs w:val="28"/>
        </w:rPr>
      </w:pPr>
    </w:p>
    <w:p w14:paraId="75CA0A28">
      <w:pPr>
        <w:spacing w:beforeLines="100" w:afterLines="50" w:line="480" w:lineRule="exact"/>
        <w:textAlignment w:val="center"/>
        <w:rPr>
          <w:b/>
          <w:sz w:val="28"/>
          <w:szCs w:val="28"/>
        </w:rPr>
      </w:pPr>
    </w:p>
    <w:p w14:paraId="0C25CC03">
      <w:pPr>
        <w:spacing w:beforeLines="100" w:afterLines="50" w:line="480" w:lineRule="exact"/>
        <w:textAlignment w:val="center"/>
        <w:rPr>
          <w:b/>
          <w:sz w:val="28"/>
          <w:szCs w:val="28"/>
        </w:rPr>
      </w:pPr>
    </w:p>
    <w:p w14:paraId="448CB07D">
      <w:pPr>
        <w:rPr>
          <w:rFonts w:hint="eastAsia" w:ascii="Arial" w:eastAsia="黑体" w:cs="Times New Roman"/>
          <w:sz w:val="32"/>
          <w:szCs w:val="32"/>
        </w:rPr>
      </w:pPr>
      <w:bookmarkStart w:id="145" w:name="_Toc38285416"/>
      <w:bookmarkStart w:id="146" w:name="_Toc38285154"/>
      <w:bookmarkStart w:id="147" w:name="_Toc38013576"/>
      <w:r>
        <w:rPr>
          <w:rFonts w:hint="eastAsia" w:ascii="Arial" w:eastAsia="黑体" w:cs="Times New Roman"/>
          <w:sz w:val="32"/>
          <w:szCs w:val="32"/>
        </w:rPr>
        <w:br w:type="page"/>
      </w:r>
    </w:p>
    <w:p w14:paraId="5029CB3B">
      <w:pPr>
        <w:pStyle w:val="3"/>
        <w:keepNext w:val="0"/>
        <w:spacing w:before="260" w:after="260" w:line="413" w:lineRule="auto"/>
        <w:jc w:val="center"/>
        <w:rPr>
          <w:rFonts w:ascii="Arial" w:eastAsia="黑体" w:cs="Times New Roman"/>
          <w:sz w:val="32"/>
          <w:szCs w:val="32"/>
        </w:rPr>
      </w:pPr>
      <w:bookmarkStart w:id="148" w:name="_Toc31187"/>
      <w:r>
        <w:rPr>
          <w:rFonts w:hint="eastAsia" w:ascii="Arial" w:eastAsia="黑体" w:cs="Times New Roman"/>
          <w:sz w:val="32"/>
          <w:szCs w:val="32"/>
        </w:rPr>
        <w:t>五、项目管理机构</w:t>
      </w:r>
      <w:bookmarkEnd w:id="145"/>
      <w:bookmarkEnd w:id="146"/>
      <w:bookmarkEnd w:id="148"/>
      <w:bookmarkStart w:id="149" w:name="_Toc38285155"/>
      <w:bookmarkStart w:id="150" w:name="_Toc18247008"/>
      <w:bookmarkStart w:id="151" w:name="_Toc38285417"/>
      <w:bookmarkStart w:id="152" w:name="_Toc16159388"/>
    </w:p>
    <w:p w14:paraId="00384E7D">
      <w:pPr>
        <w:pStyle w:val="3"/>
        <w:keepNext w:val="0"/>
        <w:spacing w:before="260" w:after="260" w:line="413" w:lineRule="auto"/>
        <w:jc w:val="left"/>
        <w:rPr>
          <w:rFonts w:ascii="Arial" w:eastAsia="黑体" w:cs="Times New Roman"/>
          <w:sz w:val="32"/>
          <w:szCs w:val="32"/>
          <w:highlight w:val="none"/>
        </w:rPr>
      </w:pPr>
      <w:bookmarkStart w:id="153" w:name="_Toc19549"/>
      <w:r>
        <w:rPr>
          <w:rFonts w:hint="eastAsia" w:hAnsi="宋体"/>
          <w:highlight w:val="none"/>
        </w:rPr>
        <w:t>（一）项目管理机构组成表</w:t>
      </w:r>
      <w:bookmarkEnd w:id="149"/>
      <w:bookmarkEnd w:id="150"/>
      <w:bookmarkEnd w:id="151"/>
      <w:bookmarkEnd w:id="152"/>
      <w:bookmarkEnd w:id="153"/>
    </w:p>
    <w:tbl>
      <w:tblPr>
        <w:tblStyle w:val="49"/>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54"/>
        <w:gridCol w:w="941"/>
        <w:gridCol w:w="1016"/>
        <w:gridCol w:w="1279"/>
        <w:gridCol w:w="964"/>
        <w:gridCol w:w="1465"/>
        <w:gridCol w:w="1113"/>
        <w:gridCol w:w="1186"/>
        <w:gridCol w:w="586"/>
      </w:tblGrid>
      <w:tr w14:paraId="5B9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85" w:type="dxa"/>
            <w:vMerge w:val="restart"/>
            <w:vAlign w:val="center"/>
          </w:tcPr>
          <w:p w14:paraId="11D6BFA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序号</w:t>
            </w:r>
          </w:p>
        </w:tc>
        <w:tc>
          <w:tcPr>
            <w:tcW w:w="954" w:type="dxa"/>
            <w:vMerge w:val="restart"/>
            <w:vAlign w:val="center"/>
          </w:tcPr>
          <w:p w14:paraId="47C3D97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职务</w:t>
            </w:r>
          </w:p>
        </w:tc>
        <w:tc>
          <w:tcPr>
            <w:tcW w:w="941" w:type="dxa"/>
            <w:vMerge w:val="restart"/>
            <w:vAlign w:val="center"/>
          </w:tcPr>
          <w:p w14:paraId="3033856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姓名</w:t>
            </w:r>
          </w:p>
        </w:tc>
        <w:tc>
          <w:tcPr>
            <w:tcW w:w="1016" w:type="dxa"/>
            <w:vMerge w:val="restart"/>
            <w:vAlign w:val="center"/>
          </w:tcPr>
          <w:p w14:paraId="3FD44439">
            <w:pPr>
              <w:spacing w:line="360" w:lineRule="auto"/>
              <w:jc w:val="center"/>
              <w:rPr>
                <w:rFonts w:ascii="宋体" w:hAnsi="宋体" w:cs="宋体"/>
                <w:sz w:val="24"/>
                <w:szCs w:val="24"/>
              </w:rPr>
            </w:pPr>
            <w:r>
              <w:rPr>
                <w:rFonts w:hint="eastAsia" w:ascii="宋体" w:hAnsi="宋体" w:cs="宋体"/>
                <w:sz w:val="24"/>
                <w:szCs w:val="24"/>
              </w:rPr>
              <w:t>职称</w:t>
            </w:r>
          </w:p>
        </w:tc>
        <w:tc>
          <w:tcPr>
            <w:tcW w:w="4821" w:type="dxa"/>
            <w:gridSpan w:val="4"/>
            <w:vAlign w:val="center"/>
          </w:tcPr>
          <w:p w14:paraId="74030737">
            <w:pPr>
              <w:spacing w:line="360" w:lineRule="auto"/>
              <w:jc w:val="center"/>
              <w:rPr>
                <w:rFonts w:hint="eastAsia" w:ascii="宋体" w:hAnsi="宋体" w:cs="宋体"/>
                <w:sz w:val="24"/>
                <w:szCs w:val="24"/>
              </w:rPr>
            </w:pPr>
            <w:r>
              <w:rPr>
                <w:rFonts w:hint="eastAsia" w:ascii="宋体" w:hAnsi="宋体" w:cs="宋体"/>
                <w:sz w:val="24"/>
                <w:szCs w:val="24"/>
              </w:rPr>
              <w:t>执业或职业资格证明</w:t>
            </w:r>
          </w:p>
        </w:tc>
        <w:tc>
          <w:tcPr>
            <w:tcW w:w="1186" w:type="dxa"/>
            <w:vAlign w:val="center"/>
          </w:tcPr>
          <w:p w14:paraId="4CB3B95D">
            <w:pPr>
              <w:spacing w:line="240" w:lineRule="auto"/>
              <w:jc w:val="center"/>
              <w:rPr>
                <w:rFonts w:ascii="宋体" w:hAnsi="宋体" w:cs="宋体"/>
                <w:sz w:val="24"/>
                <w:szCs w:val="24"/>
              </w:rPr>
            </w:pPr>
            <w:r>
              <w:rPr>
                <w:rFonts w:hint="eastAsia" w:ascii="宋体" w:hAnsi="宋体" w:cs="宋体"/>
                <w:sz w:val="24"/>
                <w:szCs w:val="24"/>
              </w:rPr>
              <w:t>养老</w:t>
            </w:r>
          </w:p>
          <w:p w14:paraId="6F2EF143">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rPr>
              <w:t>保险</w:t>
            </w:r>
            <w:r>
              <w:rPr>
                <w:rFonts w:hint="eastAsia" w:ascii="宋体" w:hAnsi="宋体" w:cs="宋体"/>
                <w:sz w:val="24"/>
                <w:szCs w:val="24"/>
                <w:lang w:val="en-US" w:eastAsia="zh-CN"/>
              </w:rPr>
              <w:t>缴纳情况</w:t>
            </w:r>
          </w:p>
        </w:tc>
        <w:tc>
          <w:tcPr>
            <w:tcW w:w="586" w:type="dxa"/>
            <w:vAlign w:val="center"/>
          </w:tcPr>
          <w:p w14:paraId="6BAB0F52">
            <w:pPr>
              <w:spacing w:line="360" w:lineRule="auto"/>
              <w:jc w:val="center"/>
              <w:rPr>
                <w:rFonts w:ascii="宋体" w:hAnsi="宋体" w:cs="宋体"/>
                <w:sz w:val="24"/>
                <w:szCs w:val="24"/>
              </w:rPr>
            </w:pPr>
            <w:r>
              <w:rPr>
                <w:rFonts w:hint="eastAsia" w:ascii="宋体" w:hAnsi="宋体" w:cs="宋体"/>
                <w:sz w:val="24"/>
                <w:szCs w:val="24"/>
              </w:rPr>
              <w:t>备注</w:t>
            </w:r>
          </w:p>
        </w:tc>
      </w:tr>
      <w:tr w14:paraId="17F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85" w:type="dxa"/>
            <w:vMerge w:val="continue"/>
            <w:vAlign w:val="center"/>
          </w:tcPr>
          <w:p w14:paraId="4CAB92ED">
            <w:pPr>
              <w:spacing w:line="360" w:lineRule="auto"/>
              <w:jc w:val="center"/>
              <w:rPr>
                <w:rFonts w:ascii="宋体" w:hAnsi="宋体" w:cs="宋体"/>
                <w:sz w:val="24"/>
                <w:szCs w:val="24"/>
              </w:rPr>
            </w:pPr>
          </w:p>
        </w:tc>
        <w:tc>
          <w:tcPr>
            <w:tcW w:w="954" w:type="dxa"/>
            <w:vMerge w:val="continue"/>
            <w:vAlign w:val="center"/>
          </w:tcPr>
          <w:p w14:paraId="725B3584">
            <w:pPr>
              <w:spacing w:line="360" w:lineRule="auto"/>
              <w:jc w:val="center"/>
              <w:rPr>
                <w:rFonts w:ascii="宋体" w:hAnsi="宋体" w:cs="宋体"/>
                <w:sz w:val="24"/>
                <w:szCs w:val="24"/>
              </w:rPr>
            </w:pPr>
          </w:p>
        </w:tc>
        <w:tc>
          <w:tcPr>
            <w:tcW w:w="941" w:type="dxa"/>
            <w:vMerge w:val="continue"/>
            <w:vAlign w:val="center"/>
          </w:tcPr>
          <w:p w14:paraId="2B320BB3">
            <w:pPr>
              <w:spacing w:line="360" w:lineRule="auto"/>
              <w:jc w:val="center"/>
              <w:rPr>
                <w:rFonts w:ascii="宋体" w:hAnsi="宋体" w:cs="宋体"/>
                <w:sz w:val="24"/>
                <w:szCs w:val="24"/>
              </w:rPr>
            </w:pPr>
          </w:p>
        </w:tc>
        <w:tc>
          <w:tcPr>
            <w:tcW w:w="1016" w:type="dxa"/>
            <w:vMerge w:val="continue"/>
            <w:vAlign w:val="center"/>
          </w:tcPr>
          <w:p w14:paraId="1F8FCA34">
            <w:pPr>
              <w:spacing w:line="360" w:lineRule="auto"/>
              <w:jc w:val="center"/>
              <w:rPr>
                <w:rFonts w:ascii="宋体" w:hAnsi="宋体" w:cs="宋体"/>
                <w:sz w:val="24"/>
                <w:szCs w:val="24"/>
              </w:rPr>
            </w:pPr>
          </w:p>
        </w:tc>
        <w:tc>
          <w:tcPr>
            <w:tcW w:w="1279" w:type="dxa"/>
            <w:vAlign w:val="center"/>
          </w:tcPr>
          <w:p w14:paraId="0D31A7F2">
            <w:pPr>
              <w:spacing w:line="360" w:lineRule="auto"/>
              <w:jc w:val="center"/>
              <w:rPr>
                <w:rFonts w:ascii="宋体" w:hAnsi="宋体" w:cs="宋体"/>
                <w:sz w:val="24"/>
                <w:szCs w:val="24"/>
              </w:rPr>
            </w:pPr>
            <w:r>
              <w:rPr>
                <w:rFonts w:hint="eastAsia" w:ascii="宋体" w:hAnsi="宋体" w:cs="宋体"/>
                <w:sz w:val="24"/>
                <w:szCs w:val="24"/>
              </w:rPr>
              <w:t>证书名称</w:t>
            </w:r>
          </w:p>
        </w:tc>
        <w:tc>
          <w:tcPr>
            <w:tcW w:w="964" w:type="dxa"/>
            <w:vAlign w:val="center"/>
          </w:tcPr>
          <w:p w14:paraId="58CAFDC3">
            <w:pPr>
              <w:spacing w:line="360" w:lineRule="auto"/>
              <w:jc w:val="center"/>
              <w:rPr>
                <w:rFonts w:ascii="宋体" w:hAnsi="宋体" w:cs="宋体"/>
                <w:sz w:val="24"/>
                <w:szCs w:val="24"/>
              </w:rPr>
            </w:pPr>
            <w:r>
              <w:rPr>
                <w:rFonts w:hint="eastAsia" w:ascii="宋体" w:hAnsi="宋体" w:cs="宋体"/>
                <w:sz w:val="24"/>
                <w:szCs w:val="24"/>
              </w:rPr>
              <w:t>级别</w:t>
            </w:r>
          </w:p>
        </w:tc>
        <w:tc>
          <w:tcPr>
            <w:tcW w:w="1465" w:type="dxa"/>
            <w:vAlign w:val="center"/>
          </w:tcPr>
          <w:p w14:paraId="3DF84051">
            <w:pPr>
              <w:spacing w:line="360" w:lineRule="auto"/>
              <w:jc w:val="center"/>
              <w:rPr>
                <w:rFonts w:ascii="宋体" w:hAnsi="宋体" w:cs="宋体"/>
                <w:sz w:val="24"/>
                <w:szCs w:val="24"/>
              </w:rPr>
            </w:pPr>
            <w:r>
              <w:rPr>
                <w:rFonts w:hint="eastAsia" w:ascii="宋体" w:hAnsi="宋体" w:cs="宋体"/>
                <w:sz w:val="24"/>
                <w:szCs w:val="24"/>
              </w:rPr>
              <w:t>证号</w:t>
            </w:r>
          </w:p>
        </w:tc>
        <w:tc>
          <w:tcPr>
            <w:tcW w:w="1113" w:type="dxa"/>
            <w:vAlign w:val="center"/>
          </w:tcPr>
          <w:p w14:paraId="5BA62558">
            <w:pPr>
              <w:spacing w:line="360" w:lineRule="auto"/>
              <w:jc w:val="center"/>
              <w:rPr>
                <w:rFonts w:ascii="宋体" w:hAnsi="宋体" w:cs="宋体"/>
                <w:sz w:val="24"/>
                <w:szCs w:val="24"/>
              </w:rPr>
            </w:pPr>
            <w:r>
              <w:rPr>
                <w:rFonts w:hint="eastAsia" w:ascii="宋体" w:hAnsi="宋体" w:cs="宋体"/>
                <w:sz w:val="24"/>
                <w:szCs w:val="24"/>
              </w:rPr>
              <w:t>专业</w:t>
            </w:r>
          </w:p>
        </w:tc>
        <w:tc>
          <w:tcPr>
            <w:tcW w:w="1186" w:type="dxa"/>
            <w:vAlign w:val="center"/>
          </w:tcPr>
          <w:p w14:paraId="36861AEE">
            <w:pPr>
              <w:jc w:val="center"/>
              <w:rPr>
                <w:rFonts w:ascii="宋体" w:hAnsi="宋体" w:cs="宋体"/>
                <w:sz w:val="24"/>
                <w:szCs w:val="24"/>
              </w:rPr>
            </w:pPr>
          </w:p>
        </w:tc>
        <w:tc>
          <w:tcPr>
            <w:tcW w:w="586" w:type="dxa"/>
            <w:vAlign w:val="center"/>
          </w:tcPr>
          <w:p w14:paraId="1431EE7A">
            <w:pPr>
              <w:spacing w:line="360" w:lineRule="auto"/>
              <w:jc w:val="center"/>
              <w:rPr>
                <w:rFonts w:ascii="宋体" w:hAnsi="宋体" w:cs="宋体"/>
                <w:sz w:val="24"/>
                <w:szCs w:val="24"/>
              </w:rPr>
            </w:pPr>
          </w:p>
        </w:tc>
      </w:tr>
      <w:tr w14:paraId="1ADA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9F9456B">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954" w:type="dxa"/>
            <w:vAlign w:val="center"/>
          </w:tcPr>
          <w:p w14:paraId="6C17C79A">
            <w:pPr>
              <w:adjustRightInd w:val="0"/>
              <w:snapToGrid w:val="0"/>
              <w:jc w:val="center"/>
              <w:rPr>
                <w:rFonts w:ascii="宋体" w:hAnsi="宋体" w:cs="宋体"/>
                <w:sz w:val="24"/>
                <w:szCs w:val="24"/>
              </w:rPr>
            </w:pPr>
          </w:p>
        </w:tc>
        <w:tc>
          <w:tcPr>
            <w:tcW w:w="941" w:type="dxa"/>
            <w:vAlign w:val="center"/>
          </w:tcPr>
          <w:p w14:paraId="2F8B6581">
            <w:pPr>
              <w:adjustRightInd w:val="0"/>
              <w:snapToGrid w:val="0"/>
              <w:jc w:val="center"/>
              <w:rPr>
                <w:rFonts w:ascii="宋体" w:hAnsi="宋体" w:cs="宋体"/>
                <w:sz w:val="24"/>
                <w:szCs w:val="24"/>
              </w:rPr>
            </w:pPr>
          </w:p>
        </w:tc>
        <w:tc>
          <w:tcPr>
            <w:tcW w:w="1016" w:type="dxa"/>
            <w:vAlign w:val="center"/>
          </w:tcPr>
          <w:p w14:paraId="49FC8B3B">
            <w:pPr>
              <w:adjustRightInd w:val="0"/>
              <w:snapToGrid w:val="0"/>
              <w:jc w:val="center"/>
              <w:rPr>
                <w:rFonts w:ascii="宋体" w:hAnsi="宋体" w:cs="宋体"/>
                <w:sz w:val="24"/>
                <w:szCs w:val="24"/>
              </w:rPr>
            </w:pPr>
          </w:p>
        </w:tc>
        <w:tc>
          <w:tcPr>
            <w:tcW w:w="1279" w:type="dxa"/>
            <w:vAlign w:val="center"/>
          </w:tcPr>
          <w:p w14:paraId="06B6B822">
            <w:pPr>
              <w:adjustRightInd w:val="0"/>
              <w:snapToGrid w:val="0"/>
              <w:jc w:val="center"/>
              <w:rPr>
                <w:rFonts w:ascii="宋体" w:hAnsi="宋体" w:cs="宋体"/>
                <w:sz w:val="24"/>
                <w:szCs w:val="24"/>
              </w:rPr>
            </w:pPr>
          </w:p>
        </w:tc>
        <w:tc>
          <w:tcPr>
            <w:tcW w:w="964" w:type="dxa"/>
            <w:vAlign w:val="center"/>
          </w:tcPr>
          <w:p w14:paraId="36A34EF7">
            <w:pPr>
              <w:adjustRightInd w:val="0"/>
              <w:snapToGrid w:val="0"/>
              <w:jc w:val="center"/>
              <w:rPr>
                <w:rFonts w:ascii="宋体" w:hAnsi="宋体" w:cs="宋体"/>
                <w:sz w:val="24"/>
                <w:szCs w:val="24"/>
              </w:rPr>
            </w:pPr>
          </w:p>
        </w:tc>
        <w:tc>
          <w:tcPr>
            <w:tcW w:w="1465" w:type="dxa"/>
            <w:vAlign w:val="center"/>
          </w:tcPr>
          <w:p w14:paraId="17728177">
            <w:pPr>
              <w:adjustRightInd w:val="0"/>
              <w:snapToGrid w:val="0"/>
              <w:jc w:val="center"/>
              <w:rPr>
                <w:rFonts w:ascii="宋体" w:hAnsi="宋体" w:cs="宋体"/>
                <w:sz w:val="24"/>
                <w:szCs w:val="24"/>
              </w:rPr>
            </w:pPr>
          </w:p>
        </w:tc>
        <w:tc>
          <w:tcPr>
            <w:tcW w:w="1113" w:type="dxa"/>
            <w:vAlign w:val="center"/>
          </w:tcPr>
          <w:p w14:paraId="135C51E6">
            <w:pPr>
              <w:adjustRightInd w:val="0"/>
              <w:snapToGrid w:val="0"/>
              <w:jc w:val="center"/>
              <w:rPr>
                <w:rFonts w:ascii="宋体" w:hAnsi="宋体" w:cs="宋体"/>
                <w:sz w:val="24"/>
                <w:szCs w:val="24"/>
              </w:rPr>
            </w:pPr>
          </w:p>
        </w:tc>
        <w:tc>
          <w:tcPr>
            <w:tcW w:w="1186" w:type="dxa"/>
            <w:vAlign w:val="center"/>
          </w:tcPr>
          <w:p w14:paraId="44D5701A">
            <w:pPr>
              <w:adjustRightInd w:val="0"/>
              <w:snapToGrid w:val="0"/>
              <w:jc w:val="center"/>
              <w:rPr>
                <w:rFonts w:ascii="宋体" w:hAnsi="宋体" w:cs="宋体"/>
                <w:sz w:val="24"/>
                <w:szCs w:val="24"/>
              </w:rPr>
            </w:pPr>
          </w:p>
        </w:tc>
        <w:tc>
          <w:tcPr>
            <w:tcW w:w="586" w:type="dxa"/>
            <w:vAlign w:val="center"/>
          </w:tcPr>
          <w:p w14:paraId="1F918883">
            <w:pPr>
              <w:adjustRightInd w:val="0"/>
              <w:snapToGrid w:val="0"/>
              <w:jc w:val="center"/>
              <w:rPr>
                <w:rFonts w:ascii="宋体" w:hAnsi="宋体" w:cs="宋体"/>
                <w:sz w:val="24"/>
                <w:szCs w:val="24"/>
              </w:rPr>
            </w:pPr>
          </w:p>
        </w:tc>
      </w:tr>
      <w:tr w14:paraId="4D3D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BB472B1">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954" w:type="dxa"/>
            <w:vAlign w:val="center"/>
          </w:tcPr>
          <w:p w14:paraId="7F875FCE">
            <w:pPr>
              <w:adjustRightInd w:val="0"/>
              <w:snapToGrid w:val="0"/>
              <w:jc w:val="center"/>
              <w:rPr>
                <w:rFonts w:ascii="宋体" w:hAnsi="宋体" w:cs="宋体"/>
                <w:sz w:val="24"/>
                <w:szCs w:val="24"/>
              </w:rPr>
            </w:pPr>
          </w:p>
        </w:tc>
        <w:tc>
          <w:tcPr>
            <w:tcW w:w="941" w:type="dxa"/>
            <w:vAlign w:val="center"/>
          </w:tcPr>
          <w:p w14:paraId="4B3C081B">
            <w:pPr>
              <w:adjustRightInd w:val="0"/>
              <w:snapToGrid w:val="0"/>
              <w:jc w:val="center"/>
              <w:rPr>
                <w:rFonts w:ascii="宋体" w:hAnsi="宋体" w:cs="宋体"/>
                <w:sz w:val="24"/>
                <w:szCs w:val="24"/>
              </w:rPr>
            </w:pPr>
          </w:p>
        </w:tc>
        <w:tc>
          <w:tcPr>
            <w:tcW w:w="1016" w:type="dxa"/>
            <w:vAlign w:val="center"/>
          </w:tcPr>
          <w:p w14:paraId="53E1DC2E">
            <w:pPr>
              <w:adjustRightInd w:val="0"/>
              <w:snapToGrid w:val="0"/>
              <w:jc w:val="center"/>
              <w:rPr>
                <w:rFonts w:ascii="宋体" w:hAnsi="宋体" w:cs="宋体"/>
                <w:sz w:val="24"/>
                <w:szCs w:val="24"/>
              </w:rPr>
            </w:pPr>
          </w:p>
        </w:tc>
        <w:tc>
          <w:tcPr>
            <w:tcW w:w="1279" w:type="dxa"/>
            <w:vAlign w:val="center"/>
          </w:tcPr>
          <w:p w14:paraId="14A06C46">
            <w:pPr>
              <w:adjustRightInd w:val="0"/>
              <w:snapToGrid w:val="0"/>
              <w:jc w:val="center"/>
              <w:rPr>
                <w:rFonts w:ascii="宋体" w:hAnsi="宋体" w:cs="宋体"/>
                <w:sz w:val="24"/>
                <w:szCs w:val="24"/>
              </w:rPr>
            </w:pPr>
          </w:p>
        </w:tc>
        <w:tc>
          <w:tcPr>
            <w:tcW w:w="964" w:type="dxa"/>
            <w:vAlign w:val="center"/>
          </w:tcPr>
          <w:p w14:paraId="4070FB10">
            <w:pPr>
              <w:adjustRightInd w:val="0"/>
              <w:snapToGrid w:val="0"/>
              <w:jc w:val="center"/>
              <w:rPr>
                <w:rFonts w:ascii="宋体" w:hAnsi="宋体" w:cs="宋体"/>
                <w:sz w:val="24"/>
                <w:szCs w:val="24"/>
              </w:rPr>
            </w:pPr>
          </w:p>
        </w:tc>
        <w:tc>
          <w:tcPr>
            <w:tcW w:w="1465" w:type="dxa"/>
            <w:vAlign w:val="center"/>
          </w:tcPr>
          <w:p w14:paraId="276B3D5D">
            <w:pPr>
              <w:adjustRightInd w:val="0"/>
              <w:snapToGrid w:val="0"/>
              <w:jc w:val="center"/>
              <w:rPr>
                <w:rFonts w:ascii="宋体" w:hAnsi="宋体" w:cs="宋体"/>
                <w:sz w:val="24"/>
                <w:szCs w:val="24"/>
              </w:rPr>
            </w:pPr>
          </w:p>
        </w:tc>
        <w:tc>
          <w:tcPr>
            <w:tcW w:w="1113" w:type="dxa"/>
            <w:vAlign w:val="center"/>
          </w:tcPr>
          <w:p w14:paraId="455E7F01">
            <w:pPr>
              <w:adjustRightInd w:val="0"/>
              <w:snapToGrid w:val="0"/>
              <w:jc w:val="center"/>
              <w:rPr>
                <w:rFonts w:ascii="宋体" w:hAnsi="宋体" w:cs="宋体"/>
                <w:sz w:val="24"/>
                <w:szCs w:val="24"/>
              </w:rPr>
            </w:pPr>
          </w:p>
        </w:tc>
        <w:tc>
          <w:tcPr>
            <w:tcW w:w="1186" w:type="dxa"/>
            <w:vAlign w:val="center"/>
          </w:tcPr>
          <w:p w14:paraId="78FF26F6">
            <w:pPr>
              <w:adjustRightInd w:val="0"/>
              <w:snapToGrid w:val="0"/>
              <w:jc w:val="center"/>
              <w:rPr>
                <w:rFonts w:ascii="宋体" w:hAnsi="宋体" w:cs="宋体"/>
                <w:sz w:val="24"/>
                <w:szCs w:val="24"/>
              </w:rPr>
            </w:pPr>
          </w:p>
        </w:tc>
        <w:tc>
          <w:tcPr>
            <w:tcW w:w="586" w:type="dxa"/>
            <w:vAlign w:val="center"/>
          </w:tcPr>
          <w:p w14:paraId="7B5B2D66">
            <w:pPr>
              <w:adjustRightInd w:val="0"/>
              <w:snapToGrid w:val="0"/>
              <w:jc w:val="center"/>
              <w:rPr>
                <w:rFonts w:ascii="宋体" w:hAnsi="宋体" w:cs="宋体"/>
                <w:sz w:val="24"/>
                <w:szCs w:val="24"/>
              </w:rPr>
            </w:pPr>
          </w:p>
        </w:tc>
      </w:tr>
      <w:tr w14:paraId="173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3221AC7F">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954" w:type="dxa"/>
            <w:vAlign w:val="center"/>
          </w:tcPr>
          <w:p w14:paraId="2CEB6614">
            <w:pPr>
              <w:adjustRightInd w:val="0"/>
              <w:snapToGrid w:val="0"/>
              <w:jc w:val="center"/>
              <w:rPr>
                <w:rFonts w:ascii="宋体" w:hAnsi="宋体" w:cs="宋体"/>
                <w:sz w:val="24"/>
                <w:szCs w:val="24"/>
              </w:rPr>
            </w:pPr>
          </w:p>
        </w:tc>
        <w:tc>
          <w:tcPr>
            <w:tcW w:w="941" w:type="dxa"/>
            <w:vAlign w:val="center"/>
          </w:tcPr>
          <w:p w14:paraId="51FD00B8">
            <w:pPr>
              <w:adjustRightInd w:val="0"/>
              <w:snapToGrid w:val="0"/>
              <w:jc w:val="center"/>
              <w:rPr>
                <w:rFonts w:ascii="宋体" w:hAnsi="宋体" w:cs="宋体"/>
                <w:sz w:val="24"/>
                <w:szCs w:val="24"/>
              </w:rPr>
            </w:pPr>
          </w:p>
        </w:tc>
        <w:tc>
          <w:tcPr>
            <w:tcW w:w="1016" w:type="dxa"/>
            <w:vAlign w:val="center"/>
          </w:tcPr>
          <w:p w14:paraId="16029462">
            <w:pPr>
              <w:adjustRightInd w:val="0"/>
              <w:snapToGrid w:val="0"/>
              <w:jc w:val="center"/>
              <w:rPr>
                <w:rFonts w:ascii="宋体" w:hAnsi="宋体" w:cs="宋体"/>
                <w:sz w:val="24"/>
                <w:szCs w:val="24"/>
              </w:rPr>
            </w:pPr>
          </w:p>
        </w:tc>
        <w:tc>
          <w:tcPr>
            <w:tcW w:w="1279" w:type="dxa"/>
            <w:vAlign w:val="center"/>
          </w:tcPr>
          <w:p w14:paraId="4A06BC13">
            <w:pPr>
              <w:adjustRightInd w:val="0"/>
              <w:snapToGrid w:val="0"/>
              <w:jc w:val="center"/>
              <w:rPr>
                <w:rFonts w:ascii="宋体" w:hAnsi="宋体" w:cs="宋体"/>
                <w:sz w:val="24"/>
                <w:szCs w:val="24"/>
              </w:rPr>
            </w:pPr>
          </w:p>
        </w:tc>
        <w:tc>
          <w:tcPr>
            <w:tcW w:w="964" w:type="dxa"/>
            <w:vAlign w:val="center"/>
          </w:tcPr>
          <w:p w14:paraId="05E0612B">
            <w:pPr>
              <w:adjustRightInd w:val="0"/>
              <w:snapToGrid w:val="0"/>
              <w:jc w:val="center"/>
              <w:rPr>
                <w:rFonts w:ascii="宋体" w:hAnsi="宋体" w:cs="宋体"/>
                <w:sz w:val="24"/>
                <w:szCs w:val="24"/>
              </w:rPr>
            </w:pPr>
          </w:p>
        </w:tc>
        <w:tc>
          <w:tcPr>
            <w:tcW w:w="1465" w:type="dxa"/>
            <w:vAlign w:val="center"/>
          </w:tcPr>
          <w:p w14:paraId="54F9E90F">
            <w:pPr>
              <w:adjustRightInd w:val="0"/>
              <w:snapToGrid w:val="0"/>
              <w:jc w:val="center"/>
              <w:rPr>
                <w:rFonts w:ascii="宋体" w:hAnsi="宋体" w:cs="宋体"/>
                <w:sz w:val="24"/>
                <w:szCs w:val="24"/>
              </w:rPr>
            </w:pPr>
          </w:p>
        </w:tc>
        <w:tc>
          <w:tcPr>
            <w:tcW w:w="1113" w:type="dxa"/>
            <w:vAlign w:val="center"/>
          </w:tcPr>
          <w:p w14:paraId="7DBB08E3">
            <w:pPr>
              <w:adjustRightInd w:val="0"/>
              <w:snapToGrid w:val="0"/>
              <w:jc w:val="center"/>
              <w:rPr>
                <w:rFonts w:ascii="宋体" w:hAnsi="宋体" w:cs="宋体"/>
                <w:sz w:val="24"/>
                <w:szCs w:val="24"/>
              </w:rPr>
            </w:pPr>
          </w:p>
        </w:tc>
        <w:tc>
          <w:tcPr>
            <w:tcW w:w="1186" w:type="dxa"/>
            <w:vAlign w:val="center"/>
          </w:tcPr>
          <w:p w14:paraId="4D0031CD">
            <w:pPr>
              <w:adjustRightInd w:val="0"/>
              <w:snapToGrid w:val="0"/>
              <w:jc w:val="center"/>
              <w:rPr>
                <w:rFonts w:ascii="宋体" w:hAnsi="宋体" w:cs="宋体"/>
                <w:sz w:val="24"/>
                <w:szCs w:val="24"/>
              </w:rPr>
            </w:pPr>
          </w:p>
        </w:tc>
        <w:tc>
          <w:tcPr>
            <w:tcW w:w="586" w:type="dxa"/>
            <w:vAlign w:val="center"/>
          </w:tcPr>
          <w:p w14:paraId="5867EA1E">
            <w:pPr>
              <w:adjustRightInd w:val="0"/>
              <w:snapToGrid w:val="0"/>
              <w:jc w:val="center"/>
              <w:rPr>
                <w:rFonts w:ascii="宋体" w:hAnsi="宋体" w:cs="宋体"/>
                <w:sz w:val="24"/>
                <w:szCs w:val="24"/>
              </w:rPr>
            </w:pPr>
          </w:p>
        </w:tc>
      </w:tr>
      <w:tr w14:paraId="737E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DDB9A09">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954" w:type="dxa"/>
            <w:vAlign w:val="center"/>
          </w:tcPr>
          <w:p w14:paraId="3BED9917">
            <w:pPr>
              <w:adjustRightInd w:val="0"/>
              <w:snapToGrid w:val="0"/>
              <w:jc w:val="center"/>
              <w:rPr>
                <w:rFonts w:ascii="宋体" w:hAnsi="宋体" w:cs="宋体"/>
                <w:sz w:val="24"/>
                <w:szCs w:val="24"/>
              </w:rPr>
            </w:pPr>
          </w:p>
        </w:tc>
        <w:tc>
          <w:tcPr>
            <w:tcW w:w="941" w:type="dxa"/>
            <w:vAlign w:val="center"/>
          </w:tcPr>
          <w:p w14:paraId="2061B242">
            <w:pPr>
              <w:adjustRightInd w:val="0"/>
              <w:snapToGrid w:val="0"/>
              <w:jc w:val="center"/>
              <w:rPr>
                <w:rFonts w:ascii="宋体" w:hAnsi="宋体" w:cs="宋体"/>
                <w:sz w:val="24"/>
                <w:szCs w:val="24"/>
              </w:rPr>
            </w:pPr>
          </w:p>
        </w:tc>
        <w:tc>
          <w:tcPr>
            <w:tcW w:w="1016" w:type="dxa"/>
            <w:vAlign w:val="center"/>
          </w:tcPr>
          <w:p w14:paraId="3B319980">
            <w:pPr>
              <w:adjustRightInd w:val="0"/>
              <w:snapToGrid w:val="0"/>
              <w:jc w:val="center"/>
              <w:rPr>
                <w:rFonts w:ascii="宋体" w:hAnsi="宋体" w:cs="宋体"/>
                <w:sz w:val="24"/>
                <w:szCs w:val="24"/>
              </w:rPr>
            </w:pPr>
          </w:p>
        </w:tc>
        <w:tc>
          <w:tcPr>
            <w:tcW w:w="1279" w:type="dxa"/>
            <w:vAlign w:val="center"/>
          </w:tcPr>
          <w:p w14:paraId="00CCFD47">
            <w:pPr>
              <w:adjustRightInd w:val="0"/>
              <w:snapToGrid w:val="0"/>
              <w:jc w:val="center"/>
              <w:rPr>
                <w:rFonts w:ascii="宋体" w:hAnsi="宋体" w:cs="宋体"/>
                <w:sz w:val="24"/>
                <w:szCs w:val="24"/>
              </w:rPr>
            </w:pPr>
          </w:p>
        </w:tc>
        <w:tc>
          <w:tcPr>
            <w:tcW w:w="964" w:type="dxa"/>
            <w:vAlign w:val="center"/>
          </w:tcPr>
          <w:p w14:paraId="0DD10A1C">
            <w:pPr>
              <w:adjustRightInd w:val="0"/>
              <w:snapToGrid w:val="0"/>
              <w:jc w:val="center"/>
              <w:rPr>
                <w:rFonts w:ascii="宋体" w:hAnsi="宋体" w:cs="宋体"/>
                <w:sz w:val="24"/>
                <w:szCs w:val="24"/>
              </w:rPr>
            </w:pPr>
          </w:p>
        </w:tc>
        <w:tc>
          <w:tcPr>
            <w:tcW w:w="1465" w:type="dxa"/>
            <w:vAlign w:val="center"/>
          </w:tcPr>
          <w:p w14:paraId="61320841">
            <w:pPr>
              <w:adjustRightInd w:val="0"/>
              <w:snapToGrid w:val="0"/>
              <w:jc w:val="center"/>
              <w:rPr>
                <w:rFonts w:ascii="宋体" w:hAnsi="宋体" w:cs="宋体"/>
                <w:sz w:val="24"/>
                <w:szCs w:val="24"/>
              </w:rPr>
            </w:pPr>
          </w:p>
        </w:tc>
        <w:tc>
          <w:tcPr>
            <w:tcW w:w="1113" w:type="dxa"/>
            <w:vAlign w:val="center"/>
          </w:tcPr>
          <w:p w14:paraId="2A631F47">
            <w:pPr>
              <w:adjustRightInd w:val="0"/>
              <w:snapToGrid w:val="0"/>
              <w:jc w:val="center"/>
              <w:rPr>
                <w:rFonts w:ascii="宋体" w:hAnsi="宋体" w:cs="宋体"/>
                <w:sz w:val="24"/>
                <w:szCs w:val="24"/>
              </w:rPr>
            </w:pPr>
          </w:p>
        </w:tc>
        <w:tc>
          <w:tcPr>
            <w:tcW w:w="1186" w:type="dxa"/>
            <w:vAlign w:val="center"/>
          </w:tcPr>
          <w:p w14:paraId="1717A2F6">
            <w:pPr>
              <w:adjustRightInd w:val="0"/>
              <w:snapToGrid w:val="0"/>
              <w:jc w:val="center"/>
              <w:rPr>
                <w:rFonts w:ascii="宋体" w:hAnsi="宋体" w:cs="宋体"/>
                <w:sz w:val="24"/>
                <w:szCs w:val="24"/>
              </w:rPr>
            </w:pPr>
          </w:p>
        </w:tc>
        <w:tc>
          <w:tcPr>
            <w:tcW w:w="586" w:type="dxa"/>
            <w:vAlign w:val="center"/>
          </w:tcPr>
          <w:p w14:paraId="5985A9A5">
            <w:pPr>
              <w:adjustRightInd w:val="0"/>
              <w:snapToGrid w:val="0"/>
              <w:jc w:val="center"/>
              <w:rPr>
                <w:rFonts w:ascii="宋体" w:hAnsi="宋体" w:cs="宋体"/>
                <w:sz w:val="24"/>
                <w:szCs w:val="24"/>
              </w:rPr>
            </w:pPr>
          </w:p>
        </w:tc>
      </w:tr>
      <w:tr w14:paraId="64F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4D299CC">
            <w:pPr>
              <w:adjustRightInd w:val="0"/>
              <w:snapToGrid w:val="0"/>
              <w:jc w:val="center"/>
              <w:rPr>
                <w:rFonts w:hint="default" w:ascii="宋体" w:hAnsi="宋体" w:eastAsia="宋体" w:cs="宋体"/>
                <w:sz w:val="24"/>
                <w:szCs w:val="24"/>
                <w:lang w:val="en-US" w:eastAsia="zh-CN"/>
              </w:rPr>
            </w:pPr>
          </w:p>
        </w:tc>
        <w:tc>
          <w:tcPr>
            <w:tcW w:w="954" w:type="dxa"/>
            <w:vAlign w:val="center"/>
          </w:tcPr>
          <w:p w14:paraId="3AF13BC1">
            <w:pPr>
              <w:adjustRightInd w:val="0"/>
              <w:snapToGrid w:val="0"/>
              <w:jc w:val="center"/>
              <w:rPr>
                <w:rFonts w:ascii="宋体" w:hAnsi="宋体" w:cs="宋体"/>
                <w:sz w:val="24"/>
                <w:szCs w:val="24"/>
              </w:rPr>
            </w:pPr>
          </w:p>
        </w:tc>
        <w:tc>
          <w:tcPr>
            <w:tcW w:w="941" w:type="dxa"/>
            <w:vAlign w:val="center"/>
          </w:tcPr>
          <w:p w14:paraId="21E69044">
            <w:pPr>
              <w:adjustRightInd w:val="0"/>
              <w:snapToGrid w:val="0"/>
              <w:jc w:val="center"/>
              <w:rPr>
                <w:rFonts w:ascii="宋体" w:hAnsi="宋体" w:cs="宋体"/>
                <w:sz w:val="24"/>
                <w:szCs w:val="24"/>
              </w:rPr>
            </w:pPr>
          </w:p>
        </w:tc>
        <w:tc>
          <w:tcPr>
            <w:tcW w:w="1016" w:type="dxa"/>
            <w:vAlign w:val="center"/>
          </w:tcPr>
          <w:p w14:paraId="70CA1AA9">
            <w:pPr>
              <w:adjustRightInd w:val="0"/>
              <w:snapToGrid w:val="0"/>
              <w:jc w:val="center"/>
              <w:rPr>
                <w:rFonts w:ascii="宋体" w:hAnsi="宋体" w:cs="宋体"/>
                <w:sz w:val="24"/>
                <w:szCs w:val="24"/>
              </w:rPr>
            </w:pPr>
          </w:p>
        </w:tc>
        <w:tc>
          <w:tcPr>
            <w:tcW w:w="1279" w:type="dxa"/>
            <w:vAlign w:val="center"/>
          </w:tcPr>
          <w:p w14:paraId="67EB5380">
            <w:pPr>
              <w:adjustRightInd w:val="0"/>
              <w:snapToGrid w:val="0"/>
              <w:jc w:val="center"/>
              <w:rPr>
                <w:rFonts w:ascii="宋体" w:hAnsi="宋体" w:cs="宋体"/>
                <w:sz w:val="24"/>
                <w:szCs w:val="24"/>
              </w:rPr>
            </w:pPr>
          </w:p>
        </w:tc>
        <w:tc>
          <w:tcPr>
            <w:tcW w:w="964" w:type="dxa"/>
            <w:vAlign w:val="center"/>
          </w:tcPr>
          <w:p w14:paraId="0F326AEC">
            <w:pPr>
              <w:adjustRightInd w:val="0"/>
              <w:snapToGrid w:val="0"/>
              <w:jc w:val="center"/>
              <w:rPr>
                <w:rFonts w:ascii="宋体" w:hAnsi="宋体" w:cs="宋体"/>
                <w:sz w:val="24"/>
                <w:szCs w:val="24"/>
              </w:rPr>
            </w:pPr>
          </w:p>
        </w:tc>
        <w:tc>
          <w:tcPr>
            <w:tcW w:w="1465" w:type="dxa"/>
            <w:vAlign w:val="center"/>
          </w:tcPr>
          <w:p w14:paraId="602EC543">
            <w:pPr>
              <w:adjustRightInd w:val="0"/>
              <w:snapToGrid w:val="0"/>
              <w:jc w:val="center"/>
              <w:rPr>
                <w:rFonts w:ascii="宋体" w:hAnsi="宋体" w:cs="宋体"/>
                <w:sz w:val="24"/>
                <w:szCs w:val="24"/>
              </w:rPr>
            </w:pPr>
          </w:p>
        </w:tc>
        <w:tc>
          <w:tcPr>
            <w:tcW w:w="1113" w:type="dxa"/>
            <w:vAlign w:val="center"/>
          </w:tcPr>
          <w:p w14:paraId="2D218D7E">
            <w:pPr>
              <w:adjustRightInd w:val="0"/>
              <w:snapToGrid w:val="0"/>
              <w:jc w:val="center"/>
              <w:rPr>
                <w:rFonts w:ascii="宋体" w:hAnsi="宋体" w:cs="宋体"/>
                <w:sz w:val="24"/>
                <w:szCs w:val="24"/>
              </w:rPr>
            </w:pPr>
          </w:p>
        </w:tc>
        <w:tc>
          <w:tcPr>
            <w:tcW w:w="1186" w:type="dxa"/>
            <w:vAlign w:val="center"/>
          </w:tcPr>
          <w:p w14:paraId="30B38E47">
            <w:pPr>
              <w:adjustRightInd w:val="0"/>
              <w:snapToGrid w:val="0"/>
              <w:jc w:val="center"/>
              <w:rPr>
                <w:rFonts w:ascii="宋体" w:hAnsi="宋体" w:cs="宋体"/>
                <w:sz w:val="24"/>
                <w:szCs w:val="24"/>
              </w:rPr>
            </w:pPr>
          </w:p>
        </w:tc>
        <w:tc>
          <w:tcPr>
            <w:tcW w:w="586" w:type="dxa"/>
            <w:vAlign w:val="center"/>
          </w:tcPr>
          <w:p w14:paraId="65E69B6D">
            <w:pPr>
              <w:adjustRightInd w:val="0"/>
              <w:snapToGrid w:val="0"/>
              <w:jc w:val="center"/>
              <w:rPr>
                <w:rFonts w:ascii="宋体" w:hAnsi="宋体" w:cs="宋体"/>
                <w:sz w:val="24"/>
                <w:szCs w:val="24"/>
              </w:rPr>
            </w:pPr>
          </w:p>
        </w:tc>
      </w:tr>
      <w:tr w14:paraId="51EC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BA8061E">
            <w:pPr>
              <w:adjustRightInd w:val="0"/>
              <w:snapToGrid w:val="0"/>
              <w:jc w:val="center"/>
              <w:rPr>
                <w:rFonts w:ascii="宋体" w:hAnsi="宋体" w:cs="宋体"/>
                <w:sz w:val="24"/>
                <w:szCs w:val="24"/>
              </w:rPr>
            </w:pPr>
          </w:p>
        </w:tc>
        <w:tc>
          <w:tcPr>
            <w:tcW w:w="954" w:type="dxa"/>
            <w:vAlign w:val="center"/>
          </w:tcPr>
          <w:p w14:paraId="3A5FF94B">
            <w:pPr>
              <w:adjustRightInd w:val="0"/>
              <w:snapToGrid w:val="0"/>
              <w:jc w:val="center"/>
              <w:rPr>
                <w:rFonts w:ascii="宋体" w:hAnsi="宋体" w:cs="宋体"/>
                <w:sz w:val="24"/>
                <w:szCs w:val="24"/>
              </w:rPr>
            </w:pPr>
          </w:p>
        </w:tc>
        <w:tc>
          <w:tcPr>
            <w:tcW w:w="941" w:type="dxa"/>
            <w:vAlign w:val="center"/>
          </w:tcPr>
          <w:p w14:paraId="25378DB1">
            <w:pPr>
              <w:adjustRightInd w:val="0"/>
              <w:snapToGrid w:val="0"/>
              <w:jc w:val="center"/>
              <w:rPr>
                <w:rFonts w:ascii="宋体" w:hAnsi="宋体" w:cs="宋体"/>
                <w:sz w:val="24"/>
                <w:szCs w:val="24"/>
              </w:rPr>
            </w:pPr>
          </w:p>
        </w:tc>
        <w:tc>
          <w:tcPr>
            <w:tcW w:w="1016" w:type="dxa"/>
            <w:vAlign w:val="center"/>
          </w:tcPr>
          <w:p w14:paraId="49973E5E">
            <w:pPr>
              <w:adjustRightInd w:val="0"/>
              <w:snapToGrid w:val="0"/>
              <w:jc w:val="center"/>
              <w:rPr>
                <w:rFonts w:ascii="宋体" w:hAnsi="宋体" w:cs="宋体"/>
                <w:sz w:val="24"/>
                <w:szCs w:val="24"/>
              </w:rPr>
            </w:pPr>
          </w:p>
        </w:tc>
        <w:tc>
          <w:tcPr>
            <w:tcW w:w="1279" w:type="dxa"/>
            <w:vAlign w:val="center"/>
          </w:tcPr>
          <w:p w14:paraId="0F1CB18D">
            <w:pPr>
              <w:adjustRightInd w:val="0"/>
              <w:snapToGrid w:val="0"/>
              <w:jc w:val="center"/>
              <w:rPr>
                <w:rFonts w:ascii="宋体" w:hAnsi="宋体" w:cs="宋体"/>
                <w:sz w:val="24"/>
                <w:szCs w:val="24"/>
              </w:rPr>
            </w:pPr>
          </w:p>
        </w:tc>
        <w:tc>
          <w:tcPr>
            <w:tcW w:w="964" w:type="dxa"/>
            <w:vAlign w:val="center"/>
          </w:tcPr>
          <w:p w14:paraId="5378AC26">
            <w:pPr>
              <w:adjustRightInd w:val="0"/>
              <w:snapToGrid w:val="0"/>
              <w:jc w:val="center"/>
              <w:rPr>
                <w:rFonts w:ascii="宋体" w:hAnsi="宋体" w:cs="宋体"/>
                <w:sz w:val="24"/>
                <w:szCs w:val="24"/>
              </w:rPr>
            </w:pPr>
          </w:p>
        </w:tc>
        <w:tc>
          <w:tcPr>
            <w:tcW w:w="1465" w:type="dxa"/>
            <w:vAlign w:val="center"/>
          </w:tcPr>
          <w:p w14:paraId="4E35D0F6">
            <w:pPr>
              <w:adjustRightInd w:val="0"/>
              <w:snapToGrid w:val="0"/>
              <w:jc w:val="center"/>
              <w:rPr>
                <w:rFonts w:ascii="宋体" w:hAnsi="宋体" w:cs="宋体"/>
                <w:sz w:val="24"/>
                <w:szCs w:val="24"/>
              </w:rPr>
            </w:pPr>
          </w:p>
        </w:tc>
        <w:tc>
          <w:tcPr>
            <w:tcW w:w="1113" w:type="dxa"/>
            <w:vAlign w:val="center"/>
          </w:tcPr>
          <w:p w14:paraId="400FC9B4">
            <w:pPr>
              <w:adjustRightInd w:val="0"/>
              <w:snapToGrid w:val="0"/>
              <w:jc w:val="center"/>
              <w:rPr>
                <w:rFonts w:ascii="宋体" w:hAnsi="宋体" w:cs="宋体"/>
                <w:sz w:val="24"/>
                <w:szCs w:val="24"/>
              </w:rPr>
            </w:pPr>
          </w:p>
        </w:tc>
        <w:tc>
          <w:tcPr>
            <w:tcW w:w="1186" w:type="dxa"/>
            <w:vAlign w:val="center"/>
          </w:tcPr>
          <w:p w14:paraId="77E701F0">
            <w:pPr>
              <w:adjustRightInd w:val="0"/>
              <w:snapToGrid w:val="0"/>
              <w:jc w:val="center"/>
              <w:rPr>
                <w:rFonts w:ascii="宋体" w:hAnsi="宋体" w:cs="宋体"/>
                <w:sz w:val="24"/>
                <w:szCs w:val="24"/>
              </w:rPr>
            </w:pPr>
          </w:p>
        </w:tc>
        <w:tc>
          <w:tcPr>
            <w:tcW w:w="586" w:type="dxa"/>
            <w:vAlign w:val="center"/>
          </w:tcPr>
          <w:p w14:paraId="175EA2C2">
            <w:pPr>
              <w:adjustRightInd w:val="0"/>
              <w:snapToGrid w:val="0"/>
              <w:jc w:val="center"/>
              <w:rPr>
                <w:rFonts w:ascii="宋体" w:hAnsi="宋体" w:cs="宋体"/>
                <w:sz w:val="24"/>
                <w:szCs w:val="24"/>
              </w:rPr>
            </w:pPr>
          </w:p>
        </w:tc>
      </w:tr>
      <w:tr w14:paraId="05AB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66855D6">
            <w:pPr>
              <w:adjustRightInd w:val="0"/>
              <w:snapToGrid w:val="0"/>
              <w:jc w:val="center"/>
              <w:rPr>
                <w:rFonts w:ascii="宋体" w:hAnsi="宋体" w:cs="宋体"/>
                <w:sz w:val="24"/>
                <w:szCs w:val="24"/>
              </w:rPr>
            </w:pPr>
          </w:p>
        </w:tc>
        <w:tc>
          <w:tcPr>
            <w:tcW w:w="954" w:type="dxa"/>
            <w:vAlign w:val="center"/>
          </w:tcPr>
          <w:p w14:paraId="62BCF257">
            <w:pPr>
              <w:adjustRightInd w:val="0"/>
              <w:snapToGrid w:val="0"/>
              <w:jc w:val="center"/>
              <w:rPr>
                <w:rFonts w:ascii="宋体" w:hAnsi="宋体" w:cs="宋体"/>
                <w:sz w:val="24"/>
                <w:szCs w:val="24"/>
              </w:rPr>
            </w:pPr>
          </w:p>
        </w:tc>
        <w:tc>
          <w:tcPr>
            <w:tcW w:w="941" w:type="dxa"/>
            <w:vAlign w:val="center"/>
          </w:tcPr>
          <w:p w14:paraId="2449605D">
            <w:pPr>
              <w:adjustRightInd w:val="0"/>
              <w:snapToGrid w:val="0"/>
              <w:jc w:val="center"/>
              <w:rPr>
                <w:rFonts w:ascii="宋体" w:hAnsi="宋体" w:cs="宋体"/>
                <w:sz w:val="24"/>
                <w:szCs w:val="24"/>
              </w:rPr>
            </w:pPr>
          </w:p>
        </w:tc>
        <w:tc>
          <w:tcPr>
            <w:tcW w:w="1016" w:type="dxa"/>
            <w:vAlign w:val="center"/>
          </w:tcPr>
          <w:p w14:paraId="454BFDAF">
            <w:pPr>
              <w:adjustRightInd w:val="0"/>
              <w:snapToGrid w:val="0"/>
              <w:jc w:val="center"/>
              <w:rPr>
                <w:rFonts w:ascii="宋体" w:hAnsi="宋体" w:cs="宋体"/>
                <w:sz w:val="24"/>
                <w:szCs w:val="24"/>
              </w:rPr>
            </w:pPr>
          </w:p>
        </w:tc>
        <w:tc>
          <w:tcPr>
            <w:tcW w:w="1279" w:type="dxa"/>
            <w:vAlign w:val="center"/>
          </w:tcPr>
          <w:p w14:paraId="20C2F2C4">
            <w:pPr>
              <w:adjustRightInd w:val="0"/>
              <w:snapToGrid w:val="0"/>
              <w:jc w:val="center"/>
              <w:rPr>
                <w:rFonts w:ascii="宋体" w:hAnsi="宋体" w:cs="宋体"/>
                <w:sz w:val="24"/>
                <w:szCs w:val="24"/>
              </w:rPr>
            </w:pPr>
          </w:p>
        </w:tc>
        <w:tc>
          <w:tcPr>
            <w:tcW w:w="964" w:type="dxa"/>
            <w:vAlign w:val="center"/>
          </w:tcPr>
          <w:p w14:paraId="55F81EC0">
            <w:pPr>
              <w:adjustRightInd w:val="0"/>
              <w:snapToGrid w:val="0"/>
              <w:jc w:val="center"/>
              <w:rPr>
                <w:rFonts w:ascii="宋体" w:hAnsi="宋体" w:cs="宋体"/>
                <w:sz w:val="24"/>
                <w:szCs w:val="24"/>
              </w:rPr>
            </w:pPr>
          </w:p>
        </w:tc>
        <w:tc>
          <w:tcPr>
            <w:tcW w:w="1465" w:type="dxa"/>
            <w:vAlign w:val="center"/>
          </w:tcPr>
          <w:p w14:paraId="48A332D5">
            <w:pPr>
              <w:adjustRightInd w:val="0"/>
              <w:snapToGrid w:val="0"/>
              <w:jc w:val="center"/>
              <w:rPr>
                <w:rFonts w:ascii="宋体" w:hAnsi="宋体" w:cs="宋体"/>
                <w:sz w:val="24"/>
                <w:szCs w:val="24"/>
              </w:rPr>
            </w:pPr>
          </w:p>
        </w:tc>
        <w:tc>
          <w:tcPr>
            <w:tcW w:w="1113" w:type="dxa"/>
            <w:vAlign w:val="center"/>
          </w:tcPr>
          <w:p w14:paraId="24F86D16">
            <w:pPr>
              <w:adjustRightInd w:val="0"/>
              <w:snapToGrid w:val="0"/>
              <w:jc w:val="center"/>
              <w:rPr>
                <w:rFonts w:ascii="宋体" w:hAnsi="宋体" w:cs="宋体"/>
                <w:sz w:val="24"/>
                <w:szCs w:val="24"/>
              </w:rPr>
            </w:pPr>
          </w:p>
        </w:tc>
        <w:tc>
          <w:tcPr>
            <w:tcW w:w="1186" w:type="dxa"/>
            <w:vAlign w:val="center"/>
          </w:tcPr>
          <w:p w14:paraId="180A0CE9">
            <w:pPr>
              <w:adjustRightInd w:val="0"/>
              <w:snapToGrid w:val="0"/>
              <w:jc w:val="center"/>
              <w:rPr>
                <w:rFonts w:ascii="宋体" w:hAnsi="宋体" w:cs="宋体"/>
                <w:sz w:val="24"/>
                <w:szCs w:val="24"/>
              </w:rPr>
            </w:pPr>
          </w:p>
        </w:tc>
        <w:tc>
          <w:tcPr>
            <w:tcW w:w="586" w:type="dxa"/>
            <w:vAlign w:val="center"/>
          </w:tcPr>
          <w:p w14:paraId="381C04CC">
            <w:pPr>
              <w:adjustRightInd w:val="0"/>
              <w:snapToGrid w:val="0"/>
              <w:jc w:val="center"/>
              <w:rPr>
                <w:rFonts w:ascii="宋体" w:hAnsi="宋体" w:cs="宋体"/>
                <w:sz w:val="24"/>
                <w:szCs w:val="24"/>
              </w:rPr>
            </w:pPr>
          </w:p>
        </w:tc>
      </w:tr>
      <w:tr w14:paraId="17E9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817E923">
            <w:pPr>
              <w:adjustRightInd w:val="0"/>
              <w:snapToGrid w:val="0"/>
              <w:jc w:val="center"/>
              <w:rPr>
                <w:rFonts w:ascii="宋体" w:hAnsi="宋体" w:cs="宋体"/>
                <w:sz w:val="24"/>
                <w:szCs w:val="24"/>
              </w:rPr>
            </w:pPr>
          </w:p>
        </w:tc>
        <w:tc>
          <w:tcPr>
            <w:tcW w:w="954" w:type="dxa"/>
            <w:vAlign w:val="center"/>
          </w:tcPr>
          <w:p w14:paraId="70095A50">
            <w:pPr>
              <w:adjustRightInd w:val="0"/>
              <w:snapToGrid w:val="0"/>
              <w:jc w:val="center"/>
              <w:rPr>
                <w:rFonts w:ascii="宋体" w:hAnsi="宋体" w:cs="宋体"/>
                <w:sz w:val="24"/>
                <w:szCs w:val="24"/>
              </w:rPr>
            </w:pPr>
          </w:p>
        </w:tc>
        <w:tc>
          <w:tcPr>
            <w:tcW w:w="941" w:type="dxa"/>
            <w:vAlign w:val="center"/>
          </w:tcPr>
          <w:p w14:paraId="244C4A0B">
            <w:pPr>
              <w:adjustRightInd w:val="0"/>
              <w:snapToGrid w:val="0"/>
              <w:jc w:val="center"/>
              <w:rPr>
                <w:rFonts w:ascii="宋体" w:hAnsi="宋体" w:cs="宋体"/>
                <w:sz w:val="24"/>
                <w:szCs w:val="24"/>
              </w:rPr>
            </w:pPr>
          </w:p>
        </w:tc>
        <w:tc>
          <w:tcPr>
            <w:tcW w:w="1016" w:type="dxa"/>
            <w:vAlign w:val="center"/>
          </w:tcPr>
          <w:p w14:paraId="52301179">
            <w:pPr>
              <w:adjustRightInd w:val="0"/>
              <w:snapToGrid w:val="0"/>
              <w:jc w:val="center"/>
              <w:rPr>
                <w:rFonts w:ascii="宋体" w:hAnsi="宋体" w:cs="宋体"/>
                <w:sz w:val="24"/>
                <w:szCs w:val="24"/>
              </w:rPr>
            </w:pPr>
          </w:p>
        </w:tc>
        <w:tc>
          <w:tcPr>
            <w:tcW w:w="1279" w:type="dxa"/>
            <w:vAlign w:val="center"/>
          </w:tcPr>
          <w:p w14:paraId="743AB951">
            <w:pPr>
              <w:adjustRightInd w:val="0"/>
              <w:snapToGrid w:val="0"/>
              <w:jc w:val="center"/>
              <w:rPr>
                <w:rFonts w:ascii="宋体" w:hAnsi="宋体" w:cs="宋体"/>
                <w:sz w:val="24"/>
                <w:szCs w:val="24"/>
              </w:rPr>
            </w:pPr>
          </w:p>
        </w:tc>
        <w:tc>
          <w:tcPr>
            <w:tcW w:w="964" w:type="dxa"/>
            <w:vAlign w:val="center"/>
          </w:tcPr>
          <w:p w14:paraId="504DC5E9">
            <w:pPr>
              <w:adjustRightInd w:val="0"/>
              <w:snapToGrid w:val="0"/>
              <w:jc w:val="center"/>
              <w:rPr>
                <w:rFonts w:ascii="宋体" w:hAnsi="宋体" w:cs="宋体"/>
                <w:sz w:val="24"/>
                <w:szCs w:val="24"/>
              </w:rPr>
            </w:pPr>
          </w:p>
        </w:tc>
        <w:tc>
          <w:tcPr>
            <w:tcW w:w="1465" w:type="dxa"/>
            <w:vAlign w:val="center"/>
          </w:tcPr>
          <w:p w14:paraId="0345AF91">
            <w:pPr>
              <w:adjustRightInd w:val="0"/>
              <w:snapToGrid w:val="0"/>
              <w:jc w:val="center"/>
              <w:rPr>
                <w:rFonts w:ascii="宋体" w:hAnsi="宋体" w:cs="宋体"/>
                <w:sz w:val="24"/>
                <w:szCs w:val="24"/>
              </w:rPr>
            </w:pPr>
          </w:p>
        </w:tc>
        <w:tc>
          <w:tcPr>
            <w:tcW w:w="1113" w:type="dxa"/>
            <w:vAlign w:val="center"/>
          </w:tcPr>
          <w:p w14:paraId="6C9E7EAC">
            <w:pPr>
              <w:adjustRightInd w:val="0"/>
              <w:snapToGrid w:val="0"/>
              <w:jc w:val="center"/>
              <w:rPr>
                <w:rFonts w:ascii="宋体" w:hAnsi="宋体" w:cs="宋体"/>
                <w:sz w:val="24"/>
                <w:szCs w:val="24"/>
              </w:rPr>
            </w:pPr>
          </w:p>
        </w:tc>
        <w:tc>
          <w:tcPr>
            <w:tcW w:w="1186" w:type="dxa"/>
            <w:vAlign w:val="center"/>
          </w:tcPr>
          <w:p w14:paraId="5FF96937">
            <w:pPr>
              <w:adjustRightInd w:val="0"/>
              <w:snapToGrid w:val="0"/>
              <w:jc w:val="center"/>
              <w:rPr>
                <w:rFonts w:ascii="宋体" w:hAnsi="宋体" w:cs="宋体"/>
                <w:sz w:val="24"/>
                <w:szCs w:val="24"/>
              </w:rPr>
            </w:pPr>
          </w:p>
        </w:tc>
        <w:tc>
          <w:tcPr>
            <w:tcW w:w="586" w:type="dxa"/>
            <w:vAlign w:val="center"/>
          </w:tcPr>
          <w:p w14:paraId="19C012DB">
            <w:pPr>
              <w:adjustRightInd w:val="0"/>
              <w:snapToGrid w:val="0"/>
              <w:jc w:val="center"/>
              <w:rPr>
                <w:rFonts w:ascii="宋体" w:hAnsi="宋体" w:cs="宋体"/>
                <w:sz w:val="24"/>
                <w:szCs w:val="24"/>
              </w:rPr>
            </w:pPr>
          </w:p>
        </w:tc>
      </w:tr>
      <w:tr w14:paraId="785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5C54140">
            <w:pPr>
              <w:adjustRightInd w:val="0"/>
              <w:snapToGrid w:val="0"/>
              <w:jc w:val="center"/>
              <w:rPr>
                <w:rFonts w:ascii="宋体" w:hAnsi="宋体" w:cs="宋体"/>
                <w:sz w:val="24"/>
                <w:szCs w:val="24"/>
              </w:rPr>
            </w:pPr>
          </w:p>
        </w:tc>
        <w:tc>
          <w:tcPr>
            <w:tcW w:w="954" w:type="dxa"/>
            <w:vAlign w:val="center"/>
          </w:tcPr>
          <w:p w14:paraId="305AD042">
            <w:pPr>
              <w:adjustRightInd w:val="0"/>
              <w:snapToGrid w:val="0"/>
              <w:jc w:val="center"/>
              <w:rPr>
                <w:rFonts w:ascii="宋体" w:hAnsi="宋体" w:cs="宋体"/>
                <w:sz w:val="24"/>
                <w:szCs w:val="24"/>
              </w:rPr>
            </w:pPr>
          </w:p>
        </w:tc>
        <w:tc>
          <w:tcPr>
            <w:tcW w:w="941" w:type="dxa"/>
            <w:vAlign w:val="center"/>
          </w:tcPr>
          <w:p w14:paraId="5894F130">
            <w:pPr>
              <w:adjustRightInd w:val="0"/>
              <w:snapToGrid w:val="0"/>
              <w:jc w:val="center"/>
              <w:rPr>
                <w:rFonts w:ascii="宋体" w:hAnsi="宋体" w:cs="宋体"/>
                <w:sz w:val="24"/>
                <w:szCs w:val="24"/>
              </w:rPr>
            </w:pPr>
          </w:p>
        </w:tc>
        <w:tc>
          <w:tcPr>
            <w:tcW w:w="1016" w:type="dxa"/>
            <w:vAlign w:val="center"/>
          </w:tcPr>
          <w:p w14:paraId="15DE6880">
            <w:pPr>
              <w:adjustRightInd w:val="0"/>
              <w:snapToGrid w:val="0"/>
              <w:jc w:val="center"/>
              <w:rPr>
                <w:rFonts w:ascii="宋体" w:hAnsi="宋体" w:cs="宋体"/>
                <w:sz w:val="24"/>
                <w:szCs w:val="24"/>
              </w:rPr>
            </w:pPr>
          </w:p>
        </w:tc>
        <w:tc>
          <w:tcPr>
            <w:tcW w:w="1279" w:type="dxa"/>
            <w:vAlign w:val="center"/>
          </w:tcPr>
          <w:p w14:paraId="5F616A68">
            <w:pPr>
              <w:adjustRightInd w:val="0"/>
              <w:snapToGrid w:val="0"/>
              <w:jc w:val="center"/>
              <w:rPr>
                <w:rFonts w:ascii="宋体" w:hAnsi="宋体" w:cs="宋体"/>
                <w:sz w:val="24"/>
                <w:szCs w:val="24"/>
              </w:rPr>
            </w:pPr>
          </w:p>
        </w:tc>
        <w:tc>
          <w:tcPr>
            <w:tcW w:w="964" w:type="dxa"/>
            <w:vAlign w:val="center"/>
          </w:tcPr>
          <w:p w14:paraId="5F52560D">
            <w:pPr>
              <w:adjustRightInd w:val="0"/>
              <w:snapToGrid w:val="0"/>
              <w:jc w:val="center"/>
              <w:rPr>
                <w:rFonts w:ascii="宋体" w:hAnsi="宋体" w:cs="宋体"/>
                <w:sz w:val="24"/>
                <w:szCs w:val="24"/>
              </w:rPr>
            </w:pPr>
          </w:p>
        </w:tc>
        <w:tc>
          <w:tcPr>
            <w:tcW w:w="1465" w:type="dxa"/>
            <w:vAlign w:val="center"/>
          </w:tcPr>
          <w:p w14:paraId="6D0077F8">
            <w:pPr>
              <w:adjustRightInd w:val="0"/>
              <w:snapToGrid w:val="0"/>
              <w:jc w:val="center"/>
              <w:rPr>
                <w:rFonts w:ascii="宋体" w:hAnsi="宋体" w:cs="宋体"/>
                <w:sz w:val="24"/>
                <w:szCs w:val="24"/>
              </w:rPr>
            </w:pPr>
          </w:p>
        </w:tc>
        <w:tc>
          <w:tcPr>
            <w:tcW w:w="1113" w:type="dxa"/>
            <w:vAlign w:val="center"/>
          </w:tcPr>
          <w:p w14:paraId="02B8EF48">
            <w:pPr>
              <w:adjustRightInd w:val="0"/>
              <w:snapToGrid w:val="0"/>
              <w:jc w:val="center"/>
              <w:rPr>
                <w:rFonts w:ascii="宋体" w:hAnsi="宋体" w:cs="宋体"/>
                <w:sz w:val="24"/>
                <w:szCs w:val="24"/>
              </w:rPr>
            </w:pPr>
          </w:p>
        </w:tc>
        <w:tc>
          <w:tcPr>
            <w:tcW w:w="1186" w:type="dxa"/>
            <w:vAlign w:val="center"/>
          </w:tcPr>
          <w:p w14:paraId="3CB08D41">
            <w:pPr>
              <w:adjustRightInd w:val="0"/>
              <w:snapToGrid w:val="0"/>
              <w:jc w:val="center"/>
              <w:rPr>
                <w:rFonts w:ascii="宋体" w:hAnsi="宋体" w:cs="宋体"/>
                <w:sz w:val="24"/>
                <w:szCs w:val="24"/>
              </w:rPr>
            </w:pPr>
          </w:p>
        </w:tc>
        <w:tc>
          <w:tcPr>
            <w:tcW w:w="586" w:type="dxa"/>
            <w:vAlign w:val="center"/>
          </w:tcPr>
          <w:p w14:paraId="1EE3AFBD">
            <w:pPr>
              <w:adjustRightInd w:val="0"/>
              <w:snapToGrid w:val="0"/>
              <w:jc w:val="center"/>
              <w:rPr>
                <w:rFonts w:ascii="宋体" w:hAnsi="宋体" w:cs="宋体"/>
                <w:sz w:val="24"/>
                <w:szCs w:val="24"/>
              </w:rPr>
            </w:pPr>
          </w:p>
        </w:tc>
      </w:tr>
      <w:tr w14:paraId="29A0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847219A">
            <w:pPr>
              <w:adjustRightInd w:val="0"/>
              <w:snapToGrid w:val="0"/>
              <w:jc w:val="center"/>
              <w:rPr>
                <w:rFonts w:ascii="宋体" w:hAnsi="宋体" w:cs="宋体"/>
                <w:sz w:val="24"/>
                <w:szCs w:val="24"/>
              </w:rPr>
            </w:pPr>
          </w:p>
        </w:tc>
        <w:tc>
          <w:tcPr>
            <w:tcW w:w="954" w:type="dxa"/>
            <w:vAlign w:val="center"/>
          </w:tcPr>
          <w:p w14:paraId="7059D8E6">
            <w:pPr>
              <w:adjustRightInd w:val="0"/>
              <w:snapToGrid w:val="0"/>
              <w:jc w:val="center"/>
              <w:rPr>
                <w:rFonts w:ascii="宋体" w:hAnsi="宋体" w:cs="宋体"/>
                <w:sz w:val="24"/>
                <w:szCs w:val="24"/>
              </w:rPr>
            </w:pPr>
          </w:p>
        </w:tc>
        <w:tc>
          <w:tcPr>
            <w:tcW w:w="941" w:type="dxa"/>
            <w:vAlign w:val="center"/>
          </w:tcPr>
          <w:p w14:paraId="1718605F">
            <w:pPr>
              <w:adjustRightInd w:val="0"/>
              <w:snapToGrid w:val="0"/>
              <w:jc w:val="center"/>
              <w:rPr>
                <w:rFonts w:ascii="宋体" w:hAnsi="宋体" w:cs="宋体"/>
                <w:sz w:val="24"/>
                <w:szCs w:val="24"/>
              </w:rPr>
            </w:pPr>
          </w:p>
        </w:tc>
        <w:tc>
          <w:tcPr>
            <w:tcW w:w="1016" w:type="dxa"/>
            <w:vAlign w:val="center"/>
          </w:tcPr>
          <w:p w14:paraId="013F6F3B">
            <w:pPr>
              <w:adjustRightInd w:val="0"/>
              <w:snapToGrid w:val="0"/>
              <w:jc w:val="center"/>
              <w:rPr>
                <w:rFonts w:ascii="宋体" w:hAnsi="宋体" w:cs="宋体"/>
                <w:sz w:val="24"/>
                <w:szCs w:val="24"/>
              </w:rPr>
            </w:pPr>
          </w:p>
        </w:tc>
        <w:tc>
          <w:tcPr>
            <w:tcW w:w="1279" w:type="dxa"/>
            <w:vAlign w:val="center"/>
          </w:tcPr>
          <w:p w14:paraId="42F941B9">
            <w:pPr>
              <w:adjustRightInd w:val="0"/>
              <w:snapToGrid w:val="0"/>
              <w:jc w:val="center"/>
              <w:rPr>
                <w:rFonts w:ascii="宋体" w:hAnsi="宋体" w:cs="宋体"/>
                <w:sz w:val="24"/>
                <w:szCs w:val="24"/>
              </w:rPr>
            </w:pPr>
          </w:p>
        </w:tc>
        <w:tc>
          <w:tcPr>
            <w:tcW w:w="964" w:type="dxa"/>
            <w:vAlign w:val="center"/>
          </w:tcPr>
          <w:p w14:paraId="05AB5587">
            <w:pPr>
              <w:adjustRightInd w:val="0"/>
              <w:snapToGrid w:val="0"/>
              <w:jc w:val="center"/>
              <w:rPr>
                <w:rFonts w:ascii="宋体" w:hAnsi="宋体" w:cs="宋体"/>
                <w:sz w:val="24"/>
                <w:szCs w:val="24"/>
              </w:rPr>
            </w:pPr>
          </w:p>
        </w:tc>
        <w:tc>
          <w:tcPr>
            <w:tcW w:w="1465" w:type="dxa"/>
            <w:vAlign w:val="center"/>
          </w:tcPr>
          <w:p w14:paraId="7EAB8C9F">
            <w:pPr>
              <w:adjustRightInd w:val="0"/>
              <w:snapToGrid w:val="0"/>
              <w:jc w:val="center"/>
              <w:rPr>
                <w:rFonts w:ascii="宋体" w:hAnsi="宋体" w:cs="宋体"/>
                <w:sz w:val="24"/>
                <w:szCs w:val="24"/>
              </w:rPr>
            </w:pPr>
          </w:p>
        </w:tc>
        <w:tc>
          <w:tcPr>
            <w:tcW w:w="1113" w:type="dxa"/>
            <w:vAlign w:val="center"/>
          </w:tcPr>
          <w:p w14:paraId="7F24543C">
            <w:pPr>
              <w:adjustRightInd w:val="0"/>
              <w:snapToGrid w:val="0"/>
              <w:jc w:val="center"/>
              <w:rPr>
                <w:rFonts w:ascii="宋体" w:hAnsi="宋体" w:cs="宋体"/>
                <w:sz w:val="24"/>
                <w:szCs w:val="24"/>
              </w:rPr>
            </w:pPr>
          </w:p>
        </w:tc>
        <w:tc>
          <w:tcPr>
            <w:tcW w:w="1186" w:type="dxa"/>
            <w:vAlign w:val="center"/>
          </w:tcPr>
          <w:p w14:paraId="7B0E7C16">
            <w:pPr>
              <w:adjustRightInd w:val="0"/>
              <w:snapToGrid w:val="0"/>
              <w:jc w:val="center"/>
              <w:rPr>
                <w:rFonts w:ascii="宋体" w:hAnsi="宋体" w:cs="宋体"/>
                <w:sz w:val="24"/>
                <w:szCs w:val="24"/>
              </w:rPr>
            </w:pPr>
          </w:p>
        </w:tc>
        <w:tc>
          <w:tcPr>
            <w:tcW w:w="586" w:type="dxa"/>
            <w:vAlign w:val="center"/>
          </w:tcPr>
          <w:p w14:paraId="1A000884">
            <w:pPr>
              <w:adjustRightInd w:val="0"/>
              <w:snapToGrid w:val="0"/>
              <w:jc w:val="center"/>
              <w:rPr>
                <w:rFonts w:ascii="宋体" w:hAnsi="宋体" w:cs="宋体"/>
                <w:sz w:val="24"/>
                <w:szCs w:val="24"/>
              </w:rPr>
            </w:pPr>
          </w:p>
        </w:tc>
      </w:tr>
      <w:tr w14:paraId="40A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0469958">
            <w:pPr>
              <w:adjustRightInd w:val="0"/>
              <w:snapToGrid w:val="0"/>
              <w:jc w:val="center"/>
              <w:rPr>
                <w:rFonts w:ascii="宋体" w:hAnsi="宋体" w:cs="宋体"/>
                <w:sz w:val="24"/>
                <w:szCs w:val="24"/>
              </w:rPr>
            </w:pPr>
          </w:p>
        </w:tc>
        <w:tc>
          <w:tcPr>
            <w:tcW w:w="954" w:type="dxa"/>
            <w:vAlign w:val="center"/>
          </w:tcPr>
          <w:p w14:paraId="3D5BE8BA">
            <w:pPr>
              <w:adjustRightInd w:val="0"/>
              <w:snapToGrid w:val="0"/>
              <w:jc w:val="center"/>
              <w:rPr>
                <w:rFonts w:ascii="宋体" w:hAnsi="宋体" w:cs="宋体"/>
                <w:sz w:val="24"/>
                <w:szCs w:val="24"/>
              </w:rPr>
            </w:pPr>
          </w:p>
        </w:tc>
        <w:tc>
          <w:tcPr>
            <w:tcW w:w="941" w:type="dxa"/>
            <w:vAlign w:val="center"/>
          </w:tcPr>
          <w:p w14:paraId="001630B4">
            <w:pPr>
              <w:adjustRightInd w:val="0"/>
              <w:snapToGrid w:val="0"/>
              <w:jc w:val="center"/>
              <w:rPr>
                <w:rFonts w:ascii="宋体" w:hAnsi="宋体" w:cs="宋体"/>
                <w:sz w:val="24"/>
                <w:szCs w:val="24"/>
              </w:rPr>
            </w:pPr>
          </w:p>
        </w:tc>
        <w:tc>
          <w:tcPr>
            <w:tcW w:w="1016" w:type="dxa"/>
            <w:vAlign w:val="center"/>
          </w:tcPr>
          <w:p w14:paraId="0768D10B">
            <w:pPr>
              <w:adjustRightInd w:val="0"/>
              <w:snapToGrid w:val="0"/>
              <w:jc w:val="center"/>
              <w:rPr>
                <w:rFonts w:ascii="宋体" w:hAnsi="宋体" w:cs="宋体"/>
                <w:sz w:val="24"/>
                <w:szCs w:val="24"/>
              </w:rPr>
            </w:pPr>
          </w:p>
        </w:tc>
        <w:tc>
          <w:tcPr>
            <w:tcW w:w="1279" w:type="dxa"/>
            <w:vAlign w:val="center"/>
          </w:tcPr>
          <w:p w14:paraId="1C5DE2AE">
            <w:pPr>
              <w:adjustRightInd w:val="0"/>
              <w:snapToGrid w:val="0"/>
              <w:jc w:val="center"/>
              <w:rPr>
                <w:rFonts w:ascii="宋体" w:hAnsi="宋体" w:cs="宋体"/>
                <w:sz w:val="24"/>
                <w:szCs w:val="24"/>
              </w:rPr>
            </w:pPr>
          </w:p>
        </w:tc>
        <w:tc>
          <w:tcPr>
            <w:tcW w:w="964" w:type="dxa"/>
            <w:vAlign w:val="center"/>
          </w:tcPr>
          <w:p w14:paraId="6CC0CDB3">
            <w:pPr>
              <w:adjustRightInd w:val="0"/>
              <w:snapToGrid w:val="0"/>
              <w:jc w:val="center"/>
              <w:rPr>
                <w:rFonts w:ascii="宋体" w:hAnsi="宋体" w:cs="宋体"/>
                <w:sz w:val="24"/>
                <w:szCs w:val="24"/>
              </w:rPr>
            </w:pPr>
          </w:p>
        </w:tc>
        <w:tc>
          <w:tcPr>
            <w:tcW w:w="1465" w:type="dxa"/>
            <w:vAlign w:val="center"/>
          </w:tcPr>
          <w:p w14:paraId="2429707A">
            <w:pPr>
              <w:adjustRightInd w:val="0"/>
              <w:snapToGrid w:val="0"/>
              <w:jc w:val="center"/>
              <w:rPr>
                <w:rFonts w:ascii="宋体" w:hAnsi="宋体" w:cs="宋体"/>
                <w:sz w:val="24"/>
                <w:szCs w:val="24"/>
              </w:rPr>
            </w:pPr>
          </w:p>
        </w:tc>
        <w:tc>
          <w:tcPr>
            <w:tcW w:w="1113" w:type="dxa"/>
            <w:vAlign w:val="center"/>
          </w:tcPr>
          <w:p w14:paraId="3FE0A42E">
            <w:pPr>
              <w:adjustRightInd w:val="0"/>
              <w:snapToGrid w:val="0"/>
              <w:jc w:val="center"/>
              <w:rPr>
                <w:rFonts w:ascii="宋体" w:hAnsi="宋体" w:cs="宋体"/>
                <w:sz w:val="24"/>
                <w:szCs w:val="24"/>
              </w:rPr>
            </w:pPr>
          </w:p>
        </w:tc>
        <w:tc>
          <w:tcPr>
            <w:tcW w:w="1186" w:type="dxa"/>
            <w:vAlign w:val="center"/>
          </w:tcPr>
          <w:p w14:paraId="09A4E34A">
            <w:pPr>
              <w:adjustRightInd w:val="0"/>
              <w:snapToGrid w:val="0"/>
              <w:jc w:val="center"/>
              <w:rPr>
                <w:rFonts w:ascii="宋体" w:hAnsi="宋体" w:cs="宋体"/>
                <w:sz w:val="24"/>
                <w:szCs w:val="24"/>
              </w:rPr>
            </w:pPr>
          </w:p>
        </w:tc>
        <w:tc>
          <w:tcPr>
            <w:tcW w:w="586" w:type="dxa"/>
            <w:vAlign w:val="center"/>
          </w:tcPr>
          <w:p w14:paraId="69005EFE">
            <w:pPr>
              <w:adjustRightInd w:val="0"/>
              <w:snapToGrid w:val="0"/>
              <w:jc w:val="center"/>
              <w:rPr>
                <w:rFonts w:ascii="宋体" w:hAnsi="宋体" w:cs="宋体"/>
                <w:sz w:val="24"/>
                <w:szCs w:val="24"/>
              </w:rPr>
            </w:pPr>
          </w:p>
        </w:tc>
      </w:tr>
    </w:tbl>
    <w:p w14:paraId="4B3590A4">
      <w:pPr>
        <w:rPr>
          <w:rFonts w:hint="default" w:ascii="宋体" w:hAnsi="宋体"/>
          <w:sz w:val="24"/>
          <w:lang w:val="en-US" w:eastAsia="zh-CN"/>
        </w:rPr>
      </w:pPr>
      <w:r>
        <w:rPr>
          <w:rFonts w:hint="eastAsia" w:ascii="宋体" w:hAnsi="宋体"/>
          <w:sz w:val="24"/>
        </w:rPr>
        <w:t>注：</w:t>
      </w:r>
      <w:r>
        <w:rPr>
          <w:rFonts w:hint="eastAsia" w:ascii="宋体" w:hAnsi="宋体"/>
          <w:sz w:val="24"/>
          <w:lang w:val="en-US" w:eastAsia="zh-CN"/>
        </w:rPr>
        <w:t>项目机构人员按顺序填写附件1：项目人员简历表。</w:t>
      </w:r>
    </w:p>
    <w:p w14:paraId="2B19A703">
      <w:pPr>
        <w:spacing w:afterLines="50"/>
        <w:rPr>
          <w:rFonts w:ascii="宋体" w:hAnsi="宋体" w:cs="宋体"/>
          <w:sz w:val="24"/>
          <w:szCs w:val="24"/>
        </w:rPr>
      </w:pPr>
    </w:p>
    <w:p w14:paraId="15425906">
      <w:pPr>
        <w:spacing w:afterLines="50"/>
        <w:rPr>
          <w:sz w:val="28"/>
          <w:szCs w:val="28"/>
          <w:highlight w:val="none"/>
        </w:rPr>
      </w:pPr>
      <w:r>
        <w:rPr>
          <w:rFonts w:hint="eastAsia" w:ascii="宋体" w:hAnsi="宋体" w:cs="宋体"/>
          <w:sz w:val="24"/>
          <w:szCs w:val="24"/>
        </w:rPr>
        <w:br w:type="page"/>
      </w:r>
      <w:bookmarkStart w:id="154" w:name="_Toc38285418"/>
      <w:bookmarkStart w:id="155" w:name="_Toc38285156"/>
      <w:bookmarkStart w:id="156" w:name="_Toc16159389"/>
      <w:bookmarkStart w:id="157" w:name="_Toc18247009"/>
      <w:r>
        <w:rPr>
          <w:rFonts w:hint="eastAsia"/>
          <w:sz w:val="28"/>
          <w:szCs w:val="28"/>
          <w:highlight w:val="none"/>
        </w:rPr>
        <w:t>附件1：项目</w:t>
      </w:r>
      <w:r>
        <w:rPr>
          <w:rFonts w:hint="eastAsia"/>
          <w:sz w:val="28"/>
          <w:szCs w:val="28"/>
          <w:highlight w:val="none"/>
          <w:lang w:val="en-US" w:eastAsia="zh-CN"/>
        </w:rPr>
        <w:t>人员</w:t>
      </w:r>
      <w:r>
        <w:rPr>
          <w:rFonts w:hint="eastAsia"/>
          <w:sz w:val="28"/>
          <w:szCs w:val="28"/>
          <w:highlight w:val="none"/>
        </w:rPr>
        <w:t>简历表</w:t>
      </w:r>
      <w:bookmarkEnd w:id="154"/>
      <w:bookmarkEnd w:id="155"/>
      <w:bookmarkEnd w:id="156"/>
      <w:bookmarkEnd w:id="157"/>
    </w:p>
    <w:tbl>
      <w:tblPr>
        <w:tblStyle w:val="49"/>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375"/>
        <w:gridCol w:w="154"/>
        <w:gridCol w:w="1275"/>
        <w:gridCol w:w="751"/>
        <w:gridCol w:w="950"/>
        <w:gridCol w:w="1230"/>
        <w:gridCol w:w="46"/>
        <w:gridCol w:w="2134"/>
      </w:tblGrid>
      <w:tr w14:paraId="62279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805" w:type="dxa"/>
            <w:vAlign w:val="center"/>
          </w:tcPr>
          <w:p w14:paraId="71E20D64">
            <w:pPr>
              <w:jc w:val="center"/>
              <w:rPr>
                <w:rFonts w:ascii="宋体" w:hAnsi="宋体"/>
                <w:sz w:val="24"/>
              </w:rPr>
            </w:pPr>
            <w:r>
              <w:rPr>
                <w:rFonts w:hint="eastAsia" w:ascii="宋体" w:hAnsi="宋体"/>
                <w:sz w:val="24"/>
              </w:rPr>
              <w:t>姓名</w:t>
            </w:r>
          </w:p>
        </w:tc>
        <w:tc>
          <w:tcPr>
            <w:tcW w:w="1529" w:type="dxa"/>
            <w:gridSpan w:val="2"/>
            <w:vAlign w:val="center"/>
          </w:tcPr>
          <w:p w14:paraId="09DAB62D">
            <w:pPr>
              <w:jc w:val="center"/>
              <w:rPr>
                <w:rFonts w:ascii="宋体" w:hAnsi="宋体"/>
                <w:sz w:val="24"/>
              </w:rPr>
            </w:pPr>
          </w:p>
        </w:tc>
        <w:tc>
          <w:tcPr>
            <w:tcW w:w="1275" w:type="dxa"/>
            <w:vAlign w:val="center"/>
          </w:tcPr>
          <w:p w14:paraId="4A52585F">
            <w:pPr>
              <w:jc w:val="center"/>
              <w:rPr>
                <w:rFonts w:ascii="宋体" w:hAnsi="宋体"/>
                <w:sz w:val="24"/>
              </w:rPr>
            </w:pPr>
            <w:r>
              <w:rPr>
                <w:rFonts w:hint="eastAsia" w:ascii="宋体" w:hAnsi="宋体"/>
                <w:sz w:val="24"/>
              </w:rPr>
              <w:t>年龄</w:t>
            </w:r>
          </w:p>
        </w:tc>
        <w:tc>
          <w:tcPr>
            <w:tcW w:w="1701" w:type="dxa"/>
            <w:gridSpan w:val="2"/>
            <w:vAlign w:val="center"/>
          </w:tcPr>
          <w:p w14:paraId="0D0475F9">
            <w:pPr>
              <w:jc w:val="center"/>
              <w:rPr>
                <w:rFonts w:ascii="宋体" w:hAnsi="宋体"/>
                <w:sz w:val="24"/>
              </w:rPr>
            </w:pPr>
          </w:p>
        </w:tc>
        <w:tc>
          <w:tcPr>
            <w:tcW w:w="1276" w:type="dxa"/>
            <w:gridSpan w:val="2"/>
            <w:vAlign w:val="center"/>
          </w:tcPr>
          <w:p w14:paraId="78CBDC24">
            <w:pPr>
              <w:jc w:val="center"/>
              <w:rPr>
                <w:rFonts w:ascii="宋体" w:hAnsi="宋体"/>
                <w:sz w:val="24"/>
              </w:rPr>
            </w:pPr>
            <w:r>
              <w:rPr>
                <w:rFonts w:hint="eastAsia" w:ascii="宋体" w:hAnsi="宋体"/>
                <w:sz w:val="24"/>
              </w:rPr>
              <w:t>联系方式</w:t>
            </w:r>
          </w:p>
        </w:tc>
        <w:tc>
          <w:tcPr>
            <w:tcW w:w="2134" w:type="dxa"/>
            <w:vAlign w:val="center"/>
          </w:tcPr>
          <w:p w14:paraId="39C044FC">
            <w:pPr>
              <w:ind w:firstLine="480"/>
              <w:rPr>
                <w:rFonts w:ascii="宋体" w:hAnsi="宋体"/>
                <w:sz w:val="24"/>
              </w:rPr>
            </w:pPr>
          </w:p>
        </w:tc>
      </w:tr>
      <w:tr w14:paraId="545AD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05" w:type="dxa"/>
            <w:vAlign w:val="center"/>
          </w:tcPr>
          <w:p w14:paraId="028FCC1B">
            <w:pPr>
              <w:rPr>
                <w:rFonts w:ascii="宋体" w:hAnsi="宋体"/>
                <w:sz w:val="24"/>
              </w:rPr>
            </w:pPr>
            <w:r>
              <w:rPr>
                <w:rFonts w:hint="eastAsia" w:ascii="宋体" w:hAnsi="宋体"/>
                <w:sz w:val="24"/>
              </w:rPr>
              <w:t>学历</w:t>
            </w:r>
          </w:p>
        </w:tc>
        <w:tc>
          <w:tcPr>
            <w:tcW w:w="1529" w:type="dxa"/>
            <w:gridSpan w:val="2"/>
            <w:vAlign w:val="center"/>
          </w:tcPr>
          <w:p w14:paraId="5FC748AC">
            <w:pPr>
              <w:jc w:val="center"/>
              <w:rPr>
                <w:rFonts w:ascii="宋体" w:hAnsi="宋体"/>
                <w:sz w:val="24"/>
              </w:rPr>
            </w:pPr>
          </w:p>
        </w:tc>
        <w:tc>
          <w:tcPr>
            <w:tcW w:w="1275" w:type="dxa"/>
            <w:vAlign w:val="center"/>
          </w:tcPr>
          <w:p w14:paraId="40E4233A">
            <w:pPr>
              <w:jc w:val="center"/>
              <w:rPr>
                <w:rFonts w:ascii="宋体" w:hAnsi="宋体"/>
                <w:sz w:val="24"/>
              </w:rPr>
            </w:pPr>
            <w:r>
              <w:rPr>
                <w:rFonts w:hint="eastAsia" w:ascii="宋体" w:hAnsi="宋体"/>
                <w:sz w:val="24"/>
                <w:lang w:val="en-US" w:eastAsia="zh-CN"/>
              </w:rPr>
              <w:t>毕业院校、</w:t>
            </w:r>
            <w:r>
              <w:rPr>
                <w:rFonts w:hint="eastAsia" w:ascii="宋体" w:hAnsi="宋体"/>
                <w:sz w:val="24"/>
              </w:rPr>
              <w:t>专业</w:t>
            </w:r>
          </w:p>
        </w:tc>
        <w:tc>
          <w:tcPr>
            <w:tcW w:w="5111" w:type="dxa"/>
            <w:gridSpan w:val="5"/>
            <w:vAlign w:val="center"/>
          </w:tcPr>
          <w:p w14:paraId="7EBE3465">
            <w:pPr>
              <w:jc w:val="center"/>
              <w:rPr>
                <w:rFonts w:ascii="宋体" w:hAnsi="宋体"/>
                <w:sz w:val="24"/>
              </w:rPr>
            </w:pPr>
          </w:p>
        </w:tc>
      </w:tr>
      <w:tr w14:paraId="611F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05" w:type="dxa"/>
            <w:vMerge w:val="restart"/>
            <w:vAlign w:val="center"/>
          </w:tcPr>
          <w:p w14:paraId="4F845EAF">
            <w:pPr>
              <w:jc w:val="center"/>
              <w:rPr>
                <w:rFonts w:ascii="宋体" w:hAnsi="宋体"/>
                <w:sz w:val="24"/>
              </w:rPr>
            </w:pPr>
            <w:r>
              <w:rPr>
                <w:rFonts w:hint="eastAsia" w:ascii="宋体" w:hAnsi="宋体"/>
                <w:sz w:val="24"/>
              </w:rPr>
              <w:t>职务</w:t>
            </w:r>
          </w:p>
        </w:tc>
        <w:tc>
          <w:tcPr>
            <w:tcW w:w="1529" w:type="dxa"/>
            <w:gridSpan w:val="2"/>
            <w:vMerge w:val="restart"/>
            <w:vAlign w:val="center"/>
          </w:tcPr>
          <w:p w14:paraId="61C313D8">
            <w:pPr>
              <w:jc w:val="center"/>
              <w:rPr>
                <w:rFonts w:ascii="宋体" w:hAnsi="宋体"/>
                <w:sz w:val="24"/>
              </w:rPr>
            </w:pPr>
          </w:p>
        </w:tc>
        <w:tc>
          <w:tcPr>
            <w:tcW w:w="1275" w:type="dxa"/>
            <w:vMerge w:val="restart"/>
            <w:vAlign w:val="center"/>
          </w:tcPr>
          <w:p w14:paraId="4C81FAEA">
            <w:pPr>
              <w:jc w:val="center"/>
              <w:rPr>
                <w:rFonts w:ascii="宋体" w:hAnsi="宋体"/>
                <w:sz w:val="24"/>
              </w:rPr>
            </w:pPr>
            <w:r>
              <w:rPr>
                <w:rFonts w:hint="eastAsia" w:ascii="宋体" w:hAnsi="宋体"/>
                <w:sz w:val="24"/>
              </w:rPr>
              <w:t>证书名称</w:t>
            </w:r>
          </w:p>
        </w:tc>
        <w:tc>
          <w:tcPr>
            <w:tcW w:w="1701" w:type="dxa"/>
            <w:gridSpan w:val="2"/>
            <w:vMerge w:val="restart"/>
            <w:vAlign w:val="center"/>
          </w:tcPr>
          <w:p w14:paraId="6FC35948">
            <w:pPr>
              <w:jc w:val="center"/>
              <w:rPr>
                <w:rFonts w:ascii="宋体" w:hAnsi="宋体"/>
                <w:sz w:val="24"/>
              </w:rPr>
            </w:pPr>
          </w:p>
        </w:tc>
        <w:tc>
          <w:tcPr>
            <w:tcW w:w="1276" w:type="dxa"/>
            <w:gridSpan w:val="2"/>
            <w:vAlign w:val="center"/>
          </w:tcPr>
          <w:p w14:paraId="45386AEB">
            <w:pPr>
              <w:jc w:val="center"/>
              <w:rPr>
                <w:rFonts w:ascii="宋体" w:hAnsi="宋体"/>
                <w:sz w:val="24"/>
              </w:rPr>
            </w:pPr>
            <w:r>
              <w:rPr>
                <w:rFonts w:hint="eastAsia" w:ascii="宋体" w:hAnsi="宋体"/>
                <w:sz w:val="24"/>
              </w:rPr>
              <w:t>日期</w:t>
            </w:r>
          </w:p>
        </w:tc>
        <w:tc>
          <w:tcPr>
            <w:tcW w:w="2134" w:type="dxa"/>
            <w:vAlign w:val="center"/>
          </w:tcPr>
          <w:p w14:paraId="3B9FC33B">
            <w:pPr>
              <w:jc w:val="center"/>
              <w:rPr>
                <w:rFonts w:ascii="宋体" w:hAnsi="宋体"/>
                <w:sz w:val="24"/>
              </w:rPr>
            </w:pPr>
          </w:p>
        </w:tc>
      </w:tr>
      <w:tr w14:paraId="1D264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05" w:type="dxa"/>
            <w:vMerge w:val="continue"/>
            <w:vAlign w:val="center"/>
          </w:tcPr>
          <w:p w14:paraId="382AA9F3">
            <w:pPr>
              <w:jc w:val="center"/>
              <w:rPr>
                <w:rFonts w:ascii="宋体" w:hAnsi="宋体"/>
                <w:sz w:val="24"/>
              </w:rPr>
            </w:pPr>
          </w:p>
        </w:tc>
        <w:tc>
          <w:tcPr>
            <w:tcW w:w="1529" w:type="dxa"/>
            <w:gridSpan w:val="2"/>
            <w:vMerge w:val="continue"/>
            <w:vAlign w:val="center"/>
          </w:tcPr>
          <w:p w14:paraId="76A455B1">
            <w:pPr>
              <w:jc w:val="center"/>
              <w:rPr>
                <w:rFonts w:ascii="宋体" w:hAnsi="宋体"/>
                <w:sz w:val="24"/>
              </w:rPr>
            </w:pPr>
          </w:p>
        </w:tc>
        <w:tc>
          <w:tcPr>
            <w:tcW w:w="1275" w:type="dxa"/>
            <w:vMerge w:val="continue"/>
            <w:vAlign w:val="center"/>
          </w:tcPr>
          <w:p w14:paraId="512F5E7C">
            <w:pPr>
              <w:jc w:val="center"/>
              <w:rPr>
                <w:rFonts w:ascii="宋体" w:hAnsi="宋体"/>
                <w:sz w:val="24"/>
              </w:rPr>
            </w:pPr>
          </w:p>
        </w:tc>
        <w:tc>
          <w:tcPr>
            <w:tcW w:w="1701" w:type="dxa"/>
            <w:gridSpan w:val="2"/>
            <w:vMerge w:val="continue"/>
            <w:vAlign w:val="center"/>
          </w:tcPr>
          <w:p w14:paraId="340EC95B">
            <w:pPr>
              <w:jc w:val="center"/>
              <w:rPr>
                <w:rFonts w:ascii="宋体" w:hAnsi="宋体"/>
                <w:sz w:val="24"/>
              </w:rPr>
            </w:pPr>
          </w:p>
        </w:tc>
        <w:tc>
          <w:tcPr>
            <w:tcW w:w="1276" w:type="dxa"/>
            <w:gridSpan w:val="2"/>
            <w:vAlign w:val="center"/>
          </w:tcPr>
          <w:p w14:paraId="380C1289">
            <w:pPr>
              <w:jc w:val="center"/>
              <w:rPr>
                <w:rFonts w:ascii="宋体" w:hAnsi="宋体"/>
                <w:sz w:val="24"/>
              </w:rPr>
            </w:pPr>
            <w:r>
              <w:rPr>
                <w:rFonts w:hint="eastAsia" w:ascii="宋体" w:hAnsi="宋体"/>
                <w:sz w:val="24"/>
              </w:rPr>
              <w:t>证书号</w:t>
            </w:r>
          </w:p>
        </w:tc>
        <w:tc>
          <w:tcPr>
            <w:tcW w:w="2134" w:type="dxa"/>
            <w:vAlign w:val="center"/>
          </w:tcPr>
          <w:p w14:paraId="16759618">
            <w:pPr>
              <w:jc w:val="center"/>
              <w:rPr>
                <w:rFonts w:ascii="宋体" w:hAnsi="宋体"/>
                <w:sz w:val="24"/>
              </w:rPr>
            </w:pPr>
          </w:p>
        </w:tc>
      </w:tr>
      <w:tr w14:paraId="22664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720" w:type="dxa"/>
            <w:gridSpan w:val="9"/>
            <w:vAlign w:val="center"/>
          </w:tcPr>
          <w:p w14:paraId="694B9A1D">
            <w:pPr>
              <w:jc w:val="center"/>
              <w:rPr>
                <w:rFonts w:ascii="宋体" w:hAnsi="宋体"/>
                <w:sz w:val="24"/>
              </w:rPr>
            </w:pPr>
            <w:r>
              <w:rPr>
                <w:rFonts w:hint="eastAsia" w:ascii="宋体" w:hAnsi="宋体"/>
                <w:sz w:val="24"/>
              </w:rPr>
              <w:t>工作简历</w:t>
            </w:r>
          </w:p>
        </w:tc>
      </w:tr>
      <w:tr w14:paraId="65ADD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180" w:type="dxa"/>
            <w:gridSpan w:val="2"/>
            <w:vAlign w:val="center"/>
          </w:tcPr>
          <w:p w14:paraId="6EC174CA">
            <w:pPr>
              <w:jc w:val="center"/>
              <w:rPr>
                <w:rFonts w:ascii="宋体" w:hAnsi="宋体"/>
                <w:sz w:val="24"/>
              </w:rPr>
            </w:pPr>
            <w:r>
              <w:rPr>
                <w:rFonts w:hint="eastAsia" w:ascii="宋体" w:hAnsi="宋体"/>
                <w:sz w:val="24"/>
              </w:rPr>
              <w:t>时  间</w:t>
            </w:r>
          </w:p>
        </w:tc>
        <w:tc>
          <w:tcPr>
            <w:tcW w:w="2180" w:type="dxa"/>
            <w:gridSpan w:val="3"/>
            <w:vAlign w:val="center"/>
          </w:tcPr>
          <w:p w14:paraId="5A63BD5F">
            <w:pPr>
              <w:jc w:val="center"/>
              <w:rPr>
                <w:rFonts w:ascii="宋体" w:hAnsi="宋体"/>
                <w:sz w:val="24"/>
              </w:rPr>
            </w:pPr>
            <w:r>
              <w:rPr>
                <w:rFonts w:hint="eastAsia" w:ascii="宋体" w:hAnsi="宋体" w:cs="宋体"/>
                <w:sz w:val="24"/>
                <w:szCs w:val="24"/>
              </w:rPr>
              <w:t>参加过的类似项目</w:t>
            </w:r>
          </w:p>
        </w:tc>
        <w:tc>
          <w:tcPr>
            <w:tcW w:w="2180" w:type="dxa"/>
            <w:gridSpan w:val="2"/>
            <w:vAlign w:val="center"/>
          </w:tcPr>
          <w:p w14:paraId="7FC201A4">
            <w:pPr>
              <w:jc w:val="center"/>
              <w:rPr>
                <w:rFonts w:ascii="宋体" w:hAnsi="宋体"/>
                <w:sz w:val="24"/>
              </w:rPr>
            </w:pPr>
            <w:r>
              <w:rPr>
                <w:rFonts w:hint="eastAsia" w:ascii="宋体" w:hAnsi="宋体"/>
                <w:sz w:val="24"/>
              </w:rPr>
              <w:t>担任职务</w:t>
            </w:r>
          </w:p>
        </w:tc>
        <w:tc>
          <w:tcPr>
            <w:tcW w:w="2180" w:type="dxa"/>
            <w:gridSpan w:val="2"/>
            <w:vAlign w:val="center"/>
          </w:tcPr>
          <w:p w14:paraId="47784224">
            <w:pPr>
              <w:jc w:val="center"/>
              <w:rPr>
                <w:rFonts w:ascii="宋体" w:hAnsi="宋体"/>
                <w:sz w:val="24"/>
              </w:rPr>
            </w:pPr>
            <w:r>
              <w:rPr>
                <w:rFonts w:hint="eastAsia" w:ascii="宋体" w:hAnsi="宋体"/>
                <w:sz w:val="24"/>
                <w:lang w:val="en-US" w:eastAsia="zh-CN"/>
              </w:rPr>
              <w:t>业主</w:t>
            </w:r>
            <w:r>
              <w:rPr>
                <w:rFonts w:hint="eastAsia" w:ascii="宋体" w:hAnsi="宋体"/>
                <w:sz w:val="24"/>
              </w:rPr>
              <w:t>单位</w:t>
            </w:r>
          </w:p>
        </w:tc>
      </w:tr>
      <w:tr w14:paraId="5CE19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9978DB0">
            <w:pPr>
              <w:rPr>
                <w:rFonts w:ascii="宋体" w:hAnsi="宋体"/>
                <w:sz w:val="24"/>
              </w:rPr>
            </w:pPr>
          </w:p>
        </w:tc>
        <w:tc>
          <w:tcPr>
            <w:tcW w:w="2180" w:type="dxa"/>
            <w:gridSpan w:val="3"/>
          </w:tcPr>
          <w:p w14:paraId="21E7BBC5">
            <w:pPr>
              <w:rPr>
                <w:rFonts w:ascii="宋体" w:hAnsi="宋体"/>
                <w:sz w:val="24"/>
              </w:rPr>
            </w:pPr>
          </w:p>
        </w:tc>
        <w:tc>
          <w:tcPr>
            <w:tcW w:w="2180" w:type="dxa"/>
            <w:gridSpan w:val="2"/>
          </w:tcPr>
          <w:p w14:paraId="316AF6F2">
            <w:pPr>
              <w:rPr>
                <w:rFonts w:ascii="宋体" w:hAnsi="宋体"/>
                <w:sz w:val="24"/>
              </w:rPr>
            </w:pPr>
          </w:p>
        </w:tc>
        <w:tc>
          <w:tcPr>
            <w:tcW w:w="2180" w:type="dxa"/>
            <w:gridSpan w:val="2"/>
          </w:tcPr>
          <w:p w14:paraId="543DFA6F">
            <w:pPr>
              <w:rPr>
                <w:rFonts w:ascii="宋体" w:hAnsi="宋体"/>
                <w:sz w:val="24"/>
              </w:rPr>
            </w:pPr>
          </w:p>
        </w:tc>
      </w:tr>
      <w:tr w14:paraId="475BD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A80E228">
            <w:pPr>
              <w:rPr>
                <w:rFonts w:ascii="宋体" w:hAnsi="宋体"/>
                <w:sz w:val="24"/>
              </w:rPr>
            </w:pPr>
          </w:p>
        </w:tc>
        <w:tc>
          <w:tcPr>
            <w:tcW w:w="2180" w:type="dxa"/>
            <w:gridSpan w:val="3"/>
          </w:tcPr>
          <w:p w14:paraId="2CD49D58">
            <w:pPr>
              <w:rPr>
                <w:rFonts w:ascii="宋体" w:hAnsi="宋体"/>
                <w:sz w:val="24"/>
              </w:rPr>
            </w:pPr>
          </w:p>
        </w:tc>
        <w:tc>
          <w:tcPr>
            <w:tcW w:w="2180" w:type="dxa"/>
            <w:gridSpan w:val="2"/>
          </w:tcPr>
          <w:p w14:paraId="7F5218F9">
            <w:pPr>
              <w:rPr>
                <w:rFonts w:ascii="宋体" w:hAnsi="宋体"/>
                <w:sz w:val="24"/>
              </w:rPr>
            </w:pPr>
          </w:p>
        </w:tc>
        <w:tc>
          <w:tcPr>
            <w:tcW w:w="2180" w:type="dxa"/>
            <w:gridSpan w:val="2"/>
          </w:tcPr>
          <w:p w14:paraId="1E9215AA">
            <w:pPr>
              <w:rPr>
                <w:rFonts w:ascii="宋体" w:hAnsi="宋体"/>
                <w:sz w:val="24"/>
              </w:rPr>
            </w:pPr>
          </w:p>
        </w:tc>
      </w:tr>
      <w:tr w14:paraId="37882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2B0C989">
            <w:pPr>
              <w:rPr>
                <w:rFonts w:ascii="宋体" w:hAnsi="宋体"/>
                <w:sz w:val="24"/>
              </w:rPr>
            </w:pPr>
          </w:p>
        </w:tc>
        <w:tc>
          <w:tcPr>
            <w:tcW w:w="2180" w:type="dxa"/>
            <w:gridSpan w:val="3"/>
          </w:tcPr>
          <w:p w14:paraId="27CBA764">
            <w:pPr>
              <w:rPr>
                <w:rFonts w:ascii="宋体" w:hAnsi="宋体"/>
                <w:sz w:val="24"/>
              </w:rPr>
            </w:pPr>
          </w:p>
        </w:tc>
        <w:tc>
          <w:tcPr>
            <w:tcW w:w="2180" w:type="dxa"/>
            <w:gridSpan w:val="2"/>
          </w:tcPr>
          <w:p w14:paraId="7CC3C6F8">
            <w:pPr>
              <w:rPr>
                <w:rFonts w:ascii="宋体" w:hAnsi="宋体"/>
                <w:sz w:val="24"/>
              </w:rPr>
            </w:pPr>
          </w:p>
        </w:tc>
        <w:tc>
          <w:tcPr>
            <w:tcW w:w="2180" w:type="dxa"/>
            <w:gridSpan w:val="2"/>
          </w:tcPr>
          <w:p w14:paraId="22BA53EE">
            <w:pPr>
              <w:rPr>
                <w:rFonts w:ascii="宋体" w:hAnsi="宋体"/>
                <w:sz w:val="24"/>
              </w:rPr>
            </w:pPr>
          </w:p>
        </w:tc>
      </w:tr>
      <w:tr w14:paraId="3244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91FE640">
            <w:pPr>
              <w:rPr>
                <w:rFonts w:ascii="宋体" w:hAnsi="宋体"/>
                <w:sz w:val="24"/>
              </w:rPr>
            </w:pPr>
          </w:p>
        </w:tc>
        <w:tc>
          <w:tcPr>
            <w:tcW w:w="2180" w:type="dxa"/>
            <w:gridSpan w:val="3"/>
          </w:tcPr>
          <w:p w14:paraId="51261240">
            <w:pPr>
              <w:rPr>
                <w:rFonts w:ascii="宋体" w:hAnsi="宋体"/>
                <w:sz w:val="24"/>
              </w:rPr>
            </w:pPr>
          </w:p>
        </w:tc>
        <w:tc>
          <w:tcPr>
            <w:tcW w:w="2180" w:type="dxa"/>
            <w:gridSpan w:val="2"/>
          </w:tcPr>
          <w:p w14:paraId="46AFBE07">
            <w:pPr>
              <w:rPr>
                <w:rFonts w:ascii="宋体" w:hAnsi="宋体"/>
                <w:sz w:val="24"/>
              </w:rPr>
            </w:pPr>
          </w:p>
        </w:tc>
        <w:tc>
          <w:tcPr>
            <w:tcW w:w="2180" w:type="dxa"/>
            <w:gridSpan w:val="2"/>
          </w:tcPr>
          <w:p w14:paraId="6B025E55">
            <w:pPr>
              <w:rPr>
                <w:rFonts w:ascii="宋体" w:hAnsi="宋体"/>
                <w:sz w:val="24"/>
              </w:rPr>
            </w:pPr>
          </w:p>
        </w:tc>
      </w:tr>
      <w:tr w14:paraId="4722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9E02FC9">
            <w:pPr>
              <w:rPr>
                <w:rFonts w:ascii="宋体" w:hAnsi="宋体"/>
                <w:sz w:val="24"/>
              </w:rPr>
            </w:pPr>
          </w:p>
        </w:tc>
        <w:tc>
          <w:tcPr>
            <w:tcW w:w="2180" w:type="dxa"/>
            <w:gridSpan w:val="3"/>
          </w:tcPr>
          <w:p w14:paraId="2B549BD6">
            <w:pPr>
              <w:rPr>
                <w:rFonts w:ascii="宋体" w:hAnsi="宋体"/>
                <w:sz w:val="24"/>
              </w:rPr>
            </w:pPr>
          </w:p>
        </w:tc>
        <w:tc>
          <w:tcPr>
            <w:tcW w:w="2180" w:type="dxa"/>
            <w:gridSpan w:val="2"/>
          </w:tcPr>
          <w:p w14:paraId="7EA9694D">
            <w:pPr>
              <w:rPr>
                <w:rFonts w:ascii="宋体" w:hAnsi="宋体"/>
                <w:sz w:val="24"/>
              </w:rPr>
            </w:pPr>
          </w:p>
        </w:tc>
        <w:tc>
          <w:tcPr>
            <w:tcW w:w="2180" w:type="dxa"/>
            <w:gridSpan w:val="2"/>
          </w:tcPr>
          <w:p w14:paraId="2D197930">
            <w:pPr>
              <w:rPr>
                <w:rFonts w:ascii="宋体" w:hAnsi="宋体"/>
                <w:sz w:val="24"/>
              </w:rPr>
            </w:pPr>
          </w:p>
        </w:tc>
      </w:tr>
      <w:tr w14:paraId="72DF6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26A9FB2F">
            <w:pPr>
              <w:rPr>
                <w:rFonts w:ascii="宋体" w:hAnsi="宋体"/>
                <w:sz w:val="24"/>
              </w:rPr>
            </w:pPr>
          </w:p>
        </w:tc>
        <w:tc>
          <w:tcPr>
            <w:tcW w:w="2180" w:type="dxa"/>
            <w:gridSpan w:val="3"/>
          </w:tcPr>
          <w:p w14:paraId="563D1E22">
            <w:pPr>
              <w:rPr>
                <w:rFonts w:ascii="宋体" w:hAnsi="宋体"/>
                <w:sz w:val="24"/>
              </w:rPr>
            </w:pPr>
          </w:p>
        </w:tc>
        <w:tc>
          <w:tcPr>
            <w:tcW w:w="2180" w:type="dxa"/>
            <w:gridSpan w:val="2"/>
          </w:tcPr>
          <w:p w14:paraId="29C30E29">
            <w:pPr>
              <w:rPr>
                <w:rFonts w:ascii="宋体" w:hAnsi="宋体"/>
                <w:sz w:val="24"/>
              </w:rPr>
            </w:pPr>
          </w:p>
        </w:tc>
        <w:tc>
          <w:tcPr>
            <w:tcW w:w="2180" w:type="dxa"/>
            <w:gridSpan w:val="2"/>
          </w:tcPr>
          <w:p w14:paraId="56F9AFCA">
            <w:pPr>
              <w:rPr>
                <w:rFonts w:ascii="宋体" w:hAnsi="宋体"/>
                <w:sz w:val="24"/>
              </w:rPr>
            </w:pPr>
          </w:p>
        </w:tc>
      </w:tr>
      <w:tr w14:paraId="31099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F809730">
            <w:pPr>
              <w:rPr>
                <w:rFonts w:ascii="宋体" w:hAnsi="宋体"/>
                <w:sz w:val="24"/>
              </w:rPr>
            </w:pPr>
          </w:p>
        </w:tc>
        <w:tc>
          <w:tcPr>
            <w:tcW w:w="2180" w:type="dxa"/>
            <w:gridSpan w:val="3"/>
          </w:tcPr>
          <w:p w14:paraId="034140C9">
            <w:pPr>
              <w:rPr>
                <w:rFonts w:ascii="宋体" w:hAnsi="宋体"/>
                <w:sz w:val="24"/>
              </w:rPr>
            </w:pPr>
          </w:p>
        </w:tc>
        <w:tc>
          <w:tcPr>
            <w:tcW w:w="2180" w:type="dxa"/>
            <w:gridSpan w:val="2"/>
          </w:tcPr>
          <w:p w14:paraId="4EF09A28">
            <w:pPr>
              <w:rPr>
                <w:rFonts w:ascii="宋体" w:hAnsi="宋体"/>
                <w:sz w:val="24"/>
              </w:rPr>
            </w:pPr>
          </w:p>
        </w:tc>
        <w:tc>
          <w:tcPr>
            <w:tcW w:w="2180" w:type="dxa"/>
            <w:gridSpan w:val="2"/>
          </w:tcPr>
          <w:p w14:paraId="4E93FC7D">
            <w:pPr>
              <w:rPr>
                <w:rFonts w:ascii="宋体" w:hAnsi="宋体"/>
                <w:sz w:val="24"/>
              </w:rPr>
            </w:pPr>
          </w:p>
        </w:tc>
      </w:tr>
      <w:tr w14:paraId="74534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BDD1943">
            <w:pPr>
              <w:rPr>
                <w:rFonts w:ascii="宋体" w:hAnsi="宋体"/>
                <w:sz w:val="24"/>
              </w:rPr>
            </w:pPr>
          </w:p>
        </w:tc>
        <w:tc>
          <w:tcPr>
            <w:tcW w:w="2180" w:type="dxa"/>
            <w:gridSpan w:val="3"/>
          </w:tcPr>
          <w:p w14:paraId="75DC4972">
            <w:pPr>
              <w:rPr>
                <w:rFonts w:ascii="宋体" w:hAnsi="宋体"/>
                <w:sz w:val="24"/>
              </w:rPr>
            </w:pPr>
          </w:p>
        </w:tc>
        <w:tc>
          <w:tcPr>
            <w:tcW w:w="2180" w:type="dxa"/>
            <w:gridSpan w:val="2"/>
          </w:tcPr>
          <w:p w14:paraId="4615F929">
            <w:pPr>
              <w:rPr>
                <w:rFonts w:ascii="宋体" w:hAnsi="宋体"/>
                <w:sz w:val="24"/>
              </w:rPr>
            </w:pPr>
          </w:p>
        </w:tc>
        <w:tc>
          <w:tcPr>
            <w:tcW w:w="2180" w:type="dxa"/>
            <w:gridSpan w:val="2"/>
          </w:tcPr>
          <w:p w14:paraId="337AF4B6">
            <w:pPr>
              <w:rPr>
                <w:rFonts w:ascii="宋体" w:hAnsi="宋体"/>
                <w:sz w:val="24"/>
              </w:rPr>
            </w:pPr>
          </w:p>
        </w:tc>
      </w:tr>
      <w:tr w14:paraId="410A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64F009D">
            <w:pPr>
              <w:rPr>
                <w:rFonts w:ascii="宋体" w:hAnsi="宋体"/>
                <w:sz w:val="24"/>
              </w:rPr>
            </w:pPr>
          </w:p>
        </w:tc>
        <w:tc>
          <w:tcPr>
            <w:tcW w:w="2180" w:type="dxa"/>
            <w:gridSpan w:val="3"/>
          </w:tcPr>
          <w:p w14:paraId="64E49C7B">
            <w:pPr>
              <w:rPr>
                <w:rFonts w:ascii="宋体" w:hAnsi="宋体"/>
                <w:sz w:val="24"/>
              </w:rPr>
            </w:pPr>
          </w:p>
        </w:tc>
        <w:tc>
          <w:tcPr>
            <w:tcW w:w="2180" w:type="dxa"/>
            <w:gridSpan w:val="2"/>
          </w:tcPr>
          <w:p w14:paraId="0AA7BF99">
            <w:pPr>
              <w:rPr>
                <w:rFonts w:ascii="宋体" w:hAnsi="宋体"/>
                <w:sz w:val="24"/>
              </w:rPr>
            </w:pPr>
          </w:p>
        </w:tc>
        <w:tc>
          <w:tcPr>
            <w:tcW w:w="2180" w:type="dxa"/>
            <w:gridSpan w:val="2"/>
          </w:tcPr>
          <w:p w14:paraId="420BB536">
            <w:pPr>
              <w:rPr>
                <w:rFonts w:ascii="宋体" w:hAnsi="宋体"/>
                <w:sz w:val="24"/>
              </w:rPr>
            </w:pPr>
          </w:p>
        </w:tc>
      </w:tr>
      <w:tr w14:paraId="70C00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5F3FCC8D">
            <w:pPr>
              <w:rPr>
                <w:rFonts w:ascii="宋体" w:hAnsi="宋体"/>
                <w:sz w:val="24"/>
              </w:rPr>
            </w:pPr>
          </w:p>
          <w:p w14:paraId="23E07672">
            <w:pPr>
              <w:rPr>
                <w:rFonts w:ascii="宋体" w:hAnsi="宋体"/>
                <w:sz w:val="24"/>
              </w:rPr>
            </w:pPr>
          </w:p>
        </w:tc>
        <w:tc>
          <w:tcPr>
            <w:tcW w:w="2180" w:type="dxa"/>
            <w:gridSpan w:val="3"/>
          </w:tcPr>
          <w:p w14:paraId="670546F3">
            <w:pPr>
              <w:rPr>
                <w:rFonts w:ascii="宋体" w:hAnsi="宋体"/>
                <w:sz w:val="24"/>
              </w:rPr>
            </w:pPr>
          </w:p>
        </w:tc>
        <w:tc>
          <w:tcPr>
            <w:tcW w:w="2180" w:type="dxa"/>
            <w:gridSpan w:val="2"/>
          </w:tcPr>
          <w:p w14:paraId="3FD2F772">
            <w:pPr>
              <w:rPr>
                <w:rFonts w:ascii="宋体" w:hAnsi="宋体"/>
                <w:sz w:val="24"/>
              </w:rPr>
            </w:pPr>
          </w:p>
        </w:tc>
        <w:tc>
          <w:tcPr>
            <w:tcW w:w="2180" w:type="dxa"/>
            <w:gridSpan w:val="2"/>
          </w:tcPr>
          <w:p w14:paraId="7A9B4B4D">
            <w:pPr>
              <w:rPr>
                <w:rFonts w:ascii="宋体" w:hAnsi="宋体"/>
                <w:sz w:val="24"/>
              </w:rPr>
            </w:pPr>
          </w:p>
        </w:tc>
      </w:tr>
    </w:tbl>
    <w:p w14:paraId="4D297DD2">
      <w:pPr>
        <w:pStyle w:val="3"/>
        <w:keepNext w:val="0"/>
        <w:spacing w:before="260" w:after="260" w:line="240" w:lineRule="auto"/>
        <w:jc w:val="left"/>
        <w:rPr>
          <w:rFonts w:ascii="Arial" w:eastAsia="黑体" w:cs="Times New Roman"/>
          <w:sz w:val="32"/>
          <w:szCs w:val="32"/>
        </w:rPr>
      </w:pPr>
      <w:bookmarkStart w:id="158" w:name="_Toc24285"/>
      <w:r>
        <w:rPr>
          <w:rFonts w:hint="eastAsia" w:hAnsi="宋体"/>
          <w:sz w:val="24"/>
          <w:szCs w:val="24"/>
        </w:rPr>
        <w:t>注：后附身份证等相关证书扫描件并单位签章，工作业绩需附合同或中标通知书扫描件，供应商应保证其上传资料真实性并承担相应责任。</w:t>
      </w:r>
      <w:bookmarkEnd w:id="158"/>
    </w:p>
    <w:bookmarkEnd w:id="140"/>
    <w:bookmarkEnd w:id="141"/>
    <w:bookmarkEnd w:id="142"/>
    <w:bookmarkEnd w:id="147"/>
    <w:p w14:paraId="4BD476A1">
      <w:pPr>
        <w:pStyle w:val="3"/>
        <w:spacing w:before="260" w:after="260" w:line="413" w:lineRule="auto"/>
        <w:jc w:val="center"/>
        <w:rPr>
          <w:rFonts w:ascii="Arial" w:eastAsia="黑体" w:cs="Times New Roman"/>
          <w:sz w:val="32"/>
          <w:szCs w:val="32"/>
        </w:rPr>
      </w:pPr>
      <w:bookmarkStart w:id="159" w:name="_Toc8725"/>
      <w:bookmarkStart w:id="160" w:name="_Toc490466407"/>
      <w:bookmarkStart w:id="161" w:name="_Toc16690686"/>
      <w:bookmarkStart w:id="162" w:name="_Toc12604923"/>
      <w:r>
        <w:rPr>
          <w:rFonts w:hint="eastAsia" w:ascii="Arial" w:eastAsia="黑体" w:cs="Times New Roman"/>
          <w:sz w:val="32"/>
          <w:szCs w:val="32"/>
          <w:lang w:val="en-US" w:eastAsia="zh-CN"/>
        </w:rPr>
        <w:t>六</w:t>
      </w:r>
      <w:r>
        <w:rPr>
          <w:rFonts w:hint="eastAsia" w:ascii="Arial" w:eastAsia="黑体" w:cs="Times New Roman"/>
          <w:sz w:val="32"/>
          <w:szCs w:val="32"/>
        </w:rPr>
        <w:t>、技术资料</w:t>
      </w:r>
      <w:bookmarkEnd w:id="159"/>
      <w:bookmarkEnd w:id="160"/>
      <w:bookmarkEnd w:id="161"/>
      <w:bookmarkEnd w:id="162"/>
    </w:p>
    <w:p w14:paraId="50F313EB">
      <w:pPr>
        <w:spacing w:line="360" w:lineRule="auto"/>
        <w:rPr>
          <w:sz w:val="24"/>
        </w:rPr>
      </w:pPr>
    </w:p>
    <w:p w14:paraId="2B99A902">
      <w:pPr>
        <w:spacing w:line="360" w:lineRule="auto"/>
        <w:jc w:val="center"/>
        <w:rPr>
          <w:rFonts w:hint="eastAsia" w:eastAsia="宋体"/>
          <w:sz w:val="24"/>
          <w:szCs w:val="24"/>
          <w:lang w:eastAsia="zh-CN"/>
        </w:rPr>
      </w:pPr>
      <w:r>
        <w:rPr>
          <w:rFonts w:hint="eastAsia"/>
          <w:sz w:val="24"/>
          <w:szCs w:val="24"/>
          <w:lang w:val="en-US" w:eastAsia="zh-CN"/>
        </w:rPr>
        <w:t>根据本项目采购需求及评审内容自行编制，</w:t>
      </w:r>
      <w:r>
        <w:rPr>
          <w:rFonts w:hint="eastAsia"/>
          <w:sz w:val="24"/>
          <w:szCs w:val="24"/>
        </w:rPr>
        <w:t>格式自拟</w:t>
      </w:r>
      <w:r>
        <w:rPr>
          <w:rFonts w:hint="eastAsia"/>
          <w:sz w:val="24"/>
          <w:szCs w:val="24"/>
          <w:lang w:eastAsia="zh-CN"/>
        </w:rPr>
        <w:t>。</w:t>
      </w:r>
    </w:p>
    <w:p w14:paraId="5428208D">
      <w:pPr>
        <w:spacing w:line="360" w:lineRule="auto"/>
        <w:rPr>
          <w:sz w:val="32"/>
          <w:szCs w:val="32"/>
        </w:rPr>
      </w:pPr>
      <w:r>
        <w:rPr>
          <w:rFonts w:hint="eastAsia"/>
          <w:sz w:val="32"/>
          <w:szCs w:val="32"/>
        </w:rPr>
        <w:t xml:space="preserve"> </w:t>
      </w:r>
    </w:p>
    <w:p w14:paraId="055D0437">
      <w:pPr>
        <w:pStyle w:val="3"/>
        <w:jc w:val="center"/>
        <w:rPr>
          <w:color w:val="000000"/>
        </w:rPr>
      </w:pPr>
    </w:p>
    <w:p w14:paraId="56418FA0">
      <w:pPr>
        <w:rPr>
          <w:color w:val="000000"/>
          <w:sz w:val="28"/>
        </w:rPr>
      </w:pPr>
    </w:p>
    <w:p w14:paraId="3B492608">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24E79D0">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0A2AAAD">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14226AFE">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0985E78D">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A81A633">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410B1622">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3D2E3E2">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1AA90287">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00D3DA32">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539C0D0C">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5638153D">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4BBB8979">
      <w:pPr>
        <w:spacing w:beforeLines="100" w:afterLines="50" w:line="480" w:lineRule="exact"/>
        <w:jc w:val="center"/>
        <w:textAlignment w:val="center"/>
        <w:rPr>
          <w:b/>
          <w:bCs/>
          <w:sz w:val="32"/>
          <w:szCs w:val="32"/>
        </w:rPr>
      </w:pPr>
      <w:bookmarkStart w:id="163" w:name="_Toc16690687"/>
      <w:bookmarkStart w:id="164" w:name="_Toc12604924"/>
      <w:r>
        <w:rPr>
          <w:rFonts w:hint="eastAsia" w:ascii="Arial" w:eastAsia="黑体"/>
          <w:b/>
          <w:bCs/>
          <w:sz w:val="32"/>
          <w:szCs w:val="32"/>
          <w:lang w:val="en-US" w:eastAsia="zh-CN"/>
        </w:rPr>
        <w:t>七</w:t>
      </w:r>
      <w:r>
        <w:rPr>
          <w:rFonts w:hint="eastAsia" w:ascii="Arial" w:eastAsia="黑体"/>
          <w:b/>
          <w:bCs/>
          <w:sz w:val="32"/>
          <w:szCs w:val="32"/>
        </w:rPr>
        <w:t>、服务承诺及</w:t>
      </w:r>
      <w:r>
        <w:rPr>
          <w:rFonts w:hint="eastAsia"/>
          <w:b/>
          <w:bCs/>
          <w:sz w:val="32"/>
          <w:szCs w:val="32"/>
        </w:rPr>
        <w:t>保障</w:t>
      </w:r>
      <w:bookmarkEnd w:id="163"/>
      <w:bookmarkEnd w:id="164"/>
    </w:p>
    <w:p w14:paraId="43541C65">
      <w:pPr>
        <w:spacing w:line="360" w:lineRule="auto"/>
        <w:jc w:val="center"/>
        <w:rPr>
          <w:b/>
          <w:bCs/>
          <w:sz w:val="24"/>
          <w:szCs w:val="24"/>
        </w:rPr>
      </w:pPr>
      <w:bookmarkStart w:id="165" w:name="_Toc10645596"/>
      <w:bookmarkStart w:id="166" w:name="_Toc10646805"/>
      <w:bookmarkStart w:id="167" w:name="_Toc10627508"/>
      <w:r>
        <w:rPr>
          <w:rFonts w:hint="eastAsia"/>
          <w:sz w:val="24"/>
          <w:szCs w:val="24"/>
        </w:rPr>
        <w:t>服务承诺及保障方案</w:t>
      </w:r>
      <w:bookmarkEnd w:id="165"/>
      <w:bookmarkEnd w:id="166"/>
      <w:bookmarkEnd w:id="167"/>
    </w:p>
    <w:p w14:paraId="0E426152"/>
    <w:p w14:paraId="6EE490CC"/>
    <w:p w14:paraId="714E6DF9">
      <w:pPr>
        <w:spacing w:line="480" w:lineRule="exact"/>
        <w:jc w:val="center"/>
        <w:textAlignment w:val="center"/>
        <w:rPr>
          <w:rFonts w:ascii="宋体" w:hAnsi="宋体" w:cs="宋体"/>
          <w:b/>
          <w:bCs/>
          <w:sz w:val="32"/>
          <w:szCs w:val="32"/>
        </w:rPr>
      </w:pPr>
      <w:r>
        <w:br w:type="page"/>
      </w:r>
      <w:r>
        <w:rPr>
          <w:rFonts w:hint="eastAsia" w:ascii="宋体" w:hAnsi="宋体" w:cs="宋体"/>
          <w:b/>
          <w:bCs/>
          <w:sz w:val="32"/>
          <w:szCs w:val="32"/>
          <w:lang w:val="en-US" w:eastAsia="zh-CN"/>
        </w:rPr>
        <w:t>八</w:t>
      </w:r>
      <w:r>
        <w:rPr>
          <w:rFonts w:hint="eastAsia" w:ascii="宋体" w:hAnsi="宋体" w:cs="宋体"/>
          <w:b/>
          <w:bCs/>
          <w:sz w:val="32"/>
          <w:szCs w:val="32"/>
        </w:rPr>
        <w:t>、其他材料</w:t>
      </w:r>
    </w:p>
    <w:p w14:paraId="5BEFBA5B">
      <w:pPr>
        <w:spacing w:line="480" w:lineRule="exact"/>
        <w:textAlignment w:val="center"/>
        <w:rPr>
          <w:rFonts w:ascii="宋体" w:hAnsi="宋体" w:cs="宋体"/>
          <w:sz w:val="32"/>
          <w:szCs w:val="32"/>
        </w:rPr>
      </w:pPr>
      <w:r>
        <w:rPr>
          <w:rFonts w:hint="eastAsia" w:ascii="宋体" w:hAnsi="宋体" w:cs="宋体"/>
          <w:sz w:val="32"/>
          <w:szCs w:val="32"/>
        </w:rPr>
        <w:t xml:space="preserve"> </w:t>
      </w:r>
    </w:p>
    <w:bookmarkEnd w:id="19"/>
    <w:bookmarkEnd w:id="20"/>
    <w:bookmarkEnd w:id="21"/>
    <w:bookmarkEnd w:id="22"/>
    <w:bookmarkEnd w:id="37"/>
    <w:p w14:paraId="14C22D05">
      <w:pPr>
        <w:widowControl/>
        <w:ind w:left="420"/>
        <w:jc w:val="left"/>
        <w:outlineLvl w:val="2"/>
        <w:rPr>
          <w:rFonts w:ascii="宋体" w:hAnsi="宋体" w:cs="宋体"/>
          <w:b/>
          <w:kern w:val="0"/>
          <w:sz w:val="24"/>
          <w:szCs w:val="24"/>
        </w:rPr>
      </w:pPr>
      <w:bookmarkStart w:id="168" w:name="_Toc256000198"/>
    </w:p>
    <w:p w14:paraId="72CFF828">
      <w:pPr>
        <w:widowControl/>
        <w:ind w:left="420"/>
        <w:jc w:val="left"/>
        <w:outlineLvl w:val="2"/>
        <w:rPr>
          <w:rFonts w:ascii="宋体" w:hAnsi="宋体" w:cs="宋体"/>
          <w:b/>
          <w:kern w:val="0"/>
          <w:sz w:val="24"/>
          <w:szCs w:val="24"/>
        </w:rPr>
      </w:pPr>
      <w:bookmarkStart w:id="169" w:name="_Toc21229"/>
      <w:r>
        <w:rPr>
          <w:rFonts w:hint="eastAsia"/>
          <w:sz w:val="28"/>
          <w:szCs w:val="28"/>
          <w:lang w:val="en-US" w:eastAsia="zh-CN"/>
        </w:rPr>
        <w:t>供应商</w:t>
      </w:r>
      <w:r>
        <w:rPr>
          <w:rFonts w:hint="eastAsia"/>
          <w:sz w:val="28"/>
          <w:szCs w:val="28"/>
        </w:rPr>
        <w:t>认为有利于本次投标的其他资料。</w:t>
      </w:r>
      <w:bookmarkEnd w:id="169"/>
    </w:p>
    <w:p w14:paraId="6D3E8F66">
      <w:pPr>
        <w:widowControl/>
        <w:ind w:left="420"/>
        <w:jc w:val="left"/>
        <w:outlineLvl w:val="2"/>
        <w:rPr>
          <w:rFonts w:ascii="宋体" w:hAnsi="宋体" w:cs="宋体"/>
          <w:b/>
          <w:kern w:val="0"/>
          <w:sz w:val="24"/>
          <w:szCs w:val="24"/>
        </w:rPr>
      </w:pPr>
    </w:p>
    <w:p w14:paraId="1F40D7AB">
      <w:pPr>
        <w:widowControl/>
        <w:ind w:left="420"/>
        <w:jc w:val="left"/>
        <w:outlineLvl w:val="2"/>
        <w:rPr>
          <w:rFonts w:ascii="宋体" w:hAnsi="宋体" w:cs="宋体"/>
          <w:b/>
          <w:kern w:val="0"/>
          <w:sz w:val="24"/>
          <w:szCs w:val="24"/>
        </w:rPr>
      </w:pPr>
    </w:p>
    <w:p w14:paraId="0C03BC32">
      <w:pPr>
        <w:widowControl/>
        <w:ind w:left="420"/>
        <w:jc w:val="left"/>
        <w:outlineLvl w:val="2"/>
        <w:rPr>
          <w:rFonts w:ascii="宋体" w:hAnsi="宋体" w:cs="宋体"/>
          <w:b/>
          <w:kern w:val="0"/>
          <w:sz w:val="24"/>
          <w:szCs w:val="24"/>
        </w:rPr>
      </w:pPr>
    </w:p>
    <w:p w14:paraId="5B5872EA">
      <w:pPr>
        <w:widowControl/>
        <w:ind w:left="420"/>
        <w:jc w:val="left"/>
        <w:outlineLvl w:val="2"/>
        <w:rPr>
          <w:rFonts w:ascii="宋体" w:hAnsi="宋体" w:cs="宋体"/>
          <w:b/>
          <w:kern w:val="0"/>
          <w:sz w:val="24"/>
          <w:szCs w:val="24"/>
        </w:rPr>
      </w:pPr>
    </w:p>
    <w:p w14:paraId="71700E4E">
      <w:pPr>
        <w:widowControl/>
        <w:ind w:left="420"/>
        <w:jc w:val="left"/>
        <w:outlineLvl w:val="2"/>
        <w:rPr>
          <w:rFonts w:ascii="宋体" w:hAnsi="宋体" w:cs="宋体"/>
          <w:b/>
          <w:kern w:val="0"/>
          <w:sz w:val="24"/>
          <w:szCs w:val="24"/>
        </w:rPr>
      </w:pPr>
    </w:p>
    <w:bookmarkEnd w:id="168"/>
    <w:p w14:paraId="768F483E">
      <w:pPr>
        <w:rPr>
          <w:rFonts w:hint="eastAsia" w:ascii="宋体" w:hAnsi="宋体" w:cs="Calibri"/>
          <w:b/>
          <w:spacing w:val="14"/>
          <w:kern w:val="0"/>
          <w:sz w:val="32"/>
          <w:szCs w:val="32"/>
          <w:lang w:val="en-US" w:eastAsia="zh-CN"/>
        </w:rPr>
      </w:pPr>
    </w:p>
    <w:sectPr>
      <w:pgSz w:w="11900" w:h="16838"/>
      <w:pgMar w:top="1304" w:right="1332" w:bottom="1406" w:left="1548" w:header="720" w:footer="720" w:gutter="0"/>
      <w:pgNumType w:fmt="decimal"/>
      <w:cols w:space="0" w:num="1"/>
      <w:rtlGutter w:val="0"/>
      <w:docGrid w:type="lines" w:linePitch="3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Nimbus Sans L">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幼圆">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华文新魏">
    <w:altName w:val="微软雅黑"/>
    <w:panose1 w:val="00000000000000000000"/>
    <w:charset w:val="86"/>
    <w:family w:val="auto"/>
    <w:pitch w:val="default"/>
    <w:sig w:usb0="00000000" w:usb1="00000000" w:usb2="00000010" w:usb3="00000000" w:csb0="00040000" w:csb1="00000000"/>
  </w:font>
  <w:font w:name="KSOF7205537F">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C139">
    <w:pPr>
      <w:pStyle w:val="32"/>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270E">
    <w:pPr>
      <w:pStyle w:val="32"/>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D91A">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2499"/>
                            <w:docPartObj>
                              <w:docPartGallery w:val="autotext"/>
                            </w:docPartObj>
                          </w:sdtPr>
                          <w:sdtContent>
                            <w:p w14:paraId="1BDCA915">
                              <w:pPr>
                                <w:pStyle w:val="32"/>
                                <w:jc w:val="center"/>
                              </w:pPr>
                              <w:r>
                                <w:fldChar w:fldCharType="begin"/>
                              </w:r>
                              <w:r>
                                <w:instrText xml:space="preserve"> PAGE   \* MERGEFORMAT </w:instrText>
                              </w:r>
                              <w:r>
                                <w:fldChar w:fldCharType="separate"/>
                              </w:r>
                              <w:r>
                                <w:rPr>
                                  <w:lang w:val="zh-CN"/>
                                </w:rPr>
                                <w:t>1</w:t>
                              </w:r>
                              <w:r>
                                <w:rPr>
                                  <w:lang w:val="zh-CN"/>
                                </w:rPr>
                                <w:fldChar w:fldCharType="end"/>
                              </w:r>
                            </w:p>
                          </w:sdtContent>
                        </w:sdt>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147472499"/>
                      <w:docPartObj>
                        <w:docPartGallery w:val="autotext"/>
                      </w:docPartObj>
                    </w:sdtPr>
                    <w:sdtContent>
                      <w:p w14:paraId="1BDCA915">
                        <w:pPr>
                          <w:pStyle w:val="32"/>
                          <w:jc w:val="center"/>
                        </w:pPr>
                        <w:r>
                          <w:fldChar w:fldCharType="begin"/>
                        </w:r>
                        <w:r>
                          <w:instrText xml:space="preserve"> PAGE   \* MERGEFORMAT </w:instrText>
                        </w:r>
                        <w:r>
                          <w:fldChar w:fldCharType="separate"/>
                        </w:r>
                        <w:r>
                          <w:rPr>
                            <w:lang w:val="zh-CN"/>
                          </w:rPr>
                          <w:t>1</w:t>
                        </w:r>
                        <w:r>
                          <w:rPr>
                            <w:lang w:val="zh-CN"/>
                          </w:rPr>
                          <w:fldChar w:fldCharType="end"/>
                        </w:r>
                      </w:p>
                    </w:sdtContent>
                  </w:sdt>
                </w:txbxContent>
              </v:textbox>
            </v:shape>
          </w:pict>
        </mc:Fallback>
      </mc:AlternateContent>
    </w:r>
  </w:p>
  <w:p w14:paraId="2FB4DC7D">
    <w:pPr>
      <w:pStyle w:val="32"/>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5012">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7627"/>
                          </w:sdtPr>
                          <w:sdtContent>
                            <w:p w14:paraId="4B276ADF">
                              <w:pPr>
                                <w:pStyle w:val="32"/>
                                <w:jc w:val="center"/>
                              </w:pPr>
                              <w:r>
                                <w:fldChar w:fldCharType="begin"/>
                              </w:r>
                              <w:r>
                                <w:instrText xml:space="preserve"> PAGE   \* MERGEFORMAT </w:instrText>
                              </w:r>
                              <w:r>
                                <w:fldChar w:fldCharType="separate"/>
                              </w:r>
                              <w:r>
                                <w:rPr>
                                  <w:lang w:val="zh-CN"/>
                                </w:rPr>
                                <w:t>55</w:t>
                              </w:r>
                              <w:r>
                                <w:rPr>
                                  <w:lang w:val="zh-CN"/>
                                </w:rPr>
                                <w:fldChar w:fldCharType="end"/>
                              </w:r>
                            </w:p>
                          </w:sdtContent>
                        </w:sdt>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sdt>
                    <w:sdtPr>
                      <w:id w:val="147477627"/>
                    </w:sdtPr>
                    <w:sdtContent>
                      <w:p w14:paraId="4B276ADF">
                        <w:pPr>
                          <w:pStyle w:val="32"/>
                          <w:jc w:val="center"/>
                        </w:pPr>
                        <w:r>
                          <w:fldChar w:fldCharType="begin"/>
                        </w:r>
                        <w:r>
                          <w:instrText xml:space="preserve"> PAGE   \* MERGEFORMAT </w:instrText>
                        </w:r>
                        <w:r>
                          <w:fldChar w:fldCharType="separate"/>
                        </w:r>
                        <w:r>
                          <w:rPr>
                            <w:lang w:val="zh-CN"/>
                          </w:rPr>
                          <w:t>55</w:t>
                        </w:r>
                        <w:r>
                          <w:rPr>
                            <w:lang w:val="zh-CN"/>
                          </w:rPr>
                          <w:fldChar w:fldCharType="end"/>
                        </w:r>
                      </w:p>
                    </w:sdtContent>
                  </w:sdt>
                </w:txbxContent>
              </v:textbox>
            </v:shape>
          </w:pict>
        </mc:Fallback>
      </mc:AlternateContent>
    </w:r>
  </w:p>
  <w:p w14:paraId="77CF6DC1">
    <w:pPr>
      <w:pStyle w:val="32"/>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FABA">
    <w:pPr>
      <w:pStyle w:val="33"/>
      <w:pBdr>
        <w:bottom w:val="single" w:color="auto" w:sz="6" w:space="0"/>
      </w:pBdr>
      <w:jc w:val="left"/>
      <w:rPr>
        <w:rFonts w:hint="default"/>
        <w:lang w:val="en-US"/>
      </w:rPr>
    </w:pPr>
    <w:r>
      <w:rPr>
        <w:rFonts w:hint="eastAsia"/>
        <w:lang w:eastAsia="zh-CN"/>
      </w:rPr>
      <w:t>陕州区地下水国考点位隐患排查技术服务项目</w:t>
    </w:r>
    <w:r>
      <w:rPr>
        <w:rFonts w:hint="eastAsia"/>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4E6E">
    <w:pPr>
      <w:pStyle w:val="33"/>
      <w:pBdr>
        <w:top w:val="none" w:color="auto" w:sz="0" w:space="0"/>
        <w:left w:val="none" w:color="auto" w:sz="0" w:space="0"/>
        <w:bottom w:val="none" w:color="auto" w:sz="0" w:space="1"/>
        <w:right w:val="none" w:color="auto" w:sz="0" w:space="0"/>
        <w:between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dit="trackedChanges" w:enforcement="1" w:cryptProviderType="rsaFull" w:cryptAlgorithmClass="hash" w:cryptAlgorithmType="typeAny" w:cryptAlgorithmSid="4" w:cryptSpinCount="0" w:hash="tJDy6fI3qCwWl/ZG/MdcfBznBW4=" w:salt="tdZGLvu+H2rNQjYJVDS2iw=="/>
  <w:defaultTabStop w:val="420"/>
  <w:drawingGridHorizontalSpacing w:val="105"/>
  <w:drawingGridVerticalSpacing w:val="181"/>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NmE1NGQ4OWM2YzE2YzYyYmM0ZmI2OTU4MjYxZGEifQ=="/>
  </w:docVars>
  <w:rsids>
    <w:rsidRoot w:val="00110AD9"/>
    <w:rsid w:val="00001FD0"/>
    <w:rsid w:val="000029E4"/>
    <w:rsid w:val="00004222"/>
    <w:rsid w:val="0000568A"/>
    <w:rsid w:val="00013C68"/>
    <w:rsid w:val="00014AB4"/>
    <w:rsid w:val="00022199"/>
    <w:rsid w:val="0002297D"/>
    <w:rsid w:val="000236F6"/>
    <w:rsid w:val="00025BBD"/>
    <w:rsid w:val="000273C6"/>
    <w:rsid w:val="00033DB4"/>
    <w:rsid w:val="00040009"/>
    <w:rsid w:val="0004099E"/>
    <w:rsid w:val="00044EF2"/>
    <w:rsid w:val="0004566C"/>
    <w:rsid w:val="00045B83"/>
    <w:rsid w:val="000627D7"/>
    <w:rsid w:val="0006485B"/>
    <w:rsid w:val="00071DD5"/>
    <w:rsid w:val="00073B68"/>
    <w:rsid w:val="00074B8A"/>
    <w:rsid w:val="000969AD"/>
    <w:rsid w:val="000A2C52"/>
    <w:rsid w:val="000A4092"/>
    <w:rsid w:val="000A5A0D"/>
    <w:rsid w:val="000A5BD9"/>
    <w:rsid w:val="000B153A"/>
    <w:rsid w:val="000B60E0"/>
    <w:rsid w:val="000C40A8"/>
    <w:rsid w:val="000C6A10"/>
    <w:rsid w:val="000D014E"/>
    <w:rsid w:val="000D4617"/>
    <w:rsid w:val="000D4B9D"/>
    <w:rsid w:val="000D6CC4"/>
    <w:rsid w:val="000E0605"/>
    <w:rsid w:val="000E0947"/>
    <w:rsid w:val="000E1218"/>
    <w:rsid w:val="000E1484"/>
    <w:rsid w:val="000E6637"/>
    <w:rsid w:val="000E75EB"/>
    <w:rsid w:val="000E7D59"/>
    <w:rsid w:val="000F0F9A"/>
    <w:rsid w:val="000F4B7C"/>
    <w:rsid w:val="00100976"/>
    <w:rsid w:val="00102B0A"/>
    <w:rsid w:val="001035EC"/>
    <w:rsid w:val="00104784"/>
    <w:rsid w:val="00104E9E"/>
    <w:rsid w:val="001065E7"/>
    <w:rsid w:val="00106F09"/>
    <w:rsid w:val="00110AD9"/>
    <w:rsid w:val="001132BB"/>
    <w:rsid w:val="001134E7"/>
    <w:rsid w:val="00114015"/>
    <w:rsid w:val="001167D7"/>
    <w:rsid w:val="001170EB"/>
    <w:rsid w:val="001172F1"/>
    <w:rsid w:val="0012023F"/>
    <w:rsid w:val="0012294A"/>
    <w:rsid w:val="001274F9"/>
    <w:rsid w:val="00127866"/>
    <w:rsid w:val="001315D9"/>
    <w:rsid w:val="00132CD6"/>
    <w:rsid w:val="00133A0E"/>
    <w:rsid w:val="001350E8"/>
    <w:rsid w:val="00135A88"/>
    <w:rsid w:val="00143BC8"/>
    <w:rsid w:val="00143F2E"/>
    <w:rsid w:val="00145C43"/>
    <w:rsid w:val="001467F5"/>
    <w:rsid w:val="0015085E"/>
    <w:rsid w:val="0015294E"/>
    <w:rsid w:val="00152D04"/>
    <w:rsid w:val="001544BF"/>
    <w:rsid w:val="0016054C"/>
    <w:rsid w:val="00160804"/>
    <w:rsid w:val="00160CC6"/>
    <w:rsid w:val="00164951"/>
    <w:rsid w:val="001674DF"/>
    <w:rsid w:val="00167BA7"/>
    <w:rsid w:val="00171D62"/>
    <w:rsid w:val="00172D8E"/>
    <w:rsid w:val="0017465C"/>
    <w:rsid w:val="001827EB"/>
    <w:rsid w:val="001835F0"/>
    <w:rsid w:val="001869D2"/>
    <w:rsid w:val="00187034"/>
    <w:rsid w:val="00192DC8"/>
    <w:rsid w:val="001944F3"/>
    <w:rsid w:val="00195130"/>
    <w:rsid w:val="001954C9"/>
    <w:rsid w:val="001A3460"/>
    <w:rsid w:val="001A3E10"/>
    <w:rsid w:val="001A50FC"/>
    <w:rsid w:val="001A68F0"/>
    <w:rsid w:val="001B014B"/>
    <w:rsid w:val="001B2B5D"/>
    <w:rsid w:val="001B5108"/>
    <w:rsid w:val="001C346D"/>
    <w:rsid w:val="001C3769"/>
    <w:rsid w:val="001C53DA"/>
    <w:rsid w:val="001C7E8C"/>
    <w:rsid w:val="001D2B2C"/>
    <w:rsid w:val="001D31F2"/>
    <w:rsid w:val="001D3EFD"/>
    <w:rsid w:val="001E101E"/>
    <w:rsid w:val="001E2418"/>
    <w:rsid w:val="001E4F55"/>
    <w:rsid w:val="001E6924"/>
    <w:rsid w:val="001F024E"/>
    <w:rsid w:val="001F074B"/>
    <w:rsid w:val="001F07E8"/>
    <w:rsid w:val="001F0FCA"/>
    <w:rsid w:val="00201AA3"/>
    <w:rsid w:val="00202167"/>
    <w:rsid w:val="00202AEE"/>
    <w:rsid w:val="0020380C"/>
    <w:rsid w:val="002046B5"/>
    <w:rsid w:val="00204A38"/>
    <w:rsid w:val="00204B77"/>
    <w:rsid w:val="00211FF2"/>
    <w:rsid w:val="00214348"/>
    <w:rsid w:val="00215AA4"/>
    <w:rsid w:val="00220783"/>
    <w:rsid w:val="00220FBD"/>
    <w:rsid w:val="002219EA"/>
    <w:rsid w:val="002232E0"/>
    <w:rsid w:val="002235CA"/>
    <w:rsid w:val="00225765"/>
    <w:rsid w:val="00227357"/>
    <w:rsid w:val="002337CC"/>
    <w:rsid w:val="0023409F"/>
    <w:rsid w:val="002349CD"/>
    <w:rsid w:val="002378DF"/>
    <w:rsid w:val="00245602"/>
    <w:rsid w:val="002458D9"/>
    <w:rsid w:val="00252976"/>
    <w:rsid w:val="00256923"/>
    <w:rsid w:val="002579B8"/>
    <w:rsid w:val="00257E26"/>
    <w:rsid w:val="00266B4E"/>
    <w:rsid w:val="00270610"/>
    <w:rsid w:val="00273466"/>
    <w:rsid w:val="00277B2A"/>
    <w:rsid w:val="0028048F"/>
    <w:rsid w:val="00283A8F"/>
    <w:rsid w:val="00283CE4"/>
    <w:rsid w:val="00283E01"/>
    <w:rsid w:val="00286783"/>
    <w:rsid w:val="00286D6D"/>
    <w:rsid w:val="00286DDF"/>
    <w:rsid w:val="00290D64"/>
    <w:rsid w:val="00291677"/>
    <w:rsid w:val="00291D9A"/>
    <w:rsid w:val="0029419A"/>
    <w:rsid w:val="002957F9"/>
    <w:rsid w:val="00296795"/>
    <w:rsid w:val="002A05C7"/>
    <w:rsid w:val="002A1A96"/>
    <w:rsid w:val="002A2173"/>
    <w:rsid w:val="002A356F"/>
    <w:rsid w:val="002A674D"/>
    <w:rsid w:val="002A7A56"/>
    <w:rsid w:val="002B263B"/>
    <w:rsid w:val="002B2E43"/>
    <w:rsid w:val="002B3B87"/>
    <w:rsid w:val="002C1910"/>
    <w:rsid w:val="002C1DD9"/>
    <w:rsid w:val="002C5DF7"/>
    <w:rsid w:val="002C66BB"/>
    <w:rsid w:val="002D584B"/>
    <w:rsid w:val="002E3FA4"/>
    <w:rsid w:val="002E52B8"/>
    <w:rsid w:val="002F0DF7"/>
    <w:rsid w:val="002F4F73"/>
    <w:rsid w:val="002F7139"/>
    <w:rsid w:val="00315C97"/>
    <w:rsid w:val="003177E9"/>
    <w:rsid w:val="00321851"/>
    <w:rsid w:val="00326E27"/>
    <w:rsid w:val="00327F62"/>
    <w:rsid w:val="003329EC"/>
    <w:rsid w:val="00333180"/>
    <w:rsid w:val="0033640C"/>
    <w:rsid w:val="0033778A"/>
    <w:rsid w:val="0034311C"/>
    <w:rsid w:val="00344AF5"/>
    <w:rsid w:val="003553B7"/>
    <w:rsid w:val="00357BCF"/>
    <w:rsid w:val="003605E1"/>
    <w:rsid w:val="00360705"/>
    <w:rsid w:val="00363F38"/>
    <w:rsid w:val="00371B5B"/>
    <w:rsid w:val="00374483"/>
    <w:rsid w:val="00374CF8"/>
    <w:rsid w:val="00374E16"/>
    <w:rsid w:val="003759B6"/>
    <w:rsid w:val="003852C8"/>
    <w:rsid w:val="00385BA7"/>
    <w:rsid w:val="0039205F"/>
    <w:rsid w:val="00392406"/>
    <w:rsid w:val="00394561"/>
    <w:rsid w:val="00396541"/>
    <w:rsid w:val="003968D7"/>
    <w:rsid w:val="003A1824"/>
    <w:rsid w:val="003B0333"/>
    <w:rsid w:val="003B128A"/>
    <w:rsid w:val="003B3B34"/>
    <w:rsid w:val="003B4014"/>
    <w:rsid w:val="003B60AC"/>
    <w:rsid w:val="003C4322"/>
    <w:rsid w:val="003C592B"/>
    <w:rsid w:val="003D0E12"/>
    <w:rsid w:val="003D3288"/>
    <w:rsid w:val="003D5B5A"/>
    <w:rsid w:val="003E0F79"/>
    <w:rsid w:val="003E3AFB"/>
    <w:rsid w:val="003E4AE2"/>
    <w:rsid w:val="003E4EBD"/>
    <w:rsid w:val="003E4F4F"/>
    <w:rsid w:val="003F0C3C"/>
    <w:rsid w:val="003F1EA4"/>
    <w:rsid w:val="003F2FE8"/>
    <w:rsid w:val="003F6DAF"/>
    <w:rsid w:val="003F7639"/>
    <w:rsid w:val="00400D0B"/>
    <w:rsid w:val="00400E7D"/>
    <w:rsid w:val="00401361"/>
    <w:rsid w:val="00402CAC"/>
    <w:rsid w:val="00405E0E"/>
    <w:rsid w:val="00410D05"/>
    <w:rsid w:val="00412BA9"/>
    <w:rsid w:val="00414218"/>
    <w:rsid w:val="00414814"/>
    <w:rsid w:val="00414EA0"/>
    <w:rsid w:val="00414EFD"/>
    <w:rsid w:val="00430547"/>
    <w:rsid w:val="004312D8"/>
    <w:rsid w:val="00431F23"/>
    <w:rsid w:val="004348E3"/>
    <w:rsid w:val="00440AEE"/>
    <w:rsid w:val="0044159F"/>
    <w:rsid w:val="00444313"/>
    <w:rsid w:val="00447592"/>
    <w:rsid w:val="00450CDC"/>
    <w:rsid w:val="00451005"/>
    <w:rsid w:val="00451C14"/>
    <w:rsid w:val="00456FDD"/>
    <w:rsid w:val="00463794"/>
    <w:rsid w:val="00463A1E"/>
    <w:rsid w:val="0046779F"/>
    <w:rsid w:val="00471BA9"/>
    <w:rsid w:val="00475972"/>
    <w:rsid w:val="00475E7D"/>
    <w:rsid w:val="00477188"/>
    <w:rsid w:val="0048020B"/>
    <w:rsid w:val="00481283"/>
    <w:rsid w:val="0048485C"/>
    <w:rsid w:val="004855F4"/>
    <w:rsid w:val="004862CC"/>
    <w:rsid w:val="00486446"/>
    <w:rsid w:val="004919C1"/>
    <w:rsid w:val="00495AD6"/>
    <w:rsid w:val="004A04FF"/>
    <w:rsid w:val="004A4593"/>
    <w:rsid w:val="004B2897"/>
    <w:rsid w:val="004B2B21"/>
    <w:rsid w:val="004B315C"/>
    <w:rsid w:val="004B49B4"/>
    <w:rsid w:val="004B5BE3"/>
    <w:rsid w:val="004C23C9"/>
    <w:rsid w:val="004C5EB2"/>
    <w:rsid w:val="004D20C8"/>
    <w:rsid w:val="004D213A"/>
    <w:rsid w:val="004D5F6D"/>
    <w:rsid w:val="004D5FE6"/>
    <w:rsid w:val="004E2878"/>
    <w:rsid w:val="004E3A9C"/>
    <w:rsid w:val="004E57C1"/>
    <w:rsid w:val="004F2977"/>
    <w:rsid w:val="004F399F"/>
    <w:rsid w:val="004F554F"/>
    <w:rsid w:val="004F6F77"/>
    <w:rsid w:val="00502848"/>
    <w:rsid w:val="00512078"/>
    <w:rsid w:val="00512AA6"/>
    <w:rsid w:val="005133AB"/>
    <w:rsid w:val="00514520"/>
    <w:rsid w:val="00514C1B"/>
    <w:rsid w:val="0051522E"/>
    <w:rsid w:val="00516ED1"/>
    <w:rsid w:val="00521AA0"/>
    <w:rsid w:val="005247EB"/>
    <w:rsid w:val="005248DC"/>
    <w:rsid w:val="005274D7"/>
    <w:rsid w:val="00534628"/>
    <w:rsid w:val="00536937"/>
    <w:rsid w:val="005403AD"/>
    <w:rsid w:val="00550833"/>
    <w:rsid w:val="005509B0"/>
    <w:rsid w:val="00551266"/>
    <w:rsid w:val="00560500"/>
    <w:rsid w:val="00561069"/>
    <w:rsid w:val="00561529"/>
    <w:rsid w:val="00561D33"/>
    <w:rsid w:val="005640DF"/>
    <w:rsid w:val="00567DE6"/>
    <w:rsid w:val="0057163B"/>
    <w:rsid w:val="00571BE6"/>
    <w:rsid w:val="00573BE6"/>
    <w:rsid w:val="005813B5"/>
    <w:rsid w:val="005817F6"/>
    <w:rsid w:val="0058220C"/>
    <w:rsid w:val="00582530"/>
    <w:rsid w:val="005830F6"/>
    <w:rsid w:val="00590E6A"/>
    <w:rsid w:val="00591580"/>
    <w:rsid w:val="005923F2"/>
    <w:rsid w:val="00592BEC"/>
    <w:rsid w:val="005934F1"/>
    <w:rsid w:val="00593F72"/>
    <w:rsid w:val="005943CF"/>
    <w:rsid w:val="005974AA"/>
    <w:rsid w:val="005A3057"/>
    <w:rsid w:val="005A3A7E"/>
    <w:rsid w:val="005A5201"/>
    <w:rsid w:val="005B0099"/>
    <w:rsid w:val="005B0439"/>
    <w:rsid w:val="005B0B87"/>
    <w:rsid w:val="005B2BDC"/>
    <w:rsid w:val="005B33B9"/>
    <w:rsid w:val="005C645D"/>
    <w:rsid w:val="005C6AB6"/>
    <w:rsid w:val="005D3BF8"/>
    <w:rsid w:val="005E41FC"/>
    <w:rsid w:val="005F0A99"/>
    <w:rsid w:val="006003A1"/>
    <w:rsid w:val="0060050F"/>
    <w:rsid w:val="00604F48"/>
    <w:rsid w:val="00605A92"/>
    <w:rsid w:val="00607F13"/>
    <w:rsid w:val="0061369E"/>
    <w:rsid w:val="0062039D"/>
    <w:rsid w:val="00624314"/>
    <w:rsid w:val="006250EA"/>
    <w:rsid w:val="00626563"/>
    <w:rsid w:val="00627AC8"/>
    <w:rsid w:val="0063146A"/>
    <w:rsid w:val="00635BDF"/>
    <w:rsid w:val="0063762B"/>
    <w:rsid w:val="00641E35"/>
    <w:rsid w:val="0064493C"/>
    <w:rsid w:val="00645F45"/>
    <w:rsid w:val="00647A6C"/>
    <w:rsid w:val="00654097"/>
    <w:rsid w:val="006625C3"/>
    <w:rsid w:val="0067068B"/>
    <w:rsid w:val="0067352C"/>
    <w:rsid w:val="00680697"/>
    <w:rsid w:val="00682328"/>
    <w:rsid w:val="006840D2"/>
    <w:rsid w:val="00685348"/>
    <w:rsid w:val="006856E6"/>
    <w:rsid w:val="0068586D"/>
    <w:rsid w:val="00686DD6"/>
    <w:rsid w:val="00687C48"/>
    <w:rsid w:val="00690379"/>
    <w:rsid w:val="00690914"/>
    <w:rsid w:val="00690B12"/>
    <w:rsid w:val="00693FF9"/>
    <w:rsid w:val="006942C4"/>
    <w:rsid w:val="00695572"/>
    <w:rsid w:val="00695A4F"/>
    <w:rsid w:val="006972BC"/>
    <w:rsid w:val="006A05E7"/>
    <w:rsid w:val="006A2AE8"/>
    <w:rsid w:val="006B018D"/>
    <w:rsid w:val="006B2191"/>
    <w:rsid w:val="006B272F"/>
    <w:rsid w:val="006B4030"/>
    <w:rsid w:val="006B523B"/>
    <w:rsid w:val="006B6941"/>
    <w:rsid w:val="006B6D1F"/>
    <w:rsid w:val="006C05D8"/>
    <w:rsid w:val="006C3707"/>
    <w:rsid w:val="006C48FF"/>
    <w:rsid w:val="006C533F"/>
    <w:rsid w:val="006D0398"/>
    <w:rsid w:val="006D0462"/>
    <w:rsid w:val="006D2122"/>
    <w:rsid w:val="006E2605"/>
    <w:rsid w:val="006E716E"/>
    <w:rsid w:val="006E7F8F"/>
    <w:rsid w:val="006F38CC"/>
    <w:rsid w:val="00701308"/>
    <w:rsid w:val="007015EC"/>
    <w:rsid w:val="00701B5A"/>
    <w:rsid w:val="0070240C"/>
    <w:rsid w:val="00702AE2"/>
    <w:rsid w:val="00712693"/>
    <w:rsid w:val="00713C54"/>
    <w:rsid w:val="00715DB3"/>
    <w:rsid w:val="00724ACA"/>
    <w:rsid w:val="00725C84"/>
    <w:rsid w:val="00730019"/>
    <w:rsid w:val="00735010"/>
    <w:rsid w:val="00736877"/>
    <w:rsid w:val="00736CA4"/>
    <w:rsid w:val="00736ED2"/>
    <w:rsid w:val="00736F1D"/>
    <w:rsid w:val="00737717"/>
    <w:rsid w:val="007424B7"/>
    <w:rsid w:val="00751E66"/>
    <w:rsid w:val="00752C39"/>
    <w:rsid w:val="00761422"/>
    <w:rsid w:val="00764376"/>
    <w:rsid w:val="00765412"/>
    <w:rsid w:val="007658F8"/>
    <w:rsid w:val="00770EFA"/>
    <w:rsid w:val="007710F8"/>
    <w:rsid w:val="007721DB"/>
    <w:rsid w:val="00772236"/>
    <w:rsid w:val="007751EA"/>
    <w:rsid w:val="00776946"/>
    <w:rsid w:val="007850B0"/>
    <w:rsid w:val="00792782"/>
    <w:rsid w:val="00794D36"/>
    <w:rsid w:val="007A17DB"/>
    <w:rsid w:val="007A1BC0"/>
    <w:rsid w:val="007A4B13"/>
    <w:rsid w:val="007A4E59"/>
    <w:rsid w:val="007A564F"/>
    <w:rsid w:val="007B09D0"/>
    <w:rsid w:val="007B0C73"/>
    <w:rsid w:val="007B25D9"/>
    <w:rsid w:val="007B6134"/>
    <w:rsid w:val="007B72CE"/>
    <w:rsid w:val="007C1CA6"/>
    <w:rsid w:val="007C6228"/>
    <w:rsid w:val="007C6609"/>
    <w:rsid w:val="007C671A"/>
    <w:rsid w:val="007C72B0"/>
    <w:rsid w:val="007D08FC"/>
    <w:rsid w:val="007D1C34"/>
    <w:rsid w:val="007D51FC"/>
    <w:rsid w:val="007D6A7F"/>
    <w:rsid w:val="007D6C83"/>
    <w:rsid w:val="007D7297"/>
    <w:rsid w:val="007E15C4"/>
    <w:rsid w:val="007E1F23"/>
    <w:rsid w:val="007E3209"/>
    <w:rsid w:val="007E3C2F"/>
    <w:rsid w:val="007E49EC"/>
    <w:rsid w:val="007E5550"/>
    <w:rsid w:val="007E5A59"/>
    <w:rsid w:val="007E5CDD"/>
    <w:rsid w:val="007F212C"/>
    <w:rsid w:val="007F3BA6"/>
    <w:rsid w:val="007F54A3"/>
    <w:rsid w:val="007F6C6F"/>
    <w:rsid w:val="007F76A1"/>
    <w:rsid w:val="00801563"/>
    <w:rsid w:val="00804E66"/>
    <w:rsid w:val="008126BD"/>
    <w:rsid w:val="00815191"/>
    <w:rsid w:val="00820455"/>
    <w:rsid w:val="008209C3"/>
    <w:rsid w:val="008237E0"/>
    <w:rsid w:val="00823B00"/>
    <w:rsid w:val="00824732"/>
    <w:rsid w:val="00825FCC"/>
    <w:rsid w:val="00826E53"/>
    <w:rsid w:val="00827019"/>
    <w:rsid w:val="00830AD8"/>
    <w:rsid w:val="00832A37"/>
    <w:rsid w:val="008342B6"/>
    <w:rsid w:val="008375F5"/>
    <w:rsid w:val="008403C5"/>
    <w:rsid w:val="00840B43"/>
    <w:rsid w:val="00843597"/>
    <w:rsid w:val="00845151"/>
    <w:rsid w:val="00845AFE"/>
    <w:rsid w:val="00845D1F"/>
    <w:rsid w:val="0084619D"/>
    <w:rsid w:val="00851DB0"/>
    <w:rsid w:val="00853509"/>
    <w:rsid w:val="00853956"/>
    <w:rsid w:val="00854773"/>
    <w:rsid w:val="008548BE"/>
    <w:rsid w:val="008565EA"/>
    <w:rsid w:val="00863F6B"/>
    <w:rsid w:val="008648AA"/>
    <w:rsid w:val="00866EAF"/>
    <w:rsid w:val="008672F9"/>
    <w:rsid w:val="008718B6"/>
    <w:rsid w:val="00872C1B"/>
    <w:rsid w:val="0087593C"/>
    <w:rsid w:val="0088138C"/>
    <w:rsid w:val="00881820"/>
    <w:rsid w:val="00881CFF"/>
    <w:rsid w:val="00896B6E"/>
    <w:rsid w:val="008A2AC3"/>
    <w:rsid w:val="008A756B"/>
    <w:rsid w:val="008B0920"/>
    <w:rsid w:val="008B2AD3"/>
    <w:rsid w:val="008B4CAB"/>
    <w:rsid w:val="008B5614"/>
    <w:rsid w:val="008C080E"/>
    <w:rsid w:val="008C34D6"/>
    <w:rsid w:val="008C3812"/>
    <w:rsid w:val="008C50B5"/>
    <w:rsid w:val="008C7A7F"/>
    <w:rsid w:val="008D0D20"/>
    <w:rsid w:val="008D1D55"/>
    <w:rsid w:val="008D1F31"/>
    <w:rsid w:val="008D32C3"/>
    <w:rsid w:val="008D5D57"/>
    <w:rsid w:val="008D5E58"/>
    <w:rsid w:val="008E26BD"/>
    <w:rsid w:val="008E29BC"/>
    <w:rsid w:val="008E6767"/>
    <w:rsid w:val="008E71F1"/>
    <w:rsid w:val="008F1CD5"/>
    <w:rsid w:val="008F2729"/>
    <w:rsid w:val="008F3C5B"/>
    <w:rsid w:val="008F3E78"/>
    <w:rsid w:val="008F5420"/>
    <w:rsid w:val="008F71CF"/>
    <w:rsid w:val="009020B1"/>
    <w:rsid w:val="009021AC"/>
    <w:rsid w:val="00904D7F"/>
    <w:rsid w:val="009059F9"/>
    <w:rsid w:val="009079B6"/>
    <w:rsid w:val="0091051C"/>
    <w:rsid w:val="00910B04"/>
    <w:rsid w:val="00911A14"/>
    <w:rsid w:val="00912BCB"/>
    <w:rsid w:val="00913C90"/>
    <w:rsid w:val="009158B6"/>
    <w:rsid w:val="009172EC"/>
    <w:rsid w:val="0092027B"/>
    <w:rsid w:val="00920396"/>
    <w:rsid w:val="009217DA"/>
    <w:rsid w:val="00921B25"/>
    <w:rsid w:val="0092513A"/>
    <w:rsid w:val="009263F8"/>
    <w:rsid w:val="009279A8"/>
    <w:rsid w:val="00927E80"/>
    <w:rsid w:val="00931870"/>
    <w:rsid w:val="00941403"/>
    <w:rsid w:val="00944516"/>
    <w:rsid w:val="00946650"/>
    <w:rsid w:val="00946CEA"/>
    <w:rsid w:val="009470A9"/>
    <w:rsid w:val="009520E3"/>
    <w:rsid w:val="00957C68"/>
    <w:rsid w:val="0096187C"/>
    <w:rsid w:val="00962DED"/>
    <w:rsid w:val="00964C4C"/>
    <w:rsid w:val="00965A24"/>
    <w:rsid w:val="00965AEF"/>
    <w:rsid w:val="00965B88"/>
    <w:rsid w:val="00966BB6"/>
    <w:rsid w:val="009706A5"/>
    <w:rsid w:val="00974A04"/>
    <w:rsid w:val="00975612"/>
    <w:rsid w:val="00976186"/>
    <w:rsid w:val="009812D3"/>
    <w:rsid w:val="0098154F"/>
    <w:rsid w:val="00982ED8"/>
    <w:rsid w:val="00985C44"/>
    <w:rsid w:val="009876F4"/>
    <w:rsid w:val="00994BCA"/>
    <w:rsid w:val="00996561"/>
    <w:rsid w:val="00996A50"/>
    <w:rsid w:val="009A0791"/>
    <w:rsid w:val="009A0797"/>
    <w:rsid w:val="009A237D"/>
    <w:rsid w:val="009A2858"/>
    <w:rsid w:val="009A4B87"/>
    <w:rsid w:val="009A6D19"/>
    <w:rsid w:val="009B38C1"/>
    <w:rsid w:val="009C030C"/>
    <w:rsid w:val="009C2E3B"/>
    <w:rsid w:val="009C7238"/>
    <w:rsid w:val="009D05CE"/>
    <w:rsid w:val="009D624E"/>
    <w:rsid w:val="009D694E"/>
    <w:rsid w:val="009E1112"/>
    <w:rsid w:val="009E2F4F"/>
    <w:rsid w:val="009E33A8"/>
    <w:rsid w:val="009E4469"/>
    <w:rsid w:val="009E4497"/>
    <w:rsid w:val="00A033A7"/>
    <w:rsid w:val="00A05099"/>
    <w:rsid w:val="00A0564F"/>
    <w:rsid w:val="00A10AE0"/>
    <w:rsid w:val="00A12460"/>
    <w:rsid w:val="00A1562C"/>
    <w:rsid w:val="00A15886"/>
    <w:rsid w:val="00A15B2B"/>
    <w:rsid w:val="00A22EE8"/>
    <w:rsid w:val="00A23E75"/>
    <w:rsid w:val="00A31134"/>
    <w:rsid w:val="00A33F77"/>
    <w:rsid w:val="00A3470B"/>
    <w:rsid w:val="00A34AFA"/>
    <w:rsid w:val="00A40E60"/>
    <w:rsid w:val="00A47654"/>
    <w:rsid w:val="00A6086A"/>
    <w:rsid w:val="00A70B99"/>
    <w:rsid w:val="00A7499F"/>
    <w:rsid w:val="00A75550"/>
    <w:rsid w:val="00A8200B"/>
    <w:rsid w:val="00A8320A"/>
    <w:rsid w:val="00A836ED"/>
    <w:rsid w:val="00A87AE5"/>
    <w:rsid w:val="00A90E17"/>
    <w:rsid w:val="00A915D4"/>
    <w:rsid w:val="00A9278D"/>
    <w:rsid w:val="00AA0F97"/>
    <w:rsid w:val="00AA1327"/>
    <w:rsid w:val="00AA2C4A"/>
    <w:rsid w:val="00AA56D5"/>
    <w:rsid w:val="00AB03A6"/>
    <w:rsid w:val="00AB145C"/>
    <w:rsid w:val="00AB1F23"/>
    <w:rsid w:val="00AB266A"/>
    <w:rsid w:val="00AB67B9"/>
    <w:rsid w:val="00AC52C7"/>
    <w:rsid w:val="00AD45CB"/>
    <w:rsid w:val="00AD48DA"/>
    <w:rsid w:val="00AD73FB"/>
    <w:rsid w:val="00AE167E"/>
    <w:rsid w:val="00AE6B55"/>
    <w:rsid w:val="00AF0728"/>
    <w:rsid w:val="00AF53CA"/>
    <w:rsid w:val="00AF7957"/>
    <w:rsid w:val="00B00030"/>
    <w:rsid w:val="00B009A8"/>
    <w:rsid w:val="00B044A8"/>
    <w:rsid w:val="00B04A4B"/>
    <w:rsid w:val="00B04C28"/>
    <w:rsid w:val="00B06273"/>
    <w:rsid w:val="00B11E4D"/>
    <w:rsid w:val="00B160E1"/>
    <w:rsid w:val="00B20AE6"/>
    <w:rsid w:val="00B255C4"/>
    <w:rsid w:val="00B256A8"/>
    <w:rsid w:val="00B26C2C"/>
    <w:rsid w:val="00B33045"/>
    <w:rsid w:val="00B349BD"/>
    <w:rsid w:val="00B34B7C"/>
    <w:rsid w:val="00B35B07"/>
    <w:rsid w:val="00B3642F"/>
    <w:rsid w:val="00B37631"/>
    <w:rsid w:val="00B40E60"/>
    <w:rsid w:val="00B413E8"/>
    <w:rsid w:val="00B41ABE"/>
    <w:rsid w:val="00B43F42"/>
    <w:rsid w:val="00B45CAD"/>
    <w:rsid w:val="00B62FD7"/>
    <w:rsid w:val="00B64CD7"/>
    <w:rsid w:val="00B66FFA"/>
    <w:rsid w:val="00B71F63"/>
    <w:rsid w:val="00B72620"/>
    <w:rsid w:val="00B729C9"/>
    <w:rsid w:val="00B72A8C"/>
    <w:rsid w:val="00B77DB7"/>
    <w:rsid w:val="00B82ACA"/>
    <w:rsid w:val="00B856C9"/>
    <w:rsid w:val="00B86D4D"/>
    <w:rsid w:val="00B86D85"/>
    <w:rsid w:val="00B9212A"/>
    <w:rsid w:val="00B92977"/>
    <w:rsid w:val="00B9299F"/>
    <w:rsid w:val="00B931D3"/>
    <w:rsid w:val="00B96C1B"/>
    <w:rsid w:val="00B97C8E"/>
    <w:rsid w:val="00BA021B"/>
    <w:rsid w:val="00BC0804"/>
    <w:rsid w:val="00BC2944"/>
    <w:rsid w:val="00BC57CD"/>
    <w:rsid w:val="00BC58CE"/>
    <w:rsid w:val="00BD1FB1"/>
    <w:rsid w:val="00BD2D8D"/>
    <w:rsid w:val="00BD53D8"/>
    <w:rsid w:val="00BD6086"/>
    <w:rsid w:val="00BE2969"/>
    <w:rsid w:val="00BE7D8D"/>
    <w:rsid w:val="00BF1A5A"/>
    <w:rsid w:val="00BF2CF3"/>
    <w:rsid w:val="00BF2D1A"/>
    <w:rsid w:val="00BF466A"/>
    <w:rsid w:val="00BF5636"/>
    <w:rsid w:val="00BF706B"/>
    <w:rsid w:val="00C0190B"/>
    <w:rsid w:val="00C04656"/>
    <w:rsid w:val="00C04C58"/>
    <w:rsid w:val="00C04FC5"/>
    <w:rsid w:val="00C07C29"/>
    <w:rsid w:val="00C109F4"/>
    <w:rsid w:val="00C10F9D"/>
    <w:rsid w:val="00C1730C"/>
    <w:rsid w:val="00C17E38"/>
    <w:rsid w:val="00C241A5"/>
    <w:rsid w:val="00C24D20"/>
    <w:rsid w:val="00C262B2"/>
    <w:rsid w:val="00C263F3"/>
    <w:rsid w:val="00C265B9"/>
    <w:rsid w:val="00C30C7F"/>
    <w:rsid w:val="00C32FC3"/>
    <w:rsid w:val="00C35F7A"/>
    <w:rsid w:val="00C42B6E"/>
    <w:rsid w:val="00C45184"/>
    <w:rsid w:val="00C46E14"/>
    <w:rsid w:val="00C51164"/>
    <w:rsid w:val="00C511F0"/>
    <w:rsid w:val="00C54571"/>
    <w:rsid w:val="00C54EE0"/>
    <w:rsid w:val="00C56C1F"/>
    <w:rsid w:val="00C571AF"/>
    <w:rsid w:val="00C621C8"/>
    <w:rsid w:val="00C62BA1"/>
    <w:rsid w:val="00C63592"/>
    <w:rsid w:val="00C64449"/>
    <w:rsid w:val="00C652AF"/>
    <w:rsid w:val="00C6576E"/>
    <w:rsid w:val="00C67B4A"/>
    <w:rsid w:val="00C7384E"/>
    <w:rsid w:val="00C761A2"/>
    <w:rsid w:val="00C7620E"/>
    <w:rsid w:val="00C8056C"/>
    <w:rsid w:val="00C8296F"/>
    <w:rsid w:val="00C8410A"/>
    <w:rsid w:val="00C85ACD"/>
    <w:rsid w:val="00C93CD2"/>
    <w:rsid w:val="00C94486"/>
    <w:rsid w:val="00C95BA0"/>
    <w:rsid w:val="00C95C67"/>
    <w:rsid w:val="00C96C67"/>
    <w:rsid w:val="00CA2AAA"/>
    <w:rsid w:val="00CA3372"/>
    <w:rsid w:val="00CA3E19"/>
    <w:rsid w:val="00CA7C88"/>
    <w:rsid w:val="00CB08E2"/>
    <w:rsid w:val="00CB13DC"/>
    <w:rsid w:val="00CB3841"/>
    <w:rsid w:val="00CB434F"/>
    <w:rsid w:val="00CB43EF"/>
    <w:rsid w:val="00CB55C4"/>
    <w:rsid w:val="00CB5BB1"/>
    <w:rsid w:val="00CB5DA5"/>
    <w:rsid w:val="00CB7203"/>
    <w:rsid w:val="00CC17FC"/>
    <w:rsid w:val="00CC3133"/>
    <w:rsid w:val="00CC3B94"/>
    <w:rsid w:val="00CC5162"/>
    <w:rsid w:val="00CD060F"/>
    <w:rsid w:val="00CD2024"/>
    <w:rsid w:val="00CD59FA"/>
    <w:rsid w:val="00CD6451"/>
    <w:rsid w:val="00CD6D88"/>
    <w:rsid w:val="00CE124B"/>
    <w:rsid w:val="00CE1B0F"/>
    <w:rsid w:val="00CE3C9E"/>
    <w:rsid w:val="00CE48C6"/>
    <w:rsid w:val="00CE5313"/>
    <w:rsid w:val="00CF5F74"/>
    <w:rsid w:val="00D008DA"/>
    <w:rsid w:val="00D03154"/>
    <w:rsid w:val="00D0591C"/>
    <w:rsid w:val="00D11108"/>
    <w:rsid w:val="00D112CB"/>
    <w:rsid w:val="00D11792"/>
    <w:rsid w:val="00D11E45"/>
    <w:rsid w:val="00D2138B"/>
    <w:rsid w:val="00D21B85"/>
    <w:rsid w:val="00D26DE7"/>
    <w:rsid w:val="00D31880"/>
    <w:rsid w:val="00D329B6"/>
    <w:rsid w:val="00D33BCC"/>
    <w:rsid w:val="00D33D00"/>
    <w:rsid w:val="00D37E12"/>
    <w:rsid w:val="00D42002"/>
    <w:rsid w:val="00D47774"/>
    <w:rsid w:val="00D508E1"/>
    <w:rsid w:val="00D541E3"/>
    <w:rsid w:val="00D54B1B"/>
    <w:rsid w:val="00D611D5"/>
    <w:rsid w:val="00D66CEA"/>
    <w:rsid w:val="00D678AB"/>
    <w:rsid w:val="00D7101E"/>
    <w:rsid w:val="00D72F02"/>
    <w:rsid w:val="00D85F2D"/>
    <w:rsid w:val="00D85FE5"/>
    <w:rsid w:val="00D8614F"/>
    <w:rsid w:val="00D868C6"/>
    <w:rsid w:val="00D875AA"/>
    <w:rsid w:val="00D91233"/>
    <w:rsid w:val="00D928D1"/>
    <w:rsid w:val="00D94C7A"/>
    <w:rsid w:val="00D954A6"/>
    <w:rsid w:val="00D962C8"/>
    <w:rsid w:val="00DA0745"/>
    <w:rsid w:val="00DA18EE"/>
    <w:rsid w:val="00DA37EC"/>
    <w:rsid w:val="00DA3822"/>
    <w:rsid w:val="00DA780F"/>
    <w:rsid w:val="00DB0D9A"/>
    <w:rsid w:val="00DB0EBE"/>
    <w:rsid w:val="00DB5DD7"/>
    <w:rsid w:val="00DB660D"/>
    <w:rsid w:val="00DC243D"/>
    <w:rsid w:val="00DC3F43"/>
    <w:rsid w:val="00DC5036"/>
    <w:rsid w:val="00DD049B"/>
    <w:rsid w:val="00DD2886"/>
    <w:rsid w:val="00DE1709"/>
    <w:rsid w:val="00DE2154"/>
    <w:rsid w:val="00DE2271"/>
    <w:rsid w:val="00DE2ED5"/>
    <w:rsid w:val="00DE5B7E"/>
    <w:rsid w:val="00DE6241"/>
    <w:rsid w:val="00DE70F8"/>
    <w:rsid w:val="00DF295F"/>
    <w:rsid w:val="00DF6572"/>
    <w:rsid w:val="00DF6DD5"/>
    <w:rsid w:val="00DF732A"/>
    <w:rsid w:val="00E0152C"/>
    <w:rsid w:val="00E03712"/>
    <w:rsid w:val="00E04E44"/>
    <w:rsid w:val="00E054F5"/>
    <w:rsid w:val="00E05E2D"/>
    <w:rsid w:val="00E06D2F"/>
    <w:rsid w:val="00E12B0B"/>
    <w:rsid w:val="00E15293"/>
    <w:rsid w:val="00E16526"/>
    <w:rsid w:val="00E2229F"/>
    <w:rsid w:val="00E2558D"/>
    <w:rsid w:val="00E25D6F"/>
    <w:rsid w:val="00E26F7A"/>
    <w:rsid w:val="00E30686"/>
    <w:rsid w:val="00E3446B"/>
    <w:rsid w:val="00E360A4"/>
    <w:rsid w:val="00E3684B"/>
    <w:rsid w:val="00E36D14"/>
    <w:rsid w:val="00E36ED2"/>
    <w:rsid w:val="00E405EB"/>
    <w:rsid w:val="00E424B2"/>
    <w:rsid w:val="00E457C9"/>
    <w:rsid w:val="00E472BA"/>
    <w:rsid w:val="00E5245A"/>
    <w:rsid w:val="00E52F76"/>
    <w:rsid w:val="00E53E10"/>
    <w:rsid w:val="00E569B1"/>
    <w:rsid w:val="00E61251"/>
    <w:rsid w:val="00E6278B"/>
    <w:rsid w:val="00E6284A"/>
    <w:rsid w:val="00E62DA9"/>
    <w:rsid w:val="00E63323"/>
    <w:rsid w:val="00E66532"/>
    <w:rsid w:val="00E67227"/>
    <w:rsid w:val="00E702DB"/>
    <w:rsid w:val="00E7077B"/>
    <w:rsid w:val="00E715C8"/>
    <w:rsid w:val="00E7613A"/>
    <w:rsid w:val="00E768A8"/>
    <w:rsid w:val="00E7708D"/>
    <w:rsid w:val="00E81B3E"/>
    <w:rsid w:val="00E846C8"/>
    <w:rsid w:val="00E865C2"/>
    <w:rsid w:val="00E92F2B"/>
    <w:rsid w:val="00E9361D"/>
    <w:rsid w:val="00E93C4A"/>
    <w:rsid w:val="00E96CF6"/>
    <w:rsid w:val="00E978EA"/>
    <w:rsid w:val="00EA6B08"/>
    <w:rsid w:val="00EB1B0A"/>
    <w:rsid w:val="00EB1B42"/>
    <w:rsid w:val="00EB60B2"/>
    <w:rsid w:val="00EB7780"/>
    <w:rsid w:val="00EC4F4B"/>
    <w:rsid w:val="00EC59DE"/>
    <w:rsid w:val="00EC6F2D"/>
    <w:rsid w:val="00EC7DB3"/>
    <w:rsid w:val="00ED1456"/>
    <w:rsid w:val="00ED2534"/>
    <w:rsid w:val="00ED3283"/>
    <w:rsid w:val="00ED3AFD"/>
    <w:rsid w:val="00ED3BD8"/>
    <w:rsid w:val="00ED5986"/>
    <w:rsid w:val="00ED7473"/>
    <w:rsid w:val="00EE37F4"/>
    <w:rsid w:val="00EE5644"/>
    <w:rsid w:val="00EF38E4"/>
    <w:rsid w:val="00EF70B6"/>
    <w:rsid w:val="00EF7A1F"/>
    <w:rsid w:val="00F0091D"/>
    <w:rsid w:val="00F023E6"/>
    <w:rsid w:val="00F0326D"/>
    <w:rsid w:val="00F061FE"/>
    <w:rsid w:val="00F143C1"/>
    <w:rsid w:val="00F20D44"/>
    <w:rsid w:val="00F20EAE"/>
    <w:rsid w:val="00F21F97"/>
    <w:rsid w:val="00F22127"/>
    <w:rsid w:val="00F27FDA"/>
    <w:rsid w:val="00F300EE"/>
    <w:rsid w:val="00F31192"/>
    <w:rsid w:val="00F3126C"/>
    <w:rsid w:val="00F31822"/>
    <w:rsid w:val="00F34E78"/>
    <w:rsid w:val="00F359F5"/>
    <w:rsid w:val="00F37C20"/>
    <w:rsid w:val="00F40DEE"/>
    <w:rsid w:val="00F526EC"/>
    <w:rsid w:val="00F56908"/>
    <w:rsid w:val="00F61EC3"/>
    <w:rsid w:val="00F63257"/>
    <w:rsid w:val="00F6760F"/>
    <w:rsid w:val="00F67B71"/>
    <w:rsid w:val="00F7329E"/>
    <w:rsid w:val="00F736AE"/>
    <w:rsid w:val="00F74A6C"/>
    <w:rsid w:val="00F85025"/>
    <w:rsid w:val="00F86288"/>
    <w:rsid w:val="00F87F1E"/>
    <w:rsid w:val="00F90479"/>
    <w:rsid w:val="00F90D0C"/>
    <w:rsid w:val="00F92E43"/>
    <w:rsid w:val="00F9363F"/>
    <w:rsid w:val="00F93A15"/>
    <w:rsid w:val="00F9540E"/>
    <w:rsid w:val="00F9577F"/>
    <w:rsid w:val="00F966B9"/>
    <w:rsid w:val="00F97BE7"/>
    <w:rsid w:val="00FA05D6"/>
    <w:rsid w:val="00FA2903"/>
    <w:rsid w:val="00FA74DD"/>
    <w:rsid w:val="00FB08FB"/>
    <w:rsid w:val="00FB16B7"/>
    <w:rsid w:val="00FB4147"/>
    <w:rsid w:val="00FB7C62"/>
    <w:rsid w:val="00FC0886"/>
    <w:rsid w:val="00FC1318"/>
    <w:rsid w:val="00FC51D1"/>
    <w:rsid w:val="00FC670C"/>
    <w:rsid w:val="00FD1991"/>
    <w:rsid w:val="00FD30EC"/>
    <w:rsid w:val="00FE05CF"/>
    <w:rsid w:val="00FE488E"/>
    <w:rsid w:val="010351AA"/>
    <w:rsid w:val="01154EDD"/>
    <w:rsid w:val="0116312F"/>
    <w:rsid w:val="01211AD4"/>
    <w:rsid w:val="014C4DA3"/>
    <w:rsid w:val="015D0D5E"/>
    <w:rsid w:val="01714809"/>
    <w:rsid w:val="01804A4C"/>
    <w:rsid w:val="0187402D"/>
    <w:rsid w:val="0192652E"/>
    <w:rsid w:val="01937D10"/>
    <w:rsid w:val="01C25065"/>
    <w:rsid w:val="01D60B10"/>
    <w:rsid w:val="01F36FCC"/>
    <w:rsid w:val="0204742C"/>
    <w:rsid w:val="020967F0"/>
    <w:rsid w:val="020E2058"/>
    <w:rsid w:val="02104022"/>
    <w:rsid w:val="0216715F"/>
    <w:rsid w:val="021B4775"/>
    <w:rsid w:val="02413036"/>
    <w:rsid w:val="02533C4C"/>
    <w:rsid w:val="02533F0F"/>
    <w:rsid w:val="026B1259"/>
    <w:rsid w:val="02895B83"/>
    <w:rsid w:val="028F0B41"/>
    <w:rsid w:val="02980700"/>
    <w:rsid w:val="02A8425B"/>
    <w:rsid w:val="02A91D81"/>
    <w:rsid w:val="02AB5AF9"/>
    <w:rsid w:val="02B01361"/>
    <w:rsid w:val="02B80F6E"/>
    <w:rsid w:val="02B96468"/>
    <w:rsid w:val="02CE2DE1"/>
    <w:rsid w:val="02CE3596"/>
    <w:rsid w:val="02F079B0"/>
    <w:rsid w:val="02F54FC6"/>
    <w:rsid w:val="02F56D74"/>
    <w:rsid w:val="02FA25DD"/>
    <w:rsid w:val="03011BBD"/>
    <w:rsid w:val="030516AD"/>
    <w:rsid w:val="03060F81"/>
    <w:rsid w:val="0313544C"/>
    <w:rsid w:val="031A67DB"/>
    <w:rsid w:val="031E451D"/>
    <w:rsid w:val="031F3DF1"/>
    <w:rsid w:val="032B09E8"/>
    <w:rsid w:val="03345AEF"/>
    <w:rsid w:val="035D17BD"/>
    <w:rsid w:val="035E0DBD"/>
    <w:rsid w:val="03726617"/>
    <w:rsid w:val="0374238F"/>
    <w:rsid w:val="03771E7F"/>
    <w:rsid w:val="0385459C"/>
    <w:rsid w:val="039267C6"/>
    <w:rsid w:val="03B15391"/>
    <w:rsid w:val="03B4023E"/>
    <w:rsid w:val="03B60BF9"/>
    <w:rsid w:val="03D94021"/>
    <w:rsid w:val="03DB0660"/>
    <w:rsid w:val="03E80687"/>
    <w:rsid w:val="03E868D9"/>
    <w:rsid w:val="03EB5DB4"/>
    <w:rsid w:val="03FB1766"/>
    <w:rsid w:val="040A684F"/>
    <w:rsid w:val="04221DEB"/>
    <w:rsid w:val="0433224A"/>
    <w:rsid w:val="043438CC"/>
    <w:rsid w:val="043A5387"/>
    <w:rsid w:val="04461F7D"/>
    <w:rsid w:val="0451447E"/>
    <w:rsid w:val="04561A95"/>
    <w:rsid w:val="04785EAF"/>
    <w:rsid w:val="047C599F"/>
    <w:rsid w:val="04874344"/>
    <w:rsid w:val="048B266E"/>
    <w:rsid w:val="049820AD"/>
    <w:rsid w:val="04C11604"/>
    <w:rsid w:val="04CC57D8"/>
    <w:rsid w:val="04CE3D21"/>
    <w:rsid w:val="04DF5F2E"/>
    <w:rsid w:val="04F82B4C"/>
    <w:rsid w:val="05065269"/>
    <w:rsid w:val="05243941"/>
    <w:rsid w:val="052851DF"/>
    <w:rsid w:val="053E0EA6"/>
    <w:rsid w:val="054144F3"/>
    <w:rsid w:val="05575AC4"/>
    <w:rsid w:val="055C757F"/>
    <w:rsid w:val="05634469"/>
    <w:rsid w:val="056F2E0E"/>
    <w:rsid w:val="057C377D"/>
    <w:rsid w:val="058B5A72"/>
    <w:rsid w:val="059A3C03"/>
    <w:rsid w:val="059E7B97"/>
    <w:rsid w:val="05A131E3"/>
    <w:rsid w:val="05A827C4"/>
    <w:rsid w:val="05C375FE"/>
    <w:rsid w:val="05C606DF"/>
    <w:rsid w:val="05DE7F94"/>
    <w:rsid w:val="06135E8F"/>
    <w:rsid w:val="06141C07"/>
    <w:rsid w:val="06171E91"/>
    <w:rsid w:val="062A49CA"/>
    <w:rsid w:val="063522A9"/>
    <w:rsid w:val="06565D7C"/>
    <w:rsid w:val="06581AF4"/>
    <w:rsid w:val="066A1827"/>
    <w:rsid w:val="06823015"/>
    <w:rsid w:val="0696261C"/>
    <w:rsid w:val="06B86A37"/>
    <w:rsid w:val="06BC02D5"/>
    <w:rsid w:val="06D51397"/>
    <w:rsid w:val="07041C7C"/>
    <w:rsid w:val="071F0864"/>
    <w:rsid w:val="074309F6"/>
    <w:rsid w:val="07610E7C"/>
    <w:rsid w:val="07691ADF"/>
    <w:rsid w:val="0781507A"/>
    <w:rsid w:val="079923C4"/>
    <w:rsid w:val="079A613C"/>
    <w:rsid w:val="07AB20F7"/>
    <w:rsid w:val="07B13BB2"/>
    <w:rsid w:val="07B80280"/>
    <w:rsid w:val="07BE1E2B"/>
    <w:rsid w:val="07D35EAA"/>
    <w:rsid w:val="07D72EEC"/>
    <w:rsid w:val="07E228F6"/>
    <w:rsid w:val="07E37AE3"/>
    <w:rsid w:val="07EF46DA"/>
    <w:rsid w:val="07F67816"/>
    <w:rsid w:val="0808754A"/>
    <w:rsid w:val="080F08D8"/>
    <w:rsid w:val="08123F24"/>
    <w:rsid w:val="08251EAA"/>
    <w:rsid w:val="08387E2F"/>
    <w:rsid w:val="08395955"/>
    <w:rsid w:val="0845254C"/>
    <w:rsid w:val="085602B5"/>
    <w:rsid w:val="085602C7"/>
    <w:rsid w:val="085E53BC"/>
    <w:rsid w:val="088B7718"/>
    <w:rsid w:val="089316BD"/>
    <w:rsid w:val="08955281"/>
    <w:rsid w:val="08A42D68"/>
    <w:rsid w:val="08C94F2B"/>
    <w:rsid w:val="08D15B8E"/>
    <w:rsid w:val="08D32307"/>
    <w:rsid w:val="08D37B58"/>
    <w:rsid w:val="08D613F6"/>
    <w:rsid w:val="08D85AAB"/>
    <w:rsid w:val="09000221"/>
    <w:rsid w:val="090A25E2"/>
    <w:rsid w:val="090E0B90"/>
    <w:rsid w:val="090F7036"/>
    <w:rsid w:val="09120680"/>
    <w:rsid w:val="09151F1E"/>
    <w:rsid w:val="094B2FBF"/>
    <w:rsid w:val="094E71DE"/>
    <w:rsid w:val="09540C99"/>
    <w:rsid w:val="0958005D"/>
    <w:rsid w:val="095A3DD5"/>
    <w:rsid w:val="09613FFA"/>
    <w:rsid w:val="09616F12"/>
    <w:rsid w:val="096D1D5A"/>
    <w:rsid w:val="09701178"/>
    <w:rsid w:val="09961279"/>
    <w:rsid w:val="09975029"/>
    <w:rsid w:val="09A3577C"/>
    <w:rsid w:val="09A83C44"/>
    <w:rsid w:val="09AE7AB6"/>
    <w:rsid w:val="09D1720D"/>
    <w:rsid w:val="09D26061"/>
    <w:rsid w:val="09DE3D12"/>
    <w:rsid w:val="09FE29B2"/>
    <w:rsid w:val="0A0501E5"/>
    <w:rsid w:val="0A072F1E"/>
    <w:rsid w:val="0A0F4BBF"/>
    <w:rsid w:val="0A3E36F7"/>
    <w:rsid w:val="0A4725AB"/>
    <w:rsid w:val="0A764C3F"/>
    <w:rsid w:val="0A782765"/>
    <w:rsid w:val="0A875314"/>
    <w:rsid w:val="0A892BC4"/>
    <w:rsid w:val="0A8E4236"/>
    <w:rsid w:val="0A9073EA"/>
    <w:rsid w:val="0AC0235E"/>
    <w:rsid w:val="0AC736EC"/>
    <w:rsid w:val="0AD4074E"/>
    <w:rsid w:val="0AD96F7B"/>
    <w:rsid w:val="0B1B7594"/>
    <w:rsid w:val="0B35200F"/>
    <w:rsid w:val="0B3C7C36"/>
    <w:rsid w:val="0B5C2086"/>
    <w:rsid w:val="0B7C0033"/>
    <w:rsid w:val="0B7E024F"/>
    <w:rsid w:val="0B8B64C8"/>
    <w:rsid w:val="0B8D2240"/>
    <w:rsid w:val="0B9F6417"/>
    <w:rsid w:val="0BB51797"/>
    <w:rsid w:val="0BC11EE9"/>
    <w:rsid w:val="0BCD4D32"/>
    <w:rsid w:val="0BD936D7"/>
    <w:rsid w:val="0BE300B2"/>
    <w:rsid w:val="0BE36304"/>
    <w:rsid w:val="0BF202F5"/>
    <w:rsid w:val="0BF56037"/>
    <w:rsid w:val="0BF57DE5"/>
    <w:rsid w:val="0C076567"/>
    <w:rsid w:val="0C1741FF"/>
    <w:rsid w:val="0C2D3A23"/>
    <w:rsid w:val="0C2E4A77"/>
    <w:rsid w:val="0C3C77C2"/>
    <w:rsid w:val="0C540FAF"/>
    <w:rsid w:val="0C566AD6"/>
    <w:rsid w:val="0C7A63E0"/>
    <w:rsid w:val="0C7B29E0"/>
    <w:rsid w:val="0C7E7DDA"/>
    <w:rsid w:val="0C887FEA"/>
    <w:rsid w:val="0C8E2B7B"/>
    <w:rsid w:val="0CC47EE3"/>
    <w:rsid w:val="0CD520F0"/>
    <w:rsid w:val="0D037C1E"/>
    <w:rsid w:val="0D166265"/>
    <w:rsid w:val="0D474670"/>
    <w:rsid w:val="0D4C6B70"/>
    <w:rsid w:val="0D5648B3"/>
    <w:rsid w:val="0D5F19BA"/>
    <w:rsid w:val="0D7511DD"/>
    <w:rsid w:val="0DCE6B40"/>
    <w:rsid w:val="0DD04666"/>
    <w:rsid w:val="0DEB5944"/>
    <w:rsid w:val="0DED5218"/>
    <w:rsid w:val="0E0367E9"/>
    <w:rsid w:val="0E0F33E0"/>
    <w:rsid w:val="0E26072A"/>
    <w:rsid w:val="0E2F3A82"/>
    <w:rsid w:val="0E3F3599"/>
    <w:rsid w:val="0E4D3F08"/>
    <w:rsid w:val="0E640652"/>
    <w:rsid w:val="0E7755D6"/>
    <w:rsid w:val="0E7B2823"/>
    <w:rsid w:val="0E811E04"/>
    <w:rsid w:val="0E8C2C83"/>
    <w:rsid w:val="0E8F62CF"/>
    <w:rsid w:val="0E924011"/>
    <w:rsid w:val="0E9B1118"/>
    <w:rsid w:val="0EB9159E"/>
    <w:rsid w:val="0EBF1F8F"/>
    <w:rsid w:val="0ED91C40"/>
    <w:rsid w:val="0EDD528C"/>
    <w:rsid w:val="0EF820C6"/>
    <w:rsid w:val="0EFB3964"/>
    <w:rsid w:val="0EFC050B"/>
    <w:rsid w:val="0F1113DA"/>
    <w:rsid w:val="0F2A5FF8"/>
    <w:rsid w:val="0F3F7CF5"/>
    <w:rsid w:val="0F403A6D"/>
    <w:rsid w:val="0F40581B"/>
    <w:rsid w:val="0F4870A8"/>
    <w:rsid w:val="0F5D63CD"/>
    <w:rsid w:val="0F716BCB"/>
    <w:rsid w:val="0F7560C5"/>
    <w:rsid w:val="0F76748F"/>
    <w:rsid w:val="0F7B6853"/>
    <w:rsid w:val="0F7F6343"/>
    <w:rsid w:val="0F971BAF"/>
    <w:rsid w:val="0F9C6EF5"/>
    <w:rsid w:val="0F9D3E41"/>
    <w:rsid w:val="0FA43FFC"/>
    <w:rsid w:val="0FCE40A0"/>
    <w:rsid w:val="0FD91EF8"/>
    <w:rsid w:val="0FE37E68"/>
    <w:rsid w:val="0FFD0140"/>
    <w:rsid w:val="0FFE0A7C"/>
    <w:rsid w:val="10022AD1"/>
    <w:rsid w:val="100D394F"/>
    <w:rsid w:val="100D7DF3"/>
    <w:rsid w:val="100F3B6B"/>
    <w:rsid w:val="101414CD"/>
    <w:rsid w:val="10216577"/>
    <w:rsid w:val="102B64CB"/>
    <w:rsid w:val="105570A4"/>
    <w:rsid w:val="10853E2D"/>
    <w:rsid w:val="10945E1E"/>
    <w:rsid w:val="10953945"/>
    <w:rsid w:val="109A425F"/>
    <w:rsid w:val="109C0C94"/>
    <w:rsid w:val="10BE4C49"/>
    <w:rsid w:val="10C34956"/>
    <w:rsid w:val="10CA5CE4"/>
    <w:rsid w:val="10E87F18"/>
    <w:rsid w:val="10EA0134"/>
    <w:rsid w:val="10EA5A3E"/>
    <w:rsid w:val="10EF5618"/>
    <w:rsid w:val="10F7015B"/>
    <w:rsid w:val="10F77955"/>
    <w:rsid w:val="10F81858"/>
    <w:rsid w:val="11012F1E"/>
    <w:rsid w:val="110F2985"/>
    <w:rsid w:val="111927C8"/>
    <w:rsid w:val="11254CC9"/>
    <w:rsid w:val="114F1D45"/>
    <w:rsid w:val="114F49B1"/>
    <w:rsid w:val="11731ED8"/>
    <w:rsid w:val="11763776"/>
    <w:rsid w:val="11812847"/>
    <w:rsid w:val="11884760"/>
    <w:rsid w:val="119963B9"/>
    <w:rsid w:val="119A56B6"/>
    <w:rsid w:val="119C142F"/>
    <w:rsid w:val="11A65EF9"/>
    <w:rsid w:val="11AD468B"/>
    <w:rsid w:val="11B85B3D"/>
    <w:rsid w:val="11B86BCD"/>
    <w:rsid w:val="11CD10A4"/>
    <w:rsid w:val="11D22345"/>
    <w:rsid w:val="11D566EF"/>
    <w:rsid w:val="11EE77B0"/>
    <w:rsid w:val="121216F1"/>
    <w:rsid w:val="121F5EB1"/>
    <w:rsid w:val="123059FE"/>
    <w:rsid w:val="12311C0F"/>
    <w:rsid w:val="123A0C48"/>
    <w:rsid w:val="123C49C0"/>
    <w:rsid w:val="12483364"/>
    <w:rsid w:val="124B589E"/>
    <w:rsid w:val="125A6BF4"/>
    <w:rsid w:val="126D4B79"/>
    <w:rsid w:val="127203E1"/>
    <w:rsid w:val="12791770"/>
    <w:rsid w:val="128A74D9"/>
    <w:rsid w:val="12922832"/>
    <w:rsid w:val="12955E7E"/>
    <w:rsid w:val="12AA36D7"/>
    <w:rsid w:val="12E82452"/>
    <w:rsid w:val="12F72695"/>
    <w:rsid w:val="13021765"/>
    <w:rsid w:val="131B2827"/>
    <w:rsid w:val="13286CF2"/>
    <w:rsid w:val="1329670B"/>
    <w:rsid w:val="134D0507"/>
    <w:rsid w:val="135915A9"/>
    <w:rsid w:val="135B0E75"/>
    <w:rsid w:val="135B70C7"/>
    <w:rsid w:val="13702B73"/>
    <w:rsid w:val="137F4B64"/>
    <w:rsid w:val="138A3509"/>
    <w:rsid w:val="13B16CE7"/>
    <w:rsid w:val="13B567D8"/>
    <w:rsid w:val="13E96481"/>
    <w:rsid w:val="13EC7D20"/>
    <w:rsid w:val="13F53078"/>
    <w:rsid w:val="13F84916"/>
    <w:rsid w:val="13F87033"/>
    <w:rsid w:val="140851BD"/>
    <w:rsid w:val="140C4AB9"/>
    <w:rsid w:val="1418439F"/>
    <w:rsid w:val="142E658A"/>
    <w:rsid w:val="143A4F2F"/>
    <w:rsid w:val="143C37E1"/>
    <w:rsid w:val="143C4803"/>
    <w:rsid w:val="144731A8"/>
    <w:rsid w:val="145E0C1D"/>
    <w:rsid w:val="14665D24"/>
    <w:rsid w:val="146E4BD8"/>
    <w:rsid w:val="147C10A3"/>
    <w:rsid w:val="149A3C1F"/>
    <w:rsid w:val="14A0371A"/>
    <w:rsid w:val="14A14FAE"/>
    <w:rsid w:val="14A16D5C"/>
    <w:rsid w:val="14D7452C"/>
    <w:rsid w:val="14F43330"/>
    <w:rsid w:val="15064E11"/>
    <w:rsid w:val="150D619F"/>
    <w:rsid w:val="15165B41"/>
    <w:rsid w:val="152C7232"/>
    <w:rsid w:val="152C7701"/>
    <w:rsid w:val="152D239E"/>
    <w:rsid w:val="15400323"/>
    <w:rsid w:val="15451DDD"/>
    <w:rsid w:val="15565D98"/>
    <w:rsid w:val="155913E5"/>
    <w:rsid w:val="15714980"/>
    <w:rsid w:val="15897F1C"/>
    <w:rsid w:val="158E72E0"/>
    <w:rsid w:val="15A20FDE"/>
    <w:rsid w:val="15B14D7D"/>
    <w:rsid w:val="15B8435D"/>
    <w:rsid w:val="15E433A4"/>
    <w:rsid w:val="15F31839"/>
    <w:rsid w:val="15F95E1C"/>
    <w:rsid w:val="16005D04"/>
    <w:rsid w:val="160457F4"/>
    <w:rsid w:val="16066C7F"/>
    <w:rsid w:val="162E461F"/>
    <w:rsid w:val="163D0D06"/>
    <w:rsid w:val="164756E1"/>
    <w:rsid w:val="166B13D0"/>
    <w:rsid w:val="16832BBD"/>
    <w:rsid w:val="169026A4"/>
    <w:rsid w:val="169C5A2D"/>
    <w:rsid w:val="169D3553"/>
    <w:rsid w:val="16A13043"/>
    <w:rsid w:val="16B0772A"/>
    <w:rsid w:val="16B26B34"/>
    <w:rsid w:val="16BE59A3"/>
    <w:rsid w:val="16CD208A"/>
    <w:rsid w:val="16D03928"/>
    <w:rsid w:val="16D927DD"/>
    <w:rsid w:val="16DE6045"/>
    <w:rsid w:val="170830C2"/>
    <w:rsid w:val="171A0BFF"/>
    <w:rsid w:val="17321EED"/>
    <w:rsid w:val="173914CE"/>
    <w:rsid w:val="174B2FAF"/>
    <w:rsid w:val="176522C3"/>
    <w:rsid w:val="176A7112"/>
    <w:rsid w:val="17716EB9"/>
    <w:rsid w:val="17C27715"/>
    <w:rsid w:val="17C72346"/>
    <w:rsid w:val="17CA481C"/>
    <w:rsid w:val="17D82A95"/>
    <w:rsid w:val="17EC6540"/>
    <w:rsid w:val="18055854"/>
    <w:rsid w:val="18267CA4"/>
    <w:rsid w:val="182A7068"/>
    <w:rsid w:val="183A374F"/>
    <w:rsid w:val="184B14B9"/>
    <w:rsid w:val="18561C0B"/>
    <w:rsid w:val="18574301"/>
    <w:rsid w:val="185760AF"/>
    <w:rsid w:val="185C1918"/>
    <w:rsid w:val="1864257A"/>
    <w:rsid w:val="18792C53"/>
    <w:rsid w:val="187A3B4C"/>
    <w:rsid w:val="187D363C"/>
    <w:rsid w:val="188744BB"/>
    <w:rsid w:val="18876269"/>
    <w:rsid w:val="18A64941"/>
    <w:rsid w:val="18C63235"/>
    <w:rsid w:val="18D53478"/>
    <w:rsid w:val="18DE057F"/>
    <w:rsid w:val="18E15979"/>
    <w:rsid w:val="190478B9"/>
    <w:rsid w:val="190E24E6"/>
    <w:rsid w:val="191C10A7"/>
    <w:rsid w:val="192F4936"/>
    <w:rsid w:val="19397563"/>
    <w:rsid w:val="19483C4A"/>
    <w:rsid w:val="194A1770"/>
    <w:rsid w:val="19616ABA"/>
    <w:rsid w:val="196640D0"/>
    <w:rsid w:val="196F7429"/>
    <w:rsid w:val="19727C40"/>
    <w:rsid w:val="197E766C"/>
    <w:rsid w:val="198253AE"/>
    <w:rsid w:val="198F7ACB"/>
    <w:rsid w:val="199B021E"/>
    <w:rsid w:val="19A03A86"/>
    <w:rsid w:val="19A55968"/>
    <w:rsid w:val="19A73811"/>
    <w:rsid w:val="19AD1CFF"/>
    <w:rsid w:val="19AF3CC9"/>
    <w:rsid w:val="19B17A41"/>
    <w:rsid w:val="19C21C4E"/>
    <w:rsid w:val="19C332D1"/>
    <w:rsid w:val="19D13C3F"/>
    <w:rsid w:val="19D76D7C"/>
    <w:rsid w:val="19E219A9"/>
    <w:rsid w:val="1A226249"/>
    <w:rsid w:val="1A2521DD"/>
    <w:rsid w:val="1A352420"/>
    <w:rsid w:val="1A3D3083"/>
    <w:rsid w:val="1A3F504D"/>
    <w:rsid w:val="1A620D3B"/>
    <w:rsid w:val="1A66082C"/>
    <w:rsid w:val="1A7647E7"/>
    <w:rsid w:val="1A7975BC"/>
    <w:rsid w:val="1A7A7E33"/>
    <w:rsid w:val="1A935399"/>
    <w:rsid w:val="1A946A23"/>
    <w:rsid w:val="1A9B129F"/>
    <w:rsid w:val="1AA475A6"/>
    <w:rsid w:val="1AA9696A"/>
    <w:rsid w:val="1AAD645B"/>
    <w:rsid w:val="1AAE3F81"/>
    <w:rsid w:val="1AB53561"/>
    <w:rsid w:val="1ABD5F72"/>
    <w:rsid w:val="1ACE4623"/>
    <w:rsid w:val="1AD87250"/>
    <w:rsid w:val="1AEF6A73"/>
    <w:rsid w:val="1AFF658A"/>
    <w:rsid w:val="1B0B13D3"/>
    <w:rsid w:val="1B186471"/>
    <w:rsid w:val="1B26620D"/>
    <w:rsid w:val="1B2832AD"/>
    <w:rsid w:val="1B285AE1"/>
    <w:rsid w:val="1B302BE8"/>
    <w:rsid w:val="1B3721C8"/>
    <w:rsid w:val="1B373F76"/>
    <w:rsid w:val="1B5671D6"/>
    <w:rsid w:val="1B5E6A1E"/>
    <w:rsid w:val="1B72274E"/>
    <w:rsid w:val="1B75684C"/>
    <w:rsid w:val="1B862808"/>
    <w:rsid w:val="1B86315A"/>
    <w:rsid w:val="1B972C67"/>
    <w:rsid w:val="1B974A15"/>
    <w:rsid w:val="1BA23AE5"/>
    <w:rsid w:val="1BC021BE"/>
    <w:rsid w:val="1BCA303C"/>
    <w:rsid w:val="1BD6378F"/>
    <w:rsid w:val="1BE834C2"/>
    <w:rsid w:val="1BEC6B0F"/>
    <w:rsid w:val="1BF12377"/>
    <w:rsid w:val="1C0675DD"/>
    <w:rsid w:val="1C112A19"/>
    <w:rsid w:val="1C194510"/>
    <w:rsid w:val="1C2A3ADB"/>
    <w:rsid w:val="1C2C1601"/>
    <w:rsid w:val="1C3B7A96"/>
    <w:rsid w:val="1C3F7586"/>
    <w:rsid w:val="1C4E77C9"/>
    <w:rsid w:val="1C556DAA"/>
    <w:rsid w:val="1C5A4493"/>
    <w:rsid w:val="1C6D202A"/>
    <w:rsid w:val="1C8F00F4"/>
    <w:rsid w:val="1C901B90"/>
    <w:rsid w:val="1C997BE2"/>
    <w:rsid w:val="1C9A2A0F"/>
    <w:rsid w:val="1CA53161"/>
    <w:rsid w:val="1CBB2985"/>
    <w:rsid w:val="1CBC0BD7"/>
    <w:rsid w:val="1CBD04AB"/>
    <w:rsid w:val="1CBD66FD"/>
    <w:rsid w:val="1CCF653B"/>
    <w:rsid w:val="1CD407F7"/>
    <w:rsid w:val="1D100F23"/>
    <w:rsid w:val="1D13631D"/>
    <w:rsid w:val="1D320E99"/>
    <w:rsid w:val="1D5F39CE"/>
    <w:rsid w:val="1D70551D"/>
    <w:rsid w:val="1D970CFC"/>
    <w:rsid w:val="1D9F08EF"/>
    <w:rsid w:val="1DA0667E"/>
    <w:rsid w:val="1DCF0982"/>
    <w:rsid w:val="1DDC0E05"/>
    <w:rsid w:val="1DF4614E"/>
    <w:rsid w:val="1E03354B"/>
    <w:rsid w:val="1E594203"/>
    <w:rsid w:val="1E5B441F"/>
    <w:rsid w:val="1E6908EA"/>
    <w:rsid w:val="1E6A6411"/>
    <w:rsid w:val="1E6E167D"/>
    <w:rsid w:val="1E7068A1"/>
    <w:rsid w:val="1E8B7A5A"/>
    <w:rsid w:val="1E8F40C9"/>
    <w:rsid w:val="1E935967"/>
    <w:rsid w:val="1E984D2C"/>
    <w:rsid w:val="1EAB0F03"/>
    <w:rsid w:val="1EB4768C"/>
    <w:rsid w:val="1EC41FC5"/>
    <w:rsid w:val="1EC51899"/>
    <w:rsid w:val="1ED52C32"/>
    <w:rsid w:val="1EDB2E6A"/>
    <w:rsid w:val="1EEC5078"/>
    <w:rsid w:val="1EFA1543"/>
    <w:rsid w:val="1F057418"/>
    <w:rsid w:val="1F143C56"/>
    <w:rsid w:val="1F170346"/>
    <w:rsid w:val="1F372797"/>
    <w:rsid w:val="1F3C1B5B"/>
    <w:rsid w:val="1F422EEA"/>
    <w:rsid w:val="1F427E7B"/>
    <w:rsid w:val="1F460C2C"/>
    <w:rsid w:val="1F5844BB"/>
    <w:rsid w:val="1F6D440A"/>
    <w:rsid w:val="1F7237CF"/>
    <w:rsid w:val="1FAD0CAB"/>
    <w:rsid w:val="1FBD1F85"/>
    <w:rsid w:val="1FBD77CF"/>
    <w:rsid w:val="1FD224BF"/>
    <w:rsid w:val="1FD71884"/>
    <w:rsid w:val="1FD91AA0"/>
    <w:rsid w:val="1FDC6E9A"/>
    <w:rsid w:val="1FE859DE"/>
    <w:rsid w:val="1FEF3071"/>
    <w:rsid w:val="20016901"/>
    <w:rsid w:val="20191E9C"/>
    <w:rsid w:val="20280331"/>
    <w:rsid w:val="20360CA0"/>
    <w:rsid w:val="203B0065"/>
    <w:rsid w:val="203D202F"/>
    <w:rsid w:val="204F7046"/>
    <w:rsid w:val="20523600"/>
    <w:rsid w:val="20564928"/>
    <w:rsid w:val="2059673D"/>
    <w:rsid w:val="2060354F"/>
    <w:rsid w:val="206770AC"/>
    <w:rsid w:val="207D68CF"/>
    <w:rsid w:val="208512E0"/>
    <w:rsid w:val="208A4B48"/>
    <w:rsid w:val="208F03B0"/>
    <w:rsid w:val="20A91472"/>
    <w:rsid w:val="20AC0F62"/>
    <w:rsid w:val="20BB11A5"/>
    <w:rsid w:val="20BB73F7"/>
    <w:rsid w:val="20C52024"/>
    <w:rsid w:val="20D2688F"/>
    <w:rsid w:val="20D858B3"/>
    <w:rsid w:val="20F74266"/>
    <w:rsid w:val="21110DC5"/>
    <w:rsid w:val="21124EED"/>
    <w:rsid w:val="21270241"/>
    <w:rsid w:val="213029F3"/>
    <w:rsid w:val="21555156"/>
    <w:rsid w:val="219263AA"/>
    <w:rsid w:val="21BC51D5"/>
    <w:rsid w:val="21C66054"/>
    <w:rsid w:val="21D02A2F"/>
    <w:rsid w:val="21DA565B"/>
    <w:rsid w:val="21E464DA"/>
    <w:rsid w:val="2208041A"/>
    <w:rsid w:val="221548E5"/>
    <w:rsid w:val="22244B28"/>
    <w:rsid w:val="22323EC7"/>
    <w:rsid w:val="223252CE"/>
    <w:rsid w:val="22552F34"/>
    <w:rsid w:val="226A69DF"/>
    <w:rsid w:val="226F0499"/>
    <w:rsid w:val="228F4698"/>
    <w:rsid w:val="229323DA"/>
    <w:rsid w:val="22982CDA"/>
    <w:rsid w:val="22A068A5"/>
    <w:rsid w:val="22A31EF1"/>
    <w:rsid w:val="22CA3922"/>
    <w:rsid w:val="22DF73CD"/>
    <w:rsid w:val="22E04EF3"/>
    <w:rsid w:val="22F43AF7"/>
    <w:rsid w:val="22F97D63"/>
    <w:rsid w:val="2309444A"/>
    <w:rsid w:val="23137077"/>
    <w:rsid w:val="231B7FFE"/>
    <w:rsid w:val="231E67DF"/>
    <w:rsid w:val="23425BAE"/>
    <w:rsid w:val="23627FFE"/>
    <w:rsid w:val="23660F82"/>
    <w:rsid w:val="236773C3"/>
    <w:rsid w:val="236A036F"/>
    <w:rsid w:val="236E0751"/>
    <w:rsid w:val="238735C1"/>
    <w:rsid w:val="239C5315"/>
    <w:rsid w:val="23A67EEB"/>
    <w:rsid w:val="23A77580"/>
    <w:rsid w:val="23B05355"/>
    <w:rsid w:val="23E34687"/>
    <w:rsid w:val="23E40A13"/>
    <w:rsid w:val="23F0560A"/>
    <w:rsid w:val="23F76998"/>
    <w:rsid w:val="23F92711"/>
    <w:rsid w:val="23FC3FAF"/>
    <w:rsid w:val="242517FE"/>
    <w:rsid w:val="242D23BA"/>
    <w:rsid w:val="243E45C7"/>
    <w:rsid w:val="244009AF"/>
    <w:rsid w:val="244514B2"/>
    <w:rsid w:val="244B2840"/>
    <w:rsid w:val="24521E21"/>
    <w:rsid w:val="248F097F"/>
    <w:rsid w:val="24A81A41"/>
    <w:rsid w:val="24B14D99"/>
    <w:rsid w:val="24CC07F0"/>
    <w:rsid w:val="24D46CDA"/>
    <w:rsid w:val="25265FB3"/>
    <w:rsid w:val="253D662D"/>
    <w:rsid w:val="253F66A7"/>
    <w:rsid w:val="25457290"/>
    <w:rsid w:val="25486290"/>
    <w:rsid w:val="25514622"/>
    <w:rsid w:val="256C0CC0"/>
    <w:rsid w:val="25754019"/>
    <w:rsid w:val="257E6708"/>
    <w:rsid w:val="25867FD4"/>
    <w:rsid w:val="25873D4C"/>
    <w:rsid w:val="259D70CC"/>
    <w:rsid w:val="25AF3943"/>
    <w:rsid w:val="25C44658"/>
    <w:rsid w:val="25F211C5"/>
    <w:rsid w:val="25FD2DBC"/>
    <w:rsid w:val="26084E8D"/>
    <w:rsid w:val="260C02FD"/>
    <w:rsid w:val="260E2C1D"/>
    <w:rsid w:val="26143832"/>
    <w:rsid w:val="261F2A16"/>
    <w:rsid w:val="262B46D7"/>
    <w:rsid w:val="264F486A"/>
    <w:rsid w:val="265C0D35"/>
    <w:rsid w:val="26775B6F"/>
    <w:rsid w:val="267E6EFD"/>
    <w:rsid w:val="268F2EB8"/>
    <w:rsid w:val="26B66697"/>
    <w:rsid w:val="26BE379D"/>
    <w:rsid w:val="26CF59AB"/>
    <w:rsid w:val="26CF7759"/>
    <w:rsid w:val="26D1527F"/>
    <w:rsid w:val="26D42FC1"/>
    <w:rsid w:val="26D703BB"/>
    <w:rsid w:val="26E01966"/>
    <w:rsid w:val="26F13BBA"/>
    <w:rsid w:val="26F45411"/>
    <w:rsid w:val="26F77447"/>
    <w:rsid w:val="270218DC"/>
    <w:rsid w:val="27165388"/>
    <w:rsid w:val="272555CB"/>
    <w:rsid w:val="27455C6D"/>
    <w:rsid w:val="27457A1B"/>
    <w:rsid w:val="276460F3"/>
    <w:rsid w:val="27653C19"/>
    <w:rsid w:val="277D0F63"/>
    <w:rsid w:val="27985D9D"/>
    <w:rsid w:val="279938C3"/>
    <w:rsid w:val="28153891"/>
    <w:rsid w:val="281E48C0"/>
    <w:rsid w:val="281E4BA9"/>
    <w:rsid w:val="28235FAE"/>
    <w:rsid w:val="2843184F"/>
    <w:rsid w:val="285F2031"/>
    <w:rsid w:val="286B1703"/>
    <w:rsid w:val="286F11F3"/>
    <w:rsid w:val="288840A9"/>
    <w:rsid w:val="28932352"/>
    <w:rsid w:val="2895052E"/>
    <w:rsid w:val="28B46C06"/>
    <w:rsid w:val="28B60BD0"/>
    <w:rsid w:val="28C332ED"/>
    <w:rsid w:val="28EC348F"/>
    <w:rsid w:val="291838D8"/>
    <w:rsid w:val="292D74C4"/>
    <w:rsid w:val="29426E56"/>
    <w:rsid w:val="2973086F"/>
    <w:rsid w:val="297D524A"/>
    <w:rsid w:val="2995263B"/>
    <w:rsid w:val="29986528"/>
    <w:rsid w:val="29A50C45"/>
    <w:rsid w:val="29A924E3"/>
    <w:rsid w:val="29AF561F"/>
    <w:rsid w:val="29B03871"/>
    <w:rsid w:val="29B551FF"/>
    <w:rsid w:val="29D55086"/>
    <w:rsid w:val="29DD3F3B"/>
    <w:rsid w:val="29E208F7"/>
    <w:rsid w:val="29E21765"/>
    <w:rsid w:val="29E90B31"/>
    <w:rsid w:val="2A007C29"/>
    <w:rsid w:val="2A0239A1"/>
    <w:rsid w:val="2A13795C"/>
    <w:rsid w:val="2A1F09F7"/>
    <w:rsid w:val="2A1F4553"/>
    <w:rsid w:val="2A261D85"/>
    <w:rsid w:val="2A3049B2"/>
    <w:rsid w:val="2A4E308A"/>
    <w:rsid w:val="2A6308E4"/>
    <w:rsid w:val="2A8D3BB3"/>
    <w:rsid w:val="2A9767DF"/>
    <w:rsid w:val="2A992557"/>
    <w:rsid w:val="2AAB5DE7"/>
    <w:rsid w:val="2AB23619"/>
    <w:rsid w:val="2AD01CF1"/>
    <w:rsid w:val="2AD96DF8"/>
    <w:rsid w:val="2AEF2177"/>
    <w:rsid w:val="2AEF3F25"/>
    <w:rsid w:val="2AFC2AE6"/>
    <w:rsid w:val="2AFE23BA"/>
    <w:rsid w:val="2B0F6376"/>
    <w:rsid w:val="2B1B2F6C"/>
    <w:rsid w:val="2B367DA6"/>
    <w:rsid w:val="2B4D6E9E"/>
    <w:rsid w:val="2B571E47"/>
    <w:rsid w:val="2B5E554F"/>
    <w:rsid w:val="2B844FB6"/>
    <w:rsid w:val="2B8A1EA0"/>
    <w:rsid w:val="2B8E7BE2"/>
    <w:rsid w:val="2BAA42F0"/>
    <w:rsid w:val="2BD82C0B"/>
    <w:rsid w:val="2C300C99"/>
    <w:rsid w:val="2C3B319A"/>
    <w:rsid w:val="2C491D5B"/>
    <w:rsid w:val="2C49278B"/>
    <w:rsid w:val="2C6646BB"/>
    <w:rsid w:val="2C7548FE"/>
    <w:rsid w:val="2C934D84"/>
    <w:rsid w:val="2CBE225A"/>
    <w:rsid w:val="2CBE62A5"/>
    <w:rsid w:val="2CC94C4A"/>
    <w:rsid w:val="2CCA4573"/>
    <w:rsid w:val="2CD02486"/>
    <w:rsid w:val="2CEB2E12"/>
    <w:rsid w:val="2CEF46B1"/>
    <w:rsid w:val="2CF47F19"/>
    <w:rsid w:val="2D0B289E"/>
    <w:rsid w:val="2D0B7011"/>
    <w:rsid w:val="2D141616"/>
    <w:rsid w:val="2D2C4370"/>
    <w:rsid w:val="2D3622E0"/>
    <w:rsid w:val="2D3B78F6"/>
    <w:rsid w:val="2D423B81"/>
    <w:rsid w:val="2D616C31"/>
    <w:rsid w:val="2D945258"/>
    <w:rsid w:val="2D99286E"/>
    <w:rsid w:val="2D9E7E85"/>
    <w:rsid w:val="2DB31B82"/>
    <w:rsid w:val="2DB96A6D"/>
    <w:rsid w:val="2DC55411"/>
    <w:rsid w:val="2DCF0DA2"/>
    <w:rsid w:val="2DD11C4F"/>
    <w:rsid w:val="2DE57862"/>
    <w:rsid w:val="2E0028ED"/>
    <w:rsid w:val="2E0C3040"/>
    <w:rsid w:val="2E1343CF"/>
    <w:rsid w:val="2E187C37"/>
    <w:rsid w:val="2E67296D"/>
    <w:rsid w:val="2E7A61FC"/>
    <w:rsid w:val="2E8452CD"/>
    <w:rsid w:val="2EA25753"/>
    <w:rsid w:val="2EB63E47"/>
    <w:rsid w:val="2EB711FE"/>
    <w:rsid w:val="2EC67693"/>
    <w:rsid w:val="2ED81359"/>
    <w:rsid w:val="2EDF0755"/>
    <w:rsid w:val="2EF835C5"/>
    <w:rsid w:val="2F0401BB"/>
    <w:rsid w:val="2F106B60"/>
    <w:rsid w:val="2F1523C9"/>
    <w:rsid w:val="2F177EEF"/>
    <w:rsid w:val="2F300FB0"/>
    <w:rsid w:val="2F392B5B"/>
    <w:rsid w:val="2F464330"/>
    <w:rsid w:val="2F4F1437"/>
    <w:rsid w:val="2F745341"/>
    <w:rsid w:val="2F7B047E"/>
    <w:rsid w:val="2F7B237E"/>
    <w:rsid w:val="2FB41BE1"/>
    <w:rsid w:val="2FC17E5A"/>
    <w:rsid w:val="2FD90A30"/>
    <w:rsid w:val="2FDE27BA"/>
    <w:rsid w:val="2FE53B49"/>
    <w:rsid w:val="2FF16992"/>
    <w:rsid w:val="2FF63FA8"/>
    <w:rsid w:val="2FFB15BE"/>
    <w:rsid w:val="3002294D"/>
    <w:rsid w:val="300541EB"/>
    <w:rsid w:val="30077F63"/>
    <w:rsid w:val="30093CDB"/>
    <w:rsid w:val="300F0BC6"/>
    <w:rsid w:val="301A5EE8"/>
    <w:rsid w:val="301D32E3"/>
    <w:rsid w:val="3025488D"/>
    <w:rsid w:val="30274161"/>
    <w:rsid w:val="302E3742"/>
    <w:rsid w:val="30422D49"/>
    <w:rsid w:val="30444D13"/>
    <w:rsid w:val="307C26FF"/>
    <w:rsid w:val="307F7AFA"/>
    <w:rsid w:val="3082583C"/>
    <w:rsid w:val="30874C00"/>
    <w:rsid w:val="309F63EE"/>
    <w:rsid w:val="30A97174"/>
    <w:rsid w:val="30AC4667"/>
    <w:rsid w:val="30CB2D3F"/>
    <w:rsid w:val="30DC13F0"/>
    <w:rsid w:val="30DC4F4C"/>
    <w:rsid w:val="310B5831"/>
    <w:rsid w:val="31140B8A"/>
    <w:rsid w:val="311A40E8"/>
    <w:rsid w:val="31207BA9"/>
    <w:rsid w:val="312D39F9"/>
    <w:rsid w:val="31327262"/>
    <w:rsid w:val="313E1B38"/>
    <w:rsid w:val="313F372D"/>
    <w:rsid w:val="314D409C"/>
    <w:rsid w:val="314E571E"/>
    <w:rsid w:val="316A69FC"/>
    <w:rsid w:val="316F4012"/>
    <w:rsid w:val="318A49A8"/>
    <w:rsid w:val="318B6972"/>
    <w:rsid w:val="318D4498"/>
    <w:rsid w:val="31943597"/>
    <w:rsid w:val="31973569"/>
    <w:rsid w:val="31A33CBC"/>
    <w:rsid w:val="31A812D2"/>
    <w:rsid w:val="31BB1005"/>
    <w:rsid w:val="31C559E0"/>
    <w:rsid w:val="31CE34E0"/>
    <w:rsid w:val="31E57E30"/>
    <w:rsid w:val="31F369F1"/>
    <w:rsid w:val="31F9181A"/>
    <w:rsid w:val="3210786C"/>
    <w:rsid w:val="322C5A5F"/>
    <w:rsid w:val="322F37A1"/>
    <w:rsid w:val="32384404"/>
    <w:rsid w:val="324E1E79"/>
    <w:rsid w:val="325300AA"/>
    <w:rsid w:val="32582CF8"/>
    <w:rsid w:val="32796CA8"/>
    <w:rsid w:val="327A0EC0"/>
    <w:rsid w:val="32851613"/>
    <w:rsid w:val="328F5FEE"/>
    <w:rsid w:val="329830F5"/>
    <w:rsid w:val="329F4483"/>
    <w:rsid w:val="32A731D7"/>
    <w:rsid w:val="32A86625"/>
    <w:rsid w:val="32AA2E28"/>
    <w:rsid w:val="32BD2D68"/>
    <w:rsid w:val="32C453D4"/>
    <w:rsid w:val="32DC56D7"/>
    <w:rsid w:val="32F270A5"/>
    <w:rsid w:val="32FA5B5D"/>
    <w:rsid w:val="3301513E"/>
    <w:rsid w:val="331309CD"/>
    <w:rsid w:val="3317670F"/>
    <w:rsid w:val="33296443"/>
    <w:rsid w:val="335A65FC"/>
    <w:rsid w:val="33641229"/>
    <w:rsid w:val="339C09C3"/>
    <w:rsid w:val="33A361F5"/>
    <w:rsid w:val="33AD3D2D"/>
    <w:rsid w:val="33B10912"/>
    <w:rsid w:val="33B87479"/>
    <w:rsid w:val="33C85C5B"/>
    <w:rsid w:val="33E67E90"/>
    <w:rsid w:val="33FC5673"/>
    <w:rsid w:val="34046603"/>
    <w:rsid w:val="340C3D9A"/>
    <w:rsid w:val="34142C4F"/>
    <w:rsid w:val="341442B0"/>
    <w:rsid w:val="341E587B"/>
    <w:rsid w:val="342D5ABF"/>
    <w:rsid w:val="342F7A89"/>
    <w:rsid w:val="34362BC5"/>
    <w:rsid w:val="343668E0"/>
    <w:rsid w:val="344E43B3"/>
    <w:rsid w:val="345D2848"/>
    <w:rsid w:val="34655620"/>
    <w:rsid w:val="346C2A8B"/>
    <w:rsid w:val="346E05B1"/>
    <w:rsid w:val="34703567"/>
    <w:rsid w:val="34757B91"/>
    <w:rsid w:val="34784F8C"/>
    <w:rsid w:val="34790D04"/>
    <w:rsid w:val="3482405C"/>
    <w:rsid w:val="348576A9"/>
    <w:rsid w:val="34B61F58"/>
    <w:rsid w:val="34CA155F"/>
    <w:rsid w:val="34DA3E98"/>
    <w:rsid w:val="34DB19BE"/>
    <w:rsid w:val="34EF0FC6"/>
    <w:rsid w:val="34FA3BF3"/>
    <w:rsid w:val="350C7DCA"/>
    <w:rsid w:val="350E3B42"/>
    <w:rsid w:val="352567D5"/>
    <w:rsid w:val="352B0250"/>
    <w:rsid w:val="355157DD"/>
    <w:rsid w:val="35581EC0"/>
    <w:rsid w:val="35584DBD"/>
    <w:rsid w:val="355E6877"/>
    <w:rsid w:val="35613C72"/>
    <w:rsid w:val="357945E5"/>
    <w:rsid w:val="35AB75E3"/>
    <w:rsid w:val="35BE10C4"/>
    <w:rsid w:val="35DB7EC8"/>
    <w:rsid w:val="35DC779C"/>
    <w:rsid w:val="35EB4E8F"/>
    <w:rsid w:val="35ED3757"/>
    <w:rsid w:val="35ED7BFB"/>
    <w:rsid w:val="35F363F2"/>
    <w:rsid w:val="35FC01D3"/>
    <w:rsid w:val="36022B8E"/>
    <w:rsid w:val="36140CE4"/>
    <w:rsid w:val="36145188"/>
    <w:rsid w:val="361A1322"/>
    <w:rsid w:val="36455341"/>
    <w:rsid w:val="364631FA"/>
    <w:rsid w:val="364C2B74"/>
    <w:rsid w:val="36511F38"/>
    <w:rsid w:val="3656754F"/>
    <w:rsid w:val="366F0610"/>
    <w:rsid w:val="367B0D63"/>
    <w:rsid w:val="36963DEF"/>
    <w:rsid w:val="36965812"/>
    <w:rsid w:val="36A75782"/>
    <w:rsid w:val="36A75FFC"/>
    <w:rsid w:val="36B228CB"/>
    <w:rsid w:val="36B85B13"/>
    <w:rsid w:val="36B9188B"/>
    <w:rsid w:val="36BB5604"/>
    <w:rsid w:val="36C02C1A"/>
    <w:rsid w:val="36C721FA"/>
    <w:rsid w:val="36FD3E6E"/>
    <w:rsid w:val="371371EE"/>
    <w:rsid w:val="371D006C"/>
    <w:rsid w:val="372C6501"/>
    <w:rsid w:val="374B4E10"/>
    <w:rsid w:val="375C0B95"/>
    <w:rsid w:val="376911DC"/>
    <w:rsid w:val="376B702A"/>
    <w:rsid w:val="377A7D19"/>
    <w:rsid w:val="3790083E"/>
    <w:rsid w:val="37931D11"/>
    <w:rsid w:val="3798092F"/>
    <w:rsid w:val="379C71E3"/>
    <w:rsid w:val="37CB0B6E"/>
    <w:rsid w:val="37CF580A"/>
    <w:rsid w:val="37D5601E"/>
    <w:rsid w:val="37E1109A"/>
    <w:rsid w:val="37EB3CC7"/>
    <w:rsid w:val="37FE39FA"/>
    <w:rsid w:val="380D6333"/>
    <w:rsid w:val="381E22EE"/>
    <w:rsid w:val="38353180"/>
    <w:rsid w:val="38471845"/>
    <w:rsid w:val="38532A5E"/>
    <w:rsid w:val="386341A5"/>
    <w:rsid w:val="38637D01"/>
    <w:rsid w:val="38787C50"/>
    <w:rsid w:val="388C7258"/>
    <w:rsid w:val="38981C17"/>
    <w:rsid w:val="38BA433B"/>
    <w:rsid w:val="38C22C79"/>
    <w:rsid w:val="38F8669B"/>
    <w:rsid w:val="38FA3EA7"/>
    <w:rsid w:val="39074B30"/>
    <w:rsid w:val="390E4110"/>
    <w:rsid w:val="39113C01"/>
    <w:rsid w:val="39137979"/>
    <w:rsid w:val="391B4A7F"/>
    <w:rsid w:val="391B682D"/>
    <w:rsid w:val="391F24BF"/>
    <w:rsid w:val="393A3157"/>
    <w:rsid w:val="393D67A4"/>
    <w:rsid w:val="394C2E8B"/>
    <w:rsid w:val="394E6C03"/>
    <w:rsid w:val="395D29A2"/>
    <w:rsid w:val="396401D4"/>
    <w:rsid w:val="397D3044"/>
    <w:rsid w:val="39897C3B"/>
    <w:rsid w:val="398C1B37"/>
    <w:rsid w:val="39924D42"/>
    <w:rsid w:val="399F745E"/>
    <w:rsid w:val="39A86313"/>
    <w:rsid w:val="39BA4298"/>
    <w:rsid w:val="39C40C73"/>
    <w:rsid w:val="39C762EC"/>
    <w:rsid w:val="39D96A4E"/>
    <w:rsid w:val="39F03816"/>
    <w:rsid w:val="39FF3A59"/>
    <w:rsid w:val="3A12378C"/>
    <w:rsid w:val="3A2A4F7A"/>
    <w:rsid w:val="3A2B0C9B"/>
    <w:rsid w:val="3A2E433E"/>
    <w:rsid w:val="3A3758E9"/>
    <w:rsid w:val="3A445910"/>
    <w:rsid w:val="3A477746"/>
    <w:rsid w:val="3A6D30B9"/>
    <w:rsid w:val="3A706705"/>
    <w:rsid w:val="3A742699"/>
    <w:rsid w:val="3A895F1A"/>
    <w:rsid w:val="3A95616C"/>
    <w:rsid w:val="3AAD7959"/>
    <w:rsid w:val="3AAF1923"/>
    <w:rsid w:val="3AB900AC"/>
    <w:rsid w:val="3ABA0EF7"/>
    <w:rsid w:val="3ADC3D9A"/>
    <w:rsid w:val="3AE710BD"/>
    <w:rsid w:val="3B0F4170"/>
    <w:rsid w:val="3B1874C8"/>
    <w:rsid w:val="3B295232"/>
    <w:rsid w:val="3B3B0DC9"/>
    <w:rsid w:val="3B3B6D13"/>
    <w:rsid w:val="3B561D9F"/>
    <w:rsid w:val="3B675D5A"/>
    <w:rsid w:val="3B702E61"/>
    <w:rsid w:val="3B787F67"/>
    <w:rsid w:val="3B81506E"/>
    <w:rsid w:val="3B8E1539"/>
    <w:rsid w:val="3B973568"/>
    <w:rsid w:val="3BA40D5C"/>
    <w:rsid w:val="3BC84032"/>
    <w:rsid w:val="3BCE5261"/>
    <w:rsid w:val="3BD72EE0"/>
    <w:rsid w:val="3BE178BA"/>
    <w:rsid w:val="3BF257CA"/>
    <w:rsid w:val="3C0D06AF"/>
    <w:rsid w:val="3C157564"/>
    <w:rsid w:val="3C487939"/>
    <w:rsid w:val="3C4E0CC8"/>
    <w:rsid w:val="3C5E715D"/>
    <w:rsid w:val="3C851315"/>
    <w:rsid w:val="3C860462"/>
    <w:rsid w:val="3CA37266"/>
    <w:rsid w:val="3CA762C1"/>
    <w:rsid w:val="3CB36C00"/>
    <w:rsid w:val="3CB66F99"/>
    <w:rsid w:val="3CB925E5"/>
    <w:rsid w:val="3CD613E9"/>
    <w:rsid w:val="3CED6733"/>
    <w:rsid w:val="3CF47AC1"/>
    <w:rsid w:val="3D073351"/>
    <w:rsid w:val="3D31661F"/>
    <w:rsid w:val="3D3A1978"/>
    <w:rsid w:val="3D3D3216"/>
    <w:rsid w:val="3D424389"/>
    <w:rsid w:val="3D5347E8"/>
    <w:rsid w:val="3D540560"/>
    <w:rsid w:val="3D5F318D"/>
    <w:rsid w:val="3D89020A"/>
    <w:rsid w:val="3D8C5F4C"/>
    <w:rsid w:val="3D9F7A2D"/>
    <w:rsid w:val="3DAC214A"/>
    <w:rsid w:val="3DB42DAD"/>
    <w:rsid w:val="3DD23C8F"/>
    <w:rsid w:val="3E0E6961"/>
    <w:rsid w:val="3E2B306F"/>
    <w:rsid w:val="3E2B6F15"/>
    <w:rsid w:val="3E3E7246"/>
    <w:rsid w:val="3E4C2743"/>
    <w:rsid w:val="3E522CF1"/>
    <w:rsid w:val="3E6F5651"/>
    <w:rsid w:val="3E9926CE"/>
    <w:rsid w:val="3EAD617A"/>
    <w:rsid w:val="3EB63280"/>
    <w:rsid w:val="3EE06BB4"/>
    <w:rsid w:val="3EF155CC"/>
    <w:rsid w:val="3EFB0C93"/>
    <w:rsid w:val="3EFE4C27"/>
    <w:rsid w:val="3F010273"/>
    <w:rsid w:val="3F0264C5"/>
    <w:rsid w:val="3F034BE6"/>
    <w:rsid w:val="3F0C10F2"/>
    <w:rsid w:val="3F224721"/>
    <w:rsid w:val="3F277CDA"/>
    <w:rsid w:val="3F281CA4"/>
    <w:rsid w:val="3F2A77CA"/>
    <w:rsid w:val="3F2D54DA"/>
    <w:rsid w:val="3F37564D"/>
    <w:rsid w:val="3F4563B2"/>
    <w:rsid w:val="3F4660AD"/>
    <w:rsid w:val="3F4771A2"/>
    <w:rsid w:val="3F4C14EF"/>
    <w:rsid w:val="3F4F7231"/>
    <w:rsid w:val="3F5D7BA0"/>
    <w:rsid w:val="3F744EE9"/>
    <w:rsid w:val="3F787ED5"/>
    <w:rsid w:val="3F854A01"/>
    <w:rsid w:val="3F88629F"/>
    <w:rsid w:val="3F942E96"/>
    <w:rsid w:val="3FA07A8C"/>
    <w:rsid w:val="3FA255B3"/>
    <w:rsid w:val="3FAC4683"/>
    <w:rsid w:val="3FB11C9A"/>
    <w:rsid w:val="3FB377C0"/>
    <w:rsid w:val="3FBE7F13"/>
    <w:rsid w:val="3FD87226"/>
    <w:rsid w:val="3FDF2363"/>
    <w:rsid w:val="3FEE25A6"/>
    <w:rsid w:val="3FF83425"/>
    <w:rsid w:val="3FF878C8"/>
    <w:rsid w:val="400D7789"/>
    <w:rsid w:val="402B55A8"/>
    <w:rsid w:val="40490124"/>
    <w:rsid w:val="40556AC9"/>
    <w:rsid w:val="40682F1B"/>
    <w:rsid w:val="407C4056"/>
    <w:rsid w:val="4081341A"/>
    <w:rsid w:val="408829FA"/>
    <w:rsid w:val="408A49C4"/>
    <w:rsid w:val="408B24EB"/>
    <w:rsid w:val="409475F1"/>
    <w:rsid w:val="40980764"/>
    <w:rsid w:val="40B25CC9"/>
    <w:rsid w:val="40B41A41"/>
    <w:rsid w:val="40D55514"/>
    <w:rsid w:val="40DC2D46"/>
    <w:rsid w:val="40E165AE"/>
    <w:rsid w:val="40E439A9"/>
    <w:rsid w:val="40EB2F89"/>
    <w:rsid w:val="40ED0AAF"/>
    <w:rsid w:val="40FA0784"/>
    <w:rsid w:val="40FF07E3"/>
    <w:rsid w:val="41055DF9"/>
    <w:rsid w:val="41133622"/>
    <w:rsid w:val="411918A4"/>
    <w:rsid w:val="4125649B"/>
    <w:rsid w:val="41331CE5"/>
    <w:rsid w:val="41373866"/>
    <w:rsid w:val="416C5E78"/>
    <w:rsid w:val="418036D2"/>
    <w:rsid w:val="418F7DB9"/>
    <w:rsid w:val="41A53138"/>
    <w:rsid w:val="41B166E0"/>
    <w:rsid w:val="41B92AEF"/>
    <w:rsid w:val="41BB0BAE"/>
    <w:rsid w:val="41BD4926"/>
    <w:rsid w:val="41E2613A"/>
    <w:rsid w:val="420267DC"/>
    <w:rsid w:val="42366486"/>
    <w:rsid w:val="42462B6D"/>
    <w:rsid w:val="42554B5E"/>
    <w:rsid w:val="42613503"/>
    <w:rsid w:val="42733236"/>
    <w:rsid w:val="427E4F13"/>
    <w:rsid w:val="428C60A6"/>
    <w:rsid w:val="429338D8"/>
    <w:rsid w:val="42AE09BA"/>
    <w:rsid w:val="42E12896"/>
    <w:rsid w:val="42E45EE2"/>
    <w:rsid w:val="42F02AD9"/>
    <w:rsid w:val="42FF4ACA"/>
    <w:rsid w:val="43081BD1"/>
    <w:rsid w:val="43087E22"/>
    <w:rsid w:val="432A7D99"/>
    <w:rsid w:val="43544E16"/>
    <w:rsid w:val="437B6846"/>
    <w:rsid w:val="438A6A89"/>
    <w:rsid w:val="43A318F9"/>
    <w:rsid w:val="43A35D9D"/>
    <w:rsid w:val="43A51B15"/>
    <w:rsid w:val="43A800F8"/>
    <w:rsid w:val="43B753A5"/>
    <w:rsid w:val="43C02B0F"/>
    <w:rsid w:val="43D441A9"/>
    <w:rsid w:val="43D9356D"/>
    <w:rsid w:val="43E066A9"/>
    <w:rsid w:val="44046B45"/>
    <w:rsid w:val="440879D6"/>
    <w:rsid w:val="442347E8"/>
    <w:rsid w:val="442F13DF"/>
    <w:rsid w:val="44307631"/>
    <w:rsid w:val="44466E54"/>
    <w:rsid w:val="445175A7"/>
    <w:rsid w:val="445826E4"/>
    <w:rsid w:val="445A645C"/>
    <w:rsid w:val="446472DA"/>
    <w:rsid w:val="44757572"/>
    <w:rsid w:val="447B4624"/>
    <w:rsid w:val="447C0AC8"/>
    <w:rsid w:val="448B2AB9"/>
    <w:rsid w:val="44BB29C9"/>
    <w:rsid w:val="44C63AF1"/>
    <w:rsid w:val="44CB735A"/>
    <w:rsid w:val="44CD30D2"/>
    <w:rsid w:val="44D02189"/>
    <w:rsid w:val="44E623E5"/>
    <w:rsid w:val="44E67CEF"/>
    <w:rsid w:val="44F20D8A"/>
    <w:rsid w:val="44F7014F"/>
    <w:rsid w:val="44FE14DD"/>
    <w:rsid w:val="451C7BB5"/>
    <w:rsid w:val="45234598"/>
    <w:rsid w:val="45350C77"/>
    <w:rsid w:val="45462E84"/>
    <w:rsid w:val="454D4212"/>
    <w:rsid w:val="456065F4"/>
    <w:rsid w:val="456926CF"/>
    <w:rsid w:val="456A54EE"/>
    <w:rsid w:val="4574354D"/>
    <w:rsid w:val="4577128F"/>
    <w:rsid w:val="45813EBC"/>
    <w:rsid w:val="458F482B"/>
    <w:rsid w:val="45943BEF"/>
    <w:rsid w:val="459A5616"/>
    <w:rsid w:val="459B6D2C"/>
    <w:rsid w:val="45A35BE1"/>
    <w:rsid w:val="45A81449"/>
    <w:rsid w:val="45B61DB8"/>
    <w:rsid w:val="45BB5620"/>
    <w:rsid w:val="45D466E2"/>
    <w:rsid w:val="45D65FB6"/>
    <w:rsid w:val="45DB35CC"/>
    <w:rsid w:val="46081EE8"/>
    <w:rsid w:val="46184820"/>
    <w:rsid w:val="467C32EB"/>
    <w:rsid w:val="469C7ABC"/>
    <w:rsid w:val="469D4D26"/>
    <w:rsid w:val="46AC6D17"/>
    <w:rsid w:val="46CE1383"/>
    <w:rsid w:val="46E12E64"/>
    <w:rsid w:val="46E17684"/>
    <w:rsid w:val="46F012F9"/>
    <w:rsid w:val="46FA06C4"/>
    <w:rsid w:val="46FD7572"/>
    <w:rsid w:val="471F573B"/>
    <w:rsid w:val="47213261"/>
    <w:rsid w:val="474B6530"/>
    <w:rsid w:val="474E6020"/>
    <w:rsid w:val="475A49C5"/>
    <w:rsid w:val="47653A95"/>
    <w:rsid w:val="47665118"/>
    <w:rsid w:val="47694C08"/>
    <w:rsid w:val="47784BEA"/>
    <w:rsid w:val="477C2B8D"/>
    <w:rsid w:val="47A143A2"/>
    <w:rsid w:val="47A45C40"/>
    <w:rsid w:val="47B24801"/>
    <w:rsid w:val="47B73BC5"/>
    <w:rsid w:val="47E80223"/>
    <w:rsid w:val="47F935DB"/>
    <w:rsid w:val="480F755D"/>
    <w:rsid w:val="48256D81"/>
    <w:rsid w:val="48335942"/>
    <w:rsid w:val="484F2050"/>
    <w:rsid w:val="48561630"/>
    <w:rsid w:val="48651873"/>
    <w:rsid w:val="486C2C02"/>
    <w:rsid w:val="486D24D6"/>
    <w:rsid w:val="48724813"/>
    <w:rsid w:val="48783354"/>
    <w:rsid w:val="48802209"/>
    <w:rsid w:val="48965ED0"/>
    <w:rsid w:val="489839F7"/>
    <w:rsid w:val="48BC5937"/>
    <w:rsid w:val="48C04CFB"/>
    <w:rsid w:val="48DA400F"/>
    <w:rsid w:val="48F03833"/>
    <w:rsid w:val="490177EE"/>
    <w:rsid w:val="49155047"/>
    <w:rsid w:val="4924528A"/>
    <w:rsid w:val="49290AF3"/>
    <w:rsid w:val="49296D45"/>
    <w:rsid w:val="49325BF9"/>
    <w:rsid w:val="49382AE4"/>
    <w:rsid w:val="493C25D4"/>
    <w:rsid w:val="494077B2"/>
    <w:rsid w:val="49480AF6"/>
    <w:rsid w:val="49555444"/>
    <w:rsid w:val="49575660"/>
    <w:rsid w:val="4961028C"/>
    <w:rsid w:val="497955D6"/>
    <w:rsid w:val="499D7C4A"/>
    <w:rsid w:val="49AF0FF8"/>
    <w:rsid w:val="49BE748D"/>
    <w:rsid w:val="49C56A6D"/>
    <w:rsid w:val="49D46CB0"/>
    <w:rsid w:val="49DC7913"/>
    <w:rsid w:val="49E14F29"/>
    <w:rsid w:val="49F9768B"/>
    <w:rsid w:val="4A1277D9"/>
    <w:rsid w:val="4A1969DF"/>
    <w:rsid w:val="4A3D2AA8"/>
    <w:rsid w:val="4A3D6CCD"/>
    <w:rsid w:val="4A562E83"/>
    <w:rsid w:val="4A6158BB"/>
    <w:rsid w:val="4A631F37"/>
    <w:rsid w:val="4A82495E"/>
    <w:rsid w:val="4A873D23"/>
    <w:rsid w:val="4AA743C5"/>
    <w:rsid w:val="4AAC5537"/>
    <w:rsid w:val="4ABB577A"/>
    <w:rsid w:val="4AC70024"/>
    <w:rsid w:val="4AD30D16"/>
    <w:rsid w:val="4AD60806"/>
    <w:rsid w:val="4AF33166"/>
    <w:rsid w:val="4AFA2747"/>
    <w:rsid w:val="4B187071"/>
    <w:rsid w:val="4B321EE0"/>
    <w:rsid w:val="4B4D761C"/>
    <w:rsid w:val="4B5160DF"/>
    <w:rsid w:val="4B5D2CD5"/>
    <w:rsid w:val="4B6127C6"/>
    <w:rsid w:val="4B971D44"/>
    <w:rsid w:val="4BA34B8C"/>
    <w:rsid w:val="4BA426B2"/>
    <w:rsid w:val="4BA6642B"/>
    <w:rsid w:val="4BB02E05"/>
    <w:rsid w:val="4BB26B7D"/>
    <w:rsid w:val="4BBD5522"/>
    <w:rsid w:val="4BD15B75"/>
    <w:rsid w:val="4BD5286C"/>
    <w:rsid w:val="4BDE3E16"/>
    <w:rsid w:val="4BE4448E"/>
    <w:rsid w:val="4BEA27BB"/>
    <w:rsid w:val="4BFE6267"/>
    <w:rsid w:val="4C0C0983"/>
    <w:rsid w:val="4C2C2DD4"/>
    <w:rsid w:val="4C2C4B82"/>
    <w:rsid w:val="4C330397"/>
    <w:rsid w:val="4C561BFF"/>
    <w:rsid w:val="4C5C6E27"/>
    <w:rsid w:val="4C6205A3"/>
    <w:rsid w:val="4C7622A1"/>
    <w:rsid w:val="4C7B78B7"/>
    <w:rsid w:val="4C983FC5"/>
    <w:rsid w:val="4CA50490"/>
    <w:rsid w:val="4CCC3C6F"/>
    <w:rsid w:val="4CD64AED"/>
    <w:rsid w:val="4D057181"/>
    <w:rsid w:val="4D1A0E7E"/>
    <w:rsid w:val="4D1A70D0"/>
    <w:rsid w:val="4D1B4BF6"/>
    <w:rsid w:val="4D227D33"/>
    <w:rsid w:val="4D2C0BB1"/>
    <w:rsid w:val="4D3006A2"/>
    <w:rsid w:val="4D331F40"/>
    <w:rsid w:val="4D387556"/>
    <w:rsid w:val="4D4B5FC8"/>
    <w:rsid w:val="4D4B67A0"/>
    <w:rsid w:val="4D7C38E7"/>
    <w:rsid w:val="4D827B11"/>
    <w:rsid w:val="4D8B3B2A"/>
    <w:rsid w:val="4D8F5DAC"/>
    <w:rsid w:val="4D970721"/>
    <w:rsid w:val="4DA0298A"/>
    <w:rsid w:val="4DC40DEA"/>
    <w:rsid w:val="4DCD6AB9"/>
    <w:rsid w:val="4DDC4386"/>
    <w:rsid w:val="4DED0341"/>
    <w:rsid w:val="4DF23BA9"/>
    <w:rsid w:val="4DFF0074"/>
    <w:rsid w:val="4E0336C0"/>
    <w:rsid w:val="4E035DB6"/>
    <w:rsid w:val="4E075F3D"/>
    <w:rsid w:val="4E0F475B"/>
    <w:rsid w:val="4E125FF9"/>
    <w:rsid w:val="4E257ADB"/>
    <w:rsid w:val="4E2D2E33"/>
    <w:rsid w:val="4E2D698F"/>
    <w:rsid w:val="4E546612"/>
    <w:rsid w:val="4E573A0C"/>
    <w:rsid w:val="4E5E2FEC"/>
    <w:rsid w:val="4E630603"/>
    <w:rsid w:val="4E6A373F"/>
    <w:rsid w:val="4E7B76FB"/>
    <w:rsid w:val="4E810A89"/>
    <w:rsid w:val="4E8C5DAC"/>
    <w:rsid w:val="4E9E5F3A"/>
    <w:rsid w:val="4EA76741"/>
    <w:rsid w:val="4EB86BA1"/>
    <w:rsid w:val="4EC15329"/>
    <w:rsid w:val="4EC866B8"/>
    <w:rsid w:val="4EC92B5C"/>
    <w:rsid w:val="4EDB288F"/>
    <w:rsid w:val="4EDF237F"/>
    <w:rsid w:val="4EE01C53"/>
    <w:rsid w:val="4F013202"/>
    <w:rsid w:val="4F1F277C"/>
    <w:rsid w:val="4F277882"/>
    <w:rsid w:val="4F310701"/>
    <w:rsid w:val="4F336227"/>
    <w:rsid w:val="4F3501F1"/>
    <w:rsid w:val="4F38383D"/>
    <w:rsid w:val="4F563CC4"/>
    <w:rsid w:val="4F5A1A06"/>
    <w:rsid w:val="4F6E3703"/>
    <w:rsid w:val="4F766114"/>
    <w:rsid w:val="4F8279F5"/>
    <w:rsid w:val="4F905428"/>
    <w:rsid w:val="4FBA24A4"/>
    <w:rsid w:val="4FBA4253"/>
    <w:rsid w:val="4FCD042A"/>
    <w:rsid w:val="4FCE3E88"/>
    <w:rsid w:val="4FF77255"/>
    <w:rsid w:val="50037B8F"/>
    <w:rsid w:val="50137E07"/>
    <w:rsid w:val="50153B7F"/>
    <w:rsid w:val="501D33AC"/>
    <w:rsid w:val="5023629C"/>
    <w:rsid w:val="50487AB0"/>
    <w:rsid w:val="504A7CCC"/>
    <w:rsid w:val="504B7EB0"/>
    <w:rsid w:val="50526B81"/>
    <w:rsid w:val="50591CBD"/>
    <w:rsid w:val="505E5526"/>
    <w:rsid w:val="505F4DFA"/>
    <w:rsid w:val="50697A27"/>
    <w:rsid w:val="50A218B6"/>
    <w:rsid w:val="50AC44E3"/>
    <w:rsid w:val="50AF5D81"/>
    <w:rsid w:val="50B66929"/>
    <w:rsid w:val="50BC224C"/>
    <w:rsid w:val="50C335DB"/>
    <w:rsid w:val="50D17AEA"/>
    <w:rsid w:val="50E21CB3"/>
    <w:rsid w:val="50E53551"/>
    <w:rsid w:val="50FE4613"/>
    <w:rsid w:val="51025EB1"/>
    <w:rsid w:val="510460CD"/>
    <w:rsid w:val="5107796B"/>
    <w:rsid w:val="511B6F73"/>
    <w:rsid w:val="513D41D6"/>
    <w:rsid w:val="5151508A"/>
    <w:rsid w:val="515B4CE3"/>
    <w:rsid w:val="516B5167"/>
    <w:rsid w:val="517E1085"/>
    <w:rsid w:val="519D207E"/>
    <w:rsid w:val="519F7BA4"/>
    <w:rsid w:val="51A74CAA"/>
    <w:rsid w:val="51B01DB1"/>
    <w:rsid w:val="51D05FAF"/>
    <w:rsid w:val="51D07D5D"/>
    <w:rsid w:val="51D830B6"/>
    <w:rsid w:val="51DA5080"/>
    <w:rsid w:val="51DC0DF8"/>
    <w:rsid w:val="51E11F6A"/>
    <w:rsid w:val="51ED4DB3"/>
    <w:rsid w:val="52102850"/>
    <w:rsid w:val="52140592"/>
    <w:rsid w:val="521C11F4"/>
    <w:rsid w:val="52291B63"/>
    <w:rsid w:val="5251417D"/>
    <w:rsid w:val="5257047F"/>
    <w:rsid w:val="525C5A95"/>
    <w:rsid w:val="5264494A"/>
    <w:rsid w:val="526F57C8"/>
    <w:rsid w:val="527252B8"/>
    <w:rsid w:val="52796647"/>
    <w:rsid w:val="528A0854"/>
    <w:rsid w:val="528A2602"/>
    <w:rsid w:val="52927562"/>
    <w:rsid w:val="529A65BD"/>
    <w:rsid w:val="52AE35F5"/>
    <w:rsid w:val="52B4767F"/>
    <w:rsid w:val="52B72CCB"/>
    <w:rsid w:val="52DB2E5E"/>
    <w:rsid w:val="52EA12F3"/>
    <w:rsid w:val="52F21F55"/>
    <w:rsid w:val="52F65EE9"/>
    <w:rsid w:val="52FE08FA"/>
    <w:rsid w:val="53004672"/>
    <w:rsid w:val="530A54F1"/>
    <w:rsid w:val="53191BD8"/>
    <w:rsid w:val="532760A3"/>
    <w:rsid w:val="53332C9A"/>
    <w:rsid w:val="533D4580"/>
    <w:rsid w:val="534C78B7"/>
    <w:rsid w:val="53511372"/>
    <w:rsid w:val="535B7AFB"/>
    <w:rsid w:val="535F3A8F"/>
    <w:rsid w:val="53746E0E"/>
    <w:rsid w:val="537A2677"/>
    <w:rsid w:val="53894668"/>
    <w:rsid w:val="53996DAD"/>
    <w:rsid w:val="539A6875"/>
    <w:rsid w:val="53A07C03"/>
    <w:rsid w:val="53B611D5"/>
    <w:rsid w:val="53CE29C2"/>
    <w:rsid w:val="53CE4770"/>
    <w:rsid w:val="53CE651E"/>
    <w:rsid w:val="53DA4EC3"/>
    <w:rsid w:val="53E06252"/>
    <w:rsid w:val="53F266B1"/>
    <w:rsid w:val="53FD5056"/>
    <w:rsid w:val="54183FBB"/>
    <w:rsid w:val="54414F42"/>
    <w:rsid w:val="54556311"/>
    <w:rsid w:val="54686973"/>
    <w:rsid w:val="54857525"/>
    <w:rsid w:val="54880DC3"/>
    <w:rsid w:val="548D63DA"/>
    <w:rsid w:val="549239F0"/>
    <w:rsid w:val="54B0031A"/>
    <w:rsid w:val="54B716A8"/>
    <w:rsid w:val="54CA318A"/>
    <w:rsid w:val="54F52E46"/>
    <w:rsid w:val="551C150B"/>
    <w:rsid w:val="55230AEC"/>
    <w:rsid w:val="553E5926"/>
    <w:rsid w:val="55402F1C"/>
    <w:rsid w:val="55432F3C"/>
    <w:rsid w:val="554F7B33"/>
    <w:rsid w:val="55517407"/>
    <w:rsid w:val="55690BF5"/>
    <w:rsid w:val="556A2277"/>
    <w:rsid w:val="556C5FEF"/>
    <w:rsid w:val="55703037"/>
    <w:rsid w:val="55795292"/>
    <w:rsid w:val="557A62C2"/>
    <w:rsid w:val="55853555"/>
    <w:rsid w:val="559B4B26"/>
    <w:rsid w:val="559E4F86"/>
    <w:rsid w:val="55AC284E"/>
    <w:rsid w:val="55AF05D2"/>
    <w:rsid w:val="55C67DF5"/>
    <w:rsid w:val="55CD09E4"/>
    <w:rsid w:val="5627460C"/>
    <w:rsid w:val="562E14F6"/>
    <w:rsid w:val="56570A4D"/>
    <w:rsid w:val="567315FF"/>
    <w:rsid w:val="56737851"/>
    <w:rsid w:val="567710EF"/>
    <w:rsid w:val="567C4958"/>
    <w:rsid w:val="56811F6E"/>
    <w:rsid w:val="569A3030"/>
    <w:rsid w:val="56B45E9F"/>
    <w:rsid w:val="56B51C18"/>
    <w:rsid w:val="56D93B58"/>
    <w:rsid w:val="56DE1F3F"/>
    <w:rsid w:val="57174680"/>
    <w:rsid w:val="57250B4B"/>
    <w:rsid w:val="572A7F10"/>
    <w:rsid w:val="5734351B"/>
    <w:rsid w:val="575256B8"/>
    <w:rsid w:val="57566F57"/>
    <w:rsid w:val="57580F21"/>
    <w:rsid w:val="577949F3"/>
    <w:rsid w:val="57833AC4"/>
    <w:rsid w:val="57875362"/>
    <w:rsid w:val="579977C9"/>
    <w:rsid w:val="579D4B86"/>
    <w:rsid w:val="57A001D2"/>
    <w:rsid w:val="57A824B5"/>
    <w:rsid w:val="57D460CD"/>
    <w:rsid w:val="57D85BBE"/>
    <w:rsid w:val="582A3F3F"/>
    <w:rsid w:val="58333B00"/>
    <w:rsid w:val="58450D79"/>
    <w:rsid w:val="584D65AC"/>
    <w:rsid w:val="58523BC2"/>
    <w:rsid w:val="585A65D3"/>
    <w:rsid w:val="58694A68"/>
    <w:rsid w:val="58A12453"/>
    <w:rsid w:val="58A75590"/>
    <w:rsid w:val="58BA52C3"/>
    <w:rsid w:val="58C47EF0"/>
    <w:rsid w:val="58C93758"/>
    <w:rsid w:val="58CB127E"/>
    <w:rsid w:val="58CE6FC1"/>
    <w:rsid w:val="59017396"/>
    <w:rsid w:val="590D463C"/>
    <w:rsid w:val="59126EAD"/>
    <w:rsid w:val="592A069B"/>
    <w:rsid w:val="59301A29"/>
    <w:rsid w:val="59835FFD"/>
    <w:rsid w:val="598530BF"/>
    <w:rsid w:val="599E6993"/>
    <w:rsid w:val="59BE5287"/>
    <w:rsid w:val="59C25456"/>
    <w:rsid w:val="59C97EB4"/>
    <w:rsid w:val="59D2488F"/>
    <w:rsid w:val="59E44CEE"/>
    <w:rsid w:val="59EA4662"/>
    <w:rsid w:val="59EF6D60"/>
    <w:rsid w:val="5A0C7DA1"/>
    <w:rsid w:val="5A1E5B85"/>
    <w:rsid w:val="5A2C0443"/>
    <w:rsid w:val="5A557999"/>
    <w:rsid w:val="5A6E2809"/>
    <w:rsid w:val="5A902780"/>
    <w:rsid w:val="5AAE0E58"/>
    <w:rsid w:val="5AB32912"/>
    <w:rsid w:val="5AB53F94"/>
    <w:rsid w:val="5AC16DDD"/>
    <w:rsid w:val="5AC62645"/>
    <w:rsid w:val="5ACC12DE"/>
    <w:rsid w:val="5ADD34EB"/>
    <w:rsid w:val="5AE64A95"/>
    <w:rsid w:val="5AEB3E5A"/>
    <w:rsid w:val="5AF11773"/>
    <w:rsid w:val="5B1C4E96"/>
    <w:rsid w:val="5B264E92"/>
    <w:rsid w:val="5B2B4256"/>
    <w:rsid w:val="5B6D68C7"/>
    <w:rsid w:val="5B7469C6"/>
    <w:rsid w:val="5B7B51DE"/>
    <w:rsid w:val="5B8F429A"/>
    <w:rsid w:val="5B9067AF"/>
    <w:rsid w:val="5B94004E"/>
    <w:rsid w:val="5B991B08"/>
    <w:rsid w:val="5BA145F6"/>
    <w:rsid w:val="5BA54009"/>
    <w:rsid w:val="5BB22BCA"/>
    <w:rsid w:val="5BB406F0"/>
    <w:rsid w:val="5BBB382C"/>
    <w:rsid w:val="5BC528FD"/>
    <w:rsid w:val="5BE62FFA"/>
    <w:rsid w:val="5BF60D08"/>
    <w:rsid w:val="5BFB00CD"/>
    <w:rsid w:val="5C0C22DA"/>
    <w:rsid w:val="5C1A141A"/>
    <w:rsid w:val="5C207B33"/>
    <w:rsid w:val="5C474BD3"/>
    <w:rsid w:val="5C533A65"/>
    <w:rsid w:val="5C675762"/>
    <w:rsid w:val="5C797243"/>
    <w:rsid w:val="5CA22C3E"/>
    <w:rsid w:val="5CAF244F"/>
    <w:rsid w:val="5CB32755"/>
    <w:rsid w:val="5CD32DF8"/>
    <w:rsid w:val="5CD526CC"/>
    <w:rsid w:val="5CE84AF5"/>
    <w:rsid w:val="5CFD2EAE"/>
    <w:rsid w:val="5CFF1E3E"/>
    <w:rsid w:val="5D014763"/>
    <w:rsid w:val="5D0631CD"/>
    <w:rsid w:val="5D0E3E30"/>
    <w:rsid w:val="5D105DFA"/>
    <w:rsid w:val="5D130133"/>
    <w:rsid w:val="5D162B81"/>
    <w:rsid w:val="5D2378DB"/>
    <w:rsid w:val="5D2E002E"/>
    <w:rsid w:val="5D325D70"/>
    <w:rsid w:val="5D535CE6"/>
    <w:rsid w:val="5D55380D"/>
    <w:rsid w:val="5D5C103F"/>
    <w:rsid w:val="5D8D744A"/>
    <w:rsid w:val="5DAD3649"/>
    <w:rsid w:val="5DD0034D"/>
    <w:rsid w:val="5DE132F2"/>
    <w:rsid w:val="5DE352BC"/>
    <w:rsid w:val="5DFB2606"/>
    <w:rsid w:val="5E111E29"/>
    <w:rsid w:val="5E190CDE"/>
    <w:rsid w:val="5E203E1A"/>
    <w:rsid w:val="5E225DE5"/>
    <w:rsid w:val="5E355B65"/>
    <w:rsid w:val="5E59732C"/>
    <w:rsid w:val="5E6737F7"/>
    <w:rsid w:val="5E802B0B"/>
    <w:rsid w:val="5E856373"/>
    <w:rsid w:val="5E8B1BDC"/>
    <w:rsid w:val="5EBB1D95"/>
    <w:rsid w:val="5EC45163"/>
    <w:rsid w:val="5ECC5D50"/>
    <w:rsid w:val="5ED12A9B"/>
    <w:rsid w:val="5EDF3CD6"/>
    <w:rsid w:val="5EE44E48"/>
    <w:rsid w:val="5EEE5CC7"/>
    <w:rsid w:val="5F047298"/>
    <w:rsid w:val="5F3A715E"/>
    <w:rsid w:val="5F427DC1"/>
    <w:rsid w:val="5F4E6765"/>
    <w:rsid w:val="5F5C5326"/>
    <w:rsid w:val="5F5E109E"/>
    <w:rsid w:val="5F610B8F"/>
    <w:rsid w:val="5F6C74B4"/>
    <w:rsid w:val="5F7E34EF"/>
    <w:rsid w:val="5FA32F55"/>
    <w:rsid w:val="5FC15189"/>
    <w:rsid w:val="5FD924D3"/>
    <w:rsid w:val="5FF23595"/>
    <w:rsid w:val="6008725C"/>
    <w:rsid w:val="600A4D82"/>
    <w:rsid w:val="600A6B30"/>
    <w:rsid w:val="600D4872"/>
    <w:rsid w:val="60145C01"/>
    <w:rsid w:val="6017124D"/>
    <w:rsid w:val="601C7D54"/>
    <w:rsid w:val="60200102"/>
    <w:rsid w:val="60295975"/>
    <w:rsid w:val="6031230F"/>
    <w:rsid w:val="603B4F3C"/>
    <w:rsid w:val="60455DBA"/>
    <w:rsid w:val="605B55DE"/>
    <w:rsid w:val="60786190"/>
    <w:rsid w:val="607B3830"/>
    <w:rsid w:val="609B3C2C"/>
    <w:rsid w:val="609E371C"/>
    <w:rsid w:val="60A52CFD"/>
    <w:rsid w:val="60C969EB"/>
    <w:rsid w:val="60CA4511"/>
    <w:rsid w:val="60D45321"/>
    <w:rsid w:val="61120392"/>
    <w:rsid w:val="612B403D"/>
    <w:rsid w:val="6131633F"/>
    <w:rsid w:val="61363D6C"/>
    <w:rsid w:val="6189617B"/>
    <w:rsid w:val="618D5C6B"/>
    <w:rsid w:val="61907509"/>
    <w:rsid w:val="6192502F"/>
    <w:rsid w:val="619D39D4"/>
    <w:rsid w:val="61A13872"/>
    <w:rsid w:val="61B96A60"/>
    <w:rsid w:val="61BF394A"/>
    <w:rsid w:val="61E46EEE"/>
    <w:rsid w:val="61EC5FEE"/>
    <w:rsid w:val="61F71336"/>
    <w:rsid w:val="621444A4"/>
    <w:rsid w:val="621974FF"/>
    <w:rsid w:val="621E76E6"/>
    <w:rsid w:val="62206ADF"/>
    <w:rsid w:val="62396690"/>
    <w:rsid w:val="623C31ED"/>
    <w:rsid w:val="62483940"/>
    <w:rsid w:val="626C5880"/>
    <w:rsid w:val="627806C9"/>
    <w:rsid w:val="62886432"/>
    <w:rsid w:val="629B7F14"/>
    <w:rsid w:val="62A0552A"/>
    <w:rsid w:val="62A25746"/>
    <w:rsid w:val="62AA0157"/>
    <w:rsid w:val="62C03E1E"/>
    <w:rsid w:val="62C76F5B"/>
    <w:rsid w:val="62D82F16"/>
    <w:rsid w:val="62E0626E"/>
    <w:rsid w:val="62E47B0C"/>
    <w:rsid w:val="630E2DDB"/>
    <w:rsid w:val="63141A74"/>
    <w:rsid w:val="631B1054"/>
    <w:rsid w:val="6320666B"/>
    <w:rsid w:val="632127F7"/>
    <w:rsid w:val="63260125"/>
    <w:rsid w:val="634A36E8"/>
    <w:rsid w:val="63640C4D"/>
    <w:rsid w:val="63754B36"/>
    <w:rsid w:val="63860BC4"/>
    <w:rsid w:val="63A86D8C"/>
    <w:rsid w:val="63BA261B"/>
    <w:rsid w:val="63C74D38"/>
    <w:rsid w:val="63D80CF3"/>
    <w:rsid w:val="64193660"/>
    <w:rsid w:val="641C32D6"/>
    <w:rsid w:val="642066CD"/>
    <w:rsid w:val="64243F39"/>
    <w:rsid w:val="64260398"/>
    <w:rsid w:val="644F0FB6"/>
    <w:rsid w:val="64590086"/>
    <w:rsid w:val="645D5B64"/>
    <w:rsid w:val="646031C3"/>
    <w:rsid w:val="646F78AA"/>
    <w:rsid w:val="648C5659"/>
    <w:rsid w:val="64992B79"/>
    <w:rsid w:val="64994927"/>
    <w:rsid w:val="649B244D"/>
    <w:rsid w:val="64A532CB"/>
    <w:rsid w:val="64AA08E2"/>
    <w:rsid w:val="64AC6408"/>
    <w:rsid w:val="64B61035"/>
    <w:rsid w:val="64C319A4"/>
    <w:rsid w:val="64DE67DD"/>
    <w:rsid w:val="64E35BA2"/>
    <w:rsid w:val="64F34037"/>
    <w:rsid w:val="64F47DAF"/>
    <w:rsid w:val="64FE29DC"/>
    <w:rsid w:val="65150451"/>
    <w:rsid w:val="654B3E73"/>
    <w:rsid w:val="654C1999"/>
    <w:rsid w:val="6578278E"/>
    <w:rsid w:val="6582360D"/>
    <w:rsid w:val="65C6174B"/>
    <w:rsid w:val="65F55B8D"/>
    <w:rsid w:val="65FC516D"/>
    <w:rsid w:val="66134265"/>
    <w:rsid w:val="66140709"/>
    <w:rsid w:val="66195D1F"/>
    <w:rsid w:val="6623094C"/>
    <w:rsid w:val="66302C0E"/>
    <w:rsid w:val="66417024"/>
    <w:rsid w:val="66550C7C"/>
    <w:rsid w:val="66560D21"/>
    <w:rsid w:val="665925BF"/>
    <w:rsid w:val="666467F6"/>
    <w:rsid w:val="66846F11"/>
    <w:rsid w:val="66A3383B"/>
    <w:rsid w:val="66AC6B93"/>
    <w:rsid w:val="66B15F58"/>
    <w:rsid w:val="66BB6DD6"/>
    <w:rsid w:val="66C739CD"/>
    <w:rsid w:val="66CC2D91"/>
    <w:rsid w:val="67024A05"/>
    <w:rsid w:val="67095D94"/>
    <w:rsid w:val="670A5668"/>
    <w:rsid w:val="67283D40"/>
    <w:rsid w:val="67310E46"/>
    <w:rsid w:val="6739419F"/>
    <w:rsid w:val="676F196F"/>
    <w:rsid w:val="67746F85"/>
    <w:rsid w:val="677B3444"/>
    <w:rsid w:val="678B7247"/>
    <w:rsid w:val="67966EFB"/>
    <w:rsid w:val="67A7735B"/>
    <w:rsid w:val="67AC671F"/>
    <w:rsid w:val="67B657F0"/>
    <w:rsid w:val="67B6759E"/>
    <w:rsid w:val="67C1041C"/>
    <w:rsid w:val="67E4410B"/>
    <w:rsid w:val="67E81E4D"/>
    <w:rsid w:val="67F21BCA"/>
    <w:rsid w:val="681349F0"/>
    <w:rsid w:val="682664D1"/>
    <w:rsid w:val="682C260C"/>
    <w:rsid w:val="685A43CD"/>
    <w:rsid w:val="68637725"/>
    <w:rsid w:val="6864524C"/>
    <w:rsid w:val="68784853"/>
    <w:rsid w:val="68802085"/>
    <w:rsid w:val="6897117D"/>
    <w:rsid w:val="68B336C4"/>
    <w:rsid w:val="68BC4735"/>
    <w:rsid w:val="68D73C6F"/>
    <w:rsid w:val="68D93544"/>
    <w:rsid w:val="68E050B0"/>
    <w:rsid w:val="68E819D9"/>
    <w:rsid w:val="68EF720B"/>
    <w:rsid w:val="69070635"/>
    <w:rsid w:val="69076303"/>
    <w:rsid w:val="693469CC"/>
    <w:rsid w:val="69407A67"/>
    <w:rsid w:val="694105EE"/>
    <w:rsid w:val="694A2693"/>
    <w:rsid w:val="694C1F68"/>
    <w:rsid w:val="69513A22"/>
    <w:rsid w:val="695C17CB"/>
    <w:rsid w:val="696A4AE4"/>
    <w:rsid w:val="69A91168"/>
    <w:rsid w:val="69C53AC8"/>
    <w:rsid w:val="69CE0BCF"/>
    <w:rsid w:val="69CE5072"/>
    <w:rsid w:val="69EE301F"/>
    <w:rsid w:val="69F04FE9"/>
    <w:rsid w:val="69F36887"/>
    <w:rsid w:val="6A0E546F"/>
    <w:rsid w:val="6A222CC8"/>
    <w:rsid w:val="6A294057"/>
    <w:rsid w:val="6A3C022E"/>
    <w:rsid w:val="6A4175F2"/>
    <w:rsid w:val="6A484E25"/>
    <w:rsid w:val="6A590DE0"/>
    <w:rsid w:val="6A633A0D"/>
    <w:rsid w:val="6A845731"/>
    <w:rsid w:val="6A8B6AC0"/>
    <w:rsid w:val="6A9A31A7"/>
    <w:rsid w:val="6A9E4A45"/>
    <w:rsid w:val="6AA638F9"/>
    <w:rsid w:val="6AA95198"/>
    <w:rsid w:val="6B146AB5"/>
    <w:rsid w:val="6B1D005F"/>
    <w:rsid w:val="6B1E7934"/>
    <w:rsid w:val="6B255947"/>
    <w:rsid w:val="6B3E1D84"/>
    <w:rsid w:val="6B511AB7"/>
    <w:rsid w:val="6B533A81"/>
    <w:rsid w:val="6B776840"/>
    <w:rsid w:val="6B80239C"/>
    <w:rsid w:val="6B833C3B"/>
    <w:rsid w:val="6B8E4AB9"/>
    <w:rsid w:val="6BA0659B"/>
    <w:rsid w:val="6BAD2A66"/>
    <w:rsid w:val="6BAF2C82"/>
    <w:rsid w:val="6BBE5887"/>
    <w:rsid w:val="6BC56001"/>
    <w:rsid w:val="6BCC7390"/>
    <w:rsid w:val="6BD46244"/>
    <w:rsid w:val="6BD821D8"/>
    <w:rsid w:val="6C015BE7"/>
    <w:rsid w:val="6C021003"/>
    <w:rsid w:val="6C046B2A"/>
    <w:rsid w:val="6C07486C"/>
    <w:rsid w:val="6C0905E4"/>
    <w:rsid w:val="6C3118E9"/>
    <w:rsid w:val="6C335661"/>
    <w:rsid w:val="6C3867D3"/>
    <w:rsid w:val="6C450EF0"/>
    <w:rsid w:val="6C4663A0"/>
    <w:rsid w:val="6C4B6506"/>
    <w:rsid w:val="6C517895"/>
    <w:rsid w:val="6C7D068A"/>
    <w:rsid w:val="6C8B2DA7"/>
    <w:rsid w:val="6C8E6D3B"/>
    <w:rsid w:val="6C9973C9"/>
    <w:rsid w:val="6C9A748E"/>
    <w:rsid w:val="6CB57E24"/>
    <w:rsid w:val="6CF44DF0"/>
    <w:rsid w:val="6D1C7EA3"/>
    <w:rsid w:val="6D5238C5"/>
    <w:rsid w:val="6D527D69"/>
    <w:rsid w:val="6D733A57"/>
    <w:rsid w:val="6DC60E66"/>
    <w:rsid w:val="6DF13D69"/>
    <w:rsid w:val="6E076DA5"/>
    <w:rsid w:val="6E192634"/>
    <w:rsid w:val="6E396833"/>
    <w:rsid w:val="6E4476B1"/>
    <w:rsid w:val="6E535815"/>
    <w:rsid w:val="6EA91C0A"/>
    <w:rsid w:val="6EBD7464"/>
    <w:rsid w:val="6EC478C9"/>
    <w:rsid w:val="6EC922AC"/>
    <w:rsid w:val="6ECB392F"/>
    <w:rsid w:val="6EE3511C"/>
    <w:rsid w:val="6EF07839"/>
    <w:rsid w:val="6F0C7DA2"/>
    <w:rsid w:val="6F11294C"/>
    <w:rsid w:val="6F122880"/>
    <w:rsid w:val="6F2179F2"/>
    <w:rsid w:val="6F2B6AC3"/>
    <w:rsid w:val="6F326591"/>
    <w:rsid w:val="6F394D3C"/>
    <w:rsid w:val="6F433E0D"/>
    <w:rsid w:val="6F631DB9"/>
    <w:rsid w:val="6F8A1A3C"/>
    <w:rsid w:val="6F8A5598"/>
    <w:rsid w:val="6F96218E"/>
    <w:rsid w:val="6F9E1043"/>
    <w:rsid w:val="6FAC7C04"/>
    <w:rsid w:val="6FB40867"/>
    <w:rsid w:val="6FBD3BBF"/>
    <w:rsid w:val="6FCA6593"/>
    <w:rsid w:val="6FE949B4"/>
    <w:rsid w:val="7003534A"/>
    <w:rsid w:val="703D085C"/>
    <w:rsid w:val="70447E3C"/>
    <w:rsid w:val="7048496F"/>
    <w:rsid w:val="705931BC"/>
    <w:rsid w:val="7064228D"/>
    <w:rsid w:val="70805B33"/>
    <w:rsid w:val="7080699B"/>
    <w:rsid w:val="70886D23"/>
    <w:rsid w:val="708F6BDE"/>
    <w:rsid w:val="709A5CAE"/>
    <w:rsid w:val="70A365B8"/>
    <w:rsid w:val="70A72179"/>
    <w:rsid w:val="70A94143"/>
    <w:rsid w:val="70B34FC2"/>
    <w:rsid w:val="70B86135"/>
    <w:rsid w:val="70BA3C5B"/>
    <w:rsid w:val="70FA04FB"/>
    <w:rsid w:val="7101188A"/>
    <w:rsid w:val="71096990"/>
    <w:rsid w:val="71107825"/>
    <w:rsid w:val="71110AFE"/>
    <w:rsid w:val="711C60A2"/>
    <w:rsid w:val="715E3F69"/>
    <w:rsid w:val="715F2A54"/>
    <w:rsid w:val="71632544"/>
    <w:rsid w:val="71685DAD"/>
    <w:rsid w:val="71741A91"/>
    <w:rsid w:val="71784795"/>
    <w:rsid w:val="718B3849"/>
    <w:rsid w:val="718F6E95"/>
    <w:rsid w:val="71A46E80"/>
    <w:rsid w:val="71AB7A47"/>
    <w:rsid w:val="71B40FF2"/>
    <w:rsid w:val="71BE777B"/>
    <w:rsid w:val="71CA611F"/>
    <w:rsid w:val="71CB1E97"/>
    <w:rsid w:val="71D90A58"/>
    <w:rsid w:val="71DB032D"/>
    <w:rsid w:val="71E35433"/>
    <w:rsid w:val="72035AD5"/>
    <w:rsid w:val="72111FA0"/>
    <w:rsid w:val="7218332F"/>
    <w:rsid w:val="722E2B52"/>
    <w:rsid w:val="724A66D2"/>
    <w:rsid w:val="724C7C4B"/>
    <w:rsid w:val="724D0AFE"/>
    <w:rsid w:val="72695938"/>
    <w:rsid w:val="726A345E"/>
    <w:rsid w:val="729606F7"/>
    <w:rsid w:val="72C54B39"/>
    <w:rsid w:val="72C94629"/>
    <w:rsid w:val="72D60240"/>
    <w:rsid w:val="72DD00D4"/>
    <w:rsid w:val="72F21DD2"/>
    <w:rsid w:val="72F378F8"/>
    <w:rsid w:val="73092C77"/>
    <w:rsid w:val="732E26DE"/>
    <w:rsid w:val="733777E5"/>
    <w:rsid w:val="734B3290"/>
    <w:rsid w:val="734F19AD"/>
    <w:rsid w:val="73506AF8"/>
    <w:rsid w:val="735859AD"/>
    <w:rsid w:val="73644352"/>
    <w:rsid w:val="736A5E0C"/>
    <w:rsid w:val="73700F48"/>
    <w:rsid w:val="738A200A"/>
    <w:rsid w:val="73A3131E"/>
    <w:rsid w:val="73B40E35"/>
    <w:rsid w:val="73DB2866"/>
    <w:rsid w:val="73DE4104"/>
    <w:rsid w:val="73F43927"/>
    <w:rsid w:val="73F720C5"/>
    <w:rsid w:val="73F954FA"/>
    <w:rsid w:val="74015E5E"/>
    <w:rsid w:val="74026044"/>
    <w:rsid w:val="741B3075"/>
    <w:rsid w:val="74220495"/>
    <w:rsid w:val="74306721"/>
    <w:rsid w:val="743D707D"/>
    <w:rsid w:val="744877CF"/>
    <w:rsid w:val="74576FD7"/>
    <w:rsid w:val="74602D6B"/>
    <w:rsid w:val="74626AE3"/>
    <w:rsid w:val="74933140"/>
    <w:rsid w:val="74BF5CE3"/>
    <w:rsid w:val="74C01A5C"/>
    <w:rsid w:val="74DD37CB"/>
    <w:rsid w:val="74E03EAC"/>
    <w:rsid w:val="74E56126"/>
    <w:rsid w:val="74F71921"/>
    <w:rsid w:val="750A2CD7"/>
    <w:rsid w:val="7533222E"/>
    <w:rsid w:val="75422471"/>
    <w:rsid w:val="754D1541"/>
    <w:rsid w:val="755F3023"/>
    <w:rsid w:val="75644ADD"/>
    <w:rsid w:val="7564688B"/>
    <w:rsid w:val="75752846"/>
    <w:rsid w:val="75866801"/>
    <w:rsid w:val="75A5137D"/>
    <w:rsid w:val="75A82C1C"/>
    <w:rsid w:val="75AE7B06"/>
    <w:rsid w:val="75AF3FAA"/>
    <w:rsid w:val="75B23A9A"/>
    <w:rsid w:val="75BA294F"/>
    <w:rsid w:val="75C37A55"/>
    <w:rsid w:val="75C86E1A"/>
    <w:rsid w:val="75DF4163"/>
    <w:rsid w:val="75E43528"/>
    <w:rsid w:val="75E83CBD"/>
    <w:rsid w:val="75F145C2"/>
    <w:rsid w:val="760911D1"/>
    <w:rsid w:val="761D7090"/>
    <w:rsid w:val="76257DC8"/>
    <w:rsid w:val="76277FE4"/>
    <w:rsid w:val="76391AC6"/>
    <w:rsid w:val="7641097A"/>
    <w:rsid w:val="76522B87"/>
    <w:rsid w:val="766034F6"/>
    <w:rsid w:val="76764AC8"/>
    <w:rsid w:val="767D7C04"/>
    <w:rsid w:val="768014A2"/>
    <w:rsid w:val="76880357"/>
    <w:rsid w:val="76944F4E"/>
    <w:rsid w:val="76992564"/>
    <w:rsid w:val="76AA29C3"/>
    <w:rsid w:val="76AF3B36"/>
    <w:rsid w:val="76C07AF1"/>
    <w:rsid w:val="77043E82"/>
    <w:rsid w:val="770C2D36"/>
    <w:rsid w:val="770C71DA"/>
    <w:rsid w:val="77212C85"/>
    <w:rsid w:val="77244524"/>
    <w:rsid w:val="772E0EFE"/>
    <w:rsid w:val="77300834"/>
    <w:rsid w:val="77316C41"/>
    <w:rsid w:val="777F79AC"/>
    <w:rsid w:val="779276DF"/>
    <w:rsid w:val="779A47E6"/>
    <w:rsid w:val="779C055E"/>
    <w:rsid w:val="779E3773"/>
    <w:rsid w:val="77B5517C"/>
    <w:rsid w:val="77BF249E"/>
    <w:rsid w:val="77D5581E"/>
    <w:rsid w:val="77DE46D3"/>
    <w:rsid w:val="77EB3293"/>
    <w:rsid w:val="77F04406"/>
    <w:rsid w:val="781A76D5"/>
    <w:rsid w:val="782347DB"/>
    <w:rsid w:val="78436C2C"/>
    <w:rsid w:val="785D5F3F"/>
    <w:rsid w:val="785E75C1"/>
    <w:rsid w:val="7860158C"/>
    <w:rsid w:val="786D3CA8"/>
    <w:rsid w:val="78857244"/>
    <w:rsid w:val="788F3C1F"/>
    <w:rsid w:val="78911745"/>
    <w:rsid w:val="78977B88"/>
    <w:rsid w:val="78A53442"/>
    <w:rsid w:val="78D45AD6"/>
    <w:rsid w:val="78DD16DB"/>
    <w:rsid w:val="78E21FA1"/>
    <w:rsid w:val="78F87A16"/>
    <w:rsid w:val="78FD6DDA"/>
    <w:rsid w:val="79110AD8"/>
    <w:rsid w:val="79144124"/>
    <w:rsid w:val="79202BB4"/>
    <w:rsid w:val="793A6280"/>
    <w:rsid w:val="794A5D98"/>
    <w:rsid w:val="795471FA"/>
    <w:rsid w:val="79647C6E"/>
    <w:rsid w:val="798219D5"/>
    <w:rsid w:val="798E3ED6"/>
    <w:rsid w:val="799040F2"/>
    <w:rsid w:val="79CE087B"/>
    <w:rsid w:val="79D20267"/>
    <w:rsid w:val="79DA35C0"/>
    <w:rsid w:val="79F0693F"/>
    <w:rsid w:val="79FE6710"/>
    <w:rsid w:val="7A0917AF"/>
    <w:rsid w:val="7A1940E8"/>
    <w:rsid w:val="7A1E525A"/>
    <w:rsid w:val="7A382400"/>
    <w:rsid w:val="7A4D5B40"/>
    <w:rsid w:val="7A5E5F9F"/>
    <w:rsid w:val="7A680BCB"/>
    <w:rsid w:val="7A7C01D3"/>
    <w:rsid w:val="7A97325F"/>
    <w:rsid w:val="7A992B33"/>
    <w:rsid w:val="7AE53FCA"/>
    <w:rsid w:val="7AF16E13"/>
    <w:rsid w:val="7AF406B1"/>
    <w:rsid w:val="7B024B7C"/>
    <w:rsid w:val="7B232CB4"/>
    <w:rsid w:val="7B276391"/>
    <w:rsid w:val="7B2C39A7"/>
    <w:rsid w:val="7B354F51"/>
    <w:rsid w:val="7B3B008E"/>
    <w:rsid w:val="7B4056A4"/>
    <w:rsid w:val="7B503B39"/>
    <w:rsid w:val="7B567521"/>
    <w:rsid w:val="7B6E0463"/>
    <w:rsid w:val="7B7517F2"/>
    <w:rsid w:val="7B9A3CB2"/>
    <w:rsid w:val="7B9D6653"/>
    <w:rsid w:val="7BA85CFD"/>
    <w:rsid w:val="7BC40083"/>
    <w:rsid w:val="7BDC361F"/>
    <w:rsid w:val="7C127041"/>
    <w:rsid w:val="7C286864"/>
    <w:rsid w:val="7C432EEC"/>
    <w:rsid w:val="7C444D20"/>
    <w:rsid w:val="7C4F3DF1"/>
    <w:rsid w:val="7C570EF7"/>
    <w:rsid w:val="7C686C61"/>
    <w:rsid w:val="7C6F4493"/>
    <w:rsid w:val="7C741AA9"/>
    <w:rsid w:val="7C745605"/>
    <w:rsid w:val="7CC17FBC"/>
    <w:rsid w:val="7CCD740C"/>
    <w:rsid w:val="7CD97B5E"/>
    <w:rsid w:val="7CE050BE"/>
    <w:rsid w:val="7CE745C5"/>
    <w:rsid w:val="7CF51831"/>
    <w:rsid w:val="7D223BE9"/>
    <w:rsid w:val="7D32101D"/>
    <w:rsid w:val="7D515947"/>
    <w:rsid w:val="7D553689"/>
    <w:rsid w:val="7D584F27"/>
    <w:rsid w:val="7D676F18"/>
    <w:rsid w:val="7D6F2271"/>
    <w:rsid w:val="7D715FE9"/>
    <w:rsid w:val="7D823D52"/>
    <w:rsid w:val="7D8F0346"/>
    <w:rsid w:val="7D9341B1"/>
    <w:rsid w:val="7D9D293A"/>
    <w:rsid w:val="7DB0216B"/>
    <w:rsid w:val="7DC223A1"/>
    <w:rsid w:val="7DD00F61"/>
    <w:rsid w:val="7DD86068"/>
    <w:rsid w:val="7DD943F1"/>
    <w:rsid w:val="7DF52339"/>
    <w:rsid w:val="7E0B3D48"/>
    <w:rsid w:val="7E292420"/>
    <w:rsid w:val="7E5A6A7D"/>
    <w:rsid w:val="7E6873EC"/>
    <w:rsid w:val="7E8A7362"/>
    <w:rsid w:val="7E9C7095"/>
    <w:rsid w:val="7EB10D93"/>
    <w:rsid w:val="7EB50157"/>
    <w:rsid w:val="7EBC0EEF"/>
    <w:rsid w:val="7EDC7492"/>
    <w:rsid w:val="7EDE5E99"/>
    <w:rsid w:val="7EE822DB"/>
    <w:rsid w:val="7EEB3B79"/>
    <w:rsid w:val="7EEB5927"/>
    <w:rsid w:val="7EF173E1"/>
    <w:rsid w:val="7F007624"/>
    <w:rsid w:val="7F0709B3"/>
    <w:rsid w:val="7F08472B"/>
    <w:rsid w:val="7F0F5AB9"/>
    <w:rsid w:val="7F2E23E3"/>
    <w:rsid w:val="7F3E639F"/>
    <w:rsid w:val="7F4734A5"/>
    <w:rsid w:val="7F4A64A2"/>
    <w:rsid w:val="7F606315"/>
    <w:rsid w:val="7F6C4CBA"/>
    <w:rsid w:val="7F791185"/>
    <w:rsid w:val="7F7C3A97"/>
    <w:rsid w:val="7F961D37"/>
    <w:rsid w:val="7FB16B71"/>
    <w:rsid w:val="7FB64187"/>
    <w:rsid w:val="7FC44AF6"/>
    <w:rsid w:val="7FC70142"/>
    <w:rsid w:val="7FCB7C32"/>
    <w:rsid w:val="7FE607C0"/>
    <w:rsid w:val="7FE80BDA"/>
    <w:rsid w:val="7FF8479F"/>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0"/>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60" w:after="60"/>
      <w:outlineLvl w:val="1"/>
    </w:pPr>
    <w:rPr>
      <w:rFonts w:ascii="宋体" w:hAnsi="Arial" w:cs="宋体"/>
      <w:b/>
      <w:bCs/>
      <w:sz w:val="28"/>
      <w:szCs w:val="28"/>
    </w:rPr>
  </w:style>
  <w:style w:type="paragraph" w:styleId="4">
    <w:name w:val="heading 3"/>
    <w:basedOn w:val="1"/>
    <w:next w:val="1"/>
    <w:link w:val="62"/>
    <w:qFormat/>
    <w:uiPriority w:val="0"/>
    <w:pPr>
      <w:keepNext/>
      <w:keepLines/>
      <w:spacing w:before="120" w:after="120"/>
      <w:ind w:firstLine="480"/>
      <w:outlineLvl w:val="2"/>
    </w:pPr>
    <w:rPr>
      <w:b/>
      <w:bCs/>
      <w:sz w:val="24"/>
      <w:szCs w:val="24"/>
    </w:rPr>
  </w:style>
  <w:style w:type="paragraph" w:styleId="5">
    <w:name w:val="heading 4"/>
    <w:basedOn w:val="1"/>
    <w:next w:val="1"/>
    <w:link w:val="63"/>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5"/>
    <w:qFormat/>
    <w:uiPriority w:val="0"/>
    <w:pPr>
      <w:keepNext/>
      <w:keepLines/>
      <w:spacing w:before="280" w:after="290" w:line="376" w:lineRule="auto"/>
      <w:outlineLvl w:val="4"/>
    </w:pPr>
    <w:rPr>
      <w:b/>
      <w:bCs/>
      <w:sz w:val="28"/>
      <w:szCs w:val="28"/>
    </w:rPr>
  </w:style>
  <w:style w:type="paragraph" w:styleId="7">
    <w:name w:val="heading 6"/>
    <w:basedOn w:val="1"/>
    <w:next w:val="1"/>
    <w:link w:val="7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7"/>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rPr>
      <w:szCs w:val="24"/>
    </w:rPr>
  </w:style>
  <w:style w:type="paragraph" w:styleId="13">
    <w:name w:val="caption"/>
    <w:basedOn w:val="1"/>
    <w:next w:val="1"/>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6"/>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qFormat/>
    <w:uiPriority w:val="0"/>
    <w:pPr>
      <w:spacing w:before="120"/>
    </w:pPr>
    <w:rPr>
      <w:rFonts w:ascii="Arial" w:hAnsi="Arial" w:cs="Arial"/>
      <w:sz w:val="24"/>
      <w:szCs w:val="24"/>
    </w:rPr>
  </w:style>
  <w:style w:type="paragraph" w:styleId="16">
    <w:name w:val="annotation text"/>
    <w:basedOn w:val="1"/>
    <w:link w:val="163"/>
    <w:unhideWhenUsed/>
    <w:qFormat/>
    <w:uiPriority w:val="0"/>
    <w:pPr>
      <w:jc w:val="left"/>
    </w:pPr>
  </w:style>
  <w:style w:type="paragraph" w:styleId="17">
    <w:name w:val="Body Text 3"/>
    <w:basedOn w:val="1"/>
    <w:link w:val="167"/>
    <w:qFormat/>
    <w:uiPriority w:val="0"/>
    <w:pPr>
      <w:spacing w:after="120"/>
    </w:pPr>
    <w:rPr>
      <w:rFonts w:asciiTheme="minorHAnsi" w:hAnsiTheme="minorHAnsi" w:eastAsiaTheme="minorEastAsia" w:cstheme="minorBidi"/>
      <w:sz w:val="16"/>
      <w:szCs w:val="16"/>
    </w:rPr>
  </w:style>
  <w:style w:type="paragraph" w:styleId="18">
    <w:name w:val="Body Text"/>
    <w:basedOn w:val="1"/>
    <w:link w:val="168"/>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20"/>
    <w:link w:val="162"/>
    <w:qFormat/>
    <w:uiPriority w:val="0"/>
    <w:pPr>
      <w:spacing w:after="120"/>
      <w:ind w:left="420" w:leftChars="200"/>
    </w:pPr>
    <w:rPr>
      <w:rFonts w:asciiTheme="minorHAnsi" w:hAnsiTheme="minorHAnsi" w:eastAsiaTheme="minorEastAsia" w:cstheme="minorBidi"/>
      <w:szCs w:val="24"/>
    </w:rPr>
  </w:style>
  <w:style w:type="paragraph" w:styleId="20">
    <w:name w:val="envelope return"/>
    <w:basedOn w:val="1"/>
    <w:unhideWhenUsed/>
    <w:qFormat/>
    <w:uiPriority w:val="99"/>
    <w:pPr>
      <w:snapToGrid w:val="0"/>
    </w:pPr>
    <w:rPr>
      <w:rFonts w:ascii="等线 Light" w:hAnsi="等线 Light" w:eastAsia="等线 Light" w:cs="Times New Roman"/>
    </w:rPr>
  </w:style>
  <w:style w:type="paragraph" w:styleId="21">
    <w:name w:val="List 2"/>
    <w:basedOn w:val="1"/>
    <w:qFormat/>
    <w:uiPriority w:val="0"/>
    <w:pPr>
      <w:ind w:left="100" w:leftChars="200" w:hanging="200" w:hangingChars="200"/>
    </w:pPr>
    <w:rPr>
      <w:szCs w:val="24"/>
    </w:rPr>
  </w:style>
  <w:style w:type="paragraph" w:styleId="22">
    <w:name w:val="List Continue"/>
    <w:basedOn w:val="1"/>
    <w:qFormat/>
    <w:uiPriority w:val="0"/>
    <w:pPr>
      <w:widowControl/>
      <w:spacing w:before="100" w:beforeAutospacing="1" w:after="100" w:afterAutospacing="1"/>
      <w:jc w:val="left"/>
    </w:pPr>
    <w:rPr>
      <w:rFonts w:ascii="宋体" w:hAnsi="宋体"/>
      <w:kern w:val="0"/>
      <w:sz w:val="24"/>
      <w:szCs w:val="24"/>
    </w:rPr>
  </w:style>
  <w:style w:type="paragraph" w:styleId="23">
    <w:name w:val="index 4"/>
    <w:basedOn w:val="1"/>
    <w:next w:val="1"/>
    <w:qFormat/>
    <w:uiPriority w:val="0"/>
    <w:pPr>
      <w:ind w:left="600" w:leftChars="600"/>
    </w:pPr>
    <w:rPr>
      <w:szCs w:val="24"/>
    </w:rPr>
  </w:style>
  <w:style w:type="paragraph" w:styleId="24">
    <w:name w:val="toc 5"/>
    <w:basedOn w:val="1"/>
    <w:next w:val="1"/>
    <w:qFormat/>
    <w:uiPriority w:val="0"/>
    <w:pPr>
      <w:tabs>
        <w:tab w:val="right" w:leader="dot" w:pos="8296"/>
      </w:tabs>
      <w:ind w:left="1050" w:leftChars="500"/>
    </w:pPr>
    <w:rPr>
      <w:rFonts w:ascii="Calibri" w:hAnsi="Calibri"/>
      <w:szCs w:val="22"/>
    </w:rPr>
  </w:style>
  <w:style w:type="paragraph" w:styleId="25">
    <w:name w:val="toc 3"/>
    <w:basedOn w:val="1"/>
    <w:next w:val="1"/>
    <w:qFormat/>
    <w:uiPriority w:val="39"/>
    <w:pPr>
      <w:tabs>
        <w:tab w:val="right" w:leader="dot" w:pos="8302"/>
      </w:tabs>
      <w:ind w:left="420"/>
      <w:jc w:val="left"/>
    </w:pPr>
    <w:rPr>
      <w:rFonts w:ascii="宋体" w:hAnsi="宋体"/>
      <w:iCs/>
      <w:snapToGrid w:val="0"/>
      <w:kern w:val="0"/>
    </w:rPr>
  </w:style>
  <w:style w:type="paragraph" w:styleId="26">
    <w:name w:val="Plain Text"/>
    <w:basedOn w:val="1"/>
    <w:next w:val="27"/>
    <w:link w:val="66"/>
    <w:unhideWhenUsed/>
    <w:qFormat/>
    <w:uiPriority w:val="0"/>
    <w:rPr>
      <w:rFonts w:ascii="宋体" w:hAnsi="Courier New" w:cs="Courier New"/>
    </w:rPr>
  </w:style>
  <w:style w:type="paragraph" w:styleId="27">
    <w:name w:val="index 9"/>
    <w:basedOn w:val="1"/>
    <w:next w:val="1"/>
    <w:qFormat/>
    <w:uiPriority w:val="99"/>
    <w:pPr>
      <w:ind w:left="3360"/>
    </w:pPr>
    <w:rPr>
      <w:rFonts w:cs="等线"/>
      <w:szCs w:val="21"/>
    </w:rPr>
  </w:style>
  <w:style w:type="paragraph" w:styleId="28">
    <w:name w:val="toc 8"/>
    <w:basedOn w:val="1"/>
    <w:next w:val="1"/>
    <w:qFormat/>
    <w:uiPriority w:val="0"/>
    <w:pPr>
      <w:ind w:left="2940" w:leftChars="1400"/>
    </w:pPr>
    <w:rPr>
      <w:rFonts w:ascii="Calibri" w:hAnsi="Calibri"/>
      <w:szCs w:val="22"/>
    </w:rPr>
  </w:style>
  <w:style w:type="paragraph" w:styleId="29">
    <w:name w:val="Date"/>
    <w:basedOn w:val="1"/>
    <w:next w:val="1"/>
    <w:link w:val="165"/>
    <w:qFormat/>
    <w:uiPriority w:val="0"/>
    <w:pPr>
      <w:ind w:left="100" w:leftChars="2500"/>
    </w:pPr>
    <w:rPr>
      <w:rFonts w:asciiTheme="minorHAnsi" w:hAnsiTheme="minorHAnsi" w:eastAsiaTheme="minorEastAsia" w:cstheme="minorBidi"/>
      <w:szCs w:val="24"/>
    </w:rPr>
  </w:style>
  <w:style w:type="paragraph" w:styleId="30">
    <w:name w:val="Body Text Indent 2"/>
    <w:basedOn w:val="1"/>
    <w:link w:val="156"/>
    <w:qFormat/>
    <w:uiPriority w:val="0"/>
    <w:pPr>
      <w:ind w:firstLine="538" w:firstLineChars="192"/>
    </w:pPr>
    <w:rPr>
      <w:rFonts w:asciiTheme="minorHAnsi" w:hAnsiTheme="minorHAnsi" w:eastAsiaTheme="minorEastAsia" w:cstheme="minorBidi"/>
      <w:sz w:val="28"/>
      <w:szCs w:val="22"/>
    </w:rPr>
  </w:style>
  <w:style w:type="paragraph" w:styleId="31">
    <w:name w:val="Balloon Text"/>
    <w:basedOn w:val="1"/>
    <w:link w:val="74"/>
    <w:unhideWhenUsed/>
    <w:qFormat/>
    <w:uiPriority w:val="0"/>
    <w:rPr>
      <w:sz w:val="18"/>
      <w:szCs w:val="18"/>
    </w:rPr>
  </w:style>
  <w:style w:type="paragraph" w:styleId="32">
    <w:name w:val="footer"/>
    <w:basedOn w:val="1"/>
    <w:link w:val="72"/>
    <w:unhideWhenUsed/>
    <w:qFormat/>
    <w:uiPriority w:val="99"/>
    <w:pPr>
      <w:snapToGrid w:val="0"/>
      <w:jc w:val="left"/>
    </w:pPr>
    <w:rPr>
      <w:sz w:val="18"/>
      <w:szCs w:val="18"/>
    </w:rPr>
  </w:style>
  <w:style w:type="paragraph" w:styleId="33">
    <w:name w:val="header"/>
    <w:basedOn w:val="1"/>
    <w:link w:val="69"/>
    <w:unhideWhenUsed/>
    <w:qFormat/>
    <w:uiPriority w:val="99"/>
    <w:pPr>
      <w:pBdr>
        <w:bottom w:val="single" w:color="auto" w:sz="6" w:space="1"/>
      </w:pBdr>
      <w:snapToGrid w:val="0"/>
      <w:jc w:val="center"/>
    </w:pPr>
    <w:rPr>
      <w:sz w:val="18"/>
      <w:szCs w:val="18"/>
    </w:rPr>
  </w:style>
  <w:style w:type="paragraph" w:styleId="34">
    <w:name w:val="toc 1"/>
    <w:basedOn w:val="1"/>
    <w:next w:val="1"/>
    <w:unhideWhenUsed/>
    <w:qFormat/>
    <w:uiPriority w:val="39"/>
    <w:pPr>
      <w:spacing w:line="400" w:lineRule="exact"/>
      <w:jc w:val="left"/>
    </w:pPr>
    <w:rPr>
      <w:rFonts w:ascii="宋体" w:hAnsi="宋体" w:cs="宋体"/>
      <w:b/>
      <w:bCs/>
      <w:caps/>
      <w:color w:val="000000"/>
    </w:rPr>
  </w:style>
  <w:style w:type="paragraph" w:styleId="35">
    <w:name w:val="toc 4"/>
    <w:basedOn w:val="1"/>
    <w:next w:val="1"/>
    <w:qFormat/>
    <w:uiPriority w:val="0"/>
    <w:pPr>
      <w:tabs>
        <w:tab w:val="left" w:pos="1890"/>
        <w:tab w:val="right" w:leader="dot" w:pos="8296"/>
      </w:tabs>
      <w:ind w:left="630" w:leftChars="300"/>
    </w:pPr>
    <w:rPr>
      <w:rFonts w:ascii="Calibri" w:hAnsi="Calibri"/>
      <w:szCs w:val="22"/>
    </w:rPr>
  </w:style>
  <w:style w:type="paragraph" w:styleId="36">
    <w:name w:val="Subtitle"/>
    <w:basedOn w:val="1"/>
    <w:next w:val="1"/>
    <w:link w:val="160"/>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7">
    <w:name w:val="footnote text"/>
    <w:basedOn w:val="1"/>
    <w:link w:val="251"/>
    <w:semiHidden/>
    <w:unhideWhenUsed/>
    <w:qFormat/>
    <w:uiPriority w:val="99"/>
    <w:pPr>
      <w:snapToGrid w:val="0"/>
      <w:jc w:val="left"/>
    </w:pPr>
    <w:rPr>
      <w:sz w:val="18"/>
      <w:szCs w:val="18"/>
    </w:rPr>
  </w:style>
  <w:style w:type="paragraph" w:styleId="38">
    <w:name w:val="toc 6"/>
    <w:basedOn w:val="1"/>
    <w:next w:val="1"/>
    <w:qFormat/>
    <w:uiPriority w:val="0"/>
    <w:pPr>
      <w:ind w:left="1050"/>
      <w:jc w:val="left"/>
    </w:pPr>
    <w:rPr>
      <w:sz w:val="20"/>
      <w:szCs w:val="20"/>
    </w:rPr>
  </w:style>
  <w:style w:type="paragraph" w:styleId="39">
    <w:name w:val="Body Text Indent 3"/>
    <w:basedOn w:val="1"/>
    <w:link w:val="172"/>
    <w:qFormat/>
    <w:uiPriority w:val="0"/>
    <w:pPr>
      <w:spacing w:after="120"/>
      <w:ind w:left="420" w:leftChars="200"/>
    </w:pPr>
    <w:rPr>
      <w:rFonts w:asciiTheme="minorHAnsi" w:hAnsiTheme="minorHAnsi" w:eastAsiaTheme="minorEastAsia" w:cstheme="minorBidi"/>
      <w:sz w:val="16"/>
      <w:szCs w:val="16"/>
    </w:rPr>
  </w:style>
  <w:style w:type="paragraph" w:styleId="40">
    <w:name w:val="toc 2"/>
    <w:basedOn w:val="1"/>
    <w:next w:val="1"/>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next w:val="18"/>
    <w:link w:val="176"/>
    <w:qFormat/>
    <w:uiPriority w:val="0"/>
    <w:pPr>
      <w:widowControl/>
      <w:spacing w:before="100" w:beforeAutospacing="1" w:after="100" w:afterAutospacing="1"/>
      <w:jc w:val="left"/>
    </w:pPr>
    <w:rPr>
      <w:rFonts w:ascii="宋体" w:hAnsi="宋体" w:cs="宋体" w:eastAsiaTheme="minorEastAsia"/>
      <w:sz w:val="24"/>
      <w:szCs w:val="24"/>
    </w:rPr>
  </w:style>
  <w:style w:type="paragraph" w:styleId="43">
    <w:name w:val="Message Header"/>
    <w:basedOn w:val="1"/>
    <w:link w:val="64"/>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4">
    <w:name w:val="Normal (Web)"/>
    <w:basedOn w:val="1"/>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5">
    <w:name w:val="Title"/>
    <w:basedOn w:val="1"/>
    <w:next w:val="1"/>
    <w:link w:val="159"/>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6">
    <w:name w:val="annotation subject"/>
    <w:basedOn w:val="16"/>
    <w:next w:val="16"/>
    <w:link w:val="164"/>
    <w:qFormat/>
    <w:uiPriority w:val="0"/>
    <w:rPr>
      <w:rFonts w:ascii="宋体" w:hAnsiTheme="minorHAnsi" w:eastAsiaTheme="minorEastAsia" w:cstheme="minorBidi"/>
      <w:b/>
      <w:bCs/>
      <w:sz w:val="28"/>
      <w:szCs w:val="22"/>
    </w:rPr>
  </w:style>
  <w:style w:type="paragraph" w:styleId="47">
    <w:name w:val="Body Text First Indent"/>
    <w:basedOn w:val="18"/>
    <w:next w:val="48"/>
    <w:qFormat/>
    <w:uiPriority w:val="0"/>
    <w:pPr>
      <w:adjustRightInd w:val="0"/>
      <w:spacing w:after="60" w:line="360" w:lineRule="atLeast"/>
      <w:ind w:left="72" w:leftChars="30" w:right="30" w:rightChars="30" w:firstLine="420" w:firstLineChars="100"/>
      <w:jc w:val="center"/>
      <w:textAlignment w:val="baseline"/>
    </w:pPr>
    <w:rPr>
      <w:kern w:val="2"/>
      <w:sz w:val="21"/>
      <w:lang w:val="en-US" w:eastAsia="zh-CN"/>
    </w:rPr>
  </w:style>
  <w:style w:type="paragraph" w:styleId="48">
    <w:name w:val="Body Text First Indent 2"/>
    <w:basedOn w:val="19"/>
    <w:next w:val="1"/>
    <w:link w:val="252"/>
    <w:unhideWhenUsed/>
    <w:qFormat/>
    <w:uiPriority w:val="0"/>
    <w:pPr>
      <w:ind w:firstLine="420" w:firstLineChars="200"/>
    </w:pPr>
    <w:rPr>
      <w:rFonts w:ascii="Times New Roman" w:hAnsi="Times New Roman" w:eastAsia="宋体" w:cs="Times New Roman"/>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basedOn w:val="51"/>
    <w:unhideWhenUsed/>
    <w:qFormat/>
    <w:uiPriority w:val="0"/>
    <w:rPr>
      <w:color w:val="000000"/>
      <w:sz w:val="16"/>
      <w:szCs w:val="16"/>
      <w:u w:val="none"/>
    </w:rPr>
  </w:style>
  <w:style w:type="character" w:styleId="55">
    <w:name w:val="Emphasis"/>
    <w:qFormat/>
    <w:uiPriority w:val="0"/>
    <w:rPr>
      <w:color w:val="C60A00"/>
    </w:rPr>
  </w:style>
  <w:style w:type="character" w:styleId="56">
    <w:name w:val="Hyperlink"/>
    <w:basedOn w:val="51"/>
    <w:unhideWhenUsed/>
    <w:qFormat/>
    <w:uiPriority w:val="99"/>
    <w:rPr>
      <w:color w:val="000000"/>
      <w:sz w:val="16"/>
      <w:szCs w:val="16"/>
      <w:u w:val="none"/>
    </w:rPr>
  </w:style>
  <w:style w:type="character" w:styleId="57">
    <w:name w:val="annotation reference"/>
    <w:qFormat/>
    <w:uiPriority w:val="0"/>
    <w:rPr>
      <w:rFonts w:cs="Times New Roman"/>
      <w:sz w:val="21"/>
      <w:szCs w:val="21"/>
    </w:rPr>
  </w:style>
  <w:style w:type="paragraph" w:customStyle="1" w:styleId="58">
    <w:name w:val="正文首行缩进1"/>
    <w:basedOn w:val="1"/>
    <w:next w:val="59"/>
    <w:qFormat/>
    <w:uiPriority w:val="0"/>
    <w:pPr>
      <w:spacing w:line="276" w:lineRule="auto"/>
      <w:ind w:firstLine="420" w:firstLineChars="100"/>
    </w:pPr>
    <w:rPr>
      <w:rFonts w:ascii="宋体" w:hAnsi="Calibri" w:eastAsia="仿宋"/>
      <w:sz w:val="24"/>
      <w:szCs w:val="21"/>
    </w:rPr>
  </w:style>
  <w:style w:type="paragraph" w:customStyle="1" w:styleId="59">
    <w:name w:val="正文首行缩进 21"/>
    <w:basedOn w:val="1"/>
    <w:qFormat/>
    <w:uiPriority w:val="0"/>
    <w:pPr>
      <w:ind w:firstLine="420" w:firstLineChars="200"/>
    </w:pPr>
    <w:rPr>
      <w:rFonts w:eastAsia="仿宋"/>
      <w:sz w:val="24"/>
      <w:szCs w:val="21"/>
    </w:rPr>
  </w:style>
  <w:style w:type="character" w:customStyle="1" w:styleId="60">
    <w:name w:val="标题 1 Char"/>
    <w:basedOn w:val="51"/>
    <w:link w:val="2"/>
    <w:qFormat/>
    <w:uiPriority w:val="0"/>
    <w:rPr>
      <w:rFonts w:ascii="Times New Roman" w:hAnsi="Times New Roman" w:eastAsia="宋体" w:cs="Times New Roman"/>
      <w:b/>
      <w:bCs/>
      <w:kern w:val="44"/>
      <w:sz w:val="44"/>
      <w:szCs w:val="44"/>
    </w:rPr>
  </w:style>
  <w:style w:type="character" w:customStyle="1" w:styleId="61">
    <w:name w:val="标题 2 Char"/>
    <w:basedOn w:val="51"/>
    <w:link w:val="3"/>
    <w:qFormat/>
    <w:uiPriority w:val="0"/>
    <w:rPr>
      <w:rFonts w:ascii="宋体" w:hAnsi="Arial" w:eastAsia="宋体" w:cs="宋体"/>
      <w:b/>
      <w:bCs/>
      <w:sz w:val="28"/>
      <w:szCs w:val="28"/>
    </w:rPr>
  </w:style>
  <w:style w:type="character" w:customStyle="1" w:styleId="62">
    <w:name w:val="标题 3 Char"/>
    <w:basedOn w:val="51"/>
    <w:link w:val="4"/>
    <w:qFormat/>
    <w:uiPriority w:val="0"/>
    <w:rPr>
      <w:rFonts w:ascii="Times New Roman" w:hAnsi="Times New Roman" w:eastAsia="宋体" w:cs="Times New Roman"/>
      <w:b/>
      <w:bCs/>
      <w:sz w:val="24"/>
      <w:szCs w:val="24"/>
    </w:rPr>
  </w:style>
  <w:style w:type="character" w:customStyle="1" w:styleId="63">
    <w:name w:val="标题 4 Char"/>
    <w:basedOn w:val="51"/>
    <w:link w:val="5"/>
    <w:qFormat/>
    <w:uiPriority w:val="0"/>
    <w:rPr>
      <w:rFonts w:ascii="Arial" w:hAnsi="Arial" w:eastAsia="黑体" w:cs="Arial"/>
      <w:b/>
      <w:bCs/>
      <w:sz w:val="28"/>
      <w:szCs w:val="28"/>
    </w:rPr>
  </w:style>
  <w:style w:type="character" w:customStyle="1" w:styleId="64">
    <w:name w:val="信息标题 Char"/>
    <w:basedOn w:val="51"/>
    <w:link w:val="43"/>
    <w:semiHidden/>
    <w:qFormat/>
    <w:uiPriority w:val="99"/>
    <w:rPr>
      <w:rFonts w:ascii="Cambria" w:hAnsi="Cambria" w:eastAsia="宋体" w:cs="宋体"/>
      <w:sz w:val="24"/>
      <w:szCs w:val="24"/>
      <w:shd w:val="clear" w:color="auto" w:fill="7F7F7F"/>
    </w:rPr>
  </w:style>
  <w:style w:type="paragraph" w:customStyle="1" w:styleId="6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b w:val="0"/>
      <w:bCs w:val="0"/>
    </w:rPr>
  </w:style>
  <w:style w:type="character" w:customStyle="1" w:styleId="66">
    <w:name w:val="纯文本 Char"/>
    <w:basedOn w:val="51"/>
    <w:link w:val="26"/>
    <w:qFormat/>
    <w:uiPriority w:val="0"/>
    <w:rPr>
      <w:rFonts w:ascii="宋体" w:hAnsi="Courier New" w:eastAsia="宋体" w:cs="Courier New"/>
      <w:szCs w:val="21"/>
    </w:rPr>
  </w:style>
  <w:style w:type="paragraph" w:customStyle="1" w:styleId="67">
    <w:name w:val="zw"/>
    <w:basedOn w:val="1"/>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8">
    <w:name w:val="列出段落1"/>
    <w:basedOn w:val="1"/>
    <w:qFormat/>
    <w:uiPriority w:val="0"/>
    <w:pPr>
      <w:ind w:firstLine="420" w:firstLineChars="200"/>
    </w:pPr>
  </w:style>
  <w:style w:type="character" w:customStyle="1" w:styleId="69">
    <w:name w:val="页眉 Char"/>
    <w:basedOn w:val="51"/>
    <w:link w:val="33"/>
    <w:qFormat/>
    <w:uiPriority w:val="99"/>
    <w:rPr>
      <w:rFonts w:ascii="Times New Roman" w:hAnsi="Times New Roman" w:eastAsia="宋体" w:cs="Times New Roman"/>
      <w:sz w:val="18"/>
      <w:szCs w:val="18"/>
    </w:rPr>
  </w:style>
  <w:style w:type="paragraph" w:customStyle="1" w:styleId="70">
    <w:name w:val="p15"/>
    <w:basedOn w:val="1"/>
    <w:qFormat/>
    <w:uiPriority w:val="0"/>
    <w:pPr>
      <w:widowControl/>
      <w:spacing w:before="100" w:after="100"/>
      <w:jc w:val="left"/>
    </w:pPr>
    <w:rPr>
      <w:rFonts w:ascii="宋体" w:hAnsi="宋体" w:cs="宋体"/>
      <w:kern w:val="0"/>
      <w:sz w:val="24"/>
      <w:szCs w:val="24"/>
    </w:rPr>
  </w:style>
  <w:style w:type="paragraph" w:customStyle="1" w:styleId="71">
    <w:name w:val="样式 标题 3 + (中文) 黑体 小四 非加粗 段前: 7.8 磅 段后: 0 磅 行距: 固定值 20 磅"/>
    <w:basedOn w:val="4"/>
    <w:qFormat/>
    <w:uiPriority w:val="0"/>
    <w:pPr>
      <w:spacing w:before="0" w:after="0" w:line="400" w:lineRule="exact"/>
      <w:ind w:firstLine="0"/>
    </w:pPr>
    <w:rPr>
      <w:rFonts w:eastAsia="黑体" w:cs="宋体"/>
      <w:b w:val="0"/>
      <w:bCs w:val="0"/>
    </w:rPr>
  </w:style>
  <w:style w:type="character" w:customStyle="1" w:styleId="72">
    <w:name w:val="页脚 Char"/>
    <w:basedOn w:val="51"/>
    <w:link w:val="32"/>
    <w:qFormat/>
    <w:uiPriority w:val="99"/>
    <w:rPr>
      <w:rFonts w:ascii="Times New Roman" w:hAnsi="Times New Roman" w:eastAsia="宋体" w:cs="Times New Roman"/>
      <w:sz w:val="18"/>
      <w:szCs w:val="18"/>
    </w:rPr>
  </w:style>
  <w:style w:type="paragraph" w:customStyle="1" w:styleId="73">
    <w:name w:val="Default"/>
    <w:basedOn w:val="1"/>
    <w:qFormat/>
    <w:uiPriority w:val="0"/>
    <w:pPr>
      <w:autoSpaceDE w:val="0"/>
      <w:autoSpaceDN w:val="0"/>
      <w:adjustRightInd w:val="0"/>
      <w:jc w:val="left"/>
    </w:pPr>
    <w:rPr>
      <w:rFonts w:ascii="宋体" w:cs="宋体"/>
      <w:color w:val="000000"/>
      <w:kern w:val="0"/>
      <w:sz w:val="24"/>
      <w:szCs w:val="24"/>
    </w:rPr>
  </w:style>
  <w:style w:type="character" w:customStyle="1" w:styleId="74">
    <w:name w:val="批注框文本 Char"/>
    <w:basedOn w:val="51"/>
    <w:link w:val="31"/>
    <w:qFormat/>
    <w:uiPriority w:val="0"/>
    <w:rPr>
      <w:rFonts w:ascii="Times New Roman" w:hAnsi="Times New Roman" w:eastAsia="宋体" w:cs="Times New Roman"/>
      <w:sz w:val="18"/>
      <w:szCs w:val="18"/>
    </w:rPr>
  </w:style>
  <w:style w:type="character" w:customStyle="1" w:styleId="75">
    <w:name w:val="标题 5 Char"/>
    <w:basedOn w:val="51"/>
    <w:link w:val="6"/>
    <w:qFormat/>
    <w:uiPriority w:val="0"/>
    <w:rPr>
      <w:rFonts w:ascii="Times New Roman" w:hAnsi="Times New Roman" w:eastAsia="宋体" w:cs="Times New Roman"/>
      <w:b/>
      <w:bCs/>
      <w:sz w:val="28"/>
      <w:szCs w:val="28"/>
    </w:rPr>
  </w:style>
  <w:style w:type="character" w:customStyle="1" w:styleId="76">
    <w:name w:val="标题 6 Char"/>
    <w:basedOn w:val="51"/>
    <w:link w:val="7"/>
    <w:qFormat/>
    <w:uiPriority w:val="0"/>
    <w:rPr>
      <w:rFonts w:ascii="Arial" w:hAnsi="Arial" w:eastAsia="黑体" w:cs="Times New Roman"/>
      <w:b/>
      <w:bCs/>
      <w:kern w:val="0"/>
      <w:sz w:val="24"/>
      <w:szCs w:val="24"/>
    </w:rPr>
  </w:style>
  <w:style w:type="character" w:customStyle="1" w:styleId="77">
    <w:name w:val="标题 7 Char"/>
    <w:basedOn w:val="51"/>
    <w:link w:val="8"/>
    <w:qFormat/>
    <w:uiPriority w:val="0"/>
    <w:rPr>
      <w:rFonts w:ascii="Times New Roman" w:hAnsi="Times New Roman" w:eastAsia="宋体" w:cs="Times New Roman"/>
      <w:b/>
      <w:bCs/>
      <w:kern w:val="0"/>
      <w:sz w:val="24"/>
      <w:szCs w:val="24"/>
    </w:rPr>
  </w:style>
  <w:style w:type="character" w:customStyle="1" w:styleId="78">
    <w:name w:val="标题 8 Char"/>
    <w:basedOn w:val="51"/>
    <w:link w:val="9"/>
    <w:qFormat/>
    <w:uiPriority w:val="0"/>
    <w:rPr>
      <w:rFonts w:ascii="Arial" w:hAnsi="Arial" w:eastAsia="黑体" w:cs="Times New Roman"/>
      <w:kern w:val="0"/>
      <w:sz w:val="24"/>
      <w:szCs w:val="24"/>
    </w:rPr>
  </w:style>
  <w:style w:type="character" w:customStyle="1" w:styleId="79">
    <w:name w:val="标题 9 Char"/>
    <w:basedOn w:val="51"/>
    <w:link w:val="10"/>
    <w:qFormat/>
    <w:uiPriority w:val="0"/>
    <w:rPr>
      <w:rFonts w:ascii="Arial" w:hAnsi="Arial" w:eastAsia="黑体" w:cs="Times New Roman"/>
      <w:kern w:val="0"/>
      <w:szCs w:val="21"/>
    </w:rPr>
  </w:style>
  <w:style w:type="character" w:customStyle="1" w:styleId="80">
    <w:name w:val="批注文字 Char"/>
    <w:qFormat/>
    <w:uiPriority w:val="0"/>
    <w:rPr>
      <w:szCs w:val="24"/>
    </w:rPr>
  </w:style>
  <w:style w:type="character" w:customStyle="1" w:styleId="81">
    <w:name w:val="批注文字 Char3"/>
    <w:basedOn w:val="51"/>
    <w:semiHidden/>
    <w:qFormat/>
    <w:uiPriority w:val="99"/>
    <w:rPr>
      <w:rFonts w:ascii="Times New Roman" w:hAnsi="Times New Roman" w:eastAsia="宋体" w:cs="Times New Roman"/>
      <w:szCs w:val="24"/>
    </w:rPr>
  </w:style>
  <w:style w:type="character" w:customStyle="1" w:styleId="82">
    <w:name w:val="文档结构图 Char4"/>
    <w:basedOn w:val="51"/>
    <w:semiHidden/>
    <w:qFormat/>
    <w:uiPriority w:val="99"/>
    <w:rPr>
      <w:rFonts w:ascii="宋体" w:hAnsi="Times New Roman" w:eastAsia="宋体" w:cs="Times New Roman"/>
      <w:sz w:val="18"/>
      <w:szCs w:val="18"/>
    </w:rPr>
  </w:style>
  <w:style w:type="character" w:customStyle="1" w:styleId="83">
    <w:name w:val="正文文本 Char2"/>
    <w:basedOn w:val="51"/>
    <w:qFormat/>
    <w:uiPriority w:val="99"/>
    <w:rPr>
      <w:kern w:val="2"/>
      <w:sz w:val="21"/>
      <w:szCs w:val="24"/>
    </w:rPr>
  </w:style>
  <w:style w:type="character" w:customStyle="1" w:styleId="84">
    <w:name w:val="批注主题 Char4"/>
    <w:basedOn w:val="81"/>
    <w:semiHidden/>
    <w:qFormat/>
    <w:uiPriority w:val="99"/>
    <w:rPr>
      <w:rFonts w:ascii="Times New Roman" w:hAnsi="Times New Roman" w:eastAsia="宋体" w:cs="Times New Roman"/>
      <w:b/>
      <w:bCs/>
      <w:szCs w:val="24"/>
    </w:rPr>
  </w:style>
  <w:style w:type="character" w:customStyle="1" w:styleId="85">
    <w:name w:val="正文文本 Char3"/>
    <w:basedOn w:val="51"/>
    <w:semiHidden/>
    <w:qFormat/>
    <w:uiPriority w:val="99"/>
    <w:rPr>
      <w:rFonts w:ascii="Times New Roman" w:hAnsi="Times New Roman" w:eastAsia="宋体" w:cs="Times New Roman"/>
      <w:szCs w:val="24"/>
    </w:rPr>
  </w:style>
  <w:style w:type="character" w:customStyle="1" w:styleId="86">
    <w:name w:val="标题 Char2"/>
    <w:basedOn w:val="51"/>
    <w:qFormat/>
    <w:uiPriority w:val="10"/>
    <w:rPr>
      <w:rFonts w:ascii="Cambria" w:hAnsi="Cambria" w:eastAsia="宋体" w:cs="Times New Roman"/>
      <w:b/>
      <w:bCs/>
      <w:sz w:val="32"/>
      <w:szCs w:val="32"/>
    </w:rPr>
  </w:style>
  <w:style w:type="character" w:customStyle="1" w:styleId="87">
    <w:name w:val="副标题 Char2"/>
    <w:basedOn w:val="51"/>
    <w:qFormat/>
    <w:uiPriority w:val="11"/>
    <w:rPr>
      <w:rFonts w:ascii="Cambria" w:hAnsi="Cambria" w:eastAsia="宋体" w:cs="Times New Roman"/>
      <w:b/>
      <w:bCs/>
      <w:kern w:val="28"/>
      <w:sz w:val="32"/>
      <w:szCs w:val="32"/>
    </w:rPr>
  </w:style>
  <w:style w:type="character" w:customStyle="1" w:styleId="88">
    <w:name w:val="正文文本 Char"/>
    <w:basedOn w:val="51"/>
    <w:qFormat/>
    <w:uiPriority w:val="0"/>
    <w:rPr>
      <w:rFonts w:cs="Mangal"/>
      <w:szCs w:val="18"/>
      <w:lang w:eastAsia="hi-IN" w:bidi="hi-IN"/>
    </w:rPr>
  </w:style>
  <w:style w:type="character" w:customStyle="1" w:styleId="89">
    <w:name w:val="批注文字 Char1"/>
    <w:basedOn w:val="51"/>
    <w:qFormat/>
    <w:uiPriority w:val="99"/>
    <w:rPr>
      <w:kern w:val="2"/>
      <w:sz w:val="21"/>
      <w:szCs w:val="24"/>
    </w:rPr>
  </w:style>
  <w:style w:type="character" w:customStyle="1" w:styleId="90">
    <w:name w:val="引用 Char"/>
    <w:qFormat/>
    <w:uiPriority w:val="0"/>
    <w:rPr>
      <w:i/>
      <w:iCs/>
      <w:color w:val="000000"/>
    </w:rPr>
  </w:style>
  <w:style w:type="paragraph" w:styleId="91">
    <w:name w:val="Quote"/>
    <w:basedOn w:val="1"/>
    <w:next w:val="1"/>
    <w:link w:val="183"/>
    <w:qFormat/>
    <w:uiPriority w:val="0"/>
    <w:rPr>
      <w:rFonts w:asciiTheme="minorHAnsi" w:hAnsiTheme="minorHAnsi" w:eastAsiaTheme="minorEastAsia" w:cstheme="minorBidi"/>
      <w:i/>
      <w:iCs/>
      <w:color w:val="000000"/>
      <w:szCs w:val="22"/>
    </w:rPr>
  </w:style>
  <w:style w:type="character" w:customStyle="1" w:styleId="92">
    <w:name w:val="textcontents"/>
    <w:qFormat/>
    <w:uiPriority w:val="0"/>
    <w:rPr>
      <w:rFonts w:cs="Times New Roman"/>
    </w:rPr>
  </w:style>
  <w:style w:type="character" w:customStyle="1" w:styleId="93">
    <w:name w:val="正文文本 3 Char"/>
    <w:basedOn w:val="51"/>
    <w:qFormat/>
    <w:uiPriority w:val="0"/>
    <w:rPr>
      <w:sz w:val="16"/>
      <w:szCs w:val="16"/>
    </w:rPr>
  </w:style>
  <w:style w:type="character" w:customStyle="1" w:styleId="94">
    <w:name w:val="正文文本缩进 Char"/>
    <w:basedOn w:val="51"/>
    <w:qFormat/>
    <w:uiPriority w:val="0"/>
    <w:rPr>
      <w:szCs w:val="24"/>
    </w:rPr>
  </w:style>
  <w:style w:type="character" w:customStyle="1" w:styleId="95">
    <w:name w:val="副标题 Char1"/>
    <w:basedOn w:val="51"/>
    <w:qFormat/>
    <w:uiPriority w:val="11"/>
    <w:rPr>
      <w:rFonts w:ascii="Cambria" w:hAnsi="Cambria" w:cs="Times New Roman"/>
      <w:b/>
      <w:bCs/>
      <w:kern w:val="28"/>
      <w:sz w:val="32"/>
      <w:szCs w:val="32"/>
    </w:rPr>
  </w:style>
  <w:style w:type="character" w:customStyle="1" w:styleId="96">
    <w:name w:val="文档结构图 Char"/>
    <w:qFormat/>
    <w:uiPriority w:val="0"/>
    <w:rPr>
      <w:szCs w:val="24"/>
      <w:shd w:val="clear" w:color="auto" w:fill="000080"/>
    </w:rPr>
  </w:style>
  <w:style w:type="character" w:customStyle="1" w:styleId="97">
    <w:name w:val="日期 Char"/>
    <w:qFormat/>
    <w:uiPriority w:val="0"/>
    <w:rPr>
      <w:szCs w:val="24"/>
    </w:rPr>
  </w:style>
  <w:style w:type="character" w:customStyle="1" w:styleId="98">
    <w:name w:val="正文文本缩进 Char1"/>
    <w:basedOn w:val="51"/>
    <w:qFormat/>
    <w:uiPriority w:val="0"/>
    <w:rPr>
      <w:kern w:val="2"/>
      <w:sz w:val="21"/>
      <w:szCs w:val="24"/>
    </w:rPr>
  </w:style>
  <w:style w:type="character" w:customStyle="1" w:styleId="99">
    <w:name w:val="明显引用 Char"/>
    <w:qFormat/>
    <w:uiPriority w:val="0"/>
    <w:rPr>
      <w:b/>
      <w:bCs/>
      <w:i/>
      <w:iCs/>
      <w:color w:val="4F81BD"/>
    </w:rPr>
  </w:style>
  <w:style w:type="paragraph" w:styleId="100">
    <w:name w:val="Intense Quote"/>
    <w:basedOn w:val="1"/>
    <w:next w:val="1"/>
    <w:link w:val="182"/>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01">
    <w:name w:val="副标题 Char"/>
    <w:qFormat/>
    <w:uiPriority w:val="0"/>
    <w:rPr>
      <w:rFonts w:ascii="Cambria" w:hAnsi="Cambria" w:cs="Nimbus Sans L"/>
      <w:b/>
      <w:bCs/>
      <w:kern w:val="28"/>
      <w:sz w:val="32"/>
      <w:szCs w:val="32"/>
      <w:lang w:bidi="he-IL"/>
    </w:rPr>
  </w:style>
  <w:style w:type="character" w:customStyle="1" w:styleId="102">
    <w:name w:val="引用 Char3"/>
    <w:basedOn w:val="51"/>
    <w:qFormat/>
    <w:uiPriority w:val="29"/>
    <w:rPr>
      <w:rFonts w:ascii="Times New Roman" w:hAnsi="Times New Roman" w:eastAsia="宋体" w:cs="Times New Roman"/>
      <w:i/>
      <w:iCs/>
      <w:color w:val="000000"/>
      <w:szCs w:val="24"/>
    </w:rPr>
  </w:style>
  <w:style w:type="character" w:customStyle="1" w:styleId="103">
    <w:name w:val="不明显强调1"/>
    <w:qFormat/>
    <w:uiPriority w:val="0"/>
    <w:rPr>
      <w:i/>
      <w:iCs/>
      <w:color w:val="808080"/>
    </w:rPr>
  </w:style>
  <w:style w:type="character" w:customStyle="1" w:styleId="104">
    <w:name w:val="明显强调1"/>
    <w:qFormat/>
    <w:uiPriority w:val="0"/>
    <w:rPr>
      <w:b/>
      <w:bCs/>
      <w:i/>
      <w:iCs/>
      <w:color w:val="4F81BD"/>
    </w:rPr>
  </w:style>
  <w:style w:type="character" w:customStyle="1" w:styleId="105">
    <w:name w:val="正文文本缩进 3 Char"/>
    <w:basedOn w:val="51"/>
    <w:qFormat/>
    <w:uiPriority w:val="0"/>
    <w:rPr>
      <w:sz w:val="16"/>
      <w:szCs w:val="16"/>
    </w:rPr>
  </w:style>
  <w:style w:type="character" w:customStyle="1" w:styleId="106">
    <w:name w:val="批注框文本 Char3"/>
    <w:basedOn w:val="51"/>
    <w:qFormat/>
    <w:uiPriority w:val="0"/>
    <w:rPr>
      <w:kern w:val="2"/>
      <w:sz w:val="18"/>
      <w:szCs w:val="18"/>
    </w:rPr>
  </w:style>
  <w:style w:type="character" w:customStyle="1" w:styleId="107">
    <w:name w:val="正文文本 2 Char"/>
    <w:basedOn w:val="51"/>
    <w:qFormat/>
    <w:uiPriority w:val="0"/>
    <w:rPr>
      <w:rFonts w:ascii="宋体" w:hAnsi="宋体" w:cs="宋体"/>
      <w:sz w:val="24"/>
      <w:szCs w:val="24"/>
    </w:rPr>
  </w:style>
  <w:style w:type="character" w:customStyle="1" w:styleId="108">
    <w:name w:val="明显引用 Char2"/>
    <w:basedOn w:val="51"/>
    <w:qFormat/>
    <w:uiPriority w:val="30"/>
    <w:rPr>
      <w:b/>
      <w:bCs/>
      <w:i/>
      <w:iCs/>
      <w:color w:val="4F81BD"/>
      <w:kern w:val="2"/>
      <w:sz w:val="21"/>
      <w:szCs w:val="24"/>
    </w:rPr>
  </w:style>
  <w:style w:type="character" w:customStyle="1" w:styleId="109">
    <w:name w:val="批注主题 Char3"/>
    <w:basedOn w:val="110"/>
    <w:qFormat/>
    <w:uiPriority w:val="0"/>
    <w:rPr>
      <w:b/>
      <w:bCs/>
      <w:kern w:val="2"/>
      <w:sz w:val="21"/>
      <w:szCs w:val="24"/>
    </w:rPr>
  </w:style>
  <w:style w:type="character" w:customStyle="1" w:styleId="110">
    <w:name w:val="批注文字 Char2"/>
    <w:basedOn w:val="51"/>
    <w:qFormat/>
    <w:uiPriority w:val="0"/>
    <w:rPr>
      <w:kern w:val="2"/>
      <w:sz w:val="21"/>
      <w:szCs w:val="24"/>
    </w:rPr>
  </w:style>
  <w:style w:type="character" w:customStyle="1" w:styleId="111">
    <w:name w:val="批注主题 Char2"/>
    <w:basedOn w:val="89"/>
    <w:qFormat/>
    <w:uiPriority w:val="99"/>
    <w:rPr>
      <w:b/>
      <w:bCs/>
      <w:kern w:val="2"/>
      <w:sz w:val="21"/>
      <w:szCs w:val="24"/>
    </w:rPr>
  </w:style>
  <w:style w:type="character" w:customStyle="1" w:styleId="112">
    <w:name w:val="批注主题 Char"/>
    <w:qFormat/>
    <w:uiPriority w:val="0"/>
    <w:rPr>
      <w:rFonts w:ascii="宋体"/>
      <w:b/>
      <w:bCs/>
      <w:sz w:val="28"/>
    </w:rPr>
  </w:style>
  <w:style w:type="character" w:customStyle="1" w:styleId="113">
    <w:name w:val="正文文本缩进 3 Char1"/>
    <w:basedOn w:val="51"/>
    <w:qFormat/>
    <w:uiPriority w:val="0"/>
    <w:rPr>
      <w:kern w:val="2"/>
      <w:sz w:val="16"/>
      <w:szCs w:val="16"/>
    </w:rPr>
  </w:style>
  <w:style w:type="character" w:customStyle="1" w:styleId="114">
    <w:name w:val="正文文本缩进 Char2"/>
    <w:basedOn w:val="51"/>
    <w:semiHidden/>
    <w:qFormat/>
    <w:uiPriority w:val="99"/>
    <w:rPr>
      <w:rFonts w:ascii="Times New Roman" w:hAnsi="Times New Roman" w:eastAsia="宋体" w:cs="Times New Roman"/>
      <w:szCs w:val="24"/>
    </w:rPr>
  </w:style>
  <w:style w:type="character" w:customStyle="1" w:styleId="115">
    <w:name w:val="书籍标题1"/>
    <w:qFormat/>
    <w:uiPriority w:val="0"/>
    <w:rPr>
      <w:b/>
      <w:bCs/>
      <w:smallCaps/>
      <w:spacing w:val="5"/>
    </w:rPr>
  </w:style>
  <w:style w:type="character" w:customStyle="1" w:styleId="116">
    <w:name w:val="文档结构图 Char3"/>
    <w:basedOn w:val="51"/>
    <w:qFormat/>
    <w:uiPriority w:val="0"/>
    <w:rPr>
      <w:rFonts w:ascii="宋体"/>
      <w:kern w:val="2"/>
      <w:sz w:val="18"/>
      <w:szCs w:val="18"/>
    </w:rPr>
  </w:style>
  <w:style w:type="character" w:customStyle="1" w:styleId="117">
    <w:name w:val="纯文本 Char1"/>
    <w:basedOn w:val="51"/>
    <w:qFormat/>
    <w:uiPriority w:val="0"/>
    <w:rPr>
      <w:rFonts w:ascii="宋体" w:hAnsi="Courier New" w:cs="Courier New"/>
      <w:kern w:val="2"/>
      <w:sz w:val="21"/>
      <w:szCs w:val="21"/>
    </w:rPr>
  </w:style>
  <w:style w:type="character" w:customStyle="1" w:styleId="118">
    <w:name w:val="页脚 Char2"/>
    <w:basedOn w:val="51"/>
    <w:qFormat/>
    <w:uiPriority w:val="0"/>
    <w:rPr>
      <w:kern w:val="2"/>
      <w:sz w:val="18"/>
      <w:szCs w:val="18"/>
    </w:rPr>
  </w:style>
  <w:style w:type="character" w:customStyle="1" w:styleId="119">
    <w:name w:val="Char Char18"/>
    <w:qFormat/>
    <w:uiPriority w:val="0"/>
    <w:rPr>
      <w:rFonts w:ascii="Calibri" w:hAnsi="Calibri" w:eastAsia="宋体"/>
      <w:b/>
      <w:bCs/>
      <w:kern w:val="44"/>
      <w:sz w:val="44"/>
      <w:szCs w:val="44"/>
      <w:lang w:val="en-US" w:eastAsia="zh-CN" w:bidi="ar-SA"/>
    </w:rPr>
  </w:style>
  <w:style w:type="character" w:customStyle="1" w:styleId="120">
    <w:name w:val="日期 Char1"/>
    <w:qFormat/>
    <w:uiPriority w:val="0"/>
    <w:rPr>
      <w:kern w:val="2"/>
      <w:sz w:val="21"/>
      <w:szCs w:val="22"/>
    </w:rPr>
  </w:style>
  <w:style w:type="character" w:customStyle="1" w:styleId="121">
    <w:name w:val="批注框文本 Char1"/>
    <w:qFormat/>
    <w:uiPriority w:val="0"/>
    <w:rPr>
      <w:kern w:val="2"/>
      <w:sz w:val="18"/>
      <w:szCs w:val="18"/>
    </w:rPr>
  </w:style>
  <w:style w:type="character" w:customStyle="1" w:styleId="122">
    <w:name w:val="标题5 Char Char"/>
    <w:link w:val="123"/>
    <w:qFormat/>
    <w:uiPriority w:val="0"/>
    <w:rPr>
      <w:rFonts w:ascii="Arial" w:hAnsi="Arial"/>
      <w:b/>
      <w:bCs/>
      <w:sz w:val="24"/>
      <w:szCs w:val="32"/>
    </w:rPr>
  </w:style>
  <w:style w:type="paragraph" w:customStyle="1" w:styleId="123">
    <w:name w:val="标题5"/>
    <w:basedOn w:val="4"/>
    <w:link w:val="122"/>
    <w:qFormat/>
    <w:uiPriority w:val="0"/>
    <w:pPr>
      <w:spacing w:before="260" w:after="260" w:line="413" w:lineRule="auto"/>
      <w:ind w:firstLine="0"/>
    </w:pPr>
    <w:rPr>
      <w:rFonts w:ascii="Arial" w:hAnsi="Arial" w:eastAsiaTheme="minorEastAsia" w:cstheme="minorBidi"/>
      <w:szCs w:val="32"/>
    </w:rPr>
  </w:style>
  <w:style w:type="character" w:customStyle="1" w:styleId="124">
    <w:name w:val="文档结构图 Char1"/>
    <w:qFormat/>
    <w:uiPriority w:val="0"/>
    <w:rPr>
      <w:rFonts w:ascii="宋体"/>
      <w:kern w:val="2"/>
      <w:sz w:val="18"/>
      <w:szCs w:val="18"/>
    </w:rPr>
  </w:style>
  <w:style w:type="character" w:customStyle="1" w:styleId="125">
    <w:name w:val="正文文本 2 Char1"/>
    <w:basedOn w:val="51"/>
    <w:qFormat/>
    <w:uiPriority w:val="0"/>
    <w:rPr>
      <w:kern w:val="2"/>
      <w:sz w:val="21"/>
      <w:szCs w:val="24"/>
    </w:rPr>
  </w:style>
  <w:style w:type="character" w:customStyle="1" w:styleId="126">
    <w:name w:val="明显参考1"/>
    <w:qFormat/>
    <w:uiPriority w:val="0"/>
    <w:rPr>
      <w:b/>
      <w:bCs/>
      <w:smallCaps/>
      <w:color w:val="C0504D"/>
      <w:spacing w:val="5"/>
      <w:u w:val="single"/>
    </w:rPr>
  </w:style>
  <w:style w:type="character" w:customStyle="1" w:styleId="127">
    <w:name w:val="引用 Char2"/>
    <w:basedOn w:val="51"/>
    <w:qFormat/>
    <w:uiPriority w:val="29"/>
    <w:rPr>
      <w:i/>
      <w:iCs/>
      <w:color w:val="000000"/>
      <w:kern w:val="2"/>
      <w:sz w:val="21"/>
      <w:szCs w:val="24"/>
    </w:rPr>
  </w:style>
  <w:style w:type="character" w:customStyle="1" w:styleId="128">
    <w:name w:val="日期 Char4"/>
    <w:basedOn w:val="51"/>
    <w:semiHidden/>
    <w:qFormat/>
    <w:uiPriority w:val="99"/>
    <w:rPr>
      <w:rFonts w:ascii="Times New Roman" w:hAnsi="Times New Roman" w:eastAsia="宋体" w:cs="Times New Roman"/>
      <w:szCs w:val="24"/>
    </w:rPr>
  </w:style>
  <w:style w:type="character" w:customStyle="1" w:styleId="129">
    <w:name w:val="正文文本 Char1"/>
    <w:qFormat/>
    <w:uiPriority w:val="0"/>
    <w:rPr>
      <w:kern w:val="2"/>
      <w:sz w:val="21"/>
      <w:szCs w:val="22"/>
    </w:rPr>
  </w:style>
  <w:style w:type="character" w:customStyle="1" w:styleId="130">
    <w:name w:val="正文文本缩进 2 Char1"/>
    <w:basedOn w:val="51"/>
    <w:qFormat/>
    <w:uiPriority w:val="0"/>
    <w:rPr>
      <w:kern w:val="2"/>
      <w:sz w:val="21"/>
      <w:szCs w:val="24"/>
    </w:rPr>
  </w:style>
  <w:style w:type="character" w:customStyle="1" w:styleId="131">
    <w:name w:val="font161"/>
    <w:basedOn w:val="51"/>
    <w:qFormat/>
    <w:uiPriority w:val="0"/>
    <w:rPr>
      <w:b/>
      <w:bCs/>
      <w:sz w:val="32"/>
      <w:szCs w:val="32"/>
    </w:rPr>
  </w:style>
  <w:style w:type="character" w:customStyle="1" w:styleId="132">
    <w:name w:val="标题 Char"/>
    <w:qFormat/>
    <w:uiPriority w:val="0"/>
    <w:rPr>
      <w:rFonts w:ascii="Arial" w:hAnsi="Arial" w:cs="Nimbus Sans L"/>
      <w:b/>
      <w:sz w:val="32"/>
    </w:rPr>
  </w:style>
  <w:style w:type="character" w:customStyle="1" w:styleId="133">
    <w:name w:val="正文文本缩进 2 Char"/>
    <w:basedOn w:val="51"/>
    <w:qFormat/>
    <w:uiPriority w:val="0"/>
    <w:rPr>
      <w:sz w:val="28"/>
    </w:rPr>
  </w:style>
  <w:style w:type="character" w:customStyle="1" w:styleId="134">
    <w:name w:val="不明显参考1"/>
    <w:qFormat/>
    <w:uiPriority w:val="0"/>
    <w:rPr>
      <w:smallCaps/>
      <w:color w:val="C0504D"/>
      <w:u w:val="single"/>
    </w:rPr>
  </w:style>
  <w:style w:type="character" w:customStyle="1" w:styleId="135">
    <w:name w:val="批注框文本 Char4"/>
    <w:basedOn w:val="51"/>
    <w:semiHidden/>
    <w:qFormat/>
    <w:uiPriority w:val="99"/>
    <w:rPr>
      <w:rFonts w:ascii="Times New Roman" w:hAnsi="Times New Roman" w:eastAsia="宋体" w:cs="Times New Roman"/>
      <w:sz w:val="18"/>
      <w:szCs w:val="18"/>
    </w:rPr>
  </w:style>
  <w:style w:type="character" w:customStyle="1" w:styleId="136">
    <w:name w:val="正文文本 2 Char2"/>
    <w:basedOn w:val="51"/>
    <w:semiHidden/>
    <w:qFormat/>
    <w:uiPriority w:val="99"/>
    <w:rPr>
      <w:rFonts w:ascii="Times New Roman" w:hAnsi="Times New Roman" w:eastAsia="宋体" w:cs="Times New Roman"/>
      <w:szCs w:val="24"/>
    </w:rPr>
  </w:style>
  <w:style w:type="character" w:customStyle="1" w:styleId="137">
    <w:name w:val="批注框文本 Char2"/>
    <w:basedOn w:val="51"/>
    <w:qFormat/>
    <w:uiPriority w:val="99"/>
    <w:rPr>
      <w:kern w:val="2"/>
      <w:sz w:val="18"/>
      <w:szCs w:val="18"/>
    </w:rPr>
  </w:style>
  <w:style w:type="character" w:customStyle="1" w:styleId="138">
    <w:name w:val="明显引用 Char3"/>
    <w:basedOn w:val="51"/>
    <w:qFormat/>
    <w:uiPriority w:val="30"/>
    <w:rPr>
      <w:rFonts w:ascii="Times New Roman" w:hAnsi="Times New Roman" w:eastAsia="宋体" w:cs="Times New Roman"/>
      <w:b/>
      <w:bCs/>
      <w:i/>
      <w:iCs/>
      <w:color w:val="4F81BD"/>
      <w:szCs w:val="24"/>
    </w:rPr>
  </w:style>
  <w:style w:type="character" w:customStyle="1" w:styleId="139">
    <w:name w:val="日期 Char3"/>
    <w:basedOn w:val="51"/>
    <w:qFormat/>
    <w:uiPriority w:val="0"/>
    <w:rPr>
      <w:kern w:val="2"/>
      <w:sz w:val="21"/>
      <w:szCs w:val="24"/>
    </w:rPr>
  </w:style>
  <w:style w:type="character" w:customStyle="1" w:styleId="140">
    <w:name w:val="正文文本 3 Char1"/>
    <w:basedOn w:val="51"/>
    <w:qFormat/>
    <w:uiPriority w:val="0"/>
    <w:rPr>
      <w:kern w:val="2"/>
      <w:sz w:val="16"/>
      <w:szCs w:val="16"/>
    </w:rPr>
  </w:style>
  <w:style w:type="character" w:customStyle="1" w:styleId="141">
    <w:name w:val="明显引用 Char1"/>
    <w:basedOn w:val="51"/>
    <w:qFormat/>
    <w:uiPriority w:val="30"/>
    <w:rPr>
      <w:b/>
      <w:bCs/>
      <w:i/>
      <w:iCs/>
      <w:color w:val="4F81BD"/>
      <w:kern w:val="2"/>
      <w:sz w:val="21"/>
      <w:szCs w:val="24"/>
    </w:rPr>
  </w:style>
  <w:style w:type="character" w:customStyle="1" w:styleId="142">
    <w:name w:val="正文文本缩进 3 Char2"/>
    <w:basedOn w:val="51"/>
    <w:semiHidden/>
    <w:qFormat/>
    <w:uiPriority w:val="99"/>
    <w:rPr>
      <w:rFonts w:ascii="Times New Roman" w:hAnsi="Times New Roman" w:eastAsia="宋体" w:cs="Times New Roman"/>
      <w:sz w:val="16"/>
      <w:szCs w:val="16"/>
    </w:rPr>
  </w:style>
  <w:style w:type="character" w:customStyle="1" w:styleId="143">
    <w:name w:val="引用 Char1"/>
    <w:basedOn w:val="51"/>
    <w:qFormat/>
    <w:uiPriority w:val="29"/>
    <w:rPr>
      <w:i/>
      <w:iCs/>
      <w:color w:val="000000"/>
      <w:kern w:val="2"/>
      <w:sz w:val="21"/>
      <w:szCs w:val="24"/>
    </w:rPr>
  </w:style>
  <w:style w:type="character" w:customStyle="1" w:styleId="144">
    <w:name w:val="Char Char17"/>
    <w:qFormat/>
    <w:uiPriority w:val="0"/>
    <w:rPr>
      <w:rFonts w:ascii="Cambria" w:hAnsi="Cambria" w:eastAsia="宋体"/>
      <w:b/>
      <w:bCs/>
      <w:kern w:val="2"/>
      <w:sz w:val="32"/>
      <w:szCs w:val="32"/>
      <w:lang w:val="en-US" w:eastAsia="zh-CN" w:bidi="ar-SA"/>
    </w:rPr>
  </w:style>
  <w:style w:type="character" w:customStyle="1" w:styleId="145">
    <w:name w:val="正文文本 3 Char2"/>
    <w:basedOn w:val="51"/>
    <w:qFormat/>
    <w:uiPriority w:val="0"/>
    <w:rPr>
      <w:kern w:val="2"/>
      <w:sz w:val="16"/>
      <w:szCs w:val="16"/>
    </w:rPr>
  </w:style>
  <w:style w:type="character" w:customStyle="1" w:styleId="146">
    <w:name w:val="正文文本缩进 2 Char2"/>
    <w:basedOn w:val="51"/>
    <w:semiHidden/>
    <w:qFormat/>
    <w:uiPriority w:val="99"/>
    <w:rPr>
      <w:rFonts w:ascii="Times New Roman" w:hAnsi="Times New Roman" w:eastAsia="宋体" w:cs="Times New Roman"/>
      <w:szCs w:val="24"/>
    </w:rPr>
  </w:style>
  <w:style w:type="character" w:customStyle="1" w:styleId="147">
    <w:name w:val="页眉 Char2"/>
    <w:basedOn w:val="51"/>
    <w:qFormat/>
    <w:uiPriority w:val="0"/>
    <w:rPr>
      <w:kern w:val="2"/>
      <w:sz w:val="18"/>
      <w:szCs w:val="18"/>
    </w:rPr>
  </w:style>
  <w:style w:type="character" w:customStyle="1" w:styleId="148">
    <w:name w:val="正文文本 3 Char3"/>
    <w:basedOn w:val="51"/>
    <w:semiHidden/>
    <w:qFormat/>
    <w:uiPriority w:val="99"/>
    <w:rPr>
      <w:rFonts w:ascii="Times New Roman" w:hAnsi="Times New Roman" w:eastAsia="宋体" w:cs="Times New Roman"/>
      <w:sz w:val="16"/>
      <w:szCs w:val="16"/>
    </w:rPr>
  </w:style>
  <w:style w:type="character" w:customStyle="1" w:styleId="149">
    <w:name w:val="标题 Char1"/>
    <w:basedOn w:val="51"/>
    <w:qFormat/>
    <w:uiPriority w:val="10"/>
    <w:rPr>
      <w:rFonts w:ascii="Cambria" w:hAnsi="Cambria" w:cs="Times New Roman"/>
      <w:b/>
      <w:bCs/>
      <w:kern w:val="2"/>
      <w:sz w:val="32"/>
      <w:szCs w:val="32"/>
    </w:rPr>
  </w:style>
  <w:style w:type="character" w:customStyle="1" w:styleId="150">
    <w:name w:val="纯文本 Char2"/>
    <w:basedOn w:val="51"/>
    <w:semiHidden/>
    <w:qFormat/>
    <w:uiPriority w:val="99"/>
    <w:rPr>
      <w:rFonts w:ascii="宋体" w:hAnsi="Courier New" w:eastAsia="宋体" w:cs="Courier New"/>
      <w:szCs w:val="21"/>
    </w:rPr>
  </w:style>
  <w:style w:type="character" w:customStyle="1" w:styleId="151">
    <w:name w:val="批注文字 Char Char"/>
    <w:qFormat/>
    <w:uiPriority w:val="0"/>
    <w:rPr>
      <w:rFonts w:ascii="宋体" w:hAnsi="Times New Roman" w:eastAsia="宋体" w:cs="Times New Roman"/>
      <w:sz w:val="28"/>
      <w:szCs w:val="20"/>
    </w:rPr>
  </w:style>
  <w:style w:type="character" w:customStyle="1" w:styleId="152">
    <w:name w:val="批注主题 Char1"/>
    <w:qFormat/>
    <w:uiPriority w:val="0"/>
    <w:rPr>
      <w:b/>
      <w:bCs/>
      <w:kern w:val="2"/>
      <w:sz w:val="21"/>
      <w:szCs w:val="22"/>
    </w:rPr>
  </w:style>
  <w:style w:type="character" w:customStyle="1" w:styleId="153">
    <w:name w:val="标题4 Char Char"/>
    <w:link w:val="154"/>
    <w:qFormat/>
    <w:uiPriority w:val="0"/>
    <w:rPr>
      <w:rFonts w:ascii="Arial" w:hAnsi="Arial"/>
      <w:b/>
      <w:bCs/>
      <w:sz w:val="24"/>
      <w:szCs w:val="32"/>
    </w:rPr>
  </w:style>
  <w:style w:type="paragraph" w:customStyle="1" w:styleId="154">
    <w:name w:val="标题4"/>
    <w:basedOn w:val="3"/>
    <w:next w:val="23"/>
    <w:link w:val="153"/>
    <w:qFormat/>
    <w:uiPriority w:val="0"/>
    <w:pPr>
      <w:spacing w:before="260" w:after="260" w:line="413" w:lineRule="auto"/>
    </w:pPr>
    <w:rPr>
      <w:rFonts w:ascii="Arial" w:eastAsiaTheme="minorEastAsia" w:cstheme="minorBidi"/>
      <w:sz w:val="24"/>
      <w:szCs w:val="32"/>
    </w:rPr>
  </w:style>
  <w:style w:type="character" w:customStyle="1" w:styleId="155">
    <w:name w:val="普通文字 Char"/>
    <w:basedOn w:val="51"/>
    <w:qFormat/>
    <w:uiPriority w:val="0"/>
    <w:rPr>
      <w:rFonts w:ascii="宋体" w:hAnsi="Courier New" w:eastAsia="幼圆"/>
      <w:kern w:val="2"/>
      <w:sz w:val="21"/>
      <w:lang w:val="en-US" w:eastAsia="zh-CN" w:bidi="ar-SA"/>
    </w:rPr>
  </w:style>
  <w:style w:type="character" w:customStyle="1" w:styleId="156">
    <w:name w:val="正文文本缩进 2 Char3"/>
    <w:basedOn w:val="51"/>
    <w:link w:val="30"/>
    <w:semiHidden/>
    <w:qFormat/>
    <w:uiPriority w:val="99"/>
    <w:rPr>
      <w:rFonts w:ascii="Times New Roman" w:hAnsi="Times New Roman" w:eastAsia="宋体" w:cs="Times New Roman"/>
      <w:szCs w:val="21"/>
    </w:rPr>
  </w:style>
  <w:style w:type="paragraph" w:customStyle="1" w:styleId="157">
    <w:name w:val="Char"/>
    <w:basedOn w:val="1"/>
    <w:qFormat/>
    <w:uiPriority w:val="0"/>
    <w:rPr>
      <w:szCs w:val="24"/>
    </w:rPr>
  </w:style>
  <w:style w:type="paragraph" w:customStyle="1" w:styleId="158">
    <w:name w:val="Char Char Char Char"/>
    <w:basedOn w:val="14"/>
    <w:qFormat/>
    <w:uiPriority w:val="0"/>
    <w:rPr>
      <w:szCs w:val="20"/>
    </w:rPr>
  </w:style>
  <w:style w:type="character" w:customStyle="1" w:styleId="159">
    <w:name w:val="标题 Char3"/>
    <w:basedOn w:val="51"/>
    <w:link w:val="45"/>
    <w:qFormat/>
    <w:uiPriority w:val="10"/>
    <w:rPr>
      <w:rFonts w:eastAsia="宋体" w:asciiTheme="majorHAnsi" w:hAnsiTheme="majorHAnsi" w:cstheme="majorBidi"/>
      <w:b/>
      <w:bCs/>
      <w:sz w:val="32"/>
      <w:szCs w:val="32"/>
    </w:rPr>
  </w:style>
  <w:style w:type="character" w:customStyle="1" w:styleId="160">
    <w:name w:val="副标题 Char3"/>
    <w:basedOn w:val="51"/>
    <w:link w:val="36"/>
    <w:qFormat/>
    <w:uiPriority w:val="11"/>
    <w:rPr>
      <w:rFonts w:eastAsia="宋体" w:asciiTheme="majorHAnsi" w:hAnsiTheme="majorHAnsi" w:cstheme="majorBidi"/>
      <w:b/>
      <w:bCs/>
      <w:kern w:val="28"/>
      <w:sz w:val="32"/>
      <w:szCs w:val="32"/>
    </w:rPr>
  </w:style>
  <w:style w:type="paragraph" w:customStyle="1" w:styleId="16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2">
    <w:name w:val="正文文本缩进 Char3"/>
    <w:basedOn w:val="51"/>
    <w:link w:val="19"/>
    <w:semiHidden/>
    <w:qFormat/>
    <w:uiPriority w:val="99"/>
    <w:rPr>
      <w:rFonts w:ascii="Times New Roman" w:hAnsi="Times New Roman" w:eastAsia="宋体" w:cs="Times New Roman"/>
      <w:szCs w:val="21"/>
    </w:rPr>
  </w:style>
  <w:style w:type="character" w:customStyle="1" w:styleId="163">
    <w:name w:val="批注文字 Char4"/>
    <w:basedOn w:val="51"/>
    <w:link w:val="16"/>
    <w:semiHidden/>
    <w:qFormat/>
    <w:uiPriority w:val="99"/>
    <w:rPr>
      <w:rFonts w:ascii="Times New Roman" w:hAnsi="Times New Roman" w:eastAsia="宋体" w:cs="Times New Roman"/>
      <w:szCs w:val="21"/>
    </w:rPr>
  </w:style>
  <w:style w:type="character" w:customStyle="1" w:styleId="164">
    <w:name w:val="批注主题 Char5"/>
    <w:basedOn w:val="163"/>
    <w:link w:val="46"/>
    <w:semiHidden/>
    <w:qFormat/>
    <w:uiPriority w:val="99"/>
    <w:rPr>
      <w:rFonts w:ascii="Times New Roman" w:hAnsi="Times New Roman" w:eastAsia="宋体" w:cs="Times New Roman"/>
      <w:b/>
      <w:bCs/>
      <w:szCs w:val="21"/>
    </w:rPr>
  </w:style>
  <w:style w:type="character" w:customStyle="1" w:styleId="165">
    <w:name w:val="日期 Char2"/>
    <w:basedOn w:val="51"/>
    <w:link w:val="29"/>
    <w:semiHidden/>
    <w:qFormat/>
    <w:uiPriority w:val="99"/>
    <w:rPr>
      <w:rFonts w:ascii="Times New Roman" w:hAnsi="Times New Roman" w:eastAsia="宋体" w:cs="Times New Roman"/>
      <w:szCs w:val="21"/>
    </w:rPr>
  </w:style>
  <w:style w:type="character" w:customStyle="1" w:styleId="166">
    <w:name w:val="文档结构图 Char2"/>
    <w:basedOn w:val="51"/>
    <w:link w:val="14"/>
    <w:semiHidden/>
    <w:qFormat/>
    <w:uiPriority w:val="99"/>
    <w:rPr>
      <w:rFonts w:ascii="宋体" w:hAnsi="Times New Roman" w:eastAsia="宋体" w:cs="Times New Roman"/>
      <w:sz w:val="18"/>
      <w:szCs w:val="18"/>
    </w:rPr>
  </w:style>
  <w:style w:type="character" w:customStyle="1" w:styleId="167">
    <w:name w:val="正文文本 3 Char4"/>
    <w:basedOn w:val="51"/>
    <w:link w:val="17"/>
    <w:semiHidden/>
    <w:qFormat/>
    <w:uiPriority w:val="99"/>
    <w:rPr>
      <w:rFonts w:ascii="Times New Roman" w:hAnsi="Times New Roman" w:eastAsia="宋体" w:cs="Times New Roman"/>
      <w:sz w:val="16"/>
      <w:szCs w:val="16"/>
    </w:rPr>
  </w:style>
  <w:style w:type="character" w:customStyle="1" w:styleId="168">
    <w:name w:val="正文文本 Char4"/>
    <w:basedOn w:val="51"/>
    <w:link w:val="18"/>
    <w:semiHidden/>
    <w:qFormat/>
    <w:uiPriority w:val="99"/>
    <w:rPr>
      <w:rFonts w:ascii="Times New Roman" w:hAnsi="Times New Roman" w:eastAsia="宋体" w:cs="Times New Roman"/>
      <w:szCs w:val="21"/>
    </w:rPr>
  </w:style>
  <w:style w:type="paragraph" w:customStyle="1" w:styleId="169">
    <w:name w:val="1"/>
    <w:basedOn w:val="1"/>
    <w:qFormat/>
    <w:uiPriority w:val="0"/>
    <w:rPr>
      <w:szCs w:val="24"/>
    </w:rPr>
  </w:style>
  <w:style w:type="paragraph" w:customStyle="1" w:styleId="170">
    <w:name w:val="dash6b63_65871"/>
    <w:basedOn w:val="1"/>
    <w:qFormat/>
    <w:uiPriority w:val="0"/>
    <w:pPr>
      <w:widowControl/>
    </w:pPr>
    <w:rPr>
      <w:rFonts w:ascii="Calibri" w:hAnsi="Calibri" w:cs="Calibri"/>
      <w:kern w:val="0"/>
      <w:sz w:val="20"/>
      <w:szCs w:val="20"/>
    </w:rPr>
  </w:style>
  <w:style w:type="paragraph" w:customStyle="1" w:styleId="171">
    <w:name w:val="正文2"/>
    <w:basedOn w:val="1"/>
    <w:qFormat/>
    <w:uiPriority w:val="0"/>
    <w:pPr>
      <w:widowControl/>
      <w:spacing w:after="160" w:line="360" w:lineRule="auto"/>
      <w:ind w:firstLine="200" w:firstLineChars="200"/>
      <w:jc w:val="left"/>
    </w:pPr>
    <w:rPr>
      <w:szCs w:val="20"/>
    </w:rPr>
  </w:style>
  <w:style w:type="character" w:customStyle="1" w:styleId="172">
    <w:name w:val="正文文本缩进 3 Char3"/>
    <w:basedOn w:val="51"/>
    <w:link w:val="39"/>
    <w:semiHidden/>
    <w:qFormat/>
    <w:uiPriority w:val="99"/>
    <w:rPr>
      <w:rFonts w:ascii="Times New Roman" w:hAnsi="Times New Roman" w:eastAsia="宋体" w:cs="Times New Roman"/>
      <w:sz w:val="16"/>
      <w:szCs w:val="16"/>
    </w:rPr>
  </w:style>
  <w:style w:type="paragraph" w:customStyle="1" w:styleId="173">
    <w:name w:val="默认段落字体 Para Char Char Char Char"/>
    <w:basedOn w:val="1"/>
    <w:qFormat/>
    <w:uiPriority w:val="0"/>
    <w:rPr>
      <w:szCs w:val="24"/>
    </w:rPr>
  </w:style>
  <w:style w:type="paragraph" w:customStyle="1" w:styleId="17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5">
    <w:name w:val="List Paragraph"/>
    <w:basedOn w:val="1"/>
    <w:qFormat/>
    <w:uiPriority w:val="34"/>
    <w:pPr>
      <w:ind w:firstLine="420" w:firstLineChars="200"/>
    </w:pPr>
    <w:rPr>
      <w:rFonts w:ascii="Calibri" w:hAnsi="Calibri"/>
      <w:szCs w:val="22"/>
    </w:rPr>
  </w:style>
  <w:style w:type="character" w:customStyle="1" w:styleId="176">
    <w:name w:val="正文文本 2 Char3"/>
    <w:basedOn w:val="51"/>
    <w:link w:val="42"/>
    <w:semiHidden/>
    <w:qFormat/>
    <w:uiPriority w:val="99"/>
    <w:rPr>
      <w:rFonts w:ascii="Times New Roman" w:hAnsi="Times New Roman" w:eastAsia="宋体" w:cs="Times New Roman"/>
      <w:szCs w:val="21"/>
    </w:rPr>
  </w:style>
  <w:style w:type="paragraph" w:customStyle="1" w:styleId="177">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9">
    <w:name w:val="表格文字"/>
    <w:basedOn w:val="1"/>
    <w:qFormat/>
    <w:uiPriority w:val="0"/>
    <w:pPr>
      <w:adjustRightInd w:val="0"/>
      <w:spacing w:line="420" w:lineRule="atLeast"/>
      <w:jc w:val="left"/>
      <w:textAlignment w:val="baseline"/>
    </w:pPr>
    <w:rPr>
      <w:kern w:val="0"/>
      <w:szCs w:val="20"/>
    </w:rPr>
  </w:style>
  <w:style w:type="paragraph" w:customStyle="1" w:styleId="180">
    <w:name w:val="_Style 43"/>
    <w:qFormat/>
    <w:uiPriority w:val="0"/>
    <w:rPr>
      <w:rFonts w:ascii="Times New Roman" w:hAnsi="Times New Roman" w:eastAsia="宋体" w:cs="Times New Roman"/>
      <w:lang w:val="en-US" w:eastAsia="zh-CN" w:bidi="ar-SA"/>
    </w:rPr>
  </w:style>
  <w:style w:type="paragraph" w:customStyle="1" w:styleId="18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182">
    <w:name w:val="明显引用 Char4"/>
    <w:basedOn w:val="51"/>
    <w:link w:val="100"/>
    <w:qFormat/>
    <w:uiPriority w:val="30"/>
    <w:rPr>
      <w:rFonts w:ascii="Times New Roman" w:hAnsi="Times New Roman" w:eastAsia="宋体" w:cs="Times New Roman"/>
      <w:b/>
      <w:bCs/>
      <w:i/>
      <w:iCs/>
      <w:color w:val="4F81BD" w:themeColor="accent1"/>
      <w:szCs w:val="21"/>
      <w14:textFill>
        <w14:solidFill>
          <w14:schemeClr w14:val="accent1"/>
        </w14:solidFill>
      </w14:textFill>
    </w:rPr>
  </w:style>
  <w:style w:type="character" w:customStyle="1" w:styleId="183">
    <w:name w:val="引用 Char4"/>
    <w:basedOn w:val="51"/>
    <w:link w:val="91"/>
    <w:qFormat/>
    <w:uiPriority w:val="29"/>
    <w:rPr>
      <w:rFonts w:ascii="Times New Roman" w:hAnsi="Times New Roman" w:eastAsia="宋体" w:cs="Times New Roman"/>
      <w:i/>
      <w:iCs/>
      <w:color w:val="000000" w:themeColor="text1"/>
      <w:szCs w:val="21"/>
      <w14:textFill>
        <w14:solidFill>
          <w14:schemeClr w14:val="tx1"/>
        </w14:solidFill>
      </w14:textFill>
    </w:rPr>
  </w:style>
  <w:style w:type="paragraph" w:customStyle="1" w:styleId="184">
    <w:name w:val="p0"/>
    <w:basedOn w:val="1"/>
    <w:qFormat/>
    <w:uiPriority w:val="0"/>
  </w:style>
  <w:style w:type="paragraph" w:customStyle="1" w:styleId="185">
    <w:name w:val="修订1"/>
    <w:qFormat/>
    <w:uiPriority w:val="0"/>
    <w:rPr>
      <w:rFonts w:ascii="Times New Roman" w:hAnsi="Times New Roman" w:eastAsia="宋体" w:cs="Times New Roman"/>
      <w:kern w:val="2"/>
      <w:sz w:val="21"/>
      <w:szCs w:val="24"/>
      <w:lang w:val="en-US" w:eastAsia="zh-CN" w:bidi="ar-SA"/>
    </w:rPr>
  </w:style>
  <w:style w:type="paragraph" w:customStyle="1" w:styleId="18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87">
    <w:name w:val="列出段落2"/>
    <w:basedOn w:val="1"/>
    <w:unhideWhenUsed/>
    <w:qFormat/>
    <w:uiPriority w:val="99"/>
    <w:pPr>
      <w:ind w:firstLine="420" w:firstLineChars="200"/>
    </w:pPr>
    <w:rPr>
      <w:szCs w:val="24"/>
    </w:rPr>
  </w:style>
  <w:style w:type="paragraph" w:customStyle="1" w:styleId="188">
    <w:name w:val="表格"/>
    <w:basedOn w:val="1"/>
    <w:qFormat/>
    <w:uiPriority w:val="0"/>
    <w:pPr>
      <w:jc w:val="center"/>
      <w:textAlignment w:val="center"/>
    </w:pPr>
    <w:rPr>
      <w:rFonts w:ascii="华文细黑" w:hAnsi="华文细黑"/>
      <w:kern w:val="0"/>
      <w:szCs w:val="20"/>
    </w:rPr>
  </w:style>
  <w:style w:type="paragraph" w:customStyle="1" w:styleId="189">
    <w:name w:val="Char Char10 Char Char Char Char"/>
    <w:basedOn w:val="1"/>
    <w:qFormat/>
    <w:uiPriority w:val="0"/>
    <w:rPr>
      <w:szCs w:val="24"/>
    </w:rPr>
  </w:style>
  <w:style w:type="paragraph" w:customStyle="1" w:styleId="190">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91">
    <w:name w:val="No Spacing"/>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2">
    <w:name w:val="Char2 Char Char Char Char Char Char"/>
    <w:basedOn w:val="1"/>
    <w:qFormat/>
    <w:uiPriority w:val="0"/>
    <w:rPr>
      <w:rFonts w:ascii="仿宋_GB2312"/>
      <w:b/>
      <w:sz w:val="30"/>
      <w:szCs w:val="32"/>
    </w:rPr>
  </w:style>
  <w:style w:type="paragraph" w:customStyle="1" w:styleId="193">
    <w:name w:val="Char1"/>
    <w:basedOn w:val="1"/>
    <w:qFormat/>
    <w:uiPriority w:val="0"/>
    <w:rPr>
      <w:rFonts w:ascii="Tahoma" w:hAnsi="Tahoma"/>
      <w:sz w:val="24"/>
      <w:szCs w:val="20"/>
    </w:rPr>
  </w:style>
  <w:style w:type="character" w:customStyle="1" w:styleId="194">
    <w:name w:val="正  文 Char Char"/>
    <w:link w:val="195"/>
    <w:qFormat/>
    <w:uiPriority w:val="0"/>
    <w:rPr>
      <w:rFonts w:ascii="宋体"/>
      <w:sz w:val="24"/>
    </w:rPr>
  </w:style>
  <w:style w:type="paragraph" w:customStyle="1" w:styleId="195">
    <w:name w:val="正  文"/>
    <w:basedOn w:val="1"/>
    <w:link w:val="194"/>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6">
    <w:name w:val="m-text"/>
    <w:basedOn w:val="51"/>
    <w:qFormat/>
    <w:uiPriority w:val="0"/>
  </w:style>
  <w:style w:type="character" w:customStyle="1" w:styleId="197">
    <w:name w:val="swapimg4"/>
    <w:basedOn w:val="51"/>
    <w:qFormat/>
    <w:uiPriority w:val="0"/>
  </w:style>
  <w:style w:type="character" w:customStyle="1" w:styleId="198">
    <w:name w:val="close"/>
    <w:basedOn w:val="51"/>
    <w:qFormat/>
    <w:uiPriority w:val="0"/>
  </w:style>
  <w:style w:type="character" w:customStyle="1" w:styleId="199">
    <w:name w:val="menutitle10"/>
    <w:basedOn w:val="51"/>
    <w:qFormat/>
    <w:uiPriority w:val="0"/>
    <w:rPr>
      <w:color w:val="333333"/>
      <w:sz w:val="19"/>
      <w:szCs w:val="19"/>
    </w:rPr>
  </w:style>
  <w:style w:type="character" w:customStyle="1" w:styleId="200">
    <w:name w:val="menutitle11"/>
    <w:basedOn w:val="51"/>
    <w:qFormat/>
    <w:uiPriority w:val="0"/>
    <w:rPr>
      <w:color w:val="333333"/>
      <w:sz w:val="19"/>
      <w:szCs w:val="19"/>
    </w:rPr>
  </w:style>
  <w:style w:type="character" w:customStyle="1" w:styleId="201">
    <w:name w:val="l_111"/>
    <w:basedOn w:val="51"/>
    <w:qFormat/>
    <w:uiPriority w:val="0"/>
  </w:style>
  <w:style w:type="character" w:customStyle="1" w:styleId="202">
    <w:name w:val="searchopen"/>
    <w:basedOn w:val="51"/>
    <w:qFormat/>
    <w:uiPriority w:val="0"/>
  </w:style>
  <w:style w:type="character" w:customStyle="1" w:styleId="203">
    <w:name w:val="searchclose"/>
    <w:basedOn w:val="51"/>
    <w:qFormat/>
    <w:uiPriority w:val="0"/>
  </w:style>
  <w:style w:type="character" w:customStyle="1" w:styleId="204">
    <w:name w:val="l_10"/>
    <w:basedOn w:val="51"/>
    <w:qFormat/>
    <w:uiPriority w:val="0"/>
  </w:style>
  <w:style w:type="character" w:customStyle="1" w:styleId="205">
    <w:name w:val="focus2"/>
    <w:basedOn w:val="51"/>
    <w:qFormat/>
    <w:uiPriority w:val="0"/>
    <w:rPr>
      <w:b/>
      <w:color w:val="000000"/>
    </w:rPr>
  </w:style>
  <w:style w:type="character" w:customStyle="1" w:styleId="206">
    <w:name w:val="l_1"/>
    <w:basedOn w:val="51"/>
    <w:qFormat/>
    <w:uiPriority w:val="0"/>
  </w:style>
  <w:style w:type="character" w:customStyle="1" w:styleId="207">
    <w:name w:val="l_11"/>
    <w:basedOn w:val="51"/>
    <w:qFormat/>
    <w:uiPriority w:val="0"/>
  </w:style>
  <w:style w:type="character" w:customStyle="1" w:styleId="208">
    <w:name w:val="l_7"/>
    <w:basedOn w:val="51"/>
    <w:qFormat/>
    <w:uiPriority w:val="0"/>
  </w:style>
  <w:style w:type="character" w:customStyle="1" w:styleId="209">
    <w:name w:val="l_5"/>
    <w:basedOn w:val="51"/>
    <w:qFormat/>
    <w:uiPriority w:val="0"/>
  </w:style>
  <w:style w:type="character" w:customStyle="1" w:styleId="210">
    <w:name w:val="icon_dljg"/>
    <w:basedOn w:val="51"/>
    <w:qFormat/>
    <w:uiPriority w:val="0"/>
  </w:style>
  <w:style w:type="character" w:customStyle="1" w:styleId="211">
    <w:name w:val="icon_cxktbr"/>
    <w:basedOn w:val="51"/>
    <w:qFormat/>
    <w:uiPriority w:val="0"/>
  </w:style>
  <w:style w:type="character" w:customStyle="1" w:styleId="212">
    <w:name w:val="icon_cxkcyry"/>
    <w:basedOn w:val="51"/>
    <w:qFormat/>
    <w:uiPriority w:val="0"/>
  </w:style>
  <w:style w:type="character" w:customStyle="1" w:styleId="213">
    <w:name w:val="icon_gzkj"/>
    <w:basedOn w:val="51"/>
    <w:qFormat/>
    <w:uiPriority w:val="0"/>
  </w:style>
  <w:style w:type="character" w:customStyle="1" w:styleId="214">
    <w:name w:val="icon_lzrz"/>
    <w:basedOn w:val="51"/>
    <w:qFormat/>
    <w:uiPriority w:val="0"/>
  </w:style>
  <w:style w:type="character" w:customStyle="1" w:styleId="215">
    <w:name w:val="icon_xglc"/>
    <w:basedOn w:val="51"/>
    <w:qFormat/>
    <w:uiPriority w:val="0"/>
  </w:style>
  <w:style w:type="character" w:customStyle="1" w:styleId="216">
    <w:name w:val="icon_xzry"/>
    <w:basedOn w:val="51"/>
    <w:qFormat/>
    <w:uiPriority w:val="0"/>
  </w:style>
  <w:style w:type="character" w:customStyle="1" w:styleId="217">
    <w:name w:val="l_12"/>
    <w:basedOn w:val="51"/>
    <w:qFormat/>
    <w:uiPriority w:val="0"/>
  </w:style>
  <w:style w:type="character" w:customStyle="1" w:styleId="218">
    <w:name w:val="l_121"/>
    <w:basedOn w:val="51"/>
    <w:qFormat/>
    <w:uiPriority w:val="0"/>
  </w:style>
  <w:style w:type="character" w:customStyle="1" w:styleId="219">
    <w:name w:val="l_2"/>
    <w:basedOn w:val="51"/>
    <w:qFormat/>
    <w:uiPriority w:val="0"/>
  </w:style>
  <w:style w:type="character" w:customStyle="1" w:styleId="220">
    <w:name w:val="l_21"/>
    <w:basedOn w:val="51"/>
    <w:qFormat/>
    <w:uiPriority w:val="0"/>
  </w:style>
  <w:style w:type="character" w:customStyle="1" w:styleId="221">
    <w:name w:val="l_4"/>
    <w:basedOn w:val="51"/>
    <w:qFormat/>
    <w:uiPriority w:val="0"/>
  </w:style>
  <w:style w:type="character" w:customStyle="1" w:styleId="222">
    <w:name w:val="l_41"/>
    <w:basedOn w:val="51"/>
    <w:qFormat/>
    <w:uiPriority w:val="0"/>
  </w:style>
  <w:style w:type="character" w:customStyle="1" w:styleId="223">
    <w:name w:val="l_0"/>
    <w:basedOn w:val="51"/>
    <w:qFormat/>
    <w:uiPriority w:val="0"/>
  </w:style>
  <w:style w:type="character" w:customStyle="1" w:styleId="224">
    <w:name w:val="l_01"/>
    <w:basedOn w:val="51"/>
    <w:qFormat/>
    <w:uiPriority w:val="0"/>
  </w:style>
  <w:style w:type="character" w:customStyle="1" w:styleId="225">
    <w:name w:val="l_3"/>
    <w:basedOn w:val="51"/>
    <w:qFormat/>
    <w:uiPriority w:val="0"/>
  </w:style>
  <w:style w:type="character" w:customStyle="1" w:styleId="226">
    <w:name w:val="l_31"/>
    <w:basedOn w:val="51"/>
    <w:qFormat/>
    <w:uiPriority w:val="0"/>
  </w:style>
  <w:style w:type="character" w:customStyle="1" w:styleId="227">
    <w:name w:val="l_6"/>
    <w:basedOn w:val="51"/>
    <w:qFormat/>
    <w:uiPriority w:val="0"/>
  </w:style>
  <w:style w:type="character" w:customStyle="1" w:styleId="228">
    <w:name w:val="l_61"/>
    <w:basedOn w:val="51"/>
    <w:qFormat/>
    <w:uiPriority w:val="0"/>
  </w:style>
  <w:style w:type="character" w:customStyle="1" w:styleId="229">
    <w:name w:val="l_8"/>
    <w:basedOn w:val="51"/>
    <w:qFormat/>
    <w:uiPriority w:val="0"/>
  </w:style>
  <w:style w:type="character" w:customStyle="1" w:styleId="230">
    <w:name w:val="l_81"/>
    <w:basedOn w:val="51"/>
    <w:qFormat/>
    <w:uiPriority w:val="0"/>
  </w:style>
  <w:style w:type="character" w:customStyle="1" w:styleId="231">
    <w:name w:val="l_9"/>
    <w:basedOn w:val="51"/>
    <w:qFormat/>
    <w:uiPriority w:val="0"/>
  </w:style>
  <w:style w:type="character" w:customStyle="1" w:styleId="232">
    <w:name w:val="l_91"/>
    <w:basedOn w:val="51"/>
    <w:qFormat/>
    <w:uiPriority w:val="0"/>
  </w:style>
  <w:style w:type="character" w:customStyle="1" w:styleId="233">
    <w:name w:val="l_13"/>
    <w:basedOn w:val="51"/>
    <w:qFormat/>
    <w:uiPriority w:val="0"/>
  </w:style>
  <w:style w:type="character" w:customStyle="1" w:styleId="234">
    <w:name w:val="l_131"/>
    <w:basedOn w:val="51"/>
    <w:qFormat/>
    <w:uiPriority w:val="0"/>
  </w:style>
  <w:style w:type="character" w:customStyle="1" w:styleId="235">
    <w:name w:val="l_14"/>
    <w:basedOn w:val="51"/>
    <w:qFormat/>
    <w:uiPriority w:val="0"/>
  </w:style>
  <w:style w:type="character" w:customStyle="1" w:styleId="236">
    <w:name w:val="l_141"/>
    <w:basedOn w:val="51"/>
    <w:qFormat/>
    <w:uiPriority w:val="0"/>
  </w:style>
  <w:style w:type="character" w:customStyle="1" w:styleId="237">
    <w:name w:val="l_15"/>
    <w:basedOn w:val="51"/>
    <w:qFormat/>
    <w:uiPriority w:val="0"/>
  </w:style>
  <w:style w:type="character" w:customStyle="1" w:styleId="238">
    <w:name w:val="l_151"/>
    <w:basedOn w:val="51"/>
    <w:qFormat/>
    <w:uiPriority w:val="0"/>
  </w:style>
  <w:style w:type="character" w:customStyle="1" w:styleId="239">
    <w:name w:val="color_cdyy"/>
    <w:basedOn w:val="51"/>
    <w:qFormat/>
    <w:uiPriority w:val="0"/>
    <w:rPr>
      <w:color w:val="FFFFFF"/>
      <w:bdr w:val="single" w:color="FFFFFF" w:sz="4" w:space="0"/>
    </w:rPr>
  </w:style>
  <w:style w:type="character" w:customStyle="1" w:styleId="240">
    <w:name w:val="menutitle"/>
    <w:basedOn w:val="51"/>
    <w:qFormat/>
    <w:uiPriority w:val="0"/>
    <w:rPr>
      <w:color w:val="333333"/>
      <w:sz w:val="19"/>
      <w:szCs w:val="19"/>
    </w:rPr>
  </w:style>
  <w:style w:type="character" w:customStyle="1" w:styleId="241">
    <w:name w:val="menutitle1"/>
    <w:basedOn w:val="51"/>
    <w:qFormat/>
    <w:uiPriority w:val="0"/>
    <w:rPr>
      <w:color w:val="333333"/>
      <w:sz w:val="19"/>
      <w:szCs w:val="19"/>
    </w:rPr>
  </w:style>
  <w:style w:type="character" w:customStyle="1" w:styleId="242">
    <w:name w:val="l_101"/>
    <w:basedOn w:val="51"/>
    <w:qFormat/>
    <w:uiPriority w:val="0"/>
  </w:style>
  <w:style w:type="character" w:customStyle="1" w:styleId="243">
    <w:name w:val="close6"/>
    <w:basedOn w:val="51"/>
    <w:qFormat/>
    <w:uiPriority w:val="0"/>
  </w:style>
  <w:style w:type="character" w:customStyle="1" w:styleId="244">
    <w:name w:val="swapimg"/>
    <w:basedOn w:val="51"/>
    <w:qFormat/>
    <w:uiPriority w:val="0"/>
  </w:style>
  <w:style w:type="character" w:customStyle="1" w:styleId="245">
    <w:name w:val="swapimg1"/>
    <w:basedOn w:val="51"/>
    <w:qFormat/>
    <w:uiPriority w:val="0"/>
  </w:style>
  <w:style w:type="character" w:customStyle="1" w:styleId="246">
    <w:name w:val="l_51"/>
    <w:basedOn w:val="51"/>
    <w:qFormat/>
    <w:uiPriority w:val="0"/>
  </w:style>
  <w:style w:type="character" w:customStyle="1" w:styleId="247">
    <w:name w:val="l_71"/>
    <w:basedOn w:val="51"/>
    <w:qFormat/>
    <w:uiPriority w:val="0"/>
  </w:style>
  <w:style w:type="character" w:customStyle="1" w:styleId="248">
    <w:name w:val="swapimg3"/>
    <w:basedOn w:val="51"/>
    <w:qFormat/>
    <w:uiPriority w:val="0"/>
  </w:style>
  <w:style w:type="character" w:customStyle="1" w:styleId="249">
    <w:name w:val="l_112"/>
    <w:basedOn w:val="51"/>
    <w:qFormat/>
    <w:uiPriority w:val="0"/>
  </w:style>
  <w:style w:type="character" w:customStyle="1" w:styleId="250">
    <w:name w:val="style4"/>
    <w:basedOn w:val="51"/>
    <w:qFormat/>
    <w:uiPriority w:val="0"/>
  </w:style>
  <w:style w:type="character" w:customStyle="1" w:styleId="251">
    <w:name w:val="脚注文本 Char"/>
    <w:basedOn w:val="51"/>
    <w:link w:val="37"/>
    <w:semiHidden/>
    <w:qFormat/>
    <w:uiPriority w:val="99"/>
    <w:rPr>
      <w:rFonts w:ascii="Times New Roman" w:hAnsi="Times New Roman" w:eastAsia="宋体" w:cs="Times New Roman"/>
      <w:kern w:val="2"/>
      <w:sz w:val="18"/>
      <w:szCs w:val="18"/>
    </w:rPr>
  </w:style>
  <w:style w:type="character" w:customStyle="1" w:styleId="252">
    <w:name w:val="正文首行缩进 2 Char"/>
    <w:basedOn w:val="162"/>
    <w:link w:val="48"/>
    <w:qFormat/>
    <w:uiPriority w:val="0"/>
    <w:rPr>
      <w:kern w:val="2"/>
      <w:sz w:val="21"/>
      <w:szCs w:val="24"/>
    </w:rPr>
  </w:style>
  <w:style w:type="paragraph" w:customStyle="1" w:styleId="253">
    <w:name w:val="正文_1"/>
    <w:basedOn w:val="1"/>
    <w:qFormat/>
    <w:uiPriority w:val="0"/>
    <w:rPr>
      <w:rFonts w:ascii="Calibri" w:hAnsi="Calibri" w:cs="Calibri"/>
    </w:rPr>
  </w:style>
  <w:style w:type="paragraph" w:customStyle="1" w:styleId="254">
    <w:name w:val="正文_1_1"/>
    <w:basedOn w:val="1"/>
    <w:next w:val="1"/>
    <w:qFormat/>
    <w:uiPriority w:val="0"/>
  </w:style>
  <w:style w:type="paragraph" w:customStyle="1" w:styleId="255">
    <w:name w:val="*正文_1_0"/>
    <w:basedOn w:val="1"/>
    <w:next w:val="1"/>
    <w:qFormat/>
    <w:uiPriority w:val="0"/>
    <w:pPr>
      <w:widowControl/>
      <w:ind w:firstLine="482"/>
    </w:pPr>
    <w:rPr>
      <w:rFonts w:ascii="微软雅黑" w:hAnsi="微软雅黑" w:eastAsia="微软雅黑" w:cs="宋体"/>
      <w:kern w:val="0"/>
    </w:rPr>
  </w:style>
  <w:style w:type="paragraph" w:customStyle="1" w:styleId="256">
    <w:name w:val="Table Paragraph"/>
    <w:basedOn w:val="1"/>
    <w:qFormat/>
    <w:uiPriority w:val="1"/>
    <w:pPr>
      <w:ind w:left="103"/>
      <w:jc w:val="left"/>
    </w:pPr>
    <w:rPr>
      <w:rFonts w:ascii="宋体" w:hAnsi="宋体" w:cs="宋体"/>
      <w:kern w:val="0"/>
      <w:sz w:val="22"/>
      <w:szCs w:val="22"/>
      <w:lang w:eastAsia="en-US"/>
    </w:rPr>
  </w:style>
  <w:style w:type="table" w:customStyle="1" w:styleId="257">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D46AE-18EA-4C21-B9AD-468F53D298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61</Pages>
  <Words>15460</Words>
  <Characters>17209</Characters>
  <Lines>192</Lines>
  <Paragraphs>54</Paragraphs>
  <TotalTime>34</TotalTime>
  <ScaleCrop>false</ScaleCrop>
  <LinksUpToDate>false</LinksUpToDate>
  <CharactersWithSpaces>17367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Sowhat</cp:lastModifiedBy>
  <cp:lastPrinted>2025-12-17T09:42:00Z</cp:lastPrinted>
  <dcterms:modified xsi:type="dcterms:W3CDTF">2026-03-11T03:58:27Z</dcterms:modified>
  <cp:revision>845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14B99755CF0340119EF425D9D7BF4F2E_13</vt:lpwstr>
  </property>
  <property fmtid="{D5CDD505-2E9C-101B-9397-08002B2CF9AE}" pid="4" name="KSOTemplateDocerSaveRecord">
    <vt:lpwstr>eyJoZGlkIjoiMmVlZjlkY2U1M2IwZDRhMzM1ZDBmOGNhYWQ4MTY3ZGUiLCJ1c2VySWQiOiIyMDY1MzEyNTYifQ==</vt:lpwstr>
  </property>
</Properties>
</file>