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09046">
      <w:pPr>
        <w:keepNext w:val="0"/>
        <w:keepLines w:val="0"/>
        <w:pageBreakBefore w:val="0"/>
        <w:widowControl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96602400"/>
      <w:bookmarkEnd w:id="0"/>
      <w:bookmarkStart w:id="1" w:name="_Toc247085669"/>
      <w:bookmarkEnd w:id="1"/>
      <w:bookmarkStart w:id="2" w:name="_Toc246996898"/>
      <w:bookmarkEnd w:id="2"/>
      <w:bookmarkStart w:id="3" w:name="_Toc456164339"/>
      <w:bookmarkStart w:id="4" w:name="_Toc144974479"/>
      <w:bookmarkStart w:id="5" w:name="_Toc152045511"/>
      <w:bookmarkStart w:id="6" w:name="_Toc246996900"/>
      <w:bookmarkStart w:id="7" w:name="_Toc179632527"/>
      <w:bookmarkStart w:id="8" w:name="_Toc152042287"/>
      <w:bookmarkStart w:id="9" w:name="_Toc246996157"/>
      <w:bookmarkStart w:id="10" w:name="_Toc247085671"/>
      <w:bookmarkStart w:id="11" w:name="_Toc247096243"/>
      <w:r>
        <w:rPr>
          <w:rFonts w:hint="eastAsia" w:ascii="宋体" w:hAnsi="宋体" w:cs="宋体"/>
          <w:b/>
          <w:bCs/>
          <w:color w:val="000000" w:themeColor="text1"/>
          <w:sz w:val="48"/>
          <w:szCs w:val="48"/>
          <w:highlight w:val="none"/>
          <w:lang w:eastAsia="zh-CN"/>
          <w14:textFill>
            <w14:solidFill>
              <w14:schemeClr w14:val="tx1"/>
            </w14:solidFill>
          </w14:textFill>
        </w:rPr>
        <w:t>G209线卢氏县灵卢界至官道口镇(K1427+015-K1436+956)、五里川镇漂池至三南界(K1534+000-K1563+417)段路面预防养护工程</w:t>
      </w:r>
    </w:p>
    <w:p w14:paraId="37491A05">
      <w:pPr>
        <w:wordWrap w:val="0"/>
        <w:spacing w:line="360" w:lineRule="auto"/>
        <w:jc w:val="both"/>
        <w:rPr>
          <w:rFonts w:ascii="宋体" w:hAnsi="宋体"/>
          <w:b/>
          <w:bCs/>
          <w:color w:val="000000" w:themeColor="text1"/>
          <w:sz w:val="32"/>
          <w:highlight w:val="none"/>
          <w14:textFill>
            <w14:solidFill>
              <w14:schemeClr w14:val="tx1"/>
            </w14:solidFill>
          </w14:textFill>
        </w:rPr>
      </w:pPr>
    </w:p>
    <w:p w14:paraId="1C92D901">
      <w:pPr>
        <w:wordWrap w:val="0"/>
        <w:jc w:val="center"/>
        <w:rPr>
          <w:rFonts w:ascii="宋体" w:hAnsi="宋体"/>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14:textFill>
            <w14:solidFill>
              <w14:schemeClr w14:val="tx1"/>
            </w14:solidFill>
          </w14:textFill>
        </w:rPr>
        <w:t>招 标 文 件</w:t>
      </w:r>
    </w:p>
    <w:p w14:paraId="7D5241BD">
      <w:pPr>
        <w:wordWrap w:val="0"/>
        <w:spacing w:line="800" w:lineRule="exact"/>
        <w:jc w:val="center"/>
        <w:rPr>
          <w:rFonts w:hint="eastAsia" w:ascii="宋体" w:hAnsi="宋体"/>
          <w:b/>
          <w:bCs/>
          <w:color w:val="000000" w:themeColor="text1"/>
          <w:sz w:val="22"/>
          <w:szCs w:val="28"/>
          <w:highlight w:val="none"/>
          <w14:textFill>
            <w14:solidFill>
              <w14:schemeClr w14:val="tx1"/>
            </w14:solidFill>
          </w14:textFill>
        </w:rPr>
      </w:pPr>
      <w:r>
        <w:rPr>
          <w:rFonts w:hint="eastAsia" w:ascii="宋体" w:hAnsi="宋体" w:cs="宋体"/>
          <w:b/>
          <w:bCs/>
          <w:color w:val="auto"/>
          <w:kern w:val="0"/>
          <w:sz w:val="28"/>
          <w:szCs w:val="28"/>
        </w:rPr>
        <w:t>项目编号：</w:t>
      </w:r>
      <w:r>
        <w:rPr>
          <w:rFonts w:hint="eastAsia" w:ascii="宋体" w:hAnsi="宋体" w:cs="宋体"/>
          <w:b/>
          <w:bCs/>
          <w:color w:val="auto"/>
          <w:kern w:val="0"/>
          <w:sz w:val="28"/>
          <w:szCs w:val="28"/>
          <w:lang w:val="en-US" w:eastAsia="zh-CN"/>
        </w:rPr>
        <w:t>三卢公开采购-2026-7、</w:t>
      </w:r>
      <w:r>
        <w:rPr>
          <w:rFonts w:hint="eastAsia" w:ascii="宋体" w:hAnsi="宋体" w:cs="宋体"/>
          <w:b/>
          <w:bCs/>
          <w:color w:val="auto"/>
          <w:kern w:val="0"/>
          <w:sz w:val="28"/>
          <w:szCs w:val="28"/>
        </w:rPr>
        <w:t>LSGZ[2026]023-GC006</w:t>
      </w:r>
    </w:p>
    <w:p w14:paraId="51A09447">
      <w:pPr>
        <w:wordWrap w:val="0"/>
        <w:spacing w:line="800" w:lineRule="exact"/>
        <w:jc w:val="center"/>
        <w:rPr>
          <w:rFonts w:hint="default" w:ascii="宋体" w:hAnsi="宋体" w:eastAsia="宋体"/>
          <w:b w:val="0"/>
          <w:bCs/>
          <w:color w:val="000000" w:themeColor="text1"/>
          <w:sz w:val="30"/>
          <w:szCs w:val="30"/>
          <w:highlight w:val="none"/>
          <w:lang w:val="en-US" w:eastAsia="zh-CN"/>
          <w14:textFill>
            <w14:solidFill>
              <w14:schemeClr w14:val="tx1"/>
            </w14:solidFill>
          </w14:textFill>
        </w:rPr>
      </w:pPr>
      <w:r>
        <w:rPr>
          <w:rFonts w:hint="eastAsia" w:ascii="宋体" w:hAnsi="宋体"/>
          <w:b w:val="0"/>
          <w:bCs/>
          <w:color w:val="000000" w:themeColor="text1"/>
          <w:sz w:val="30"/>
          <w:szCs w:val="30"/>
          <w:highlight w:val="none"/>
          <w:lang w:val="en-US" w:eastAsia="zh-CN"/>
          <w14:textFill>
            <w14:solidFill>
              <w14:schemeClr w14:val="tx1"/>
            </w14:solidFill>
          </w14:textFill>
        </w:rPr>
        <w:t>项目编号：</w:t>
      </w:r>
    </w:p>
    <w:p w14:paraId="23B6C3DA">
      <w:pPr>
        <w:wordWrap w:val="0"/>
        <w:spacing w:line="800" w:lineRule="exact"/>
        <w:jc w:val="center"/>
        <w:rPr>
          <w:rFonts w:ascii="宋体" w:hAnsi="宋体"/>
          <w:b/>
          <w:color w:val="000000" w:themeColor="text1"/>
          <w:sz w:val="30"/>
          <w:szCs w:val="30"/>
          <w:highlight w:val="none"/>
          <w14:textFill>
            <w14:solidFill>
              <w14:schemeClr w14:val="tx1"/>
            </w14:solidFill>
          </w14:textFill>
        </w:rPr>
      </w:pPr>
    </w:p>
    <w:p w14:paraId="7F5D5ADE">
      <w:pPr>
        <w:wordWrap w:val="0"/>
        <w:spacing w:line="800" w:lineRule="exact"/>
        <w:jc w:val="center"/>
        <w:rPr>
          <w:rFonts w:ascii="宋体" w:hAnsi="宋体"/>
          <w:b/>
          <w:color w:val="000000" w:themeColor="text1"/>
          <w:sz w:val="30"/>
          <w:szCs w:val="30"/>
          <w:highlight w:val="none"/>
          <w14:textFill>
            <w14:solidFill>
              <w14:schemeClr w14:val="tx1"/>
            </w14:solidFill>
          </w14:textFill>
        </w:rPr>
      </w:pPr>
      <w:r>
        <w:rPr>
          <w:rFonts w:ascii="宋体" w:hAnsi="宋体" w:cs="宋体"/>
          <w:bCs/>
          <w:szCs w:val="21"/>
        </w:rPr>
        <w:drawing>
          <wp:anchor distT="0" distB="0" distL="114300" distR="114300" simplePos="0" relativeHeight="251659264" behindDoc="0" locked="0" layoutInCell="1" allowOverlap="1">
            <wp:simplePos x="0" y="0"/>
            <wp:positionH relativeFrom="column">
              <wp:posOffset>1358265</wp:posOffset>
            </wp:positionH>
            <wp:positionV relativeFrom="paragraph">
              <wp:posOffset>-775335</wp:posOffset>
            </wp:positionV>
            <wp:extent cx="2672080" cy="2962275"/>
            <wp:effectExtent l="0" t="0" r="13970" b="952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2672080" cy="2962275"/>
                    </a:xfrm>
                    <a:prstGeom prst="rect">
                      <a:avLst/>
                    </a:prstGeom>
                    <a:noFill/>
                    <a:ln>
                      <a:noFill/>
                    </a:ln>
                  </pic:spPr>
                </pic:pic>
              </a:graphicData>
            </a:graphic>
          </wp:anchor>
        </w:drawing>
      </w:r>
    </w:p>
    <w:p w14:paraId="0C2B5D29">
      <w:pPr>
        <w:wordWrap w:val="0"/>
        <w:spacing w:line="800" w:lineRule="exact"/>
        <w:jc w:val="center"/>
        <w:rPr>
          <w:rFonts w:ascii="宋体" w:hAnsi="宋体"/>
          <w:b/>
          <w:color w:val="000000" w:themeColor="text1"/>
          <w:sz w:val="30"/>
          <w:szCs w:val="30"/>
          <w:highlight w:val="none"/>
          <w14:textFill>
            <w14:solidFill>
              <w14:schemeClr w14:val="tx1"/>
            </w14:solidFill>
          </w14:textFill>
        </w:rPr>
      </w:pPr>
    </w:p>
    <w:p w14:paraId="4FA0FB6C">
      <w:pPr>
        <w:wordWrap w:val="0"/>
        <w:spacing w:line="800" w:lineRule="exact"/>
        <w:jc w:val="center"/>
        <w:rPr>
          <w:rFonts w:ascii="宋体" w:hAnsi="宋体"/>
          <w:b/>
          <w:color w:val="000000" w:themeColor="text1"/>
          <w:sz w:val="30"/>
          <w:szCs w:val="30"/>
          <w:highlight w:val="none"/>
          <w14:textFill>
            <w14:solidFill>
              <w14:schemeClr w14:val="tx1"/>
            </w14:solidFill>
          </w14:textFill>
        </w:rPr>
      </w:pPr>
    </w:p>
    <w:p w14:paraId="2D606DE4">
      <w:pPr>
        <w:wordWrap w:val="0"/>
        <w:spacing w:line="800" w:lineRule="exact"/>
        <w:jc w:val="center"/>
        <w:rPr>
          <w:rFonts w:ascii="宋体" w:hAnsi="宋体"/>
          <w:b/>
          <w:color w:val="000000" w:themeColor="text1"/>
          <w:sz w:val="30"/>
          <w:szCs w:val="30"/>
          <w:highlight w:val="none"/>
          <w14:textFill>
            <w14:solidFill>
              <w14:schemeClr w14:val="tx1"/>
            </w14:solidFill>
          </w14:textFill>
        </w:rPr>
      </w:pPr>
    </w:p>
    <w:p w14:paraId="4B56B201">
      <w:pPr>
        <w:wordWrap w:val="0"/>
        <w:spacing w:line="800" w:lineRule="exact"/>
        <w:jc w:val="center"/>
        <w:rPr>
          <w:rFonts w:ascii="宋体" w:hAnsi="宋体"/>
          <w:b/>
          <w:color w:val="000000" w:themeColor="text1"/>
          <w:sz w:val="30"/>
          <w:szCs w:val="30"/>
          <w:highlight w:val="none"/>
          <w14:textFill>
            <w14:solidFill>
              <w14:schemeClr w14:val="tx1"/>
            </w14:solidFill>
          </w14:textFill>
        </w:rPr>
      </w:pPr>
    </w:p>
    <w:p w14:paraId="73E34EEA">
      <w:pPr>
        <w:wordWrap w:val="0"/>
        <w:spacing w:line="800" w:lineRule="exact"/>
        <w:jc w:val="both"/>
        <w:rPr>
          <w:rFonts w:ascii="宋体" w:hAnsi="宋体"/>
          <w:b/>
          <w:color w:val="000000" w:themeColor="text1"/>
          <w:sz w:val="30"/>
          <w:szCs w:val="30"/>
          <w:highlight w:val="none"/>
          <w14:textFill>
            <w14:solidFill>
              <w14:schemeClr w14:val="tx1"/>
            </w14:solidFill>
          </w14:textFill>
        </w:rPr>
      </w:pPr>
    </w:p>
    <w:p w14:paraId="41791E68">
      <w:pPr>
        <w:wordWrap w:val="0"/>
        <w:spacing w:line="800" w:lineRule="exact"/>
        <w:jc w:val="center"/>
        <w:rPr>
          <w:rFonts w:ascii="宋体" w:hAnsi="宋体"/>
          <w:b/>
          <w:color w:val="000000" w:themeColor="text1"/>
          <w:sz w:val="30"/>
          <w:szCs w:val="30"/>
          <w:highlight w:val="none"/>
          <w14:textFill>
            <w14:solidFill>
              <w14:schemeClr w14:val="tx1"/>
            </w14:solidFill>
          </w14:textFill>
        </w:rPr>
      </w:pPr>
    </w:p>
    <w:p w14:paraId="029C9F66">
      <w:pPr>
        <w:tabs>
          <w:tab w:val="left" w:pos="2850"/>
        </w:tabs>
        <w:wordWrap w:val="0"/>
        <w:spacing w:line="360" w:lineRule="auto"/>
        <w:ind w:firstLine="1751" w:firstLineChars="545"/>
        <w:jc w:val="both"/>
        <w:rPr>
          <w:rFonts w:hint="eastAsia"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招标人：</w:t>
      </w:r>
      <w:r>
        <w:rPr>
          <w:rFonts w:hint="eastAsia" w:ascii="宋体" w:hAnsi="宋体"/>
          <w:b/>
          <w:color w:val="000000" w:themeColor="text1"/>
          <w:sz w:val="32"/>
          <w:szCs w:val="32"/>
          <w:highlight w:val="none"/>
          <w:lang w:eastAsia="zh-CN"/>
          <w14:textFill>
            <w14:solidFill>
              <w14:schemeClr w14:val="tx1"/>
            </w14:solidFill>
          </w14:textFill>
        </w:rPr>
        <w:t>卢氏县公路事业发展中心</w:t>
      </w:r>
    </w:p>
    <w:p w14:paraId="41E903DB">
      <w:pPr>
        <w:tabs>
          <w:tab w:val="left" w:pos="2850"/>
        </w:tabs>
        <w:wordWrap w:val="0"/>
        <w:spacing w:line="360" w:lineRule="auto"/>
        <w:ind w:firstLine="1751" w:firstLineChars="545"/>
        <w:jc w:val="both"/>
        <w:rPr>
          <w:rFonts w:hint="eastAsia"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代理机构：</w:t>
      </w:r>
      <w:r>
        <w:rPr>
          <w:rFonts w:hint="eastAsia" w:ascii="宋体" w:hAnsi="宋体"/>
          <w:b/>
          <w:color w:val="000000" w:themeColor="text1"/>
          <w:sz w:val="32"/>
          <w:szCs w:val="32"/>
          <w:highlight w:val="none"/>
          <w:lang w:eastAsia="zh-CN"/>
          <w14:textFill>
            <w14:solidFill>
              <w14:schemeClr w14:val="tx1"/>
            </w14:solidFill>
          </w14:textFill>
        </w:rPr>
        <w:t>兴建建设管理有限公司</w:t>
      </w:r>
    </w:p>
    <w:p w14:paraId="382750ED">
      <w:pPr>
        <w:tabs>
          <w:tab w:val="left" w:pos="2850"/>
        </w:tabs>
        <w:wordWrap w:val="0"/>
        <w:spacing w:line="360" w:lineRule="auto"/>
        <w:ind w:firstLine="2249" w:firstLineChars="700"/>
        <w:jc w:val="both"/>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日期：二</w:t>
      </w:r>
      <w:r>
        <w:rPr>
          <w:rFonts w:hint="eastAsia" w:ascii="宋体" w:hAnsi="宋体"/>
          <w:b/>
          <w:bCs/>
          <w:color w:val="000000" w:themeColor="text1"/>
          <w:sz w:val="32"/>
          <w:szCs w:val="32"/>
          <w:highlight w:val="none"/>
          <w:lang w:val="en-US" w:eastAsia="zh-CN"/>
          <w14:textFill>
            <w14:solidFill>
              <w14:schemeClr w14:val="tx1"/>
            </w14:solidFill>
          </w14:textFill>
        </w:rPr>
        <w:t>〇</w:t>
      </w:r>
      <w:r>
        <w:rPr>
          <w:rFonts w:hint="eastAsia" w:ascii="宋体" w:hAnsi="宋体"/>
          <w:b/>
          <w:bCs/>
          <w:color w:val="000000" w:themeColor="text1"/>
          <w:sz w:val="32"/>
          <w:szCs w:val="32"/>
          <w:highlight w:val="none"/>
          <w14:textFill>
            <w14:solidFill>
              <w14:schemeClr w14:val="tx1"/>
            </w14:solidFill>
          </w14:textFill>
        </w:rPr>
        <w:t>二</w:t>
      </w:r>
      <w:r>
        <w:rPr>
          <w:rFonts w:hint="eastAsia" w:ascii="宋体" w:hAnsi="宋体"/>
          <w:b/>
          <w:bCs/>
          <w:color w:val="000000" w:themeColor="text1"/>
          <w:sz w:val="32"/>
          <w:szCs w:val="32"/>
          <w:highlight w:val="none"/>
          <w:lang w:val="en-US" w:eastAsia="zh-CN"/>
          <w14:textFill>
            <w14:solidFill>
              <w14:schemeClr w14:val="tx1"/>
            </w14:solidFill>
          </w14:textFill>
        </w:rPr>
        <w:t>六</w:t>
      </w:r>
      <w:r>
        <w:rPr>
          <w:rFonts w:hint="eastAsia" w:ascii="宋体" w:hAnsi="宋体"/>
          <w:b/>
          <w:bCs/>
          <w:color w:val="000000" w:themeColor="text1"/>
          <w:sz w:val="32"/>
          <w:szCs w:val="32"/>
          <w:highlight w:val="none"/>
          <w14:textFill>
            <w14:solidFill>
              <w14:schemeClr w14:val="tx1"/>
            </w14:solidFill>
          </w14:textFill>
        </w:rPr>
        <w:t>年</w:t>
      </w:r>
      <w:r>
        <w:rPr>
          <w:rFonts w:hint="eastAsia" w:ascii="宋体" w:hAnsi="宋体"/>
          <w:b/>
          <w:bCs/>
          <w:color w:val="000000" w:themeColor="text1"/>
          <w:sz w:val="32"/>
          <w:szCs w:val="32"/>
          <w:highlight w:val="none"/>
          <w:lang w:val="en-US" w:eastAsia="zh-CN"/>
          <w14:textFill>
            <w14:solidFill>
              <w14:schemeClr w14:val="tx1"/>
            </w14:solidFill>
          </w14:textFill>
        </w:rPr>
        <w:t>二</w:t>
      </w:r>
      <w:r>
        <w:rPr>
          <w:rFonts w:hint="eastAsia" w:ascii="宋体" w:hAnsi="宋体"/>
          <w:b/>
          <w:bCs/>
          <w:color w:val="000000" w:themeColor="text1"/>
          <w:sz w:val="32"/>
          <w:szCs w:val="32"/>
          <w:highlight w:val="none"/>
          <w14:textFill>
            <w14:solidFill>
              <w14:schemeClr w14:val="tx1"/>
            </w14:solidFill>
          </w14:textFill>
        </w:rPr>
        <w:t>月</w:t>
      </w:r>
    </w:p>
    <w:p w14:paraId="19396403">
      <w:pPr>
        <w:wordWrap w:val="0"/>
        <w:spacing w:line="360" w:lineRule="auto"/>
        <w:jc w:val="center"/>
        <w:rPr>
          <w:rFonts w:ascii="宋体" w:hAnsi="宋体"/>
          <w:color w:val="auto"/>
          <w:sz w:val="24"/>
        </w:rPr>
      </w:pPr>
      <w:r>
        <w:rPr>
          <w:rFonts w:hint="eastAsia" w:ascii="宋体" w:hAnsi="宋体"/>
          <w:b/>
          <w:bCs/>
          <w:color w:val="auto"/>
          <w:sz w:val="36"/>
          <w:szCs w:val="36"/>
        </w:rPr>
        <w:t>目   录</w:t>
      </w:r>
      <w:bookmarkEnd w:id="3"/>
      <w:bookmarkStart w:id="12" w:name="_Toc246996899"/>
      <w:bookmarkStart w:id="13" w:name="_Toc246996156"/>
      <w:bookmarkStart w:id="14" w:name="_Toc247085670"/>
      <w:r>
        <w:rPr>
          <w:rFonts w:ascii="宋体" w:hAnsi="宋体"/>
          <w:color w:val="auto"/>
          <w:sz w:val="24"/>
        </w:rPr>
        <w:fldChar w:fldCharType="begin"/>
      </w:r>
      <w:r>
        <w:rPr>
          <w:rFonts w:hint="eastAsia" w:ascii="宋体" w:hAnsi="宋体" w:cs="宋体"/>
          <w:bCs/>
          <w:iCs/>
          <w:caps/>
          <w:color w:val="auto"/>
          <w:sz w:val="24"/>
        </w:rPr>
        <w:instrText xml:space="preserve"> TOC \o \h \z \u </w:instrText>
      </w:r>
      <w:r>
        <w:rPr>
          <w:rFonts w:ascii="宋体" w:hAnsi="宋体"/>
          <w:color w:val="auto"/>
          <w:sz w:val="24"/>
        </w:rPr>
        <w:fldChar w:fldCharType="separate"/>
      </w:r>
    </w:p>
    <w:p w14:paraId="2F9B2F1B">
      <w:pPr>
        <w:pStyle w:val="11"/>
        <w:tabs>
          <w:tab w:val="right" w:leader="dot" w:pos="8664"/>
        </w:tabs>
        <w:wordWrap w:val="0"/>
        <w:spacing w:line="360" w:lineRule="auto"/>
        <w:rPr>
          <w:rFonts w:ascii="宋体" w:hAnsi="宋体"/>
          <w:b w:val="0"/>
          <w:bCs w:val="0"/>
          <w:caps w:val="0"/>
          <w:color w:val="auto"/>
          <w:sz w:val="24"/>
          <w:szCs w:val="24"/>
        </w:rPr>
      </w:pPr>
      <w:r>
        <w:rPr>
          <w:rStyle w:val="17"/>
          <w:rFonts w:ascii="宋体" w:hAnsi="宋体"/>
          <w:b w:val="0"/>
          <w:color w:val="auto"/>
          <w:sz w:val="24"/>
          <w:szCs w:val="24"/>
        </w:rPr>
        <w:fldChar w:fldCharType="begin"/>
      </w:r>
      <w:r>
        <w:rPr>
          <w:rStyle w:val="17"/>
          <w:rFonts w:ascii="宋体" w:hAnsi="宋体"/>
          <w:b w:val="0"/>
          <w:color w:val="auto"/>
          <w:sz w:val="24"/>
          <w:szCs w:val="24"/>
        </w:rPr>
        <w:instrText xml:space="preserve"> </w:instrText>
      </w:r>
      <w:r>
        <w:rPr>
          <w:rFonts w:ascii="宋体" w:hAnsi="宋体"/>
          <w:b w:val="0"/>
          <w:color w:val="auto"/>
          <w:sz w:val="24"/>
          <w:szCs w:val="24"/>
        </w:rPr>
        <w:instrText xml:space="preserve">HYPERLINK \l "_Toc180485648"</w:instrText>
      </w:r>
      <w:r>
        <w:rPr>
          <w:rStyle w:val="17"/>
          <w:rFonts w:ascii="宋体" w:hAnsi="宋体"/>
          <w:b w:val="0"/>
          <w:color w:val="auto"/>
          <w:sz w:val="24"/>
          <w:szCs w:val="24"/>
        </w:rPr>
        <w:instrText xml:space="preserve"> </w:instrText>
      </w:r>
      <w:r>
        <w:rPr>
          <w:rStyle w:val="17"/>
          <w:rFonts w:ascii="宋体" w:hAnsi="宋体"/>
          <w:b w:val="0"/>
          <w:color w:val="auto"/>
          <w:sz w:val="24"/>
          <w:szCs w:val="24"/>
        </w:rPr>
        <w:fldChar w:fldCharType="separate"/>
      </w:r>
      <w:r>
        <w:rPr>
          <w:rStyle w:val="17"/>
          <w:rFonts w:hint="eastAsia" w:ascii="宋体" w:hAnsi="宋体" w:cs="宋体"/>
          <w:b w:val="0"/>
          <w:color w:val="auto"/>
          <w:kern w:val="0"/>
          <w:sz w:val="24"/>
          <w:szCs w:val="24"/>
        </w:rPr>
        <w:t>第一章</w:t>
      </w:r>
      <w:r>
        <w:rPr>
          <w:rStyle w:val="17"/>
          <w:rFonts w:ascii="宋体" w:hAnsi="宋体" w:cs="宋体"/>
          <w:b w:val="0"/>
          <w:color w:val="auto"/>
          <w:kern w:val="0"/>
          <w:sz w:val="24"/>
          <w:szCs w:val="24"/>
        </w:rPr>
        <w:t xml:space="preserve">  </w:t>
      </w:r>
      <w:r>
        <w:rPr>
          <w:rStyle w:val="17"/>
          <w:rFonts w:hint="eastAsia" w:ascii="宋体" w:hAnsi="宋体" w:cs="宋体"/>
          <w:b w:val="0"/>
          <w:color w:val="auto"/>
          <w:kern w:val="0"/>
          <w:sz w:val="24"/>
          <w:szCs w:val="24"/>
        </w:rPr>
        <w:t>招标公告</w:t>
      </w:r>
      <w:r>
        <w:rPr>
          <w:rFonts w:hint="eastAsia" w:ascii="宋体" w:hAnsi="宋体"/>
          <w:b w:val="0"/>
          <w:color w:val="auto"/>
          <w:sz w:val="24"/>
          <w:szCs w:val="24"/>
          <w:lang w:val="en-US" w:eastAsia="zh-CN"/>
        </w:rPr>
        <w:t>....................................................1</w:t>
      </w:r>
      <w:r>
        <w:rPr>
          <w:rStyle w:val="17"/>
          <w:rFonts w:ascii="宋体" w:hAnsi="宋体"/>
          <w:b w:val="0"/>
          <w:color w:val="auto"/>
          <w:sz w:val="24"/>
          <w:szCs w:val="24"/>
        </w:rPr>
        <w:fldChar w:fldCharType="end"/>
      </w:r>
    </w:p>
    <w:p w14:paraId="623F946F">
      <w:pPr>
        <w:pStyle w:val="11"/>
        <w:tabs>
          <w:tab w:val="right" w:leader="dot" w:pos="8664"/>
        </w:tabs>
        <w:wordWrap w:val="0"/>
        <w:spacing w:line="360" w:lineRule="auto"/>
        <w:rPr>
          <w:rFonts w:ascii="宋体" w:hAnsi="宋体"/>
          <w:b w:val="0"/>
          <w:bCs w:val="0"/>
          <w:caps w:val="0"/>
          <w:color w:val="auto"/>
          <w:sz w:val="24"/>
          <w:szCs w:val="24"/>
        </w:rPr>
      </w:pPr>
      <w:r>
        <w:rPr>
          <w:rStyle w:val="17"/>
          <w:rFonts w:ascii="宋体" w:hAnsi="宋体"/>
          <w:b w:val="0"/>
          <w:color w:val="auto"/>
          <w:sz w:val="24"/>
          <w:szCs w:val="24"/>
        </w:rPr>
        <w:fldChar w:fldCharType="begin"/>
      </w:r>
      <w:r>
        <w:rPr>
          <w:rStyle w:val="17"/>
          <w:rFonts w:ascii="宋体" w:hAnsi="宋体"/>
          <w:b w:val="0"/>
          <w:color w:val="auto"/>
          <w:sz w:val="24"/>
          <w:szCs w:val="24"/>
        </w:rPr>
        <w:instrText xml:space="preserve"> </w:instrText>
      </w:r>
      <w:r>
        <w:rPr>
          <w:rFonts w:ascii="宋体" w:hAnsi="宋体"/>
          <w:b w:val="0"/>
          <w:color w:val="auto"/>
          <w:sz w:val="24"/>
          <w:szCs w:val="24"/>
        </w:rPr>
        <w:instrText xml:space="preserve">HYPERLINK \l "_Toc180485649"</w:instrText>
      </w:r>
      <w:r>
        <w:rPr>
          <w:rStyle w:val="17"/>
          <w:rFonts w:ascii="宋体" w:hAnsi="宋体"/>
          <w:b w:val="0"/>
          <w:color w:val="auto"/>
          <w:sz w:val="24"/>
          <w:szCs w:val="24"/>
        </w:rPr>
        <w:instrText xml:space="preserve"> </w:instrText>
      </w:r>
      <w:r>
        <w:rPr>
          <w:rStyle w:val="17"/>
          <w:rFonts w:ascii="宋体" w:hAnsi="宋体"/>
          <w:b w:val="0"/>
          <w:color w:val="auto"/>
          <w:sz w:val="24"/>
          <w:szCs w:val="24"/>
        </w:rPr>
        <w:fldChar w:fldCharType="separate"/>
      </w:r>
      <w:r>
        <w:rPr>
          <w:rStyle w:val="17"/>
          <w:rFonts w:hint="eastAsia" w:ascii="宋体" w:hAnsi="宋体" w:cs="宋体"/>
          <w:b w:val="0"/>
          <w:color w:val="auto"/>
          <w:kern w:val="0"/>
          <w:sz w:val="24"/>
          <w:szCs w:val="24"/>
        </w:rPr>
        <w:t>第二章</w:t>
      </w:r>
      <w:r>
        <w:rPr>
          <w:rStyle w:val="17"/>
          <w:rFonts w:ascii="宋体" w:hAnsi="宋体" w:cs="宋体"/>
          <w:b w:val="0"/>
          <w:color w:val="auto"/>
          <w:kern w:val="0"/>
          <w:sz w:val="24"/>
          <w:szCs w:val="24"/>
        </w:rPr>
        <w:t xml:space="preserve">  </w:t>
      </w:r>
      <w:r>
        <w:rPr>
          <w:rStyle w:val="17"/>
          <w:rFonts w:hint="eastAsia" w:ascii="宋体" w:hAnsi="宋体" w:cs="宋体"/>
          <w:b w:val="0"/>
          <w:color w:val="auto"/>
          <w:kern w:val="0"/>
          <w:sz w:val="24"/>
          <w:szCs w:val="24"/>
        </w:rPr>
        <w:t>投标人须知</w:t>
      </w:r>
      <w:r>
        <w:rPr>
          <w:rFonts w:hint="eastAsia" w:ascii="宋体" w:hAnsi="宋体"/>
          <w:b w:val="0"/>
          <w:color w:val="auto"/>
          <w:sz w:val="24"/>
          <w:szCs w:val="24"/>
          <w:lang w:val="en-US" w:eastAsia="zh-CN"/>
        </w:rPr>
        <w:t>..................................................6</w:t>
      </w:r>
      <w:r>
        <w:rPr>
          <w:rStyle w:val="17"/>
          <w:rFonts w:ascii="宋体" w:hAnsi="宋体"/>
          <w:b w:val="0"/>
          <w:color w:val="auto"/>
          <w:sz w:val="24"/>
          <w:szCs w:val="24"/>
        </w:rPr>
        <w:fldChar w:fldCharType="end"/>
      </w:r>
    </w:p>
    <w:p w14:paraId="5317E57E">
      <w:pPr>
        <w:pStyle w:val="11"/>
        <w:tabs>
          <w:tab w:val="right" w:leader="dot" w:pos="8664"/>
        </w:tabs>
        <w:wordWrap w:val="0"/>
        <w:spacing w:line="360" w:lineRule="auto"/>
        <w:rPr>
          <w:rFonts w:hint="eastAsia" w:ascii="宋体" w:hAnsi="宋体" w:eastAsia="宋体"/>
          <w:b w:val="0"/>
          <w:bCs w:val="0"/>
          <w:caps w:val="0"/>
          <w:color w:val="auto"/>
          <w:sz w:val="24"/>
          <w:szCs w:val="24"/>
          <w:lang w:val="en-US" w:eastAsia="zh-CN"/>
        </w:rPr>
      </w:pPr>
      <w:r>
        <w:rPr>
          <w:rStyle w:val="17"/>
          <w:rFonts w:ascii="宋体" w:hAnsi="宋体"/>
          <w:b w:val="0"/>
          <w:color w:val="auto"/>
          <w:sz w:val="24"/>
          <w:szCs w:val="24"/>
        </w:rPr>
        <w:fldChar w:fldCharType="begin"/>
      </w:r>
      <w:r>
        <w:rPr>
          <w:rStyle w:val="17"/>
          <w:rFonts w:ascii="宋体" w:hAnsi="宋体"/>
          <w:b w:val="0"/>
          <w:color w:val="auto"/>
          <w:sz w:val="24"/>
          <w:szCs w:val="24"/>
        </w:rPr>
        <w:instrText xml:space="preserve"> </w:instrText>
      </w:r>
      <w:r>
        <w:rPr>
          <w:rFonts w:ascii="宋体" w:hAnsi="宋体"/>
          <w:b w:val="0"/>
          <w:color w:val="auto"/>
          <w:sz w:val="24"/>
          <w:szCs w:val="24"/>
        </w:rPr>
        <w:instrText xml:space="preserve">HYPERLINK \l "_Toc180485651"</w:instrText>
      </w:r>
      <w:r>
        <w:rPr>
          <w:rStyle w:val="17"/>
          <w:rFonts w:ascii="宋体" w:hAnsi="宋体"/>
          <w:b w:val="0"/>
          <w:color w:val="auto"/>
          <w:sz w:val="24"/>
          <w:szCs w:val="24"/>
        </w:rPr>
        <w:instrText xml:space="preserve"> </w:instrText>
      </w:r>
      <w:r>
        <w:rPr>
          <w:rStyle w:val="17"/>
          <w:rFonts w:ascii="宋体" w:hAnsi="宋体"/>
          <w:b w:val="0"/>
          <w:color w:val="auto"/>
          <w:sz w:val="24"/>
          <w:szCs w:val="24"/>
        </w:rPr>
        <w:fldChar w:fldCharType="separate"/>
      </w:r>
      <w:r>
        <w:rPr>
          <w:rStyle w:val="17"/>
          <w:rFonts w:hint="eastAsia" w:ascii="宋体" w:hAnsi="宋体" w:cs="宋体"/>
          <w:b w:val="0"/>
          <w:color w:val="auto"/>
          <w:kern w:val="0"/>
          <w:sz w:val="24"/>
          <w:szCs w:val="24"/>
        </w:rPr>
        <w:t>第三章</w:t>
      </w:r>
      <w:r>
        <w:rPr>
          <w:rStyle w:val="17"/>
          <w:rFonts w:ascii="宋体" w:hAnsi="宋体" w:cs="宋体"/>
          <w:b w:val="0"/>
          <w:color w:val="auto"/>
          <w:kern w:val="0"/>
          <w:sz w:val="24"/>
          <w:szCs w:val="24"/>
        </w:rPr>
        <w:t xml:space="preserve">  </w:t>
      </w:r>
      <w:r>
        <w:rPr>
          <w:rStyle w:val="17"/>
          <w:rFonts w:hint="eastAsia" w:ascii="宋体" w:hAnsi="宋体" w:cs="宋体"/>
          <w:b w:val="0"/>
          <w:color w:val="auto"/>
          <w:kern w:val="0"/>
          <w:sz w:val="24"/>
          <w:szCs w:val="24"/>
        </w:rPr>
        <w:t>评标办法</w:t>
      </w:r>
      <w:r>
        <w:rPr>
          <w:rStyle w:val="17"/>
          <w:rFonts w:hint="eastAsia" w:ascii="宋体" w:hAnsi="宋体" w:cs="宋体"/>
          <w:b w:val="0"/>
          <w:color w:val="auto"/>
          <w:kern w:val="0"/>
          <w:sz w:val="24"/>
          <w:szCs w:val="24"/>
          <w:lang w:val="en-US" w:eastAsia="zh-CN"/>
        </w:rPr>
        <w:t>...................................................</w:t>
      </w:r>
      <w:r>
        <w:rPr>
          <w:rFonts w:hint="eastAsia" w:ascii="宋体" w:hAnsi="宋体"/>
          <w:b w:val="0"/>
          <w:color w:val="auto"/>
          <w:sz w:val="24"/>
          <w:szCs w:val="24"/>
          <w:lang w:val="en-US" w:eastAsia="zh-CN"/>
        </w:rPr>
        <w:t>3</w:t>
      </w:r>
      <w:r>
        <w:rPr>
          <w:rStyle w:val="17"/>
          <w:rFonts w:ascii="宋体" w:hAnsi="宋体"/>
          <w:b w:val="0"/>
          <w:color w:val="auto"/>
          <w:sz w:val="24"/>
          <w:szCs w:val="24"/>
        </w:rPr>
        <w:fldChar w:fldCharType="end"/>
      </w:r>
      <w:r>
        <w:rPr>
          <w:rStyle w:val="17"/>
          <w:rFonts w:hint="eastAsia" w:ascii="宋体" w:hAnsi="宋体"/>
          <w:b w:val="0"/>
          <w:color w:val="auto"/>
          <w:sz w:val="24"/>
          <w:szCs w:val="24"/>
          <w:lang w:val="en-US" w:eastAsia="zh-CN"/>
        </w:rPr>
        <w:t>0</w:t>
      </w:r>
    </w:p>
    <w:p w14:paraId="0A1C6717">
      <w:pPr>
        <w:pStyle w:val="11"/>
        <w:tabs>
          <w:tab w:val="right" w:leader="dot" w:pos="8664"/>
        </w:tabs>
        <w:wordWrap w:val="0"/>
        <w:spacing w:line="360" w:lineRule="auto"/>
        <w:rPr>
          <w:rStyle w:val="17"/>
          <w:rFonts w:hint="eastAsia" w:ascii="宋体" w:hAnsi="宋体"/>
          <w:b w:val="0"/>
          <w:color w:val="auto"/>
          <w:sz w:val="24"/>
          <w:szCs w:val="24"/>
          <w:lang w:val="en-US" w:eastAsia="zh-CN"/>
        </w:rPr>
      </w:pPr>
      <w:r>
        <w:rPr>
          <w:rStyle w:val="17"/>
          <w:rFonts w:ascii="宋体" w:hAnsi="宋体"/>
          <w:b w:val="0"/>
          <w:color w:val="auto"/>
          <w:sz w:val="24"/>
          <w:szCs w:val="24"/>
        </w:rPr>
        <w:fldChar w:fldCharType="begin"/>
      </w:r>
      <w:r>
        <w:rPr>
          <w:rStyle w:val="17"/>
          <w:rFonts w:ascii="宋体" w:hAnsi="宋体"/>
          <w:b w:val="0"/>
          <w:color w:val="auto"/>
          <w:sz w:val="24"/>
          <w:szCs w:val="24"/>
        </w:rPr>
        <w:instrText xml:space="preserve"> </w:instrText>
      </w:r>
      <w:r>
        <w:rPr>
          <w:rFonts w:ascii="宋体" w:hAnsi="宋体"/>
          <w:b w:val="0"/>
          <w:color w:val="auto"/>
          <w:sz w:val="24"/>
          <w:szCs w:val="24"/>
        </w:rPr>
        <w:instrText xml:space="preserve">HYPERLINK \l "_Toc180485653"</w:instrText>
      </w:r>
      <w:r>
        <w:rPr>
          <w:rStyle w:val="17"/>
          <w:rFonts w:ascii="宋体" w:hAnsi="宋体"/>
          <w:b w:val="0"/>
          <w:color w:val="auto"/>
          <w:sz w:val="24"/>
          <w:szCs w:val="24"/>
        </w:rPr>
        <w:instrText xml:space="preserve"> </w:instrText>
      </w:r>
      <w:r>
        <w:rPr>
          <w:rStyle w:val="17"/>
          <w:rFonts w:ascii="宋体" w:hAnsi="宋体"/>
          <w:b w:val="0"/>
          <w:color w:val="auto"/>
          <w:sz w:val="24"/>
          <w:szCs w:val="24"/>
        </w:rPr>
        <w:fldChar w:fldCharType="separate"/>
      </w:r>
      <w:r>
        <w:rPr>
          <w:rStyle w:val="17"/>
          <w:rFonts w:hint="eastAsia" w:ascii="宋体" w:hAnsi="宋体" w:cs="宋体"/>
          <w:b w:val="0"/>
          <w:color w:val="auto"/>
          <w:kern w:val="0"/>
          <w:sz w:val="24"/>
          <w:szCs w:val="24"/>
        </w:rPr>
        <w:t>第四章</w:t>
      </w:r>
      <w:r>
        <w:rPr>
          <w:rStyle w:val="17"/>
          <w:rFonts w:ascii="宋体" w:hAnsi="宋体" w:cs="宋体"/>
          <w:b w:val="0"/>
          <w:color w:val="auto"/>
          <w:kern w:val="0"/>
          <w:sz w:val="24"/>
          <w:szCs w:val="24"/>
        </w:rPr>
        <w:t xml:space="preserve"> </w:t>
      </w:r>
      <w:r>
        <w:rPr>
          <w:rStyle w:val="17"/>
          <w:rFonts w:hint="eastAsia" w:ascii="宋体" w:hAnsi="宋体" w:cs="宋体"/>
          <w:b w:val="0"/>
          <w:color w:val="auto"/>
          <w:kern w:val="0"/>
          <w:sz w:val="24"/>
          <w:szCs w:val="24"/>
          <w:lang w:val="en-US" w:eastAsia="zh-CN"/>
        </w:rPr>
        <w:t xml:space="preserve"> 定标方法</w:t>
      </w:r>
      <w:r>
        <w:rPr>
          <w:rStyle w:val="17"/>
          <w:rFonts w:ascii="宋体" w:hAnsi="宋体" w:cs="宋体"/>
          <w:b w:val="0"/>
          <w:color w:val="auto"/>
          <w:kern w:val="0"/>
          <w:sz w:val="24"/>
          <w:szCs w:val="24"/>
        </w:rPr>
        <w:t xml:space="preserve"> </w:t>
      </w:r>
      <w:r>
        <w:rPr>
          <w:rFonts w:hint="eastAsia" w:ascii="宋体" w:hAnsi="宋体"/>
          <w:b w:val="0"/>
          <w:color w:val="auto"/>
          <w:sz w:val="24"/>
          <w:szCs w:val="24"/>
          <w:lang w:val="en-US" w:eastAsia="zh-CN"/>
        </w:rPr>
        <w:t>.</w:t>
      </w:r>
      <w:r>
        <w:rPr>
          <w:rStyle w:val="17"/>
          <w:rFonts w:ascii="宋体" w:hAnsi="宋体"/>
          <w:b w:val="0"/>
          <w:color w:val="auto"/>
          <w:sz w:val="24"/>
          <w:szCs w:val="24"/>
        </w:rPr>
        <w:fldChar w:fldCharType="end"/>
      </w:r>
      <w:r>
        <w:rPr>
          <w:rStyle w:val="17"/>
          <w:rFonts w:hint="eastAsia" w:ascii="宋体" w:hAnsi="宋体"/>
          <w:b w:val="0"/>
          <w:color w:val="auto"/>
          <w:sz w:val="24"/>
          <w:szCs w:val="24"/>
          <w:lang w:val="en-US" w:eastAsia="zh-CN"/>
        </w:rPr>
        <w:t>.................................................40</w:t>
      </w:r>
    </w:p>
    <w:p w14:paraId="35E1DD6F">
      <w:pPr>
        <w:rPr>
          <w:rFonts w:hint="default"/>
          <w:lang w:val="en-US" w:eastAsia="zh-CN"/>
        </w:rPr>
      </w:pPr>
      <w:r>
        <w:rPr>
          <w:rStyle w:val="17"/>
          <w:rFonts w:hint="eastAsia" w:ascii="宋体" w:hAnsi="宋体"/>
          <w:b w:val="0"/>
          <w:color w:val="auto"/>
          <w:sz w:val="24"/>
          <w:szCs w:val="24"/>
          <w:lang w:val="en-US" w:eastAsia="zh-CN"/>
        </w:rPr>
        <w:t>第五章  合同条款及格式.............................................48</w:t>
      </w:r>
    </w:p>
    <w:p w14:paraId="740F1E87">
      <w:pPr>
        <w:pStyle w:val="11"/>
        <w:tabs>
          <w:tab w:val="right" w:leader="dot" w:pos="8664"/>
        </w:tabs>
        <w:wordWrap w:val="0"/>
        <w:spacing w:line="360" w:lineRule="auto"/>
        <w:rPr>
          <w:rStyle w:val="17"/>
          <w:rFonts w:hint="default" w:ascii="宋体" w:hAnsi="宋体" w:eastAsia="宋体"/>
          <w:b w:val="0"/>
          <w:color w:val="auto"/>
          <w:sz w:val="24"/>
          <w:szCs w:val="24"/>
          <w:lang w:val="en-US" w:eastAsia="zh-CN"/>
        </w:rPr>
      </w:pPr>
      <w:r>
        <w:rPr>
          <w:rStyle w:val="17"/>
          <w:rFonts w:ascii="宋体" w:hAnsi="宋体"/>
          <w:b w:val="0"/>
          <w:color w:val="auto"/>
          <w:sz w:val="24"/>
          <w:szCs w:val="24"/>
        </w:rPr>
        <w:t>第</w:t>
      </w:r>
      <w:r>
        <w:rPr>
          <w:rStyle w:val="17"/>
          <w:rFonts w:hint="eastAsia" w:ascii="宋体" w:hAnsi="宋体"/>
          <w:b w:val="0"/>
          <w:color w:val="auto"/>
          <w:sz w:val="24"/>
          <w:szCs w:val="24"/>
          <w:lang w:val="en-US" w:eastAsia="zh-CN"/>
        </w:rPr>
        <w:t>六</w:t>
      </w:r>
      <w:r>
        <w:rPr>
          <w:rStyle w:val="17"/>
          <w:rFonts w:ascii="宋体" w:hAnsi="宋体"/>
          <w:b w:val="0"/>
          <w:color w:val="auto"/>
          <w:sz w:val="24"/>
          <w:szCs w:val="24"/>
        </w:rPr>
        <w:t>章</w:t>
      </w:r>
      <w:r>
        <w:rPr>
          <w:rStyle w:val="17"/>
          <w:rFonts w:hint="eastAsia" w:ascii="宋体" w:hAnsi="宋体"/>
          <w:b w:val="0"/>
          <w:color w:val="auto"/>
          <w:sz w:val="24"/>
          <w:szCs w:val="24"/>
        </w:rPr>
        <w:t xml:space="preserve">  </w:t>
      </w:r>
      <w:r>
        <w:rPr>
          <w:rStyle w:val="17"/>
          <w:rFonts w:ascii="宋体" w:hAnsi="宋体"/>
          <w:b w:val="0"/>
          <w:color w:val="auto"/>
          <w:sz w:val="24"/>
          <w:szCs w:val="24"/>
        </w:rPr>
        <w:t>工程量清单</w:t>
      </w:r>
      <w:r>
        <w:rPr>
          <w:rStyle w:val="17"/>
          <w:rFonts w:hint="eastAsia" w:ascii="宋体" w:hAnsi="宋体"/>
          <w:b w:val="0"/>
          <w:color w:val="auto"/>
          <w:sz w:val="24"/>
          <w:szCs w:val="24"/>
          <w:lang w:val="en-US" w:eastAsia="zh-CN"/>
        </w:rPr>
        <w:t>.................................................89</w:t>
      </w:r>
    </w:p>
    <w:p w14:paraId="06BA64F3">
      <w:pPr>
        <w:pStyle w:val="11"/>
        <w:tabs>
          <w:tab w:val="right" w:leader="dot" w:pos="8664"/>
        </w:tabs>
        <w:wordWrap w:val="0"/>
        <w:spacing w:line="360" w:lineRule="auto"/>
        <w:rPr>
          <w:rFonts w:hint="eastAsia" w:ascii="宋体" w:hAnsi="宋体" w:eastAsia="宋体"/>
          <w:b w:val="0"/>
          <w:bCs w:val="0"/>
          <w:caps w:val="0"/>
          <w:color w:val="auto"/>
          <w:sz w:val="24"/>
          <w:szCs w:val="24"/>
          <w:lang w:val="en-US" w:eastAsia="zh-CN"/>
        </w:rPr>
      </w:pPr>
      <w:r>
        <w:rPr>
          <w:rStyle w:val="17"/>
          <w:rFonts w:ascii="宋体" w:hAnsi="宋体"/>
          <w:b w:val="0"/>
          <w:color w:val="auto"/>
          <w:sz w:val="24"/>
          <w:szCs w:val="24"/>
        </w:rPr>
        <w:fldChar w:fldCharType="begin"/>
      </w:r>
      <w:r>
        <w:rPr>
          <w:rStyle w:val="17"/>
          <w:rFonts w:ascii="宋体" w:hAnsi="宋体"/>
          <w:b w:val="0"/>
          <w:color w:val="auto"/>
          <w:sz w:val="24"/>
          <w:szCs w:val="24"/>
        </w:rPr>
        <w:instrText xml:space="preserve"> </w:instrText>
      </w:r>
      <w:r>
        <w:rPr>
          <w:rFonts w:ascii="宋体" w:hAnsi="宋体"/>
          <w:b w:val="0"/>
          <w:color w:val="auto"/>
          <w:sz w:val="24"/>
          <w:szCs w:val="24"/>
        </w:rPr>
        <w:instrText xml:space="preserve">HYPERLINK \l "_Toc180485656"</w:instrText>
      </w:r>
      <w:r>
        <w:rPr>
          <w:rStyle w:val="17"/>
          <w:rFonts w:ascii="宋体" w:hAnsi="宋体"/>
          <w:b w:val="0"/>
          <w:color w:val="auto"/>
          <w:sz w:val="24"/>
          <w:szCs w:val="24"/>
        </w:rPr>
        <w:instrText xml:space="preserve"> </w:instrText>
      </w:r>
      <w:r>
        <w:rPr>
          <w:rStyle w:val="17"/>
          <w:rFonts w:ascii="宋体" w:hAnsi="宋体"/>
          <w:b w:val="0"/>
          <w:color w:val="auto"/>
          <w:sz w:val="24"/>
          <w:szCs w:val="24"/>
        </w:rPr>
        <w:fldChar w:fldCharType="separate"/>
      </w:r>
      <w:r>
        <w:rPr>
          <w:rStyle w:val="17"/>
          <w:rFonts w:hint="eastAsia" w:ascii="宋体" w:hAnsi="宋体" w:cs="宋体"/>
          <w:b w:val="0"/>
          <w:color w:val="auto"/>
          <w:kern w:val="0"/>
          <w:sz w:val="24"/>
          <w:szCs w:val="24"/>
        </w:rPr>
        <w:t>第七章</w:t>
      </w:r>
      <w:r>
        <w:rPr>
          <w:rStyle w:val="17"/>
          <w:rFonts w:ascii="宋体" w:hAnsi="宋体" w:cs="宋体"/>
          <w:b w:val="0"/>
          <w:color w:val="auto"/>
          <w:kern w:val="0"/>
          <w:sz w:val="24"/>
          <w:szCs w:val="24"/>
        </w:rPr>
        <w:t xml:space="preserve">  </w:t>
      </w:r>
      <w:r>
        <w:rPr>
          <w:rStyle w:val="17"/>
          <w:rFonts w:hint="eastAsia" w:ascii="宋体" w:hAnsi="宋体" w:cs="宋体"/>
          <w:b w:val="0"/>
          <w:color w:val="auto"/>
          <w:kern w:val="0"/>
          <w:sz w:val="24"/>
          <w:szCs w:val="24"/>
        </w:rPr>
        <w:t>图纸</w:t>
      </w:r>
      <w:r>
        <w:rPr>
          <w:rFonts w:hint="eastAsia" w:ascii="宋体" w:hAnsi="宋体"/>
          <w:b w:val="0"/>
          <w:color w:val="auto"/>
          <w:sz w:val="24"/>
          <w:szCs w:val="24"/>
          <w:lang w:val="en-US" w:eastAsia="zh-CN"/>
        </w:rPr>
        <w:t>.......................................................9</w:t>
      </w:r>
      <w:r>
        <w:rPr>
          <w:rStyle w:val="17"/>
          <w:rFonts w:ascii="宋体" w:hAnsi="宋体"/>
          <w:b w:val="0"/>
          <w:color w:val="auto"/>
          <w:sz w:val="24"/>
          <w:szCs w:val="24"/>
        </w:rPr>
        <w:fldChar w:fldCharType="end"/>
      </w:r>
      <w:r>
        <w:rPr>
          <w:rStyle w:val="17"/>
          <w:rFonts w:hint="eastAsia" w:ascii="宋体" w:hAnsi="宋体"/>
          <w:b w:val="0"/>
          <w:color w:val="auto"/>
          <w:sz w:val="24"/>
          <w:szCs w:val="24"/>
          <w:lang w:val="en-US" w:eastAsia="zh-CN"/>
        </w:rPr>
        <w:t>0</w:t>
      </w:r>
    </w:p>
    <w:p w14:paraId="2B3390F4">
      <w:pPr>
        <w:pStyle w:val="11"/>
        <w:tabs>
          <w:tab w:val="right" w:leader="dot" w:pos="8664"/>
        </w:tabs>
        <w:wordWrap w:val="0"/>
        <w:spacing w:line="360" w:lineRule="auto"/>
        <w:rPr>
          <w:rStyle w:val="17"/>
          <w:rFonts w:hint="default" w:ascii="宋体" w:hAnsi="宋体" w:eastAsia="宋体" w:cs="宋体"/>
          <w:b w:val="0"/>
          <w:color w:val="auto"/>
          <w:kern w:val="0"/>
          <w:sz w:val="24"/>
          <w:szCs w:val="24"/>
          <w:lang w:val="en-US" w:eastAsia="zh-CN"/>
        </w:rPr>
      </w:pPr>
      <w:r>
        <w:rPr>
          <w:rStyle w:val="17"/>
          <w:rFonts w:ascii="宋体" w:hAnsi="宋体"/>
          <w:b w:val="0"/>
          <w:color w:val="auto"/>
          <w:sz w:val="24"/>
          <w:szCs w:val="24"/>
        </w:rPr>
        <w:fldChar w:fldCharType="begin"/>
      </w:r>
      <w:r>
        <w:rPr>
          <w:rStyle w:val="17"/>
          <w:rFonts w:ascii="宋体" w:hAnsi="宋体"/>
          <w:b w:val="0"/>
          <w:color w:val="auto"/>
          <w:sz w:val="24"/>
          <w:szCs w:val="24"/>
        </w:rPr>
        <w:instrText xml:space="preserve"> </w:instrText>
      </w:r>
      <w:r>
        <w:rPr>
          <w:rFonts w:ascii="宋体" w:hAnsi="宋体"/>
          <w:b w:val="0"/>
          <w:color w:val="auto"/>
          <w:sz w:val="24"/>
          <w:szCs w:val="24"/>
        </w:rPr>
        <w:instrText xml:space="preserve">HYPERLINK \l "_Toc180485657"</w:instrText>
      </w:r>
      <w:r>
        <w:rPr>
          <w:rStyle w:val="17"/>
          <w:rFonts w:ascii="宋体" w:hAnsi="宋体"/>
          <w:b w:val="0"/>
          <w:color w:val="auto"/>
          <w:sz w:val="24"/>
          <w:szCs w:val="24"/>
        </w:rPr>
        <w:instrText xml:space="preserve"> </w:instrText>
      </w:r>
      <w:r>
        <w:rPr>
          <w:rStyle w:val="17"/>
          <w:rFonts w:ascii="宋体" w:hAnsi="宋体"/>
          <w:b w:val="0"/>
          <w:color w:val="auto"/>
          <w:sz w:val="24"/>
          <w:szCs w:val="24"/>
        </w:rPr>
        <w:fldChar w:fldCharType="separate"/>
      </w:r>
      <w:r>
        <w:rPr>
          <w:rStyle w:val="17"/>
          <w:rFonts w:hint="eastAsia" w:ascii="宋体" w:hAnsi="宋体" w:cs="宋体"/>
          <w:b w:val="0"/>
          <w:color w:val="auto"/>
          <w:kern w:val="0"/>
          <w:sz w:val="24"/>
          <w:szCs w:val="24"/>
        </w:rPr>
        <w:t>第八章</w:t>
      </w:r>
      <w:r>
        <w:rPr>
          <w:rStyle w:val="17"/>
          <w:rFonts w:ascii="宋体" w:hAnsi="宋体" w:cs="宋体"/>
          <w:b w:val="0"/>
          <w:color w:val="auto"/>
          <w:kern w:val="0"/>
          <w:sz w:val="24"/>
          <w:szCs w:val="24"/>
        </w:rPr>
        <w:t xml:space="preserve">  </w:t>
      </w:r>
      <w:r>
        <w:rPr>
          <w:rStyle w:val="17"/>
          <w:rFonts w:hint="eastAsia" w:ascii="宋体" w:hAnsi="宋体" w:cs="宋体"/>
          <w:b w:val="0"/>
          <w:color w:val="auto"/>
          <w:kern w:val="0"/>
          <w:sz w:val="24"/>
          <w:szCs w:val="24"/>
        </w:rPr>
        <w:t>技术标准和要求</w:t>
      </w:r>
      <w:r>
        <w:rPr>
          <w:rFonts w:hint="eastAsia" w:ascii="宋体" w:hAnsi="宋体"/>
          <w:b w:val="0"/>
          <w:color w:val="auto"/>
          <w:sz w:val="24"/>
          <w:szCs w:val="24"/>
          <w:lang w:val="en-US" w:eastAsia="zh-CN"/>
        </w:rPr>
        <w:t>.............................................91</w:t>
      </w:r>
    </w:p>
    <w:p w14:paraId="21FAF78E">
      <w:pPr>
        <w:pStyle w:val="11"/>
        <w:tabs>
          <w:tab w:val="right" w:leader="dot" w:pos="8664"/>
        </w:tabs>
        <w:wordWrap w:val="0"/>
        <w:spacing w:line="360" w:lineRule="auto"/>
        <w:rPr>
          <w:rFonts w:hint="eastAsia" w:ascii="宋体" w:hAnsi="宋体" w:eastAsia="宋体"/>
          <w:b w:val="0"/>
          <w:bCs w:val="0"/>
          <w:caps w:val="0"/>
          <w:color w:val="auto"/>
          <w:sz w:val="24"/>
          <w:szCs w:val="24"/>
          <w:lang w:val="en-US" w:eastAsia="zh-CN"/>
        </w:rPr>
      </w:pPr>
      <w:r>
        <w:rPr>
          <w:rStyle w:val="17"/>
          <w:rFonts w:hint="eastAsia" w:ascii="宋体" w:hAnsi="宋体" w:cs="宋体"/>
          <w:b w:val="0"/>
          <w:color w:val="auto"/>
          <w:kern w:val="0"/>
          <w:sz w:val="24"/>
          <w:szCs w:val="24"/>
        </w:rPr>
        <w:t>第</w:t>
      </w:r>
      <w:r>
        <w:rPr>
          <w:rStyle w:val="17"/>
          <w:rFonts w:hint="eastAsia" w:ascii="宋体" w:hAnsi="宋体" w:cs="宋体"/>
          <w:b w:val="0"/>
          <w:color w:val="auto"/>
          <w:kern w:val="0"/>
          <w:sz w:val="24"/>
          <w:szCs w:val="24"/>
          <w:lang w:val="en-US" w:eastAsia="zh-CN"/>
        </w:rPr>
        <w:t>九</w:t>
      </w:r>
      <w:r>
        <w:rPr>
          <w:rStyle w:val="17"/>
          <w:rFonts w:hint="eastAsia" w:ascii="宋体" w:hAnsi="宋体" w:cs="宋体"/>
          <w:b w:val="0"/>
          <w:color w:val="auto"/>
          <w:kern w:val="0"/>
          <w:sz w:val="24"/>
          <w:szCs w:val="24"/>
        </w:rPr>
        <w:t>章</w:t>
      </w:r>
      <w:r>
        <w:rPr>
          <w:rStyle w:val="17"/>
          <w:rFonts w:hint="eastAsia" w:ascii="宋体" w:hAnsi="宋体" w:cs="宋体"/>
          <w:b w:val="0"/>
          <w:color w:val="auto"/>
          <w:kern w:val="0"/>
          <w:sz w:val="24"/>
          <w:szCs w:val="24"/>
          <w:lang w:val="en-US" w:eastAsia="zh-CN"/>
        </w:rPr>
        <w:t xml:space="preserve">  </w:t>
      </w:r>
      <w:r>
        <w:rPr>
          <w:rStyle w:val="17"/>
          <w:rFonts w:hint="eastAsia" w:ascii="宋体" w:hAnsi="宋体" w:cs="宋体"/>
          <w:b w:val="0"/>
          <w:color w:val="auto"/>
          <w:kern w:val="0"/>
          <w:sz w:val="24"/>
          <w:szCs w:val="24"/>
        </w:rPr>
        <w:t>投标文件格式</w:t>
      </w:r>
      <w:r>
        <w:rPr>
          <w:rFonts w:hint="eastAsia" w:ascii="宋体" w:hAnsi="宋体"/>
          <w:b w:val="0"/>
          <w:color w:val="auto"/>
          <w:sz w:val="24"/>
          <w:szCs w:val="24"/>
          <w:lang w:val="en-US" w:eastAsia="zh-CN"/>
        </w:rPr>
        <w:t>...............................................9</w:t>
      </w:r>
      <w:r>
        <w:rPr>
          <w:rStyle w:val="17"/>
          <w:rFonts w:ascii="宋体" w:hAnsi="宋体"/>
          <w:b w:val="0"/>
          <w:color w:val="auto"/>
          <w:sz w:val="24"/>
          <w:szCs w:val="24"/>
        </w:rPr>
        <w:fldChar w:fldCharType="end"/>
      </w:r>
      <w:r>
        <w:rPr>
          <w:rStyle w:val="17"/>
          <w:rFonts w:hint="eastAsia" w:ascii="宋体" w:hAnsi="宋体"/>
          <w:b w:val="0"/>
          <w:color w:val="auto"/>
          <w:sz w:val="24"/>
          <w:szCs w:val="24"/>
          <w:lang w:val="en-US" w:eastAsia="zh-CN"/>
        </w:rPr>
        <w:t>2</w:t>
      </w:r>
    </w:p>
    <w:p w14:paraId="1BEC472A">
      <w:pPr>
        <w:pStyle w:val="12"/>
        <w:tabs>
          <w:tab w:val="right" w:leader="dot" w:pos="9191"/>
        </w:tabs>
        <w:wordWrap w:val="0"/>
        <w:spacing w:line="360" w:lineRule="auto"/>
        <w:rPr>
          <w:rFonts w:ascii="宋体" w:hAnsi="宋体" w:cs="宋体"/>
          <w:smallCaps w:val="0"/>
          <w:color w:val="auto"/>
          <w:sz w:val="24"/>
          <w:szCs w:val="24"/>
        </w:rPr>
        <w:sectPr>
          <w:footerReference r:id="rId3" w:type="default"/>
          <w:pgSz w:w="11850" w:h="16783"/>
          <w:pgMar w:top="1276" w:right="1588" w:bottom="993" w:left="1588" w:header="567" w:footer="992" w:gutter="0"/>
          <w:pgNumType w:fmt="upperRoman" w:start="1"/>
          <w:cols w:space="720" w:num="1"/>
        </w:sectPr>
      </w:pPr>
      <w:r>
        <w:rPr>
          <w:rFonts w:ascii="宋体" w:hAnsi="宋体"/>
          <w:color w:val="auto"/>
          <w:sz w:val="24"/>
          <w:szCs w:val="24"/>
        </w:rPr>
        <w:fldChar w:fldCharType="end"/>
      </w:r>
      <w:bookmarkEnd w:id="12"/>
      <w:bookmarkEnd w:id="13"/>
      <w:bookmarkEnd w:id="14"/>
    </w:p>
    <w:bookmarkEnd w:id="4"/>
    <w:bookmarkEnd w:id="5"/>
    <w:bookmarkEnd w:id="6"/>
    <w:bookmarkEnd w:id="7"/>
    <w:bookmarkEnd w:id="8"/>
    <w:bookmarkEnd w:id="9"/>
    <w:bookmarkEnd w:id="10"/>
    <w:bookmarkEnd w:id="11"/>
    <w:p w14:paraId="629A2A91">
      <w:pPr>
        <w:pStyle w:val="2"/>
        <w:wordWrap w:val="0"/>
        <w:spacing w:line="240" w:lineRule="auto"/>
        <w:jc w:val="center"/>
        <w:rPr>
          <w:rFonts w:ascii="宋体" w:hAnsi="宋体" w:cs="宋体"/>
          <w:bCs w:val="0"/>
          <w:color w:val="auto"/>
          <w:kern w:val="0"/>
          <w:sz w:val="30"/>
          <w:szCs w:val="30"/>
        </w:rPr>
      </w:pPr>
      <w:bookmarkStart w:id="15" w:name="_Toc180485648"/>
      <w:bookmarkStart w:id="16" w:name="_Toc83750124"/>
      <w:bookmarkStart w:id="17" w:name="_Toc191983613"/>
      <w:bookmarkStart w:id="18" w:name="_Toc190678808"/>
      <w:bookmarkStart w:id="19" w:name="_Toc480565836"/>
      <w:bookmarkStart w:id="20" w:name="_Toc817"/>
      <w:bookmarkStart w:id="21" w:name="_Toc49867346"/>
      <w:bookmarkStart w:id="22" w:name="_Toc16409"/>
      <w:bookmarkStart w:id="23" w:name="_Toc466303889"/>
      <w:bookmarkStart w:id="24" w:name="_Toc26417"/>
      <w:bookmarkStart w:id="25" w:name="_Toc354753243"/>
      <w:bookmarkStart w:id="26" w:name="_Toc291089182"/>
      <w:r>
        <w:rPr>
          <w:rFonts w:hint="eastAsia" w:ascii="宋体" w:hAnsi="宋体" w:cs="宋体"/>
          <w:bCs w:val="0"/>
          <w:color w:val="auto"/>
          <w:kern w:val="0"/>
          <w:sz w:val="30"/>
          <w:szCs w:val="30"/>
        </w:rPr>
        <w:t>第一章  招标公告</w:t>
      </w:r>
      <w:bookmarkEnd w:id="15"/>
      <w:bookmarkEnd w:id="16"/>
    </w:p>
    <w:p w14:paraId="2FB8B449">
      <w:pPr>
        <w:keepNext w:val="0"/>
        <w:keepLines w:val="0"/>
        <w:pageBreakBefore w:val="0"/>
        <w:kinsoku/>
        <w:wordWrap w:val="0"/>
        <w:overflowPunct/>
        <w:topLinePunct w:val="0"/>
        <w:autoSpaceDE/>
        <w:autoSpaceDN/>
        <w:bidi w:val="0"/>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spacing w:val="0"/>
          <w:kern w:val="0"/>
          <w:sz w:val="24"/>
          <w:lang w:eastAsia="zh-CN"/>
        </w:rPr>
        <w:t>G209线卢氏县灵卢界至官道口镇(K1427+015-K1436+956)、五里川镇漂池至三南界(K1534+000-K1563+417)段路面预防养护工程</w:t>
      </w:r>
      <w:r>
        <w:rPr>
          <w:rFonts w:hint="eastAsia" w:ascii="宋体" w:hAnsi="宋体" w:cs="宋体"/>
          <w:color w:val="auto"/>
          <w:spacing w:val="0"/>
          <w:kern w:val="0"/>
          <w:sz w:val="24"/>
        </w:rPr>
        <w:t>已经有关部门批准建设，</w:t>
      </w:r>
      <w:r>
        <w:rPr>
          <w:rFonts w:hint="eastAsia" w:ascii="宋体" w:hAnsi="宋体" w:cs="宋体"/>
          <w:color w:val="auto"/>
          <w:kern w:val="0"/>
          <w:sz w:val="24"/>
        </w:rPr>
        <w:t>本项目已具备招标条件，</w:t>
      </w:r>
      <w:r>
        <w:rPr>
          <w:rFonts w:hint="eastAsia" w:ascii="宋体" w:hAnsi="宋体" w:cs="宋体"/>
          <w:color w:val="auto"/>
          <w:kern w:val="0"/>
          <w:sz w:val="24"/>
          <w:lang w:eastAsia="zh-CN"/>
        </w:rPr>
        <w:t>兴建建设管理有限公司</w:t>
      </w:r>
      <w:r>
        <w:rPr>
          <w:rFonts w:hint="eastAsia" w:ascii="宋体" w:hAnsi="宋体" w:cs="宋体"/>
          <w:color w:val="auto"/>
          <w:kern w:val="0"/>
          <w:sz w:val="24"/>
        </w:rPr>
        <w:t>受</w:t>
      </w:r>
      <w:r>
        <w:rPr>
          <w:rFonts w:hint="eastAsia" w:ascii="宋体" w:hAnsi="宋体" w:cs="宋体"/>
          <w:color w:val="auto"/>
          <w:kern w:val="0"/>
          <w:sz w:val="24"/>
          <w:lang w:eastAsia="zh-CN"/>
        </w:rPr>
        <w:t>卢氏县公路事业发展中心</w:t>
      </w:r>
      <w:r>
        <w:rPr>
          <w:rFonts w:hint="eastAsia" w:ascii="宋体" w:hAnsi="宋体" w:cs="宋体"/>
          <w:color w:val="auto"/>
          <w:kern w:val="0"/>
          <w:sz w:val="24"/>
        </w:rPr>
        <w:t>委托，现对该项目进行公开招标。</w:t>
      </w:r>
    </w:p>
    <w:p w14:paraId="03FD59A8">
      <w:pPr>
        <w:keepNext w:val="0"/>
        <w:keepLines w:val="0"/>
        <w:pageBreakBefore w:val="0"/>
        <w:kinsoku/>
        <w:wordWrap w:val="0"/>
        <w:overflowPunct/>
        <w:topLinePunct w:val="0"/>
        <w:autoSpaceDE/>
        <w:autoSpaceDN/>
        <w:bidi w:val="0"/>
        <w:spacing w:line="440" w:lineRule="exact"/>
        <w:ind w:firstLine="482" w:firstLineChars="200"/>
        <w:jc w:val="left"/>
        <w:textAlignment w:val="auto"/>
        <w:rPr>
          <w:rFonts w:ascii="宋体" w:hAnsi="宋体" w:cs="宋体"/>
          <w:b/>
          <w:bCs/>
          <w:color w:val="auto"/>
          <w:kern w:val="0"/>
          <w:sz w:val="24"/>
        </w:rPr>
      </w:pPr>
      <w:r>
        <w:rPr>
          <w:rFonts w:hint="eastAsia" w:ascii="宋体" w:hAnsi="宋体" w:cs="宋体"/>
          <w:b/>
          <w:bCs/>
          <w:color w:val="auto"/>
          <w:kern w:val="0"/>
          <w:sz w:val="24"/>
        </w:rPr>
        <w:t>一、项目概况与招标范围</w:t>
      </w:r>
    </w:p>
    <w:p w14:paraId="524CE631">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lang w:eastAsia="zh-CN"/>
        </w:rPr>
      </w:pPr>
      <w:r>
        <w:rPr>
          <w:rFonts w:hint="eastAsia" w:ascii="宋体" w:hAnsi="宋体" w:cs="宋体"/>
          <w:color w:val="auto"/>
          <w:kern w:val="0"/>
          <w:sz w:val="24"/>
        </w:rPr>
        <w:t>1、招标人：</w:t>
      </w:r>
      <w:r>
        <w:rPr>
          <w:rFonts w:hint="eastAsia" w:ascii="宋体" w:hAnsi="宋体" w:cs="宋体"/>
          <w:color w:val="auto"/>
          <w:kern w:val="0"/>
          <w:sz w:val="24"/>
          <w:lang w:eastAsia="zh-CN"/>
        </w:rPr>
        <w:t>卢氏县公路事业发展中心；</w:t>
      </w:r>
    </w:p>
    <w:p w14:paraId="7AC56FAD">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lang w:eastAsia="zh-CN"/>
        </w:rPr>
      </w:pPr>
      <w:r>
        <w:rPr>
          <w:rFonts w:hint="eastAsia" w:ascii="宋体" w:hAnsi="宋体" w:cs="宋体"/>
          <w:color w:val="auto"/>
          <w:kern w:val="0"/>
          <w:sz w:val="24"/>
        </w:rPr>
        <w:t>2、项目名称：</w:t>
      </w:r>
      <w:r>
        <w:rPr>
          <w:rFonts w:hint="eastAsia" w:ascii="宋体" w:hAnsi="宋体" w:cs="宋体"/>
          <w:color w:val="auto"/>
          <w:kern w:val="0"/>
          <w:sz w:val="24"/>
          <w:lang w:eastAsia="zh-CN"/>
        </w:rPr>
        <w:t>G209线卢氏县灵卢界至官道口镇(K1427+015-K1436+956)、五里川镇漂池至三南界(K1534+000-K1563+417)段路面预防养护工程；</w:t>
      </w:r>
    </w:p>
    <w:p w14:paraId="0A9738DD">
      <w:pPr>
        <w:keepNext w:val="0"/>
        <w:keepLines w:val="0"/>
        <w:pageBreakBefore w:val="0"/>
        <w:kinsoku/>
        <w:wordWrap w:val="0"/>
        <w:overflowPunct/>
        <w:topLinePunct w:val="0"/>
        <w:autoSpaceDE/>
        <w:autoSpaceDN/>
        <w:bidi w:val="0"/>
        <w:spacing w:line="440" w:lineRule="exact"/>
        <w:ind w:firstLine="480" w:firstLineChars="200"/>
        <w:textAlignment w:val="auto"/>
        <w:rPr>
          <w:rFonts w:hint="default" w:ascii="宋体" w:hAnsi="宋体" w:eastAsia="宋体" w:cs="宋体"/>
          <w:color w:val="auto"/>
          <w:kern w:val="0"/>
          <w:sz w:val="24"/>
          <w:highlight w:val="yellow"/>
          <w:lang w:val="en-US" w:eastAsia="zh-CN"/>
        </w:rPr>
      </w:pPr>
      <w:r>
        <w:rPr>
          <w:rFonts w:hint="eastAsia" w:ascii="宋体" w:hAnsi="宋体" w:cs="宋体"/>
          <w:color w:val="auto"/>
          <w:kern w:val="0"/>
          <w:sz w:val="24"/>
        </w:rPr>
        <w:t>3、项目编号：</w:t>
      </w:r>
      <w:r>
        <w:rPr>
          <w:rFonts w:hint="eastAsia" w:ascii="宋体" w:hAnsi="宋体" w:cs="宋体"/>
          <w:color w:val="auto"/>
          <w:kern w:val="0"/>
          <w:sz w:val="24"/>
          <w:lang w:val="en-US" w:eastAsia="zh-CN"/>
        </w:rPr>
        <w:t>三卢公开采购-2026-7、</w:t>
      </w:r>
      <w:r>
        <w:rPr>
          <w:rFonts w:hint="eastAsia" w:ascii="宋体" w:hAnsi="宋体" w:cs="宋体"/>
          <w:color w:val="auto"/>
          <w:kern w:val="0"/>
          <w:sz w:val="24"/>
        </w:rPr>
        <w:t>LSGZ[2026]023-GC006</w:t>
      </w:r>
    </w:p>
    <w:p w14:paraId="755E85A6">
      <w:pPr>
        <w:keepNext w:val="0"/>
        <w:keepLines w:val="0"/>
        <w:pageBreakBefore w:val="0"/>
        <w:kinsoku/>
        <w:wordWrap w:val="0"/>
        <w:overflowPunct/>
        <w:topLinePunct w:val="0"/>
        <w:autoSpaceDE/>
        <w:autoSpaceDN/>
        <w:bidi w:val="0"/>
        <w:spacing w:line="440" w:lineRule="exact"/>
        <w:ind w:firstLine="480" w:firstLineChars="200"/>
        <w:textAlignment w:val="auto"/>
        <w:rPr>
          <w:rFonts w:hint="default" w:ascii="宋体" w:hAnsi="宋体"/>
          <w:color w:val="0000FF"/>
          <w:sz w:val="24"/>
          <w:lang w:val="en-US" w:eastAsia="zh-CN"/>
        </w:rPr>
      </w:pPr>
      <w:r>
        <w:rPr>
          <w:rFonts w:hint="eastAsia" w:ascii="宋体" w:hAnsi="宋体" w:cs="宋体"/>
          <w:color w:val="auto"/>
          <w:kern w:val="0"/>
          <w:sz w:val="24"/>
        </w:rPr>
        <w:t>4、项目概况：</w:t>
      </w:r>
      <w:r>
        <w:rPr>
          <w:rFonts w:hint="eastAsia" w:ascii="宋体" w:hAnsi="宋体" w:cs="宋体"/>
          <w:color w:val="auto"/>
          <w:kern w:val="0"/>
          <w:sz w:val="24"/>
          <w:lang w:eastAsia="zh-CN"/>
        </w:rPr>
        <w:t>本项目位于三门峡市卢氏县，共分两段。第一段起点位于G209线灵卢交界处，起点桩号K1427+015，路线向南经陈家凹、秋凉河村、百间房村、赵家坪，至官道口镇结束，终点号K1436+956，路线长9.941公里，二级公路，设计速度40km/h,路基宽度13.0米，路面宽度12.0米，沥青混凝土路面，最近一次修复时间为2018年。第二段起点位于五里川镇漂池村，起点桩号K1534+000，路线向南经耿家店村、郭家坪、瓦窑沟、两岔河、龙泉坪村、胡家坪村，至瓦密沟乡三南交界处结束，终点号K1563+417,路线长29.417公里,二级公路,设计速度 40km/h,路基宽度8.5米，路面宽度8.0米，沥青混凝土路面，最近一次改建时间为2015年。两段路线长度共39.358公里。</w:t>
      </w:r>
      <w:r>
        <w:rPr>
          <w:rFonts w:hint="eastAsia" w:ascii="宋体" w:hAnsi="宋体" w:cs="宋体"/>
          <w:color w:val="auto"/>
          <w:kern w:val="0"/>
          <w:sz w:val="24"/>
          <w:lang w:val="en-US" w:eastAsia="zh-CN"/>
        </w:rPr>
        <w:t>现对该段</w:t>
      </w:r>
      <w:r>
        <w:rPr>
          <w:rFonts w:hint="eastAsia" w:ascii="宋体" w:hAnsi="宋体" w:cs="宋体"/>
          <w:color w:val="auto"/>
          <w:kern w:val="0"/>
          <w:sz w:val="24"/>
          <w:lang w:val="zh-CN" w:eastAsia="zh-CN"/>
        </w:rPr>
        <w:t>路面预防养护工程</w:t>
      </w:r>
      <w:r>
        <w:rPr>
          <w:rFonts w:hint="eastAsia" w:ascii="宋体" w:hAnsi="宋体" w:cs="宋体"/>
          <w:color w:val="auto"/>
          <w:kern w:val="0"/>
          <w:sz w:val="24"/>
          <w:lang w:val="en-US" w:eastAsia="zh-CN"/>
        </w:rPr>
        <w:t>进行施工。</w:t>
      </w:r>
      <w:r>
        <w:rPr>
          <w:rFonts w:hint="eastAsia" w:ascii="宋体" w:hAnsi="宋体" w:cs="宋体"/>
          <w:i w:val="0"/>
          <w:iCs w:val="0"/>
          <w:caps w:val="0"/>
          <w:color w:val="000000"/>
          <w:spacing w:val="0"/>
          <w:sz w:val="24"/>
          <w:szCs w:val="24"/>
          <w:lang w:val="en-US" w:eastAsia="zh-CN"/>
        </w:rPr>
        <w:t>具体建设内容详见清单及图纸</w:t>
      </w:r>
      <w:r>
        <w:rPr>
          <w:rFonts w:hint="eastAsia" w:ascii="仿宋" w:hAnsi="仿宋" w:eastAsia="仿宋" w:cs="仿宋"/>
          <w:sz w:val="28"/>
          <w:szCs w:val="28"/>
          <w:lang w:val="en-US" w:eastAsia="zh-CN"/>
        </w:rPr>
        <w:t xml:space="preserve"> 。</w:t>
      </w:r>
    </w:p>
    <w:p w14:paraId="2B02FF51">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sz w:val="24"/>
          <w:szCs w:val="24"/>
          <w:lang w:eastAsia="zh-CN"/>
        </w:rPr>
      </w:pPr>
      <w:r>
        <w:rPr>
          <w:rFonts w:hint="eastAsia" w:ascii="宋体" w:hAnsi="宋体"/>
          <w:color w:val="auto"/>
          <w:sz w:val="24"/>
        </w:rPr>
        <w:t>5、</w:t>
      </w:r>
      <w:r>
        <w:rPr>
          <w:rFonts w:hint="eastAsia" w:ascii="宋体" w:hAnsi="宋体"/>
          <w:sz w:val="24"/>
          <w:szCs w:val="24"/>
        </w:rPr>
        <w:t>招标范围：</w:t>
      </w:r>
      <w:r>
        <w:rPr>
          <w:rFonts w:hint="eastAsia" w:ascii="宋体" w:hAnsi="宋体"/>
          <w:sz w:val="24"/>
          <w:szCs w:val="24"/>
          <w:lang w:eastAsia="zh-CN"/>
        </w:rPr>
        <w:t>本项目招标文件、图纸及工程量清单的所有内容。</w:t>
      </w:r>
    </w:p>
    <w:p w14:paraId="1D22D604">
      <w:pPr>
        <w:keepNext w:val="0"/>
        <w:keepLines w:val="0"/>
        <w:pageBreakBefore w:val="0"/>
        <w:kinsoku/>
        <w:wordWrap w:val="0"/>
        <w:overflowPunct/>
        <w:topLinePunct w:val="0"/>
        <w:autoSpaceDE/>
        <w:autoSpaceDN/>
        <w:bidi w:val="0"/>
        <w:spacing w:line="440" w:lineRule="exact"/>
        <w:ind w:firstLine="480" w:firstLineChars="200"/>
        <w:textAlignment w:val="auto"/>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标段划分：一个标段；</w:t>
      </w:r>
    </w:p>
    <w:p w14:paraId="3F201579">
      <w:pPr>
        <w:keepNext w:val="0"/>
        <w:keepLines w:val="0"/>
        <w:pageBreakBefore w:val="0"/>
        <w:widowControl/>
        <w:kinsoku/>
        <w:wordWrap w:val="0"/>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kern w:val="0"/>
          <w:sz w:val="24"/>
          <w:highlight w:val="yellow"/>
        </w:rPr>
      </w:pPr>
      <w:r>
        <w:rPr>
          <w:rFonts w:hint="eastAsia" w:ascii="宋体" w:hAnsi="宋体" w:cs="宋体"/>
          <w:color w:val="auto"/>
          <w:kern w:val="0"/>
          <w:sz w:val="24"/>
          <w:lang w:val="en-US" w:eastAsia="zh-CN"/>
        </w:rPr>
        <w:t>7、</w:t>
      </w:r>
      <w:r>
        <w:rPr>
          <w:rFonts w:hint="eastAsia" w:ascii="宋体" w:hAnsi="宋体" w:cs="宋体"/>
          <w:color w:val="auto"/>
          <w:kern w:val="0"/>
          <w:sz w:val="24"/>
        </w:rPr>
        <w:t>招标控制价</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16435690.59</w:t>
      </w:r>
      <w:r>
        <w:rPr>
          <w:rFonts w:hint="eastAsia" w:ascii="宋体" w:hAnsi="宋体" w:cs="宋体"/>
          <w:color w:val="auto"/>
          <w:kern w:val="0"/>
          <w:sz w:val="24"/>
          <w:lang w:eastAsia="zh-CN"/>
        </w:rPr>
        <w:t>元；</w:t>
      </w:r>
    </w:p>
    <w:p w14:paraId="3EF4991A">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color w:val="auto"/>
          <w:sz w:val="24"/>
        </w:rPr>
      </w:pPr>
      <w:r>
        <w:rPr>
          <w:rFonts w:hint="eastAsia" w:ascii="宋体" w:hAnsi="宋体"/>
          <w:color w:val="auto"/>
          <w:sz w:val="24"/>
          <w:lang w:val="en-US" w:eastAsia="zh-CN"/>
        </w:rPr>
        <w:t>8</w:t>
      </w:r>
      <w:r>
        <w:rPr>
          <w:rFonts w:hint="eastAsia" w:ascii="宋体" w:hAnsi="宋体"/>
          <w:color w:val="auto"/>
          <w:sz w:val="24"/>
        </w:rPr>
        <w:t>、资金来源：</w:t>
      </w:r>
      <w:r>
        <w:rPr>
          <w:rFonts w:hint="eastAsia" w:ascii="宋体" w:hAnsi="宋体"/>
          <w:color w:val="auto"/>
          <w:sz w:val="24"/>
          <w:lang w:eastAsia="zh-CN"/>
        </w:rPr>
        <w:t>财政资金</w:t>
      </w:r>
      <w:r>
        <w:rPr>
          <w:rFonts w:hint="eastAsia" w:ascii="宋体" w:hAnsi="宋体"/>
          <w:color w:val="auto"/>
          <w:sz w:val="24"/>
        </w:rPr>
        <w:t>，已落实；</w:t>
      </w:r>
    </w:p>
    <w:p w14:paraId="217295C2">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计划工期：</w:t>
      </w:r>
      <w:r>
        <w:rPr>
          <w:rFonts w:hint="eastAsia" w:ascii="宋体" w:hAnsi="宋体"/>
          <w:color w:val="auto"/>
          <w:sz w:val="24"/>
          <w:highlight w:val="none"/>
          <w:lang w:val="en-US" w:eastAsia="zh-CN"/>
        </w:rPr>
        <w:t>30日历天</w:t>
      </w:r>
      <w:r>
        <w:rPr>
          <w:rFonts w:hint="eastAsia" w:ascii="宋体" w:hAnsi="宋体"/>
          <w:color w:val="auto"/>
          <w:sz w:val="24"/>
        </w:rPr>
        <w:t>；</w:t>
      </w:r>
    </w:p>
    <w:p w14:paraId="4A08A7C4">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、质量要求：达到国家现行建设工程施工质量验收规范合格标准；</w:t>
      </w:r>
    </w:p>
    <w:p w14:paraId="58F448A3">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color w:val="auto"/>
          <w:sz w:val="24"/>
        </w:rPr>
      </w:pPr>
      <w:r>
        <w:rPr>
          <w:rFonts w:hint="eastAsia" w:ascii="宋体" w:hAnsi="宋体"/>
          <w:color w:val="auto"/>
          <w:sz w:val="24"/>
          <w:lang w:val="en-US" w:eastAsia="zh-CN"/>
        </w:rPr>
        <w:t>11</w:t>
      </w:r>
      <w:r>
        <w:rPr>
          <w:rFonts w:hint="eastAsia" w:ascii="宋体" w:hAnsi="宋体"/>
          <w:color w:val="auto"/>
          <w:sz w:val="24"/>
        </w:rPr>
        <w:t>、保修期限：按国家质保期执行；</w:t>
      </w:r>
    </w:p>
    <w:p w14:paraId="074CDCD2">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lang w:val="en-US" w:eastAsia="zh-CN"/>
        </w:rPr>
        <w:t>12</w:t>
      </w:r>
      <w:r>
        <w:rPr>
          <w:rFonts w:hint="eastAsia" w:ascii="宋体" w:hAnsi="宋体"/>
          <w:color w:val="auto"/>
          <w:sz w:val="24"/>
        </w:rPr>
        <w:t>、建设地点：</w:t>
      </w:r>
      <w:r>
        <w:rPr>
          <w:rFonts w:hint="eastAsia" w:ascii="宋体" w:hAnsi="宋体"/>
          <w:color w:val="auto"/>
          <w:sz w:val="24"/>
          <w:lang w:eastAsia="zh-CN"/>
        </w:rPr>
        <w:t>卢氏县；</w:t>
      </w:r>
    </w:p>
    <w:p w14:paraId="4A640491">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13、本项目采用评定分离方式</w:t>
      </w:r>
      <w:r>
        <w:rPr>
          <w:rFonts w:hint="eastAsia" w:ascii="宋体" w:hAnsi="宋体" w:cs="宋体"/>
          <w:sz w:val="24"/>
        </w:rPr>
        <w:t>，定标方法：核查随机法</w:t>
      </w:r>
    </w:p>
    <w:p w14:paraId="415777B1">
      <w:pPr>
        <w:keepNext w:val="0"/>
        <w:keepLines w:val="0"/>
        <w:pageBreakBefore w:val="0"/>
        <w:kinsoku/>
        <w:wordWrap w:val="0"/>
        <w:overflowPunct/>
        <w:topLinePunct w:val="0"/>
        <w:autoSpaceDE/>
        <w:autoSpaceDN/>
        <w:bidi w:val="0"/>
        <w:spacing w:line="440" w:lineRule="exact"/>
        <w:ind w:firstLine="482" w:firstLineChars="200"/>
        <w:jc w:val="left"/>
        <w:textAlignment w:val="auto"/>
        <w:rPr>
          <w:rFonts w:ascii="宋体" w:hAnsi="宋体" w:cs="宋体"/>
          <w:b/>
          <w:bCs/>
          <w:color w:val="auto"/>
          <w:kern w:val="0"/>
          <w:sz w:val="24"/>
        </w:rPr>
      </w:pPr>
      <w:r>
        <w:rPr>
          <w:rFonts w:hint="eastAsia" w:ascii="宋体" w:hAnsi="宋体" w:cs="宋体"/>
          <w:b/>
          <w:bCs/>
          <w:color w:val="auto"/>
          <w:kern w:val="0"/>
          <w:sz w:val="24"/>
        </w:rPr>
        <w:t>二、投标人资格要求</w:t>
      </w:r>
    </w:p>
    <w:p w14:paraId="7838E08E">
      <w:pPr>
        <w:keepNext w:val="0"/>
        <w:keepLines w:val="0"/>
        <w:pageBreakBefore w:val="0"/>
        <w:kinsoku/>
        <w:wordWrap w:val="0"/>
        <w:overflowPunct/>
        <w:topLinePunct w:val="0"/>
        <w:autoSpaceDE/>
        <w:autoSpaceDN/>
        <w:bidi w:val="0"/>
        <w:spacing w:line="440" w:lineRule="exact"/>
        <w:ind w:firstLine="480" w:firstLineChars="200"/>
        <w:textAlignment w:val="auto"/>
        <w:rPr>
          <w:rFonts w:ascii="宋体" w:hAnsi="宋体" w:cs="宋体"/>
          <w:color w:val="auto"/>
          <w:kern w:val="0"/>
          <w:sz w:val="24"/>
        </w:rPr>
      </w:pPr>
      <w:bookmarkStart w:id="27" w:name="_Toc405923063"/>
      <w:bookmarkEnd w:id="27"/>
      <w:bookmarkStart w:id="28" w:name="_Toc463945937"/>
      <w:bookmarkEnd w:id="28"/>
      <w:bookmarkStart w:id="29" w:name="_Toc25303"/>
      <w:bookmarkEnd w:id="29"/>
      <w:bookmarkStart w:id="30" w:name="_Toc474935692"/>
      <w:bookmarkEnd w:id="30"/>
      <w:r>
        <w:rPr>
          <w:rFonts w:hint="eastAsia" w:ascii="宋体" w:hAnsi="宋体"/>
          <w:bCs/>
          <w:color w:val="auto"/>
          <w:sz w:val="24"/>
        </w:rPr>
        <w:t>1、</w:t>
      </w:r>
      <w:r>
        <w:rPr>
          <w:rFonts w:hint="eastAsia" w:ascii="宋体" w:hAnsi="宋体" w:cs="宋体"/>
          <w:color w:val="auto"/>
          <w:kern w:val="0"/>
          <w:sz w:val="24"/>
        </w:rPr>
        <w:t>投标人须具备独立法人资格，持有合法有效的营业执照；</w:t>
      </w:r>
    </w:p>
    <w:p w14:paraId="1659ADBF">
      <w:pPr>
        <w:keepNext w:val="0"/>
        <w:keepLines w:val="0"/>
        <w:pageBreakBefore w:val="0"/>
        <w:kinsoku/>
        <w:wordWrap w:val="0"/>
        <w:overflowPunct/>
        <w:topLinePunct w:val="0"/>
        <w:autoSpaceDE/>
        <w:autoSpaceDN/>
        <w:bidi w:val="0"/>
        <w:spacing w:line="440" w:lineRule="exact"/>
        <w:ind w:firstLine="480" w:firstLineChars="200"/>
        <w:textAlignment w:val="auto"/>
        <w:rPr>
          <w:rFonts w:ascii="宋体" w:hAnsi="宋体"/>
          <w:bCs/>
          <w:color w:val="auto"/>
          <w:sz w:val="24"/>
        </w:rPr>
      </w:pPr>
      <w:r>
        <w:rPr>
          <w:rFonts w:hint="eastAsia" w:ascii="宋体" w:hAnsi="宋体"/>
          <w:bCs/>
          <w:color w:val="auto"/>
          <w:sz w:val="24"/>
        </w:rPr>
        <w:t>2、投标人应具备路基路面养护乙级及以上资质，且具有有效的安全生产许可证；</w:t>
      </w:r>
    </w:p>
    <w:p w14:paraId="01CCB664">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bCs/>
          <w:color w:val="auto"/>
          <w:sz w:val="24"/>
        </w:rPr>
      </w:pPr>
      <w:r>
        <w:rPr>
          <w:rFonts w:hint="eastAsia" w:ascii="宋体" w:hAnsi="宋体"/>
          <w:bCs/>
          <w:color w:val="auto"/>
          <w:sz w:val="24"/>
        </w:rPr>
        <w:t>3、拟派项目经理须具备公路工程专业贰级及以上注册建造师资格、且具有有效的安全生产考核合格证并出具项目经理无在建工程承诺书（提供202</w:t>
      </w:r>
      <w:r>
        <w:rPr>
          <w:rFonts w:hint="eastAsia" w:ascii="宋体" w:hAnsi="宋体"/>
          <w:bCs/>
          <w:color w:val="auto"/>
          <w:sz w:val="24"/>
          <w:lang w:val="en-US" w:eastAsia="zh-CN"/>
        </w:rPr>
        <w:t>6</w:t>
      </w:r>
      <w:r>
        <w:rPr>
          <w:rFonts w:hint="eastAsia" w:ascii="宋体" w:hAnsi="宋体"/>
          <w:bCs/>
          <w:color w:val="auto"/>
          <w:sz w:val="24"/>
        </w:rPr>
        <w:t>年任意</w:t>
      </w:r>
      <w:r>
        <w:rPr>
          <w:rFonts w:hint="eastAsia" w:ascii="宋体" w:hAnsi="宋体"/>
          <w:bCs/>
          <w:color w:val="auto"/>
          <w:sz w:val="24"/>
          <w:lang w:val="en-US" w:eastAsia="zh-CN"/>
        </w:rPr>
        <w:t>一个月</w:t>
      </w:r>
      <w:r>
        <w:rPr>
          <w:rFonts w:hint="eastAsia" w:ascii="宋体" w:hAnsi="宋体"/>
          <w:bCs/>
          <w:color w:val="auto"/>
          <w:sz w:val="24"/>
        </w:rPr>
        <w:t>养老保险证明）；</w:t>
      </w:r>
    </w:p>
    <w:p w14:paraId="2E2E5706">
      <w:pPr>
        <w:keepNext w:val="0"/>
        <w:keepLines w:val="0"/>
        <w:pageBreakBefore w:val="0"/>
        <w:kinsoku/>
        <w:wordWrap w:val="0"/>
        <w:overflowPunct/>
        <w:topLinePunct w:val="0"/>
        <w:autoSpaceDE/>
        <w:autoSpaceDN/>
        <w:bidi w:val="0"/>
        <w:spacing w:line="440" w:lineRule="exact"/>
        <w:ind w:firstLine="480" w:firstLineChars="200"/>
        <w:textAlignment w:val="auto"/>
        <w:rPr>
          <w:rFonts w:ascii="宋体" w:hAnsi="宋体"/>
          <w:bCs/>
          <w:color w:val="auto"/>
          <w:sz w:val="24"/>
        </w:rPr>
      </w:pPr>
      <w:r>
        <w:rPr>
          <w:rFonts w:hint="eastAsia" w:ascii="宋体" w:hAnsi="宋体"/>
          <w:bCs/>
          <w:color w:val="auto"/>
          <w:sz w:val="24"/>
          <w:lang w:val="en-US" w:eastAsia="zh-CN"/>
        </w:rPr>
        <w:t>4、</w:t>
      </w:r>
      <w:r>
        <w:rPr>
          <w:rFonts w:hint="eastAsia" w:ascii="宋体" w:hAnsi="宋体"/>
          <w:bCs/>
          <w:color w:val="auto"/>
          <w:sz w:val="24"/>
          <w:lang w:eastAsia="zh-CN"/>
        </w:rPr>
        <w:t>拟派技术负责人须具备相关专业中级及以上技术职称，为本单位员工且已缴纳社会养老保险（须提供</w:t>
      </w:r>
      <w:r>
        <w:rPr>
          <w:rFonts w:hint="eastAsia" w:ascii="宋体" w:hAnsi="宋体"/>
          <w:bCs/>
          <w:color w:val="auto"/>
          <w:sz w:val="24"/>
        </w:rPr>
        <w:t>提供202</w:t>
      </w:r>
      <w:r>
        <w:rPr>
          <w:rFonts w:hint="eastAsia" w:ascii="宋体" w:hAnsi="宋体"/>
          <w:bCs/>
          <w:color w:val="auto"/>
          <w:sz w:val="24"/>
          <w:lang w:val="en-US" w:eastAsia="zh-CN"/>
        </w:rPr>
        <w:t>6</w:t>
      </w:r>
      <w:r>
        <w:rPr>
          <w:rFonts w:hint="eastAsia" w:ascii="宋体" w:hAnsi="宋体"/>
          <w:bCs/>
          <w:color w:val="auto"/>
          <w:sz w:val="24"/>
        </w:rPr>
        <w:t>年任意</w:t>
      </w:r>
      <w:r>
        <w:rPr>
          <w:rFonts w:hint="eastAsia" w:ascii="宋体" w:hAnsi="宋体"/>
          <w:bCs/>
          <w:color w:val="auto"/>
          <w:sz w:val="24"/>
          <w:lang w:val="en-US" w:eastAsia="zh-CN"/>
        </w:rPr>
        <w:t>一个月</w:t>
      </w:r>
      <w:r>
        <w:rPr>
          <w:rFonts w:hint="eastAsia" w:ascii="宋体" w:hAnsi="宋体"/>
          <w:bCs/>
          <w:color w:val="auto"/>
          <w:sz w:val="24"/>
        </w:rPr>
        <w:t>养老保险证明</w:t>
      </w:r>
      <w:r>
        <w:rPr>
          <w:rFonts w:hint="eastAsia" w:ascii="宋体" w:hAnsi="宋体"/>
          <w:bCs/>
          <w:color w:val="auto"/>
          <w:sz w:val="24"/>
          <w:lang w:eastAsia="zh-CN"/>
        </w:rPr>
        <w:t>）</w:t>
      </w:r>
      <w:r>
        <w:rPr>
          <w:rFonts w:hint="eastAsia" w:ascii="宋体" w:hAnsi="宋体"/>
          <w:bCs/>
          <w:color w:val="auto"/>
          <w:sz w:val="24"/>
        </w:rPr>
        <w:t>；</w:t>
      </w:r>
    </w:p>
    <w:p w14:paraId="06A8B5FB">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3"/>
          <w:lang w:val="en-US" w:eastAsia="zh-CN" w:bidi="ar-SA"/>
        </w:rPr>
      </w:pPr>
      <w:r>
        <w:rPr>
          <w:rFonts w:hint="eastAsia" w:ascii="宋体" w:hAnsi="宋体"/>
          <w:bCs/>
          <w:color w:val="auto"/>
          <w:sz w:val="24"/>
          <w:lang w:val="en-US" w:eastAsia="zh-CN"/>
        </w:rPr>
        <w:t>5、</w:t>
      </w:r>
      <w:r>
        <w:rPr>
          <w:rFonts w:hint="eastAsia" w:ascii="宋体" w:hAnsi="宋体" w:eastAsia="宋体" w:cs="宋体"/>
          <w:color w:val="auto"/>
          <w:kern w:val="0"/>
          <w:sz w:val="24"/>
          <w:szCs w:val="23"/>
          <w:lang w:val="en-US" w:eastAsia="zh-CN" w:bidi="ar-SA"/>
        </w:rPr>
        <w:t>具有良好的财务状况且没有处于被责令停业</w:t>
      </w:r>
      <w:r>
        <w:rPr>
          <w:rFonts w:hint="eastAsia" w:ascii="宋体" w:hAnsi="宋体" w:cs="宋体"/>
          <w:color w:val="auto"/>
          <w:kern w:val="0"/>
          <w:sz w:val="24"/>
          <w:szCs w:val="23"/>
          <w:lang w:val="en-US" w:eastAsia="zh-CN" w:bidi="ar-SA"/>
        </w:rPr>
        <w:t>，</w:t>
      </w:r>
      <w:r>
        <w:rPr>
          <w:rFonts w:hint="eastAsia" w:ascii="宋体" w:hAnsi="宋体" w:eastAsia="宋体" w:cs="宋体"/>
          <w:color w:val="auto"/>
          <w:kern w:val="0"/>
          <w:sz w:val="24"/>
          <w:szCs w:val="23"/>
          <w:lang w:val="en-US" w:eastAsia="zh-CN" w:bidi="ar-SA"/>
        </w:rPr>
        <w:t>提供</w:t>
      </w:r>
      <w:r>
        <w:rPr>
          <w:rFonts w:hint="eastAsia" w:ascii="宋体" w:hAnsi="宋体" w:cs="宋体"/>
          <w:color w:val="auto"/>
          <w:kern w:val="0"/>
          <w:sz w:val="24"/>
          <w:szCs w:val="23"/>
          <w:lang w:val="en-US" w:eastAsia="zh-CN" w:bidi="ar-SA"/>
        </w:rPr>
        <w:t>2025年度财务审计报告或财务报表（利润表、负债表、现金流量表）</w:t>
      </w:r>
      <w:r>
        <w:rPr>
          <w:rFonts w:hint="eastAsia" w:ascii="宋体" w:hAnsi="宋体" w:eastAsia="宋体" w:cs="宋体"/>
          <w:color w:val="auto"/>
          <w:kern w:val="0"/>
          <w:sz w:val="24"/>
          <w:szCs w:val="23"/>
          <w:lang w:val="en-US" w:eastAsia="zh-CN" w:bidi="ar-SA"/>
        </w:rPr>
        <w:t>，成立不满一年的提供最近一月的财务报表；</w:t>
      </w:r>
    </w:p>
    <w:p w14:paraId="6184CEAE">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bCs/>
          <w:color w:val="auto"/>
          <w:sz w:val="24"/>
          <w:lang w:val="en-US" w:eastAsia="zh-CN"/>
        </w:rPr>
      </w:pPr>
      <w:r>
        <w:rPr>
          <w:rFonts w:hint="eastAsia" w:ascii="宋体" w:hAnsi="宋体" w:eastAsia="宋体" w:cs="宋体"/>
          <w:color w:val="auto"/>
          <w:kern w:val="0"/>
          <w:sz w:val="24"/>
          <w:szCs w:val="23"/>
          <w:lang w:val="en-US" w:eastAsia="zh-CN" w:bidi="ar-SA"/>
        </w:rPr>
        <w:t>6、</w:t>
      </w:r>
      <w:r>
        <w:rPr>
          <w:rFonts w:hint="eastAsia" w:ascii="宋体" w:hAnsi="宋体"/>
          <w:bCs/>
          <w:color w:val="auto"/>
          <w:sz w:val="24"/>
          <w:lang w:val="en-US" w:eastAsia="zh-CN"/>
        </w:rPr>
        <w:t>参加政府采购活动前3年内无行贿犯罪记录，（开标时提供《中国裁判文书网》查询结果网页截图或企业自行承诺的无行贿犯罪承诺书， 查询&lt;承诺&gt;对象为 “企业，法定代表人，项目经理”）；</w:t>
      </w:r>
    </w:p>
    <w:p w14:paraId="165A3A51">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bCs/>
          <w:color w:val="auto"/>
          <w:sz w:val="24"/>
        </w:rPr>
      </w:pPr>
      <w:r>
        <w:rPr>
          <w:rFonts w:hint="eastAsia" w:ascii="宋体" w:hAnsi="宋体"/>
          <w:bCs/>
          <w:color w:val="auto"/>
          <w:sz w:val="24"/>
          <w:lang w:val="en-US" w:eastAsia="zh-CN"/>
        </w:rPr>
        <w:t>7</w:t>
      </w:r>
      <w:r>
        <w:rPr>
          <w:rFonts w:hint="eastAsia" w:ascii="宋体" w:hAnsi="宋体"/>
          <w:bCs/>
          <w:color w:val="auto"/>
          <w:sz w:val="24"/>
        </w:rPr>
        <w:t xml:space="preserve">、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 </w:t>
      </w:r>
    </w:p>
    <w:p w14:paraId="4CE195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bCs/>
          <w:color w:val="auto"/>
          <w:sz w:val="24"/>
          <w:lang w:val="en-US" w:eastAsia="zh-CN"/>
        </w:rPr>
      </w:pPr>
      <w:r>
        <w:rPr>
          <w:rFonts w:hint="eastAsia" w:ascii="宋体" w:hAnsi="宋体"/>
          <w:bCs/>
          <w:color w:val="auto"/>
          <w:sz w:val="24"/>
          <w:lang w:val="en-US" w:eastAsia="zh-CN"/>
        </w:rPr>
        <w:t>8</w:t>
      </w:r>
      <w:r>
        <w:rPr>
          <w:rFonts w:hint="eastAsia" w:ascii="宋体" w:hAnsi="宋体"/>
          <w:bCs/>
          <w:color w:val="auto"/>
          <w:sz w:val="24"/>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w:t>
      </w:r>
      <w:r>
        <w:rPr>
          <w:rFonts w:hint="eastAsia" w:ascii="宋体" w:hAnsi="宋体" w:eastAsia="宋体" w:cs="Times New Roman"/>
          <w:bCs/>
          <w:color w:val="auto"/>
          <w:sz w:val="24"/>
          <w:lang w:val="en-US" w:eastAsia="zh-CN"/>
        </w:rPr>
        <w:t>注：査询时间必须是招标公告发布以后投标文件递交截止时间之前，查询结果清晰可见</w:t>
      </w:r>
    </w:p>
    <w:p w14:paraId="079C7C4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bCs/>
          <w:color w:val="auto"/>
          <w:sz w:val="24"/>
        </w:rPr>
      </w:pPr>
      <w:r>
        <w:rPr>
          <w:rFonts w:hint="eastAsia" w:ascii="宋体" w:hAnsi="宋体"/>
          <w:bCs/>
          <w:color w:val="auto"/>
          <w:sz w:val="24"/>
          <w:lang w:val="en-US" w:eastAsia="zh-CN"/>
        </w:rPr>
        <w:t>9</w:t>
      </w:r>
      <w:r>
        <w:rPr>
          <w:rFonts w:hint="eastAsia" w:ascii="宋体" w:hAnsi="宋体"/>
          <w:bCs/>
          <w:color w:val="auto"/>
          <w:sz w:val="24"/>
        </w:rPr>
        <w:t>、本次招标不接受联合体投标；</w:t>
      </w:r>
    </w:p>
    <w:p w14:paraId="5EE4E83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bCs/>
          <w:color w:val="auto"/>
          <w:sz w:val="24"/>
        </w:rPr>
      </w:pPr>
      <w:r>
        <w:rPr>
          <w:rFonts w:hint="eastAsia" w:ascii="宋体" w:hAnsi="宋体"/>
          <w:bCs/>
          <w:color w:val="auto"/>
          <w:sz w:val="24"/>
          <w:lang w:val="en-US" w:eastAsia="zh-CN"/>
        </w:rPr>
        <w:t>10</w:t>
      </w:r>
      <w:r>
        <w:rPr>
          <w:rFonts w:hint="eastAsia" w:ascii="宋体" w:hAnsi="宋体"/>
          <w:bCs/>
          <w:color w:val="auto"/>
          <w:sz w:val="24"/>
        </w:rPr>
        <w:t>、本次招标实行资格后审。</w:t>
      </w:r>
    </w:p>
    <w:p w14:paraId="575FD96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bCs/>
          <w:color w:val="auto"/>
          <w:sz w:val="24"/>
        </w:rPr>
      </w:pPr>
      <w:r>
        <w:rPr>
          <w:rFonts w:hint="eastAsia" w:ascii="宋体" w:hAnsi="宋体"/>
          <w:bCs/>
          <w:color w:val="auto"/>
          <w:sz w:val="24"/>
        </w:rPr>
        <w:t>注：被列入失信被执行人、重大税收违法失信主体及政府采购违法失信行为记录名单的企业做无效标处理。 招标人或招标代理机构有权对投标人信用记录进行甄别和复查。</w:t>
      </w:r>
    </w:p>
    <w:p w14:paraId="777CB54C">
      <w:pPr>
        <w:keepNext w:val="0"/>
        <w:keepLines w:val="0"/>
        <w:pageBreakBefore w:val="0"/>
        <w:widowControl/>
        <w:kinsoku/>
        <w:wordWrap w:val="0"/>
        <w:overflowPunct/>
        <w:topLinePunct w:val="0"/>
        <w:autoSpaceDE/>
        <w:autoSpaceDN/>
        <w:bidi w:val="0"/>
        <w:adjustRightInd w:val="0"/>
        <w:snapToGrid w:val="0"/>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三、招标文件的获取</w:t>
      </w:r>
    </w:p>
    <w:p w14:paraId="1C01EEE3">
      <w:pPr>
        <w:keepNext w:val="0"/>
        <w:keepLines w:val="0"/>
        <w:pageBreakBefore w:val="0"/>
        <w:widowControl/>
        <w:kinsoku/>
        <w:wordWrap w:val="0"/>
        <w:overflowPunct/>
        <w:topLinePunct w:val="0"/>
        <w:autoSpaceDE/>
        <w:autoSpaceDN/>
        <w:bidi w:val="0"/>
        <w:adjustRightInd w:val="0"/>
        <w:snapToGrid w:val="0"/>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1、招标文件获取方式：本项目没有报名环节，投标人凭CA数字证书通过三门峡市公共资源交易中心网（网址：http://gzjy.smx.gov.cn/）“登录业务系统”，在所参与项目右侧点击参与投标，即可直接下载本项目招标文件（招标文件中包含图纸、清单等投标所需一切内容）。</w:t>
      </w:r>
    </w:p>
    <w:p w14:paraId="3F5A1B05">
      <w:pPr>
        <w:keepNext w:val="0"/>
        <w:keepLines w:val="0"/>
        <w:pageBreakBefore w:val="0"/>
        <w:widowControl/>
        <w:kinsoku/>
        <w:wordWrap w:val="0"/>
        <w:overflowPunct/>
        <w:topLinePunct w:val="0"/>
        <w:autoSpaceDE/>
        <w:autoSpaceDN/>
        <w:bidi w:val="0"/>
        <w:adjustRightInd w:val="0"/>
        <w:snapToGrid w:val="0"/>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具体操作请查看以下链接：</w:t>
      </w:r>
    </w:p>
    <w:p w14:paraId="7DCBB017">
      <w:pPr>
        <w:keepNext w:val="0"/>
        <w:keepLines w:val="0"/>
        <w:pageBreakBefore w:val="0"/>
        <w:widowControl/>
        <w:kinsoku/>
        <w:wordWrap w:val="0"/>
        <w:overflowPunct/>
        <w:topLinePunct w:val="0"/>
        <w:autoSpaceDE/>
        <w:autoSpaceDN/>
        <w:bidi w:val="0"/>
        <w:adjustRightInd w:val="0"/>
        <w:snapToGrid w:val="0"/>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三门峡市公共资源交易平台操作手册：</w:t>
      </w:r>
    </w:p>
    <w:p w14:paraId="2504F3D6">
      <w:pPr>
        <w:keepNext w:val="0"/>
        <w:keepLines w:val="0"/>
        <w:pageBreakBefore w:val="0"/>
        <w:widowControl/>
        <w:kinsoku/>
        <w:wordWrap w:val="0"/>
        <w:overflowPunct/>
        <w:topLinePunct w:val="0"/>
        <w:autoSpaceDE/>
        <w:autoSpaceDN/>
        <w:bidi w:val="0"/>
        <w:adjustRightInd w:val="0"/>
        <w:snapToGrid w:val="0"/>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http://gzjy.smx.gov.cn/fwzn/004003/20200325/2b5a3a5a-f987-405c-993f-88f43e1d1ac3.html</w:t>
      </w:r>
    </w:p>
    <w:p w14:paraId="37915D23">
      <w:pPr>
        <w:keepNext w:val="0"/>
        <w:keepLines w:val="0"/>
        <w:pageBreakBefore w:val="0"/>
        <w:widowControl/>
        <w:kinsoku/>
        <w:wordWrap w:val="0"/>
        <w:overflowPunct/>
        <w:topLinePunct w:val="0"/>
        <w:autoSpaceDE/>
        <w:autoSpaceDN/>
        <w:bidi w:val="0"/>
        <w:adjustRightInd w:val="0"/>
        <w:snapToGrid w:val="0"/>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办理CA证书：</w:t>
      </w:r>
    </w:p>
    <w:p w14:paraId="7F0EC597">
      <w:pPr>
        <w:keepNext w:val="0"/>
        <w:keepLines w:val="0"/>
        <w:pageBreakBefore w:val="0"/>
        <w:widowControl/>
        <w:kinsoku/>
        <w:wordWrap w:val="0"/>
        <w:overflowPunct/>
        <w:topLinePunct w:val="0"/>
        <w:autoSpaceDE/>
        <w:autoSpaceDN/>
        <w:bidi w:val="0"/>
        <w:adjustRightInd w:val="0"/>
        <w:snapToGrid w:val="0"/>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http://gzjy.smx.gov.cn/fwzn/004003/20201019/a8fae6a0-baed-499b-bb50-8ecc8828a2ca.html</w:t>
      </w:r>
    </w:p>
    <w:p w14:paraId="2A8B37E5">
      <w:pPr>
        <w:keepNext w:val="0"/>
        <w:keepLines w:val="0"/>
        <w:pageBreakBefore w:val="0"/>
        <w:widowControl/>
        <w:kinsoku/>
        <w:wordWrap w:val="0"/>
        <w:overflowPunct/>
        <w:topLinePunct w:val="0"/>
        <w:autoSpaceDE/>
        <w:autoSpaceDN/>
        <w:bidi w:val="0"/>
        <w:adjustRightInd w:val="0"/>
        <w:snapToGrid w:val="0"/>
        <w:spacing w:line="440" w:lineRule="exact"/>
        <w:ind w:firstLine="480" w:firstLineChars="200"/>
        <w:jc w:val="left"/>
        <w:textAlignment w:val="auto"/>
        <w:rPr>
          <w:rFonts w:ascii="宋体" w:hAnsi="宋体" w:cs="宋体"/>
          <w:color w:val="auto"/>
          <w:kern w:val="0"/>
          <w:sz w:val="24"/>
          <w:highlight w:val="yellow"/>
        </w:rPr>
      </w:pPr>
      <w:r>
        <w:rPr>
          <w:rFonts w:hint="eastAsia" w:ascii="宋体" w:hAnsi="宋体" w:cs="宋体"/>
          <w:color w:val="auto"/>
          <w:kern w:val="0"/>
          <w:sz w:val="24"/>
        </w:rPr>
        <w:t>2、招标文件下载时</w:t>
      </w:r>
      <w:r>
        <w:rPr>
          <w:rFonts w:hint="eastAsia" w:ascii="宋体" w:hAnsi="宋体"/>
          <w:bCs/>
          <w:color w:val="auto"/>
          <w:sz w:val="24"/>
        </w:rPr>
        <w:t>间：</w:t>
      </w:r>
      <w:r>
        <w:rPr>
          <w:rFonts w:hint="eastAsia" w:ascii="宋体" w:hAnsi="宋体"/>
          <w:bCs/>
          <w:color w:val="auto"/>
          <w:sz w:val="24"/>
          <w:highlight w:val="none"/>
          <w:lang w:eastAsia="zh-CN"/>
        </w:rPr>
        <w:t>202</w:t>
      </w:r>
      <w:r>
        <w:rPr>
          <w:rFonts w:hint="eastAsia" w:ascii="宋体" w:hAnsi="宋体"/>
          <w:bCs/>
          <w:color w:val="auto"/>
          <w:sz w:val="24"/>
          <w:highlight w:val="none"/>
          <w:lang w:val="en-US" w:eastAsia="zh-CN"/>
        </w:rPr>
        <w:t>6</w:t>
      </w:r>
      <w:r>
        <w:rPr>
          <w:rFonts w:hint="eastAsia" w:ascii="宋体" w:hAnsi="宋体"/>
          <w:bCs/>
          <w:color w:val="auto"/>
          <w:sz w:val="24"/>
          <w:highlight w:val="none"/>
          <w:lang w:eastAsia="zh-CN"/>
        </w:rPr>
        <w:t>年</w:t>
      </w:r>
      <w:r>
        <w:rPr>
          <w:rFonts w:hint="eastAsia" w:ascii="宋体" w:hAnsi="宋体"/>
          <w:bCs/>
          <w:color w:val="auto"/>
          <w:sz w:val="24"/>
          <w:highlight w:val="none"/>
          <w:lang w:val="en-US" w:eastAsia="zh-CN"/>
        </w:rPr>
        <w:t>02</w:t>
      </w:r>
      <w:r>
        <w:rPr>
          <w:rFonts w:hint="eastAsia" w:ascii="宋体" w:hAnsi="宋体"/>
          <w:bCs/>
          <w:color w:val="auto"/>
          <w:sz w:val="24"/>
          <w:highlight w:val="none"/>
          <w:lang w:eastAsia="zh-CN"/>
        </w:rPr>
        <w:t>月</w:t>
      </w:r>
      <w:r>
        <w:rPr>
          <w:rFonts w:hint="eastAsia" w:ascii="宋体" w:hAnsi="宋体"/>
          <w:bCs/>
          <w:color w:val="auto"/>
          <w:sz w:val="24"/>
          <w:highlight w:val="none"/>
          <w:lang w:val="en-US" w:eastAsia="zh-CN"/>
        </w:rPr>
        <w:t>15</w:t>
      </w:r>
      <w:r>
        <w:rPr>
          <w:rFonts w:hint="eastAsia" w:ascii="宋体" w:hAnsi="宋体"/>
          <w:bCs/>
          <w:color w:val="auto"/>
          <w:sz w:val="24"/>
          <w:highlight w:val="none"/>
          <w:lang w:eastAsia="zh-CN"/>
        </w:rPr>
        <w:t>日至202</w:t>
      </w:r>
      <w:r>
        <w:rPr>
          <w:rFonts w:hint="eastAsia" w:ascii="宋体" w:hAnsi="宋体"/>
          <w:bCs/>
          <w:color w:val="auto"/>
          <w:sz w:val="24"/>
          <w:highlight w:val="none"/>
          <w:lang w:val="en-US" w:eastAsia="zh-CN"/>
        </w:rPr>
        <w:t>6</w:t>
      </w:r>
      <w:r>
        <w:rPr>
          <w:rFonts w:hint="eastAsia" w:ascii="宋体" w:hAnsi="宋体"/>
          <w:bCs/>
          <w:color w:val="auto"/>
          <w:sz w:val="24"/>
          <w:highlight w:val="none"/>
          <w:lang w:eastAsia="zh-CN"/>
        </w:rPr>
        <w:t>年</w:t>
      </w:r>
      <w:r>
        <w:rPr>
          <w:rFonts w:hint="eastAsia" w:ascii="宋体" w:hAnsi="宋体"/>
          <w:bCs/>
          <w:color w:val="auto"/>
          <w:sz w:val="24"/>
          <w:highlight w:val="none"/>
          <w:lang w:val="en-US" w:eastAsia="zh-CN"/>
        </w:rPr>
        <w:t>03</w:t>
      </w:r>
      <w:r>
        <w:rPr>
          <w:rFonts w:hint="eastAsia" w:ascii="宋体" w:hAnsi="宋体"/>
          <w:bCs/>
          <w:color w:val="auto"/>
          <w:sz w:val="24"/>
          <w:highlight w:val="none"/>
          <w:lang w:eastAsia="zh-CN"/>
        </w:rPr>
        <w:t>月</w:t>
      </w:r>
      <w:r>
        <w:rPr>
          <w:rFonts w:hint="eastAsia" w:ascii="宋体" w:hAnsi="宋体"/>
          <w:bCs/>
          <w:color w:val="auto"/>
          <w:sz w:val="24"/>
          <w:highlight w:val="none"/>
          <w:lang w:val="en-US" w:eastAsia="zh-CN"/>
        </w:rPr>
        <w:t>13</w:t>
      </w:r>
      <w:r>
        <w:rPr>
          <w:rFonts w:hint="eastAsia" w:ascii="宋体" w:hAnsi="宋体"/>
          <w:bCs/>
          <w:color w:val="auto"/>
          <w:sz w:val="24"/>
          <w:highlight w:val="none"/>
          <w:lang w:eastAsia="zh-CN"/>
        </w:rPr>
        <w:t>日</w:t>
      </w:r>
      <w:r>
        <w:rPr>
          <w:rFonts w:hint="eastAsia" w:ascii="宋体" w:hAnsi="宋体"/>
          <w:bCs/>
          <w:color w:val="auto"/>
          <w:sz w:val="24"/>
          <w:highlight w:val="none"/>
          <w:lang w:val="en-US" w:eastAsia="zh-CN"/>
        </w:rPr>
        <w:t>08</w:t>
      </w:r>
      <w:r>
        <w:rPr>
          <w:rFonts w:hint="eastAsia" w:ascii="宋体" w:hAnsi="宋体"/>
          <w:bCs/>
          <w:color w:val="auto"/>
          <w:sz w:val="24"/>
          <w:highlight w:val="none"/>
          <w:lang w:eastAsia="zh-CN"/>
        </w:rPr>
        <w:t>时</w:t>
      </w:r>
      <w:r>
        <w:rPr>
          <w:rFonts w:hint="eastAsia" w:ascii="宋体" w:hAnsi="宋体"/>
          <w:bCs/>
          <w:color w:val="auto"/>
          <w:sz w:val="24"/>
          <w:highlight w:val="none"/>
          <w:lang w:val="en-US" w:eastAsia="zh-CN"/>
        </w:rPr>
        <w:t>40</w:t>
      </w:r>
      <w:r>
        <w:rPr>
          <w:rFonts w:hint="eastAsia" w:ascii="宋体" w:hAnsi="宋体"/>
          <w:bCs/>
          <w:color w:val="auto"/>
          <w:sz w:val="24"/>
          <w:highlight w:val="none"/>
          <w:lang w:eastAsia="zh-CN"/>
        </w:rPr>
        <w:t>分</w:t>
      </w:r>
      <w:r>
        <w:rPr>
          <w:rFonts w:hint="eastAsia" w:ascii="宋体" w:hAnsi="宋体" w:cs="宋体"/>
          <w:color w:val="auto"/>
          <w:kern w:val="0"/>
          <w:sz w:val="24"/>
          <w:highlight w:val="none"/>
        </w:rPr>
        <w:t>。</w:t>
      </w:r>
    </w:p>
    <w:p w14:paraId="3850EA75">
      <w:pPr>
        <w:keepNext w:val="0"/>
        <w:keepLines w:val="0"/>
        <w:pageBreakBefore w:val="0"/>
        <w:widowControl/>
        <w:kinsoku/>
        <w:wordWrap w:val="0"/>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3、本项目采用全电子化招标，不再收取招标文件费。</w:t>
      </w:r>
    </w:p>
    <w:p w14:paraId="08937F98">
      <w:pPr>
        <w:keepNext w:val="0"/>
        <w:keepLines w:val="0"/>
        <w:pageBreakBefore w:val="0"/>
        <w:widowControl/>
        <w:kinsoku/>
        <w:wordWrap w:val="0"/>
        <w:overflowPunct/>
        <w:topLinePunct w:val="0"/>
        <w:autoSpaceDE/>
        <w:autoSpaceDN/>
        <w:bidi w:val="0"/>
        <w:adjustRightInd w:val="0"/>
        <w:snapToGrid w:val="0"/>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4、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p>
    <w:p w14:paraId="44248077">
      <w:pPr>
        <w:keepNext w:val="0"/>
        <w:keepLines w:val="0"/>
        <w:pageBreakBefore w:val="0"/>
        <w:kinsoku/>
        <w:wordWrap w:val="0"/>
        <w:overflowPunct/>
        <w:topLinePunct w:val="0"/>
        <w:autoSpaceDE/>
        <w:autoSpaceDN/>
        <w:bidi w:val="0"/>
        <w:spacing w:line="440" w:lineRule="exact"/>
        <w:ind w:firstLine="482" w:firstLineChars="200"/>
        <w:textAlignment w:val="auto"/>
        <w:rPr>
          <w:rFonts w:ascii="宋体" w:hAnsi="宋体" w:cs="仿宋"/>
          <w:b/>
          <w:bCs/>
          <w:color w:val="auto"/>
          <w:sz w:val="24"/>
        </w:rPr>
      </w:pPr>
      <w:r>
        <w:rPr>
          <w:rFonts w:hint="eastAsia" w:ascii="宋体" w:hAnsi="宋体" w:cs="仿宋"/>
          <w:b/>
          <w:bCs/>
          <w:color w:val="auto"/>
          <w:sz w:val="24"/>
        </w:rPr>
        <w:t>四、投标资料的提交</w:t>
      </w:r>
    </w:p>
    <w:p w14:paraId="30E99DCB">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cs="仿宋"/>
          <w:color w:val="auto"/>
          <w:sz w:val="24"/>
        </w:rPr>
      </w:pPr>
      <w:r>
        <w:rPr>
          <w:rFonts w:hint="eastAsia" w:ascii="宋体" w:hAnsi="宋体" w:cs="仿宋"/>
          <w:color w:val="auto"/>
          <w:sz w:val="24"/>
        </w:rPr>
        <w:t>本项目实行资格后审，审查内容以投标截止时间前在三门峡市公共资源交易系统上传的投标文件的信息为准。其上传资料真实性由投标人自行承担，同时，投标人需要完善主体库信息。否则，由此造成应得分而未得分或资格审查不合格等情况的，由投标人承担责任。</w:t>
      </w:r>
    </w:p>
    <w:p w14:paraId="0C331598">
      <w:pPr>
        <w:keepNext w:val="0"/>
        <w:keepLines w:val="0"/>
        <w:pageBreakBefore w:val="0"/>
        <w:kinsoku/>
        <w:wordWrap w:val="0"/>
        <w:overflowPunct/>
        <w:topLinePunct w:val="0"/>
        <w:autoSpaceDE/>
        <w:autoSpaceDN/>
        <w:bidi w:val="0"/>
        <w:spacing w:line="440" w:lineRule="exact"/>
        <w:ind w:firstLine="482" w:firstLineChars="200"/>
        <w:textAlignment w:val="auto"/>
        <w:rPr>
          <w:rFonts w:ascii="宋体" w:hAnsi="宋体" w:cs="仿宋"/>
          <w:b/>
          <w:bCs/>
          <w:color w:val="auto"/>
          <w:sz w:val="24"/>
        </w:rPr>
      </w:pPr>
      <w:r>
        <w:rPr>
          <w:rFonts w:hint="eastAsia" w:ascii="宋体" w:hAnsi="宋体" w:cs="仿宋"/>
          <w:b/>
          <w:bCs/>
          <w:color w:val="auto"/>
          <w:sz w:val="24"/>
        </w:rPr>
        <w:t>五、投标保证金</w:t>
      </w:r>
    </w:p>
    <w:p w14:paraId="10995E06">
      <w:pPr>
        <w:keepNext w:val="0"/>
        <w:keepLines w:val="0"/>
        <w:pageBreakBefore w:val="0"/>
        <w:kinsoku/>
        <w:wordWrap w:val="0"/>
        <w:overflowPunct/>
        <w:topLinePunct w:val="0"/>
        <w:autoSpaceDE/>
        <w:autoSpaceDN/>
        <w:bidi w:val="0"/>
        <w:spacing w:line="440" w:lineRule="exact"/>
        <w:ind w:firstLine="480" w:firstLineChars="200"/>
        <w:textAlignment w:val="auto"/>
        <w:rPr>
          <w:rFonts w:ascii="宋体" w:hAnsi="宋体" w:cs="仿宋"/>
          <w:color w:val="auto"/>
          <w:sz w:val="24"/>
          <w:highlight w:val="yellow"/>
        </w:rPr>
      </w:pPr>
      <w:r>
        <w:rPr>
          <w:rFonts w:hint="eastAsia" w:ascii="宋体" w:hAnsi="宋体" w:cs="仿宋"/>
          <w:color w:val="auto"/>
          <w:sz w:val="24"/>
        </w:rPr>
        <w:t>1、投标保证金数额为</w:t>
      </w:r>
      <w:r>
        <w:rPr>
          <w:rFonts w:hint="eastAsia" w:ascii="宋体" w:hAnsi="宋体" w:cs="仿宋"/>
          <w:color w:val="000000" w:themeColor="text1"/>
          <w:sz w:val="24"/>
          <w14:textFill>
            <w14:solidFill>
              <w14:schemeClr w14:val="tx1"/>
            </w14:solidFill>
          </w14:textFill>
        </w:rPr>
        <w:t>大写</w:t>
      </w:r>
      <w:r>
        <w:rPr>
          <w:rFonts w:hint="eastAsia" w:ascii="宋体" w:hAnsi="宋体" w:cs="仿宋"/>
          <w:color w:val="000000" w:themeColor="text1"/>
          <w:sz w:val="24"/>
          <w:lang w:val="en-US" w:eastAsia="zh-CN"/>
          <w14:textFill>
            <w14:solidFill>
              <w14:schemeClr w14:val="tx1"/>
            </w14:solidFill>
          </w14:textFill>
        </w:rPr>
        <w:t>贰拾万元整</w:t>
      </w:r>
      <w:r>
        <w:rPr>
          <w:rFonts w:hint="eastAsia" w:ascii="宋体" w:hAnsi="宋体" w:cs="仿宋"/>
          <w:color w:val="000000" w:themeColor="text1"/>
          <w:sz w:val="24"/>
          <w:lang w:eastAsia="zh-CN"/>
          <w14:textFill>
            <w14:solidFill>
              <w14:schemeClr w14:val="tx1"/>
            </w14:solidFill>
          </w14:textFill>
        </w:rPr>
        <w:t>（小写：￥</w:t>
      </w:r>
      <w:r>
        <w:rPr>
          <w:rFonts w:hint="eastAsia" w:ascii="宋体" w:hAnsi="宋体" w:cs="仿宋"/>
          <w:color w:val="000000" w:themeColor="text1"/>
          <w:sz w:val="24"/>
          <w:lang w:val="en-US" w:eastAsia="zh-CN"/>
          <w14:textFill>
            <w14:solidFill>
              <w14:schemeClr w14:val="tx1"/>
            </w14:solidFill>
          </w14:textFill>
        </w:rPr>
        <w:t>20</w:t>
      </w:r>
      <w:r>
        <w:rPr>
          <w:rFonts w:hint="eastAsia" w:ascii="宋体" w:hAnsi="宋体" w:cs="仿宋"/>
          <w:color w:val="000000" w:themeColor="text1"/>
          <w:sz w:val="24"/>
          <w:lang w:eastAsia="zh-CN"/>
          <w14:textFill>
            <w14:solidFill>
              <w14:schemeClr w14:val="tx1"/>
            </w14:solidFill>
          </w14:textFill>
        </w:rPr>
        <w:t>0000.00元）</w:t>
      </w:r>
      <w:r>
        <w:rPr>
          <w:rFonts w:hint="eastAsia" w:ascii="宋体" w:hAnsi="宋体" w:cs="仿宋"/>
          <w:color w:val="000000" w:themeColor="text1"/>
          <w:sz w:val="24"/>
          <w14:textFill>
            <w14:solidFill>
              <w14:schemeClr w14:val="tx1"/>
            </w14:solidFill>
          </w14:textFill>
        </w:rPr>
        <w:t>；</w:t>
      </w:r>
    </w:p>
    <w:p w14:paraId="21DD58A3">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cs="仿宋"/>
          <w:color w:val="auto"/>
          <w:sz w:val="24"/>
        </w:rPr>
      </w:pPr>
      <w:r>
        <w:rPr>
          <w:rFonts w:hint="eastAsia" w:ascii="宋体" w:hAnsi="宋体" w:cs="仿宋"/>
          <w:color w:val="auto"/>
          <w:sz w:val="24"/>
        </w:rPr>
        <w:t>2、投标保证金递交的截止时</w:t>
      </w:r>
      <w:r>
        <w:rPr>
          <w:rFonts w:hint="eastAsia" w:ascii="宋体" w:hAnsi="宋体" w:cs="仿宋"/>
          <w:color w:val="auto"/>
          <w:sz w:val="24"/>
          <w:highlight w:val="none"/>
        </w:rPr>
        <w:t>间：202</w:t>
      </w:r>
      <w:r>
        <w:rPr>
          <w:rFonts w:hint="eastAsia" w:ascii="宋体" w:hAnsi="宋体" w:cs="仿宋"/>
          <w:color w:val="auto"/>
          <w:sz w:val="24"/>
          <w:highlight w:val="none"/>
          <w:lang w:val="en-US" w:eastAsia="zh-CN"/>
        </w:rPr>
        <w:t>6</w:t>
      </w:r>
      <w:r>
        <w:rPr>
          <w:rFonts w:hint="eastAsia" w:ascii="宋体" w:hAnsi="宋体" w:cs="仿宋"/>
          <w:color w:val="auto"/>
          <w:sz w:val="24"/>
          <w:highlight w:val="none"/>
        </w:rPr>
        <w:t>年</w:t>
      </w:r>
      <w:r>
        <w:rPr>
          <w:rFonts w:hint="eastAsia" w:ascii="宋体" w:hAnsi="宋体" w:cs="仿宋"/>
          <w:color w:val="auto"/>
          <w:sz w:val="24"/>
          <w:highlight w:val="none"/>
          <w:lang w:val="en-US" w:eastAsia="zh-CN"/>
        </w:rPr>
        <w:t>03月13日08时40分</w:t>
      </w:r>
      <w:r>
        <w:rPr>
          <w:rFonts w:hint="eastAsia" w:ascii="宋体" w:hAnsi="宋体" w:cs="仿宋"/>
          <w:color w:val="auto"/>
          <w:sz w:val="24"/>
          <w:highlight w:val="none"/>
        </w:rPr>
        <w:t>；</w:t>
      </w:r>
    </w:p>
    <w:p w14:paraId="02DDFA87">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cs="仿宋"/>
          <w:color w:val="auto"/>
          <w:sz w:val="24"/>
        </w:rPr>
      </w:pPr>
      <w:r>
        <w:rPr>
          <w:rFonts w:hint="eastAsia" w:ascii="宋体" w:hAnsi="宋体" w:cs="仿宋"/>
          <w:color w:val="auto"/>
          <w:sz w:val="24"/>
          <w:lang w:val="en-US" w:eastAsia="zh-CN"/>
        </w:rPr>
        <w:t>3、</w:t>
      </w:r>
      <w:r>
        <w:rPr>
          <w:rFonts w:hint="eastAsia" w:ascii="宋体" w:hAnsi="宋体" w:cs="仿宋"/>
          <w:color w:val="auto"/>
          <w:sz w:val="24"/>
        </w:rPr>
        <w:t>根据《关于加快推进公共资源交易领域信用监管工作的通知》三公管办[2021]3号文要求：</w:t>
      </w:r>
    </w:p>
    <w:p w14:paraId="756B2483">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仿宋"/>
          <w:color w:val="auto"/>
          <w:sz w:val="24"/>
          <w:lang w:eastAsia="zh-CN"/>
        </w:rPr>
      </w:pPr>
      <w:r>
        <w:rPr>
          <w:rFonts w:hint="eastAsia" w:ascii="宋体" w:hAnsi="宋体" w:cs="仿宋"/>
          <w:color w:val="auto"/>
          <w:sz w:val="24"/>
        </w:rPr>
        <w:t>建筑类施工企业获得“优秀”、公路类施工企业获得“AA”、水利类施工企业获得“AAA”等级且连续3年无不良行为记录的中小微企业，保证金缴纳金额为</w:t>
      </w:r>
      <w:r>
        <w:rPr>
          <w:rFonts w:ascii="宋体" w:hAnsi="宋体" w:cs="仿宋"/>
          <w:color w:val="auto"/>
          <w:sz w:val="24"/>
        </w:rPr>
        <w:t>¥</w:t>
      </w:r>
      <w:r>
        <w:rPr>
          <w:rFonts w:hint="eastAsia" w:ascii="宋体" w:hAnsi="宋体" w:cs="仿宋"/>
          <w:color w:val="000000" w:themeColor="text1"/>
          <w:sz w:val="24"/>
          <w:lang w:val="en-US" w:eastAsia="zh-CN"/>
          <w14:textFill>
            <w14:solidFill>
              <w14:schemeClr w14:val="tx1"/>
            </w14:solidFill>
          </w14:textFill>
        </w:rPr>
        <w:t>180000.00</w:t>
      </w:r>
      <w:r>
        <w:rPr>
          <w:rFonts w:hint="eastAsia" w:ascii="宋体" w:hAnsi="宋体" w:cs="仿宋"/>
          <w:color w:val="000000" w:themeColor="text1"/>
          <w:sz w:val="24"/>
          <w:lang w:eastAsia="zh-CN"/>
          <w14:textFill>
            <w14:solidFill>
              <w14:schemeClr w14:val="tx1"/>
            </w14:solidFill>
          </w14:textFill>
        </w:rPr>
        <w:t>.00</w:t>
      </w:r>
      <w:r>
        <w:rPr>
          <w:rFonts w:hint="eastAsia" w:ascii="宋体" w:hAnsi="宋体" w:cs="仿宋"/>
          <w:color w:val="auto"/>
          <w:sz w:val="24"/>
        </w:rPr>
        <w:t>元</w:t>
      </w:r>
      <w:r>
        <w:rPr>
          <w:rFonts w:hint="eastAsia" w:ascii="宋体" w:hAnsi="宋体" w:cs="仿宋"/>
          <w:color w:val="auto"/>
          <w:sz w:val="24"/>
          <w:lang w:eastAsia="zh-CN"/>
        </w:rPr>
        <w:t>；</w:t>
      </w:r>
    </w:p>
    <w:p w14:paraId="06A3C9CB">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cs="仿宋"/>
          <w:color w:val="auto"/>
          <w:sz w:val="24"/>
          <w:lang w:eastAsia="zh-CN"/>
        </w:rPr>
      </w:pPr>
      <w:r>
        <w:rPr>
          <w:rFonts w:hint="eastAsia" w:ascii="宋体" w:hAnsi="宋体" w:cs="仿宋"/>
          <w:color w:val="auto"/>
          <w:sz w:val="24"/>
        </w:rPr>
        <w:t>建筑类施工企业获得“良好”、公路类施工企业获得“A”、水利类施工企业获得“AA”等级且连续3年无不良行为记录的中小微企业，保证金缴纳金额为</w:t>
      </w:r>
      <w:r>
        <w:rPr>
          <w:rFonts w:ascii="宋体" w:hAnsi="宋体" w:cs="仿宋"/>
          <w:color w:val="auto"/>
          <w:sz w:val="24"/>
        </w:rPr>
        <w:t>¥</w:t>
      </w:r>
      <w:r>
        <w:rPr>
          <w:rFonts w:hint="eastAsia" w:ascii="宋体" w:hAnsi="宋体" w:cs="仿宋"/>
          <w:color w:val="000000" w:themeColor="text1"/>
          <w:sz w:val="24"/>
          <w:lang w:val="en-US" w:eastAsia="zh-CN"/>
          <w14:textFill>
            <w14:solidFill>
              <w14:schemeClr w14:val="tx1"/>
            </w14:solidFill>
          </w14:textFill>
        </w:rPr>
        <w:t>190000.00</w:t>
      </w:r>
      <w:r>
        <w:rPr>
          <w:rFonts w:hint="eastAsia" w:ascii="宋体" w:hAnsi="宋体" w:cs="仿宋"/>
          <w:color w:val="auto"/>
          <w:sz w:val="24"/>
        </w:rPr>
        <w:t>元</w:t>
      </w:r>
      <w:r>
        <w:rPr>
          <w:rFonts w:hint="eastAsia" w:ascii="宋体" w:hAnsi="宋体" w:cs="仿宋"/>
          <w:color w:val="auto"/>
          <w:sz w:val="24"/>
          <w:lang w:eastAsia="zh-CN"/>
        </w:rPr>
        <w:t>；</w:t>
      </w:r>
    </w:p>
    <w:p w14:paraId="13745348">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kern w:val="0"/>
          <w:sz w:val="24"/>
          <w:lang w:val="en-US" w:eastAsia="zh-CN"/>
        </w:rPr>
        <w:t>4</w:t>
      </w:r>
      <w:r>
        <w:rPr>
          <w:rFonts w:hint="eastAsia" w:ascii="宋体" w:hAnsi="宋体" w:cs="宋体"/>
          <w:color w:val="auto"/>
          <w:kern w:val="0"/>
          <w:sz w:val="24"/>
        </w:rPr>
        <w:t>、</w:t>
      </w:r>
      <w:r>
        <w:rPr>
          <w:rFonts w:hint="eastAsia" w:ascii="宋体" w:hAnsi="宋体" w:cs="宋体"/>
          <w:color w:val="auto"/>
          <w:sz w:val="24"/>
        </w:rPr>
        <w:t>缴纳方式详见：投标人市场主体登录-系统菜单-工程业务-业务管理-保证金单笔入账查询，即可查询保证金缴纳账号及到账情况</w:t>
      </w:r>
      <w:r>
        <w:rPr>
          <w:rFonts w:hint="eastAsia" w:ascii="宋体" w:hAnsi="宋体" w:cs="宋体"/>
          <w:color w:val="auto"/>
          <w:sz w:val="24"/>
          <w:lang w:eastAsia="zh-CN"/>
        </w:rPr>
        <w:t>；</w:t>
      </w:r>
      <w:r>
        <w:rPr>
          <w:rFonts w:hint="eastAsia" w:ascii="宋体" w:hAnsi="宋体" w:cs="宋体"/>
          <w:color w:val="auto"/>
          <w:sz w:val="24"/>
          <w:lang w:val="en-US" w:eastAsia="zh-CN"/>
        </w:rPr>
        <w:t>投标人递交保证金时请注明所投项目名称（或项目编号）</w:t>
      </w:r>
    </w:p>
    <w:p w14:paraId="6011A134">
      <w:pPr>
        <w:keepNext w:val="0"/>
        <w:keepLines w:val="0"/>
        <w:pageBreakBefore w:val="0"/>
        <w:kinsoku/>
        <w:wordWrap w:val="0"/>
        <w:overflowPunct/>
        <w:topLinePunct w:val="0"/>
        <w:autoSpaceDE/>
        <w:autoSpaceDN/>
        <w:bidi w:val="0"/>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注：本项目投标保证金可使用电子保函缴纳，方便快捷，不占用资金，开具方式请登录“网站首页-电子保函平台”或者“登录系统首页右下角-三门峡金融服务平台”或者直接登陆：http://120.194.249.36:10094/smxbaohan/ 进行操作，如果有问题，可咨询：0398-3117871、400-153888。</w:t>
      </w:r>
    </w:p>
    <w:p w14:paraId="302AC55E">
      <w:pPr>
        <w:keepNext w:val="0"/>
        <w:keepLines w:val="0"/>
        <w:pageBreakBefore w:val="0"/>
        <w:kinsoku/>
        <w:wordWrap w:val="0"/>
        <w:overflowPunct/>
        <w:topLinePunct w:val="0"/>
        <w:autoSpaceDE/>
        <w:autoSpaceDN/>
        <w:bidi w:val="0"/>
        <w:spacing w:line="440" w:lineRule="exact"/>
        <w:ind w:firstLine="482" w:firstLineChars="200"/>
        <w:textAlignment w:val="auto"/>
        <w:rPr>
          <w:rFonts w:ascii="宋体" w:hAnsi="宋体" w:cs="仿宋"/>
          <w:b/>
          <w:bCs/>
          <w:color w:val="auto"/>
          <w:sz w:val="24"/>
        </w:rPr>
      </w:pPr>
      <w:r>
        <w:rPr>
          <w:rFonts w:hint="eastAsia" w:ascii="宋体" w:hAnsi="宋体" w:cs="仿宋"/>
          <w:b/>
          <w:bCs/>
          <w:color w:val="auto"/>
          <w:sz w:val="24"/>
        </w:rPr>
        <w:t>六、投标文件的递交</w:t>
      </w:r>
    </w:p>
    <w:p w14:paraId="20F6DC18">
      <w:pPr>
        <w:keepNext w:val="0"/>
        <w:keepLines w:val="0"/>
        <w:pageBreakBefore w:val="0"/>
        <w:widowControl/>
        <w:kinsoku/>
        <w:wordWrap w:val="0"/>
        <w:overflowPunct/>
        <w:topLinePunct w:val="0"/>
        <w:autoSpaceDE/>
        <w:autoSpaceDN/>
        <w:bidi w:val="0"/>
        <w:spacing w:line="440" w:lineRule="exact"/>
        <w:ind w:firstLine="480" w:firstLineChars="200"/>
        <w:jc w:val="left"/>
        <w:textAlignment w:val="auto"/>
        <w:rPr>
          <w:rFonts w:hint="eastAsia" w:ascii="宋体" w:hAnsi="宋体" w:cs="仿宋"/>
          <w:color w:val="auto"/>
          <w:sz w:val="24"/>
          <w:highlight w:val="none"/>
        </w:rPr>
      </w:pPr>
      <w:r>
        <w:rPr>
          <w:rFonts w:hint="eastAsia" w:ascii="宋体" w:hAnsi="宋体" w:cs="仿宋"/>
          <w:color w:val="auto"/>
          <w:sz w:val="24"/>
        </w:rPr>
        <w:t>1、投标文件递</w:t>
      </w:r>
      <w:r>
        <w:rPr>
          <w:rFonts w:hint="eastAsia" w:ascii="宋体" w:hAnsi="宋体" w:cs="仿宋"/>
          <w:color w:val="auto"/>
          <w:sz w:val="24"/>
          <w:highlight w:val="none"/>
        </w:rPr>
        <w:t>交截止时间及开标时间：</w:t>
      </w:r>
      <w:r>
        <w:rPr>
          <w:rFonts w:hint="eastAsia" w:ascii="宋体" w:hAnsi="宋体" w:cs="仿宋"/>
          <w:color w:val="000000" w:themeColor="text1"/>
          <w:sz w:val="24"/>
          <w:highlight w:val="none"/>
          <w14:textFill>
            <w14:solidFill>
              <w14:schemeClr w14:val="tx1"/>
            </w14:solidFill>
          </w14:textFill>
        </w:rPr>
        <w:t>202</w:t>
      </w:r>
      <w:r>
        <w:rPr>
          <w:rFonts w:hint="eastAsia" w:ascii="宋体" w:hAnsi="宋体" w:cs="仿宋"/>
          <w:color w:val="000000" w:themeColor="text1"/>
          <w:sz w:val="24"/>
          <w:highlight w:val="none"/>
          <w:lang w:val="en-US" w:eastAsia="zh-CN"/>
          <w14:textFill>
            <w14:solidFill>
              <w14:schemeClr w14:val="tx1"/>
            </w14:solidFill>
          </w14:textFill>
        </w:rPr>
        <w:t>6</w:t>
      </w:r>
      <w:r>
        <w:rPr>
          <w:rFonts w:hint="eastAsia" w:ascii="宋体" w:hAnsi="宋体" w:cs="仿宋"/>
          <w:color w:val="000000" w:themeColor="text1"/>
          <w:sz w:val="24"/>
          <w:highlight w:val="none"/>
          <w14:textFill>
            <w14:solidFill>
              <w14:schemeClr w14:val="tx1"/>
            </w14:solidFill>
          </w14:textFill>
        </w:rPr>
        <w:t>年</w:t>
      </w:r>
      <w:r>
        <w:rPr>
          <w:rFonts w:hint="eastAsia" w:ascii="宋体" w:hAnsi="宋体" w:cs="仿宋"/>
          <w:color w:val="000000" w:themeColor="text1"/>
          <w:sz w:val="24"/>
          <w:highlight w:val="none"/>
          <w:lang w:val="en-US" w:eastAsia="zh-CN"/>
          <w14:textFill>
            <w14:solidFill>
              <w14:schemeClr w14:val="tx1"/>
            </w14:solidFill>
          </w14:textFill>
        </w:rPr>
        <w:t>03月13日08时40分</w:t>
      </w:r>
      <w:r>
        <w:rPr>
          <w:rFonts w:hint="eastAsia" w:ascii="宋体" w:hAnsi="宋体" w:cs="仿宋"/>
          <w:color w:val="auto"/>
          <w:sz w:val="24"/>
          <w:highlight w:val="none"/>
        </w:rPr>
        <w:t>；</w:t>
      </w:r>
    </w:p>
    <w:p w14:paraId="3B16EAE8">
      <w:pPr>
        <w:keepNext w:val="0"/>
        <w:keepLines w:val="0"/>
        <w:pageBreakBefore w:val="0"/>
        <w:widowControl/>
        <w:kinsoku/>
        <w:wordWrap w:val="0"/>
        <w:overflowPunct/>
        <w:topLinePunct w:val="0"/>
        <w:autoSpaceDE/>
        <w:autoSpaceDN/>
        <w:bidi w:val="0"/>
        <w:spacing w:line="440" w:lineRule="exact"/>
        <w:ind w:firstLine="480" w:firstLineChars="200"/>
        <w:jc w:val="left"/>
        <w:textAlignment w:val="auto"/>
        <w:rPr>
          <w:rFonts w:hint="eastAsia" w:ascii="宋体" w:hAnsi="宋体" w:cs="仿宋"/>
          <w:color w:val="auto"/>
          <w:sz w:val="24"/>
          <w:highlight w:val="none"/>
        </w:rPr>
      </w:pPr>
      <w:r>
        <w:rPr>
          <w:rFonts w:hint="eastAsia" w:ascii="宋体" w:hAnsi="宋体" w:cs="仿宋"/>
          <w:color w:val="auto"/>
          <w:sz w:val="24"/>
          <w:highlight w:val="none"/>
        </w:rPr>
        <w:t>2、开标地点：卢氏县公共资源交易中心四楼</w:t>
      </w:r>
      <w:r>
        <w:rPr>
          <w:rFonts w:hint="eastAsia" w:ascii="宋体" w:hAnsi="宋体" w:cs="仿宋"/>
          <w:color w:val="auto"/>
          <w:sz w:val="24"/>
          <w:highlight w:val="none"/>
          <w:lang w:eastAsia="zh-CN"/>
        </w:rPr>
        <w:t>第</w:t>
      </w:r>
      <w:r>
        <w:rPr>
          <w:rFonts w:hint="eastAsia" w:ascii="宋体" w:hAnsi="宋体" w:cs="仿宋"/>
          <w:color w:val="auto"/>
          <w:sz w:val="24"/>
          <w:highlight w:val="none"/>
          <w:lang w:val="en-US" w:eastAsia="zh-CN"/>
        </w:rPr>
        <w:t>二</w:t>
      </w:r>
      <w:r>
        <w:rPr>
          <w:rFonts w:hint="eastAsia" w:ascii="宋体" w:hAnsi="宋体" w:cs="仿宋"/>
          <w:color w:val="auto"/>
          <w:sz w:val="24"/>
          <w:highlight w:val="none"/>
          <w:lang w:eastAsia="zh-CN"/>
        </w:rPr>
        <w:t>开标室</w:t>
      </w:r>
      <w:r>
        <w:rPr>
          <w:rFonts w:hint="eastAsia" w:ascii="宋体" w:hAnsi="宋体" w:cs="仿宋"/>
          <w:color w:val="auto"/>
          <w:sz w:val="24"/>
          <w:highlight w:val="none"/>
        </w:rPr>
        <w:t>；</w:t>
      </w:r>
    </w:p>
    <w:p w14:paraId="3480B07F">
      <w:pPr>
        <w:keepNext w:val="0"/>
        <w:keepLines w:val="0"/>
        <w:pageBreakBefore w:val="0"/>
        <w:widowControl/>
        <w:kinsoku/>
        <w:wordWrap w:val="0"/>
        <w:overflowPunct/>
        <w:topLinePunct w:val="0"/>
        <w:autoSpaceDE/>
        <w:autoSpaceDN/>
        <w:bidi w:val="0"/>
        <w:spacing w:line="440" w:lineRule="exact"/>
        <w:ind w:firstLine="480" w:firstLineChars="200"/>
        <w:jc w:val="left"/>
        <w:textAlignment w:val="auto"/>
        <w:rPr>
          <w:rFonts w:hint="eastAsia" w:ascii="宋体" w:hAnsi="宋体" w:cs="仿宋"/>
          <w:color w:val="auto"/>
          <w:sz w:val="24"/>
          <w:highlight w:val="none"/>
        </w:rPr>
      </w:pPr>
      <w:r>
        <w:rPr>
          <w:rFonts w:hint="eastAsia" w:ascii="宋体" w:hAnsi="宋体" w:cs="仿宋"/>
          <w:color w:val="auto"/>
          <w:sz w:val="24"/>
          <w:highlight w:val="none"/>
        </w:rPr>
        <w:t>3、评标地点：卢氏县公共资源交易中心二楼</w:t>
      </w:r>
      <w:r>
        <w:rPr>
          <w:rFonts w:hint="eastAsia" w:ascii="宋体" w:hAnsi="宋体" w:cs="仿宋"/>
          <w:color w:val="auto"/>
          <w:sz w:val="24"/>
          <w:highlight w:val="none"/>
          <w:lang w:eastAsia="zh-CN"/>
        </w:rPr>
        <w:t>第</w:t>
      </w:r>
      <w:r>
        <w:rPr>
          <w:rFonts w:hint="eastAsia" w:ascii="宋体" w:hAnsi="宋体" w:cs="仿宋"/>
          <w:color w:val="auto"/>
          <w:sz w:val="24"/>
          <w:highlight w:val="none"/>
          <w:lang w:val="en-US" w:eastAsia="zh-CN"/>
        </w:rPr>
        <w:t>二</w:t>
      </w:r>
      <w:r>
        <w:rPr>
          <w:rFonts w:hint="eastAsia" w:ascii="宋体" w:hAnsi="宋体" w:cs="仿宋"/>
          <w:color w:val="auto"/>
          <w:sz w:val="24"/>
          <w:highlight w:val="none"/>
          <w:lang w:eastAsia="zh-CN"/>
        </w:rPr>
        <w:t>评标室</w:t>
      </w:r>
      <w:r>
        <w:rPr>
          <w:rFonts w:hint="eastAsia" w:ascii="宋体" w:hAnsi="宋体" w:cs="仿宋"/>
          <w:color w:val="auto"/>
          <w:sz w:val="24"/>
          <w:highlight w:val="none"/>
        </w:rPr>
        <w:t>。</w:t>
      </w:r>
    </w:p>
    <w:p w14:paraId="36EBE9CF">
      <w:pPr>
        <w:keepNext w:val="0"/>
        <w:keepLines w:val="0"/>
        <w:pageBreakBefore w:val="0"/>
        <w:kinsoku/>
        <w:wordWrap w:val="0"/>
        <w:overflowPunct/>
        <w:topLinePunct w:val="0"/>
        <w:autoSpaceDE/>
        <w:autoSpaceDN/>
        <w:bidi w:val="0"/>
        <w:spacing w:line="440" w:lineRule="exact"/>
        <w:ind w:firstLine="482" w:firstLineChars="200"/>
        <w:textAlignment w:val="auto"/>
        <w:rPr>
          <w:rFonts w:hint="eastAsia" w:ascii="宋体" w:hAnsi="宋体" w:cs="仿宋"/>
          <w:b/>
          <w:bCs/>
          <w:color w:val="auto"/>
          <w:sz w:val="24"/>
        </w:rPr>
      </w:pPr>
      <w:r>
        <w:rPr>
          <w:rFonts w:hint="eastAsia" w:ascii="宋体" w:hAnsi="宋体" w:cs="仿宋"/>
          <w:b/>
          <w:bCs/>
          <w:color w:val="auto"/>
          <w:sz w:val="24"/>
        </w:rPr>
        <w:t>七、其他事项</w:t>
      </w:r>
    </w:p>
    <w:p w14:paraId="10124ABC">
      <w:pPr>
        <w:keepNext w:val="0"/>
        <w:keepLines w:val="0"/>
        <w:pageBreakBefore w:val="0"/>
        <w:widowControl/>
        <w:kinsoku/>
        <w:wordWrap w:val="0"/>
        <w:overflowPunct/>
        <w:topLinePunct w:val="0"/>
        <w:autoSpaceDE/>
        <w:autoSpaceDN/>
        <w:bidi w:val="0"/>
        <w:spacing w:line="440" w:lineRule="exact"/>
        <w:ind w:firstLine="480" w:firstLineChars="200"/>
        <w:jc w:val="left"/>
        <w:textAlignment w:val="auto"/>
        <w:rPr>
          <w:rFonts w:ascii="宋体" w:hAnsi="宋体" w:cs="仿宋"/>
          <w:color w:val="auto"/>
          <w:sz w:val="24"/>
        </w:rPr>
      </w:pPr>
      <w:r>
        <w:rPr>
          <w:rFonts w:hint="eastAsia" w:ascii="宋体" w:hAnsi="宋体" w:cs="仿宋"/>
          <w:color w:val="auto"/>
          <w:sz w:val="24"/>
        </w:rPr>
        <w:t>1、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14:paraId="22DBD0D3">
      <w:pPr>
        <w:keepNext w:val="0"/>
        <w:keepLines w:val="0"/>
        <w:pageBreakBefore w:val="0"/>
        <w:widowControl/>
        <w:kinsoku/>
        <w:wordWrap w:val="0"/>
        <w:overflowPunct/>
        <w:topLinePunct w:val="0"/>
        <w:autoSpaceDE/>
        <w:autoSpaceDN/>
        <w:bidi w:val="0"/>
        <w:spacing w:line="440" w:lineRule="exact"/>
        <w:ind w:firstLine="480" w:firstLineChars="200"/>
        <w:jc w:val="left"/>
        <w:textAlignment w:val="auto"/>
        <w:rPr>
          <w:rFonts w:hint="eastAsia" w:ascii="宋体" w:hAnsi="宋体" w:cs="仿宋"/>
          <w:color w:val="auto"/>
          <w:sz w:val="24"/>
        </w:rPr>
      </w:pPr>
      <w:r>
        <w:rPr>
          <w:rFonts w:hint="eastAsia" w:ascii="宋体" w:hAnsi="宋体" w:cs="仿宋"/>
          <w:color w:val="auto"/>
          <w:sz w:val="24"/>
        </w:rPr>
        <w:t>2、根据优化营商环境的要求，评标时以投标文件为准：</w:t>
      </w:r>
    </w:p>
    <w:p w14:paraId="1D56A065">
      <w:pPr>
        <w:keepNext w:val="0"/>
        <w:keepLines w:val="0"/>
        <w:pageBreakBefore w:val="0"/>
        <w:widowControl/>
        <w:kinsoku/>
        <w:wordWrap w:val="0"/>
        <w:overflowPunct/>
        <w:topLinePunct w:val="0"/>
        <w:autoSpaceDE/>
        <w:autoSpaceDN/>
        <w:bidi w:val="0"/>
        <w:spacing w:line="440" w:lineRule="exact"/>
        <w:ind w:firstLine="480" w:firstLineChars="200"/>
        <w:jc w:val="left"/>
        <w:textAlignment w:val="auto"/>
        <w:rPr>
          <w:rFonts w:hint="eastAsia" w:ascii="宋体" w:hAnsi="宋体" w:cs="仿宋"/>
          <w:color w:val="auto"/>
          <w:sz w:val="24"/>
        </w:rPr>
      </w:pPr>
      <w:r>
        <w:rPr>
          <w:rFonts w:hint="eastAsia" w:ascii="宋体" w:hAnsi="宋体" w:cs="仿宋"/>
          <w:color w:val="auto"/>
          <w:sz w:val="24"/>
        </w:rPr>
        <w:t>（1）资格评（预）审部分：资格评（预）以投标文件为准，其上传资料真实性由投标人自行承担，同时投标人要完善主体库。</w:t>
      </w:r>
    </w:p>
    <w:p w14:paraId="4EFF382A">
      <w:pPr>
        <w:keepNext w:val="0"/>
        <w:keepLines w:val="0"/>
        <w:pageBreakBefore w:val="0"/>
        <w:widowControl/>
        <w:kinsoku/>
        <w:wordWrap w:val="0"/>
        <w:overflowPunct/>
        <w:topLinePunct w:val="0"/>
        <w:autoSpaceDE/>
        <w:autoSpaceDN/>
        <w:bidi w:val="0"/>
        <w:spacing w:line="440" w:lineRule="exact"/>
        <w:ind w:firstLine="480" w:firstLineChars="200"/>
        <w:jc w:val="left"/>
        <w:textAlignment w:val="auto"/>
        <w:rPr>
          <w:rFonts w:hint="eastAsia" w:ascii="宋体" w:hAnsi="宋体" w:cs="仿宋"/>
          <w:color w:val="auto"/>
          <w:sz w:val="24"/>
        </w:rPr>
      </w:pPr>
      <w:r>
        <w:rPr>
          <w:rFonts w:hint="eastAsia" w:ascii="宋体" w:hAnsi="宋体" w:cs="仿宋"/>
          <w:color w:val="auto"/>
          <w:sz w:val="24"/>
        </w:rPr>
        <w:t>（2）</w:t>
      </w:r>
      <w:r>
        <w:rPr>
          <w:rFonts w:hint="eastAsia" w:ascii="宋体" w:hAnsi="宋体" w:cs="仿宋"/>
          <w:color w:val="auto"/>
          <w:sz w:val="24"/>
          <w:lang w:val="en-US" w:eastAsia="zh-CN"/>
        </w:rPr>
        <w:t>详细评审部分：详细评审部分按照合格制原则进行，涉及到资格审查、企业荣誉、人员业绩、企业业绩等部分时，以投标单位自行制作到投标文件中的相应内容为准。</w:t>
      </w:r>
    </w:p>
    <w:p w14:paraId="18C8AF93">
      <w:pPr>
        <w:keepNext w:val="0"/>
        <w:keepLines w:val="0"/>
        <w:pageBreakBefore w:val="0"/>
        <w:widowControl/>
        <w:kinsoku/>
        <w:wordWrap w:val="0"/>
        <w:overflowPunct/>
        <w:topLinePunct w:val="0"/>
        <w:autoSpaceDE/>
        <w:autoSpaceDN/>
        <w:bidi w:val="0"/>
        <w:spacing w:line="440" w:lineRule="exact"/>
        <w:ind w:firstLine="480" w:firstLineChars="200"/>
        <w:jc w:val="left"/>
        <w:textAlignment w:val="auto"/>
        <w:rPr>
          <w:rFonts w:hint="eastAsia" w:ascii="宋体" w:hAnsi="宋体" w:cs="仿宋"/>
          <w:color w:val="auto"/>
          <w:sz w:val="24"/>
        </w:rPr>
      </w:pPr>
      <w:r>
        <w:rPr>
          <w:rFonts w:hint="eastAsia" w:ascii="宋体" w:hAnsi="宋体" w:cs="仿宋"/>
          <w:color w:val="auto"/>
          <w:sz w:val="24"/>
        </w:rPr>
        <w:t>（3）投标文件编制部分：在招标文件中要求投标人按照投标文件格式进行投标文件编制，在投标文件编制时，应明确将投标单位企业基本情况、资质情况、人员情况、</w:t>
      </w:r>
      <w:r>
        <w:rPr>
          <w:rFonts w:hint="eastAsia" w:ascii="宋体" w:hAnsi="宋体" w:cs="仿宋"/>
          <w:color w:val="auto"/>
          <w:sz w:val="24"/>
          <w:lang w:val="en-US" w:eastAsia="zh-CN"/>
        </w:rPr>
        <w:t>财务情况、</w:t>
      </w:r>
      <w:r>
        <w:rPr>
          <w:rFonts w:hint="eastAsia" w:ascii="宋体" w:hAnsi="宋体" w:cs="仿宋"/>
          <w:color w:val="auto"/>
          <w:sz w:val="24"/>
        </w:rPr>
        <w:t>业绩情况编入投标文件，便于进行资格审查及</w:t>
      </w:r>
      <w:r>
        <w:rPr>
          <w:rFonts w:hint="eastAsia" w:ascii="宋体" w:hAnsi="宋体" w:cs="仿宋"/>
          <w:color w:val="auto"/>
          <w:sz w:val="24"/>
          <w:lang w:val="en-US" w:eastAsia="zh-CN"/>
        </w:rPr>
        <w:t>详细评审</w:t>
      </w:r>
      <w:r>
        <w:rPr>
          <w:rFonts w:hint="eastAsia" w:ascii="宋体" w:hAnsi="宋体" w:cs="仿宋"/>
          <w:color w:val="auto"/>
          <w:sz w:val="24"/>
        </w:rPr>
        <w:t>。</w:t>
      </w:r>
    </w:p>
    <w:p w14:paraId="41A4AA4A">
      <w:pPr>
        <w:pageBreakBefore w:val="0"/>
        <w:widowControl/>
        <w:kinsoku/>
        <w:wordWrap w:val="0"/>
        <w:overflowPunct/>
        <w:topLinePunct w:val="0"/>
        <w:autoSpaceDE w:val="0"/>
        <w:bidi w:val="0"/>
        <w:spacing w:line="480" w:lineRule="exact"/>
        <w:ind w:firstLine="480" w:firstLineChars="200"/>
        <w:jc w:val="left"/>
        <w:rPr>
          <w:rFonts w:ascii="宋体" w:hAnsi="宋体" w:eastAsia="宋体" w:cs="仿宋_GB2312"/>
          <w:kern w:val="0"/>
          <w:sz w:val="24"/>
          <w:szCs w:val="24"/>
        </w:rPr>
      </w:pPr>
      <w:r>
        <w:rPr>
          <w:rFonts w:ascii="宋体" w:hAnsi="宋体" w:eastAsia="宋体" w:cs="仿宋_GB2312"/>
          <w:kern w:val="0"/>
          <w:sz w:val="24"/>
          <w:szCs w:val="24"/>
        </w:rPr>
        <w:t>3.投标人递交的资料和投标文件不论中标与否均不予退还。</w:t>
      </w:r>
    </w:p>
    <w:p w14:paraId="1B50474F">
      <w:pPr>
        <w:pageBreakBefore w:val="0"/>
        <w:widowControl/>
        <w:kinsoku/>
        <w:wordWrap w:val="0"/>
        <w:overflowPunct/>
        <w:topLinePunct w:val="0"/>
        <w:autoSpaceDE w:val="0"/>
        <w:bidi w:val="0"/>
        <w:spacing w:line="480" w:lineRule="exact"/>
        <w:ind w:firstLine="480" w:firstLineChars="200"/>
        <w:jc w:val="left"/>
        <w:rPr>
          <w:rFonts w:ascii="宋体" w:hAnsi="宋体" w:eastAsia="宋体" w:cs="仿宋_GB2312"/>
          <w:kern w:val="0"/>
          <w:sz w:val="24"/>
          <w:szCs w:val="24"/>
        </w:rPr>
      </w:pPr>
      <w:r>
        <w:rPr>
          <w:rFonts w:ascii="宋体" w:hAnsi="宋体" w:eastAsia="宋体" w:cs="仿宋_GB2312"/>
          <w:kern w:val="0"/>
          <w:sz w:val="24"/>
          <w:szCs w:val="24"/>
        </w:rPr>
        <w:t>4.本项目评分业绩以投标文件业绩信息为准，可使用电子营业执照。</w:t>
      </w:r>
    </w:p>
    <w:p w14:paraId="1687527D">
      <w:pPr>
        <w:keepNext w:val="0"/>
        <w:keepLines w:val="0"/>
        <w:pageBreakBefore w:val="0"/>
        <w:widowControl/>
        <w:kinsoku/>
        <w:wordWrap w:val="0"/>
        <w:overflowPunct/>
        <w:topLinePunct w:val="0"/>
        <w:autoSpaceDE/>
        <w:autoSpaceDN/>
        <w:bidi w:val="0"/>
        <w:spacing w:line="440" w:lineRule="exact"/>
        <w:ind w:firstLine="480" w:firstLineChars="200"/>
        <w:jc w:val="left"/>
        <w:textAlignment w:val="auto"/>
        <w:rPr>
          <w:rFonts w:ascii="宋体" w:hAnsi="宋体" w:eastAsia="宋体" w:cs="仿宋_GB2312"/>
          <w:kern w:val="0"/>
          <w:sz w:val="24"/>
          <w:szCs w:val="24"/>
        </w:rPr>
      </w:pPr>
      <w:r>
        <w:rPr>
          <w:rFonts w:ascii="宋体" w:hAnsi="宋体" w:eastAsia="宋体" w:cs="仿宋_GB2312"/>
          <w:kern w:val="0"/>
          <w:sz w:val="24"/>
          <w:szCs w:val="24"/>
        </w:rPr>
        <w:t>5.招标人不组织投标人踏勘现场。</w:t>
      </w:r>
    </w:p>
    <w:p w14:paraId="34F4D62B">
      <w:pPr>
        <w:keepNext w:val="0"/>
        <w:keepLines w:val="0"/>
        <w:pageBreakBefore w:val="0"/>
        <w:widowControl/>
        <w:kinsoku/>
        <w:wordWrap w:val="0"/>
        <w:overflowPunct/>
        <w:topLinePunct w:val="0"/>
        <w:autoSpaceDE/>
        <w:autoSpaceDN/>
        <w:bidi w:val="0"/>
        <w:spacing w:line="440" w:lineRule="exact"/>
        <w:ind w:firstLine="480" w:firstLineChars="200"/>
        <w:jc w:val="left"/>
        <w:textAlignment w:val="auto"/>
        <w:rPr>
          <w:rFonts w:hint="eastAsia" w:ascii="宋体" w:hAnsi="宋体" w:cs="仿宋"/>
          <w:color w:val="auto"/>
          <w:sz w:val="24"/>
        </w:rPr>
      </w:pPr>
      <w:r>
        <w:rPr>
          <w:rFonts w:hint="eastAsia" w:ascii="宋体" w:hAnsi="宋体" w:cs="仿宋"/>
          <w:color w:val="auto"/>
          <w:sz w:val="24"/>
        </w:rPr>
        <w:t>温馨提示：本项目为电子化、无纸化交易项目，开标时不再接受任何纸质资料，为保证您能投标成功，请需仔细阅读招标文件和三门峡市公共资源交易中心官网业务办理指南。</w:t>
      </w:r>
    </w:p>
    <w:p w14:paraId="7BBCBA98">
      <w:pPr>
        <w:keepNext w:val="0"/>
        <w:keepLines w:val="0"/>
        <w:pageBreakBefore w:val="0"/>
        <w:kinsoku/>
        <w:wordWrap w:val="0"/>
        <w:overflowPunct/>
        <w:topLinePunct w:val="0"/>
        <w:autoSpaceDE/>
        <w:autoSpaceDN/>
        <w:bidi w:val="0"/>
        <w:spacing w:line="440" w:lineRule="exact"/>
        <w:ind w:firstLine="482" w:firstLineChars="200"/>
        <w:textAlignment w:val="auto"/>
        <w:rPr>
          <w:rFonts w:ascii="宋体" w:hAnsi="宋体" w:cs="仿宋"/>
          <w:b/>
          <w:bCs/>
          <w:color w:val="auto"/>
          <w:sz w:val="24"/>
        </w:rPr>
      </w:pPr>
      <w:r>
        <w:rPr>
          <w:rFonts w:hint="eastAsia" w:ascii="宋体" w:hAnsi="宋体" w:cs="仿宋"/>
          <w:b/>
          <w:bCs/>
          <w:color w:val="auto"/>
          <w:sz w:val="24"/>
        </w:rPr>
        <w:t>八、发布公告媒介</w:t>
      </w:r>
    </w:p>
    <w:p w14:paraId="646A013E">
      <w:pPr>
        <w:keepNext w:val="0"/>
        <w:keepLines w:val="0"/>
        <w:pageBreakBefore w:val="0"/>
        <w:kinsoku/>
        <w:wordWrap w:val="0"/>
        <w:overflowPunct/>
        <w:topLinePunct w:val="0"/>
        <w:autoSpaceDE/>
        <w:autoSpaceDN/>
        <w:bidi w:val="0"/>
        <w:spacing w:line="440" w:lineRule="exact"/>
        <w:ind w:firstLine="480" w:firstLineChars="200"/>
        <w:textAlignment w:val="auto"/>
        <w:rPr>
          <w:rFonts w:ascii="宋体" w:hAnsi="宋体" w:cs="仿宋"/>
          <w:color w:val="auto"/>
          <w:sz w:val="24"/>
        </w:rPr>
      </w:pPr>
      <w:r>
        <w:rPr>
          <w:rFonts w:hint="eastAsia" w:ascii="宋体" w:hAnsi="宋体" w:cs="仿宋"/>
          <w:color w:val="auto"/>
          <w:sz w:val="24"/>
        </w:rPr>
        <w:t>本次招标公告同时在</w:t>
      </w:r>
      <w:r>
        <w:rPr>
          <w:rFonts w:hint="eastAsia" w:ascii="宋体" w:hAnsi="宋体" w:cs="仿宋"/>
          <w:sz w:val="24"/>
          <w:lang w:eastAsia="zh-CN"/>
        </w:rPr>
        <w:t>《中国招标投标公共服务平台》、《中国采购与招标网》</w:t>
      </w:r>
      <w:r>
        <w:rPr>
          <w:rFonts w:hint="eastAsia" w:ascii="宋体" w:hAnsi="宋体" w:cs="仿宋"/>
          <w:color w:val="000000" w:themeColor="text1"/>
          <w:sz w:val="24"/>
          <w:lang w:eastAsia="zh-CN"/>
          <w14:textFill>
            <w14:solidFill>
              <w14:schemeClr w14:val="tx1"/>
            </w14:solidFill>
          </w14:textFill>
        </w:rPr>
        <w:t>、《河南省政府采购网》</w:t>
      </w:r>
      <w:r>
        <w:rPr>
          <w:rFonts w:hint="eastAsia" w:ascii="宋体" w:hAnsi="宋体" w:cs="仿宋"/>
          <w:sz w:val="24"/>
          <w:lang w:eastAsia="zh-CN"/>
        </w:rPr>
        <w:t>和《三门峡市公共资源交易中心网》</w:t>
      </w:r>
      <w:r>
        <w:rPr>
          <w:rFonts w:hint="eastAsia" w:ascii="宋体" w:hAnsi="宋体" w:cs="仿宋"/>
          <w:color w:val="auto"/>
          <w:sz w:val="24"/>
        </w:rPr>
        <w:t>发布。</w:t>
      </w:r>
    </w:p>
    <w:p w14:paraId="7205A80D">
      <w:pPr>
        <w:keepNext w:val="0"/>
        <w:keepLines w:val="0"/>
        <w:pageBreakBefore w:val="0"/>
        <w:kinsoku/>
        <w:wordWrap w:val="0"/>
        <w:overflowPunct/>
        <w:topLinePunct w:val="0"/>
        <w:autoSpaceDE/>
        <w:autoSpaceDN/>
        <w:bidi w:val="0"/>
        <w:spacing w:line="440" w:lineRule="exact"/>
        <w:ind w:firstLine="482" w:firstLineChars="200"/>
        <w:jc w:val="left"/>
        <w:textAlignment w:val="auto"/>
        <w:rPr>
          <w:rFonts w:hint="eastAsia" w:ascii="宋体" w:hAnsi="宋体" w:eastAsia="宋体" w:cs="宋体"/>
          <w:color w:val="auto"/>
        </w:rPr>
      </w:pPr>
      <w:r>
        <w:rPr>
          <w:rFonts w:hint="eastAsia" w:ascii="宋体" w:hAnsi="宋体" w:cs="宋体"/>
          <w:b/>
          <w:bCs/>
          <w:color w:val="auto"/>
          <w:kern w:val="0"/>
          <w:sz w:val="24"/>
        </w:rPr>
        <w:t>九、联系方式</w:t>
      </w:r>
      <w:bookmarkEnd w:id="17"/>
      <w:bookmarkEnd w:id="18"/>
      <w:bookmarkEnd w:id="19"/>
      <w:bookmarkEnd w:id="20"/>
      <w:bookmarkEnd w:id="21"/>
      <w:bookmarkStart w:id="31" w:name="_Toc76460579"/>
    </w:p>
    <w:p w14:paraId="53CA9A94">
      <w:pPr>
        <w:pStyle w:val="18"/>
        <w:keepNext w:val="0"/>
        <w:keepLines w:val="0"/>
        <w:pageBreakBefore w:val="0"/>
        <w:shd w:val="clear" w:color="auto" w:fill="FFFFFF"/>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监督单位：卢氏县交通运输局</w:t>
      </w:r>
    </w:p>
    <w:p w14:paraId="74C41836">
      <w:pPr>
        <w:pStyle w:val="18"/>
        <w:keepNext w:val="0"/>
        <w:keepLines w:val="0"/>
        <w:pageBreakBefore w:val="0"/>
        <w:shd w:val="clear" w:color="auto" w:fill="FFFFFF"/>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联系人：</w:t>
      </w:r>
      <w:r>
        <w:rPr>
          <w:rFonts w:hint="eastAsia" w:cs="宋体"/>
          <w:color w:val="auto"/>
          <w:lang w:val="en-US" w:eastAsia="zh-CN"/>
        </w:rPr>
        <w:t>贾磊</w:t>
      </w:r>
      <w:r>
        <w:rPr>
          <w:rFonts w:hint="eastAsia" w:ascii="宋体" w:hAnsi="宋体" w:eastAsia="宋体" w:cs="宋体"/>
          <w:color w:val="auto"/>
        </w:rPr>
        <w:t>、宁继红</w:t>
      </w:r>
    </w:p>
    <w:p w14:paraId="5AB56086">
      <w:pPr>
        <w:pStyle w:val="18"/>
        <w:keepNext w:val="0"/>
        <w:keepLines w:val="0"/>
        <w:pageBreakBefore w:val="0"/>
        <w:shd w:val="clear" w:color="auto" w:fill="FFFFFF"/>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电话：</w:t>
      </w:r>
      <w:r>
        <w:rPr>
          <w:rFonts w:hint="eastAsia" w:cs="宋体"/>
          <w:color w:val="auto"/>
          <w:lang w:val="en-US" w:eastAsia="zh-CN"/>
        </w:rPr>
        <w:t>13569602674</w:t>
      </w:r>
      <w:r>
        <w:rPr>
          <w:rFonts w:hint="eastAsia" w:ascii="宋体" w:hAnsi="宋体" w:eastAsia="宋体" w:cs="宋体"/>
          <w:color w:val="auto"/>
        </w:rPr>
        <w:t>、18614919288</w:t>
      </w:r>
    </w:p>
    <w:p w14:paraId="3213FC65">
      <w:pPr>
        <w:pStyle w:val="18"/>
        <w:keepNext w:val="0"/>
        <w:keepLines w:val="0"/>
        <w:pageBreakBefore w:val="0"/>
        <w:shd w:val="clear" w:color="auto" w:fill="FFFFFF"/>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rPr>
        <w:t>地址：卢氏县莘源西路与中兴路交叉口</w:t>
      </w:r>
    </w:p>
    <w:p w14:paraId="09BC2D50">
      <w:pPr>
        <w:pStyle w:val="18"/>
        <w:keepNext w:val="0"/>
        <w:keepLines w:val="0"/>
        <w:pageBreakBefore w:val="0"/>
        <w:shd w:val="clear" w:color="auto" w:fill="FFFFFF"/>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lang w:val="en-US" w:eastAsia="zh-CN"/>
        </w:rPr>
      </w:pPr>
      <w:bookmarkStart w:id="32" w:name="_Toc83750125"/>
      <w:r>
        <w:rPr>
          <w:rFonts w:hint="eastAsia" w:cs="宋体"/>
          <w:color w:val="auto"/>
          <w:lang w:val="en-US" w:eastAsia="zh-CN"/>
        </w:rPr>
        <w:t>招标人</w:t>
      </w:r>
      <w:r>
        <w:rPr>
          <w:rFonts w:hint="eastAsia" w:ascii="宋体" w:hAnsi="宋体" w:eastAsia="宋体" w:cs="宋体"/>
          <w:color w:val="auto"/>
          <w:lang w:val="en-US" w:eastAsia="zh-CN"/>
        </w:rPr>
        <w:t>：卢氏县公路事业发展中心</w:t>
      </w:r>
    </w:p>
    <w:p w14:paraId="2DA47E5E">
      <w:pPr>
        <w:pStyle w:val="18"/>
        <w:keepNext w:val="0"/>
        <w:keepLines w:val="0"/>
        <w:pageBreakBefore w:val="0"/>
        <w:shd w:val="clear" w:color="auto" w:fill="FFFFFF"/>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auto"/>
          <w:lang w:val="en-US" w:eastAsia="zh-CN"/>
        </w:rPr>
        <w:t>联系人：</w:t>
      </w:r>
      <w:r>
        <w:rPr>
          <w:rFonts w:hint="eastAsia" w:ascii="宋体" w:hAnsi="宋体" w:eastAsia="宋体" w:cs="宋体"/>
          <w:color w:val="000000" w:themeColor="text1"/>
          <w:lang w:val="en-US" w:eastAsia="zh-CN"/>
          <w14:textFill>
            <w14:solidFill>
              <w14:schemeClr w14:val="tx1"/>
            </w14:solidFill>
          </w14:textFill>
        </w:rPr>
        <w:t>乔鹏飞</w:t>
      </w:r>
    </w:p>
    <w:p w14:paraId="0D34D185">
      <w:pPr>
        <w:pStyle w:val="18"/>
        <w:keepNext w:val="0"/>
        <w:keepLines w:val="0"/>
        <w:pageBreakBefore w:val="0"/>
        <w:shd w:val="clear" w:color="auto" w:fill="FFFFFF"/>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电话：</w:t>
      </w:r>
      <w:r>
        <w:rPr>
          <w:rFonts w:hint="eastAsia" w:ascii="宋体" w:hAnsi="宋体" w:eastAsia="宋体" w:cs="Tahoma"/>
          <w:color w:val="000000" w:themeColor="text1"/>
          <w:kern w:val="0"/>
          <w:sz w:val="24"/>
          <w:szCs w:val="24"/>
          <w:highlight w:val="none"/>
          <w14:textFill>
            <w14:solidFill>
              <w14:schemeClr w14:val="tx1"/>
            </w14:solidFill>
          </w14:textFill>
        </w:rPr>
        <w:t>0398-3121066</w:t>
      </w:r>
      <w:r>
        <w:rPr>
          <w:rFonts w:hint="eastAsia" w:ascii="宋体" w:hAnsi="宋体" w:eastAsia="宋体" w:cs="Tahoma"/>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18539807515</w:t>
      </w:r>
    </w:p>
    <w:p w14:paraId="021DB137">
      <w:pPr>
        <w:pStyle w:val="18"/>
        <w:keepNext w:val="0"/>
        <w:keepLines w:val="0"/>
        <w:pageBreakBefore w:val="0"/>
        <w:shd w:val="clear" w:color="auto" w:fill="FFFFFF"/>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地址：</w:t>
      </w:r>
      <w:r>
        <w:rPr>
          <w:rFonts w:hint="eastAsia" w:cs="宋体"/>
          <w:color w:val="000000" w:themeColor="text1"/>
          <w:lang w:val="en-US" w:eastAsia="zh-CN"/>
          <w14:textFill>
            <w14:solidFill>
              <w14:schemeClr w14:val="tx1"/>
            </w14:solidFill>
          </w14:textFill>
        </w:rPr>
        <w:t>河南省卢氏县滨河路东（桃花谷路南东侧）</w:t>
      </w:r>
    </w:p>
    <w:p w14:paraId="771F70B0">
      <w:pPr>
        <w:pStyle w:val="18"/>
        <w:keepNext w:val="0"/>
        <w:keepLines w:val="0"/>
        <w:pageBreakBefore w:val="0"/>
        <w:shd w:val="clear" w:color="auto" w:fill="FFFFFF"/>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代理机构：</w:t>
      </w:r>
      <w:r>
        <w:rPr>
          <w:rFonts w:hint="eastAsia" w:cs="宋体"/>
          <w:color w:val="auto"/>
          <w:lang w:eastAsia="zh-CN"/>
        </w:rPr>
        <w:t>兴建建设管理有限公司</w:t>
      </w:r>
    </w:p>
    <w:p w14:paraId="6F4EDBB4">
      <w:pPr>
        <w:pStyle w:val="18"/>
        <w:keepNext w:val="0"/>
        <w:keepLines w:val="0"/>
        <w:pageBreakBefore w:val="0"/>
        <w:shd w:val="clear" w:color="auto" w:fill="FFFFFF"/>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联系人：</w:t>
      </w:r>
      <w:r>
        <w:rPr>
          <w:rFonts w:hint="eastAsia" w:cs="宋体"/>
          <w:color w:val="auto"/>
          <w:lang w:val="en-US" w:eastAsia="zh-CN"/>
        </w:rPr>
        <w:t>梁栋</w:t>
      </w:r>
    </w:p>
    <w:p w14:paraId="76E946CC">
      <w:pPr>
        <w:widowControl/>
        <w:wordWrap w:val="0"/>
        <w:spacing w:line="360" w:lineRule="auto"/>
        <w:ind w:firstLine="480" w:firstLineChars="200"/>
        <w:rPr>
          <w:rFonts w:ascii="宋体" w:hAnsi="宋体" w:cs="宋体"/>
          <w:kern w:val="0"/>
          <w:sz w:val="24"/>
        </w:rPr>
      </w:pPr>
      <w:r>
        <w:rPr>
          <w:rFonts w:hint="eastAsia" w:ascii="宋体" w:hAnsi="宋体" w:cs="宋体"/>
          <w:kern w:val="0"/>
          <w:sz w:val="24"/>
        </w:rPr>
        <w:t>电话：</w:t>
      </w:r>
      <w:r>
        <w:rPr>
          <w:rFonts w:hint="eastAsia" w:ascii="宋体" w:hAnsi="宋体" w:eastAsia="宋体" w:cs="宋体"/>
          <w:kern w:val="0"/>
          <w:sz w:val="24"/>
          <w:szCs w:val="24"/>
          <w:lang w:val="en-US" w:eastAsia="zh-CN" w:bidi="ar-SA"/>
        </w:rPr>
        <w:t>15936875123</w:t>
      </w:r>
      <w:r>
        <w:rPr>
          <w:rFonts w:hint="eastAsia" w:ascii="宋体" w:hAnsi="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13949796015</w:t>
      </w:r>
    </w:p>
    <w:p w14:paraId="6D42FF6B">
      <w:pPr>
        <w:widowControl/>
        <w:wordWrap w:val="0"/>
        <w:spacing w:line="360" w:lineRule="auto"/>
        <w:ind w:firstLine="480" w:firstLineChars="200"/>
        <w:rPr>
          <w:rFonts w:ascii="宋体" w:hAnsi="宋体" w:cs="宋体"/>
          <w:kern w:val="0"/>
          <w:sz w:val="24"/>
        </w:rPr>
      </w:pPr>
      <w:r>
        <w:rPr>
          <w:rFonts w:hint="eastAsia" w:ascii="宋体" w:hAnsi="宋体" w:cs="宋体"/>
          <w:kern w:val="0"/>
          <w:sz w:val="24"/>
        </w:rPr>
        <w:t>地址：郑州市郑东新区商务内环众意西路金成东方国际10号楼1401室</w:t>
      </w:r>
    </w:p>
    <w:p w14:paraId="7785E0ED">
      <w:pPr>
        <w:pStyle w:val="2"/>
        <w:wordWrap w:val="0"/>
        <w:spacing w:line="240" w:lineRule="auto"/>
        <w:jc w:val="center"/>
        <w:rPr>
          <w:rFonts w:ascii="宋体" w:hAnsi="宋体" w:cs="宋体"/>
          <w:bCs w:val="0"/>
          <w:color w:val="auto"/>
          <w:kern w:val="0"/>
          <w:sz w:val="30"/>
          <w:szCs w:val="30"/>
        </w:rPr>
      </w:pPr>
      <w:r>
        <w:rPr>
          <w:rFonts w:ascii="宋体" w:hAnsi="宋体" w:cs="宋体"/>
          <w:bCs w:val="0"/>
          <w:color w:val="auto"/>
          <w:kern w:val="0"/>
          <w:sz w:val="30"/>
          <w:szCs w:val="30"/>
        </w:rPr>
        <w:br w:type="page"/>
      </w:r>
      <w:bookmarkStart w:id="33" w:name="_Toc180485649"/>
      <w:r>
        <w:rPr>
          <w:rFonts w:hint="eastAsia" w:ascii="宋体" w:hAnsi="宋体" w:cs="宋体"/>
          <w:bCs w:val="0"/>
          <w:color w:val="auto"/>
          <w:kern w:val="0"/>
          <w:sz w:val="30"/>
          <w:szCs w:val="30"/>
        </w:rPr>
        <w:t>第二章  投标人须知</w:t>
      </w:r>
      <w:bookmarkEnd w:id="31"/>
      <w:bookmarkEnd w:id="32"/>
      <w:bookmarkEnd w:id="33"/>
      <w:bookmarkStart w:id="34" w:name="_Toc434049544"/>
      <w:bookmarkStart w:id="35" w:name="_Toc4018"/>
      <w:bookmarkStart w:id="36" w:name="_Toc512689606"/>
      <w:bookmarkStart w:id="37" w:name="_Toc513132244"/>
      <w:bookmarkStart w:id="38" w:name="_Toc513214324"/>
      <w:bookmarkStart w:id="39" w:name="_Toc38398083"/>
    </w:p>
    <w:p w14:paraId="39022AC6">
      <w:pPr>
        <w:wordWrap w:val="0"/>
        <w:spacing w:line="360" w:lineRule="auto"/>
        <w:jc w:val="center"/>
        <w:outlineLvl w:val="1"/>
        <w:rPr>
          <w:rFonts w:ascii="宋体" w:hAnsi="宋体" w:cs="宋体"/>
          <w:b/>
          <w:color w:val="auto"/>
          <w:sz w:val="24"/>
        </w:rPr>
      </w:pPr>
      <w:bookmarkStart w:id="40" w:name="_Toc83750126"/>
      <w:bookmarkStart w:id="41" w:name="_Toc180485650"/>
      <w:bookmarkStart w:id="42" w:name="_Toc76460580"/>
      <w:r>
        <w:rPr>
          <w:rFonts w:hint="eastAsia" w:ascii="宋体" w:hAnsi="宋体" w:cs="宋体"/>
          <w:b/>
          <w:color w:val="auto"/>
          <w:sz w:val="24"/>
        </w:rPr>
        <w:t>投标人须知前附表</w:t>
      </w:r>
      <w:bookmarkEnd w:id="34"/>
      <w:bookmarkEnd w:id="35"/>
      <w:bookmarkEnd w:id="36"/>
      <w:bookmarkEnd w:id="37"/>
      <w:bookmarkEnd w:id="38"/>
      <w:bookmarkEnd w:id="39"/>
      <w:bookmarkEnd w:id="40"/>
      <w:bookmarkEnd w:id="41"/>
      <w:bookmarkEnd w:id="42"/>
    </w:p>
    <w:tbl>
      <w:tblPr>
        <w:tblStyle w:val="15"/>
        <w:tblW w:w="90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0"/>
        <w:gridCol w:w="2183"/>
        <w:gridCol w:w="5792"/>
      </w:tblGrid>
      <w:tr w14:paraId="29E59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060" w:type="dxa"/>
            <w:noWrap w:val="0"/>
            <w:vAlign w:val="center"/>
          </w:tcPr>
          <w:p w14:paraId="74CAEA54">
            <w:pPr>
              <w:widowControl/>
              <w:wordWrap w:val="0"/>
              <w:spacing w:line="240" w:lineRule="auto"/>
              <w:jc w:val="center"/>
              <w:rPr>
                <w:rFonts w:ascii="宋体" w:hAnsi="宋体" w:cs="宋体"/>
                <w:color w:val="auto"/>
                <w:kern w:val="0"/>
                <w:sz w:val="24"/>
              </w:rPr>
            </w:pPr>
            <w:r>
              <w:rPr>
                <w:rFonts w:hint="eastAsia" w:ascii="宋体" w:hAnsi="宋体" w:cs="宋体"/>
                <w:color w:val="auto"/>
                <w:kern w:val="0"/>
                <w:sz w:val="24"/>
              </w:rPr>
              <w:t>条款号</w:t>
            </w:r>
          </w:p>
        </w:tc>
        <w:tc>
          <w:tcPr>
            <w:tcW w:w="2183" w:type="dxa"/>
            <w:noWrap w:val="0"/>
            <w:vAlign w:val="center"/>
          </w:tcPr>
          <w:p w14:paraId="016F407F">
            <w:pPr>
              <w:widowControl/>
              <w:wordWrap w:val="0"/>
              <w:spacing w:line="240" w:lineRule="auto"/>
              <w:jc w:val="center"/>
              <w:rPr>
                <w:rFonts w:ascii="宋体" w:hAnsi="宋体" w:cs="宋体"/>
                <w:color w:val="auto"/>
                <w:kern w:val="0"/>
                <w:sz w:val="24"/>
              </w:rPr>
            </w:pPr>
            <w:r>
              <w:rPr>
                <w:rFonts w:hint="eastAsia" w:ascii="宋体" w:hAnsi="宋体" w:cs="宋体"/>
                <w:color w:val="auto"/>
                <w:kern w:val="0"/>
                <w:sz w:val="24"/>
              </w:rPr>
              <w:t>条 款 名 称</w:t>
            </w:r>
          </w:p>
        </w:tc>
        <w:tc>
          <w:tcPr>
            <w:tcW w:w="5792" w:type="dxa"/>
            <w:noWrap w:val="0"/>
            <w:vAlign w:val="center"/>
          </w:tcPr>
          <w:p w14:paraId="3E4BA370">
            <w:pPr>
              <w:widowControl/>
              <w:wordWrap w:val="0"/>
              <w:spacing w:line="240" w:lineRule="auto"/>
              <w:jc w:val="center"/>
              <w:rPr>
                <w:rFonts w:ascii="宋体" w:hAnsi="宋体" w:cs="宋体"/>
                <w:color w:val="auto"/>
                <w:kern w:val="0"/>
                <w:sz w:val="24"/>
              </w:rPr>
            </w:pPr>
            <w:r>
              <w:rPr>
                <w:rFonts w:hint="eastAsia" w:ascii="宋体" w:hAnsi="宋体" w:cs="宋体"/>
                <w:color w:val="auto"/>
                <w:kern w:val="0"/>
                <w:sz w:val="24"/>
              </w:rPr>
              <w:t>编 列 内 容</w:t>
            </w:r>
          </w:p>
        </w:tc>
      </w:tr>
      <w:tr w14:paraId="63C46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exact"/>
          <w:jc w:val="center"/>
        </w:trPr>
        <w:tc>
          <w:tcPr>
            <w:tcW w:w="1060" w:type="dxa"/>
            <w:noWrap w:val="0"/>
            <w:vAlign w:val="center"/>
          </w:tcPr>
          <w:p w14:paraId="57AF9E9A">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1.0</w:t>
            </w:r>
          </w:p>
        </w:tc>
        <w:tc>
          <w:tcPr>
            <w:tcW w:w="2183" w:type="dxa"/>
            <w:noWrap w:val="0"/>
            <w:vAlign w:val="center"/>
          </w:tcPr>
          <w:p w14:paraId="14C8FDF3">
            <w:pPr>
              <w:widowControl/>
              <w:wordWrap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招标人</w:t>
            </w:r>
          </w:p>
        </w:tc>
        <w:tc>
          <w:tcPr>
            <w:tcW w:w="5792" w:type="dxa"/>
            <w:noWrap w:val="0"/>
            <w:vAlign w:val="center"/>
          </w:tcPr>
          <w:p w14:paraId="0A89D691">
            <w:pPr>
              <w:widowControl/>
              <w:wordWrap w:val="0"/>
              <w:spacing w:line="240" w:lineRule="auto"/>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招标人：卢氏县公路事业发展中心</w:t>
            </w:r>
          </w:p>
          <w:p w14:paraId="1887D9C9">
            <w:pPr>
              <w:widowControl/>
              <w:wordWrap w:val="0"/>
              <w:spacing w:line="240" w:lineRule="auto"/>
              <w:jc w:val="left"/>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auto"/>
                <w:kern w:val="0"/>
                <w:sz w:val="24"/>
                <w:lang w:val="en-US" w:eastAsia="zh-CN"/>
              </w:rPr>
              <w:t>联系人：</w:t>
            </w:r>
            <w:r>
              <w:rPr>
                <w:rFonts w:hint="eastAsia" w:ascii="宋体" w:hAnsi="宋体" w:cs="宋体"/>
                <w:color w:val="000000" w:themeColor="text1"/>
                <w:kern w:val="0"/>
                <w:sz w:val="24"/>
                <w:lang w:val="en-US" w:eastAsia="zh-CN"/>
                <w14:textFill>
                  <w14:solidFill>
                    <w14:schemeClr w14:val="tx1"/>
                  </w14:solidFill>
                </w14:textFill>
              </w:rPr>
              <w:t>乔鹏飞</w:t>
            </w:r>
          </w:p>
          <w:p w14:paraId="1E93EB41">
            <w:pPr>
              <w:widowControl/>
              <w:wordWrap w:val="0"/>
              <w:spacing w:line="240" w:lineRule="auto"/>
              <w:jc w:val="left"/>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电话：</w:t>
            </w:r>
            <w:r>
              <w:rPr>
                <w:rFonts w:hint="eastAsia" w:ascii="宋体" w:hAnsi="宋体" w:eastAsia="宋体" w:cs="Tahoma"/>
                <w:color w:val="auto"/>
                <w:kern w:val="0"/>
                <w:sz w:val="24"/>
                <w:szCs w:val="24"/>
                <w:highlight w:val="none"/>
              </w:rPr>
              <w:t xml:space="preserve">0398-3121066 </w:t>
            </w:r>
            <w:r>
              <w:rPr>
                <w:rFonts w:hint="eastAsia" w:ascii="宋体" w:hAnsi="宋体" w:eastAsia="宋体" w:cs="Tahoma"/>
                <w:color w:val="auto"/>
                <w:kern w:val="0"/>
                <w:sz w:val="24"/>
                <w:szCs w:val="24"/>
                <w:highlight w:val="none"/>
                <w:lang w:eastAsia="zh-CN"/>
              </w:rPr>
              <w:t>、</w:t>
            </w:r>
            <w:r>
              <w:rPr>
                <w:rFonts w:hint="eastAsia" w:ascii="宋体" w:hAnsi="宋体" w:cs="宋体"/>
                <w:color w:val="000000" w:themeColor="text1"/>
                <w:kern w:val="0"/>
                <w:sz w:val="24"/>
                <w:lang w:val="en-US" w:eastAsia="zh-CN"/>
                <w14:textFill>
                  <w14:solidFill>
                    <w14:schemeClr w14:val="tx1"/>
                  </w14:solidFill>
                </w14:textFill>
              </w:rPr>
              <w:t>18539807515</w:t>
            </w:r>
          </w:p>
          <w:p w14:paraId="29926A67">
            <w:pPr>
              <w:widowControl/>
              <w:wordWrap w:val="0"/>
              <w:spacing w:line="240" w:lineRule="auto"/>
              <w:jc w:val="left"/>
              <w:rPr>
                <w:rFonts w:hint="eastAsia" w:ascii="宋体" w:hAnsi="宋体" w:eastAsia="宋体" w:cs="宋体"/>
                <w:color w:val="auto"/>
                <w:kern w:val="0"/>
                <w:sz w:val="24"/>
                <w:highlight w:val="yellow"/>
                <w:lang w:eastAsia="zh-CN"/>
              </w:rPr>
            </w:pPr>
            <w:r>
              <w:rPr>
                <w:rFonts w:hint="eastAsia" w:ascii="宋体" w:hAnsi="宋体" w:eastAsia="宋体" w:cs="宋体"/>
                <w:color w:val="000000" w:themeColor="text1"/>
                <w:kern w:val="0"/>
                <w:sz w:val="24"/>
                <w:lang w:val="en-US" w:eastAsia="zh-CN"/>
                <w14:textFill>
                  <w14:solidFill>
                    <w14:schemeClr w14:val="tx1"/>
                  </w14:solidFill>
                </w14:textFill>
              </w:rPr>
              <w:t>地址：</w:t>
            </w:r>
            <w:r>
              <w:rPr>
                <w:rFonts w:hint="eastAsia" w:ascii="宋体" w:hAnsi="宋体" w:cs="宋体"/>
                <w:color w:val="000000" w:themeColor="text1"/>
                <w:kern w:val="0"/>
                <w:sz w:val="24"/>
                <w:lang w:val="en-US" w:eastAsia="zh-CN"/>
                <w14:textFill>
                  <w14:solidFill>
                    <w14:schemeClr w14:val="tx1"/>
                  </w14:solidFill>
                </w14:textFill>
              </w:rPr>
              <w:t>河南省卢氏县滨河路东（桃花谷路南东侧）</w:t>
            </w:r>
          </w:p>
        </w:tc>
      </w:tr>
      <w:tr w14:paraId="1C561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exact"/>
          <w:jc w:val="center"/>
        </w:trPr>
        <w:tc>
          <w:tcPr>
            <w:tcW w:w="1060" w:type="dxa"/>
            <w:noWrap w:val="0"/>
            <w:vAlign w:val="center"/>
          </w:tcPr>
          <w:p w14:paraId="139DFF12">
            <w:pPr>
              <w:widowControl/>
              <w:wordWrap w:val="0"/>
              <w:spacing w:after="200" w:line="240" w:lineRule="auto"/>
              <w:jc w:val="center"/>
              <w:rPr>
                <w:rFonts w:hint="eastAsia" w:ascii="宋体" w:hAnsi="宋体" w:cs="宋体"/>
                <w:color w:val="auto"/>
                <w:kern w:val="0"/>
                <w:sz w:val="24"/>
              </w:rPr>
            </w:pPr>
            <w:r>
              <w:rPr>
                <w:rFonts w:hint="eastAsia" w:ascii="宋体" w:hAnsi="宋体" w:cs="宋体"/>
                <w:color w:val="auto"/>
                <w:kern w:val="0"/>
                <w:sz w:val="24"/>
              </w:rPr>
              <w:t>1.1</w:t>
            </w:r>
          </w:p>
        </w:tc>
        <w:tc>
          <w:tcPr>
            <w:tcW w:w="2183" w:type="dxa"/>
            <w:noWrap w:val="0"/>
            <w:vAlign w:val="center"/>
          </w:tcPr>
          <w:p w14:paraId="00F4434D">
            <w:pPr>
              <w:widowControl/>
              <w:wordWrap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监督单位</w:t>
            </w:r>
          </w:p>
        </w:tc>
        <w:tc>
          <w:tcPr>
            <w:tcW w:w="5792" w:type="dxa"/>
            <w:noWrap w:val="0"/>
            <w:vAlign w:val="center"/>
          </w:tcPr>
          <w:p w14:paraId="20FCFEA2">
            <w:pPr>
              <w:widowControl/>
              <w:wordWrap w:val="0"/>
              <w:spacing w:line="240" w:lineRule="auto"/>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监督单位：卢氏县交通运输局</w:t>
            </w:r>
          </w:p>
          <w:p w14:paraId="30D19A5F">
            <w:pPr>
              <w:widowControl/>
              <w:wordWrap w:val="0"/>
              <w:spacing w:line="240" w:lineRule="auto"/>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联系人：贾磊、宁继红</w:t>
            </w:r>
          </w:p>
          <w:p w14:paraId="7B82F14B">
            <w:pPr>
              <w:widowControl/>
              <w:wordWrap w:val="0"/>
              <w:spacing w:line="240" w:lineRule="auto"/>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电话： 13569602674、18614919288</w:t>
            </w:r>
          </w:p>
          <w:p w14:paraId="5346CA23">
            <w:pPr>
              <w:widowControl/>
              <w:wordWrap w:val="0"/>
              <w:spacing w:line="240" w:lineRule="auto"/>
              <w:jc w:val="left"/>
              <w:rPr>
                <w:rFonts w:hint="eastAsia" w:ascii="宋体" w:hAnsi="宋体" w:eastAsia="宋体" w:cs="宋体"/>
                <w:color w:val="auto"/>
                <w:kern w:val="0"/>
                <w:sz w:val="24"/>
                <w:highlight w:val="yellow"/>
                <w:lang w:eastAsia="zh-CN"/>
              </w:rPr>
            </w:pPr>
            <w:r>
              <w:rPr>
                <w:rFonts w:hint="eastAsia" w:ascii="宋体" w:hAnsi="宋体" w:cs="宋体"/>
                <w:color w:val="auto"/>
                <w:kern w:val="0"/>
                <w:sz w:val="24"/>
                <w:lang w:val="en-US" w:eastAsia="zh-CN"/>
              </w:rPr>
              <w:t>地址：卢氏县莘源西路与中兴路交叉口</w:t>
            </w:r>
          </w:p>
        </w:tc>
      </w:tr>
      <w:tr w14:paraId="0E0E4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7" w:hRule="exact"/>
          <w:jc w:val="center"/>
        </w:trPr>
        <w:tc>
          <w:tcPr>
            <w:tcW w:w="1060" w:type="dxa"/>
            <w:noWrap w:val="0"/>
            <w:vAlign w:val="center"/>
          </w:tcPr>
          <w:p w14:paraId="7B5C29BE">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lang w:eastAsia="en-US"/>
              </w:rPr>
              <w:t>1.</w:t>
            </w:r>
            <w:r>
              <w:rPr>
                <w:rFonts w:hint="eastAsia" w:ascii="宋体" w:hAnsi="宋体" w:cs="宋体"/>
                <w:color w:val="auto"/>
                <w:kern w:val="0"/>
                <w:sz w:val="24"/>
              </w:rPr>
              <w:t>2</w:t>
            </w:r>
          </w:p>
        </w:tc>
        <w:tc>
          <w:tcPr>
            <w:tcW w:w="2183" w:type="dxa"/>
            <w:noWrap w:val="0"/>
            <w:vAlign w:val="center"/>
          </w:tcPr>
          <w:p w14:paraId="40D02EE3">
            <w:pPr>
              <w:widowControl/>
              <w:wordWrap w:val="0"/>
              <w:spacing w:line="240" w:lineRule="auto"/>
              <w:jc w:val="center"/>
              <w:rPr>
                <w:rFonts w:ascii="宋体" w:hAnsi="宋体" w:cs="宋体"/>
                <w:color w:val="auto"/>
                <w:kern w:val="0"/>
                <w:sz w:val="24"/>
              </w:rPr>
            </w:pPr>
            <w:r>
              <w:rPr>
                <w:rFonts w:hint="eastAsia" w:ascii="宋体" w:hAnsi="宋体" w:cs="宋体"/>
                <w:color w:val="auto"/>
                <w:kern w:val="0"/>
                <w:sz w:val="24"/>
              </w:rPr>
              <w:t>招标代理机构</w:t>
            </w:r>
          </w:p>
        </w:tc>
        <w:tc>
          <w:tcPr>
            <w:tcW w:w="5792" w:type="dxa"/>
            <w:noWrap w:val="0"/>
            <w:vAlign w:val="top"/>
          </w:tcPr>
          <w:p w14:paraId="24AED187">
            <w:pPr>
              <w:widowControl/>
              <w:wordWrap w:val="0"/>
              <w:spacing w:line="240" w:lineRule="auto"/>
              <w:jc w:val="left"/>
              <w:rPr>
                <w:rFonts w:hint="eastAsia" w:ascii="宋体" w:hAnsi="宋体"/>
                <w:color w:val="auto"/>
                <w:sz w:val="24"/>
              </w:rPr>
            </w:pPr>
            <w:r>
              <w:rPr>
                <w:rFonts w:hint="eastAsia" w:ascii="宋体" w:hAnsi="宋体"/>
                <w:color w:val="auto"/>
                <w:sz w:val="24"/>
              </w:rPr>
              <w:t>代理机构：兴建建设管理有限公司</w:t>
            </w:r>
          </w:p>
          <w:p w14:paraId="698AD55C">
            <w:pPr>
              <w:widowControl/>
              <w:wordWrap w:val="0"/>
              <w:spacing w:line="240" w:lineRule="auto"/>
              <w:jc w:val="left"/>
              <w:rPr>
                <w:rFonts w:hint="eastAsia" w:ascii="宋体" w:hAnsi="宋体"/>
                <w:color w:val="auto"/>
                <w:sz w:val="24"/>
              </w:rPr>
            </w:pPr>
            <w:r>
              <w:rPr>
                <w:rFonts w:hint="eastAsia" w:ascii="宋体" w:hAnsi="宋体"/>
                <w:color w:val="auto"/>
                <w:sz w:val="24"/>
              </w:rPr>
              <w:t>联系人：梁栋</w:t>
            </w:r>
          </w:p>
          <w:p w14:paraId="5B43C410">
            <w:pPr>
              <w:widowControl/>
              <w:wordWrap w:val="0"/>
              <w:spacing w:line="240" w:lineRule="auto"/>
              <w:jc w:val="left"/>
              <w:rPr>
                <w:rFonts w:hint="eastAsia" w:ascii="宋体" w:hAnsi="宋体"/>
                <w:color w:val="auto"/>
                <w:sz w:val="24"/>
              </w:rPr>
            </w:pPr>
            <w:r>
              <w:rPr>
                <w:rFonts w:hint="eastAsia" w:ascii="宋体" w:hAnsi="宋体"/>
                <w:color w:val="auto"/>
                <w:sz w:val="24"/>
              </w:rPr>
              <w:t>电话：15936875123    13949796015</w:t>
            </w:r>
          </w:p>
          <w:p w14:paraId="487E1641">
            <w:pPr>
              <w:widowControl/>
              <w:wordWrap w:val="0"/>
              <w:spacing w:line="240" w:lineRule="auto"/>
              <w:jc w:val="left"/>
              <w:rPr>
                <w:rFonts w:ascii="宋体" w:hAnsi="宋体"/>
                <w:color w:val="auto"/>
                <w:sz w:val="24"/>
              </w:rPr>
            </w:pPr>
            <w:r>
              <w:rPr>
                <w:rFonts w:hint="eastAsia" w:ascii="宋体" w:hAnsi="宋体"/>
                <w:color w:val="auto"/>
                <w:sz w:val="24"/>
              </w:rPr>
              <w:t>地址：郑州市郑东新区商务内环众意西路金成东方国际10号楼1401室</w:t>
            </w:r>
          </w:p>
        </w:tc>
      </w:tr>
      <w:tr w14:paraId="6BD6C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7" w:hRule="atLeast"/>
          <w:jc w:val="center"/>
        </w:trPr>
        <w:tc>
          <w:tcPr>
            <w:tcW w:w="1060" w:type="dxa"/>
            <w:noWrap w:val="0"/>
            <w:vAlign w:val="center"/>
          </w:tcPr>
          <w:p w14:paraId="05C59779">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lang w:eastAsia="en-US"/>
              </w:rPr>
              <w:t>1.</w:t>
            </w:r>
            <w:r>
              <w:rPr>
                <w:rFonts w:hint="eastAsia" w:ascii="宋体" w:hAnsi="宋体" w:cs="宋体"/>
                <w:color w:val="auto"/>
                <w:kern w:val="0"/>
                <w:sz w:val="24"/>
              </w:rPr>
              <w:t>3</w:t>
            </w:r>
          </w:p>
        </w:tc>
        <w:tc>
          <w:tcPr>
            <w:tcW w:w="2183" w:type="dxa"/>
            <w:noWrap w:val="0"/>
            <w:vAlign w:val="center"/>
          </w:tcPr>
          <w:p w14:paraId="5CDD3741">
            <w:pPr>
              <w:widowControl/>
              <w:wordWrap w:val="0"/>
              <w:spacing w:line="240" w:lineRule="auto"/>
              <w:jc w:val="center"/>
              <w:rPr>
                <w:rFonts w:ascii="宋体" w:hAnsi="宋体" w:cs="宋体"/>
                <w:color w:val="auto"/>
                <w:kern w:val="0"/>
                <w:sz w:val="24"/>
              </w:rPr>
            </w:pPr>
            <w:r>
              <w:rPr>
                <w:rFonts w:hint="eastAsia" w:ascii="宋体" w:hAnsi="宋体" w:cs="宋体"/>
                <w:color w:val="auto"/>
                <w:kern w:val="0"/>
                <w:sz w:val="24"/>
              </w:rPr>
              <w:t>项目名称</w:t>
            </w:r>
          </w:p>
        </w:tc>
        <w:tc>
          <w:tcPr>
            <w:tcW w:w="5792" w:type="dxa"/>
            <w:noWrap w:val="0"/>
            <w:vAlign w:val="center"/>
          </w:tcPr>
          <w:p w14:paraId="29673781">
            <w:pPr>
              <w:wordWrap w:val="0"/>
              <w:spacing w:line="240" w:lineRule="auto"/>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G209线卢氏县灵卢界至官道口镇(K1427+015-K1436+956)、五里川镇漂池至三南界(K1534+000-K1563+417)段路面预防养护工程</w:t>
            </w:r>
          </w:p>
        </w:tc>
      </w:tr>
      <w:tr w14:paraId="04665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1060" w:type="dxa"/>
            <w:noWrap w:val="0"/>
            <w:vAlign w:val="center"/>
          </w:tcPr>
          <w:p w14:paraId="6D77D88E">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lang w:eastAsia="en-US"/>
              </w:rPr>
              <w:t>1.</w:t>
            </w:r>
            <w:r>
              <w:rPr>
                <w:rFonts w:hint="eastAsia" w:ascii="宋体" w:hAnsi="宋体" w:cs="宋体"/>
                <w:color w:val="auto"/>
                <w:kern w:val="0"/>
                <w:sz w:val="24"/>
              </w:rPr>
              <w:t>4</w:t>
            </w:r>
          </w:p>
        </w:tc>
        <w:tc>
          <w:tcPr>
            <w:tcW w:w="2183" w:type="dxa"/>
            <w:noWrap w:val="0"/>
            <w:vAlign w:val="center"/>
          </w:tcPr>
          <w:p w14:paraId="4D78EE2D">
            <w:pPr>
              <w:widowControl/>
              <w:wordWrap w:val="0"/>
              <w:spacing w:line="240" w:lineRule="auto"/>
              <w:jc w:val="center"/>
              <w:rPr>
                <w:rFonts w:ascii="宋体" w:hAnsi="宋体" w:cs="宋体"/>
                <w:color w:val="auto"/>
                <w:kern w:val="0"/>
                <w:sz w:val="24"/>
                <w:lang w:eastAsia="en-US"/>
              </w:rPr>
            </w:pPr>
            <w:r>
              <w:rPr>
                <w:rFonts w:hint="eastAsia" w:ascii="宋体" w:hAnsi="宋体" w:cs="宋体"/>
                <w:color w:val="auto"/>
                <w:kern w:val="0"/>
                <w:sz w:val="24"/>
              </w:rPr>
              <w:t>项目</w:t>
            </w:r>
            <w:r>
              <w:rPr>
                <w:rFonts w:hint="eastAsia" w:ascii="宋体" w:hAnsi="宋体" w:cs="宋体"/>
                <w:color w:val="auto"/>
                <w:kern w:val="0"/>
                <w:sz w:val="24"/>
                <w:lang w:eastAsia="en-US"/>
              </w:rPr>
              <w:t>地点</w:t>
            </w:r>
          </w:p>
        </w:tc>
        <w:tc>
          <w:tcPr>
            <w:tcW w:w="5792" w:type="dxa"/>
            <w:noWrap w:val="0"/>
            <w:vAlign w:val="center"/>
          </w:tcPr>
          <w:p w14:paraId="560EB1AB">
            <w:pPr>
              <w:widowControl/>
              <w:wordWrap w:val="0"/>
              <w:spacing w:line="240" w:lineRule="auto"/>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卢氏县</w:t>
            </w:r>
          </w:p>
        </w:tc>
      </w:tr>
      <w:tr w14:paraId="375C9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1060" w:type="dxa"/>
            <w:noWrap w:val="0"/>
            <w:vAlign w:val="center"/>
          </w:tcPr>
          <w:p w14:paraId="4EFFD97F">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lang w:eastAsia="en-US"/>
              </w:rPr>
              <w:t>1.</w:t>
            </w:r>
            <w:r>
              <w:rPr>
                <w:rFonts w:hint="eastAsia" w:ascii="宋体" w:hAnsi="宋体" w:cs="宋体"/>
                <w:color w:val="auto"/>
                <w:kern w:val="0"/>
                <w:sz w:val="24"/>
              </w:rPr>
              <w:t>5</w:t>
            </w:r>
          </w:p>
        </w:tc>
        <w:tc>
          <w:tcPr>
            <w:tcW w:w="2183" w:type="dxa"/>
            <w:noWrap w:val="0"/>
            <w:vAlign w:val="center"/>
          </w:tcPr>
          <w:p w14:paraId="1FC89D84">
            <w:pPr>
              <w:widowControl/>
              <w:wordWrap w:val="0"/>
              <w:spacing w:line="240" w:lineRule="auto"/>
              <w:jc w:val="center"/>
              <w:rPr>
                <w:rFonts w:ascii="宋体" w:hAnsi="宋体" w:cs="宋体"/>
                <w:color w:val="auto"/>
                <w:kern w:val="0"/>
                <w:sz w:val="24"/>
                <w:lang w:eastAsia="en-US"/>
              </w:rPr>
            </w:pPr>
            <w:r>
              <w:rPr>
                <w:rFonts w:hint="eastAsia" w:ascii="宋体" w:hAnsi="宋体" w:cs="宋体"/>
                <w:color w:val="auto"/>
                <w:sz w:val="24"/>
              </w:rPr>
              <w:t>资金来源及落实情况</w:t>
            </w:r>
          </w:p>
        </w:tc>
        <w:tc>
          <w:tcPr>
            <w:tcW w:w="5792" w:type="dxa"/>
            <w:noWrap w:val="0"/>
            <w:vAlign w:val="center"/>
          </w:tcPr>
          <w:p w14:paraId="2CD17BD2">
            <w:pPr>
              <w:widowControl/>
              <w:wordWrap w:val="0"/>
              <w:spacing w:line="240" w:lineRule="auto"/>
              <w:rPr>
                <w:rFonts w:ascii="宋体" w:hAnsi="宋体" w:cs="宋体"/>
                <w:color w:val="auto"/>
                <w:kern w:val="0"/>
                <w:sz w:val="24"/>
              </w:rPr>
            </w:pPr>
            <w:r>
              <w:rPr>
                <w:rFonts w:hint="eastAsia" w:ascii="宋体" w:hAnsi="宋体" w:cs="宋体"/>
                <w:color w:val="auto"/>
                <w:kern w:val="0"/>
                <w:sz w:val="24"/>
                <w:lang w:eastAsia="zh-CN"/>
              </w:rPr>
              <w:t>财政资金</w:t>
            </w:r>
            <w:r>
              <w:rPr>
                <w:rFonts w:hint="eastAsia" w:ascii="宋体" w:hAnsi="宋体" w:cs="宋体"/>
                <w:color w:val="auto"/>
                <w:kern w:val="0"/>
                <w:sz w:val="24"/>
              </w:rPr>
              <w:t>，已落实</w:t>
            </w:r>
          </w:p>
        </w:tc>
      </w:tr>
      <w:tr w14:paraId="286A3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060" w:type="dxa"/>
            <w:noWrap w:val="0"/>
            <w:vAlign w:val="center"/>
          </w:tcPr>
          <w:p w14:paraId="3AEC7B9B">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lang w:eastAsia="en-US"/>
              </w:rPr>
              <w:t>1.</w:t>
            </w:r>
            <w:r>
              <w:rPr>
                <w:rFonts w:hint="eastAsia" w:ascii="宋体" w:hAnsi="宋体" w:cs="宋体"/>
                <w:color w:val="auto"/>
                <w:kern w:val="0"/>
                <w:sz w:val="24"/>
              </w:rPr>
              <w:t>6</w:t>
            </w:r>
          </w:p>
        </w:tc>
        <w:tc>
          <w:tcPr>
            <w:tcW w:w="2183" w:type="dxa"/>
            <w:tcBorders>
              <w:right w:val="single" w:color="auto" w:sz="4" w:space="0"/>
            </w:tcBorders>
            <w:noWrap w:val="0"/>
            <w:vAlign w:val="center"/>
          </w:tcPr>
          <w:p w14:paraId="69BD2496">
            <w:pPr>
              <w:widowControl/>
              <w:wordWrap w:val="0"/>
              <w:spacing w:after="200" w:line="240" w:lineRule="auto"/>
              <w:jc w:val="center"/>
              <w:rPr>
                <w:rFonts w:ascii="宋体" w:hAnsi="宋体" w:cs="宋体"/>
                <w:color w:val="auto"/>
                <w:kern w:val="0"/>
                <w:sz w:val="24"/>
                <w:lang w:eastAsia="en-US"/>
              </w:rPr>
            </w:pPr>
            <w:r>
              <w:rPr>
                <w:rFonts w:hint="eastAsia" w:ascii="宋体" w:hAnsi="宋体" w:cs="宋体"/>
                <w:color w:val="auto"/>
                <w:kern w:val="0"/>
                <w:sz w:val="24"/>
                <w:lang w:eastAsia="en-US"/>
              </w:rPr>
              <w:t>招标范围</w:t>
            </w:r>
          </w:p>
        </w:tc>
        <w:tc>
          <w:tcPr>
            <w:tcW w:w="5792" w:type="dxa"/>
            <w:tcBorders>
              <w:top w:val="single" w:color="auto" w:sz="4" w:space="0"/>
              <w:left w:val="single" w:color="auto" w:sz="4" w:space="0"/>
              <w:right w:val="single" w:color="auto" w:sz="4" w:space="0"/>
            </w:tcBorders>
            <w:noWrap w:val="0"/>
            <w:vAlign w:val="center"/>
          </w:tcPr>
          <w:p w14:paraId="150A6157">
            <w:pPr>
              <w:widowControl/>
              <w:wordWrap w:val="0"/>
              <w:spacing w:after="200" w:line="240" w:lineRule="auto"/>
              <w:jc w:val="both"/>
              <w:rPr>
                <w:rFonts w:ascii="宋体" w:hAnsi="宋体" w:cs="宋体"/>
                <w:color w:val="auto"/>
                <w:kern w:val="0"/>
                <w:sz w:val="24"/>
              </w:rPr>
            </w:pPr>
            <w:r>
              <w:rPr>
                <w:rFonts w:hint="eastAsia" w:ascii="宋体" w:hAnsi="宋体" w:cs="宋体"/>
                <w:color w:val="auto"/>
                <w:kern w:val="0"/>
                <w:sz w:val="24"/>
              </w:rPr>
              <w:t>招标文件、施工图纸和工程量清单所包含的全部内容</w:t>
            </w:r>
          </w:p>
        </w:tc>
      </w:tr>
      <w:tr w14:paraId="754C3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1060" w:type="dxa"/>
            <w:noWrap w:val="0"/>
            <w:vAlign w:val="center"/>
          </w:tcPr>
          <w:p w14:paraId="19DE20BD">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1.7</w:t>
            </w:r>
          </w:p>
        </w:tc>
        <w:tc>
          <w:tcPr>
            <w:tcW w:w="2183" w:type="dxa"/>
            <w:noWrap w:val="0"/>
            <w:vAlign w:val="center"/>
          </w:tcPr>
          <w:p w14:paraId="3F08DE26">
            <w:pPr>
              <w:widowControl/>
              <w:wordWrap w:val="0"/>
              <w:spacing w:line="240" w:lineRule="auto"/>
              <w:jc w:val="center"/>
              <w:rPr>
                <w:rFonts w:hint="eastAsia" w:ascii="宋体" w:hAnsi="宋体" w:cs="宋体"/>
                <w:color w:val="auto"/>
                <w:sz w:val="24"/>
              </w:rPr>
            </w:pPr>
            <w:r>
              <w:rPr>
                <w:rFonts w:hint="eastAsia" w:ascii="宋体" w:hAnsi="宋体" w:cs="宋体"/>
                <w:color w:val="auto"/>
                <w:sz w:val="24"/>
              </w:rPr>
              <w:t>计划工期</w:t>
            </w:r>
          </w:p>
        </w:tc>
        <w:tc>
          <w:tcPr>
            <w:tcW w:w="5792" w:type="dxa"/>
            <w:tcBorders>
              <w:top w:val="single" w:color="auto" w:sz="4" w:space="0"/>
            </w:tcBorders>
            <w:noWrap w:val="0"/>
            <w:vAlign w:val="center"/>
          </w:tcPr>
          <w:p w14:paraId="3867FECC">
            <w:pPr>
              <w:widowControl/>
              <w:wordWrap w:val="0"/>
              <w:spacing w:line="240" w:lineRule="auto"/>
              <w:jc w:val="left"/>
              <w:rPr>
                <w:rFonts w:hint="eastAsia" w:ascii="宋体" w:hAnsi="宋体" w:cs="宋体"/>
                <w:color w:val="0000FF"/>
                <w:sz w:val="24"/>
              </w:rPr>
            </w:pPr>
            <w:r>
              <w:rPr>
                <w:rFonts w:hint="eastAsia" w:ascii="宋体" w:hAnsi="宋体" w:cs="宋体"/>
                <w:color w:val="000000" w:themeColor="text1"/>
                <w:sz w:val="24"/>
                <w:highlight w:val="none"/>
                <w:lang w:val="en-US" w:eastAsia="zh-CN"/>
                <w14:textFill>
                  <w14:solidFill>
                    <w14:schemeClr w14:val="tx1"/>
                  </w14:solidFill>
                </w14:textFill>
              </w:rPr>
              <w:t>30日历天</w:t>
            </w:r>
          </w:p>
        </w:tc>
      </w:tr>
      <w:tr w14:paraId="349AB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0" w:type="dxa"/>
            <w:noWrap w:val="0"/>
            <w:vAlign w:val="center"/>
          </w:tcPr>
          <w:p w14:paraId="6E3A6FFE">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1.8</w:t>
            </w:r>
          </w:p>
        </w:tc>
        <w:tc>
          <w:tcPr>
            <w:tcW w:w="2183" w:type="dxa"/>
            <w:noWrap w:val="0"/>
            <w:vAlign w:val="center"/>
          </w:tcPr>
          <w:p w14:paraId="2BDDE3FC">
            <w:pPr>
              <w:widowControl/>
              <w:wordWrap w:val="0"/>
              <w:spacing w:line="240" w:lineRule="auto"/>
              <w:jc w:val="center"/>
              <w:rPr>
                <w:rFonts w:ascii="宋体" w:hAnsi="宋体" w:cs="宋体"/>
                <w:color w:val="auto"/>
                <w:kern w:val="0"/>
                <w:sz w:val="24"/>
              </w:rPr>
            </w:pPr>
            <w:r>
              <w:rPr>
                <w:rFonts w:hint="eastAsia" w:ascii="宋体" w:hAnsi="宋体" w:cs="宋体"/>
                <w:color w:val="auto"/>
                <w:kern w:val="0"/>
                <w:sz w:val="24"/>
              </w:rPr>
              <w:t>质量要求</w:t>
            </w:r>
          </w:p>
        </w:tc>
        <w:tc>
          <w:tcPr>
            <w:tcW w:w="5792" w:type="dxa"/>
            <w:tcBorders>
              <w:top w:val="single" w:color="auto" w:sz="4" w:space="0"/>
            </w:tcBorders>
            <w:noWrap w:val="0"/>
            <w:vAlign w:val="center"/>
          </w:tcPr>
          <w:p w14:paraId="2F9219D0">
            <w:pPr>
              <w:widowControl/>
              <w:wordWrap w:val="0"/>
              <w:spacing w:line="240" w:lineRule="auto"/>
              <w:jc w:val="left"/>
              <w:rPr>
                <w:rFonts w:ascii="宋体" w:hAnsi="宋体" w:cs="宋体"/>
                <w:color w:val="auto"/>
                <w:kern w:val="0"/>
                <w:sz w:val="24"/>
              </w:rPr>
            </w:pPr>
            <w:r>
              <w:rPr>
                <w:rFonts w:hint="eastAsia" w:ascii="宋体" w:hAnsi="宋体" w:cs="宋体"/>
                <w:color w:val="auto"/>
                <w:kern w:val="0"/>
                <w:sz w:val="24"/>
              </w:rPr>
              <w:t>达到国家现行建设工程施工质量验收规范合格标准</w:t>
            </w:r>
          </w:p>
        </w:tc>
      </w:tr>
      <w:tr w14:paraId="242DA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060" w:type="dxa"/>
            <w:noWrap w:val="0"/>
            <w:vAlign w:val="center"/>
          </w:tcPr>
          <w:p w14:paraId="5211B1A2">
            <w:pPr>
              <w:widowControl/>
              <w:wordWrap w:val="0"/>
              <w:spacing w:line="240" w:lineRule="auto"/>
              <w:jc w:val="center"/>
              <w:rPr>
                <w:rFonts w:hint="eastAsia" w:ascii="宋体" w:hAnsi="宋体" w:eastAsia="宋体" w:cs="宋体"/>
                <w:color w:val="auto"/>
                <w:kern w:val="0"/>
                <w:sz w:val="24"/>
                <w:lang w:eastAsia="en-US"/>
              </w:rPr>
            </w:pPr>
            <w:r>
              <w:rPr>
                <w:rFonts w:hint="eastAsia" w:ascii="宋体" w:hAnsi="宋体" w:eastAsia="宋体" w:cs="宋体"/>
                <w:color w:val="auto"/>
                <w:kern w:val="0"/>
                <w:sz w:val="24"/>
                <w:lang w:eastAsia="en-US"/>
              </w:rPr>
              <w:t>1.9</w:t>
            </w:r>
          </w:p>
        </w:tc>
        <w:tc>
          <w:tcPr>
            <w:tcW w:w="2183" w:type="dxa"/>
            <w:noWrap w:val="0"/>
            <w:vAlign w:val="center"/>
          </w:tcPr>
          <w:p w14:paraId="2E6A1C66">
            <w:pPr>
              <w:widowControl/>
              <w:wordWrap w:val="0"/>
              <w:spacing w:line="240" w:lineRule="auto"/>
              <w:jc w:val="center"/>
              <w:rPr>
                <w:rFonts w:hint="eastAsia" w:ascii="宋体" w:hAnsi="宋体" w:eastAsia="宋体" w:cs="宋体"/>
                <w:color w:val="auto"/>
                <w:kern w:val="0"/>
                <w:sz w:val="24"/>
                <w:lang w:eastAsia="en-US"/>
              </w:rPr>
            </w:pPr>
            <w:r>
              <w:rPr>
                <w:rFonts w:hint="eastAsia" w:ascii="宋体" w:hAnsi="宋体" w:eastAsia="宋体" w:cs="宋体"/>
                <w:color w:val="auto"/>
                <w:kern w:val="0"/>
                <w:sz w:val="24"/>
                <w:lang w:eastAsia="en-US"/>
              </w:rPr>
              <w:t>保修期限</w:t>
            </w:r>
          </w:p>
        </w:tc>
        <w:tc>
          <w:tcPr>
            <w:tcW w:w="5792" w:type="dxa"/>
            <w:tcBorders>
              <w:top w:val="single" w:color="auto" w:sz="4" w:space="0"/>
            </w:tcBorders>
            <w:noWrap w:val="0"/>
            <w:vAlign w:val="center"/>
          </w:tcPr>
          <w:p w14:paraId="6510BD25">
            <w:pPr>
              <w:widowControl/>
              <w:wordWrap w:val="0"/>
              <w:spacing w:line="240" w:lineRule="auto"/>
              <w:jc w:val="left"/>
              <w:rPr>
                <w:rFonts w:hint="eastAsia" w:ascii="宋体" w:hAnsi="宋体" w:eastAsia="宋体" w:cs="宋体"/>
                <w:color w:val="auto"/>
                <w:kern w:val="0"/>
                <w:sz w:val="24"/>
                <w:lang w:eastAsia="en-US"/>
              </w:rPr>
            </w:pPr>
            <w:r>
              <w:rPr>
                <w:rFonts w:hint="eastAsia" w:ascii="宋体" w:hAnsi="宋体" w:eastAsia="宋体" w:cs="宋体"/>
                <w:color w:val="auto"/>
                <w:kern w:val="0"/>
                <w:sz w:val="24"/>
                <w:lang w:eastAsia="en-US"/>
              </w:rPr>
              <w:t>按国家质保期执行</w:t>
            </w:r>
          </w:p>
        </w:tc>
      </w:tr>
      <w:tr w14:paraId="2B65E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1060" w:type="dxa"/>
            <w:noWrap w:val="0"/>
            <w:vAlign w:val="center"/>
          </w:tcPr>
          <w:p w14:paraId="133E352C">
            <w:pPr>
              <w:widowControl/>
              <w:wordWrap w:val="0"/>
              <w:spacing w:line="240" w:lineRule="auto"/>
              <w:jc w:val="center"/>
              <w:rPr>
                <w:rFonts w:hint="eastAsia" w:ascii="宋体" w:hAnsi="宋体" w:eastAsia="宋体" w:cs="宋体"/>
                <w:color w:val="auto"/>
                <w:kern w:val="0"/>
                <w:sz w:val="24"/>
                <w:lang w:eastAsia="en-US"/>
              </w:rPr>
            </w:pPr>
            <w:r>
              <w:rPr>
                <w:rFonts w:hint="eastAsia" w:ascii="宋体" w:hAnsi="宋体" w:eastAsia="宋体" w:cs="宋体"/>
                <w:color w:val="auto"/>
                <w:kern w:val="0"/>
                <w:sz w:val="24"/>
                <w:lang w:eastAsia="en-US"/>
              </w:rPr>
              <w:t>2.0</w:t>
            </w:r>
          </w:p>
        </w:tc>
        <w:tc>
          <w:tcPr>
            <w:tcW w:w="2183" w:type="dxa"/>
            <w:noWrap w:val="0"/>
            <w:vAlign w:val="center"/>
          </w:tcPr>
          <w:p w14:paraId="340A5565">
            <w:pPr>
              <w:widowControl/>
              <w:wordWrap w:val="0"/>
              <w:spacing w:line="240" w:lineRule="auto"/>
              <w:jc w:val="center"/>
              <w:rPr>
                <w:rFonts w:hint="eastAsia" w:ascii="宋体" w:hAnsi="宋体" w:eastAsia="宋体" w:cs="宋体"/>
                <w:color w:val="auto"/>
                <w:kern w:val="0"/>
                <w:sz w:val="24"/>
                <w:lang w:eastAsia="en-US"/>
              </w:rPr>
            </w:pPr>
            <w:r>
              <w:rPr>
                <w:rFonts w:hint="eastAsia" w:ascii="宋体" w:hAnsi="宋体" w:eastAsia="宋体" w:cs="宋体"/>
                <w:color w:val="auto"/>
                <w:kern w:val="0"/>
                <w:sz w:val="24"/>
                <w:lang w:eastAsia="en-US"/>
              </w:rPr>
              <w:t>投标人资质条件、能力和信誉</w:t>
            </w:r>
          </w:p>
        </w:tc>
        <w:tc>
          <w:tcPr>
            <w:tcW w:w="5792" w:type="dxa"/>
            <w:noWrap w:val="0"/>
            <w:vAlign w:val="center"/>
          </w:tcPr>
          <w:p w14:paraId="00652CF0">
            <w:pPr>
              <w:widowControl/>
              <w:wordWrap w:val="0"/>
              <w:spacing w:line="240" w:lineRule="auto"/>
              <w:jc w:val="left"/>
              <w:rPr>
                <w:rFonts w:hint="eastAsia" w:ascii="宋体" w:hAnsi="宋体" w:eastAsia="宋体" w:cs="宋体"/>
                <w:color w:val="auto"/>
                <w:kern w:val="0"/>
                <w:sz w:val="24"/>
                <w:lang w:eastAsia="en-US"/>
              </w:rPr>
            </w:pPr>
            <w:r>
              <w:rPr>
                <w:rFonts w:hint="eastAsia" w:ascii="宋体" w:hAnsi="宋体" w:eastAsia="宋体" w:cs="宋体"/>
                <w:color w:val="auto"/>
                <w:kern w:val="0"/>
                <w:sz w:val="24"/>
                <w:lang w:eastAsia="en-US"/>
              </w:rPr>
              <w:t>见招标公告投标人资格要求</w:t>
            </w:r>
          </w:p>
        </w:tc>
      </w:tr>
      <w:tr w14:paraId="7FD2D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60" w:type="dxa"/>
            <w:noWrap w:val="0"/>
            <w:vAlign w:val="center"/>
          </w:tcPr>
          <w:p w14:paraId="3FE7EC9C">
            <w:pPr>
              <w:widowControl/>
              <w:wordWrap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2183" w:type="dxa"/>
            <w:noWrap w:val="0"/>
            <w:vAlign w:val="center"/>
          </w:tcPr>
          <w:p w14:paraId="2E935D96">
            <w:pPr>
              <w:widowControl/>
              <w:wordWrap w:val="0"/>
              <w:spacing w:line="240" w:lineRule="auto"/>
              <w:jc w:val="center"/>
              <w:rPr>
                <w:rFonts w:hint="eastAsia" w:ascii="宋体" w:hAnsi="宋体" w:eastAsia="宋体" w:cs="宋体"/>
                <w:color w:val="auto"/>
                <w:kern w:val="0"/>
                <w:sz w:val="24"/>
                <w:lang w:eastAsia="en-US"/>
              </w:rPr>
            </w:pPr>
            <w:r>
              <w:rPr>
                <w:rFonts w:hint="eastAsia" w:ascii="宋体" w:hAnsi="宋体" w:eastAsia="宋体" w:cs="宋体"/>
                <w:color w:val="auto"/>
                <w:kern w:val="0"/>
                <w:sz w:val="24"/>
                <w:lang w:eastAsia="en-US"/>
              </w:rPr>
              <w:t>是否接受联合体投标</w:t>
            </w:r>
          </w:p>
        </w:tc>
        <w:tc>
          <w:tcPr>
            <w:tcW w:w="5792" w:type="dxa"/>
            <w:noWrap w:val="0"/>
            <w:vAlign w:val="center"/>
          </w:tcPr>
          <w:p w14:paraId="55C1BB6E">
            <w:pPr>
              <w:widowControl/>
              <w:wordWrap w:val="0"/>
              <w:spacing w:line="240" w:lineRule="auto"/>
              <w:jc w:val="left"/>
              <w:rPr>
                <w:rFonts w:hint="eastAsia" w:ascii="宋体" w:hAnsi="宋体" w:eastAsia="宋体" w:cs="宋体"/>
                <w:color w:val="auto"/>
                <w:kern w:val="0"/>
                <w:sz w:val="24"/>
                <w:lang w:eastAsia="en-US"/>
              </w:rPr>
            </w:pPr>
            <w:r>
              <w:rPr>
                <w:rFonts w:hint="eastAsia" w:ascii="宋体" w:hAnsi="宋体" w:eastAsia="宋体" w:cs="宋体"/>
                <w:color w:val="auto"/>
                <w:kern w:val="0"/>
                <w:sz w:val="24"/>
                <w:lang w:eastAsia="en-US"/>
              </w:rPr>
              <w:t>不接受</w:t>
            </w:r>
          </w:p>
        </w:tc>
      </w:tr>
      <w:tr w14:paraId="79573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0" w:type="dxa"/>
            <w:noWrap w:val="0"/>
            <w:vAlign w:val="center"/>
          </w:tcPr>
          <w:p w14:paraId="26503E8D">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2.2</w:t>
            </w:r>
          </w:p>
        </w:tc>
        <w:tc>
          <w:tcPr>
            <w:tcW w:w="2183" w:type="dxa"/>
            <w:noWrap w:val="0"/>
            <w:vAlign w:val="center"/>
          </w:tcPr>
          <w:p w14:paraId="6CE0F736">
            <w:pPr>
              <w:widowControl/>
              <w:wordWrap w:val="0"/>
              <w:spacing w:line="240" w:lineRule="auto"/>
              <w:jc w:val="center"/>
              <w:rPr>
                <w:rFonts w:ascii="宋体" w:hAnsi="宋体" w:cs="宋体"/>
                <w:color w:val="auto"/>
                <w:sz w:val="24"/>
              </w:rPr>
            </w:pPr>
            <w:r>
              <w:rPr>
                <w:rFonts w:hint="eastAsia" w:ascii="宋体" w:hAnsi="宋体" w:cs="宋体"/>
                <w:color w:val="auto"/>
                <w:kern w:val="0"/>
                <w:sz w:val="24"/>
              </w:rPr>
              <w:t>踏勘现场</w:t>
            </w:r>
          </w:p>
        </w:tc>
        <w:tc>
          <w:tcPr>
            <w:tcW w:w="5792" w:type="dxa"/>
            <w:noWrap w:val="0"/>
            <w:vAlign w:val="center"/>
          </w:tcPr>
          <w:p w14:paraId="3C3BC5AF">
            <w:pPr>
              <w:widowControl/>
              <w:wordWrap w:val="0"/>
              <w:spacing w:line="240" w:lineRule="auto"/>
              <w:jc w:val="left"/>
              <w:rPr>
                <w:rFonts w:ascii="宋体" w:hAnsi="宋体" w:cs="宋体"/>
                <w:color w:val="auto"/>
                <w:sz w:val="24"/>
              </w:rPr>
            </w:pPr>
            <w:r>
              <w:rPr>
                <w:rFonts w:hint="eastAsia" w:ascii="宋体" w:hAnsi="宋体" w:cs="宋体"/>
                <w:color w:val="auto"/>
                <w:kern w:val="0"/>
                <w:sz w:val="24"/>
              </w:rPr>
              <w:t>不组织</w:t>
            </w:r>
          </w:p>
        </w:tc>
      </w:tr>
      <w:tr w14:paraId="065F9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0" w:type="dxa"/>
            <w:noWrap w:val="0"/>
            <w:vAlign w:val="center"/>
          </w:tcPr>
          <w:p w14:paraId="345E76BB">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2.3</w:t>
            </w:r>
          </w:p>
        </w:tc>
        <w:tc>
          <w:tcPr>
            <w:tcW w:w="2183" w:type="dxa"/>
            <w:noWrap w:val="0"/>
            <w:vAlign w:val="center"/>
          </w:tcPr>
          <w:p w14:paraId="25948CCA">
            <w:pPr>
              <w:widowControl/>
              <w:wordWrap w:val="0"/>
              <w:spacing w:line="240" w:lineRule="auto"/>
              <w:jc w:val="center"/>
              <w:rPr>
                <w:rFonts w:ascii="宋体" w:hAnsi="宋体" w:cs="宋体"/>
                <w:color w:val="auto"/>
                <w:kern w:val="0"/>
                <w:sz w:val="24"/>
              </w:rPr>
            </w:pPr>
            <w:r>
              <w:rPr>
                <w:rFonts w:hint="eastAsia" w:ascii="宋体" w:hAnsi="宋体" w:cs="宋体"/>
                <w:color w:val="auto"/>
                <w:kern w:val="0"/>
                <w:sz w:val="24"/>
              </w:rPr>
              <w:t>投标预备会</w:t>
            </w:r>
          </w:p>
        </w:tc>
        <w:tc>
          <w:tcPr>
            <w:tcW w:w="5792" w:type="dxa"/>
            <w:noWrap w:val="0"/>
            <w:vAlign w:val="center"/>
          </w:tcPr>
          <w:p w14:paraId="5E9B9B27">
            <w:pPr>
              <w:widowControl/>
              <w:wordWrap w:val="0"/>
              <w:spacing w:line="240" w:lineRule="auto"/>
              <w:jc w:val="left"/>
              <w:rPr>
                <w:rFonts w:ascii="宋体" w:hAnsi="宋体" w:cs="宋体"/>
                <w:color w:val="auto"/>
                <w:kern w:val="0"/>
                <w:sz w:val="24"/>
              </w:rPr>
            </w:pPr>
            <w:r>
              <w:rPr>
                <w:rFonts w:hint="eastAsia" w:ascii="宋体" w:hAnsi="宋体" w:cs="宋体"/>
                <w:color w:val="auto"/>
                <w:kern w:val="0"/>
                <w:sz w:val="24"/>
              </w:rPr>
              <w:t>不召开</w:t>
            </w:r>
          </w:p>
        </w:tc>
      </w:tr>
      <w:tr w14:paraId="00CDF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exact"/>
          <w:jc w:val="center"/>
        </w:trPr>
        <w:tc>
          <w:tcPr>
            <w:tcW w:w="1060" w:type="dxa"/>
            <w:noWrap w:val="0"/>
            <w:vAlign w:val="center"/>
          </w:tcPr>
          <w:p w14:paraId="1F2B63C0">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2.4</w:t>
            </w:r>
          </w:p>
        </w:tc>
        <w:tc>
          <w:tcPr>
            <w:tcW w:w="2183" w:type="dxa"/>
            <w:noWrap w:val="0"/>
            <w:vAlign w:val="center"/>
          </w:tcPr>
          <w:p w14:paraId="5ED686C7">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投标人对招标文件提出异议的截止时间</w:t>
            </w:r>
          </w:p>
        </w:tc>
        <w:tc>
          <w:tcPr>
            <w:tcW w:w="5792" w:type="dxa"/>
            <w:noWrap w:val="0"/>
            <w:vAlign w:val="center"/>
          </w:tcPr>
          <w:p w14:paraId="01FAF701">
            <w:pPr>
              <w:widowControl/>
              <w:wordWrap w:val="0"/>
              <w:spacing w:line="240" w:lineRule="auto"/>
              <w:jc w:val="left"/>
              <w:rPr>
                <w:rFonts w:ascii="宋体" w:hAnsi="宋体" w:cs="宋体"/>
                <w:color w:val="auto"/>
                <w:kern w:val="0"/>
                <w:sz w:val="24"/>
              </w:rPr>
            </w:pPr>
            <w:r>
              <w:rPr>
                <w:rFonts w:hint="eastAsia" w:ascii="宋体" w:hAnsi="宋体" w:cs="宋体"/>
                <w:color w:val="auto"/>
                <w:kern w:val="0"/>
                <w:sz w:val="24"/>
              </w:rPr>
              <w:t>递交投标文件截止之日 10 日前</w:t>
            </w:r>
          </w:p>
        </w:tc>
      </w:tr>
      <w:tr w14:paraId="5CD5B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1060" w:type="dxa"/>
            <w:noWrap w:val="0"/>
            <w:vAlign w:val="center"/>
          </w:tcPr>
          <w:p w14:paraId="6F498557">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2.5</w:t>
            </w:r>
          </w:p>
        </w:tc>
        <w:tc>
          <w:tcPr>
            <w:tcW w:w="2183" w:type="dxa"/>
            <w:noWrap w:val="0"/>
            <w:vAlign w:val="center"/>
          </w:tcPr>
          <w:p w14:paraId="491E5D17">
            <w:pPr>
              <w:widowControl/>
              <w:wordWrap w:val="0"/>
              <w:spacing w:line="240" w:lineRule="auto"/>
              <w:jc w:val="center"/>
              <w:rPr>
                <w:rFonts w:ascii="宋体" w:hAnsi="宋体" w:cs="宋体"/>
                <w:color w:val="auto"/>
                <w:kern w:val="0"/>
                <w:sz w:val="24"/>
              </w:rPr>
            </w:pPr>
            <w:r>
              <w:rPr>
                <w:rFonts w:hint="eastAsia" w:ascii="宋体" w:hAnsi="宋体" w:cs="宋体"/>
                <w:color w:val="auto"/>
                <w:kern w:val="0"/>
                <w:sz w:val="24"/>
              </w:rPr>
              <w:t>招标人对招标文件书面澄清的时间</w:t>
            </w:r>
          </w:p>
        </w:tc>
        <w:tc>
          <w:tcPr>
            <w:tcW w:w="5792" w:type="dxa"/>
            <w:noWrap w:val="0"/>
            <w:vAlign w:val="center"/>
          </w:tcPr>
          <w:p w14:paraId="479E0998">
            <w:pPr>
              <w:widowControl/>
              <w:wordWrap w:val="0"/>
              <w:spacing w:line="240" w:lineRule="auto"/>
              <w:jc w:val="left"/>
              <w:rPr>
                <w:rFonts w:ascii="宋体" w:hAnsi="宋体" w:cs="宋体"/>
                <w:color w:val="auto"/>
                <w:sz w:val="24"/>
              </w:rPr>
            </w:pPr>
            <w:r>
              <w:rPr>
                <w:rFonts w:hint="eastAsia" w:ascii="宋体" w:hAnsi="宋体" w:cs="宋体"/>
                <w:color w:val="auto"/>
                <w:kern w:val="0"/>
                <w:sz w:val="24"/>
              </w:rPr>
              <w:t>递交投标文件截止之日 15 日前</w:t>
            </w:r>
          </w:p>
        </w:tc>
      </w:tr>
      <w:tr w14:paraId="65541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0" w:type="dxa"/>
            <w:noWrap w:val="0"/>
            <w:vAlign w:val="center"/>
          </w:tcPr>
          <w:p w14:paraId="155BC72F">
            <w:pPr>
              <w:widowControl/>
              <w:wordWrap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2183" w:type="dxa"/>
            <w:noWrap w:val="0"/>
            <w:vAlign w:val="center"/>
          </w:tcPr>
          <w:p w14:paraId="4CDBEB41">
            <w:pPr>
              <w:widowControl/>
              <w:wordWrap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偏离与分包</w:t>
            </w:r>
          </w:p>
        </w:tc>
        <w:tc>
          <w:tcPr>
            <w:tcW w:w="5792" w:type="dxa"/>
            <w:noWrap w:val="0"/>
            <w:vAlign w:val="center"/>
          </w:tcPr>
          <w:p w14:paraId="23F07F97">
            <w:pPr>
              <w:widowControl/>
              <w:wordWrap w:val="0"/>
              <w:spacing w:line="24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不允许</w:t>
            </w:r>
          </w:p>
        </w:tc>
      </w:tr>
      <w:tr w14:paraId="40D9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jc w:val="center"/>
        </w:trPr>
        <w:tc>
          <w:tcPr>
            <w:tcW w:w="1060" w:type="dxa"/>
            <w:noWrap w:val="0"/>
            <w:vAlign w:val="center"/>
          </w:tcPr>
          <w:p w14:paraId="40104D33">
            <w:pPr>
              <w:widowControl/>
              <w:wordWrap w:val="0"/>
              <w:spacing w:after="200"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2183" w:type="dxa"/>
            <w:noWrap w:val="0"/>
            <w:vAlign w:val="center"/>
          </w:tcPr>
          <w:p w14:paraId="4CD15DC6">
            <w:pPr>
              <w:widowControl/>
              <w:wordWrap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构成招标文件的其他资料</w:t>
            </w:r>
          </w:p>
        </w:tc>
        <w:tc>
          <w:tcPr>
            <w:tcW w:w="5792" w:type="dxa"/>
            <w:noWrap w:val="0"/>
            <w:vAlign w:val="center"/>
          </w:tcPr>
          <w:p w14:paraId="3D0AE314">
            <w:pPr>
              <w:widowControl/>
              <w:wordWrap w:val="0"/>
              <w:spacing w:line="24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对招标文件所作的澄清（含答疑）、修改、补充构成招标文件的组成部分 </w:t>
            </w:r>
          </w:p>
        </w:tc>
      </w:tr>
      <w:tr w14:paraId="79676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0" w:type="dxa"/>
            <w:noWrap w:val="0"/>
            <w:vAlign w:val="center"/>
          </w:tcPr>
          <w:p w14:paraId="2AFCDCAA">
            <w:pPr>
              <w:widowControl/>
              <w:wordWrap w:val="0"/>
              <w:spacing w:after="200"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2.8</w:t>
            </w:r>
          </w:p>
        </w:tc>
        <w:tc>
          <w:tcPr>
            <w:tcW w:w="2183" w:type="dxa"/>
            <w:noWrap w:val="0"/>
            <w:vAlign w:val="center"/>
          </w:tcPr>
          <w:p w14:paraId="43F1D85D">
            <w:pPr>
              <w:widowControl/>
              <w:wordWrap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招标人对招标文件修改的时间</w:t>
            </w:r>
          </w:p>
        </w:tc>
        <w:tc>
          <w:tcPr>
            <w:tcW w:w="5792" w:type="dxa"/>
            <w:noWrap w:val="0"/>
            <w:vAlign w:val="center"/>
          </w:tcPr>
          <w:p w14:paraId="1ABC4789">
            <w:pPr>
              <w:widowControl/>
              <w:wordWrap w:val="0"/>
              <w:spacing w:line="24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递交投标文件截止之日15日前</w:t>
            </w:r>
          </w:p>
        </w:tc>
      </w:tr>
      <w:tr w14:paraId="4E8A3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1060" w:type="dxa"/>
            <w:noWrap w:val="0"/>
            <w:vAlign w:val="center"/>
          </w:tcPr>
          <w:p w14:paraId="6D4EB231">
            <w:pPr>
              <w:widowControl/>
              <w:wordWrap w:val="0"/>
              <w:spacing w:after="200"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2.9</w:t>
            </w:r>
          </w:p>
        </w:tc>
        <w:tc>
          <w:tcPr>
            <w:tcW w:w="2183" w:type="dxa"/>
            <w:noWrap w:val="0"/>
            <w:vAlign w:val="center"/>
          </w:tcPr>
          <w:p w14:paraId="2A924D7E">
            <w:pPr>
              <w:widowControl/>
              <w:wordWrap w:val="0"/>
              <w:spacing w:line="240" w:lineRule="auto"/>
              <w:jc w:val="center"/>
              <w:rPr>
                <w:rFonts w:ascii="宋体" w:hAnsi="宋体" w:cs="宋体"/>
                <w:color w:val="auto"/>
                <w:kern w:val="0"/>
                <w:sz w:val="24"/>
              </w:rPr>
            </w:pPr>
            <w:r>
              <w:rPr>
                <w:rFonts w:hint="eastAsia" w:ascii="宋体" w:hAnsi="宋体" w:cs="宋体"/>
                <w:color w:val="auto"/>
                <w:kern w:val="0"/>
                <w:sz w:val="24"/>
              </w:rPr>
              <w:t>投标截止时间</w:t>
            </w:r>
          </w:p>
        </w:tc>
        <w:tc>
          <w:tcPr>
            <w:tcW w:w="5792" w:type="dxa"/>
            <w:noWrap w:val="0"/>
            <w:vAlign w:val="center"/>
          </w:tcPr>
          <w:p w14:paraId="79503917">
            <w:pPr>
              <w:widowControl/>
              <w:wordWrap w:val="0"/>
              <w:spacing w:line="240" w:lineRule="auto"/>
              <w:jc w:val="left"/>
              <w:rPr>
                <w:rFonts w:ascii="宋体" w:hAnsi="宋体" w:cs="宋体"/>
                <w:color w:val="auto"/>
                <w:kern w:val="0"/>
                <w:sz w:val="24"/>
              </w:rPr>
            </w:pPr>
            <w:r>
              <w:rPr>
                <w:rFonts w:hint="eastAsia" w:ascii="宋体" w:hAnsi="宋体" w:cs="宋体"/>
                <w:color w:val="auto"/>
                <w:sz w:val="24"/>
              </w:rPr>
              <w:t>同公告要求</w:t>
            </w:r>
          </w:p>
        </w:tc>
      </w:tr>
      <w:tr w14:paraId="6D4CB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1060" w:type="dxa"/>
            <w:noWrap w:val="0"/>
            <w:vAlign w:val="center"/>
          </w:tcPr>
          <w:p w14:paraId="7D88E194">
            <w:pPr>
              <w:widowControl/>
              <w:wordWrap w:val="0"/>
              <w:spacing w:after="200"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3.0</w:t>
            </w:r>
          </w:p>
        </w:tc>
        <w:tc>
          <w:tcPr>
            <w:tcW w:w="2183" w:type="dxa"/>
            <w:noWrap w:val="0"/>
            <w:vAlign w:val="center"/>
          </w:tcPr>
          <w:p w14:paraId="54E2F3D6">
            <w:pPr>
              <w:widowControl/>
              <w:wordWrap w:val="0"/>
              <w:spacing w:line="240" w:lineRule="auto"/>
              <w:jc w:val="center"/>
              <w:rPr>
                <w:rFonts w:ascii="宋体" w:hAnsi="宋体" w:cs="宋体"/>
                <w:color w:val="auto"/>
                <w:kern w:val="0"/>
                <w:sz w:val="24"/>
              </w:rPr>
            </w:pPr>
            <w:r>
              <w:rPr>
                <w:rFonts w:hint="eastAsia" w:ascii="宋体" w:hAnsi="宋体" w:cs="宋体"/>
                <w:color w:val="auto"/>
                <w:kern w:val="0"/>
                <w:sz w:val="24"/>
              </w:rPr>
              <w:t>投标人确认收到招标文件澄清的时间</w:t>
            </w:r>
          </w:p>
        </w:tc>
        <w:tc>
          <w:tcPr>
            <w:tcW w:w="5792" w:type="dxa"/>
            <w:noWrap w:val="0"/>
            <w:vAlign w:val="center"/>
          </w:tcPr>
          <w:p w14:paraId="36E18305">
            <w:pPr>
              <w:wordWrap w:val="0"/>
              <w:autoSpaceDE w:val="0"/>
              <w:autoSpaceDN w:val="0"/>
              <w:adjustRightInd w:val="0"/>
              <w:spacing w:line="240" w:lineRule="auto"/>
              <w:rPr>
                <w:rFonts w:ascii="宋体" w:hAnsi="宋体"/>
                <w:color w:val="auto"/>
                <w:sz w:val="24"/>
              </w:rPr>
            </w:pPr>
            <w:r>
              <w:rPr>
                <w:rFonts w:hint="eastAsia" w:ascii="宋体" w:hAnsi="宋体"/>
                <w:color w:val="auto"/>
                <w:sz w:val="24"/>
              </w:rPr>
              <w:t>自招标文件澄清公告在相关网站发布之日起，即为默认收到。</w:t>
            </w:r>
          </w:p>
        </w:tc>
      </w:tr>
      <w:tr w14:paraId="1E968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060" w:type="dxa"/>
            <w:noWrap w:val="0"/>
            <w:vAlign w:val="center"/>
          </w:tcPr>
          <w:p w14:paraId="2D7F9C43">
            <w:pPr>
              <w:widowControl/>
              <w:wordWrap w:val="0"/>
              <w:spacing w:after="200"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3.1</w:t>
            </w:r>
          </w:p>
        </w:tc>
        <w:tc>
          <w:tcPr>
            <w:tcW w:w="2183" w:type="dxa"/>
            <w:noWrap w:val="0"/>
            <w:vAlign w:val="center"/>
          </w:tcPr>
          <w:p w14:paraId="197C6206">
            <w:pPr>
              <w:widowControl/>
              <w:wordWrap w:val="0"/>
              <w:spacing w:line="240" w:lineRule="auto"/>
              <w:jc w:val="center"/>
              <w:rPr>
                <w:rFonts w:ascii="宋体" w:hAnsi="宋体" w:cs="宋体"/>
                <w:color w:val="auto"/>
                <w:kern w:val="0"/>
                <w:sz w:val="24"/>
              </w:rPr>
            </w:pPr>
            <w:r>
              <w:rPr>
                <w:rFonts w:hint="eastAsia" w:ascii="宋体" w:hAnsi="宋体" w:cs="宋体"/>
                <w:color w:val="auto"/>
                <w:kern w:val="0"/>
                <w:sz w:val="24"/>
              </w:rPr>
              <w:t>投标人确认收到招标文件修改的时间</w:t>
            </w:r>
          </w:p>
        </w:tc>
        <w:tc>
          <w:tcPr>
            <w:tcW w:w="5792" w:type="dxa"/>
            <w:noWrap w:val="0"/>
            <w:vAlign w:val="center"/>
          </w:tcPr>
          <w:p w14:paraId="671767F1">
            <w:pPr>
              <w:wordWrap w:val="0"/>
              <w:autoSpaceDE w:val="0"/>
              <w:autoSpaceDN w:val="0"/>
              <w:adjustRightInd w:val="0"/>
              <w:spacing w:line="240" w:lineRule="auto"/>
              <w:rPr>
                <w:rFonts w:ascii="宋体" w:hAnsi="宋体"/>
                <w:color w:val="auto"/>
                <w:sz w:val="24"/>
              </w:rPr>
            </w:pPr>
            <w:r>
              <w:rPr>
                <w:rFonts w:hint="eastAsia" w:ascii="宋体" w:hAnsi="宋体"/>
                <w:color w:val="auto"/>
                <w:sz w:val="24"/>
              </w:rPr>
              <w:t>自招标文件修改公告在相关网站发布之日起，即为默认收到。</w:t>
            </w:r>
          </w:p>
        </w:tc>
      </w:tr>
      <w:tr w14:paraId="70205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exact"/>
          <w:jc w:val="center"/>
        </w:trPr>
        <w:tc>
          <w:tcPr>
            <w:tcW w:w="1060" w:type="dxa"/>
            <w:noWrap w:val="0"/>
            <w:vAlign w:val="center"/>
          </w:tcPr>
          <w:p w14:paraId="1A874FC5">
            <w:pPr>
              <w:widowControl/>
              <w:wordWrap w:val="0"/>
              <w:spacing w:after="200"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3.2</w:t>
            </w:r>
          </w:p>
        </w:tc>
        <w:tc>
          <w:tcPr>
            <w:tcW w:w="2183" w:type="dxa"/>
            <w:noWrap w:val="0"/>
            <w:vAlign w:val="center"/>
          </w:tcPr>
          <w:p w14:paraId="6A8FA0CA">
            <w:pPr>
              <w:wordWrap w:val="0"/>
              <w:autoSpaceDE w:val="0"/>
              <w:autoSpaceDN w:val="0"/>
              <w:adjustRightInd w:val="0"/>
              <w:spacing w:line="240" w:lineRule="auto"/>
              <w:jc w:val="center"/>
              <w:rPr>
                <w:rFonts w:hint="eastAsia" w:ascii="宋体" w:hAnsi="宋体" w:eastAsia="宋体" w:cs="Times New Roman"/>
                <w:color w:val="auto"/>
                <w:sz w:val="24"/>
              </w:rPr>
            </w:pPr>
            <w:r>
              <w:rPr>
                <w:rFonts w:hint="eastAsia" w:ascii="宋体" w:hAnsi="宋体" w:eastAsia="宋体" w:cs="Times New Roman"/>
                <w:color w:val="auto"/>
                <w:sz w:val="24"/>
              </w:rPr>
              <w:t>构成投标文件的其他资料</w:t>
            </w:r>
          </w:p>
        </w:tc>
        <w:tc>
          <w:tcPr>
            <w:tcW w:w="5792" w:type="dxa"/>
            <w:noWrap w:val="0"/>
            <w:vAlign w:val="center"/>
          </w:tcPr>
          <w:p w14:paraId="62D4E308">
            <w:pPr>
              <w:wordWrap w:val="0"/>
              <w:autoSpaceDE w:val="0"/>
              <w:autoSpaceDN w:val="0"/>
              <w:adjustRightInd w:val="0"/>
              <w:spacing w:line="240" w:lineRule="auto"/>
              <w:rPr>
                <w:rFonts w:hint="eastAsia" w:ascii="宋体" w:hAnsi="宋体" w:eastAsia="宋体" w:cs="Times New Roman"/>
                <w:color w:val="auto"/>
                <w:sz w:val="24"/>
              </w:rPr>
            </w:pPr>
            <w:r>
              <w:rPr>
                <w:rFonts w:hint="eastAsia" w:ascii="宋体" w:hAnsi="宋体" w:eastAsia="宋体" w:cs="Times New Roman"/>
                <w:color w:val="auto"/>
                <w:sz w:val="24"/>
              </w:rPr>
              <w:t>对投标文件所作的澄清、修改、补充、证明等成投标文件的组成部分。</w:t>
            </w:r>
          </w:p>
        </w:tc>
      </w:tr>
      <w:tr w14:paraId="7DD8C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3" w:hRule="exact"/>
          <w:jc w:val="center"/>
        </w:trPr>
        <w:tc>
          <w:tcPr>
            <w:tcW w:w="1060" w:type="dxa"/>
            <w:noWrap w:val="0"/>
            <w:vAlign w:val="center"/>
          </w:tcPr>
          <w:p w14:paraId="4575FA85">
            <w:pPr>
              <w:widowControl/>
              <w:wordWrap w:val="0"/>
              <w:spacing w:after="200"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3.3</w:t>
            </w:r>
          </w:p>
        </w:tc>
        <w:tc>
          <w:tcPr>
            <w:tcW w:w="2183" w:type="dxa"/>
            <w:noWrap w:val="0"/>
            <w:vAlign w:val="center"/>
          </w:tcPr>
          <w:p w14:paraId="1C3D8A8A">
            <w:pPr>
              <w:wordWrap w:val="0"/>
              <w:autoSpaceDE w:val="0"/>
              <w:autoSpaceDN w:val="0"/>
              <w:adjustRightInd w:val="0"/>
              <w:spacing w:line="240" w:lineRule="auto"/>
              <w:jc w:val="center"/>
              <w:rPr>
                <w:rFonts w:hint="eastAsia" w:ascii="宋体" w:hAnsi="宋体" w:eastAsia="宋体" w:cs="Times New Roman"/>
                <w:color w:val="auto"/>
                <w:sz w:val="24"/>
              </w:rPr>
            </w:pPr>
            <w:r>
              <w:rPr>
                <w:rFonts w:hint="eastAsia" w:ascii="宋体" w:hAnsi="宋体" w:eastAsia="宋体" w:cs="Times New Roman"/>
                <w:color w:val="auto"/>
                <w:sz w:val="24"/>
              </w:rPr>
              <w:t>招标控制价</w:t>
            </w:r>
          </w:p>
        </w:tc>
        <w:tc>
          <w:tcPr>
            <w:tcW w:w="5792" w:type="dxa"/>
            <w:noWrap w:val="0"/>
            <w:vAlign w:val="center"/>
          </w:tcPr>
          <w:p w14:paraId="237D5997">
            <w:pPr>
              <w:wordWrap w:val="0"/>
              <w:autoSpaceDE w:val="0"/>
              <w:autoSpaceDN w:val="0"/>
              <w:adjustRightInd w:val="0"/>
              <w:spacing w:line="240" w:lineRule="auto"/>
              <w:rPr>
                <w:rFonts w:hint="eastAsia" w:ascii="宋体" w:hAnsi="宋体" w:eastAsia="宋体" w:cs="Times New Roman"/>
                <w:color w:val="auto"/>
                <w:sz w:val="24"/>
              </w:rPr>
            </w:pPr>
            <w:r>
              <w:rPr>
                <w:rFonts w:hint="eastAsia" w:ascii="宋体" w:hAnsi="宋体" w:eastAsia="宋体" w:cs="Times New Roman"/>
                <w:color w:val="auto"/>
                <w:sz w:val="24"/>
              </w:rPr>
              <w:t>本项目招标控制价：￥</w:t>
            </w:r>
            <w:r>
              <w:rPr>
                <w:rFonts w:hint="eastAsia" w:ascii="宋体" w:hAnsi="宋体" w:cs="宋体"/>
                <w:color w:val="auto"/>
                <w:kern w:val="0"/>
                <w:sz w:val="24"/>
                <w:lang w:val="en-US" w:eastAsia="zh-CN"/>
              </w:rPr>
              <w:t>16435690.59</w:t>
            </w:r>
            <w:r>
              <w:rPr>
                <w:rFonts w:hint="eastAsia" w:ascii="宋体" w:hAnsi="宋体" w:eastAsia="宋体" w:cs="Times New Roman"/>
                <w:color w:val="auto"/>
                <w:sz w:val="24"/>
              </w:rPr>
              <w:t>元。投标报价超过招标控制价的否决其投标。</w:t>
            </w:r>
          </w:p>
        </w:tc>
      </w:tr>
      <w:tr w14:paraId="7BE35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060" w:type="dxa"/>
            <w:noWrap w:val="0"/>
            <w:vAlign w:val="center"/>
          </w:tcPr>
          <w:p w14:paraId="413A1A90">
            <w:pPr>
              <w:widowControl/>
              <w:wordWrap w:val="0"/>
              <w:spacing w:after="200"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3.4</w:t>
            </w:r>
          </w:p>
        </w:tc>
        <w:tc>
          <w:tcPr>
            <w:tcW w:w="2183" w:type="dxa"/>
            <w:noWrap w:val="0"/>
            <w:vAlign w:val="center"/>
          </w:tcPr>
          <w:p w14:paraId="3F60675B">
            <w:pPr>
              <w:wordWrap w:val="0"/>
              <w:autoSpaceDE w:val="0"/>
              <w:autoSpaceDN w:val="0"/>
              <w:adjustRightInd w:val="0"/>
              <w:spacing w:line="240" w:lineRule="auto"/>
              <w:jc w:val="center"/>
              <w:rPr>
                <w:rFonts w:hint="eastAsia" w:ascii="宋体" w:hAnsi="宋体" w:eastAsia="宋体" w:cs="Times New Roman"/>
                <w:color w:val="auto"/>
                <w:sz w:val="24"/>
              </w:rPr>
            </w:pPr>
            <w:r>
              <w:rPr>
                <w:rFonts w:hint="eastAsia" w:ascii="宋体" w:hAnsi="宋体" w:eastAsia="宋体" w:cs="Times New Roman"/>
                <w:color w:val="auto"/>
                <w:sz w:val="24"/>
              </w:rPr>
              <w:t>投标有效期</w:t>
            </w:r>
          </w:p>
        </w:tc>
        <w:tc>
          <w:tcPr>
            <w:tcW w:w="5792" w:type="dxa"/>
            <w:noWrap w:val="0"/>
            <w:vAlign w:val="center"/>
          </w:tcPr>
          <w:p w14:paraId="1CA81EEF">
            <w:pPr>
              <w:wordWrap w:val="0"/>
              <w:autoSpaceDE w:val="0"/>
              <w:autoSpaceDN w:val="0"/>
              <w:adjustRightInd w:val="0"/>
              <w:spacing w:line="240" w:lineRule="auto"/>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60</w:t>
            </w:r>
            <w:r>
              <w:rPr>
                <w:rFonts w:hint="eastAsia" w:ascii="宋体" w:hAnsi="宋体" w:eastAsia="宋体" w:cs="Times New Roman"/>
                <w:color w:val="auto"/>
                <w:sz w:val="24"/>
                <w:lang w:eastAsia="zh-CN"/>
              </w:rPr>
              <w:t>日历天</w:t>
            </w:r>
            <w:r>
              <w:rPr>
                <w:rFonts w:hint="eastAsia" w:ascii="宋体" w:hAnsi="宋体" w:eastAsia="宋体" w:cs="Times New Roman"/>
                <w:color w:val="auto"/>
                <w:sz w:val="24"/>
              </w:rPr>
              <w:t>（从投标截止之日算起）</w:t>
            </w:r>
          </w:p>
        </w:tc>
      </w:tr>
      <w:tr w14:paraId="1EBC6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2" w:hRule="atLeast"/>
          <w:jc w:val="center"/>
        </w:trPr>
        <w:tc>
          <w:tcPr>
            <w:tcW w:w="1060" w:type="dxa"/>
            <w:noWrap w:val="0"/>
            <w:vAlign w:val="center"/>
          </w:tcPr>
          <w:p w14:paraId="0B8D7857">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3.5</w:t>
            </w:r>
          </w:p>
        </w:tc>
        <w:tc>
          <w:tcPr>
            <w:tcW w:w="2183" w:type="dxa"/>
            <w:noWrap w:val="0"/>
            <w:vAlign w:val="center"/>
          </w:tcPr>
          <w:p w14:paraId="71150CC4">
            <w:pPr>
              <w:widowControl/>
              <w:wordWrap w:val="0"/>
              <w:spacing w:line="240" w:lineRule="auto"/>
              <w:jc w:val="center"/>
              <w:rPr>
                <w:rFonts w:ascii="宋体" w:hAnsi="宋体" w:cs="宋体"/>
                <w:color w:val="auto"/>
                <w:kern w:val="0"/>
                <w:sz w:val="24"/>
                <w:lang w:eastAsia="en-US"/>
              </w:rPr>
            </w:pPr>
            <w:r>
              <w:rPr>
                <w:rFonts w:hint="eastAsia" w:ascii="宋体" w:hAnsi="宋体" w:cs="宋体"/>
                <w:color w:val="auto"/>
                <w:kern w:val="0"/>
                <w:sz w:val="24"/>
                <w:lang w:eastAsia="en-US"/>
              </w:rPr>
              <w:t>投标保证金</w:t>
            </w:r>
          </w:p>
        </w:tc>
        <w:tc>
          <w:tcPr>
            <w:tcW w:w="5792" w:type="dxa"/>
            <w:noWrap w:val="0"/>
            <w:vAlign w:val="center"/>
          </w:tcPr>
          <w:p w14:paraId="2C562EEC">
            <w:pPr>
              <w:widowControl/>
              <w:wordWrap w:val="0"/>
              <w:spacing w:line="240" w:lineRule="auto"/>
              <w:rPr>
                <w:rFonts w:hint="eastAsia" w:ascii="宋体" w:hAnsi="宋体" w:cs="仿宋"/>
                <w:color w:val="auto"/>
                <w:sz w:val="24"/>
                <w:highlight w:val="none"/>
              </w:rPr>
            </w:pPr>
            <w:r>
              <w:rPr>
                <w:rFonts w:hint="eastAsia" w:ascii="宋体" w:hAnsi="宋体" w:cs="宋体"/>
                <w:color w:val="auto"/>
                <w:kern w:val="0"/>
                <w:sz w:val="24"/>
                <w:highlight w:val="none"/>
              </w:rPr>
              <w:t>1、</w:t>
            </w:r>
            <w:r>
              <w:rPr>
                <w:rFonts w:hint="eastAsia" w:ascii="宋体" w:hAnsi="宋体" w:cs="仿宋"/>
                <w:color w:val="auto"/>
                <w:sz w:val="24"/>
                <w:highlight w:val="none"/>
              </w:rPr>
              <w:t>投标保证金数额为大写：</w:t>
            </w:r>
            <w:r>
              <w:rPr>
                <w:rFonts w:hint="eastAsia" w:ascii="宋体" w:hAnsi="宋体" w:cs="仿宋"/>
                <w:color w:val="auto"/>
                <w:sz w:val="24"/>
                <w:highlight w:val="none"/>
                <w:lang w:val="en-US" w:eastAsia="zh-CN"/>
              </w:rPr>
              <w:t>贰拾万元整</w:t>
            </w:r>
            <w:r>
              <w:rPr>
                <w:rFonts w:hint="eastAsia" w:ascii="宋体" w:hAnsi="宋体" w:cs="仿宋"/>
                <w:color w:val="auto"/>
                <w:sz w:val="24"/>
                <w:highlight w:val="none"/>
                <w:lang w:eastAsia="zh-CN"/>
              </w:rPr>
              <w:t>（小写：￥</w:t>
            </w:r>
            <w:r>
              <w:rPr>
                <w:rFonts w:hint="eastAsia" w:ascii="宋体" w:hAnsi="宋体" w:cs="仿宋"/>
                <w:color w:val="auto"/>
                <w:sz w:val="24"/>
                <w:highlight w:val="none"/>
                <w:lang w:val="en-US" w:eastAsia="zh-CN"/>
              </w:rPr>
              <w:t>20</w:t>
            </w:r>
            <w:r>
              <w:rPr>
                <w:rFonts w:hint="eastAsia" w:ascii="宋体" w:hAnsi="宋体" w:cs="仿宋"/>
                <w:color w:val="auto"/>
                <w:sz w:val="24"/>
                <w:highlight w:val="none"/>
                <w:lang w:eastAsia="zh-CN"/>
              </w:rPr>
              <w:t>0000.00元）</w:t>
            </w:r>
            <w:r>
              <w:rPr>
                <w:rFonts w:hint="eastAsia" w:ascii="宋体" w:hAnsi="宋体" w:cs="仿宋"/>
                <w:color w:val="auto"/>
                <w:sz w:val="24"/>
                <w:highlight w:val="none"/>
              </w:rPr>
              <w:t>；</w:t>
            </w:r>
          </w:p>
          <w:p w14:paraId="750559C5">
            <w:pPr>
              <w:wordWrap w:val="0"/>
              <w:spacing w:line="240" w:lineRule="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auto"/>
                <w:kern w:val="0"/>
                <w:sz w:val="24"/>
                <w:highlight w:val="none"/>
                <w:lang w:eastAsia="zh-CN"/>
              </w:rPr>
              <w:t>2、投标保证金递交的截止时间：</w:t>
            </w:r>
            <w:r>
              <w:rPr>
                <w:rFonts w:hint="eastAsia" w:ascii="宋体" w:hAnsi="宋体" w:eastAsia="宋体" w:cs="宋体"/>
                <w:color w:val="000000" w:themeColor="text1"/>
                <w:kern w:val="0"/>
                <w:sz w:val="24"/>
                <w:highlight w:val="none"/>
                <w:lang w:eastAsia="zh-CN"/>
                <w14:textFill>
                  <w14:solidFill>
                    <w14:schemeClr w14:val="tx1"/>
                  </w14:solidFill>
                </w14:textFill>
              </w:rPr>
              <w:t>202</w:t>
            </w:r>
            <w:r>
              <w:rPr>
                <w:rFonts w:hint="eastAsia" w:ascii="宋体" w:hAnsi="宋体" w:cs="宋体"/>
                <w:color w:val="000000" w:themeColor="text1"/>
                <w:kern w:val="0"/>
                <w:sz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highlight w:val="none"/>
                <w:lang w:eastAsia="zh-CN"/>
                <w14:textFill>
                  <w14:solidFill>
                    <w14:schemeClr w14:val="tx1"/>
                  </w14:solidFill>
                </w14:textFill>
              </w:rPr>
              <w:t>年</w:t>
            </w:r>
            <w:r>
              <w:rPr>
                <w:rFonts w:hint="eastAsia" w:ascii="宋体" w:hAnsi="宋体" w:cs="宋体"/>
                <w:color w:val="000000" w:themeColor="text1"/>
                <w:kern w:val="0"/>
                <w:sz w:val="24"/>
                <w:highlight w:val="none"/>
                <w:lang w:val="en-US" w:eastAsia="zh-CN"/>
                <w14:textFill>
                  <w14:solidFill>
                    <w14:schemeClr w14:val="tx1"/>
                  </w14:solidFill>
                </w14:textFill>
              </w:rPr>
              <w:t>03</w:t>
            </w:r>
            <w:r>
              <w:rPr>
                <w:rFonts w:hint="eastAsia" w:ascii="宋体" w:hAnsi="宋体" w:eastAsia="宋体" w:cs="宋体"/>
                <w:color w:val="000000" w:themeColor="text1"/>
                <w:kern w:val="0"/>
                <w:sz w:val="24"/>
                <w:highlight w:val="none"/>
                <w:lang w:val="en-US" w:eastAsia="zh-CN"/>
                <w14:textFill>
                  <w14:solidFill>
                    <w14:schemeClr w14:val="tx1"/>
                  </w14:solidFill>
                </w14:textFill>
              </w:rPr>
              <w:t>月</w:t>
            </w:r>
            <w:r>
              <w:rPr>
                <w:rFonts w:hint="eastAsia" w:ascii="宋体" w:hAnsi="宋体" w:cs="宋体"/>
                <w:color w:val="000000" w:themeColor="text1"/>
                <w:kern w:val="0"/>
                <w:sz w:val="24"/>
                <w:highlight w:val="none"/>
                <w:lang w:val="en-US" w:eastAsia="zh-CN"/>
                <w14:textFill>
                  <w14:solidFill>
                    <w14:schemeClr w14:val="tx1"/>
                  </w14:solidFill>
                </w14:textFill>
              </w:rPr>
              <w:t>13</w:t>
            </w:r>
            <w:r>
              <w:rPr>
                <w:rFonts w:hint="eastAsia" w:ascii="宋体" w:hAnsi="宋体" w:eastAsia="宋体" w:cs="宋体"/>
                <w:color w:val="000000" w:themeColor="text1"/>
                <w:kern w:val="0"/>
                <w:sz w:val="24"/>
                <w:highlight w:val="none"/>
                <w:lang w:val="en-US" w:eastAsia="zh-CN"/>
                <w14:textFill>
                  <w14:solidFill>
                    <w14:schemeClr w14:val="tx1"/>
                  </w14:solidFill>
                </w14:textFill>
              </w:rPr>
              <w:t>日</w:t>
            </w:r>
            <w:r>
              <w:rPr>
                <w:rFonts w:hint="eastAsia" w:ascii="宋体" w:hAnsi="宋体" w:cs="宋体"/>
                <w:color w:val="000000" w:themeColor="text1"/>
                <w:kern w:val="0"/>
                <w:sz w:val="24"/>
                <w:highlight w:val="none"/>
                <w:lang w:val="en-US" w:eastAsia="zh-CN"/>
                <w14:textFill>
                  <w14:solidFill>
                    <w14:schemeClr w14:val="tx1"/>
                  </w14:solidFill>
                </w14:textFill>
              </w:rPr>
              <w:t>08</w:t>
            </w:r>
            <w:r>
              <w:rPr>
                <w:rFonts w:hint="eastAsia" w:ascii="宋体" w:hAnsi="宋体" w:eastAsia="宋体" w:cs="宋体"/>
                <w:color w:val="000000" w:themeColor="text1"/>
                <w:kern w:val="0"/>
                <w:sz w:val="24"/>
                <w:highlight w:val="none"/>
                <w:lang w:val="en-US" w:eastAsia="zh-CN"/>
                <w14:textFill>
                  <w14:solidFill>
                    <w14:schemeClr w14:val="tx1"/>
                  </w14:solidFill>
                </w14:textFill>
              </w:rPr>
              <w:t>时</w:t>
            </w:r>
            <w:r>
              <w:rPr>
                <w:rFonts w:hint="eastAsia" w:ascii="宋体" w:hAnsi="宋体" w:cs="宋体"/>
                <w:color w:val="000000" w:themeColor="text1"/>
                <w:kern w:val="0"/>
                <w:sz w:val="24"/>
                <w:highlight w:val="none"/>
                <w:lang w:val="en-US" w:eastAsia="zh-CN"/>
                <w14:textFill>
                  <w14:solidFill>
                    <w14:schemeClr w14:val="tx1"/>
                  </w14:solidFill>
                </w14:textFill>
              </w:rPr>
              <w:t>40</w:t>
            </w:r>
            <w:r>
              <w:rPr>
                <w:rFonts w:hint="eastAsia" w:ascii="宋体" w:hAnsi="宋体" w:eastAsia="宋体" w:cs="宋体"/>
                <w:color w:val="000000" w:themeColor="text1"/>
                <w:kern w:val="0"/>
                <w:sz w:val="24"/>
                <w:highlight w:val="none"/>
                <w:lang w:val="en-US" w:eastAsia="zh-CN"/>
                <w14:textFill>
                  <w14:solidFill>
                    <w14:schemeClr w14:val="tx1"/>
                  </w14:solidFill>
                </w14:textFill>
              </w:rPr>
              <w:t>分</w:t>
            </w:r>
            <w:r>
              <w:rPr>
                <w:rFonts w:hint="eastAsia" w:ascii="宋体" w:hAnsi="宋体" w:eastAsia="宋体" w:cs="宋体"/>
                <w:color w:val="000000" w:themeColor="text1"/>
                <w:kern w:val="0"/>
                <w:sz w:val="24"/>
                <w:highlight w:val="none"/>
                <w:lang w:eastAsia="zh-CN"/>
                <w14:textFill>
                  <w14:solidFill>
                    <w14:schemeClr w14:val="tx1"/>
                  </w14:solidFill>
                </w14:textFill>
              </w:rPr>
              <w:t>；</w:t>
            </w:r>
          </w:p>
          <w:p w14:paraId="165FC18F">
            <w:pPr>
              <w:wordWrap w:val="0"/>
              <w:spacing w:line="240" w:lineRule="auto"/>
              <w:rPr>
                <w:rFonts w:hint="eastAsia" w:ascii="宋体" w:hAnsi="宋体" w:cs="仿宋"/>
                <w:color w:val="auto"/>
                <w:sz w:val="24"/>
              </w:rPr>
            </w:pPr>
            <w:r>
              <w:rPr>
                <w:rFonts w:hint="eastAsia" w:ascii="宋体" w:hAnsi="宋体" w:cs="仿宋"/>
                <w:color w:val="auto"/>
                <w:sz w:val="24"/>
                <w:highlight w:val="none"/>
                <w:lang w:val="en-US" w:eastAsia="zh-CN"/>
              </w:rPr>
              <w:t>3、</w:t>
            </w:r>
            <w:r>
              <w:rPr>
                <w:rFonts w:hint="eastAsia" w:ascii="宋体" w:hAnsi="宋体" w:cs="仿宋"/>
                <w:color w:val="auto"/>
                <w:sz w:val="24"/>
                <w:highlight w:val="none"/>
              </w:rPr>
              <w:t>根据《关于加快推进公</w:t>
            </w:r>
            <w:r>
              <w:rPr>
                <w:rFonts w:hint="eastAsia" w:ascii="宋体" w:hAnsi="宋体" w:cs="仿宋"/>
                <w:color w:val="auto"/>
                <w:sz w:val="24"/>
              </w:rPr>
              <w:t>共资源交易领域信用监管工作的通知》三公管办[2021]3号文要求：</w:t>
            </w:r>
          </w:p>
          <w:p w14:paraId="069EA928">
            <w:pPr>
              <w:wordWrap w:val="0"/>
              <w:spacing w:line="240" w:lineRule="auto"/>
              <w:ind w:firstLine="480" w:firstLineChars="200"/>
              <w:rPr>
                <w:rFonts w:hint="eastAsia" w:ascii="宋体" w:hAnsi="宋体" w:eastAsia="宋体" w:cs="仿宋"/>
                <w:color w:val="auto"/>
                <w:sz w:val="24"/>
                <w:lang w:eastAsia="zh-CN"/>
              </w:rPr>
            </w:pPr>
            <w:r>
              <w:rPr>
                <w:rFonts w:hint="eastAsia" w:ascii="宋体" w:hAnsi="宋体" w:cs="仿宋"/>
                <w:color w:val="auto"/>
                <w:sz w:val="24"/>
              </w:rPr>
              <w:t>建筑类施工企业获得“优秀”、公路类施工企业获得“AA”、水利类施工企业获得“AAA”等级且连续3年无不良行为记录的中小微企业，保证金缴纳金额为</w:t>
            </w:r>
            <w:r>
              <w:rPr>
                <w:rFonts w:hint="eastAsia" w:ascii="宋体" w:hAnsi="宋体" w:cs="仿宋"/>
                <w:color w:val="auto"/>
                <w:sz w:val="24"/>
                <w:lang w:eastAsia="zh-CN"/>
              </w:rPr>
              <w:t>￥</w:t>
            </w:r>
            <w:r>
              <w:rPr>
                <w:rFonts w:hint="eastAsia" w:ascii="宋体" w:hAnsi="宋体" w:cs="仿宋"/>
                <w:color w:val="auto"/>
                <w:sz w:val="24"/>
                <w:lang w:val="en-US" w:eastAsia="zh-CN"/>
              </w:rPr>
              <w:t>180000.00</w:t>
            </w:r>
            <w:r>
              <w:rPr>
                <w:rFonts w:hint="eastAsia" w:ascii="宋体" w:hAnsi="宋体" w:cs="仿宋"/>
                <w:color w:val="auto"/>
                <w:sz w:val="24"/>
              </w:rPr>
              <w:t>元</w:t>
            </w:r>
            <w:r>
              <w:rPr>
                <w:rFonts w:hint="eastAsia" w:ascii="宋体" w:hAnsi="宋体" w:cs="仿宋"/>
                <w:color w:val="auto"/>
                <w:sz w:val="24"/>
                <w:lang w:eastAsia="zh-CN"/>
              </w:rPr>
              <w:t>；</w:t>
            </w:r>
          </w:p>
          <w:p w14:paraId="69134B3E">
            <w:pPr>
              <w:wordWrap w:val="0"/>
              <w:spacing w:line="240" w:lineRule="auto"/>
              <w:ind w:firstLine="480" w:firstLineChars="200"/>
              <w:rPr>
                <w:rFonts w:hint="eastAsia" w:ascii="宋体" w:hAnsi="宋体" w:eastAsia="宋体" w:cs="宋体"/>
                <w:color w:val="auto"/>
                <w:kern w:val="0"/>
                <w:sz w:val="24"/>
                <w:lang w:eastAsia="zh-CN"/>
              </w:rPr>
            </w:pPr>
            <w:r>
              <w:rPr>
                <w:rFonts w:hint="eastAsia" w:ascii="宋体" w:hAnsi="宋体" w:cs="仿宋"/>
                <w:color w:val="auto"/>
                <w:sz w:val="24"/>
              </w:rPr>
              <w:t>建筑类施工企业获得“良好”、公路类施工企业获得“A”、水利类施工企业获得“AA”等级且连续3年无不良行为记录的中小微企业，保证金缴纳金额为</w:t>
            </w:r>
            <w:r>
              <w:rPr>
                <w:rFonts w:hint="eastAsia" w:ascii="宋体" w:hAnsi="宋体" w:cs="仿宋"/>
                <w:color w:val="auto"/>
                <w:sz w:val="24"/>
                <w:lang w:eastAsia="zh-CN"/>
              </w:rPr>
              <w:t>￥</w:t>
            </w:r>
            <w:r>
              <w:rPr>
                <w:rFonts w:hint="eastAsia" w:ascii="宋体" w:hAnsi="宋体" w:cs="仿宋"/>
                <w:color w:val="auto"/>
                <w:sz w:val="24"/>
                <w:lang w:val="en-US" w:eastAsia="zh-CN"/>
              </w:rPr>
              <w:t>190000.00</w:t>
            </w:r>
            <w:r>
              <w:rPr>
                <w:rFonts w:hint="eastAsia" w:ascii="宋体" w:hAnsi="宋体" w:cs="仿宋"/>
                <w:color w:val="auto"/>
                <w:sz w:val="24"/>
              </w:rPr>
              <w:t>元</w:t>
            </w:r>
            <w:r>
              <w:rPr>
                <w:rFonts w:hint="eastAsia" w:ascii="宋体" w:hAnsi="宋体" w:cs="仿宋"/>
                <w:color w:val="auto"/>
                <w:sz w:val="24"/>
                <w:lang w:eastAsia="zh-CN"/>
              </w:rPr>
              <w:t>；</w:t>
            </w:r>
          </w:p>
          <w:p w14:paraId="1855A42C">
            <w:pPr>
              <w:wordWrap w:val="0"/>
              <w:spacing w:line="240" w:lineRule="auto"/>
              <w:rPr>
                <w:rFonts w:hint="eastAsia" w:ascii="宋体" w:hAnsi="宋体" w:cs="宋体"/>
                <w:color w:val="auto"/>
                <w:kern w:val="0"/>
                <w:sz w:val="24"/>
                <w:lang w:eastAsia="zh-CN"/>
              </w:rPr>
            </w:pPr>
            <w:r>
              <w:rPr>
                <w:rFonts w:hint="eastAsia" w:ascii="宋体" w:hAnsi="宋体" w:cs="宋体"/>
                <w:color w:val="auto"/>
                <w:kern w:val="0"/>
                <w:sz w:val="24"/>
                <w:lang w:val="en-US" w:eastAsia="zh-CN"/>
              </w:rPr>
              <w:t>4</w:t>
            </w:r>
            <w:r>
              <w:rPr>
                <w:rFonts w:hint="eastAsia" w:ascii="宋体" w:hAnsi="宋体" w:cs="宋体"/>
                <w:color w:val="auto"/>
                <w:kern w:val="0"/>
                <w:sz w:val="24"/>
              </w:rPr>
              <w:t>、缴纳方式详见：投标人市场主体登录-系统菜单-工程业务-业务管理-保证金单笔入账查询，即可查询保证金缴纳账号及到账情况</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投标人递交保证金时请注明所投项目名称（或项目编号）</w:t>
            </w:r>
          </w:p>
          <w:p w14:paraId="73A596A6">
            <w:pPr>
              <w:wordWrap w:val="0"/>
              <w:spacing w:line="240" w:lineRule="auto"/>
            </w:pPr>
            <w:r>
              <w:rPr>
                <w:rFonts w:hint="eastAsia" w:ascii="宋体" w:hAnsi="宋体" w:eastAsia="宋体" w:cs="宋体"/>
                <w:color w:val="auto"/>
                <w:kern w:val="0"/>
                <w:sz w:val="24"/>
              </w:rPr>
              <w:t>注：本项目投标保证金可使用电子保函缴纳，方便快捷，不占用资金，开具方式请登录“网站首页-电子保函平台”或者“登录系统首页右下角-三门峡金融服务平台”或者直接登陆：http://120.194.249.36:10094/smxbaohan/ 进行操作，如果有问题，可咨询：0398-3117871、400-153888。</w:t>
            </w:r>
          </w:p>
        </w:tc>
      </w:tr>
      <w:tr w14:paraId="05EA8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060" w:type="dxa"/>
            <w:noWrap w:val="0"/>
            <w:vAlign w:val="center"/>
          </w:tcPr>
          <w:p w14:paraId="663E9413">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3.6</w:t>
            </w:r>
          </w:p>
        </w:tc>
        <w:tc>
          <w:tcPr>
            <w:tcW w:w="2183" w:type="dxa"/>
            <w:noWrap w:val="0"/>
            <w:vAlign w:val="center"/>
          </w:tcPr>
          <w:p w14:paraId="2246AF0F">
            <w:pPr>
              <w:widowControl/>
              <w:wordWrap w:val="0"/>
              <w:spacing w:line="240" w:lineRule="auto"/>
              <w:jc w:val="center"/>
              <w:rPr>
                <w:rFonts w:ascii="宋体" w:hAnsi="宋体" w:cs="宋体"/>
                <w:color w:val="auto"/>
                <w:kern w:val="0"/>
                <w:sz w:val="24"/>
              </w:rPr>
            </w:pPr>
            <w:r>
              <w:rPr>
                <w:rFonts w:hint="eastAsia" w:ascii="宋体" w:hAnsi="宋体" w:cs="宋体"/>
                <w:color w:val="auto"/>
                <w:kern w:val="0"/>
                <w:sz w:val="24"/>
              </w:rPr>
              <w:t>其他可以不予退还投标保证金的情形</w:t>
            </w:r>
          </w:p>
        </w:tc>
        <w:tc>
          <w:tcPr>
            <w:tcW w:w="5792" w:type="dxa"/>
            <w:noWrap w:val="0"/>
            <w:vAlign w:val="center"/>
          </w:tcPr>
          <w:p w14:paraId="57EB09C1">
            <w:pPr>
              <w:wordWrap w:val="0"/>
              <w:spacing w:line="240" w:lineRule="auto"/>
              <w:rPr>
                <w:rFonts w:ascii="宋体" w:hAnsi="宋体" w:cs="宋体"/>
                <w:color w:val="auto"/>
                <w:sz w:val="24"/>
              </w:rPr>
            </w:pPr>
            <w:r>
              <w:rPr>
                <w:rFonts w:hint="eastAsia" w:ascii="宋体" w:hAnsi="宋体" w:cs="宋体"/>
                <w:color w:val="auto"/>
                <w:sz w:val="24"/>
              </w:rPr>
              <w:t>（1）投标人在规定的投标有效期内撤销或修改其投标文件；</w:t>
            </w:r>
          </w:p>
          <w:p w14:paraId="5AE29FA4">
            <w:pPr>
              <w:wordWrap w:val="0"/>
              <w:spacing w:line="240" w:lineRule="auto"/>
              <w:rPr>
                <w:rFonts w:ascii="宋体" w:hAnsi="宋体" w:cs="宋体"/>
                <w:color w:val="auto"/>
                <w:sz w:val="24"/>
              </w:rPr>
            </w:pPr>
            <w:r>
              <w:rPr>
                <w:rFonts w:hint="eastAsia" w:ascii="宋体" w:hAnsi="宋体" w:cs="宋体"/>
                <w:color w:val="auto"/>
                <w:sz w:val="24"/>
              </w:rPr>
              <w:t>（2）投标人在招投标活动中弄虚作假、围标串标等骗取中标并经招标投标监督机构调查核实的；</w:t>
            </w:r>
          </w:p>
          <w:p w14:paraId="1AA4467D">
            <w:pPr>
              <w:wordWrap w:val="0"/>
              <w:spacing w:line="240" w:lineRule="auto"/>
              <w:rPr>
                <w:rFonts w:ascii="宋体" w:hAnsi="宋体" w:cs="宋体"/>
                <w:color w:val="auto"/>
                <w:sz w:val="24"/>
              </w:rPr>
            </w:pPr>
            <w:r>
              <w:rPr>
                <w:rFonts w:hint="eastAsia" w:ascii="宋体" w:hAnsi="宋体" w:cs="宋体"/>
                <w:color w:val="auto"/>
                <w:sz w:val="24"/>
              </w:rPr>
              <w:t>（3）中标人在收到中标通知书后，无正当理由拒签合同或未按招标文件规定提交履约保证金；</w:t>
            </w:r>
          </w:p>
          <w:p w14:paraId="15793851">
            <w:pPr>
              <w:wordWrap w:val="0"/>
              <w:spacing w:line="240" w:lineRule="auto"/>
              <w:rPr>
                <w:rFonts w:ascii="宋体" w:hAnsi="宋体" w:cs="宋体"/>
                <w:color w:val="auto"/>
                <w:kern w:val="0"/>
                <w:sz w:val="24"/>
              </w:rPr>
            </w:pPr>
            <w:r>
              <w:rPr>
                <w:rFonts w:hint="eastAsia" w:ascii="宋体" w:hAnsi="宋体" w:cs="宋体"/>
                <w:color w:val="auto"/>
                <w:sz w:val="24"/>
              </w:rPr>
              <w:t>（4）法律法规、规章及招标文件规定的其它不予退还的情形。</w:t>
            </w:r>
          </w:p>
        </w:tc>
      </w:tr>
      <w:tr w14:paraId="58EC0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atLeast"/>
          <w:jc w:val="center"/>
        </w:trPr>
        <w:tc>
          <w:tcPr>
            <w:tcW w:w="1060" w:type="dxa"/>
            <w:noWrap w:val="0"/>
            <w:vAlign w:val="center"/>
          </w:tcPr>
          <w:p w14:paraId="604F73DD">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3.7</w:t>
            </w:r>
          </w:p>
        </w:tc>
        <w:tc>
          <w:tcPr>
            <w:tcW w:w="2183" w:type="dxa"/>
            <w:noWrap w:val="0"/>
            <w:vAlign w:val="center"/>
          </w:tcPr>
          <w:p w14:paraId="3A7900E4">
            <w:pPr>
              <w:widowControl/>
              <w:wordWrap w:val="0"/>
              <w:spacing w:line="240" w:lineRule="auto"/>
              <w:jc w:val="left"/>
              <w:rPr>
                <w:rFonts w:ascii="宋体" w:hAnsi="宋体" w:cs="宋体"/>
                <w:color w:val="auto"/>
                <w:kern w:val="0"/>
                <w:sz w:val="24"/>
              </w:rPr>
            </w:pPr>
            <w:r>
              <w:rPr>
                <w:rFonts w:hint="eastAsia" w:ascii="宋体" w:hAnsi="宋体" w:cs="宋体"/>
                <w:color w:val="auto"/>
                <w:kern w:val="0"/>
                <w:sz w:val="24"/>
              </w:rPr>
              <w:t xml:space="preserve">近年完成的类似项目的年份要求 </w:t>
            </w:r>
          </w:p>
        </w:tc>
        <w:tc>
          <w:tcPr>
            <w:tcW w:w="5792" w:type="dxa"/>
            <w:noWrap w:val="0"/>
            <w:vAlign w:val="center"/>
          </w:tcPr>
          <w:p w14:paraId="07DEE8E4">
            <w:pPr>
              <w:widowControl/>
              <w:wordWrap w:val="0"/>
              <w:spacing w:after="200" w:line="240" w:lineRule="auto"/>
              <w:jc w:val="left"/>
              <w:rPr>
                <w:rFonts w:hint="eastAsia" w:ascii="宋体" w:hAnsi="宋体" w:eastAsia="宋体" w:cs="宋体"/>
                <w:color w:val="auto"/>
                <w:kern w:val="0"/>
                <w:sz w:val="24"/>
                <w:bdr w:val="single" w:color="auto" w:sz="4" w:space="0"/>
                <w:lang w:eastAsia="zh-CN"/>
              </w:rPr>
            </w:pPr>
            <w:r>
              <w:rPr>
                <w:rFonts w:hint="eastAsia" w:ascii="宋体" w:hAnsi="宋体" w:cs="宋体"/>
                <w:color w:val="auto"/>
                <w:kern w:val="0"/>
                <w:sz w:val="24"/>
                <w:lang w:val="en-US" w:eastAsia="zh-CN"/>
              </w:rPr>
              <w:t>2023</w:t>
            </w:r>
            <w:r>
              <w:rPr>
                <w:rFonts w:hint="eastAsia" w:ascii="宋体" w:hAnsi="宋体" w:cs="宋体"/>
                <w:color w:val="auto"/>
                <w:kern w:val="0"/>
                <w:sz w:val="24"/>
                <w:lang w:eastAsia="zh-CN"/>
              </w:rPr>
              <w:t>年1月1日以来</w:t>
            </w:r>
          </w:p>
        </w:tc>
      </w:tr>
      <w:tr w14:paraId="04184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1060" w:type="dxa"/>
            <w:noWrap w:val="0"/>
            <w:vAlign w:val="center"/>
          </w:tcPr>
          <w:p w14:paraId="3FBE3389">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3.8</w:t>
            </w:r>
          </w:p>
        </w:tc>
        <w:tc>
          <w:tcPr>
            <w:tcW w:w="2183" w:type="dxa"/>
            <w:noWrap w:val="0"/>
            <w:vAlign w:val="center"/>
          </w:tcPr>
          <w:p w14:paraId="6C329524">
            <w:pPr>
              <w:widowControl/>
              <w:wordWrap w:val="0"/>
              <w:spacing w:line="240" w:lineRule="auto"/>
              <w:jc w:val="left"/>
              <w:rPr>
                <w:rFonts w:ascii="宋体" w:hAnsi="宋体" w:cs="宋体"/>
                <w:color w:val="auto"/>
                <w:kern w:val="0"/>
                <w:sz w:val="24"/>
              </w:rPr>
            </w:pPr>
            <w:r>
              <w:rPr>
                <w:rFonts w:hint="eastAsia" w:ascii="宋体" w:hAnsi="宋体" w:cs="宋体"/>
                <w:color w:val="auto"/>
                <w:kern w:val="0"/>
                <w:sz w:val="24"/>
              </w:rPr>
              <w:t>是否允许递交备选投标方案</w:t>
            </w:r>
          </w:p>
        </w:tc>
        <w:tc>
          <w:tcPr>
            <w:tcW w:w="5792" w:type="dxa"/>
            <w:noWrap w:val="0"/>
            <w:vAlign w:val="center"/>
          </w:tcPr>
          <w:p w14:paraId="5DF37D26">
            <w:pPr>
              <w:widowControl/>
              <w:wordWrap w:val="0"/>
              <w:spacing w:line="240" w:lineRule="auto"/>
              <w:jc w:val="left"/>
              <w:rPr>
                <w:rFonts w:ascii="宋体" w:hAnsi="宋体" w:cs="宋体"/>
                <w:color w:val="auto"/>
                <w:kern w:val="0"/>
                <w:sz w:val="24"/>
              </w:rPr>
            </w:pPr>
            <w:r>
              <w:rPr>
                <w:rFonts w:hint="eastAsia" w:ascii="宋体" w:hAnsi="宋体" w:cs="宋体"/>
                <w:color w:val="auto"/>
                <w:kern w:val="0"/>
                <w:sz w:val="24"/>
              </w:rPr>
              <w:t>否</w:t>
            </w:r>
          </w:p>
        </w:tc>
      </w:tr>
      <w:tr w14:paraId="0DD80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1" w:hRule="atLeast"/>
          <w:jc w:val="center"/>
        </w:trPr>
        <w:tc>
          <w:tcPr>
            <w:tcW w:w="1060" w:type="dxa"/>
            <w:noWrap w:val="0"/>
            <w:vAlign w:val="center"/>
          </w:tcPr>
          <w:p w14:paraId="38748103">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3.9</w:t>
            </w:r>
          </w:p>
        </w:tc>
        <w:tc>
          <w:tcPr>
            <w:tcW w:w="2183" w:type="dxa"/>
            <w:noWrap w:val="0"/>
            <w:vAlign w:val="center"/>
          </w:tcPr>
          <w:p w14:paraId="0F73A345">
            <w:pPr>
              <w:wordWrap w:val="0"/>
              <w:spacing w:line="240" w:lineRule="auto"/>
              <w:jc w:val="center"/>
              <w:rPr>
                <w:rFonts w:hint="eastAsia" w:ascii="宋体" w:hAnsi="宋体" w:cs="宋体"/>
                <w:color w:val="auto"/>
                <w:sz w:val="24"/>
              </w:rPr>
            </w:pPr>
            <w:r>
              <w:rPr>
                <w:rFonts w:hint="eastAsia" w:ascii="宋体" w:hAnsi="宋体" w:cs="宋体"/>
                <w:color w:val="auto"/>
                <w:sz w:val="24"/>
              </w:rPr>
              <w:t>电子签字或盖章要求</w:t>
            </w:r>
          </w:p>
        </w:tc>
        <w:tc>
          <w:tcPr>
            <w:tcW w:w="5792" w:type="dxa"/>
            <w:noWrap w:val="0"/>
            <w:vAlign w:val="center"/>
          </w:tcPr>
          <w:p w14:paraId="323DD9A2">
            <w:pPr>
              <w:wordWrap w:val="0"/>
              <w:spacing w:line="240" w:lineRule="auto"/>
              <w:rPr>
                <w:rFonts w:hint="eastAsia" w:ascii="宋体" w:hAnsi="宋体" w:cs="宋体"/>
                <w:color w:val="auto"/>
                <w:sz w:val="24"/>
              </w:rPr>
            </w:pPr>
            <w:r>
              <w:rPr>
                <w:rFonts w:hint="eastAsia" w:ascii="宋体" w:hAnsi="宋体" w:cs="宋体"/>
                <w:color w:val="auto"/>
                <w:sz w:val="24"/>
              </w:rPr>
              <w:t>1、投标人在生成电子化投标文件后，应对电子化投标文件进行签章，未进行签章的视为无效投标。</w:t>
            </w:r>
          </w:p>
          <w:p w14:paraId="4D09A920">
            <w:pPr>
              <w:wordWrap w:val="0"/>
              <w:spacing w:line="240" w:lineRule="auto"/>
              <w:rPr>
                <w:color w:val="auto"/>
              </w:rPr>
            </w:pPr>
            <w:r>
              <w:rPr>
                <w:rFonts w:hint="eastAsia" w:ascii="宋体" w:hAnsi="宋体"/>
                <w:color w:val="auto"/>
                <w:sz w:val="24"/>
              </w:rPr>
              <w:t>2、投标人使用“三门峡市公共资源交易中心投标制作工具”在制作电子投标文件时，应按规定进行盖章。投标文件格式中要求盖单位章的地方，投标人均应使用CA数字证书加盖投标人的单位电子签章。招标文件中要求法定代表人或授权委托人签字或盖章的，投标人在进行电子化投标文件签章时，以签盖法定代表人电子签章为准。</w:t>
            </w:r>
          </w:p>
        </w:tc>
      </w:tr>
      <w:tr w14:paraId="22D7E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9" w:hRule="atLeast"/>
          <w:jc w:val="center"/>
        </w:trPr>
        <w:tc>
          <w:tcPr>
            <w:tcW w:w="1060" w:type="dxa"/>
            <w:noWrap w:val="0"/>
            <w:vAlign w:val="center"/>
          </w:tcPr>
          <w:p w14:paraId="3A60B6D7">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4.0</w:t>
            </w:r>
          </w:p>
        </w:tc>
        <w:tc>
          <w:tcPr>
            <w:tcW w:w="2183" w:type="dxa"/>
            <w:noWrap w:val="0"/>
            <w:vAlign w:val="center"/>
          </w:tcPr>
          <w:p w14:paraId="53083AA8">
            <w:pPr>
              <w:widowControl/>
              <w:wordWrap w:val="0"/>
              <w:adjustRightInd w:val="0"/>
              <w:snapToGrid w:val="0"/>
              <w:spacing w:line="240" w:lineRule="auto"/>
              <w:jc w:val="center"/>
              <w:rPr>
                <w:rFonts w:ascii="宋体" w:hAnsi="宋体" w:cs="宋体"/>
                <w:color w:val="auto"/>
                <w:kern w:val="0"/>
                <w:sz w:val="24"/>
              </w:rPr>
            </w:pPr>
            <w:r>
              <w:rPr>
                <w:rFonts w:hint="eastAsia" w:ascii="宋体" w:hAnsi="宋体" w:cs="宋体"/>
                <w:color w:val="auto"/>
                <w:kern w:val="0"/>
                <w:sz w:val="24"/>
              </w:rPr>
              <w:t>投标文件份数</w:t>
            </w:r>
          </w:p>
        </w:tc>
        <w:tc>
          <w:tcPr>
            <w:tcW w:w="5792" w:type="dxa"/>
            <w:noWrap w:val="0"/>
            <w:vAlign w:val="center"/>
          </w:tcPr>
          <w:p w14:paraId="66461242">
            <w:pPr>
              <w:widowControl/>
              <w:shd w:val="clear" w:color="auto" w:fill="FFFFFF"/>
              <w:wordWrap w:val="0"/>
              <w:adjustRightInd w:val="0"/>
              <w:snapToGrid w:val="0"/>
              <w:spacing w:line="240" w:lineRule="auto"/>
              <w:jc w:val="left"/>
              <w:rPr>
                <w:rFonts w:ascii="宋体" w:hAnsi="宋体" w:cs="Helvetica"/>
                <w:color w:val="auto"/>
                <w:kern w:val="0"/>
                <w:sz w:val="24"/>
              </w:rPr>
            </w:pPr>
            <w:r>
              <w:rPr>
                <w:rFonts w:hint="eastAsia" w:ascii="宋体" w:hAnsi="宋体" w:cs="宋体"/>
                <w:color w:val="auto"/>
                <w:kern w:val="0"/>
                <w:sz w:val="24"/>
              </w:rPr>
              <w:t>开标时不再递交纸质投标文件，中标单位领取中标通知书时按照招标人要求提交纸质投标文件（投标文件应按以下要求装订：胶装，应有目录，并逐页标注连续页码）。</w:t>
            </w:r>
          </w:p>
        </w:tc>
      </w:tr>
      <w:tr w14:paraId="0C65F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1" w:hRule="exact"/>
          <w:jc w:val="center"/>
        </w:trPr>
        <w:tc>
          <w:tcPr>
            <w:tcW w:w="1060" w:type="dxa"/>
            <w:noWrap w:val="0"/>
            <w:vAlign w:val="center"/>
          </w:tcPr>
          <w:p w14:paraId="31671E2E">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4.1</w:t>
            </w:r>
          </w:p>
        </w:tc>
        <w:tc>
          <w:tcPr>
            <w:tcW w:w="2183" w:type="dxa"/>
            <w:noWrap w:val="0"/>
            <w:vAlign w:val="center"/>
          </w:tcPr>
          <w:p w14:paraId="7047D2DF">
            <w:pPr>
              <w:widowControl/>
              <w:wordWrap w:val="0"/>
              <w:adjustRightInd w:val="0"/>
              <w:snapToGrid w:val="0"/>
              <w:spacing w:line="240" w:lineRule="auto"/>
              <w:jc w:val="center"/>
              <w:rPr>
                <w:rFonts w:ascii="宋体" w:hAnsi="宋体" w:cs="宋体"/>
                <w:color w:val="auto"/>
                <w:kern w:val="0"/>
                <w:sz w:val="24"/>
              </w:rPr>
            </w:pPr>
            <w:r>
              <w:rPr>
                <w:rFonts w:hint="eastAsia" w:ascii="宋体" w:hAnsi="宋体" w:cs="宋体"/>
                <w:color w:val="auto"/>
                <w:kern w:val="0"/>
                <w:sz w:val="24"/>
              </w:rPr>
              <w:t>电子化投标文件的格式及上传投标文件</w:t>
            </w:r>
          </w:p>
        </w:tc>
        <w:tc>
          <w:tcPr>
            <w:tcW w:w="5792" w:type="dxa"/>
            <w:noWrap w:val="0"/>
            <w:vAlign w:val="center"/>
          </w:tcPr>
          <w:p w14:paraId="014CA170">
            <w:pPr>
              <w:widowControl/>
              <w:wordWrap w:val="0"/>
              <w:adjustRightInd w:val="0"/>
              <w:snapToGrid w:val="0"/>
              <w:spacing w:line="240" w:lineRule="auto"/>
              <w:jc w:val="left"/>
              <w:rPr>
                <w:rFonts w:ascii="宋体" w:hAnsi="宋体" w:cs="宋体"/>
                <w:color w:val="auto"/>
                <w:kern w:val="0"/>
                <w:sz w:val="24"/>
              </w:rPr>
            </w:pPr>
            <w:r>
              <w:rPr>
                <w:rFonts w:hint="eastAsia" w:ascii="宋体" w:hAnsi="宋体" w:cs="宋体"/>
                <w:color w:val="auto"/>
                <w:kern w:val="0"/>
                <w:sz w:val="24"/>
              </w:rPr>
              <w:t>1、投标人所上传的电子化投标文件，应是通过中心投标文件制作系统制作的（投标文件制作工具下载地址：https://download.bqpoint.com/download/downloadlist.html?SoftTypeCode=03），经过签章和加密后生成的电子版投标文件。</w:t>
            </w:r>
          </w:p>
          <w:p w14:paraId="34147A40">
            <w:pPr>
              <w:widowControl/>
              <w:wordWrap w:val="0"/>
              <w:adjustRightInd w:val="0"/>
              <w:snapToGrid w:val="0"/>
              <w:spacing w:line="240" w:lineRule="auto"/>
              <w:ind w:firstLine="240" w:firstLineChars="100"/>
              <w:jc w:val="left"/>
              <w:rPr>
                <w:rFonts w:ascii="宋体" w:hAnsi="宋体" w:cs="宋体"/>
                <w:color w:val="auto"/>
                <w:kern w:val="0"/>
                <w:sz w:val="24"/>
              </w:rPr>
            </w:pPr>
            <w:r>
              <w:rPr>
                <w:rFonts w:hint="eastAsia" w:ascii="宋体" w:hAnsi="宋体" w:cs="宋体"/>
                <w:color w:val="auto"/>
                <w:kern w:val="0"/>
                <w:sz w:val="24"/>
              </w:rPr>
              <w:t>注：投标人投报多个标段的，每个标段均要生成独立的电子投标文件。</w:t>
            </w:r>
          </w:p>
          <w:p w14:paraId="2BED66C4">
            <w:pPr>
              <w:widowControl/>
              <w:wordWrap w:val="0"/>
              <w:adjustRightInd w:val="0"/>
              <w:snapToGrid w:val="0"/>
              <w:spacing w:line="240" w:lineRule="auto"/>
              <w:jc w:val="left"/>
              <w:rPr>
                <w:rFonts w:ascii="宋体" w:hAnsi="宋体" w:cs="宋体"/>
                <w:color w:val="auto"/>
                <w:kern w:val="0"/>
                <w:sz w:val="24"/>
              </w:rPr>
            </w:pPr>
            <w:r>
              <w:rPr>
                <w:rFonts w:hint="eastAsia" w:ascii="宋体" w:hAnsi="宋体" w:cs="宋体"/>
                <w:color w:val="auto"/>
                <w:kern w:val="0"/>
                <w:sz w:val="24"/>
              </w:rPr>
              <w:t>2、电子化投标文件应在投标截止时间前成功上传至三门峡市公共资源电子化交易系统。至投标截止时间止，仍未上传成功的电子化投标文件将不予接收。</w:t>
            </w:r>
          </w:p>
          <w:p w14:paraId="4D9B638E">
            <w:pPr>
              <w:widowControl/>
              <w:wordWrap w:val="0"/>
              <w:spacing w:line="240" w:lineRule="auto"/>
              <w:jc w:val="left"/>
              <w:rPr>
                <w:rFonts w:ascii="宋体" w:hAnsi="宋体" w:cs="宋体"/>
                <w:color w:val="auto"/>
                <w:kern w:val="0"/>
                <w:sz w:val="24"/>
              </w:rPr>
            </w:pPr>
            <w:r>
              <w:rPr>
                <w:rFonts w:hint="eastAsia" w:ascii="宋体" w:hAnsi="宋体" w:cs="宋体"/>
                <w:color w:val="auto"/>
                <w:kern w:val="0"/>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310613DD">
            <w:pPr>
              <w:widowControl/>
              <w:wordWrap w:val="0"/>
              <w:spacing w:line="240" w:lineRule="auto"/>
              <w:jc w:val="left"/>
              <w:rPr>
                <w:rFonts w:ascii="宋体" w:hAnsi="宋体" w:cs="宋体"/>
                <w:color w:val="auto"/>
                <w:kern w:val="0"/>
                <w:sz w:val="24"/>
              </w:rPr>
            </w:pPr>
            <w:r>
              <w:rPr>
                <w:rFonts w:hint="eastAsia" w:ascii="宋体" w:hAnsi="宋体"/>
                <w:color w:val="auto"/>
                <w:kern w:val="0"/>
                <w:sz w:val="24"/>
              </w:rPr>
              <w:t>技术联系电话：</w:t>
            </w:r>
            <w:r>
              <w:rPr>
                <w:rFonts w:hint="eastAsia" w:ascii="宋体" w:hAnsi="宋体"/>
                <w:color w:val="auto"/>
                <w:sz w:val="24"/>
              </w:rPr>
              <w:t>400 998 0000、</w:t>
            </w:r>
            <w:r>
              <w:rPr>
                <w:rFonts w:hint="eastAsia" w:ascii="宋体" w:hAnsi="宋体" w:cs="宋体"/>
                <w:color w:val="auto"/>
                <w:sz w:val="24"/>
              </w:rPr>
              <w:t>0398-3117871</w:t>
            </w:r>
          </w:p>
        </w:tc>
      </w:tr>
      <w:tr w14:paraId="37A27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060" w:type="dxa"/>
            <w:noWrap w:val="0"/>
            <w:vAlign w:val="center"/>
          </w:tcPr>
          <w:p w14:paraId="18692336">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4.2</w:t>
            </w:r>
          </w:p>
        </w:tc>
        <w:tc>
          <w:tcPr>
            <w:tcW w:w="2183" w:type="dxa"/>
            <w:noWrap w:val="0"/>
            <w:vAlign w:val="center"/>
          </w:tcPr>
          <w:p w14:paraId="443F43D8">
            <w:pPr>
              <w:widowControl/>
              <w:wordWrap w:val="0"/>
              <w:spacing w:line="240" w:lineRule="auto"/>
              <w:jc w:val="left"/>
              <w:rPr>
                <w:rFonts w:ascii="宋体" w:hAnsi="宋体" w:cs="宋体"/>
                <w:color w:val="auto"/>
                <w:kern w:val="0"/>
                <w:sz w:val="24"/>
                <w:lang w:eastAsia="en-US"/>
              </w:rPr>
            </w:pPr>
            <w:r>
              <w:rPr>
                <w:rFonts w:hint="eastAsia" w:ascii="宋体" w:hAnsi="宋体" w:cs="宋体"/>
                <w:color w:val="auto"/>
                <w:kern w:val="0"/>
                <w:sz w:val="24"/>
              </w:rPr>
              <w:t xml:space="preserve">递交投标文件地点 </w:t>
            </w:r>
          </w:p>
        </w:tc>
        <w:tc>
          <w:tcPr>
            <w:tcW w:w="5792" w:type="dxa"/>
            <w:noWrap w:val="0"/>
            <w:vAlign w:val="center"/>
          </w:tcPr>
          <w:p w14:paraId="5E894E1B">
            <w:pPr>
              <w:widowControl/>
              <w:wordWrap w:val="0"/>
              <w:spacing w:line="240" w:lineRule="auto"/>
              <w:jc w:val="left"/>
              <w:rPr>
                <w:rFonts w:ascii="宋体" w:hAnsi="宋体" w:cs="宋体"/>
                <w:color w:val="auto"/>
                <w:sz w:val="24"/>
              </w:rPr>
            </w:pPr>
            <w:r>
              <w:rPr>
                <w:rFonts w:hint="eastAsia" w:ascii="宋体" w:hAnsi="宋体" w:cs="宋体"/>
                <w:color w:val="auto"/>
                <w:kern w:val="0"/>
                <w:sz w:val="24"/>
              </w:rPr>
              <w:t>电子投标文件的电子版用企业和法人 CA 数字证书在开标截止时间前上传至“三门峡市公共资源交易中心网站”。</w:t>
            </w:r>
          </w:p>
        </w:tc>
      </w:tr>
      <w:tr w14:paraId="58733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1060" w:type="dxa"/>
            <w:noWrap w:val="0"/>
            <w:vAlign w:val="center"/>
          </w:tcPr>
          <w:p w14:paraId="2571D262">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4.3</w:t>
            </w:r>
          </w:p>
        </w:tc>
        <w:tc>
          <w:tcPr>
            <w:tcW w:w="2183" w:type="dxa"/>
            <w:noWrap w:val="0"/>
            <w:vAlign w:val="center"/>
          </w:tcPr>
          <w:p w14:paraId="3983DAC7">
            <w:pPr>
              <w:widowControl/>
              <w:wordWrap w:val="0"/>
              <w:spacing w:line="240" w:lineRule="auto"/>
              <w:jc w:val="left"/>
              <w:rPr>
                <w:rFonts w:ascii="宋体" w:hAnsi="宋体" w:cs="宋体"/>
                <w:color w:val="auto"/>
                <w:kern w:val="0"/>
                <w:sz w:val="24"/>
              </w:rPr>
            </w:pPr>
            <w:r>
              <w:rPr>
                <w:rFonts w:hint="eastAsia" w:ascii="宋体" w:hAnsi="宋体" w:cs="宋体"/>
                <w:color w:val="auto"/>
                <w:kern w:val="0"/>
                <w:sz w:val="24"/>
              </w:rPr>
              <w:t>是否退还投标文件</w:t>
            </w:r>
          </w:p>
        </w:tc>
        <w:tc>
          <w:tcPr>
            <w:tcW w:w="5792" w:type="dxa"/>
            <w:noWrap w:val="0"/>
            <w:vAlign w:val="center"/>
          </w:tcPr>
          <w:p w14:paraId="5E313CD4">
            <w:pPr>
              <w:widowControl/>
              <w:wordWrap w:val="0"/>
              <w:spacing w:line="240" w:lineRule="auto"/>
              <w:jc w:val="left"/>
              <w:rPr>
                <w:rFonts w:ascii="宋体" w:hAnsi="宋体" w:cs="宋体"/>
                <w:color w:val="auto"/>
                <w:sz w:val="24"/>
                <w:lang w:eastAsia="en-US"/>
              </w:rPr>
            </w:pPr>
            <w:r>
              <w:rPr>
                <w:rFonts w:hint="eastAsia" w:ascii="宋体" w:hAnsi="宋体" w:cs="宋体"/>
                <w:color w:val="auto"/>
                <w:kern w:val="0"/>
                <w:sz w:val="24"/>
              </w:rPr>
              <w:t>否</w:t>
            </w:r>
          </w:p>
        </w:tc>
      </w:tr>
      <w:tr w14:paraId="5729E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060" w:type="dxa"/>
            <w:noWrap w:val="0"/>
            <w:vAlign w:val="center"/>
          </w:tcPr>
          <w:p w14:paraId="2BE092B8">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4.4</w:t>
            </w:r>
          </w:p>
        </w:tc>
        <w:tc>
          <w:tcPr>
            <w:tcW w:w="2183" w:type="dxa"/>
            <w:noWrap w:val="0"/>
            <w:vAlign w:val="center"/>
          </w:tcPr>
          <w:p w14:paraId="6E39F0F0">
            <w:pPr>
              <w:widowControl/>
              <w:wordWrap w:val="0"/>
              <w:spacing w:line="240" w:lineRule="auto"/>
              <w:jc w:val="left"/>
              <w:rPr>
                <w:rFonts w:ascii="宋体" w:hAnsi="宋体" w:cs="宋体"/>
                <w:color w:val="auto"/>
                <w:kern w:val="0"/>
                <w:sz w:val="24"/>
              </w:rPr>
            </w:pPr>
            <w:r>
              <w:rPr>
                <w:rFonts w:hint="eastAsia" w:ascii="宋体" w:hAnsi="宋体" w:cs="宋体"/>
                <w:color w:val="auto"/>
                <w:kern w:val="0"/>
                <w:sz w:val="24"/>
              </w:rPr>
              <w:t xml:space="preserve">开标时间和地点 </w:t>
            </w:r>
          </w:p>
        </w:tc>
        <w:tc>
          <w:tcPr>
            <w:tcW w:w="5792" w:type="dxa"/>
            <w:noWrap w:val="0"/>
            <w:vAlign w:val="center"/>
          </w:tcPr>
          <w:p w14:paraId="7588EFFA">
            <w:pPr>
              <w:widowControl/>
              <w:wordWrap w:val="0"/>
              <w:spacing w:line="240" w:lineRule="auto"/>
              <w:ind w:left="240" w:hanging="240" w:hangingChars="1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第一信封（商务及技术文件）开标时间：</w:t>
            </w:r>
            <w:r>
              <w:rPr>
                <w:rFonts w:hint="eastAsia" w:ascii="宋体" w:hAnsi="宋体" w:cs="宋体"/>
                <w:color w:val="000000" w:themeColor="text1"/>
                <w:kern w:val="0"/>
                <w:sz w:val="24"/>
                <w:highlight w:val="none"/>
                <w14:textFill>
                  <w14:solidFill>
                    <w14:schemeClr w14:val="tx1"/>
                  </w14:solidFill>
                </w14:textFill>
              </w:rPr>
              <w:t>202</w:t>
            </w:r>
            <w:r>
              <w:rPr>
                <w:rFonts w:hint="eastAsia" w:ascii="宋体" w:hAnsi="宋体" w:cs="宋体"/>
                <w:color w:val="000000" w:themeColor="text1"/>
                <w:kern w:val="0"/>
                <w:sz w:val="24"/>
                <w:highlight w:val="none"/>
                <w:lang w:val="en-US" w:eastAsia="zh-CN"/>
                <w14:textFill>
                  <w14:solidFill>
                    <w14:schemeClr w14:val="tx1"/>
                  </w14:solidFill>
                </w14:textFill>
              </w:rPr>
              <w:t>6年03</w:t>
            </w:r>
            <w:r>
              <w:rPr>
                <w:rFonts w:hint="eastAsia" w:ascii="宋体" w:hAnsi="宋体" w:cs="宋体"/>
                <w:color w:val="000000" w:themeColor="text1"/>
                <w:kern w:val="0"/>
                <w:sz w:val="24"/>
                <w:highlight w:val="none"/>
                <w14:textFill>
                  <w14:solidFill>
                    <w14:schemeClr w14:val="tx1"/>
                  </w14:solidFill>
                </w14:textFill>
              </w:rPr>
              <w:t>月</w:t>
            </w:r>
            <w:r>
              <w:rPr>
                <w:rFonts w:hint="eastAsia" w:ascii="宋体" w:hAnsi="宋体" w:cs="宋体"/>
                <w:color w:val="000000" w:themeColor="text1"/>
                <w:kern w:val="0"/>
                <w:sz w:val="24"/>
                <w:highlight w:val="none"/>
                <w:lang w:val="en-US" w:eastAsia="zh-CN"/>
                <w14:textFill>
                  <w14:solidFill>
                    <w14:schemeClr w14:val="tx1"/>
                  </w14:solidFill>
                </w14:textFill>
              </w:rPr>
              <w:t>13</w:t>
            </w:r>
            <w:r>
              <w:rPr>
                <w:rFonts w:hint="eastAsia" w:ascii="宋体" w:hAnsi="宋体" w:cs="宋体"/>
                <w:color w:val="000000" w:themeColor="text1"/>
                <w:kern w:val="0"/>
                <w:sz w:val="24"/>
                <w:highlight w:val="none"/>
                <w14:textFill>
                  <w14:solidFill>
                    <w14:schemeClr w14:val="tx1"/>
                  </w14:solidFill>
                </w14:textFill>
              </w:rPr>
              <w:t>日</w:t>
            </w:r>
            <w:r>
              <w:rPr>
                <w:rFonts w:hint="eastAsia" w:ascii="宋体" w:hAnsi="宋体" w:cs="宋体"/>
                <w:color w:val="000000" w:themeColor="text1"/>
                <w:kern w:val="0"/>
                <w:sz w:val="24"/>
                <w:highlight w:val="none"/>
                <w:lang w:val="en-US" w:eastAsia="zh-CN"/>
                <w14:textFill>
                  <w14:solidFill>
                    <w14:schemeClr w14:val="tx1"/>
                  </w14:solidFill>
                </w14:textFill>
              </w:rPr>
              <w:t>08</w:t>
            </w:r>
            <w:r>
              <w:rPr>
                <w:rFonts w:hint="eastAsia" w:ascii="宋体" w:hAnsi="宋体" w:cs="宋体"/>
                <w:color w:val="000000" w:themeColor="text1"/>
                <w:kern w:val="0"/>
                <w:sz w:val="24"/>
                <w:highlight w:val="none"/>
                <w14:textFill>
                  <w14:solidFill>
                    <w14:schemeClr w14:val="tx1"/>
                  </w14:solidFill>
                </w14:textFill>
              </w:rPr>
              <w:t>时</w:t>
            </w:r>
            <w:r>
              <w:rPr>
                <w:rFonts w:hint="eastAsia" w:ascii="宋体" w:hAnsi="宋体" w:cs="宋体"/>
                <w:color w:val="000000" w:themeColor="text1"/>
                <w:kern w:val="0"/>
                <w:sz w:val="24"/>
                <w:highlight w:val="none"/>
                <w:lang w:val="en-US" w:eastAsia="zh-CN"/>
                <w14:textFill>
                  <w14:solidFill>
                    <w14:schemeClr w14:val="tx1"/>
                  </w14:solidFill>
                </w14:textFill>
              </w:rPr>
              <w:t>40</w:t>
            </w:r>
            <w:r>
              <w:rPr>
                <w:rFonts w:hint="eastAsia" w:ascii="宋体" w:hAnsi="宋体" w:cs="宋体"/>
                <w:color w:val="000000" w:themeColor="text1"/>
                <w:kern w:val="0"/>
                <w:sz w:val="24"/>
                <w:highlight w:val="none"/>
                <w14:textFill>
                  <w14:solidFill>
                    <w14:schemeClr w14:val="tx1"/>
                  </w14:solidFill>
                </w14:textFill>
              </w:rPr>
              <w:t>分</w:t>
            </w:r>
          </w:p>
          <w:p w14:paraId="11A390ED">
            <w:pPr>
              <w:widowControl/>
              <w:wordWrap w:val="0"/>
              <w:spacing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2、开标地点：卢氏县公共资源交易中心</w:t>
            </w:r>
            <w:r>
              <w:rPr>
                <w:rFonts w:hint="eastAsia" w:ascii="宋体" w:hAnsi="宋体" w:cs="宋体"/>
                <w:color w:val="auto"/>
                <w:kern w:val="0"/>
                <w:sz w:val="24"/>
                <w:highlight w:val="none"/>
                <w:lang w:val="en-US" w:eastAsia="zh-CN"/>
              </w:rPr>
              <w:t>四</w:t>
            </w:r>
            <w:bookmarkStart w:id="773" w:name="_GoBack"/>
            <w:bookmarkEnd w:id="773"/>
            <w:r>
              <w:rPr>
                <w:rFonts w:hint="eastAsia" w:ascii="宋体" w:hAnsi="宋体" w:cs="宋体"/>
                <w:color w:val="auto"/>
                <w:kern w:val="0"/>
                <w:sz w:val="24"/>
                <w:highlight w:val="none"/>
              </w:rPr>
              <w:t>楼</w:t>
            </w:r>
            <w:r>
              <w:rPr>
                <w:rFonts w:hint="eastAsia" w:ascii="宋体" w:hAnsi="宋体" w:cs="宋体"/>
                <w:color w:val="auto"/>
                <w:kern w:val="0"/>
                <w:sz w:val="24"/>
                <w:highlight w:val="none"/>
                <w:lang w:eastAsia="zh-CN"/>
              </w:rPr>
              <w:t>第</w:t>
            </w:r>
            <w:r>
              <w:rPr>
                <w:rFonts w:hint="eastAsia" w:ascii="宋体" w:hAnsi="宋体" w:cs="宋体"/>
                <w:color w:val="auto"/>
                <w:kern w:val="0"/>
                <w:sz w:val="24"/>
                <w:highlight w:val="none"/>
                <w:lang w:val="en-US" w:eastAsia="zh-CN"/>
              </w:rPr>
              <w:t>二</w:t>
            </w:r>
            <w:r>
              <w:rPr>
                <w:rFonts w:hint="eastAsia" w:ascii="宋体" w:hAnsi="宋体" w:cs="宋体"/>
                <w:color w:val="auto"/>
                <w:kern w:val="0"/>
                <w:sz w:val="24"/>
                <w:highlight w:val="none"/>
                <w:lang w:eastAsia="zh-CN"/>
              </w:rPr>
              <w:t>开标室</w:t>
            </w:r>
            <w:r>
              <w:rPr>
                <w:rFonts w:hint="eastAsia" w:ascii="宋体" w:hAnsi="宋体" w:cs="宋体"/>
                <w:color w:val="auto"/>
                <w:kern w:val="0"/>
                <w:sz w:val="24"/>
                <w:highlight w:val="none"/>
              </w:rPr>
              <w:t>；</w:t>
            </w:r>
          </w:p>
          <w:p w14:paraId="1AC47548">
            <w:pPr>
              <w:widowControl/>
              <w:wordWrap w:val="0"/>
              <w:spacing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3、评标地点：卢氏县公共资源交易中心二楼第</w:t>
            </w:r>
            <w:r>
              <w:rPr>
                <w:rFonts w:hint="eastAsia" w:ascii="宋体" w:hAnsi="宋体" w:cs="宋体"/>
                <w:color w:val="000000" w:themeColor="text1"/>
                <w:kern w:val="0"/>
                <w:sz w:val="24"/>
                <w:highlight w:val="none"/>
                <w:lang w:val="en-US" w:eastAsia="zh-CN"/>
                <w14:textFill>
                  <w14:solidFill>
                    <w14:schemeClr w14:val="tx1"/>
                  </w14:solidFill>
                </w14:textFill>
              </w:rPr>
              <w:t>二</w:t>
            </w:r>
            <w:r>
              <w:rPr>
                <w:rFonts w:hint="eastAsia" w:ascii="宋体" w:hAnsi="宋体" w:cs="宋体"/>
                <w:color w:val="000000" w:themeColor="text1"/>
                <w:kern w:val="0"/>
                <w:sz w:val="24"/>
                <w:highlight w:val="none"/>
                <w14:textFill>
                  <w14:solidFill>
                    <w14:schemeClr w14:val="tx1"/>
                  </w14:solidFill>
                </w14:textFill>
              </w:rPr>
              <w:t>评标</w:t>
            </w:r>
            <w:r>
              <w:rPr>
                <w:rFonts w:hint="eastAsia" w:ascii="宋体" w:hAnsi="宋体" w:cs="宋体"/>
                <w:color w:val="auto"/>
                <w:kern w:val="0"/>
                <w:sz w:val="24"/>
                <w:highlight w:val="none"/>
              </w:rPr>
              <w:t>室。</w:t>
            </w:r>
          </w:p>
          <w:p w14:paraId="4671E479">
            <w:pPr>
              <w:widowControl/>
              <w:wordWrap w:val="0"/>
              <w:spacing w:line="240" w:lineRule="auto"/>
              <w:jc w:val="left"/>
            </w:pPr>
            <w:r>
              <w:rPr>
                <w:rFonts w:hint="eastAsia" w:ascii="宋体" w:hAnsi="宋体" w:cs="宋体"/>
                <w:color w:val="auto"/>
                <w:kern w:val="0"/>
                <w:sz w:val="24"/>
                <w:highlight w:val="none"/>
              </w:rPr>
              <w:t>4、第二信</w:t>
            </w:r>
            <w:r>
              <w:rPr>
                <w:rFonts w:hint="eastAsia" w:ascii="宋体" w:hAnsi="宋体" w:eastAsia="宋体" w:cs="宋体"/>
                <w:color w:val="auto"/>
                <w:kern w:val="0"/>
                <w:sz w:val="24"/>
                <w:szCs w:val="24"/>
                <w:highlight w:val="none"/>
              </w:rPr>
              <w:t xml:space="preserve">封（报价文件）开标时间：第一信封评审完毕 </w:t>
            </w:r>
          </w:p>
        </w:tc>
      </w:tr>
      <w:tr w14:paraId="04304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2" w:hRule="exact"/>
          <w:jc w:val="center"/>
        </w:trPr>
        <w:tc>
          <w:tcPr>
            <w:tcW w:w="1060" w:type="dxa"/>
            <w:noWrap w:val="0"/>
            <w:vAlign w:val="center"/>
          </w:tcPr>
          <w:p w14:paraId="79B0B9D0">
            <w:pPr>
              <w:widowControl/>
              <w:wordWrap w:val="0"/>
              <w:spacing w:after="200" w:line="240" w:lineRule="auto"/>
              <w:jc w:val="center"/>
              <w:rPr>
                <w:rFonts w:ascii="宋体" w:hAnsi="宋体" w:cs="宋体"/>
                <w:color w:val="auto"/>
                <w:kern w:val="0"/>
                <w:sz w:val="24"/>
                <w:highlight w:val="yellow"/>
              </w:rPr>
            </w:pPr>
            <w:r>
              <w:rPr>
                <w:rFonts w:hint="eastAsia" w:ascii="宋体" w:hAnsi="宋体" w:cs="宋体"/>
                <w:color w:val="auto"/>
                <w:kern w:val="0"/>
                <w:sz w:val="24"/>
              </w:rPr>
              <w:t>4.5</w:t>
            </w:r>
          </w:p>
        </w:tc>
        <w:tc>
          <w:tcPr>
            <w:tcW w:w="2183" w:type="dxa"/>
            <w:noWrap w:val="0"/>
            <w:vAlign w:val="center"/>
          </w:tcPr>
          <w:p w14:paraId="72E0B15A">
            <w:pPr>
              <w:wordWrap w:val="0"/>
              <w:spacing w:line="240" w:lineRule="auto"/>
              <w:jc w:val="center"/>
              <w:rPr>
                <w:rFonts w:hint="eastAsia" w:ascii="宋体" w:hAnsi="宋体" w:cs="宋体"/>
                <w:color w:val="auto"/>
                <w:sz w:val="24"/>
              </w:rPr>
            </w:pPr>
            <w:r>
              <w:rPr>
                <w:rFonts w:hint="eastAsia" w:ascii="宋体" w:hAnsi="宋体" w:cs="宋体"/>
                <w:color w:val="auto"/>
                <w:sz w:val="24"/>
              </w:rPr>
              <w:t>开标程序</w:t>
            </w:r>
          </w:p>
        </w:tc>
        <w:tc>
          <w:tcPr>
            <w:tcW w:w="5792" w:type="dxa"/>
            <w:noWrap w:val="0"/>
            <w:vAlign w:val="center"/>
          </w:tcPr>
          <w:p w14:paraId="5CD94517">
            <w:pPr>
              <w:widowControl/>
              <w:wordWrap w:val="0"/>
              <w:spacing w:line="240" w:lineRule="auto"/>
              <w:jc w:val="left"/>
              <w:rPr>
                <w:rFonts w:hint="eastAsia" w:ascii="宋体" w:hAnsi="宋体" w:cs="宋体"/>
                <w:color w:val="auto"/>
                <w:kern w:val="0"/>
                <w:sz w:val="24"/>
              </w:rPr>
            </w:pPr>
            <w:r>
              <w:rPr>
                <w:rFonts w:hint="eastAsia" w:ascii="宋体" w:hAnsi="宋体" w:cs="宋体"/>
                <w:color w:val="auto"/>
                <w:kern w:val="0"/>
                <w:sz w:val="24"/>
              </w:rPr>
              <w:t>本项目采用电子化、无纸化进行招标，开标当日，投标人无需到开标现场参加开标会议，投标人应当在投标截止时间前，登陆不面开标大厅选择登陆三门峡市公共资源电子招投标系统进行登陆（网址为http://120.194.249.36:10094/BidOpening/bidopeninghallaction/hall/login）,在线准时参加开标活动并进行投标文件解密等。</w:t>
            </w:r>
          </w:p>
          <w:p w14:paraId="55A4B226">
            <w:pPr>
              <w:wordWrap w:val="0"/>
              <w:spacing w:line="240" w:lineRule="auto"/>
              <w:rPr>
                <w:rFonts w:hint="eastAsia"/>
                <w:color w:val="auto"/>
              </w:rPr>
            </w:pPr>
            <w:r>
              <w:rPr>
                <w:rFonts w:hint="eastAsia" w:ascii="宋体" w:hAnsi="宋体" w:cs="宋体"/>
                <w:color w:val="auto"/>
                <w:kern w:val="0"/>
                <w:sz w:val="24"/>
              </w:rPr>
              <w:t>开标时，由投标人使用CA 证书，在规定时间内对其电子化投标文件进行解密。每位投标人的解密时间为开标时间起30分钟内，如在规定时间内未完成解密的，其投标文件不予开标、唱标。每位投标人的解密时间为开标时间起30分钟内完成。因投标人原因未能解密、解密失败或解密超时的将被拒绝。</w:t>
            </w:r>
          </w:p>
        </w:tc>
      </w:tr>
      <w:tr w14:paraId="3B4D5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060" w:type="dxa"/>
            <w:noWrap w:val="0"/>
            <w:vAlign w:val="center"/>
          </w:tcPr>
          <w:p w14:paraId="04D1D849">
            <w:pPr>
              <w:widowControl/>
              <w:wordWrap w:val="0"/>
              <w:spacing w:after="200" w:line="240" w:lineRule="auto"/>
              <w:jc w:val="center"/>
              <w:rPr>
                <w:rFonts w:ascii="宋体" w:hAnsi="宋体" w:cs="宋体"/>
                <w:color w:val="auto"/>
                <w:kern w:val="0"/>
                <w:sz w:val="24"/>
              </w:rPr>
            </w:pPr>
            <w:r>
              <w:rPr>
                <w:rFonts w:hint="eastAsia" w:ascii="宋体" w:hAnsi="宋体" w:cs="宋体"/>
                <w:color w:val="auto"/>
                <w:kern w:val="0"/>
                <w:sz w:val="24"/>
              </w:rPr>
              <w:t>4.6</w:t>
            </w:r>
          </w:p>
        </w:tc>
        <w:tc>
          <w:tcPr>
            <w:tcW w:w="2183" w:type="dxa"/>
            <w:noWrap w:val="0"/>
            <w:vAlign w:val="center"/>
          </w:tcPr>
          <w:p w14:paraId="7680E73E">
            <w:pPr>
              <w:widowControl/>
              <w:wordWrap w:val="0"/>
              <w:spacing w:line="240" w:lineRule="auto"/>
              <w:jc w:val="center"/>
              <w:rPr>
                <w:rFonts w:ascii="宋体" w:hAnsi="宋体" w:cs="宋体"/>
                <w:color w:val="auto"/>
                <w:kern w:val="0"/>
                <w:sz w:val="24"/>
              </w:rPr>
            </w:pPr>
            <w:r>
              <w:rPr>
                <w:rFonts w:hint="eastAsia" w:ascii="宋体" w:hAnsi="宋体" w:cs="宋体"/>
                <w:color w:val="auto"/>
                <w:kern w:val="0"/>
                <w:sz w:val="24"/>
              </w:rPr>
              <w:t>评标委员会的组建</w:t>
            </w:r>
          </w:p>
        </w:tc>
        <w:tc>
          <w:tcPr>
            <w:tcW w:w="5792" w:type="dxa"/>
            <w:noWrap w:val="0"/>
            <w:vAlign w:val="center"/>
          </w:tcPr>
          <w:p w14:paraId="48958C32">
            <w:pPr>
              <w:widowControl/>
              <w:wordWrap w:val="0"/>
              <w:spacing w:line="240" w:lineRule="auto"/>
              <w:jc w:val="left"/>
              <w:rPr>
                <w:rFonts w:hint="eastAsia" w:ascii="宋体" w:hAnsi="宋体" w:cs="宋体"/>
                <w:color w:val="auto"/>
                <w:kern w:val="0"/>
                <w:sz w:val="24"/>
              </w:rPr>
            </w:pPr>
            <w:r>
              <w:rPr>
                <w:rFonts w:hint="eastAsia" w:ascii="宋体" w:hAnsi="宋体" w:cs="宋体"/>
                <w:color w:val="auto"/>
                <w:kern w:val="0"/>
                <w:sz w:val="24"/>
              </w:rPr>
              <w:t>评标委员会构成：</w:t>
            </w:r>
            <w:r>
              <w:rPr>
                <w:rFonts w:hint="eastAsia" w:ascii="宋体" w:hAnsi="宋体" w:cs="宋体"/>
                <w:color w:val="auto"/>
                <w:kern w:val="0"/>
                <w:sz w:val="24"/>
                <w:lang w:val="en-US" w:eastAsia="zh-CN"/>
              </w:rPr>
              <w:t>7</w:t>
            </w:r>
            <w:r>
              <w:rPr>
                <w:rFonts w:hint="eastAsia" w:ascii="宋体" w:hAnsi="宋体" w:cs="宋体"/>
                <w:color w:val="auto"/>
                <w:kern w:val="0"/>
                <w:sz w:val="24"/>
              </w:rPr>
              <w:t>人，其中招标人代表</w:t>
            </w:r>
            <w:r>
              <w:rPr>
                <w:rFonts w:hint="eastAsia" w:ascii="宋体" w:hAnsi="宋体" w:cs="宋体"/>
                <w:color w:val="auto"/>
                <w:kern w:val="0"/>
                <w:sz w:val="24"/>
                <w:lang w:val="en-US" w:eastAsia="zh-CN"/>
              </w:rPr>
              <w:t>2</w:t>
            </w:r>
            <w:r>
              <w:rPr>
                <w:rFonts w:hint="eastAsia" w:ascii="宋体" w:hAnsi="宋体" w:cs="宋体"/>
                <w:color w:val="auto"/>
                <w:kern w:val="0"/>
                <w:sz w:val="24"/>
              </w:rPr>
              <w:t>人，相关经济、技术专家</w:t>
            </w:r>
            <w:r>
              <w:rPr>
                <w:rFonts w:hint="eastAsia" w:ascii="宋体" w:hAnsi="宋体" w:cs="宋体"/>
                <w:color w:val="auto"/>
                <w:kern w:val="0"/>
                <w:sz w:val="24"/>
                <w:lang w:val="en-US" w:eastAsia="zh-CN"/>
              </w:rPr>
              <w:t>5</w:t>
            </w:r>
            <w:r>
              <w:rPr>
                <w:rFonts w:hint="eastAsia" w:ascii="宋体" w:hAnsi="宋体" w:cs="宋体"/>
                <w:color w:val="auto"/>
                <w:kern w:val="0"/>
                <w:sz w:val="24"/>
              </w:rPr>
              <w:t>人，评标专家确定方式，开标后通过河南省综合评标专家库中随机抽取。</w:t>
            </w:r>
          </w:p>
          <w:p w14:paraId="5905C3B4">
            <w:pPr>
              <w:widowControl/>
              <w:wordWrap w:val="0"/>
              <w:spacing w:line="240" w:lineRule="auto"/>
              <w:jc w:val="left"/>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注：招标人代表无评标劳务费用。</w:t>
            </w:r>
          </w:p>
        </w:tc>
      </w:tr>
      <w:tr w14:paraId="6C442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exact"/>
          <w:jc w:val="center"/>
        </w:trPr>
        <w:tc>
          <w:tcPr>
            <w:tcW w:w="1060" w:type="dxa"/>
            <w:noWrap w:val="0"/>
            <w:vAlign w:val="center"/>
          </w:tcPr>
          <w:p w14:paraId="23EE0ADB">
            <w:pPr>
              <w:widowControl/>
              <w:wordWrap w:val="0"/>
              <w:spacing w:after="200" w:line="24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4.7</w:t>
            </w:r>
          </w:p>
        </w:tc>
        <w:tc>
          <w:tcPr>
            <w:tcW w:w="2183" w:type="dxa"/>
            <w:noWrap w:val="0"/>
            <w:vAlign w:val="center"/>
          </w:tcPr>
          <w:p w14:paraId="5615EC91">
            <w:pPr>
              <w:wordWrap w:val="0"/>
              <w:spacing w:line="240" w:lineRule="auto"/>
              <w:jc w:val="center"/>
              <w:rPr>
                <w:rFonts w:hint="eastAsia" w:ascii="宋体" w:hAnsi="宋体" w:cs="宋体"/>
                <w:color w:val="auto"/>
                <w:kern w:val="0"/>
                <w:sz w:val="24"/>
                <w:lang w:val="en-US" w:eastAsia="zh-CN"/>
              </w:rPr>
            </w:pPr>
            <w:r>
              <w:rPr>
                <w:rFonts w:hint="eastAsia" w:ascii="宋体" w:hAnsi="宋体" w:cs="宋体"/>
                <w:color w:val="auto"/>
                <w:sz w:val="24"/>
                <w:highlight w:val="none"/>
                <w:lang w:val="en-US" w:eastAsia="zh-CN"/>
              </w:rPr>
              <w:t>评标、定标方式</w:t>
            </w:r>
          </w:p>
        </w:tc>
        <w:tc>
          <w:tcPr>
            <w:tcW w:w="5792" w:type="dxa"/>
            <w:noWrap w:val="0"/>
            <w:vAlign w:val="center"/>
          </w:tcPr>
          <w:p w14:paraId="2C786587">
            <w:pPr>
              <w:widowControl/>
              <w:wordWrap w:val="0"/>
              <w:spacing w:line="240" w:lineRule="auto"/>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本项目采用</w:t>
            </w:r>
            <w:r>
              <w:rPr>
                <w:rFonts w:hint="eastAsia" w:ascii="宋体" w:hAnsi="宋体" w:eastAsia="宋体" w:cs="宋体"/>
                <w:color w:val="auto"/>
                <w:kern w:val="0"/>
                <w:sz w:val="24"/>
                <w:lang w:val="en-US" w:eastAsia="zh-CN"/>
              </w:rPr>
              <w:t>评定分离方式。</w:t>
            </w:r>
          </w:p>
        </w:tc>
      </w:tr>
      <w:tr w14:paraId="4B342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2" w:hRule="exact"/>
          <w:jc w:val="center"/>
        </w:trPr>
        <w:tc>
          <w:tcPr>
            <w:tcW w:w="1060" w:type="dxa"/>
            <w:noWrap w:val="0"/>
            <w:vAlign w:val="center"/>
          </w:tcPr>
          <w:p w14:paraId="06729CAB">
            <w:pPr>
              <w:widowControl/>
              <w:wordWrap w:val="0"/>
              <w:spacing w:after="200" w:line="240" w:lineRule="auto"/>
              <w:jc w:val="center"/>
              <w:rPr>
                <w:rFonts w:hint="eastAsia" w:ascii="宋体" w:hAnsi="宋体" w:eastAsia="宋体" w:cs="宋体"/>
                <w:color w:val="auto"/>
                <w:kern w:val="0"/>
                <w:sz w:val="24"/>
                <w:lang w:eastAsia="zh-CN"/>
              </w:rPr>
            </w:pPr>
            <w:r>
              <w:rPr>
                <w:rFonts w:hint="eastAsia" w:ascii="宋体" w:hAnsi="宋体" w:cs="宋体"/>
                <w:color w:val="auto"/>
                <w:kern w:val="0"/>
                <w:sz w:val="24"/>
              </w:rPr>
              <w:t>4.</w:t>
            </w:r>
            <w:r>
              <w:rPr>
                <w:rFonts w:hint="eastAsia" w:ascii="宋体" w:hAnsi="宋体" w:cs="宋体"/>
                <w:color w:val="auto"/>
                <w:kern w:val="0"/>
                <w:sz w:val="24"/>
                <w:lang w:val="en-US" w:eastAsia="zh-CN"/>
              </w:rPr>
              <w:t>8</w:t>
            </w:r>
          </w:p>
        </w:tc>
        <w:tc>
          <w:tcPr>
            <w:tcW w:w="2183" w:type="dxa"/>
            <w:noWrap w:val="0"/>
            <w:vAlign w:val="center"/>
          </w:tcPr>
          <w:p w14:paraId="2E26AFEC">
            <w:pPr>
              <w:widowControl/>
              <w:wordWrap w:val="0"/>
              <w:spacing w:line="240" w:lineRule="auto"/>
              <w:jc w:val="center"/>
              <w:rPr>
                <w:rFonts w:ascii="宋体" w:hAnsi="宋体" w:cs="宋体"/>
                <w:color w:val="auto"/>
                <w:sz w:val="24"/>
              </w:rPr>
            </w:pPr>
            <w:r>
              <w:rPr>
                <w:rFonts w:hint="eastAsia" w:ascii="宋体" w:hAnsi="宋体" w:cs="宋体"/>
                <w:color w:val="auto"/>
                <w:kern w:val="0"/>
                <w:sz w:val="24"/>
                <w:lang w:val="en-US" w:eastAsia="zh-CN"/>
              </w:rPr>
              <w:t>推荐候选人方法及规则</w:t>
            </w:r>
          </w:p>
        </w:tc>
        <w:tc>
          <w:tcPr>
            <w:tcW w:w="5792" w:type="dxa"/>
            <w:noWrap w:val="0"/>
            <w:vAlign w:val="center"/>
          </w:tcPr>
          <w:p w14:paraId="5DC25A7E">
            <w:pPr>
              <w:wordWrap w:val="0"/>
              <w:spacing w:line="240" w:lineRule="auto"/>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推荐中标候选人的具体方法及规则：</w:t>
            </w:r>
          </w:p>
          <w:p w14:paraId="06627CE8">
            <w:pPr>
              <w:wordWrap w:val="0"/>
              <w:spacing w:line="240" w:lineRule="auto"/>
              <w:ind w:firstLine="420" w:firstLineChars="175"/>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（1）计算评标基准价C：</w:t>
            </w:r>
          </w:p>
          <w:p w14:paraId="450AD292">
            <w:pPr>
              <w:wordWrap w:val="0"/>
              <w:spacing w:line="240" w:lineRule="auto"/>
              <w:ind w:firstLine="420" w:firstLineChars="175"/>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C=所有评审结论为合格投标人的投标报价的算术平均值（当合格投标人数量＞5时，去掉一个最高报价和一个最低报价后的算术平均值）即为评标基准价（计算结果保留2位小数）</w:t>
            </w:r>
          </w:p>
          <w:p w14:paraId="3C19FDF0">
            <w:pPr>
              <w:wordWrap w:val="0"/>
              <w:spacing w:line="240" w:lineRule="auto"/>
              <w:ind w:firstLine="420" w:firstLineChars="175"/>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（2）确定中标候选人：</w:t>
            </w:r>
          </w:p>
          <w:p w14:paraId="57041914">
            <w:pPr>
              <w:wordWrap w:val="0"/>
              <w:spacing w:line="240" w:lineRule="auto"/>
              <w:ind w:firstLine="420" w:firstLineChars="175"/>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所有评审结论为合格投标人的数量为F，评标委员会对合格投标人的投标报价按由低到高的顺序进行排序，若报价相等，按投标人在开标记录表上的序号由小到大的次序进行排序。</w:t>
            </w:r>
          </w:p>
          <w:p w14:paraId="31FAA255">
            <w:pPr>
              <w:wordWrap w:val="0"/>
              <w:spacing w:line="240" w:lineRule="auto"/>
              <w:ind w:firstLine="420" w:firstLineChars="175"/>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①当F＜3时，招标人应当重新招标。</w:t>
            </w:r>
          </w:p>
          <w:p w14:paraId="76BF7DBE">
            <w:pPr>
              <w:wordWrap w:val="0"/>
              <w:spacing w:line="240" w:lineRule="auto"/>
              <w:ind w:firstLine="420" w:firstLineChars="175"/>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②当3≤F≤10时，所有评审结论为合格的投标人全部推荐为中标候选人。</w:t>
            </w:r>
          </w:p>
          <w:p w14:paraId="3DD078BB">
            <w:pPr>
              <w:wordWrap w:val="0"/>
              <w:spacing w:line="240" w:lineRule="auto"/>
              <w:ind w:firstLine="420" w:firstLineChars="175"/>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③当F＞10时，按所有评审结论为合格投标人的投标报价与评标基准价C的差值进行计算，高于评标基准价C差值的绝对值最小的3名投标人和低于（或等于）评标基准价C差值的绝对值最小的7名投标人推荐为中标候选人。</w:t>
            </w:r>
          </w:p>
          <w:p w14:paraId="7A53333F">
            <w:pPr>
              <w:wordWrap w:val="0"/>
              <w:spacing w:line="240" w:lineRule="auto"/>
              <w:ind w:firstLine="420" w:firstLineChars="175"/>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注：</w:t>
            </w:r>
          </w:p>
          <w:p w14:paraId="0A710AC4">
            <w:pPr>
              <w:wordWrap w:val="0"/>
              <w:spacing w:line="240" w:lineRule="auto"/>
              <w:ind w:firstLine="420" w:firstLineChars="175"/>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①高于或低于评标基准价C的投标人数量少于应当入围中标候选人数量时，按实际数量入围中标候选人。</w:t>
            </w:r>
          </w:p>
          <w:p w14:paraId="44E94947">
            <w:pPr>
              <w:wordWrap w:val="0"/>
              <w:spacing w:line="240" w:lineRule="auto"/>
              <w:ind w:firstLine="420" w:firstLineChars="175"/>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②若投标人报价出现并列则同时入围中标候选人。</w:t>
            </w:r>
          </w:p>
          <w:p w14:paraId="7624DF1D">
            <w:pPr>
              <w:wordWrap w:val="0"/>
              <w:spacing w:line="240" w:lineRule="auto"/>
              <w:ind w:firstLine="420" w:firstLineChars="175"/>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③评标委员会以不标明排序方式向招标人推荐中标候选人。</w:t>
            </w:r>
          </w:p>
        </w:tc>
      </w:tr>
      <w:tr w14:paraId="174AA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exact"/>
          <w:jc w:val="center"/>
        </w:trPr>
        <w:tc>
          <w:tcPr>
            <w:tcW w:w="1060" w:type="dxa"/>
            <w:noWrap w:val="0"/>
            <w:vAlign w:val="center"/>
          </w:tcPr>
          <w:p w14:paraId="22A22C5E">
            <w:pPr>
              <w:widowControl/>
              <w:wordWrap w:val="0"/>
              <w:spacing w:after="200" w:line="24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4.9</w:t>
            </w:r>
          </w:p>
        </w:tc>
        <w:tc>
          <w:tcPr>
            <w:tcW w:w="2183" w:type="dxa"/>
            <w:noWrap w:val="0"/>
            <w:vAlign w:val="center"/>
          </w:tcPr>
          <w:p w14:paraId="0F4E6C0A">
            <w:pPr>
              <w:widowControl/>
              <w:wordWrap w:val="0"/>
              <w:spacing w:line="240" w:lineRule="auto"/>
              <w:jc w:val="left"/>
              <w:rPr>
                <w:rFonts w:hint="eastAsia" w:ascii="宋体" w:hAnsi="宋体" w:cs="宋体"/>
                <w:color w:val="auto"/>
                <w:kern w:val="0"/>
                <w:sz w:val="24"/>
                <w:lang w:val="en-US" w:eastAsia="zh-CN"/>
              </w:rPr>
            </w:pPr>
            <w:r>
              <w:rPr>
                <w:rFonts w:hint="eastAsia" w:ascii="宋体" w:hAnsi="宋体" w:cs="宋体"/>
                <w:color w:val="auto"/>
                <w:kern w:val="0"/>
                <w:sz w:val="24"/>
              </w:rPr>
              <w:t xml:space="preserve">中标候选人公示媒介 </w:t>
            </w:r>
          </w:p>
        </w:tc>
        <w:tc>
          <w:tcPr>
            <w:tcW w:w="5792" w:type="dxa"/>
            <w:noWrap w:val="0"/>
            <w:vAlign w:val="center"/>
          </w:tcPr>
          <w:p w14:paraId="7F8A6306">
            <w:pPr>
              <w:widowControl/>
              <w:wordWrap w:val="0"/>
              <w:spacing w:line="240" w:lineRule="auto"/>
              <w:jc w:val="left"/>
              <w:rPr>
                <w:rFonts w:ascii="宋体" w:hAnsi="宋体" w:cs="宋体"/>
                <w:color w:val="auto"/>
                <w:spacing w:val="6"/>
                <w:sz w:val="24"/>
              </w:rPr>
            </w:pPr>
            <w:r>
              <w:rPr>
                <w:rFonts w:hint="eastAsia" w:ascii="宋体" w:hAnsi="宋体" w:cs="仿宋"/>
                <w:sz w:val="24"/>
                <w:lang w:eastAsia="zh-CN"/>
              </w:rPr>
              <w:t>《中国招标投标公共服务平台》、《中国采购与招标网》</w:t>
            </w:r>
            <w:r>
              <w:rPr>
                <w:rFonts w:hint="eastAsia" w:ascii="宋体" w:hAnsi="宋体" w:cs="仿宋"/>
                <w:color w:val="000000" w:themeColor="text1"/>
                <w:sz w:val="24"/>
                <w:lang w:eastAsia="zh-CN"/>
                <w14:textFill>
                  <w14:solidFill>
                    <w14:schemeClr w14:val="tx1"/>
                  </w14:solidFill>
                </w14:textFill>
              </w:rPr>
              <w:t>、《河南省政府采购网》</w:t>
            </w:r>
            <w:r>
              <w:rPr>
                <w:rFonts w:hint="eastAsia" w:ascii="宋体" w:hAnsi="宋体" w:cs="仿宋"/>
                <w:sz w:val="24"/>
                <w:lang w:eastAsia="zh-CN"/>
              </w:rPr>
              <w:t>和《三门峡市公共资源交易中心网》</w:t>
            </w:r>
            <w:r>
              <w:rPr>
                <w:rFonts w:hint="eastAsia" w:ascii="宋体" w:hAnsi="宋体" w:cs="宋体"/>
                <w:color w:val="000000" w:themeColor="text1"/>
                <w:kern w:val="0"/>
                <w:sz w:val="24"/>
                <w14:textFill>
                  <w14:solidFill>
                    <w14:schemeClr w14:val="tx1"/>
                  </w14:solidFill>
                </w14:textFill>
              </w:rPr>
              <w:t>。</w:t>
            </w:r>
          </w:p>
        </w:tc>
      </w:tr>
      <w:tr w14:paraId="0CCB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2" w:hRule="exact"/>
          <w:jc w:val="center"/>
        </w:trPr>
        <w:tc>
          <w:tcPr>
            <w:tcW w:w="1060" w:type="dxa"/>
            <w:noWrap w:val="0"/>
            <w:vAlign w:val="center"/>
          </w:tcPr>
          <w:p w14:paraId="554E8B2D">
            <w:pPr>
              <w:widowControl/>
              <w:wordWrap w:val="0"/>
              <w:spacing w:after="200" w:line="240" w:lineRule="auto"/>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5.0</w:t>
            </w:r>
          </w:p>
        </w:tc>
        <w:tc>
          <w:tcPr>
            <w:tcW w:w="2183" w:type="dxa"/>
            <w:noWrap w:val="0"/>
            <w:vAlign w:val="center"/>
          </w:tcPr>
          <w:p w14:paraId="58E011EA">
            <w:pPr>
              <w:wordWrap w:val="0"/>
              <w:spacing w:line="240" w:lineRule="auto"/>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定标程序</w:t>
            </w:r>
          </w:p>
        </w:tc>
        <w:tc>
          <w:tcPr>
            <w:tcW w:w="5792" w:type="dxa"/>
            <w:noWrap w:val="0"/>
            <w:vAlign w:val="center"/>
          </w:tcPr>
          <w:p w14:paraId="56069150">
            <w:pPr>
              <w:wordWrap w:val="0"/>
              <w:spacing w:line="240" w:lineRule="auto"/>
              <w:ind w:firstLine="420" w:firstLineChars="175"/>
              <w:rPr>
                <w:rFonts w:hint="default" w:ascii="宋体" w:hAnsi="宋体" w:cs="宋体"/>
                <w:b/>
                <w:bCs/>
                <w:color w:val="auto"/>
                <w:kern w:val="0"/>
                <w:sz w:val="24"/>
                <w:lang w:val="en-US" w:eastAsia="zh-CN"/>
              </w:rPr>
            </w:pPr>
            <w:r>
              <w:rPr>
                <w:rFonts w:hint="default" w:ascii="宋体" w:hAnsi="宋体" w:cs="宋体"/>
                <w:color w:val="auto"/>
                <w:kern w:val="0"/>
                <w:sz w:val="24"/>
                <w:lang w:val="en-US" w:eastAsia="zh-CN"/>
              </w:rPr>
              <w:t>招标人应当在收到评标报告后10日内完成定标工作，定标过程包括核查、定标会议两个阶段。定标会议应当在</w:t>
            </w:r>
            <w:r>
              <w:rPr>
                <w:rFonts w:hint="eastAsia" w:ascii="宋体" w:hAnsi="宋体" w:cs="宋体"/>
                <w:color w:val="auto"/>
                <w:kern w:val="0"/>
                <w:sz w:val="24"/>
                <w:lang w:val="en-US" w:eastAsia="zh-CN"/>
              </w:rPr>
              <w:t>卢氏县</w:t>
            </w:r>
            <w:r>
              <w:rPr>
                <w:rFonts w:hint="default" w:ascii="宋体" w:hAnsi="宋体" w:cs="宋体"/>
                <w:color w:val="auto"/>
                <w:kern w:val="0"/>
                <w:sz w:val="24"/>
                <w:lang w:val="en-US" w:eastAsia="zh-CN"/>
              </w:rPr>
              <w:t>公共资源交易中心按流程进行，不能按时完成定标工作的，应当通过</w:t>
            </w:r>
            <w:r>
              <w:rPr>
                <w:rFonts w:hint="eastAsia" w:ascii="宋体" w:hAnsi="宋体" w:cs="宋体"/>
                <w:color w:val="auto"/>
                <w:kern w:val="0"/>
                <w:sz w:val="24"/>
                <w:lang w:val="en-US" w:eastAsia="zh-CN"/>
              </w:rPr>
              <w:t>三门峡</w:t>
            </w:r>
            <w:r>
              <w:rPr>
                <w:rFonts w:hint="default" w:ascii="宋体" w:hAnsi="宋体" w:cs="宋体"/>
                <w:color w:val="auto"/>
                <w:kern w:val="0"/>
                <w:sz w:val="24"/>
                <w:lang w:val="en-US" w:eastAsia="zh-CN"/>
              </w:rPr>
              <w:t>公共资源交易平台发布延期原因和最终定标时间，最终定标时间不得超过投标有效期。</w:t>
            </w:r>
            <w:r>
              <w:rPr>
                <w:rFonts w:hint="eastAsia" w:ascii="宋体" w:hAnsi="宋体" w:cs="宋体"/>
                <w:color w:val="auto"/>
                <w:kern w:val="0"/>
                <w:sz w:val="24"/>
                <w:lang w:val="en-US" w:eastAsia="zh-CN"/>
              </w:rPr>
              <w:t>卢氏县</w:t>
            </w:r>
            <w:r>
              <w:rPr>
                <w:rFonts w:hint="default" w:ascii="宋体" w:hAnsi="宋体" w:cs="宋体"/>
                <w:color w:val="auto"/>
                <w:kern w:val="0"/>
                <w:sz w:val="24"/>
                <w:lang w:val="en-US" w:eastAsia="zh-CN"/>
              </w:rPr>
              <w:t>公共资源交易中心应当对定标会议进行音视频记录，并存档备查。</w:t>
            </w:r>
          </w:p>
        </w:tc>
      </w:tr>
      <w:tr w14:paraId="7FA88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0" w:hRule="exact"/>
          <w:jc w:val="center"/>
        </w:trPr>
        <w:tc>
          <w:tcPr>
            <w:tcW w:w="1060" w:type="dxa"/>
            <w:noWrap w:val="0"/>
            <w:vAlign w:val="center"/>
          </w:tcPr>
          <w:p w14:paraId="55327A4D">
            <w:pPr>
              <w:widowControl/>
              <w:wordWrap w:val="0"/>
              <w:spacing w:after="200" w:line="24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5.1</w:t>
            </w:r>
          </w:p>
        </w:tc>
        <w:tc>
          <w:tcPr>
            <w:tcW w:w="2183" w:type="dxa"/>
            <w:noWrap w:val="0"/>
            <w:vAlign w:val="center"/>
          </w:tcPr>
          <w:p w14:paraId="24C99831">
            <w:pPr>
              <w:widowControl/>
              <w:wordWrap w:val="0"/>
              <w:spacing w:line="240" w:lineRule="auto"/>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定标委员会的组建</w:t>
            </w:r>
          </w:p>
        </w:tc>
        <w:tc>
          <w:tcPr>
            <w:tcW w:w="5792" w:type="dxa"/>
            <w:noWrap w:val="0"/>
            <w:vAlign w:val="center"/>
          </w:tcPr>
          <w:p w14:paraId="4DE7229F">
            <w:pPr>
              <w:wordWrap w:val="0"/>
              <w:spacing w:line="240" w:lineRule="auto"/>
              <w:rPr>
                <w:rFonts w:hint="eastAsia" w:ascii="宋体" w:hAnsi="宋体" w:cs="宋体"/>
                <w:color w:val="auto"/>
                <w:spacing w:val="6"/>
                <w:sz w:val="24"/>
                <w:lang w:val="en-US" w:eastAsia="zh-CN"/>
              </w:rPr>
            </w:pPr>
            <w:r>
              <w:rPr>
                <w:rFonts w:hint="eastAsia" w:ascii="宋体" w:hAnsi="宋体" w:cs="宋体"/>
                <w:color w:val="auto"/>
                <w:spacing w:val="6"/>
                <w:sz w:val="24"/>
                <w:lang w:val="en-US" w:eastAsia="zh-CN"/>
              </w:rPr>
              <w:t>定标委员会构成</w:t>
            </w:r>
          </w:p>
          <w:p w14:paraId="133EF361">
            <w:pPr>
              <w:wordWrap w:val="0"/>
              <w:spacing w:line="240" w:lineRule="auto"/>
              <w:rPr>
                <w:rFonts w:ascii="宋体" w:hAnsi="宋体" w:cs="宋体"/>
                <w:color w:val="auto"/>
                <w:spacing w:val="6"/>
                <w:sz w:val="24"/>
              </w:rPr>
            </w:pPr>
            <w:r>
              <w:rPr>
                <w:rFonts w:hint="eastAsia" w:ascii="宋体" w:hAnsi="宋体" w:cs="宋体"/>
                <w:color w:val="auto"/>
                <w:spacing w:val="6"/>
                <w:sz w:val="24"/>
                <w:lang w:val="en-US" w:eastAsia="zh-CN"/>
              </w:rPr>
              <w:t>备注：中标候选人数量小于10人定标委员会成员数量为5人，中标候选人数量大于等于10人定标委员会成员数量为7人，招标人单位成员不得低于成员总数的三分之二。定标委员会组长由招标人的法定代表人、主要负责人或分管负责人担任，其他成员可由招标人自行选定。</w:t>
            </w:r>
          </w:p>
        </w:tc>
      </w:tr>
      <w:tr w14:paraId="601D5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exact"/>
          <w:jc w:val="center"/>
        </w:trPr>
        <w:tc>
          <w:tcPr>
            <w:tcW w:w="1060" w:type="dxa"/>
            <w:noWrap w:val="0"/>
            <w:vAlign w:val="center"/>
          </w:tcPr>
          <w:p w14:paraId="532B4931">
            <w:pPr>
              <w:widowControl/>
              <w:wordWrap w:val="0"/>
              <w:spacing w:after="200" w:line="240" w:lineRule="auto"/>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5.2</w:t>
            </w:r>
          </w:p>
        </w:tc>
        <w:tc>
          <w:tcPr>
            <w:tcW w:w="2183" w:type="dxa"/>
            <w:noWrap w:val="0"/>
            <w:vAlign w:val="center"/>
          </w:tcPr>
          <w:p w14:paraId="5782A224">
            <w:pPr>
              <w:widowControl/>
              <w:wordWrap w:val="0"/>
              <w:spacing w:line="240" w:lineRule="auto"/>
              <w:jc w:val="center"/>
              <w:rPr>
                <w:rFonts w:hint="eastAsia" w:ascii="宋体" w:hAnsi="宋体" w:cs="宋体"/>
                <w:color w:val="auto"/>
                <w:kern w:val="0"/>
                <w:sz w:val="24"/>
                <w:lang w:val="en-US" w:eastAsia="zh-CN"/>
              </w:rPr>
            </w:pPr>
            <w:r>
              <w:rPr>
                <w:rFonts w:hint="eastAsia" w:ascii="宋体" w:hAnsi="宋体" w:eastAsia="宋体" w:cs="宋体"/>
                <w:color w:val="000000" w:themeColor="text1"/>
                <w:sz w:val="24"/>
                <w:szCs w:val="24"/>
                <w14:textFill>
                  <w14:solidFill>
                    <w14:schemeClr w14:val="tx1"/>
                  </w14:solidFill>
                </w14:textFill>
              </w:rPr>
              <w:t>定标方式</w:t>
            </w:r>
          </w:p>
        </w:tc>
        <w:tc>
          <w:tcPr>
            <w:tcW w:w="5792" w:type="dxa"/>
            <w:noWrap w:val="0"/>
            <w:vAlign w:val="center"/>
          </w:tcPr>
          <w:p w14:paraId="2952CF5C">
            <w:pPr>
              <w:widowControl/>
              <w:wordWrap w:val="0"/>
              <w:spacing w:line="240" w:lineRule="auto"/>
              <w:jc w:val="left"/>
              <w:rPr>
                <w:rFonts w:hint="default" w:ascii="宋体" w:hAnsi="宋体" w:cs="宋体"/>
                <w:color w:val="auto"/>
                <w:kern w:val="0"/>
                <w:sz w:val="24"/>
                <w:lang w:val="en-US" w:eastAsia="zh-CN"/>
              </w:rPr>
            </w:pPr>
            <w:r>
              <w:rPr>
                <w:rFonts w:hint="default" w:ascii="宋体" w:hAnsi="宋体" w:cs="宋体"/>
                <w:color w:val="auto"/>
                <w:kern w:val="0"/>
                <w:sz w:val="24"/>
                <w:lang w:val="en-US" w:eastAsia="zh-CN"/>
              </w:rPr>
              <w:t>本项目采用</w:t>
            </w:r>
            <w:r>
              <w:rPr>
                <w:rFonts w:hint="default" w:ascii="宋体" w:hAnsi="宋体" w:cs="宋体"/>
                <w:b/>
                <w:bCs/>
                <w:color w:val="auto"/>
                <w:kern w:val="0"/>
                <w:sz w:val="24"/>
                <w:lang w:val="en-US" w:eastAsia="zh-CN"/>
              </w:rPr>
              <w:t>核查随机法</w:t>
            </w:r>
            <w:r>
              <w:rPr>
                <w:rFonts w:hint="default" w:ascii="宋体" w:hAnsi="宋体" w:cs="宋体"/>
                <w:color w:val="auto"/>
                <w:kern w:val="0"/>
                <w:sz w:val="24"/>
                <w:lang w:val="en-US" w:eastAsia="zh-CN"/>
              </w:rPr>
              <w:t>确定中标人。</w:t>
            </w:r>
          </w:p>
        </w:tc>
      </w:tr>
      <w:tr w14:paraId="405D6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exact"/>
          <w:jc w:val="center"/>
        </w:trPr>
        <w:tc>
          <w:tcPr>
            <w:tcW w:w="1060" w:type="dxa"/>
            <w:noWrap w:val="0"/>
            <w:vAlign w:val="center"/>
          </w:tcPr>
          <w:p w14:paraId="015D2E7A">
            <w:pPr>
              <w:widowControl/>
              <w:wordWrap w:val="0"/>
              <w:spacing w:after="200" w:line="240" w:lineRule="auto"/>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5.3</w:t>
            </w:r>
          </w:p>
        </w:tc>
        <w:tc>
          <w:tcPr>
            <w:tcW w:w="2183" w:type="dxa"/>
            <w:noWrap w:val="0"/>
            <w:vAlign w:val="center"/>
          </w:tcPr>
          <w:p w14:paraId="6AE02ECC">
            <w:pPr>
              <w:widowControl/>
              <w:wordWrap w:val="0"/>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核查方式</w:t>
            </w:r>
          </w:p>
        </w:tc>
        <w:tc>
          <w:tcPr>
            <w:tcW w:w="5792" w:type="dxa"/>
            <w:noWrap w:val="0"/>
            <w:vAlign w:val="center"/>
          </w:tcPr>
          <w:p w14:paraId="58782A89">
            <w:pPr>
              <w:widowControl/>
              <w:wordWrap w:val="0"/>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对所有中标候选人的投标文件进行核查。</w:t>
            </w:r>
          </w:p>
        </w:tc>
      </w:tr>
      <w:tr w14:paraId="7982F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1" w:hRule="exact"/>
          <w:jc w:val="center"/>
        </w:trPr>
        <w:tc>
          <w:tcPr>
            <w:tcW w:w="1060" w:type="dxa"/>
            <w:noWrap w:val="0"/>
            <w:vAlign w:val="center"/>
          </w:tcPr>
          <w:p w14:paraId="347C9674">
            <w:pPr>
              <w:widowControl/>
              <w:wordWrap w:val="0"/>
              <w:spacing w:after="200" w:line="240" w:lineRule="auto"/>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5.4</w:t>
            </w:r>
          </w:p>
        </w:tc>
        <w:tc>
          <w:tcPr>
            <w:tcW w:w="2183" w:type="dxa"/>
            <w:noWrap w:val="0"/>
            <w:vAlign w:val="center"/>
          </w:tcPr>
          <w:p w14:paraId="49B430F6">
            <w:pPr>
              <w:wordWrap w:val="0"/>
              <w:spacing w:line="240" w:lineRule="auto"/>
              <w:rPr>
                <w:rFonts w:hint="eastAsia" w:ascii="宋体" w:hAnsi="宋体" w:cs="宋体"/>
                <w:color w:val="auto"/>
                <w:kern w:val="0"/>
                <w:sz w:val="24"/>
                <w:lang w:val="en-US" w:eastAsia="zh-CN"/>
              </w:rPr>
            </w:pPr>
            <w:r>
              <w:rPr>
                <w:rFonts w:hint="eastAsia" w:ascii="宋体" w:hAnsi="宋体"/>
                <w:sz w:val="24"/>
                <w:szCs w:val="24"/>
                <w:highlight w:val="none"/>
                <w:lang w:val="en-US" w:eastAsia="zh-CN"/>
              </w:rPr>
              <w:t>定标结果公示媒介及期限</w:t>
            </w:r>
          </w:p>
        </w:tc>
        <w:tc>
          <w:tcPr>
            <w:tcW w:w="5792" w:type="dxa"/>
            <w:noWrap w:val="0"/>
            <w:vAlign w:val="center"/>
          </w:tcPr>
          <w:p w14:paraId="2179ABD2">
            <w:pPr>
              <w:wordWrap w:val="0"/>
              <w:spacing w:line="240" w:lineRule="auto"/>
              <w:rPr>
                <w:rFonts w:hint="eastAsia" w:ascii="宋体" w:hAnsi="宋体"/>
                <w:sz w:val="24"/>
                <w:szCs w:val="24"/>
                <w:highlight w:val="none"/>
              </w:rPr>
            </w:pPr>
            <w:r>
              <w:rPr>
                <w:rFonts w:hint="eastAsia" w:ascii="宋体" w:hAnsi="宋体"/>
                <w:sz w:val="24"/>
                <w:szCs w:val="24"/>
                <w:highlight w:val="none"/>
              </w:rPr>
              <w:t>公布媒介：同招标公告发布媒介</w:t>
            </w:r>
          </w:p>
          <w:p w14:paraId="06666911">
            <w:pPr>
              <w:wordWrap w:val="0"/>
              <w:spacing w:line="240" w:lineRule="auto"/>
              <w:rPr>
                <w:rFonts w:hint="eastAsia" w:ascii="宋体" w:hAnsi="宋体"/>
                <w:sz w:val="24"/>
                <w:szCs w:val="24"/>
                <w:highlight w:val="none"/>
              </w:rPr>
            </w:pPr>
            <w:r>
              <w:rPr>
                <w:rFonts w:hint="eastAsia" w:ascii="宋体" w:hAnsi="宋体"/>
                <w:sz w:val="24"/>
                <w:szCs w:val="24"/>
                <w:highlight w:val="none"/>
              </w:rPr>
              <w:t>公示期限：3日</w:t>
            </w:r>
          </w:p>
          <w:p w14:paraId="5B3F4096">
            <w:pPr>
              <w:wordWrap w:val="0"/>
              <w:spacing w:line="240" w:lineRule="auto"/>
              <w:rPr>
                <w:rFonts w:hint="default" w:ascii="宋体" w:hAnsi="宋体" w:cs="宋体"/>
                <w:color w:val="auto"/>
                <w:kern w:val="0"/>
                <w:sz w:val="24"/>
                <w:lang w:val="en-US" w:eastAsia="zh-CN"/>
              </w:rPr>
            </w:pPr>
            <w:r>
              <w:rPr>
                <w:rFonts w:hint="eastAsia" w:ascii="宋体" w:hAnsi="宋体"/>
                <w:sz w:val="24"/>
                <w:szCs w:val="24"/>
                <w:highlight w:val="none"/>
              </w:rPr>
              <w:t>公示的其他内容：详见投标人须知对应条款</w:t>
            </w:r>
          </w:p>
        </w:tc>
      </w:tr>
      <w:tr w14:paraId="21CE9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1060" w:type="dxa"/>
            <w:noWrap w:val="0"/>
            <w:vAlign w:val="center"/>
          </w:tcPr>
          <w:p w14:paraId="2492BEAA">
            <w:pPr>
              <w:widowControl/>
              <w:wordWrap w:val="0"/>
              <w:spacing w:after="200" w:line="24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5.5</w:t>
            </w:r>
          </w:p>
        </w:tc>
        <w:tc>
          <w:tcPr>
            <w:tcW w:w="2183" w:type="dxa"/>
            <w:noWrap w:val="0"/>
            <w:vAlign w:val="center"/>
          </w:tcPr>
          <w:p w14:paraId="491B1F81">
            <w:pPr>
              <w:widowControl/>
              <w:wordWrap w:val="0"/>
              <w:spacing w:line="240" w:lineRule="auto"/>
              <w:jc w:val="center"/>
              <w:rPr>
                <w:rFonts w:ascii="宋体" w:hAnsi="宋体" w:cs="宋体"/>
                <w:color w:val="auto"/>
                <w:kern w:val="0"/>
                <w:sz w:val="24"/>
              </w:rPr>
            </w:pPr>
            <w:r>
              <w:rPr>
                <w:rFonts w:hint="eastAsia" w:ascii="宋体" w:hAnsi="宋体" w:cs="宋体"/>
                <w:color w:val="auto"/>
                <w:kern w:val="0"/>
                <w:sz w:val="24"/>
              </w:rPr>
              <w:t>履约保证金</w:t>
            </w:r>
          </w:p>
        </w:tc>
        <w:tc>
          <w:tcPr>
            <w:tcW w:w="5792" w:type="dxa"/>
            <w:noWrap w:val="0"/>
            <w:vAlign w:val="center"/>
          </w:tcPr>
          <w:p w14:paraId="10C4D891">
            <w:pPr>
              <w:widowControl/>
              <w:wordWrap w:val="0"/>
              <w:spacing w:line="240" w:lineRule="auto"/>
              <w:jc w:val="left"/>
              <w:rPr>
                <w:rFonts w:ascii="宋体" w:hAnsi="宋体" w:cs="宋体"/>
                <w:color w:val="auto"/>
                <w:sz w:val="24"/>
              </w:rPr>
            </w:pPr>
            <w:r>
              <w:rPr>
                <w:rFonts w:hint="eastAsia" w:ascii="宋体" w:hAnsi="宋体" w:cs="宋体"/>
                <w:bCs/>
                <w:color w:val="auto"/>
                <w:kern w:val="0"/>
                <w:sz w:val="24"/>
              </w:rPr>
              <w:t>无</w:t>
            </w:r>
          </w:p>
        </w:tc>
      </w:tr>
      <w:tr w14:paraId="2894D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1060" w:type="dxa"/>
            <w:noWrap w:val="0"/>
            <w:vAlign w:val="center"/>
          </w:tcPr>
          <w:p w14:paraId="60FD1A53">
            <w:pPr>
              <w:widowControl/>
              <w:wordWrap w:val="0"/>
              <w:spacing w:after="200" w:line="240" w:lineRule="auto"/>
              <w:jc w:val="center"/>
              <w:rPr>
                <w:rFonts w:hint="eastAsia" w:ascii="宋体" w:hAnsi="宋体" w:eastAsia="宋体" w:cs="宋体"/>
                <w:color w:val="auto"/>
                <w:kern w:val="0"/>
                <w:sz w:val="24"/>
                <w:lang w:val="en-US" w:eastAsia="zh-CN"/>
              </w:rPr>
            </w:pPr>
            <w:r>
              <w:rPr>
                <w:rFonts w:hint="eastAsia" w:ascii="宋体" w:hAnsi="宋体" w:cs="宋体"/>
                <w:color w:val="auto"/>
                <w:kern w:val="0"/>
                <w:sz w:val="24"/>
              </w:rPr>
              <w:t>5.</w:t>
            </w:r>
            <w:r>
              <w:rPr>
                <w:rFonts w:hint="eastAsia" w:ascii="宋体" w:hAnsi="宋体" w:cs="宋体"/>
                <w:color w:val="auto"/>
                <w:kern w:val="0"/>
                <w:sz w:val="24"/>
                <w:lang w:val="en-US" w:eastAsia="zh-CN"/>
              </w:rPr>
              <w:t>6</w:t>
            </w:r>
          </w:p>
        </w:tc>
        <w:tc>
          <w:tcPr>
            <w:tcW w:w="2183" w:type="dxa"/>
            <w:noWrap w:val="0"/>
            <w:vAlign w:val="center"/>
          </w:tcPr>
          <w:p w14:paraId="4B0DF7EF">
            <w:pPr>
              <w:widowControl/>
              <w:wordWrap w:val="0"/>
              <w:spacing w:line="240" w:lineRule="auto"/>
              <w:jc w:val="center"/>
              <w:rPr>
                <w:rFonts w:ascii="宋体" w:hAnsi="宋体" w:cs="宋体"/>
                <w:color w:val="auto"/>
                <w:kern w:val="0"/>
                <w:sz w:val="24"/>
              </w:rPr>
            </w:pPr>
            <w:r>
              <w:rPr>
                <w:rFonts w:hint="eastAsia" w:ascii="宋体" w:hAnsi="宋体" w:cs="宋体"/>
                <w:bCs/>
                <w:color w:val="auto"/>
                <w:kern w:val="0"/>
                <w:sz w:val="24"/>
              </w:rPr>
              <w:t>重新招标的其他形式</w:t>
            </w:r>
          </w:p>
        </w:tc>
        <w:tc>
          <w:tcPr>
            <w:tcW w:w="5792" w:type="dxa"/>
            <w:noWrap w:val="0"/>
            <w:vAlign w:val="center"/>
          </w:tcPr>
          <w:p w14:paraId="0AB09C00">
            <w:pPr>
              <w:widowControl/>
              <w:wordWrap w:val="0"/>
              <w:spacing w:line="240" w:lineRule="auto"/>
              <w:jc w:val="left"/>
              <w:rPr>
                <w:rFonts w:ascii="宋体" w:hAnsi="宋体" w:cs="宋体"/>
                <w:bCs/>
                <w:color w:val="auto"/>
                <w:kern w:val="0"/>
                <w:sz w:val="24"/>
              </w:rPr>
            </w:pPr>
            <w:r>
              <w:rPr>
                <w:rFonts w:hint="eastAsia" w:ascii="宋体" w:hAnsi="宋体" w:cs="宋体"/>
                <w:bCs/>
                <w:color w:val="auto"/>
                <w:kern w:val="0"/>
                <w:sz w:val="24"/>
              </w:rPr>
              <w:t>有下列情形之一的，招标人将重新招标：</w:t>
            </w:r>
          </w:p>
          <w:p w14:paraId="0ECFEB54">
            <w:pPr>
              <w:widowControl/>
              <w:wordWrap w:val="0"/>
              <w:spacing w:line="240" w:lineRule="auto"/>
              <w:jc w:val="left"/>
              <w:rPr>
                <w:rFonts w:ascii="宋体" w:hAnsi="宋体" w:cs="宋体"/>
                <w:bCs/>
                <w:color w:val="auto"/>
                <w:kern w:val="0"/>
                <w:sz w:val="24"/>
              </w:rPr>
            </w:pPr>
            <w:r>
              <w:rPr>
                <w:rFonts w:hint="eastAsia" w:ascii="宋体" w:hAnsi="宋体" w:cs="宋体"/>
                <w:bCs/>
                <w:color w:val="auto"/>
                <w:kern w:val="0"/>
                <w:sz w:val="24"/>
              </w:rPr>
              <w:t>（1）投标截止时间止，投标人少于3个的；</w:t>
            </w:r>
          </w:p>
          <w:p w14:paraId="4E9D750C">
            <w:pPr>
              <w:widowControl/>
              <w:wordWrap w:val="0"/>
              <w:spacing w:line="240" w:lineRule="auto"/>
              <w:jc w:val="left"/>
              <w:rPr>
                <w:rFonts w:ascii="宋体" w:hAnsi="宋体" w:cs="宋体"/>
                <w:bCs/>
                <w:color w:val="auto"/>
                <w:kern w:val="0"/>
                <w:sz w:val="24"/>
              </w:rPr>
            </w:pPr>
            <w:r>
              <w:rPr>
                <w:rFonts w:hint="eastAsia" w:ascii="宋体" w:hAnsi="宋体" w:cs="宋体"/>
                <w:bCs/>
                <w:color w:val="auto"/>
                <w:kern w:val="0"/>
                <w:sz w:val="24"/>
              </w:rPr>
              <w:t>（2）经评标委员会评审后有效投标人不足3家的；</w:t>
            </w:r>
          </w:p>
          <w:p w14:paraId="759702D8">
            <w:pPr>
              <w:widowControl/>
              <w:wordWrap w:val="0"/>
              <w:spacing w:line="240" w:lineRule="auto"/>
              <w:jc w:val="left"/>
              <w:rPr>
                <w:rFonts w:ascii="宋体" w:hAnsi="宋体" w:cs="宋体"/>
                <w:b/>
                <w:color w:val="auto"/>
                <w:kern w:val="0"/>
                <w:sz w:val="24"/>
              </w:rPr>
            </w:pPr>
            <w:r>
              <w:rPr>
                <w:rFonts w:hint="eastAsia" w:ascii="宋体" w:hAnsi="宋体" w:cs="宋体"/>
                <w:bCs/>
                <w:color w:val="auto"/>
                <w:kern w:val="0"/>
                <w:sz w:val="24"/>
              </w:rPr>
              <w:t>（3）经评标委员会评审后否决所有投标的；</w:t>
            </w:r>
          </w:p>
        </w:tc>
      </w:tr>
      <w:tr w14:paraId="71CEB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jc w:val="center"/>
        </w:trPr>
        <w:tc>
          <w:tcPr>
            <w:tcW w:w="1060" w:type="dxa"/>
            <w:noWrap w:val="0"/>
            <w:vAlign w:val="center"/>
          </w:tcPr>
          <w:p w14:paraId="121D8D36">
            <w:pPr>
              <w:widowControl/>
              <w:wordWrap w:val="0"/>
              <w:spacing w:after="200" w:line="240" w:lineRule="auto"/>
              <w:jc w:val="center"/>
              <w:rPr>
                <w:rFonts w:hint="eastAsia" w:ascii="宋体" w:hAnsi="宋体" w:eastAsia="宋体" w:cs="宋体"/>
                <w:color w:val="auto"/>
                <w:kern w:val="0"/>
                <w:sz w:val="24"/>
                <w:lang w:val="en-US" w:eastAsia="zh-CN"/>
              </w:rPr>
            </w:pPr>
            <w:r>
              <w:rPr>
                <w:rFonts w:hint="eastAsia" w:ascii="宋体" w:hAnsi="宋体" w:cs="宋体"/>
                <w:color w:val="auto"/>
                <w:kern w:val="0"/>
                <w:sz w:val="24"/>
              </w:rPr>
              <w:t>5.</w:t>
            </w:r>
            <w:r>
              <w:rPr>
                <w:rFonts w:hint="eastAsia" w:ascii="宋体" w:hAnsi="宋体" w:cs="宋体"/>
                <w:color w:val="auto"/>
                <w:kern w:val="0"/>
                <w:sz w:val="24"/>
                <w:lang w:val="en-US" w:eastAsia="zh-CN"/>
              </w:rPr>
              <w:t>7</w:t>
            </w:r>
          </w:p>
        </w:tc>
        <w:tc>
          <w:tcPr>
            <w:tcW w:w="2183" w:type="dxa"/>
            <w:noWrap w:val="0"/>
            <w:vAlign w:val="center"/>
          </w:tcPr>
          <w:p w14:paraId="69801319">
            <w:pPr>
              <w:wordWrap w:val="0"/>
              <w:autoSpaceDE w:val="0"/>
              <w:autoSpaceDN w:val="0"/>
              <w:adjustRightInd w:val="0"/>
              <w:spacing w:line="240" w:lineRule="auto"/>
              <w:jc w:val="center"/>
              <w:rPr>
                <w:rFonts w:hint="eastAsia" w:ascii="宋体" w:hAnsi="宋体" w:cs="宋体"/>
                <w:bCs/>
                <w:color w:val="auto"/>
                <w:kern w:val="0"/>
                <w:sz w:val="24"/>
              </w:rPr>
            </w:pPr>
            <w:r>
              <w:rPr>
                <w:rFonts w:hint="eastAsia" w:ascii="宋体" w:hAnsi="宋体" w:cs="宋体"/>
                <w:bCs/>
                <w:color w:val="auto"/>
                <w:kern w:val="0"/>
                <w:sz w:val="24"/>
              </w:rPr>
              <w:t>付款办法</w:t>
            </w:r>
          </w:p>
        </w:tc>
        <w:tc>
          <w:tcPr>
            <w:tcW w:w="5792" w:type="dxa"/>
            <w:noWrap w:val="0"/>
            <w:vAlign w:val="center"/>
          </w:tcPr>
          <w:p w14:paraId="79899BDE">
            <w:pPr>
              <w:wordWrap w:val="0"/>
              <w:autoSpaceDE w:val="0"/>
              <w:autoSpaceDN w:val="0"/>
              <w:adjustRightInd w:val="0"/>
              <w:spacing w:line="240" w:lineRule="auto"/>
              <w:jc w:val="left"/>
              <w:rPr>
                <w:rFonts w:hint="eastAsia" w:ascii="宋体" w:hAnsi="宋体" w:cs="宋体"/>
                <w:bCs/>
                <w:color w:val="auto"/>
                <w:kern w:val="0"/>
                <w:sz w:val="24"/>
              </w:rPr>
            </w:pPr>
            <w:r>
              <w:rPr>
                <w:rFonts w:hint="eastAsia" w:ascii="宋体" w:hAnsi="宋体" w:cs="宋体"/>
                <w:bCs/>
                <w:color w:val="auto"/>
                <w:kern w:val="0"/>
                <w:sz w:val="24"/>
                <w:highlight w:val="none"/>
              </w:rPr>
              <w:t>双方约定的工程进度款支付方式和时间:根据工程进度和财政拨款情况付款</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合同签订后向承包人支付30%的预付款</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当施工进度达到60%时支付至合同价款的40%</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当施工进度达到80%时支付至合同价款的60%</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工程交工验收合格支付至合同价款的80%</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提交完整结算资料，并在三个月内完成工程决算审计，累计支付至审计确定的全部工程款的97%</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剩余3%作为质量保证金，1年缺陷责任期满后，经复验，若无质量问题一次性付清。</w:t>
            </w:r>
          </w:p>
        </w:tc>
      </w:tr>
      <w:tr w14:paraId="2E248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1060" w:type="dxa"/>
            <w:noWrap w:val="0"/>
            <w:vAlign w:val="center"/>
          </w:tcPr>
          <w:p w14:paraId="1C8BD252">
            <w:pPr>
              <w:wordWrap w:val="0"/>
              <w:autoSpaceDE w:val="0"/>
              <w:autoSpaceDN w:val="0"/>
              <w:adjustRightInd w:val="0"/>
              <w:spacing w:line="240" w:lineRule="auto"/>
              <w:ind w:firstLine="240" w:firstLineChars="100"/>
              <w:jc w:val="left"/>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rPr>
              <w:t>5.</w:t>
            </w:r>
            <w:r>
              <w:rPr>
                <w:rFonts w:hint="eastAsia" w:ascii="宋体" w:hAnsi="宋体" w:eastAsia="宋体" w:cs="宋体"/>
                <w:bCs/>
                <w:color w:val="auto"/>
                <w:kern w:val="0"/>
                <w:sz w:val="24"/>
                <w:lang w:val="en-US" w:eastAsia="zh-CN"/>
              </w:rPr>
              <w:t>8</w:t>
            </w:r>
          </w:p>
        </w:tc>
        <w:tc>
          <w:tcPr>
            <w:tcW w:w="2183" w:type="dxa"/>
            <w:noWrap w:val="0"/>
            <w:vAlign w:val="center"/>
          </w:tcPr>
          <w:p w14:paraId="46475500">
            <w:pPr>
              <w:wordWrap w:val="0"/>
              <w:autoSpaceDE w:val="0"/>
              <w:autoSpaceDN w:val="0"/>
              <w:adjustRightInd w:val="0"/>
              <w:spacing w:line="240" w:lineRule="auto"/>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招标代理机构服务费</w:t>
            </w:r>
          </w:p>
        </w:tc>
        <w:tc>
          <w:tcPr>
            <w:tcW w:w="5792" w:type="dxa"/>
            <w:noWrap w:val="0"/>
            <w:vAlign w:val="center"/>
          </w:tcPr>
          <w:p w14:paraId="7F88048B">
            <w:pPr>
              <w:wordWrap w:val="0"/>
              <w:autoSpaceDE w:val="0"/>
              <w:autoSpaceDN w:val="0"/>
              <w:adjustRightInd w:val="0"/>
              <w:spacing w:line="240" w:lineRule="auto"/>
              <w:jc w:val="left"/>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参照豫招协【2023】002号河南省招标投标协会关于印发《河南省招标代理服务收费指导意见》规定的收费标准</w:t>
            </w:r>
            <w:r>
              <w:rPr>
                <w:rFonts w:hint="eastAsia" w:ascii="宋体" w:hAnsi="宋体" w:cs="宋体"/>
                <w:bCs/>
                <w:color w:val="auto"/>
                <w:kern w:val="0"/>
                <w:sz w:val="24"/>
                <w:lang w:eastAsia="zh-CN"/>
              </w:rPr>
              <w:t>，</w:t>
            </w:r>
            <w:r>
              <w:rPr>
                <w:rFonts w:hint="eastAsia" w:ascii="宋体" w:hAnsi="宋体" w:cs="宋体"/>
                <w:bCs/>
                <w:color w:val="auto"/>
                <w:kern w:val="0"/>
                <w:sz w:val="24"/>
                <w:lang w:val="en-US" w:eastAsia="zh-CN"/>
              </w:rPr>
              <w:t>具体参考卢氏县公路事业发展中心标准（不高于</w:t>
            </w:r>
            <w:r>
              <w:rPr>
                <w:rFonts w:hint="eastAsia" w:ascii="宋体" w:hAnsi="宋体" w:eastAsia="宋体" w:cs="宋体"/>
                <w:bCs/>
                <w:color w:val="auto"/>
                <w:kern w:val="0"/>
                <w:sz w:val="24"/>
              </w:rPr>
              <w:t>豫招协【2023】002号</w:t>
            </w:r>
            <w:r>
              <w:rPr>
                <w:rFonts w:hint="eastAsia" w:ascii="宋体" w:hAnsi="宋体" w:cs="宋体"/>
                <w:bCs/>
                <w:color w:val="auto"/>
                <w:kern w:val="0"/>
                <w:sz w:val="24"/>
                <w:lang w:val="en-US" w:eastAsia="zh-CN"/>
              </w:rPr>
              <w:t>）</w:t>
            </w:r>
            <w:r>
              <w:rPr>
                <w:rFonts w:hint="eastAsia" w:ascii="宋体" w:hAnsi="宋体" w:eastAsia="宋体" w:cs="宋体"/>
                <w:bCs/>
                <w:color w:val="auto"/>
                <w:kern w:val="0"/>
                <w:sz w:val="24"/>
              </w:rPr>
              <w:t>收取中标服务费。招标代理服务收费按差额定率累进法计算。</w:t>
            </w:r>
            <w:r>
              <w:rPr>
                <w:rFonts w:hint="eastAsia" w:ascii="宋体" w:hAnsi="宋体" w:eastAsia="宋体" w:cs="宋体"/>
                <w:bCs/>
                <w:color w:val="auto"/>
                <w:kern w:val="0"/>
                <w:sz w:val="24"/>
                <w:lang w:val="en-US" w:eastAsia="zh-CN"/>
              </w:rPr>
              <w:t>由中标单位</w:t>
            </w:r>
            <w:r>
              <w:rPr>
                <w:rFonts w:hint="eastAsia" w:ascii="宋体" w:hAnsi="宋体" w:eastAsia="宋体" w:cs="宋体"/>
                <w:bCs/>
                <w:color w:val="auto"/>
                <w:kern w:val="0"/>
                <w:sz w:val="24"/>
              </w:rPr>
              <w:t>领取中标通知书时一次性支付</w:t>
            </w:r>
            <w:r>
              <w:rPr>
                <w:rFonts w:hint="eastAsia" w:ascii="宋体" w:hAnsi="宋体" w:eastAsia="宋体" w:cs="宋体"/>
                <w:bCs/>
                <w:color w:val="auto"/>
                <w:kern w:val="0"/>
                <w:sz w:val="24"/>
                <w:lang w:eastAsia="zh-CN"/>
              </w:rPr>
              <w:t>。</w:t>
            </w:r>
          </w:p>
          <w:p w14:paraId="48C26EE7">
            <w:pPr>
              <w:wordWrap w:val="0"/>
              <w:autoSpaceDE w:val="0"/>
              <w:autoSpaceDN w:val="0"/>
              <w:adjustRightInd w:val="0"/>
              <w:spacing w:line="240" w:lineRule="auto"/>
              <w:jc w:val="left"/>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收取方式：转账形式或现金</w:t>
            </w:r>
            <w:r>
              <w:rPr>
                <w:rFonts w:hint="eastAsia" w:ascii="宋体" w:hAnsi="宋体" w:eastAsia="宋体" w:cs="宋体"/>
                <w:bCs/>
                <w:color w:val="auto"/>
                <w:kern w:val="0"/>
                <w:sz w:val="24"/>
                <w:lang w:val="en-US" w:eastAsia="zh-CN"/>
              </w:rPr>
              <w:br w:type="textWrapping"/>
            </w:r>
            <w:r>
              <w:rPr>
                <w:rFonts w:hint="eastAsia" w:ascii="宋体" w:hAnsi="宋体" w:eastAsia="宋体" w:cs="宋体"/>
                <w:bCs/>
                <w:color w:val="auto"/>
                <w:kern w:val="0"/>
                <w:sz w:val="24"/>
                <w:lang w:val="en-US" w:eastAsia="zh-CN"/>
              </w:rPr>
              <w:t>收款单位：兴建建设管理有限公司灵宝分公司</w:t>
            </w:r>
          </w:p>
          <w:p w14:paraId="73EBAE72">
            <w:pPr>
              <w:wordWrap w:val="0"/>
              <w:autoSpaceDE w:val="0"/>
              <w:autoSpaceDN w:val="0"/>
              <w:adjustRightInd w:val="0"/>
              <w:spacing w:line="240" w:lineRule="auto"/>
              <w:jc w:val="left"/>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开 户 行：中国工商银行灵宝老城支行</w:t>
            </w:r>
          </w:p>
          <w:p w14:paraId="6E8BDC22">
            <w:pPr>
              <w:wordWrap w:val="0"/>
              <w:autoSpaceDE w:val="0"/>
              <w:autoSpaceDN w:val="0"/>
              <w:adjustRightInd w:val="0"/>
              <w:spacing w:line="240" w:lineRule="auto"/>
              <w:jc w:val="left"/>
              <w:rPr>
                <w:rFonts w:hint="default" w:ascii="宋体" w:hAnsi="宋体" w:eastAsia="宋体" w:cs="宋体"/>
                <w:bCs/>
                <w:color w:val="auto"/>
                <w:kern w:val="0"/>
                <w:sz w:val="24"/>
                <w:lang w:val="en-US"/>
              </w:rPr>
            </w:pPr>
            <w:r>
              <w:rPr>
                <w:rFonts w:hint="eastAsia" w:ascii="宋体" w:hAnsi="宋体" w:eastAsia="宋体" w:cs="宋体"/>
                <w:bCs/>
                <w:color w:val="auto"/>
                <w:kern w:val="0"/>
                <w:sz w:val="24"/>
                <w:lang w:val="en-US" w:eastAsia="zh-CN"/>
              </w:rPr>
              <w:t>账    号：1713 1210 0920 0023 695</w:t>
            </w:r>
          </w:p>
        </w:tc>
      </w:tr>
      <w:tr w14:paraId="300DF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exact"/>
          <w:jc w:val="center"/>
        </w:trPr>
        <w:tc>
          <w:tcPr>
            <w:tcW w:w="1060" w:type="dxa"/>
            <w:noWrap w:val="0"/>
            <w:vAlign w:val="center"/>
          </w:tcPr>
          <w:p w14:paraId="703F3EC6">
            <w:pPr>
              <w:widowControl/>
              <w:wordWrap w:val="0"/>
              <w:spacing w:after="200" w:line="240" w:lineRule="auto"/>
              <w:jc w:val="center"/>
              <w:rPr>
                <w:rFonts w:hint="eastAsia" w:ascii="宋体" w:hAnsi="宋体" w:eastAsia="宋体" w:cs="宋体"/>
                <w:color w:val="auto"/>
                <w:kern w:val="0"/>
                <w:sz w:val="24"/>
                <w:lang w:val="en-US" w:eastAsia="zh-CN"/>
              </w:rPr>
            </w:pPr>
            <w:r>
              <w:rPr>
                <w:rFonts w:hint="eastAsia" w:ascii="宋体" w:hAnsi="宋体" w:cs="宋体"/>
                <w:color w:val="auto"/>
                <w:kern w:val="0"/>
                <w:sz w:val="24"/>
              </w:rPr>
              <w:t>5.</w:t>
            </w:r>
            <w:r>
              <w:rPr>
                <w:rFonts w:hint="eastAsia" w:ascii="宋体" w:hAnsi="宋体" w:cs="宋体"/>
                <w:color w:val="auto"/>
                <w:kern w:val="0"/>
                <w:sz w:val="24"/>
                <w:lang w:val="en-US" w:eastAsia="zh-CN"/>
              </w:rPr>
              <w:t>9</w:t>
            </w:r>
          </w:p>
        </w:tc>
        <w:tc>
          <w:tcPr>
            <w:tcW w:w="2183" w:type="dxa"/>
            <w:noWrap w:val="0"/>
            <w:vAlign w:val="center"/>
          </w:tcPr>
          <w:p w14:paraId="70C20195">
            <w:pPr>
              <w:widowControl/>
              <w:wordWrap w:val="0"/>
              <w:adjustRightInd w:val="0"/>
              <w:snapToGrid w:val="0"/>
              <w:spacing w:line="240" w:lineRule="auto"/>
              <w:jc w:val="center"/>
              <w:rPr>
                <w:rFonts w:ascii="宋体" w:hAnsi="宋体" w:cs="宋体"/>
                <w:color w:val="auto"/>
                <w:kern w:val="0"/>
                <w:sz w:val="24"/>
              </w:rPr>
            </w:pPr>
            <w:r>
              <w:rPr>
                <w:rFonts w:hint="eastAsia" w:ascii="宋体" w:hAnsi="宋体" w:cs="宋体"/>
                <w:color w:val="auto"/>
                <w:kern w:val="0"/>
                <w:sz w:val="24"/>
              </w:rPr>
              <w:t>同义词语</w:t>
            </w:r>
          </w:p>
        </w:tc>
        <w:tc>
          <w:tcPr>
            <w:tcW w:w="5792" w:type="dxa"/>
            <w:noWrap w:val="0"/>
            <w:vAlign w:val="center"/>
          </w:tcPr>
          <w:p w14:paraId="08A6DCB6">
            <w:pPr>
              <w:widowControl/>
              <w:wordWrap w:val="0"/>
              <w:adjustRightInd w:val="0"/>
              <w:snapToGrid w:val="0"/>
              <w:spacing w:line="240" w:lineRule="auto"/>
              <w:jc w:val="left"/>
              <w:rPr>
                <w:rFonts w:ascii="宋体" w:hAnsi="宋体" w:cs="宋体"/>
                <w:color w:val="auto"/>
                <w:kern w:val="0"/>
                <w:sz w:val="24"/>
              </w:rPr>
            </w:pPr>
            <w:r>
              <w:rPr>
                <w:rFonts w:hint="eastAsia" w:ascii="宋体" w:hAnsi="宋体" w:cs="宋体"/>
                <w:color w:val="auto"/>
                <w:kern w:val="0"/>
                <w:sz w:val="24"/>
              </w:rPr>
              <w:t>构成招标文件组成部分的“通用合同条款”、“专用合同条款”、“技术标准和要求”等章节中出现的措辞“委托人”和“监理人”，在招标投标阶段应当分别按“招标人”和“投标人”进行理解。</w:t>
            </w:r>
          </w:p>
        </w:tc>
      </w:tr>
      <w:tr w14:paraId="7F590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060" w:type="dxa"/>
            <w:noWrap w:val="0"/>
            <w:vAlign w:val="center"/>
          </w:tcPr>
          <w:p w14:paraId="13977BE1">
            <w:pPr>
              <w:widowControl/>
              <w:wordWrap w:val="0"/>
              <w:spacing w:after="200" w:line="24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6.0</w:t>
            </w:r>
          </w:p>
        </w:tc>
        <w:tc>
          <w:tcPr>
            <w:tcW w:w="2183" w:type="dxa"/>
            <w:noWrap w:val="0"/>
            <w:vAlign w:val="center"/>
          </w:tcPr>
          <w:p w14:paraId="2FD95AF9">
            <w:pPr>
              <w:widowControl/>
              <w:wordWrap w:val="0"/>
              <w:adjustRightInd w:val="0"/>
              <w:snapToGrid w:val="0"/>
              <w:spacing w:line="240" w:lineRule="auto"/>
              <w:jc w:val="center"/>
              <w:rPr>
                <w:rFonts w:ascii="宋体" w:hAnsi="宋体" w:cs="宋体"/>
                <w:color w:val="auto"/>
                <w:kern w:val="0"/>
                <w:sz w:val="24"/>
              </w:rPr>
            </w:pPr>
            <w:r>
              <w:rPr>
                <w:rFonts w:hint="eastAsia" w:ascii="宋体" w:hAnsi="宋体" w:cs="宋体"/>
                <w:color w:val="auto"/>
                <w:kern w:val="0"/>
                <w:sz w:val="24"/>
              </w:rPr>
              <w:t>监  督</w:t>
            </w:r>
          </w:p>
        </w:tc>
        <w:tc>
          <w:tcPr>
            <w:tcW w:w="5792" w:type="dxa"/>
            <w:noWrap w:val="0"/>
            <w:vAlign w:val="center"/>
          </w:tcPr>
          <w:p w14:paraId="091CD1FC">
            <w:pPr>
              <w:widowControl/>
              <w:wordWrap w:val="0"/>
              <w:adjustRightInd w:val="0"/>
              <w:snapToGrid w:val="0"/>
              <w:spacing w:line="240" w:lineRule="auto"/>
              <w:jc w:val="left"/>
              <w:rPr>
                <w:rFonts w:ascii="宋体" w:hAnsi="宋体" w:cs="宋体"/>
                <w:color w:val="auto"/>
                <w:kern w:val="0"/>
                <w:sz w:val="24"/>
              </w:rPr>
            </w:pPr>
            <w:r>
              <w:rPr>
                <w:rFonts w:hint="eastAsia" w:ascii="宋体" w:hAnsi="宋体" w:cs="宋体"/>
                <w:color w:val="auto"/>
                <w:kern w:val="0"/>
                <w:sz w:val="24"/>
              </w:rPr>
              <w:t>监督机构：详见招标公告。</w:t>
            </w:r>
          </w:p>
          <w:p w14:paraId="59BDBC02">
            <w:pPr>
              <w:widowControl/>
              <w:wordWrap w:val="0"/>
              <w:adjustRightInd w:val="0"/>
              <w:snapToGrid w:val="0"/>
              <w:spacing w:line="240" w:lineRule="auto"/>
              <w:jc w:val="left"/>
              <w:rPr>
                <w:rFonts w:ascii="宋体" w:hAnsi="宋体" w:cs="宋体"/>
                <w:color w:val="auto"/>
                <w:kern w:val="0"/>
                <w:sz w:val="24"/>
              </w:rPr>
            </w:pPr>
            <w:r>
              <w:rPr>
                <w:rFonts w:hint="eastAsia" w:ascii="宋体" w:hAnsi="宋体" w:cs="宋体"/>
                <w:color w:val="auto"/>
                <w:kern w:val="0"/>
                <w:sz w:val="24"/>
              </w:rPr>
              <w:t>联系电话：详见招标公告。</w:t>
            </w:r>
          </w:p>
        </w:tc>
      </w:tr>
      <w:tr w14:paraId="50061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060" w:type="dxa"/>
            <w:noWrap w:val="0"/>
            <w:vAlign w:val="center"/>
          </w:tcPr>
          <w:p w14:paraId="1BC65288">
            <w:pPr>
              <w:widowControl/>
              <w:wordWrap w:val="0"/>
              <w:spacing w:after="200" w:line="24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6.1</w:t>
            </w:r>
          </w:p>
        </w:tc>
        <w:tc>
          <w:tcPr>
            <w:tcW w:w="2183" w:type="dxa"/>
            <w:noWrap w:val="0"/>
            <w:vAlign w:val="center"/>
          </w:tcPr>
          <w:p w14:paraId="3A24A290">
            <w:pPr>
              <w:widowControl/>
              <w:wordWrap w:val="0"/>
              <w:adjustRightInd w:val="0"/>
              <w:snapToGrid w:val="0"/>
              <w:spacing w:line="240" w:lineRule="auto"/>
              <w:jc w:val="center"/>
              <w:rPr>
                <w:rFonts w:ascii="宋体" w:hAnsi="宋体" w:cs="宋体"/>
                <w:color w:val="auto"/>
                <w:kern w:val="0"/>
                <w:sz w:val="24"/>
              </w:rPr>
            </w:pPr>
            <w:r>
              <w:rPr>
                <w:rFonts w:hint="eastAsia" w:ascii="宋体" w:hAnsi="宋体" w:cs="宋体"/>
                <w:color w:val="auto"/>
                <w:kern w:val="0"/>
                <w:sz w:val="24"/>
              </w:rPr>
              <w:t>解释权</w:t>
            </w:r>
          </w:p>
        </w:tc>
        <w:tc>
          <w:tcPr>
            <w:tcW w:w="5792" w:type="dxa"/>
            <w:noWrap w:val="0"/>
            <w:vAlign w:val="center"/>
          </w:tcPr>
          <w:p w14:paraId="5A407F16">
            <w:pPr>
              <w:widowControl/>
              <w:wordWrap w:val="0"/>
              <w:adjustRightInd w:val="0"/>
              <w:snapToGrid w:val="0"/>
              <w:spacing w:line="240" w:lineRule="auto"/>
              <w:jc w:val="left"/>
              <w:rPr>
                <w:rFonts w:ascii="宋体" w:hAnsi="宋体" w:cs="宋体"/>
                <w:color w:val="auto"/>
                <w:kern w:val="0"/>
                <w:sz w:val="24"/>
              </w:rPr>
            </w:pPr>
            <w:r>
              <w:rPr>
                <w:rFonts w:hint="eastAsia" w:ascii="宋体" w:hAnsi="宋体" w:cs="宋体"/>
                <w:color w:val="auto"/>
                <w:kern w:val="0"/>
                <w:sz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的前者为准；同一组成文件不同版本之间有不一致的，以形成时间的前者为准。按本款前述规定仍不能形成结论的，由招标人负责解释。</w:t>
            </w:r>
          </w:p>
        </w:tc>
      </w:tr>
      <w:tr w14:paraId="282F4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3" w:hRule="exact"/>
          <w:jc w:val="center"/>
        </w:trPr>
        <w:tc>
          <w:tcPr>
            <w:tcW w:w="1060" w:type="dxa"/>
            <w:noWrap w:val="0"/>
            <w:vAlign w:val="center"/>
          </w:tcPr>
          <w:p w14:paraId="21E02F9E">
            <w:pPr>
              <w:widowControl/>
              <w:wordWrap w:val="0"/>
              <w:spacing w:after="200" w:line="24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rPr>
              <w:t>6</w:t>
            </w:r>
            <w:r>
              <w:rPr>
                <w:rFonts w:hint="eastAsia" w:ascii="宋体" w:hAnsi="宋体" w:cs="宋体"/>
                <w:color w:val="auto"/>
                <w:kern w:val="0"/>
                <w:sz w:val="24"/>
                <w:lang w:val="en-US" w:eastAsia="zh-CN"/>
              </w:rPr>
              <w:t>.2</w:t>
            </w:r>
          </w:p>
        </w:tc>
        <w:tc>
          <w:tcPr>
            <w:tcW w:w="2183" w:type="dxa"/>
            <w:noWrap w:val="0"/>
            <w:vAlign w:val="center"/>
          </w:tcPr>
          <w:p w14:paraId="4E7B1A02">
            <w:pPr>
              <w:wordWrap w:val="0"/>
              <w:spacing w:line="240" w:lineRule="auto"/>
              <w:jc w:val="center"/>
              <w:rPr>
                <w:rFonts w:hint="eastAsia" w:ascii="宋体" w:hAnsi="宋体" w:cs="宋体"/>
                <w:color w:val="auto"/>
                <w:sz w:val="24"/>
              </w:rPr>
            </w:pPr>
            <w:r>
              <w:rPr>
                <w:rStyle w:val="19"/>
                <w:rFonts w:hint="eastAsia" w:ascii="宋体" w:hAnsi="宋体" w:cs="宋体"/>
                <w:color w:val="auto"/>
                <w:spacing w:val="1"/>
                <w:sz w:val="24"/>
              </w:rPr>
              <w:t>知识产权</w:t>
            </w:r>
          </w:p>
        </w:tc>
        <w:tc>
          <w:tcPr>
            <w:tcW w:w="5792" w:type="dxa"/>
            <w:noWrap w:val="0"/>
            <w:vAlign w:val="center"/>
          </w:tcPr>
          <w:p w14:paraId="133705A5">
            <w:pPr>
              <w:wordWrap w:val="0"/>
              <w:autoSpaceDE w:val="0"/>
              <w:autoSpaceDN w:val="0"/>
              <w:adjustRightInd w:val="0"/>
              <w:spacing w:line="240" w:lineRule="auto"/>
              <w:ind w:right="105" w:rightChars="50"/>
              <w:rPr>
                <w:rFonts w:hint="eastAsia" w:ascii="宋体" w:hAnsi="宋体" w:cs="宋体"/>
                <w:color w:val="auto"/>
                <w:sz w:val="24"/>
              </w:rPr>
            </w:pPr>
            <w:r>
              <w:rPr>
                <w:rFonts w:hint="eastAsia" w:ascii="宋体" w:hAnsi="宋体"/>
                <w:sz w:val="24"/>
                <w:szCs w:val="24"/>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092DF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0" w:type="dxa"/>
            <w:noWrap w:val="0"/>
            <w:vAlign w:val="center"/>
          </w:tcPr>
          <w:p w14:paraId="178BFE57">
            <w:pPr>
              <w:widowControl/>
              <w:wordWrap w:val="0"/>
              <w:spacing w:after="200" w:line="24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6.3</w:t>
            </w:r>
          </w:p>
        </w:tc>
        <w:tc>
          <w:tcPr>
            <w:tcW w:w="7975" w:type="dxa"/>
            <w:gridSpan w:val="2"/>
            <w:noWrap w:val="0"/>
            <w:vAlign w:val="center"/>
          </w:tcPr>
          <w:p w14:paraId="4EEE1162">
            <w:pPr>
              <w:widowControl/>
              <w:wordWrap w:val="0"/>
              <w:spacing w:line="240" w:lineRule="auto"/>
              <w:rPr>
                <w:rFonts w:ascii="宋体" w:hAnsi="宋体" w:cs="宋体"/>
                <w:bCs/>
                <w:color w:val="auto"/>
                <w:sz w:val="24"/>
              </w:rPr>
            </w:pPr>
            <w:r>
              <w:rPr>
                <w:rFonts w:hint="eastAsia" w:ascii="宋体" w:hAnsi="宋体" w:cs="宋体"/>
                <w:b/>
                <w:color w:val="auto"/>
                <w:kern w:val="0"/>
                <w:sz w:val="24"/>
              </w:rPr>
              <w:t>电子交易注意事项</w:t>
            </w:r>
          </w:p>
        </w:tc>
      </w:tr>
      <w:tr w14:paraId="075B5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5" w:type="dxa"/>
            <w:gridSpan w:val="3"/>
            <w:noWrap w:val="0"/>
            <w:vAlign w:val="center"/>
          </w:tcPr>
          <w:p w14:paraId="6D2D6E14">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本项目为电子化、无纸化交易项目，投标文件是投标人、供应商 （ 以下简称 “ 投标人 ”）通过中心投标文件制作系统制作，并经过电子签章和加密后生成的电子版投标文件。投标人投标时，将不再接受任何纸质文件资料。</w:t>
            </w:r>
          </w:p>
          <w:p w14:paraId="5AA1C34E">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电子化投标文件具体制作文件请点击</w:t>
            </w:r>
          </w:p>
          <w:p w14:paraId="25D9DCA7">
            <w:pPr>
              <w:wordWrap w:val="0"/>
              <w:spacing w:line="240" w:lineRule="auto"/>
              <w:rPr>
                <w:rFonts w:hint="eastAsia" w:ascii="宋体" w:hAnsi="宋体" w:cs="宋体"/>
                <w:color w:val="auto"/>
                <w:sz w:val="24"/>
              </w:rPr>
            </w:pPr>
            <w:r>
              <w:rPr>
                <w:rFonts w:hint="eastAsia" w:ascii="宋体" w:hAnsi="宋体" w:cs="宋体"/>
                <w:color w:val="auto"/>
                <w:sz w:val="24"/>
                <w:lang w:eastAsia="zh-CN"/>
              </w:rPr>
              <w:t>https://download.bqpoint.com/download/downloadlist.html?SoftTypeCode=03</w:t>
            </w:r>
            <w:r>
              <w:rPr>
                <w:rFonts w:hint="eastAsia" w:ascii="宋体" w:hAnsi="宋体" w:cs="宋体"/>
                <w:color w:val="auto"/>
                <w:sz w:val="24"/>
              </w:rPr>
              <w:t>进行下载。</w:t>
            </w:r>
          </w:p>
          <w:p w14:paraId="0CB0DA22">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温馨提示：本项目为电子化、无纸化交易项目，为保证您能投标成功，请需仔细阅读以下条款。</w:t>
            </w:r>
          </w:p>
          <w:p w14:paraId="0E0ECD50">
            <w:pPr>
              <w:wordWrap w:val="0"/>
              <w:spacing w:line="240" w:lineRule="auto"/>
              <w:rPr>
                <w:rFonts w:hint="eastAsia" w:ascii="宋体" w:hAnsi="宋体" w:cs="宋体"/>
                <w:color w:val="auto"/>
                <w:sz w:val="24"/>
              </w:rPr>
            </w:pPr>
            <w:r>
              <w:rPr>
                <w:rFonts w:hint="eastAsia" w:ascii="宋体" w:hAnsi="宋体" w:cs="宋体"/>
                <w:color w:val="auto"/>
                <w:sz w:val="24"/>
              </w:rPr>
              <w:t>一、电子化投标</w:t>
            </w:r>
          </w:p>
          <w:p w14:paraId="1558A81B">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（一）网上投标保证金的缴纳（如有）</w:t>
            </w:r>
          </w:p>
          <w:p w14:paraId="71942699">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1、递交形式</w:t>
            </w:r>
            <w:r>
              <w:rPr>
                <w:rFonts w:hint="eastAsia" w:ascii="宋体" w:hAnsi="宋体" w:cs="宋体"/>
                <w:color w:val="auto"/>
                <w:sz w:val="24"/>
                <w:lang w:eastAsia="zh-CN"/>
              </w:rPr>
              <w:t>：</w:t>
            </w:r>
            <w:r>
              <w:rPr>
                <w:rFonts w:hint="eastAsia" w:ascii="宋体" w:hAnsi="宋体" w:cs="宋体"/>
                <w:color w:val="auto"/>
                <w:sz w:val="24"/>
              </w:rPr>
              <w:t>投标人的投标保证金必须通过投标人基本账户以转账或电汇的形式缴纳（账户必须是已加入三门峡市公共资源交易投标人或供应商主体库中的账户）。</w:t>
            </w:r>
          </w:p>
          <w:p w14:paraId="2D5D8C8D">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2、投标人缴纳投标保证金后，应在规定的缴纳截止时间前通过三门峡市公共资源电子化交易系统将保证金成功绑定至所投标项目和标段。保证金绑定操作手册，请登录三门峡市公共资源交易中心网站在办事指南中网上投标栏目查看。</w:t>
            </w:r>
          </w:p>
          <w:p w14:paraId="731E97F0">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链接地址：</w:t>
            </w:r>
            <w:r>
              <w:rPr>
                <w:rFonts w:hint="eastAsia" w:ascii="宋体" w:hAnsi="宋体" w:cs="宋体"/>
                <w:color w:val="auto"/>
                <w:sz w:val="24"/>
              </w:rPr>
              <w:fldChar w:fldCharType="begin"/>
            </w:r>
            <w:r>
              <w:rPr>
                <w:rFonts w:hint="eastAsia" w:ascii="宋体" w:hAnsi="宋体" w:cs="宋体"/>
                <w:color w:val="auto"/>
                <w:sz w:val="24"/>
              </w:rPr>
              <w:instrText xml:space="preserve"> HYPERLINK "http://www.smxgzjy.org/bwstb/9785.jhtml" </w:instrText>
            </w:r>
            <w:r>
              <w:rPr>
                <w:rFonts w:hint="eastAsia" w:ascii="宋体" w:hAnsi="宋体" w:cs="宋体"/>
                <w:color w:val="auto"/>
                <w:sz w:val="24"/>
              </w:rPr>
              <w:fldChar w:fldCharType="separate"/>
            </w:r>
            <w:r>
              <w:rPr>
                <w:rFonts w:hint="eastAsia" w:ascii="宋体" w:hAnsi="宋体" w:cs="宋体"/>
                <w:color w:val="auto"/>
                <w:sz w:val="24"/>
              </w:rPr>
              <w:t>http://gzjy.smx.gov.cn/</w:t>
            </w:r>
            <w:r>
              <w:rPr>
                <w:rFonts w:hint="eastAsia" w:ascii="宋体" w:hAnsi="宋体" w:cs="宋体"/>
                <w:color w:val="auto"/>
                <w:sz w:val="24"/>
              </w:rPr>
              <w:fldChar w:fldCharType="end"/>
            </w:r>
            <w:r>
              <w:rPr>
                <w:rFonts w:hint="eastAsia" w:ascii="宋体" w:hAnsi="宋体" w:cs="宋体"/>
                <w:color w:val="auto"/>
                <w:sz w:val="24"/>
              </w:rPr>
              <w:t xml:space="preserve">    </w:t>
            </w:r>
          </w:p>
          <w:p w14:paraId="3D76F635">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3、投标人在成功缴纳后，可以将银行回单制作在投标文件中，作为缴纳保证金的依据。</w:t>
            </w:r>
          </w:p>
          <w:p w14:paraId="3E6A7507">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4、投标人应仔细阅读操作手册并充分考虑异地跨行转账到账时间等因素，因投标人操作不当或银行到账时间等问题造成开标时间未到达指定账户影响投标的，由投标人自行承担后果。</w:t>
            </w:r>
          </w:p>
          <w:p w14:paraId="2C4463E6">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5、未中标投标人的投标保证金在项目结束后，将通过中心交易平台退还。</w:t>
            </w:r>
          </w:p>
          <w:p w14:paraId="2AAB268D">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6、中标人持与招标人签订的书面合同至代理机构，代理机构上传合同后，中心审核通过退还其所缴纳的投标保证金。</w:t>
            </w:r>
          </w:p>
          <w:p w14:paraId="27CED315">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（二）电子化投标文件的签章</w:t>
            </w:r>
          </w:p>
          <w:p w14:paraId="388012E2">
            <w:pPr>
              <w:wordWrap w:val="0"/>
              <w:spacing w:line="240" w:lineRule="auto"/>
              <w:ind w:firstLine="480" w:firstLineChars="200"/>
              <w:rPr>
                <w:rFonts w:hint="eastAsia" w:ascii="宋体" w:hAnsi="宋体" w:cs="宋体"/>
                <w:color w:val="auto"/>
                <w:sz w:val="24"/>
              </w:rPr>
            </w:pPr>
            <w:r>
              <w:rPr>
                <w:rFonts w:hint="eastAsia" w:ascii="宋体" w:hAnsi="宋体" w:cs="宋体"/>
                <w:color w:val="auto"/>
                <w:sz w:val="24"/>
              </w:rPr>
              <w:t>1、投标人在生成电子化投标文件后，应对电子化投标文件进行签章，未进行签章的视为无效投标。</w:t>
            </w:r>
          </w:p>
          <w:p w14:paraId="62F57B81">
            <w:pPr>
              <w:wordWrap w:val="0"/>
              <w:spacing w:line="240" w:lineRule="auto"/>
              <w:ind w:firstLine="480" w:firstLineChars="200"/>
              <w:rPr>
                <w:rFonts w:hint="eastAsia" w:ascii="宋体" w:hAnsi="宋体" w:cs="宋体"/>
                <w:color w:val="auto"/>
                <w:sz w:val="24"/>
              </w:rPr>
            </w:pPr>
            <w:r>
              <w:rPr>
                <w:rFonts w:hint="eastAsia" w:ascii="宋体" w:hAnsi="宋体" w:cs="宋体"/>
                <w:color w:val="auto"/>
                <w:sz w:val="24"/>
              </w:rPr>
              <w:t>2、投标人使用“三门峡市公共资源交易中心投标制作工具”在制作电子投标文件时，应按规定进行盖章。投标文件格式中要求盖单位章的地方，投标人均应使用CA数字证书加盖投标人的单位电子签章。招标文件中要求法定代表人或授权委托人签字或盖章的，投标人在进行电子化投标文件签章时，以签盖法定代表人电子签章为准。</w:t>
            </w:r>
          </w:p>
          <w:p w14:paraId="0DD6CA7C">
            <w:pPr>
              <w:wordWrap w:val="0"/>
              <w:spacing w:line="240" w:lineRule="auto"/>
              <w:rPr>
                <w:rFonts w:hint="eastAsia" w:ascii="宋体" w:hAnsi="宋体" w:cs="宋体"/>
                <w:color w:val="auto"/>
                <w:sz w:val="24"/>
              </w:rPr>
            </w:pPr>
            <w:r>
              <w:rPr>
                <w:rFonts w:hint="eastAsia" w:ascii="宋体" w:hAnsi="宋体" w:cs="宋体"/>
                <w:color w:val="auto"/>
                <w:sz w:val="24"/>
              </w:rPr>
              <w:t>（三）电子化投标文件的格式及上传投标</w:t>
            </w:r>
          </w:p>
          <w:p w14:paraId="49BEB49A">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1、投标人所上传的电子化投标文件，应是通过中心投标文件制作系统制作的（投标文件制作工具下载地址：</w:t>
            </w:r>
          </w:p>
          <w:p w14:paraId="385B00E9">
            <w:pPr>
              <w:wordWrap w:val="0"/>
              <w:spacing w:line="240" w:lineRule="auto"/>
              <w:rPr>
                <w:rFonts w:hint="eastAsia" w:ascii="宋体" w:hAnsi="宋体" w:cs="宋体"/>
                <w:color w:val="auto"/>
                <w:sz w:val="24"/>
              </w:rPr>
            </w:pPr>
            <w:r>
              <w:rPr>
                <w:rFonts w:hint="eastAsia" w:ascii="宋体" w:hAnsi="宋体" w:cs="宋体"/>
                <w:color w:val="auto"/>
                <w:sz w:val="24"/>
                <w:lang w:eastAsia="zh-CN"/>
              </w:rPr>
              <w:t>https://download.bqpoint.com/download/downloadlist.html?SoftTypeCode=03</w:t>
            </w:r>
            <w:r>
              <w:rPr>
                <w:rFonts w:hint="eastAsia" w:ascii="宋体" w:hAnsi="宋体" w:cs="宋体"/>
                <w:color w:val="auto"/>
                <w:sz w:val="24"/>
              </w:rPr>
              <w:t>，经过签章和加密后生成的电子版投标文件。</w:t>
            </w:r>
          </w:p>
          <w:p w14:paraId="4C642B3B">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2、电子化投标文件应在投标截止时间前成功上传至三门峡市公共资源电子化交易系统。至投标截止时间止，仍未上传成功的电子化投标文件将不予接收。</w:t>
            </w:r>
          </w:p>
          <w:p w14:paraId="3E8A6A75">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7D60F0D7">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技术联系电话：</w:t>
            </w:r>
            <w:r>
              <w:rPr>
                <w:rFonts w:hint="eastAsia" w:ascii="宋体" w:hAnsi="宋体"/>
                <w:color w:val="auto"/>
                <w:sz w:val="24"/>
              </w:rPr>
              <w:t>400 998 0000、</w:t>
            </w:r>
            <w:r>
              <w:rPr>
                <w:rFonts w:hint="eastAsia" w:ascii="宋体" w:hAnsi="宋体" w:cs="宋体"/>
                <w:color w:val="auto"/>
                <w:sz w:val="24"/>
              </w:rPr>
              <w:t>0398-3117871</w:t>
            </w:r>
          </w:p>
          <w:p w14:paraId="02F0DE79">
            <w:pPr>
              <w:widowControl/>
              <w:wordWrap w:val="0"/>
              <w:spacing w:line="240" w:lineRule="auto"/>
              <w:ind w:firstLine="480" w:firstLineChars="200"/>
              <w:jc w:val="left"/>
              <w:rPr>
                <w:rFonts w:ascii="宋体" w:hAnsi="宋体" w:cs="宋体"/>
                <w:color w:val="auto"/>
                <w:kern w:val="0"/>
                <w:sz w:val="24"/>
              </w:rPr>
            </w:pPr>
            <w:r>
              <w:rPr>
                <w:rFonts w:hint="eastAsia" w:ascii="宋体" w:hAnsi="宋体" w:cs="宋体"/>
                <w:color w:val="auto"/>
                <w:kern w:val="0"/>
                <w:sz w:val="24"/>
              </w:rPr>
              <w:t>主体库咨询电话:0398-3117815</w:t>
            </w:r>
          </w:p>
          <w:p w14:paraId="19F3D203">
            <w:pPr>
              <w:widowControl/>
              <w:wordWrap w:val="0"/>
              <w:spacing w:line="240" w:lineRule="auto"/>
              <w:ind w:firstLine="480" w:firstLineChars="200"/>
              <w:jc w:val="left"/>
              <w:rPr>
                <w:rFonts w:ascii="宋体" w:hAnsi="宋体" w:cs="宋体"/>
                <w:color w:val="auto"/>
                <w:kern w:val="0"/>
                <w:sz w:val="24"/>
              </w:rPr>
            </w:pPr>
            <w:r>
              <w:rPr>
                <w:rFonts w:hint="eastAsia" w:ascii="宋体" w:hAnsi="宋体" w:cs="宋体"/>
                <w:color w:val="auto"/>
                <w:kern w:val="0"/>
                <w:sz w:val="24"/>
              </w:rPr>
              <w:t>CA证书制发:0398-2181635</w:t>
            </w:r>
          </w:p>
          <w:p w14:paraId="4CE3905F">
            <w:pPr>
              <w:widowControl/>
              <w:wordWrap w:val="0"/>
              <w:spacing w:line="240" w:lineRule="auto"/>
              <w:ind w:firstLine="480" w:firstLineChars="200"/>
              <w:jc w:val="left"/>
              <w:rPr>
                <w:rFonts w:hint="eastAsia" w:ascii="宋体" w:hAnsi="宋体" w:cs="宋体"/>
                <w:color w:val="auto"/>
                <w:sz w:val="24"/>
              </w:rPr>
            </w:pPr>
            <w:r>
              <w:rPr>
                <w:rFonts w:hint="eastAsia" w:ascii="宋体" w:hAnsi="宋体" w:cs="宋体"/>
                <w:color w:val="auto"/>
                <w:kern w:val="0"/>
                <w:sz w:val="24"/>
              </w:rPr>
              <w:t>科技信息科:0398-3117095</w:t>
            </w:r>
          </w:p>
          <w:p w14:paraId="69363973">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（四）电子化项目开标、解密、唱标、评标</w:t>
            </w:r>
          </w:p>
          <w:p w14:paraId="26C5B2AC">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1、本项目采用电子化、无纸化进行招标，开标当日，投标人无需到开标现场参加开标会议，投标人应当在投标截止时间前，登陆不见面开标大厅选择登陆三门峡市公共资源电子招投标系统进行登陆（网址为</w:t>
            </w:r>
          </w:p>
          <w:p w14:paraId="6D96E09F">
            <w:pPr>
              <w:wordWrap w:val="0"/>
              <w:spacing w:line="240" w:lineRule="auto"/>
              <w:rPr>
                <w:rFonts w:hint="eastAsia" w:ascii="宋体" w:hAnsi="宋体" w:cs="宋体"/>
                <w:color w:val="auto"/>
                <w:sz w:val="24"/>
              </w:rPr>
            </w:pPr>
            <w:r>
              <w:rPr>
                <w:rFonts w:hint="eastAsia" w:ascii="宋体" w:hAnsi="宋体" w:cs="宋体"/>
                <w:color w:val="auto"/>
                <w:sz w:val="24"/>
              </w:rPr>
              <w:t>http://120.194.249.36:10094/BidOpening/bidopeninghallaction/hall/login ）,在线准时参加开标活动并进行投标文件解密等</w:t>
            </w:r>
          </w:p>
          <w:p w14:paraId="13FF6221">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07DCABD9">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3、电子化投标文件解密异常的处理</w:t>
            </w:r>
          </w:p>
          <w:p w14:paraId="164B4D78">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如出现投标人的电子投标文件无法解密等异常情况，投标人应及时致电中介服务机构说明。投标文件异常，按以下步骤进行处理：</w:t>
            </w:r>
          </w:p>
          <w:p w14:paraId="4FB5F244">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（1）首先由技术人员进行问题排查。</w:t>
            </w:r>
          </w:p>
          <w:p w14:paraId="76B3CDFF">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（2）经技术人员排查后，是投标人文件自身问题导致投标文件无法解密的，该投标文件将不予接收、解密和唱标。开标会议继续进行。</w:t>
            </w:r>
          </w:p>
          <w:p w14:paraId="2DE20514">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C1D0DE3">
            <w:pPr>
              <w:wordWrap w:val="0"/>
              <w:spacing w:line="240" w:lineRule="auto"/>
              <w:ind w:firstLine="480" w:firstLineChars="200"/>
              <w:rPr>
                <w:rFonts w:hint="eastAsia" w:ascii="宋体" w:hAnsi="宋体" w:cs="宋体"/>
                <w:color w:val="auto"/>
                <w:sz w:val="24"/>
              </w:rPr>
            </w:pPr>
            <w:r>
              <w:rPr>
                <w:rFonts w:hint="eastAsia" w:ascii="宋体" w:hAnsi="宋体" w:cs="宋体"/>
                <w:color w:val="auto"/>
                <w:sz w:val="24"/>
              </w:rPr>
              <w:t>4、待所有投标人投标文件解密完成后，由中介服务机构操作，对所有已解密投标文件进行唱标。</w:t>
            </w:r>
          </w:p>
          <w:p w14:paraId="33B24608">
            <w:pPr>
              <w:wordWrap w:val="0"/>
              <w:spacing w:line="240" w:lineRule="auto"/>
              <w:ind w:firstLine="465" w:firstLineChars="194"/>
              <w:rPr>
                <w:rFonts w:hint="eastAsia" w:ascii="宋体" w:hAnsi="宋体" w:cs="宋体"/>
                <w:color w:val="auto"/>
                <w:sz w:val="24"/>
              </w:rPr>
            </w:pPr>
            <w:r>
              <w:rPr>
                <w:rFonts w:hint="eastAsia" w:ascii="宋体" w:hAnsi="宋体" w:cs="宋体"/>
                <w:color w:val="auto"/>
                <w:sz w:val="24"/>
              </w:rPr>
              <w:t>投标人应保证在开标期间电话、电脑、网络能够正常工作，投标人因停电、电脑病毒、网络堵塞等原因，未在规定的解密时间内对投标文件进行解密的，其投标文件不予接收、唱标。</w:t>
            </w:r>
          </w:p>
          <w:p w14:paraId="08394D40">
            <w:pPr>
              <w:wordWrap w:val="0"/>
              <w:spacing w:line="240" w:lineRule="auto"/>
              <w:ind w:firstLine="480" w:firstLineChars="200"/>
              <w:rPr>
                <w:rFonts w:hint="eastAsia" w:ascii="宋体" w:hAnsi="宋体" w:cs="宋体"/>
                <w:color w:val="auto"/>
                <w:sz w:val="24"/>
              </w:rPr>
            </w:pPr>
            <w:r>
              <w:rPr>
                <w:rFonts w:hint="eastAsia" w:ascii="宋体" w:hAnsi="宋体" w:cs="宋体"/>
                <w:color w:val="auto"/>
                <w:sz w:val="24"/>
              </w:rPr>
              <w:t>5、开标时投标人可登录到交易系统中在开标解密栏中点击报价一览表查看自己的投标报价。如对自己的唱标内容有异议的，</w:t>
            </w:r>
            <w:r>
              <w:rPr>
                <w:rFonts w:hint="eastAsia" w:ascii="宋体" w:hAnsi="宋体" w:eastAsia="宋体" w:cs="宋体"/>
                <w:color w:val="auto"/>
                <w:sz w:val="24"/>
                <w:lang w:val="en-US" w:eastAsia="zh-CN"/>
              </w:rPr>
              <w:t>应在投标人解密成功后10分钟内通过开标大厅对话框向中介服务机构提出质疑</w:t>
            </w:r>
            <w:r>
              <w:rPr>
                <w:rFonts w:hint="eastAsia" w:ascii="宋体" w:hAnsi="宋体" w:eastAsia="宋体" w:cs="宋体"/>
                <w:color w:val="auto"/>
                <w:sz w:val="24"/>
              </w:rPr>
              <w:t>。</w:t>
            </w:r>
            <w:r>
              <w:rPr>
                <w:rFonts w:hint="eastAsia" w:ascii="宋体" w:hAnsi="宋体" w:eastAsia="宋体" w:cs="宋体"/>
                <w:color w:val="auto"/>
                <w:sz w:val="24"/>
                <w:lang w:val="en-US" w:eastAsia="zh-CN"/>
              </w:rPr>
              <w:t>中介服务机构应在监督人员的监督下接受投标人的质疑通过开标大厅对话框进行答复并做好书面记录</w:t>
            </w:r>
            <w:r>
              <w:rPr>
                <w:rFonts w:hint="eastAsia" w:ascii="宋体" w:hAnsi="宋体" w:cs="宋体"/>
                <w:color w:val="auto"/>
                <w:sz w:val="24"/>
              </w:rPr>
              <w:t>。投标人未在规定时间内提出质疑的，视为认可唱标内容。</w:t>
            </w:r>
          </w:p>
          <w:p w14:paraId="4B5156F0">
            <w:pPr>
              <w:wordWrap w:val="0"/>
              <w:spacing w:line="240" w:lineRule="auto"/>
              <w:ind w:firstLine="480" w:firstLineChars="200"/>
              <w:rPr>
                <w:rFonts w:hint="eastAsia" w:ascii="宋体" w:hAnsi="宋体" w:cs="宋体"/>
                <w:color w:val="auto"/>
                <w:sz w:val="24"/>
              </w:rPr>
            </w:pPr>
            <w:r>
              <w:rPr>
                <w:rFonts w:hint="eastAsia" w:ascii="宋体" w:hAnsi="宋体" w:cs="宋体"/>
                <w:color w:val="auto"/>
                <w:sz w:val="24"/>
              </w:rPr>
              <w:t>6、评标时，评标委员会对电子化投标文件有质疑的，将通过电子化交易系统对投标人发起质疑。投标人的回复文件必须以经过投标人和其法定代表人签章的PDF格式文件为准，并通过电子化交易系统提交至评标委员会。</w:t>
            </w:r>
          </w:p>
          <w:p w14:paraId="683992B3">
            <w:pPr>
              <w:wordWrap w:val="0"/>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w:t>
            </w:r>
            <w:r>
              <w:rPr>
                <w:rFonts w:hint="eastAsia" w:ascii="宋体" w:hAnsi="宋体" w:eastAsia="宋体" w:cs="宋体"/>
                <w:color w:val="auto"/>
                <w:sz w:val="24"/>
                <w:lang w:val="en-US" w:eastAsia="zh-CN"/>
              </w:rPr>
              <w:t>如</w:t>
            </w:r>
            <w:r>
              <w:rPr>
                <w:rFonts w:hint="eastAsia" w:ascii="宋体" w:hAnsi="宋体" w:eastAsia="宋体" w:cs="宋体"/>
                <w:color w:val="auto"/>
                <w:sz w:val="24"/>
              </w:rPr>
              <w:t>评标委员会对需要回复的</w:t>
            </w:r>
            <w:r>
              <w:rPr>
                <w:rFonts w:hint="eastAsia" w:ascii="宋体" w:hAnsi="宋体" w:eastAsia="宋体" w:cs="宋体"/>
                <w:color w:val="auto"/>
                <w:sz w:val="24"/>
                <w:lang w:val="en-US" w:eastAsia="zh-CN"/>
              </w:rPr>
              <w:t>投标人</w:t>
            </w:r>
            <w:r>
              <w:rPr>
                <w:rFonts w:hint="eastAsia" w:ascii="宋体" w:hAnsi="宋体" w:eastAsia="宋体" w:cs="宋体"/>
                <w:color w:val="auto"/>
                <w:sz w:val="24"/>
              </w:rPr>
              <w:t>在规定时间内</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30分钟内</w:t>
            </w:r>
            <w:r>
              <w:rPr>
                <w:rFonts w:hint="eastAsia" w:ascii="宋体" w:hAnsi="宋体" w:eastAsia="宋体" w:cs="宋体"/>
                <w:color w:val="auto"/>
                <w:sz w:val="24"/>
                <w:lang w:eastAsia="zh-CN"/>
              </w:rPr>
              <w:t>）</w:t>
            </w:r>
            <w:r>
              <w:rPr>
                <w:rFonts w:hint="eastAsia" w:ascii="宋体" w:hAnsi="宋体" w:eastAsia="宋体" w:cs="宋体"/>
                <w:color w:val="auto"/>
                <w:sz w:val="24"/>
              </w:rPr>
              <w:t>通过电子化交易系统未收到回复的，视为投标人放弃回复，评标委员会将自行对需要回复的内容进行认定。</w:t>
            </w:r>
          </w:p>
          <w:p w14:paraId="5579CBCE">
            <w:pPr>
              <w:wordWrap w:val="0"/>
              <w:spacing w:line="240" w:lineRule="auto"/>
              <w:rPr>
                <w:rFonts w:hint="eastAsia" w:ascii="宋体" w:hAnsi="宋体" w:cs="宋体"/>
                <w:color w:val="auto"/>
                <w:sz w:val="24"/>
              </w:rPr>
            </w:pPr>
            <w:r>
              <w:rPr>
                <w:rFonts w:hint="eastAsia" w:ascii="宋体" w:hAnsi="宋体" w:cs="宋体"/>
                <w:color w:val="auto"/>
                <w:sz w:val="24"/>
              </w:rPr>
              <w:t>二、相关证书原件的提交</w:t>
            </w:r>
          </w:p>
          <w:p w14:paraId="39CEAFF4">
            <w:pPr>
              <w:widowControl/>
              <w:wordWrap w:val="0"/>
              <w:spacing w:line="240" w:lineRule="auto"/>
              <w:ind w:firstLine="120" w:firstLineChars="50"/>
              <w:jc w:val="left"/>
              <w:rPr>
                <w:rFonts w:hint="eastAsia" w:ascii="宋体" w:hAnsi="宋体" w:cs="宋体"/>
                <w:color w:val="auto"/>
                <w:sz w:val="24"/>
              </w:rPr>
            </w:pPr>
            <w:r>
              <w:rPr>
                <w:rFonts w:hint="eastAsia" w:ascii="宋体" w:hAnsi="宋体" w:cs="宋体"/>
                <w:color w:val="auto"/>
                <w:kern w:val="0"/>
                <w:sz w:val="24"/>
              </w:rPr>
              <w:t>本项目实行资格后审，投标文件中要求投标人提交资质、业绩、荣誉及单位人员等相关资料原件的，投标人需将原件扫描件制作到电子投标文件中。投标人应及时完善主体库。</w:t>
            </w:r>
          </w:p>
        </w:tc>
      </w:tr>
    </w:tbl>
    <w:p w14:paraId="5C7DAFA9">
      <w:pPr>
        <w:pStyle w:val="7"/>
        <w:tabs>
          <w:tab w:val="left" w:pos="921"/>
        </w:tabs>
        <w:wordWrap w:val="0"/>
        <w:spacing w:before="32" w:line="360" w:lineRule="auto"/>
        <w:ind w:left="0" w:leftChars="0" w:firstLine="0" w:firstLineChars="0"/>
        <w:jc w:val="both"/>
        <w:rPr>
          <w:rFonts w:hint="eastAsia" w:cs="宋体"/>
          <w:b/>
          <w:color w:val="050508"/>
          <w:sz w:val="28"/>
          <w:szCs w:val="28"/>
          <w:lang w:eastAsia="zh-CN"/>
        </w:rPr>
      </w:pPr>
    </w:p>
    <w:p w14:paraId="11C93926">
      <w:pPr>
        <w:pStyle w:val="7"/>
        <w:tabs>
          <w:tab w:val="left" w:pos="921"/>
        </w:tabs>
        <w:wordWrap w:val="0"/>
        <w:spacing w:before="32" w:line="360" w:lineRule="auto"/>
        <w:ind w:left="23"/>
        <w:jc w:val="center"/>
        <w:rPr>
          <w:rFonts w:cs="宋体"/>
          <w:color w:val="000000"/>
          <w:sz w:val="21"/>
          <w:szCs w:val="21"/>
          <w:lang w:eastAsia="zh-CN"/>
        </w:rPr>
      </w:pPr>
      <w:r>
        <w:rPr>
          <w:rFonts w:hint="eastAsia" w:cs="宋体"/>
          <w:b/>
          <w:color w:val="050508"/>
          <w:sz w:val="28"/>
          <w:szCs w:val="28"/>
          <w:lang w:eastAsia="zh-CN"/>
        </w:rPr>
        <w:t>附录1 资格审查条件（资质最低要求）</w:t>
      </w:r>
    </w:p>
    <w:tbl>
      <w:tblPr>
        <w:tblStyle w:val="15"/>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0"/>
      </w:tblGrid>
      <w:tr w14:paraId="2420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0" w:type="dxa"/>
            <w:tcBorders>
              <w:top w:val="single" w:color="auto" w:sz="4" w:space="0"/>
              <w:left w:val="single" w:color="auto" w:sz="4" w:space="0"/>
              <w:bottom w:val="single" w:color="auto" w:sz="4" w:space="0"/>
              <w:right w:val="single" w:color="auto" w:sz="4" w:space="0"/>
              <w:tl2br w:val="nil"/>
              <w:tr2bl w:val="nil"/>
            </w:tcBorders>
            <w:vAlign w:val="center"/>
          </w:tcPr>
          <w:p w14:paraId="7FBB2138">
            <w:pPr>
              <w:pStyle w:val="7"/>
              <w:wordWrap w:val="0"/>
              <w:spacing w:line="360" w:lineRule="auto"/>
              <w:ind w:left="0"/>
              <w:jc w:val="center"/>
              <w:rPr>
                <w:rFonts w:hint="eastAsia" w:ascii="宋体" w:hAnsi="宋体" w:eastAsia="宋体" w:cs="宋体"/>
                <w:sz w:val="21"/>
                <w:szCs w:val="21"/>
                <w:lang w:eastAsia="zh-CN"/>
              </w:rPr>
            </w:pPr>
            <w:r>
              <w:rPr>
                <w:rFonts w:hint="eastAsia" w:ascii="宋体" w:hAnsi="宋体" w:eastAsia="宋体" w:cs="Times New Roman"/>
                <w:b/>
                <w:bCs w:val="0"/>
                <w:color w:val="auto"/>
                <w:sz w:val="24"/>
                <w:lang w:eastAsia="zh-CN"/>
              </w:rPr>
              <w:t>施工企业资质等级要求</w:t>
            </w:r>
          </w:p>
        </w:tc>
      </w:tr>
      <w:tr w14:paraId="2569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9650" w:type="dxa"/>
            <w:tcBorders>
              <w:top w:val="single" w:color="auto" w:sz="4" w:space="0"/>
              <w:left w:val="single" w:color="auto" w:sz="4" w:space="0"/>
              <w:bottom w:val="single" w:color="auto" w:sz="4" w:space="0"/>
              <w:right w:val="single" w:color="auto" w:sz="4" w:space="0"/>
              <w:tl2br w:val="nil"/>
              <w:tr2bl w:val="nil"/>
            </w:tcBorders>
            <w:vAlign w:val="center"/>
          </w:tcPr>
          <w:p w14:paraId="7A6F75DF">
            <w:pPr>
              <w:wordWrap w:val="0"/>
              <w:spacing w:line="440" w:lineRule="exact"/>
              <w:ind w:left="0" w:firstLine="440" w:firstLineChars="200"/>
              <w:jc w:val="both"/>
              <w:rPr>
                <w:rFonts w:hint="eastAsia" w:ascii="宋体" w:hAnsi="宋体" w:eastAsia="宋体" w:cs="宋体"/>
                <w:sz w:val="22"/>
                <w:szCs w:val="22"/>
                <w:lang w:eastAsia="zh-CN"/>
              </w:rPr>
            </w:pPr>
            <w:r>
              <w:rPr>
                <w:rFonts w:hint="eastAsia" w:ascii="宋体" w:hAnsi="宋体" w:eastAsia="宋体" w:cs="宋体"/>
                <w:sz w:val="22"/>
                <w:szCs w:val="22"/>
                <w:lang w:eastAsia="zh-CN"/>
              </w:rPr>
              <w:t>1、投标人须具备独立法人资格，持有合法有效的营业执照；</w:t>
            </w:r>
          </w:p>
          <w:p w14:paraId="62ABB210">
            <w:pPr>
              <w:wordWrap w:val="0"/>
              <w:spacing w:line="440" w:lineRule="exact"/>
              <w:ind w:left="0" w:firstLine="440" w:firstLineChars="200"/>
              <w:jc w:val="both"/>
              <w:rPr>
                <w:rFonts w:hint="eastAsia" w:ascii="宋体" w:hAnsi="宋体" w:eastAsia="宋体" w:cs="宋体"/>
                <w:sz w:val="21"/>
                <w:szCs w:val="21"/>
                <w:lang w:eastAsia="zh-CN"/>
              </w:rPr>
            </w:pPr>
            <w:r>
              <w:rPr>
                <w:rFonts w:hint="eastAsia" w:ascii="宋体" w:hAnsi="宋体" w:eastAsia="宋体" w:cs="宋体"/>
                <w:sz w:val="22"/>
                <w:szCs w:val="22"/>
                <w:lang w:eastAsia="zh-CN"/>
              </w:rPr>
              <w:t>2、投标人应具备路基路面养护乙级及以上资质，且具有有效的安全生产许可证；</w:t>
            </w:r>
          </w:p>
        </w:tc>
      </w:tr>
    </w:tbl>
    <w:p w14:paraId="11576F4A">
      <w:pPr>
        <w:pStyle w:val="7"/>
        <w:tabs>
          <w:tab w:val="left" w:pos="921"/>
        </w:tabs>
        <w:wordWrap w:val="0"/>
        <w:spacing w:before="29" w:line="240" w:lineRule="auto"/>
        <w:ind w:left="0" w:leftChars="0" w:firstLine="0" w:firstLineChars="0"/>
        <w:jc w:val="both"/>
        <w:rPr>
          <w:rFonts w:hint="eastAsia" w:cs="宋体"/>
          <w:b/>
          <w:color w:val="07070A"/>
          <w:sz w:val="28"/>
          <w:szCs w:val="28"/>
          <w:lang w:eastAsia="zh-CN"/>
        </w:rPr>
      </w:pPr>
      <w:bookmarkStart w:id="43" w:name="_Toc26748"/>
      <w:bookmarkStart w:id="44" w:name="_Toc16265"/>
      <w:bookmarkStart w:id="45" w:name="_Toc22431"/>
      <w:bookmarkStart w:id="46" w:name="_Toc10150"/>
    </w:p>
    <w:p w14:paraId="02C3BE2D">
      <w:pPr>
        <w:pStyle w:val="7"/>
        <w:tabs>
          <w:tab w:val="left" w:pos="921"/>
        </w:tabs>
        <w:wordWrap w:val="0"/>
        <w:spacing w:before="29" w:line="240" w:lineRule="auto"/>
        <w:ind w:left="23"/>
        <w:jc w:val="center"/>
        <w:rPr>
          <w:rFonts w:cs="宋体"/>
          <w:sz w:val="28"/>
          <w:szCs w:val="28"/>
          <w:lang w:eastAsia="zh-CN"/>
        </w:rPr>
      </w:pPr>
      <w:r>
        <w:rPr>
          <w:rFonts w:hint="eastAsia" w:cs="宋体"/>
          <w:b/>
          <w:color w:val="07070A"/>
          <w:sz w:val="28"/>
          <w:szCs w:val="28"/>
          <w:lang w:eastAsia="zh-CN"/>
        </w:rPr>
        <w:t>附录</w:t>
      </w:r>
      <w:bookmarkEnd w:id="43"/>
      <w:bookmarkEnd w:id="44"/>
      <w:bookmarkEnd w:id="45"/>
      <w:bookmarkEnd w:id="46"/>
      <w:bookmarkStart w:id="47" w:name="_Toc31838"/>
      <w:bookmarkStart w:id="48" w:name="_Toc9612"/>
      <w:bookmarkStart w:id="49" w:name="_Toc5249"/>
      <w:bookmarkStart w:id="50" w:name="_Toc11059"/>
      <w:r>
        <w:rPr>
          <w:rFonts w:hint="eastAsia" w:cs="宋体"/>
          <w:b/>
          <w:color w:val="07070A"/>
          <w:sz w:val="28"/>
          <w:szCs w:val="28"/>
          <w:lang w:val="en-US" w:eastAsia="zh-CN"/>
        </w:rPr>
        <w:t xml:space="preserve">2 </w:t>
      </w:r>
      <w:r>
        <w:rPr>
          <w:rFonts w:hint="eastAsia" w:cs="宋体"/>
          <w:b/>
          <w:color w:val="050508"/>
          <w:spacing w:val="-3"/>
          <w:sz w:val="28"/>
          <w:szCs w:val="28"/>
          <w:lang w:eastAsia="zh-CN"/>
        </w:rPr>
        <w:t>资格审查条件</w:t>
      </w:r>
      <w:r>
        <w:rPr>
          <w:rFonts w:hint="eastAsia"/>
          <w:b/>
          <w:sz w:val="30"/>
          <w:szCs w:val="30"/>
          <w:highlight w:val="none"/>
        </w:rPr>
        <w:t>（财务最低要求）</w:t>
      </w:r>
      <w:r>
        <w:rPr>
          <w:rFonts w:hint="eastAsia" w:cs="宋体"/>
          <w:b/>
          <w:color w:val="161A1F"/>
          <w:spacing w:val="1"/>
          <w:sz w:val="28"/>
          <w:szCs w:val="28"/>
          <w:lang w:eastAsia="zh-CN"/>
        </w:rPr>
        <w:t>）</w:t>
      </w:r>
      <w:bookmarkEnd w:id="47"/>
      <w:bookmarkEnd w:id="48"/>
      <w:bookmarkEnd w:id="49"/>
      <w:bookmarkEnd w:id="50"/>
    </w:p>
    <w:tbl>
      <w:tblPr>
        <w:tblStyle w:val="15"/>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6"/>
      </w:tblGrid>
      <w:tr w14:paraId="2F4F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vAlign w:val="center"/>
          </w:tcPr>
          <w:p w14:paraId="52773188">
            <w:pPr>
              <w:wordWrap w:val="0"/>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b/>
                <w:bCs/>
                <w:color w:val="auto"/>
                <w:kern w:val="0"/>
                <w:sz w:val="24"/>
                <w:szCs w:val="23"/>
                <w:lang w:val="en-US" w:eastAsia="zh-CN" w:bidi="ar-SA"/>
              </w:rPr>
              <w:t>业绩要求</w:t>
            </w:r>
          </w:p>
        </w:tc>
      </w:tr>
      <w:tr w14:paraId="206C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vAlign w:val="center"/>
          </w:tcPr>
          <w:p w14:paraId="16ECB93E">
            <w:pPr>
              <w:keepNext w:val="0"/>
              <w:keepLines w:val="0"/>
              <w:pageBreakBefore w:val="0"/>
              <w:kinsoku/>
              <w:wordWrap w:val="0"/>
              <w:overflowPunct/>
              <w:topLinePunct w:val="0"/>
              <w:autoSpaceDE/>
              <w:autoSpaceDN/>
              <w:bidi w:val="0"/>
              <w:spacing w:line="440" w:lineRule="exact"/>
              <w:textAlignment w:val="auto"/>
              <w:rPr>
                <w:rFonts w:hint="eastAsia" w:ascii="宋体" w:hAnsi="宋体" w:eastAsia="宋体" w:cs="宋体"/>
                <w:sz w:val="21"/>
                <w:szCs w:val="21"/>
                <w:lang w:val="en-US" w:eastAsia="zh-CN" w:bidi="ar-SA"/>
              </w:rPr>
            </w:pPr>
            <w:r>
              <w:rPr>
                <w:rFonts w:hint="eastAsia" w:ascii="宋体" w:hAnsi="宋体" w:eastAsia="宋体" w:cs="宋体"/>
                <w:color w:val="auto"/>
                <w:kern w:val="0"/>
                <w:sz w:val="24"/>
                <w:szCs w:val="23"/>
                <w:lang w:val="en-US" w:eastAsia="zh-CN" w:bidi="ar-SA"/>
              </w:rPr>
              <w:t>具有良好的财务状况且没有处于被责令停业</w:t>
            </w:r>
            <w:r>
              <w:rPr>
                <w:rFonts w:hint="eastAsia" w:ascii="宋体" w:hAnsi="宋体" w:cs="宋体"/>
                <w:color w:val="auto"/>
                <w:kern w:val="0"/>
                <w:sz w:val="24"/>
                <w:szCs w:val="23"/>
                <w:lang w:val="en-US" w:eastAsia="zh-CN" w:bidi="ar-SA"/>
              </w:rPr>
              <w:t>，</w:t>
            </w:r>
            <w:r>
              <w:rPr>
                <w:rFonts w:hint="eastAsia" w:ascii="宋体" w:hAnsi="宋体" w:eastAsia="宋体" w:cs="宋体"/>
                <w:color w:val="auto"/>
                <w:kern w:val="0"/>
                <w:sz w:val="24"/>
                <w:szCs w:val="23"/>
                <w:lang w:val="en-US" w:eastAsia="zh-CN" w:bidi="ar-SA"/>
              </w:rPr>
              <w:t>提供</w:t>
            </w:r>
            <w:r>
              <w:rPr>
                <w:rFonts w:hint="eastAsia" w:ascii="宋体" w:hAnsi="宋体" w:cs="宋体"/>
                <w:color w:val="auto"/>
                <w:kern w:val="0"/>
                <w:sz w:val="24"/>
                <w:szCs w:val="23"/>
                <w:lang w:val="en-US" w:eastAsia="zh-CN" w:bidi="ar-SA"/>
              </w:rPr>
              <w:t>2025年度财务审计报告或财务报表（利润表、负债表、现金流量表）</w:t>
            </w:r>
            <w:r>
              <w:rPr>
                <w:rFonts w:hint="eastAsia" w:ascii="宋体" w:hAnsi="宋体" w:eastAsia="宋体" w:cs="宋体"/>
                <w:color w:val="auto"/>
                <w:kern w:val="0"/>
                <w:sz w:val="24"/>
                <w:szCs w:val="23"/>
                <w:lang w:val="en-US" w:eastAsia="zh-CN" w:bidi="ar-SA"/>
              </w:rPr>
              <w:t>，成立不满一年的提供最近一月的财务报表；</w:t>
            </w:r>
          </w:p>
        </w:tc>
      </w:tr>
    </w:tbl>
    <w:p w14:paraId="537AD66B">
      <w:pPr>
        <w:pStyle w:val="7"/>
        <w:tabs>
          <w:tab w:val="left" w:pos="921"/>
          <w:tab w:val="left" w:pos="2593"/>
        </w:tabs>
        <w:wordWrap w:val="0"/>
        <w:spacing w:before="32" w:line="240" w:lineRule="auto"/>
        <w:ind w:left="0" w:leftChars="0" w:firstLine="0" w:firstLineChars="0"/>
        <w:jc w:val="left"/>
        <w:rPr>
          <w:rFonts w:hint="eastAsia" w:cs="宋体"/>
          <w:b/>
          <w:color w:val="050508"/>
          <w:sz w:val="28"/>
          <w:szCs w:val="28"/>
          <w:lang w:eastAsia="zh-CN"/>
        </w:rPr>
      </w:pPr>
      <w:bookmarkStart w:id="51" w:name="_Toc25223"/>
      <w:bookmarkStart w:id="52" w:name="_Toc8712"/>
      <w:bookmarkStart w:id="53" w:name="_Toc25405"/>
      <w:bookmarkStart w:id="54" w:name="_Toc1012"/>
    </w:p>
    <w:p w14:paraId="57E0AD35">
      <w:pPr>
        <w:pStyle w:val="7"/>
        <w:tabs>
          <w:tab w:val="left" w:pos="921"/>
        </w:tabs>
        <w:wordWrap w:val="0"/>
        <w:spacing w:before="32" w:line="240" w:lineRule="auto"/>
        <w:ind w:left="23"/>
        <w:jc w:val="center"/>
        <w:rPr>
          <w:rFonts w:cs="宋体"/>
          <w:sz w:val="28"/>
          <w:szCs w:val="28"/>
          <w:lang w:eastAsia="zh-CN"/>
        </w:rPr>
      </w:pPr>
      <w:r>
        <w:rPr>
          <w:rFonts w:hint="eastAsia" w:cs="宋体"/>
          <w:b/>
          <w:color w:val="050508"/>
          <w:sz w:val="28"/>
          <w:szCs w:val="28"/>
          <w:lang w:eastAsia="zh-CN"/>
        </w:rPr>
        <w:t>附录</w:t>
      </w:r>
      <w:r>
        <w:rPr>
          <w:rFonts w:hint="eastAsia" w:cs="宋体"/>
          <w:b/>
          <w:color w:val="050508"/>
          <w:sz w:val="28"/>
          <w:szCs w:val="28"/>
          <w:lang w:val="en-US" w:eastAsia="zh-CN"/>
        </w:rPr>
        <w:t>3</w:t>
      </w:r>
      <w:r>
        <w:rPr>
          <w:rFonts w:hint="eastAsia" w:cs="宋体"/>
          <w:b/>
          <w:color w:val="050508"/>
          <w:spacing w:val="-23"/>
          <w:sz w:val="28"/>
          <w:szCs w:val="28"/>
          <w:lang w:eastAsia="zh-CN"/>
        </w:rPr>
        <w:t>资</w:t>
      </w:r>
      <w:r>
        <w:rPr>
          <w:rFonts w:hint="eastAsia" w:cs="宋体"/>
          <w:b/>
          <w:color w:val="050508"/>
          <w:sz w:val="28"/>
          <w:szCs w:val="28"/>
          <w:lang w:eastAsia="zh-CN"/>
        </w:rPr>
        <w:t>格审查条件（信誉最低要求）</w:t>
      </w:r>
      <w:bookmarkEnd w:id="51"/>
      <w:bookmarkEnd w:id="52"/>
      <w:bookmarkEnd w:id="53"/>
      <w:bookmarkEnd w:id="54"/>
    </w:p>
    <w:tbl>
      <w:tblPr>
        <w:tblStyle w:val="15"/>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0"/>
      </w:tblGrid>
      <w:tr w14:paraId="73AE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0" w:type="dxa"/>
            <w:tcBorders>
              <w:top w:val="single" w:color="auto" w:sz="4" w:space="0"/>
              <w:left w:val="single" w:color="auto" w:sz="4" w:space="0"/>
              <w:bottom w:val="single" w:color="auto" w:sz="4" w:space="0"/>
              <w:right w:val="single" w:color="auto" w:sz="4" w:space="0"/>
              <w:tl2br w:val="nil"/>
              <w:tr2bl w:val="nil"/>
            </w:tcBorders>
            <w:vAlign w:val="center"/>
          </w:tcPr>
          <w:p w14:paraId="5FAD3139">
            <w:pPr>
              <w:wordWrap w:val="0"/>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b/>
                <w:bCs/>
                <w:color w:val="auto"/>
                <w:kern w:val="0"/>
                <w:sz w:val="24"/>
                <w:szCs w:val="23"/>
                <w:lang w:val="en-US" w:eastAsia="zh-CN" w:bidi="ar-SA"/>
              </w:rPr>
              <w:t>信誉要求</w:t>
            </w:r>
          </w:p>
        </w:tc>
      </w:tr>
      <w:tr w14:paraId="6C0D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500" w:type="dxa"/>
            <w:tcBorders>
              <w:top w:val="single" w:color="auto" w:sz="4" w:space="0"/>
              <w:left w:val="single" w:color="auto" w:sz="4" w:space="0"/>
              <w:bottom w:val="single" w:color="auto" w:sz="4" w:space="0"/>
              <w:right w:val="single" w:color="auto" w:sz="4" w:space="0"/>
              <w:tl2br w:val="nil"/>
              <w:tr2bl w:val="nil"/>
            </w:tcBorders>
            <w:vAlign w:val="center"/>
          </w:tcPr>
          <w:p w14:paraId="7D8B1583">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bCs/>
                <w:color w:val="auto"/>
                <w:sz w:val="24"/>
                <w:lang w:val="en-US" w:eastAsia="zh-CN"/>
              </w:rPr>
            </w:pPr>
            <w:r>
              <w:rPr>
                <w:rFonts w:hint="eastAsia" w:ascii="宋体" w:hAnsi="宋体" w:cs="宋体"/>
                <w:color w:val="auto"/>
                <w:kern w:val="0"/>
                <w:sz w:val="24"/>
                <w:szCs w:val="23"/>
                <w:lang w:val="en-US" w:eastAsia="zh-CN" w:bidi="ar-SA"/>
              </w:rPr>
              <w:t>1</w:t>
            </w:r>
            <w:r>
              <w:rPr>
                <w:rFonts w:hint="eastAsia" w:ascii="宋体" w:hAnsi="宋体" w:eastAsia="宋体" w:cs="宋体"/>
                <w:color w:val="auto"/>
                <w:kern w:val="0"/>
                <w:sz w:val="24"/>
                <w:szCs w:val="23"/>
                <w:lang w:val="en-US" w:eastAsia="zh-CN" w:bidi="ar-SA"/>
              </w:rPr>
              <w:t>、</w:t>
            </w:r>
            <w:r>
              <w:rPr>
                <w:rFonts w:hint="eastAsia" w:ascii="宋体" w:hAnsi="宋体"/>
                <w:bCs/>
                <w:color w:val="auto"/>
                <w:sz w:val="24"/>
                <w:lang w:val="en-US" w:eastAsia="zh-CN"/>
              </w:rPr>
              <w:t>参加政府采购活动前3年内无行贿犯罪记录，（开标时提供《中国裁判文书网》查询结果网页截图或企业自行承诺的无行贿犯罪承诺书， 查询&lt;承诺&gt;对象为 “企业，法定代表人，项目经理”）；</w:t>
            </w:r>
          </w:p>
          <w:p w14:paraId="17876185">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bCs/>
                <w:color w:val="auto"/>
                <w:sz w:val="24"/>
              </w:rPr>
            </w:pPr>
            <w:r>
              <w:rPr>
                <w:rFonts w:hint="eastAsia" w:ascii="宋体" w:hAnsi="宋体"/>
                <w:bCs/>
                <w:color w:val="auto"/>
                <w:sz w:val="24"/>
                <w:lang w:val="en-US" w:eastAsia="zh-CN"/>
              </w:rPr>
              <w:t>2</w:t>
            </w:r>
            <w:r>
              <w:rPr>
                <w:rFonts w:hint="eastAsia" w:ascii="宋体" w:hAnsi="宋体"/>
                <w:bCs/>
                <w:color w:val="auto"/>
                <w:sz w:val="24"/>
              </w:rPr>
              <w:t xml:space="preserve">、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 </w:t>
            </w:r>
          </w:p>
          <w:p w14:paraId="46AB03E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bCs/>
                <w:color w:val="auto"/>
                <w:sz w:val="24"/>
                <w:lang w:val="en-US" w:eastAsia="zh-CN"/>
              </w:rPr>
            </w:pPr>
            <w:r>
              <w:rPr>
                <w:rFonts w:hint="eastAsia" w:ascii="宋体" w:hAnsi="宋体"/>
                <w:bCs/>
                <w:color w:val="auto"/>
                <w:sz w:val="24"/>
                <w:lang w:val="en-US" w:eastAsia="zh-CN"/>
              </w:rPr>
              <w:t>3</w:t>
            </w:r>
            <w:r>
              <w:rPr>
                <w:rFonts w:hint="eastAsia" w:ascii="宋体" w:hAnsi="宋体"/>
                <w:bCs/>
                <w:color w:val="auto"/>
                <w:sz w:val="24"/>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w:t>
            </w:r>
            <w:r>
              <w:rPr>
                <w:rFonts w:hint="eastAsia" w:ascii="宋体" w:hAnsi="宋体" w:eastAsia="宋体" w:cs="Times New Roman"/>
                <w:bCs/>
                <w:color w:val="auto"/>
                <w:sz w:val="24"/>
                <w:lang w:val="en-US" w:eastAsia="zh-CN"/>
              </w:rPr>
              <w:t>注：査询时间必须是招标公告发布以后投标文件递交截止时间之前，查询结果清晰可见</w:t>
            </w:r>
          </w:p>
          <w:p w14:paraId="78158E1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bCs/>
                <w:color w:val="auto"/>
                <w:sz w:val="24"/>
              </w:rPr>
            </w:pPr>
            <w:r>
              <w:rPr>
                <w:rFonts w:hint="eastAsia" w:ascii="宋体" w:hAnsi="宋体"/>
                <w:bCs/>
                <w:color w:val="auto"/>
                <w:sz w:val="24"/>
                <w:lang w:val="en-US" w:eastAsia="zh-CN"/>
              </w:rPr>
              <w:t>4</w:t>
            </w:r>
            <w:r>
              <w:rPr>
                <w:rFonts w:hint="eastAsia" w:ascii="宋体" w:hAnsi="宋体"/>
                <w:bCs/>
                <w:color w:val="auto"/>
                <w:sz w:val="24"/>
              </w:rPr>
              <w:t>、本次招标不接受联合体投标；</w:t>
            </w:r>
          </w:p>
          <w:p w14:paraId="2DA0A3E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bCs/>
                <w:color w:val="auto"/>
                <w:sz w:val="24"/>
              </w:rPr>
            </w:pPr>
            <w:r>
              <w:rPr>
                <w:rFonts w:hint="eastAsia" w:ascii="宋体" w:hAnsi="宋体"/>
                <w:bCs/>
                <w:color w:val="auto"/>
                <w:sz w:val="24"/>
                <w:lang w:val="en-US" w:eastAsia="zh-CN"/>
              </w:rPr>
              <w:t>5</w:t>
            </w:r>
            <w:r>
              <w:rPr>
                <w:rFonts w:hint="eastAsia" w:ascii="宋体" w:hAnsi="宋体"/>
                <w:bCs/>
                <w:color w:val="auto"/>
                <w:sz w:val="24"/>
              </w:rPr>
              <w:t>、本次招标实行资格后审。</w:t>
            </w:r>
          </w:p>
          <w:p w14:paraId="057B4769">
            <w:pPr>
              <w:wordWrap w:val="0"/>
              <w:spacing w:line="240" w:lineRule="auto"/>
              <w:jc w:val="left"/>
              <w:rPr>
                <w:rFonts w:hint="eastAsia" w:ascii="宋体" w:hAnsi="宋体" w:eastAsia="宋体" w:cs="宋体"/>
                <w:sz w:val="21"/>
                <w:szCs w:val="21"/>
                <w:lang w:val="en-US" w:eastAsia="zh-CN" w:bidi="ar-SA"/>
              </w:rPr>
            </w:pPr>
          </w:p>
        </w:tc>
      </w:tr>
    </w:tbl>
    <w:p w14:paraId="78946309">
      <w:pPr>
        <w:pStyle w:val="7"/>
        <w:tabs>
          <w:tab w:val="left" w:pos="2369"/>
        </w:tabs>
        <w:wordWrap w:val="0"/>
        <w:spacing w:before="29" w:line="360" w:lineRule="auto"/>
        <w:ind w:left="1467"/>
        <w:rPr>
          <w:rFonts w:cs="宋体"/>
          <w:sz w:val="21"/>
          <w:szCs w:val="21"/>
          <w:lang w:eastAsia="zh-CN"/>
        </w:rPr>
      </w:pPr>
      <w:bookmarkStart w:id="55" w:name="_Toc29248"/>
      <w:bookmarkStart w:id="56" w:name="_Toc2021"/>
      <w:bookmarkStart w:id="57" w:name="_Toc7359"/>
      <w:bookmarkStart w:id="58" w:name="_Toc2083"/>
      <w:r>
        <w:rPr>
          <w:rFonts w:hint="eastAsia" w:cs="宋体"/>
          <w:b/>
          <w:color w:val="010101"/>
          <w:sz w:val="28"/>
          <w:szCs w:val="28"/>
          <w:lang w:eastAsia="zh-CN"/>
        </w:rPr>
        <w:t>附录</w:t>
      </w:r>
      <w:r>
        <w:rPr>
          <w:rFonts w:hint="eastAsia" w:cs="宋体"/>
          <w:b/>
          <w:color w:val="010101"/>
          <w:sz w:val="28"/>
          <w:szCs w:val="28"/>
          <w:lang w:val="en-US" w:eastAsia="zh-CN"/>
        </w:rPr>
        <w:t>4</w:t>
      </w:r>
      <w:r>
        <w:rPr>
          <w:rFonts w:hint="eastAsia" w:cs="宋体"/>
          <w:b/>
          <w:color w:val="010101"/>
          <w:sz w:val="28"/>
          <w:szCs w:val="28"/>
          <w:lang w:eastAsia="zh-CN"/>
        </w:rPr>
        <w:t xml:space="preserve"> </w:t>
      </w:r>
      <w:r>
        <w:rPr>
          <w:rFonts w:hint="eastAsia" w:cs="宋体"/>
          <w:b/>
          <w:color w:val="111116"/>
          <w:sz w:val="28"/>
          <w:szCs w:val="28"/>
          <w:lang w:eastAsia="zh-CN"/>
        </w:rPr>
        <w:t>资格审查条件（项目经理和技术上负责人最低要求</w:t>
      </w:r>
      <w:bookmarkEnd w:id="55"/>
      <w:bookmarkEnd w:id="56"/>
      <w:bookmarkEnd w:id="57"/>
      <w:bookmarkEnd w:id="58"/>
      <w:r>
        <w:rPr>
          <w:rFonts w:hint="eastAsia" w:cs="宋体"/>
          <w:b/>
          <w:color w:val="111116"/>
          <w:sz w:val="28"/>
          <w:szCs w:val="28"/>
          <w:lang w:eastAsia="zh-CN"/>
        </w:rPr>
        <w:t>）</w:t>
      </w:r>
    </w:p>
    <w:tbl>
      <w:tblPr>
        <w:tblStyle w:val="15"/>
        <w:tblW w:w="951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8170"/>
      </w:tblGrid>
      <w:tr w14:paraId="6664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295CA5B8">
            <w:pPr>
              <w:wordWrap w:val="0"/>
              <w:spacing w:line="360" w:lineRule="auto"/>
              <w:jc w:val="center"/>
              <w:rPr>
                <w:rFonts w:hint="eastAsia" w:ascii="宋体" w:hAnsi="宋体" w:eastAsia="宋体" w:cs="宋体"/>
                <w:b/>
                <w:bCs/>
                <w:color w:val="auto"/>
                <w:kern w:val="0"/>
                <w:sz w:val="24"/>
                <w:szCs w:val="23"/>
                <w:lang w:val="en-US" w:eastAsia="zh-CN" w:bidi="ar-SA"/>
              </w:rPr>
            </w:pPr>
            <w:r>
              <w:rPr>
                <w:rFonts w:hint="eastAsia" w:ascii="宋体" w:hAnsi="宋体" w:eastAsia="宋体" w:cs="宋体"/>
                <w:b/>
                <w:bCs/>
                <w:color w:val="auto"/>
                <w:kern w:val="0"/>
                <w:sz w:val="24"/>
                <w:szCs w:val="23"/>
                <w:lang w:val="en-US" w:eastAsia="zh-CN" w:bidi="ar-SA"/>
              </w:rPr>
              <w:t>人员</w:t>
            </w:r>
          </w:p>
        </w:tc>
        <w:tc>
          <w:tcPr>
            <w:tcW w:w="8170" w:type="dxa"/>
            <w:tcBorders>
              <w:top w:val="single" w:color="auto" w:sz="4" w:space="0"/>
              <w:left w:val="single" w:color="auto" w:sz="4" w:space="0"/>
              <w:bottom w:val="single" w:color="auto" w:sz="4" w:space="0"/>
              <w:right w:val="single" w:color="auto" w:sz="4" w:space="0"/>
              <w:tl2br w:val="nil"/>
              <w:tr2bl w:val="nil"/>
            </w:tcBorders>
            <w:vAlign w:val="center"/>
          </w:tcPr>
          <w:p w14:paraId="6F9D379D">
            <w:pPr>
              <w:wordWrap w:val="0"/>
              <w:spacing w:line="360" w:lineRule="auto"/>
              <w:jc w:val="center"/>
              <w:rPr>
                <w:rFonts w:hint="eastAsia" w:ascii="宋体" w:hAnsi="宋体" w:eastAsia="宋体" w:cs="宋体"/>
                <w:b/>
                <w:bCs/>
                <w:color w:val="auto"/>
                <w:kern w:val="0"/>
                <w:sz w:val="24"/>
                <w:szCs w:val="23"/>
                <w:lang w:val="en-US" w:eastAsia="zh-CN" w:bidi="ar-SA"/>
              </w:rPr>
            </w:pPr>
            <w:r>
              <w:rPr>
                <w:rFonts w:hint="eastAsia" w:ascii="宋体" w:hAnsi="宋体" w:eastAsia="宋体" w:cs="宋体"/>
                <w:b/>
                <w:bCs/>
                <w:color w:val="auto"/>
                <w:kern w:val="0"/>
                <w:sz w:val="24"/>
                <w:szCs w:val="23"/>
                <w:lang w:val="en-US" w:eastAsia="zh-CN" w:bidi="ar-SA"/>
              </w:rPr>
              <w:t>资格要求</w:t>
            </w:r>
          </w:p>
        </w:tc>
      </w:tr>
      <w:tr w14:paraId="4462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451BA000">
            <w:pPr>
              <w:wordWrap w:val="0"/>
              <w:spacing w:line="360" w:lineRule="auto"/>
              <w:jc w:val="left"/>
              <w:rPr>
                <w:rFonts w:hint="eastAsia" w:ascii="宋体" w:hAnsi="宋体" w:eastAsia="宋体" w:cs="宋体"/>
                <w:color w:val="auto"/>
                <w:kern w:val="0"/>
                <w:sz w:val="24"/>
                <w:szCs w:val="23"/>
                <w:lang w:val="en-US" w:eastAsia="zh-CN" w:bidi="ar-SA"/>
              </w:rPr>
            </w:pPr>
            <w:r>
              <w:rPr>
                <w:rFonts w:hint="eastAsia" w:ascii="宋体" w:hAnsi="宋体" w:eastAsia="宋体" w:cs="宋体"/>
                <w:color w:val="auto"/>
                <w:kern w:val="0"/>
                <w:sz w:val="24"/>
                <w:szCs w:val="23"/>
                <w:lang w:val="en-US" w:eastAsia="zh-CN" w:bidi="ar-SA"/>
              </w:rPr>
              <w:t>项目经理</w:t>
            </w:r>
          </w:p>
        </w:tc>
        <w:tc>
          <w:tcPr>
            <w:tcW w:w="8170" w:type="dxa"/>
            <w:tcBorders>
              <w:top w:val="single" w:color="auto" w:sz="4" w:space="0"/>
              <w:left w:val="single" w:color="auto" w:sz="4" w:space="0"/>
              <w:bottom w:val="single" w:color="auto" w:sz="4" w:space="0"/>
              <w:right w:val="single" w:color="auto" w:sz="4" w:space="0"/>
              <w:tl2br w:val="nil"/>
              <w:tr2bl w:val="nil"/>
            </w:tcBorders>
            <w:vAlign w:val="center"/>
          </w:tcPr>
          <w:p w14:paraId="69205903">
            <w:pPr>
              <w:wordWrap w:val="0"/>
              <w:spacing w:line="360" w:lineRule="auto"/>
              <w:jc w:val="left"/>
              <w:rPr>
                <w:rFonts w:hint="eastAsia" w:ascii="宋体" w:hAnsi="宋体" w:eastAsia="宋体" w:cs="宋体"/>
                <w:color w:val="auto"/>
                <w:kern w:val="0"/>
                <w:sz w:val="24"/>
                <w:szCs w:val="23"/>
                <w:lang w:val="en-US" w:eastAsia="zh-CN" w:bidi="ar-SA"/>
              </w:rPr>
            </w:pPr>
            <w:r>
              <w:rPr>
                <w:rFonts w:hint="eastAsia" w:ascii="宋体" w:hAnsi="宋体" w:eastAsia="宋体" w:cs="宋体"/>
                <w:color w:val="auto"/>
                <w:kern w:val="0"/>
                <w:sz w:val="24"/>
                <w:szCs w:val="23"/>
                <w:lang w:val="en-US" w:eastAsia="zh-CN" w:bidi="ar-SA"/>
              </w:rPr>
              <w:t>拟派项目经理须具备公路工程专业贰级及以上注册建造师资格、且具有有效的安全生产考核合格证并出具项目经理无在建工程承诺书（提供2026年任意一个月养老保险证明）；</w:t>
            </w:r>
          </w:p>
        </w:tc>
      </w:tr>
      <w:tr w14:paraId="4A4D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62F3F7E6">
            <w:pPr>
              <w:wordWrap w:val="0"/>
              <w:spacing w:line="360" w:lineRule="auto"/>
              <w:jc w:val="center"/>
              <w:rPr>
                <w:rFonts w:hint="eastAsia" w:ascii="宋体" w:hAnsi="宋体" w:eastAsia="宋体" w:cs="宋体"/>
                <w:color w:val="auto"/>
                <w:kern w:val="0"/>
                <w:sz w:val="24"/>
                <w:szCs w:val="23"/>
                <w:lang w:val="en-US" w:eastAsia="zh-CN" w:bidi="ar-SA"/>
              </w:rPr>
            </w:pPr>
            <w:r>
              <w:rPr>
                <w:rFonts w:hint="eastAsia" w:ascii="宋体" w:hAnsi="宋体" w:eastAsia="宋体" w:cs="宋体"/>
                <w:color w:val="auto"/>
                <w:kern w:val="0"/>
                <w:sz w:val="24"/>
                <w:szCs w:val="23"/>
                <w:lang w:val="en-US" w:eastAsia="zh-CN" w:bidi="ar-SA"/>
              </w:rPr>
              <w:t>技术负责人</w:t>
            </w:r>
          </w:p>
        </w:tc>
        <w:tc>
          <w:tcPr>
            <w:tcW w:w="8170" w:type="dxa"/>
            <w:tcBorders>
              <w:top w:val="single" w:color="auto" w:sz="4" w:space="0"/>
              <w:left w:val="single" w:color="auto" w:sz="4" w:space="0"/>
              <w:bottom w:val="single" w:color="auto" w:sz="4" w:space="0"/>
              <w:right w:val="single" w:color="auto" w:sz="4" w:space="0"/>
              <w:tl2br w:val="nil"/>
              <w:tr2bl w:val="nil"/>
            </w:tcBorders>
            <w:vAlign w:val="center"/>
          </w:tcPr>
          <w:p w14:paraId="01EF2960">
            <w:pPr>
              <w:wordWrap w:val="0"/>
              <w:spacing w:line="360" w:lineRule="auto"/>
              <w:jc w:val="left"/>
              <w:rPr>
                <w:rFonts w:hint="eastAsia" w:ascii="宋体" w:hAnsi="宋体" w:eastAsia="宋体" w:cs="宋体"/>
                <w:color w:val="auto"/>
                <w:kern w:val="0"/>
                <w:sz w:val="24"/>
                <w:szCs w:val="23"/>
                <w:lang w:val="en-US" w:eastAsia="zh-CN" w:bidi="ar-SA"/>
              </w:rPr>
            </w:pPr>
            <w:r>
              <w:rPr>
                <w:rFonts w:hint="eastAsia" w:ascii="宋体" w:hAnsi="宋体" w:eastAsia="宋体" w:cs="宋体"/>
                <w:color w:val="auto"/>
                <w:kern w:val="0"/>
                <w:sz w:val="24"/>
                <w:szCs w:val="23"/>
                <w:lang w:val="en-US" w:eastAsia="zh-CN" w:bidi="ar-SA"/>
              </w:rPr>
              <w:t>拟派技术负责人须具备相关专业中级及以上技术职称，为本单位员工且已缴纳社会养老保险（须提供提供2026年任意一个月养老保险证明）；</w:t>
            </w:r>
          </w:p>
        </w:tc>
      </w:tr>
    </w:tbl>
    <w:p w14:paraId="18D6A0FC">
      <w:pPr>
        <w:wordWrap w:val="0"/>
        <w:rPr>
          <w:color w:val="auto"/>
        </w:rPr>
      </w:pPr>
    </w:p>
    <w:bookmarkEnd w:id="22"/>
    <w:bookmarkEnd w:id="23"/>
    <w:bookmarkEnd w:id="24"/>
    <w:bookmarkEnd w:id="25"/>
    <w:bookmarkEnd w:id="26"/>
    <w:p w14:paraId="28B629B3">
      <w:pPr>
        <w:pStyle w:val="3"/>
        <w:wordWrap w:val="0"/>
        <w:spacing w:before="0" w:after="0" w:line="360" w:lineRule="auto"/>
        <w:rPr>
          <w:rFonts w:ascii="宋体" w:hAnsi="宋体"/>
        </w:rPr>
      </w:pPr>
      <w:bookmarkStart w:id="59" w:name="_Toc29507"/>
      <w:bookmarkStart w:id="60" w:name="_Toc14149"/>
      <w:bookmarkStart w:id="61" w:name="_Toc26414"/>
      <w:bookmarkStart w:id="62" w:name="_Toc32506"/>
      <w:bookmarkStart w:id="63" w:name="_Toc83750137"/>
      <w:bookmarkStart w:id="64" w:name="_Toc180485651"/>
      <w:r>
        <w:rPr>
          <w:rFonts w:hint="eastAsia" w:ascii="宋体" w:hAnsi="宋体"/>
        </w:rPr>
        <w:t>1. 总则</w:t>
      </w:r>
      <w:bookmarkEnd w:id="59"/>
      <w:bookmarkEnd w:id="60"/>
      <w:bookmarkEnd w:id="61"/>
      <w:bookmarkEnd w:id="62"/>
    </w:p>
    <w:p w14:paraId="22B03282">
      <w:pPr>
        <w:pStyle w:val="4"/>
        <w:wordWrap w:val="0"/>
        <w:spacing w:before="0" w:after="0" w:line="360" w:lineRule="auto"/>
        <w:rPr>
          <w:rFonts w:ascii="宋体" w:hAnsi="宋体"/>
        </w:rPr>
      </w:pPr>
      <w:bookmarkStart w:id="65" w:name="_Toc152042306"/>
      <w:bookmarkStart w:id="66" w:name="_Toc246996919"/>
      <w:bookmarkStart w:id="67" w:name="_Toc152045530"/>
      <w:bookmarkStart w:id="68" w:name="_Toc247085690"/>
      <w:bookmarkStart w:id="69" w:name="_Toc296602421"/>
      <w:bookmarkStart w:id="70" w:name="_Toc246996176"/>
      <w:bookmarkStart w:id="71" w:name="_Toc179632547"/>
      <w:bookmarkStart w:id="72" w:name="_Toc144974498"/>
      <w:r>
        <w:rPr>
          <w:rFonts w:hint="eastAsia" w:ascii="宋体" w:hAnsi="宋体"/>
        </w:rPr>
        <w:t>1.1 项目概况</w:t>
      </w:r>
      <w:bookmarkEnd w:id="65"/>
      <w:bookmarkEnd w:id="66"/>
      <w:bookmarkEnd w:id="67"/>
      <w:bookmarkEnd w:id="68"/>
      <w:bookmarkEnd w:id="69"/>
      <w:bookmarkEnd w:id="70"/>
      <w:bookmarkEnd w:id="71"/>
      <w:bookmarkEnd w:id="72"/>
    </w:p>
    <w:p w14:paraId="5EAB1F9D">
      <w:pPr>
        <w:wordWrap w:val="0"/>
        <w:spacing w:line="360" w:lineRule="auto"/>
        <w:ind w:firstLine="480" w:firstLineChars="200"/>
        <w:rPr>
          <w:rFonts w:hint="eastAsia" w:ascii="宋体" w:hAnsi="宋体"/>
          <w:sz w:val="24"/>
          <w:szCs w:val="28"/>
        </w:rPr>
      </w:pPr>
      <w:r>
        <w:rPr>
          <w:rFonts w:hint="eastAsia" w:ascii="宋体" w:hAnsi="宋体"/>
          <w:sz w:val="24"/>
          <w:szCs w:val="28"/>
        </w:rPr>
        <w:t>1.1.1根据《中华人民共和国招标投标法》、《中华人民共和国招标投标法实施条例》《公路工程建设项目招标投标管理办法》等有关法律、法规和规章的规定，本招标项目已具备招标条件，现对本项目进行公开招标。</w:t>
      </w:r>
    </w:p>
    <w:p w14:paraId="1E4F3573">
      <w:pPr>
        <w:wordWrap w:val="0"/>
        <w:spacing w:line="360" w:lineRule="auto"/>
        <w:ind w:firstLine="480" w:firstLineChars="200"/>
        <w:rPr>
          <w:rFonts w:hint="eastAsia" w:ascii="宋体" w:hAnsi="宋体"/>
          <w:sz w:val="24"/>
          <w:szCs w:val="28"/>
        </w:rPr>
      </w:pPr>
      <w:r>
        <w:rPr>
          <w:rFonts w:hint="eastAsia" w:ascii="宋体" w:hAnsi="宋体"/>
          <w:sz w:val="24"/>
          <w:szCs w:val="28"/>
        </w:rPr>
        <w:t>1.1.2 本招标项目招标人：见投标人须知前附表</w:t>
      </w:r>
    </w:p>
    <w:p w14:paraId="5347338D">
      <w:pPr>
        <w:wordWrap w:val="0"/>
        <w:spacing w:line="360" w:lineRule="auto"/>
        <w:ind w:firstLine="480" w:firstLineChars="200"/>
        <w:rPr>
          <w:rFonts w:hint="eastAsia" w:ascii="宋体" w:hAnsi="宋体"/>
          <w:sz w:val="24"/>
          <w:szCs w:val="28"/>
        </w:rPr>
      </w:pPr>
      <w:r>
        <w:rPr>
          <w:rFonts w:hint="eastAsia" w:ascii="宋体" w:hAnsi="宋体"/>
          <w:sz w:val="24"/>
          <w:szCs w:val="28"/>
        </w:rPr>
        <w:t>1.1.3 本招标项目招标代理机构：见投标人须知前附表</w:t>
      </w:r>
    </w:p>
    <w:p w14:paraId="12DC3536">
      <w:pPr>
        <w:wordWrap w:val="0"/>
        <w:spacing w:line="360" w:lineRule="auto"/>
        <w:ind w:firstLine="480" w:firstLineChars="200"/>
        <w:rPr>
          <w:rFonts w:hint="eastAsia" w:ascii="宋体" w:hAnsi="宋体"/>
          <w:sz w:val="24"/>
          <w:szCs w:val="28"/>
        </w:rPr>
      </w:pPr>
      <w:r>
        <w:rPr>
          <w:rFonts w:hint="eastAsia" w:ascii="宋体" w:hAnsi="宋体"/>
          <w:sz w:val="24"/>
          <w:szCs w:val="28"/>
        </w:rPr>
        <w:t>1.1.4 本招标项目名称：见投标人须知前附表</w:t>
      </w:r>
    </w:p>
    <w:p w14:paraId="177DC0D0">
      <w:pPr>
        <w:wordWrap w:val="0"/>
        <w:spacing w:line="360" w:lineRule="auto"/>
        <w:ind w:firstLine="480" w:firstLineChars="200"/>
        <w:rPr>
          <w:rFonts w:hint="eastAsia" w:ascii="宋体" w:hAnsi="宋体"/>
          <w:sz w:val="24"/>
          <w:szCs w:val="28"/>
        </w:rPr>
      </w:pPr>
      <w:r>
        <w:rPr>
          <w:rFonts w:hint="eastAsia" w:ascii="宋体" w:hAnsi="宋体"/>
          <w:sz w:val="24"/>
          <w:szCs w:val="28"/>
        </w:rPr>
        <w:t>1.1.5 本招标项目概况：</w:t>
      </w:r>
      <w:bookmarkStart w:id="73" w:name="_Toc152045531"/>
      <w:bookmarkStart w:id="74" w:name="_Toc179632548"/>
      <w:bookmarkStart w:id="75" w:name="_Toc246996177"/>
      <w:bookmarkStart w:id="76" w:name="_Toc247085691"/>
      <w:bookmarkStart w:id="77" w:name="_Toc246996920"/>
      <w:bookmarkStart w:id="78" w:name="_Toc296602422"/>
      <w:bookmarkStart w:id="79" w:name="_Toc152042307"/>
      <w:bookmarkStart w:id="80" w:name="_Toc144974499"/>
      <w:r>
        <w:rPr>
          <w:rFonts w:hint="eastAsia" w:ascii="宋体" w:hAnsi="宋体"/>
          <w:sz w:val="24"/>
          <w:szCs w:val="28"/>
        </w:rPr>
        <w:t>见投标人须知前附表</w:t>
      </w:r>
    </w:p>
    <w:p w14:paraId="49B29E29">
      <w:pPr>
        <w:pStyle w:val="13"/>
        <w:wordWrap w:val="0"/>
        <w:spacing w:line="480" w:lineRule="exact"/>
        <w:rPr>
          <w:rFonts w:ascii="宋体" w:hAnsi="宋体" w:eastAsia="宋体" w:cs="宋体"/>
          <w:snapToGrid w:val="0"/>
          <w:color w:val="auto"/>
          <w:kern w:val="2"/>
          <w:sz w:val="24"/>
          <w:szCs w:val="22"/>
        </w:rPr>
      </w:pPr>
      <w:r>
        <w:rPr>
          <w:rFonts w:hint="eastAsia" w:ascii="宋体" w:hAnsi="宋体" w:eastAsia="宋体"/>
          <w:b/>
          <w:bCs/>
          <w:color w:val="auto"/>
          <w:sz w:val="32"/>
          <w:szCs w:val="32"/>
        </w:rPr>
        <w:t>1.2 资金来源和</w:t>
      </w:r>
      <w:r>
        <w:rPr>
          <w:rFonts w:hint="eastAsia" w:ascii="宋体" w:hAnsi="宋体" w:eastAsia="宋体"/>
          <w:b/>
          <w:bCs/>
          <w:color w:val="auto"/>
          <w:sz w:val="32"/>
          <w:szCs w:val="32"/>
          <w:lang w:val="en-US" w:eastAsia="zh-CN"/>
        </w:rPr>
        <w:t>落实</w:t>
      </w:r>
      <w:r>
        <w:rPr>
          <w:rFonts w:hint="eastAsia" w:ascii="宋体" w:hAnsi="宋体" w:eastAsia="宋体"/>
          <w:b/>
          <w:bCs/>
          <w:color w:val="auto"/>
          <w:sz w:val="32"/>
          <w:szCs w:val="32"/>
        </w:rPr>
        <w:t>情况</w:t>
      </w:r>
      <w:bookmarkEnd w:id="73"/>
      <w:bookmarkEnd w:id="74"/>
      <w:bookmarkEnd w:id="75"/>
      <w:bookmarkEnd w:id="76"/>
      <w:bookmarkEnd w:id="77"/>
      <w:bookmarkEnd w:id="78"/>
      <w:bookmarkEnd w:id="79"/>
      <w:bookmarkEnd w:id="80"/>
    </w:p>
    <w:p w14:paraId="5C86534A">
      <w:pPr>
        <w:wordWrap w:val="0"/>
        <w:spacing w:line="360" w:lineRule="auto"/>
        <w:ind w:firstLine="480" w:firstLineChars="200"/>
        <w:rPr>
          <w:rFonts w:ascii="宋体" w:hAnsi="宋体"/>
          <w:sz w:val="24"/>
          <w:szCs w:val="28"/>
        </w:rPr>
      </w:pPr>
      <w:r>
        <w:rPr>
          <w:rFonts w:hint="eastAsia" w:ascii="宋体" w:hAnsi="宋体"/>
          <w:sz w:val="24"/>
          <w:szCs w:val="28"/>
        </w:rPr>
        <w:t>1.2.1 本招标项目的资金来源：见投标人须知前附表</w:t>
      </w:r>
    </w:p>
    <w:p w14:paraId="61CF9926">
      <w:pPr>
        <w:wordWrap w:val="0"/>
        <w:spacing w:line="360" w:lineRule="auto"/>
        <w:ind w:firstLine="480" w:firstLineChars="200"/>
        <w:rPr>
          <w:rFonts w:ascii="宋体" w:hAnsi="宋体"/>
          <w:sz w:val="24"/>
          <w:szCs w:val="28"/>
        </w:rPr>
      </w:pPr>
      <w:r>
        <w:rPr>
          <w:rFonts w:hint="eastAsia" w:ascii="宋体" w:hAnsi="宋体"/>
          <w:sz w:val="24"/>
          <w:szCs w:val="28"/>
        </w:rPr>
        <w:t>1.2.2 本招标项目的</w:t>
      </w:r>
      <w:r>
        <w:rPr>
          <w:rFonts w:hint="eastAsia" w:ascii="宋体" w:hAnsi="宋体"/>
          <w:sz w:val="24"/>
          <w:szCs w:val="28"/>
          <w:lang w:val="en-US" w:eastAsia="zh-CN"/>
        </w:rPr>
        <w:t>落实</w:t>
      </w:r>
      <w:r>
        <w:rPr>
          <w:rFonts w:hint="eastAsia" w:ascii="宋体" w:hAnsi="宋体"/>
          <w:sz w:val="24"/>
          <w:szCs w:val="28"/>
        </w:rPr>
        <w:t>情况：见投标人须知前附表</w:t>
      </w:r>
    </w:p>
    <w:p w14:paraId="777C7A4B">
      <w:pPr>
        <w:wordWrap w:val="0"/>
        <w:spacing w:line="360" w:lineRule="auto"/>
        <w:ind w:firstLine="321" w:firstLineChars="100"/>
        <w:jc w:val="left"/>
        <w:rPr>
          <w:rFonts w:ascii="宋体" w:hAnsi="宋体"/>
          <w:b/>
          <w:bCs/>
          <w:kern w:val="0"/>
          <w:sz w:val="32"/>
          <w:szCs w:val="32"/>
        </w:rPr>
      </w:pPr>
      <w:bookmarkStart w:id="81" w:name="_Toc152042308"/>
      <w:bookmarkStart w:id="82" w:name="_Toc144974500"/>
      <w:bookmarkStart w:id="83" w:name="_Toc246996921"/>
      <w:bookmarkStart w:id="84" w:name="_Toc246996178"/>
      <w:bookmarkStart w:id="85" w:name="_Toc247085692"/>
      <w:bookmarkStart w:id="86" w:name="_Toc179632549"/>
      <w:bookmarkStart w:id="87" w:name="_Toc152045532"/>
      <w:bookmarkStart w:id="88" w:name="_Toc296602423"/>
      <w:r>
        <w:rPr>
          <w:rFonts w:hint="eastAsia" w:ascii="宋体" w:hAnsi="宋体"/>
          <w:b/>
          <w:bCs/>
          <w:kern w:val="0"/>
          <w:sz w:val="32"/>
          <w:szCs w:val="32"/>
        </w:rPr>
        <w:t>1.3 招标范围、计划工期、质量要求</w:t>
      </w:r>
      <w:bookmarkEnd w:id="81"/>
      <w:bookmarkEnd w:id="82"/>
      <w:bookmarkEnd w:id="83"/>
      <w:bookmarkEnd w:id="84"/>
      <w:bookmarkEnd w:id="85"/>
      <w:bookmarkEnd w:id="86"/>
      <w:bookmarkEnd w:id="87"/>
      <w:bookmarkEnd w:id="88"/>
    </w:p>
    <w:p w14:paraId="3B128374">
      <w:pPr>
        <w:wordWrap w:val="0"/>
        <w:spacing w:line="360" w:lineRule="auto"/>
        <w:ind w:firstLine="480" w:firstLineChars="200"/>
        <w:rPr>
          <w:rFonts w:hint="eastAsia" w:ascii="宋体" w:hAnsi="宋体"/>
          <w:sz w:val="24"/>
          <w:szCs w:val="28"/>
        </w:rPr>
      </w:pPr>
      <w:r>
        <w:rPr>
          <w:rFonts w:hint="eastAsia" w:ascii="宋体" w:hAnsi="宋体"/>
          <w:sz w:val="24"/>
          <w:szCs w:val="28"/>
        </w:rPr>
        <w:t>1.3.1 招标范围：见投标人须知前附表</w:t>
      </w:r>
    </w:p>
    <w:p w14:paraId="46FB0EAF">
      <w:pPr>
        <w:wordWrap w:val="0"/>
        <w:spacing w:line="360" w:lineRule="auto"/>
        <w:ind w:firstLine="480" w:firstLineChars="200"/>
        <w:rPr>
          <w:rFonts w:hint="eastAsia" w:ascii="宋体" w:hAnsi="宋体"/>
          <w:sz w:val="24"/>
          <w:szCs w:val="28"/>
        </w:rPr>
      </w:pPr>
      <w:r>
        <w:rPr>
          <w:rFonts w:hint="eastAsia" w:ascii="宋体" w:hAnsi="宋体"/>
          <w:sz w:val="24"/>
          <w:szCs w:val="28"/>
        </w:rPr>
        <w:t>1.3.2 计划工期：见投标人须知前附表</w:t>
      </w:r>
    </w:p>
    <w:p w14:paraId="1DF92C55">
      <w:pPr>
        <w:wordWrap w:val="0"/>
        <w:spacing w:line="360" w:lineRule="auto"/>
        <w:ind w:firstLine="480" w:firstLineChars="200"/>
        <w:rPr>
          <w:rFonts w:hint="eastAsia" w:ascii="宋体" w:hAnsi="宋体"/>
          <w:sz w:val="24"/>
          <w:szCs w:val="28"/>
        </w:rPr>
      </w:pPr>
      <w:r>
        <w:rPr>
          <w:rFonts w:hint="eastAsia" w:ascii="宋体" w:hAnsi="宋体"/>
          <w:sz w:val="24"/>
          <w:szCs w:val="28"/>
        </w:rPr>
        <w:t>1.3.3 质量要求：见投标人须知前附表</w:t>
      </w:r>
    </w:p>
    <w:p w14:paraId="0184E7EA">
      <w:pPr>
        <w:pStyle w:val="4"/>
        <w:wordWrap w:val="0"/>
        <w:spacing w:before="0" w:after="0" w:line="360" w:lineRule="auto"/>
        <w:ind w:firstLine="321" w:firstLineChars="100"/>
        <w:rPr>
          <w:rFonts w:ascii="宋体" w:hAnsi="宋体"/>
        </w:rPr>
      </w:pPr>
      <w:bookmarkStart w:id="89" w:name="_Toc247085693"/>
      <w:bookmarkStart w:id="90" w:name="_Toc152045534"/>
      <w:bookmarkStart w:id="91" w:name="_Toc144974502"/>
      <w:bookmarkStart w:id="92" w:name="_Toc246996179"/>
      <w:bookmarkStart w:id="93" w:name="_Toc179632551"/>
      <w:bookmarkStart w:id="94" w:name="_Toc246996922"/>
      <w:bookmarkStart w:id="95" w:name="_Toc296602424"/>
      <w:bookmarkStart w:id="96" w:name="_Toc152042310"/>
      <w:r>
        <w:rPr>
          <w:rFonts w:hint="eastAsia" w:ascii="宋体" w:hAnsi="宋体"/>
        </w:rPr>
        <w:t>1.4 投标人资格要求</w:t>
      </w:r>
      <w:bookmarkEnd w:id="89"/>
      <w:bookmarkEnd w:id="90"/>
      <w:bookmarkEnd w:id="91"/>
      <w:bookmarkEnd w:id="92"/>
      <w:bookmarkEnd w:id="93"/>
      <w:bookmarkEnd w:id="94"/>
      <w:bookmarkEnd w:id="95"/>
      <w:bookmarkEnd w:id="96"/>
    </w:p>
    <w:p w14:paraId="704EF1AB">
      <w:pPr>
        <w:wordWrap w:val="0"/>
        <w:spacing w:line="360" w:lineRule="auto"/>
        <w:ind w:firstLine="410" w:firstLineChars="171"/>
        <w:rPr>
          <w:rFonts w:ascii="宋体" w:hAnsi="宋体"/>
          <w:sz w:val="24"/>
          <w:szCs w:val="28"/>
        </w:rPr>
      </w:pPr>
      <w:r>
        <w:rPr>
          <w:rFonts w:hint="eastAsia" w:ascii="宋体" w:hAnsi="宋体"/>
          <w:sz w:val="24"/>
          <w:szCs w:val="28"/>
        </w:rPr>
        <w:t>1.4.1 投标人应具备承担本项目施工的资质条件、项目经理和</w:t>
      </w:r>
      <w:r>
        <w:rPr>
          <w:rFonts w:hint="eastAsia" w:ascii="宋体" w:hAnsi="宋体"/>
          <w:sz w:val="24"/>
          <w:szCs w:val="28"/>
          <w:lang w:val="en-US" w:eastAsia="zh-CN"/>
        </w:rPr>
        <w:t>技术负责人</w:t>
      </w:r>
      <w:r>
        <w:rPr>
          <w:rFonts w:hint="eastAsia" w:ascii="宋体" w:hAnsi="宋体"/>
          <w:sz w:val="24"/>
          <w:szCs w:val="28"/>
        </w:rPr>
        <w:t>、业绩、信誉</w:t>
      </w:r>
      <w:r>
        <w:rPr>
          <w:rFonts w:hint="eastAsia" w:ascii="宋体" w:hAnsi="宋体"/>
          <w:sz w:val="24"/>
          <w:szCs w:val="28"/>
          <w:lang w:eastAsia="zh-CN"/>
        </w:rPr>
        <w:t>、</w:t>
      </w:r>
      <w:r>
        <w:rPr>
          <w:rFonts w:hint="eastAsia" w:ascii="宋体" w:hAnsi="宋体"/>
          <w:sz w:val="24"/>
          <w:szCs w:val="28"/>
          <w:lang w:val="en-US" w:eastAsia="zh-CN"/>
        </w:rPr>
        <w:t>财务状况</w:t>
      </w:r>
      <w:r>
        <w:rPr>
          <w:rFonts w:hint="eastAsia" w:ascii="宋体" w:hAnsi="宋体"/>
          <w:sz w:val="24"/>
          <w:szCs w:val="28"/>
        </w:rPr>
        <w:t>等。</w:t>
      </w:r>
    </w:p>
    <w:p w14:paraId="3693D75F">
      <w:pPr>
        <w:wordWrap w:val="0"/>
        <w:spacing w:line="360" w:lineRule="auto"/>
        <w:ind w:firstLine="410" w:firstLineChars="171"/>
        <w:rPr>
          <w:rFonts w:hint="eastAsia" w:ascii="宋体" w:hAnsi="宋体"/>
          <w:sz w:val="24"/>
          <w:szCs w:val="28"/>
        </w:rPr>
      </w:pPr>
      <w:r>
        <w:rPr>
          <w:rFonts w:hint="eastAsia" w:ascii="宋体" w:hAnsi="宋体"/>
          <w:sz w:val="24"/>
          <w:szCs w:val="28"/>
        </w:rPr>
        <w:t>（1）资质要求：见投标人须知前附表；</w:t>
      </w:r>
    </w:p>
    <w:p w14:paraId="194861BA">
      <w:pPr>
        <w:wordWrap w:val="0"/>
        <w:spacing w:line="360" w:lineRule="auto"/>
        <w:ind w:firstLine="410" w:firstLineChars="171"/>
        <w:rPr>
          <w:rFonts w:hint="eastAsia" w:ascii="宋体" w:hAnsi="宋体"/>
          <w:sz w:val="24"/>
          <w:szCs w:val="28"/>
        </w:rPr>
      </w:pPr>
      <w:r>
        <w:rPr>
          <w:rFonts w:hint="eastAsia" w:ascii="宋体" w:hAnsi="宋体"/>
          <w:sz w:val="24"/>
          <w:szCs w:val="28"/>
        </w:rPr>
        <w:t>（2）信誉要求：见投标人须知前附表；</w:t>
      </w:r>
    </w:p>
    <w:p w14:paraId="43F26998">
      <w:pPr>
        <w:wordWrap w:val="0"/>
        <w:spacing w:line="360" w:lineRule="auto"/>
        <w:ind w:firstLine="410" w:firstLineChars="171"/>
        <w:rPr>
          <w:rFonts w:hint="eastAsia" w:ascii="宋体" w:hAnsi="宋体"/>
          <w:sz w:val="24"/>
          <w:szCs w:val="28"/>
        </w:rPr>
      </w:pPr>
      <w:r>
        <w:rPr>
          <w:rFonts w:hint="eastAsia" w:ascii="宋体" w:hAnsi="宋体"/>
          <w:sz w:val="24"/>
          <w:szCs w:val="28"/>
        </w:rPr>
        <w:t>（3）项目经理和</w:t>
      </w:r>
      <w:r>
        <w:rPr>
          <w:rFonts w:hint="eastAsia" w:ascii="宋体" w:hAnsi="宋体"/>
          <w:sz w:val="24"/>
          <w:szCs w:val="28"/>
          <w:lang w:val="en-US" w:eastAsia="zh-CN"/>
        </w:rPr>
        <w:t>技术负责人</w:t>
      </w:r>
      <w:r>
        <w:rPr>
          <w:rFonts w:hint="eastAsia" w:ascii="宋体" w:hAnsi="宋体"/>
          <w:sz w:val="24"/>
          <w:szCs w:val="28"/>
        </w:rPr>
        <w:t>的资格要求：具体要求见投标人须知前附表；</w:t>
      </w:r>
      <w:bookmarkStart w:id="97" w:name="page23"/>
      <w:bookmarkEnd w:id="97"/>
      <w:bookmarkStart w:id="98" w:name="_Toc179632552"/>
      <w:bookmarkStart w:id="99" w:name="_Toc152042311"/>
      <w:bookmarkStart w:id="100" w:name="_Toc152045535"/>
      <w:bookmarkStart w:id="101" w:name="_Toc144974503"/>
    </w:p>
    <w:p w14:paraId="0E4AB0EE">
      <w:pPr>
        <w:wordWrap w:val="0"/>
        <w:spacing w:line="360" w:lineRule="auto"/>
        <w:ind w:firstLine="410" w:firstLineChars="171"/>
        <w:rPr>
          <w:rFonts w:hint="eastAsia" w:ascii="宋体" w:hAnsi="宋体"/>
          <w:sz w:val="24"/>
          <w:szCs w:val="28"/>
        </w:rPr>
      </w:pPr>
      <w:r>
        <w:rPr>
          <w:rFonts w:hint="eastAsia" w:ascii="宋体" w:hAnsi="宋体"/>
          <w:sz w:val="24"/>
          <w:szCs w:val="28"/>
        </w:rPr>
        <w:t>（4）业绩要求：具体要求见投标人须知前附表；</w:t>
      </w:r>
    </w:p>
    <w:p w14:paraId="2B370713">
      <w:pPr>
        <w:widowControl/>
        <w:tabs>
          <w:tab w:val="left" w:pos="940"/>
        </w:tabs>
        <w:wordWrap w:val="0"/>
        <w:spacing w:line="360" w:lineRule="auto"/>
        <w:ind w:firstLine="480" w:firstLineChars="200"/>
        <w:jc w:val="left"/>
        <w:rPr>
          <w:rFonts w:hint="eastAsia" w:ascii="宋体" w:hAnsi="宋体" w:cs="宋体"/>
          <w:sz w:val="24"/>
        </w:rPr>
      </w:pPr>
      <w:r>
        <w:rPr>
          <w:rFonts w:hint="eastAsia" w:ascii="宋体" w:hAnsi="宋体" w:cs="宋体"/>
          <w:sz w:val="24"/>
        </w:rPr>
        <w:t>1.4.</w:t>
      </w:r>
      <w:r>
        <w:rPr>
          <w:rFonts w:hint="eastAsia" w:ascii="宋体" w:hAnsi="宋体" w:cs="宋体"/>
          <w:sz w:val="24"/>
          <w:lang w:val="en-US" w:eastAsia="zh-CN"/>
        </w:rPr>
        <w:t>2</w:t>
      </w:r>
      <w:r>
        <w:rPr>
          <w:rFonts w:hint="eastAsia" w:ascii="宋体" w:hAnsi="宋体" w:cs="宋体"/>
          <w:sz w:val="24"/>
        </w:rPr>
        <w:t>投标人不得存在下列情形之一：</w:t>
      </w:r>
    </w:p>
    <w:p w14:paraId="1C7B962E">
      <w:pPr>
        <w:wordWrap w:val="0"/>
        <w:spacing w:line="360" w:lineRule="auto"/>
        <w:ind w:right="-149" w:firstLine="480" w:firstLineChars="200"/>
        <w:jc w:val="left"/>
        <w:rPr>
          <w:rFonts w:hint="eastAsia" w:ascii="宋体" w:hAnsi="宋体" w:cs="宋体"/>
          <w:sz w:val="24"/>
        </w:rPr>
      </w:pPr>
      <w:r>
        <w:rPr>
          <w:rFonts w:hint="eastAsia" w:ascii="宋体" w:hAnsi="宋体" w:cs="宋体"/>
          <w:sz w:val="24"/>
        </w:rPr>
        <w:t>（1）为招标人不具有独立法人资格的附属机构（单位）；</w:t>
      </w:r>
    </w:p>
    <w:p w14:paraId="168CE01F">
      <w:pPr>
        <w:wordWrap w:val="0"/>
        <w:spacing w:line="360" w:lineRule="auto"/>
        <w:ind w:right="-149" w:firstLine="480" w:firstLineChars="200"/>
        <w:jc w:val="left"/>
        <w:rPr>
          <w:rFonts w:hint="eastAsia" w:ascii="宋体" w:hAnsi="宋体" w:cs="宋体"/>
          <w:sz w:val="24"/>
        </w:rPr>
      </w:pPr>
      <w:r>
        <w:rPr>
          <w:rFonts w:hint="eastAsia" w:ascii="宋体" w:hAnsi="宋体" w:cs="宋体"/>
          <w:sz w:val="24"/>
        </w:rPr>
        <w:t>（2）与招标人存在利害关系且可能影响招标公正性；</w:t>
      </w:r>
    </w:p>
    <w:p w14:paraId="6E65EF80">
      <w:pPr>
        <w:wordWrap w:val="0"/>
        <w:spacing w:line="360" w:lineRule="auto"/>
        <w:ind w:right="-149" w:firstLine="480" w:firstLineChars="200"/>
        <w:jc w:val="left"/>
        <w:rPr>
          <w:rFonts w:hint="eastAsia" w:ascii="宋体" w:hAnsi="宋体" w:cs="宋体"/>
          <w:sz w:val="24"/>
        </w:rPr>
      </w:pPr>
      <w:r>
        <w:rPr>
          <w:rFonts w:hint="eastAsia" w:ascii="宋体" w:hAnsi="宋体" w:cs="宋体"/>
          <w:sz w:val="24"/>
        </w:rPr>
        <w:t>（3）与本</w:t>
      </w:r>
      <w:r>
        <w:rPr>
          <w:rFonts w:hint="eastAsia" w:ascii="宋体" w:hAnsi="宋体"/>
          <w:sz w:val="24"/>
          <w:szCs w:val="28"/>
          <w:lang w:val="en-US" w:eastAsia="zh-CN"/>
        </w:rPr>
        <w:t>项目</w:t>
      </w:r>
      <w:r>
        <w:rPr>
          <w:rFonts w:hint="eastAsia" w:ascii="宋体" w:hAnsi="宋体" w:cs="宋体"/>
          <w:sz w:val="24"/>
        </w:rPr>
        <w:t>的其他投标人为同一个单位负责人；</w:t>
      </w:r>
    </w:p>
    <w:p w14:paraId="48FDD7C1">
      <w:pPr>
        <w:wordWrap w:val="0"/>
        <w:spacing w:line="360" w:lineRule="auto"/>
        <w:ind w:right="-149" w:firstLine="480" w:firstLineChars="200"/>
        <w:jc w:val="left"/>
        <w:rPr>
          <w:rFonts w:hint="eastAsia" w:ascii="宋体" w:hAnsi="宋体" w:cs="宋体"/>
          <w:sz w:val="24"/>
        </w:rPr>
      </w:pPr>
      <w:r>
        <w:rPr>
          <w:rFonts w:hint="eastAsia" w:ascii="宋体" w:hAnsi="宋体" w:cs="宋体"/>
          <w:sz w:val="24"/>
        </w:rPr>
        <w:t>（4）与本</w:t>
      </w:r>
      <w:r>
        <w:rPr>
          <w:rFonts w:hint="eastAsia" w:ascii="宋体" w:hAnsi="宋体"/>
          <w:sz w:val="24"/>
          <w:szCs w:val="28"/>
          <w:lang w:val="en-US" w:eastAsia="zh-CN"/>
        </w:rPr>
        <w:t>项目</w:t>
      </w:r>
      <w:r>
        <w:rPr>
          <w:rFonts w:hint="eastAsia" w:ascii="宋体" w:hAnsi="宋体" w:cs="宋体"/>
          <w:sz w:val="24"/>
        </w:rPr>
        <w:t>的其他投标人存在控股、管理关系；</w:t>
      </w:r>
    </w:p>
    <w:p w14:paraId="0A98A336">
      <w:pPr>
        <w:wordWrap w:val="0"/>
        <w:spacing w:line="360" w:lineRule="auto"/>
        <w:ind w:right="-149" w:firstLine="480" w:firstLineChars="200"/>
        <w:jc w:val="left"/>
        <w:rPr>
          <w:rFonts w:hint="eastAsia" w:ascii="宋体" w:hAnsi="宋体" w:cs="宋体"/>
          <w:sz w:val="24"/>
        </w:rPr>
      </w:pPr>
      <w:r>
        <w:rPr>
          <w:rFonts w:hint="eastAsia" w:ascii="宋体" w:hAnsi="宋体" w:cs="宋体"/>
          <w:sz w:val="24"/>
        </w:rPr>
        <w:t>（5）为本</w:t>
      </w:r>
      <w:r>
        <w:rPr>
          <w:rFonts w:hint="eastAsia" w:ascii="宋体" w:hAnsi="宋体"/>
          <w:sz w:val="24"/>
          <w:szCs w:val="28"/>
          <w:lang w:val="en-US" w:eastAsia="zh-CN"/>
        </w:rPr>
        <w:t>项目</w:t>
      </w:r>
      <w:r>
        <w:rPr>
          <w:rFonts w:hint="eastAsia" w:ascii="宋体" w:hAnsi="宋体" w:cs="宋体"/>
          <w:sz w:val="24"/>
        </w:rPr>
        <w:t>的代建人；</w:t>
      </w:r>
    </w:p>
    <w:p w14:paraId="73FA6D6E">
      <w:pPr>
        <w:wordWrap w:val="0"/>
        <w:spacing w:line="360" w:lineRule="auto"/>
        <w:ind w:right="2960" w:firstLine="480" w:firstLineChars="200"/>
        <w:jc w:val="left"/>
        <w:rPr>
          <w:rFonts w:hint="eastAsia" w:ascii="宋体" w:hAnsi="宋体" w:cs="宋体"/>
          <w:sz w:val="24"/>
        </w:rPr>
      </w:pPr>
      <w:r>
        <w:rPr>
          <w:rFonts w:hint="eastAsia" w:ascii="宋体" w:hAnsi="宋体" w:cs="宋体"/>
          <w:sz w:val="24"/>
        </w:rPr>
        <w:t>（6）为本</w:t>
      </w:r>
      <w:r>
        <w:rPr>
          <w:rFonts w:hint="eastAsia" w:ascii="宋体" w:hAnsi="宋体"/>
          <w:sz w:val="24"/>
          <w:szCs w:val="28"/>
          <w:lang w:val="en-US" w:eastAsia="zh-CN"/>
        </w:rPr>
        <w:t>项目</w:t>
      </w:r>
      <w:r>
        <w:rPr>
          <w:rFonts w:hint="eastAsia" w:ascii="宋体" w:hAnsi="宋体" w:cs="宋体"/>
          <w:sz w:val="24"/>
        </w:rPr>
        <w:t>的招标代理机构；</w:t>
      </w:r>
    </w:p>
    <w:p w14:paraId="20D57E28">
      <w:pPr>
        <w:wordWrap w:val="0"/>
        <w:spacing w:line="360" w:lineRule="auto"/>
        <w:ind w:right="-7" w:firstLine="480" w:firstLineChars="200"/>
        <w:jc w:val="left"/>
        <w:rPr>
          <w:rFonts w:hint="eastAsia" w:ascii="宋体" w:hAnsi="宋体" w:cs="宋体"/>
          <w:sz w:val="24"/>
        </w:rPr>
      </w:pPr>
      <w:r>
        <w:rPr>
          <w:rFonts w:hint="eastAsia" w:ascii="宋体" w:hAnsi="宋体" w:cs="宋体"/>
          <w:sz w:val="24"/>
        </w:rPr>
        <w:t>（7）与本</w:t>
      </w:r>
      <w:r>
        <w:rPr>
          <w:rFonts w:hint="eastAsia" w:ascii="宋体" w:hAnsi="宋体"/>
          <w:sz w:val="24"/>
          <w:szCs w:val="28"/>
          <w:lang w:val="en-US" w:eastAsia="zh-CN"/>
        </w:rPr>
        <w:t>项目</w:t>
      </w:r>
      <w:r>
        <w:rPr>
          <w:rFonts w:hint="eastAsia" w:ascii="宋体" w:hAnsi="宋体" w:cs="宋体"/>
          <w:sz w:val="24"/>
        </w:rPr>
        <w:t>的代建人或招标代理机构同为一个法定代表人；</w:t>
      </w:r>
    </w:p>
    <w:p w14:paraId="7137D0CE">
      <w:pPr>
        <w:wordWrap w:val="0"/>
        <w:spacing w:line="360" w:lineRule="auto"/>
        <w:ind w:right="-7" w:firstLine="480" w:firstLineChars="200"/>
        <w:jc w:val="left"/>
        <w:rPr>
          <w:rFonts w:hint="eastAsia" w:ascii="宋体" w:hAnsi="宋体" w:cs="宋体"/>
          <w:sz w:val="24"/>
        </w:rPr>
      </w:pPr>
      <w:r>
        <w:rPr>
          <w:rFonts w:hint="eastAsia" w:ascii="宋体" w:hAnsi="宋体" w:cs="宋体"/>
          <w:sz w:val="24"/>
        </w:rPr>
        <w:t>（8）与本</w:t>
      </w:r>
      <w:r>
        <w:rPr>
          <w:rFonts w:hint="eastAsia" w:ascii="宋体" w:hAnsi="宋体"/>
          <w:sz w:val="24"/>
          <w:szCs w:val="28"/>
          <w:lang w:val="en-US" w:eastAsia="zh-CN"/>
        </w:rPr>
        <w:t>项目</w:t>
      </w:r>
      <w:r>
        <w:rPr>
          <w:rFonts w:hint="eastAsia" w:ascii="宋体" w:hAnsi="宋体" w:cs="宋体"/>
          <w:sz w:val="24"/>
        </w:rPr>
        <w:t>的代建人或招标代理机构存在控股或参股关系；</w:t>
      </w:r>
    </w:p>
    <w:p w14:paraId="53434EA2">
      <w:pPr>
        <w:wordWrap w:val="0"/>
        <w:spacing w:line="360" w:lineRule="auto"/>
        <w:ind w:right="-7" w:firstLine="480" w:firstLineChars="200"/>
        <w:jc w:val="left"/>
        <w:rPr>
          <w:rFonts w:hint="eastAsia" w:ascii="宋体" w:hAnsi="宋体" w:cs="宋体"/>
          <w:sz w:val="24"/>
        </w:rPr>
      </w:pPr>
      <w:r>
        <w:rPr>
          <w:rFonts w:hint="eastAsia" w:ascii="宋体" w:hAnsi="宋体" w:cs="宋体"/>
          <w:sz w:val="24"/>
        </w:rPr>
        <w:t>（9）被依法暂停或者取消投标资格；</w:t>
      </w:r>
    </w:p>
    <w:p w14:paraId="7D2B763A">
      <w:pPr>
        <w:wordWrap w:val="0"/>
        <w:spacing w:line="360" w:lineRule="auto"/>
        <w:ind w:right="-7" w:firstLine="480" w:firstLineChars="200"/>
        <w:jc w:val="left"/>
        <w:rPr>
          <w:rFonts w:hint="eastAsia" w:ascii="宋体" w:hAnsi="宋体" w:cs="宋体"/>
          <w:sz w:val="24"/>
        </w:rPr>
      </w:pPr>
      <w:r>
        <w:rPr>
          <w:rFonts w:hint="eastAsia" w:ascii="宋体" w:hAnsi="宋体" w:cs="宋体"/>
          <w:sz w:val="24"/>
        </w:rPr>
        <w:t>（10）被责令停产停业、暂扣或者吊销许可证、暂扣或者吊销执照；</w:t>
      </w:r>
    </w:p>
    <w:p w14:paraId="17401090">
      <w:pPr>
        <w:wordWrap w:val="0"/>
        <w:spacing w:line="360" w:lineRule="auto"/>
        <w:ind w:right="-7" w:firstLine="480" w:firstLineChars="200"/>
        <w:jc w:val="left"/>
        <w:rPr>
          <w:rFonts w:hint="eastAsia" w:ascii="宋体" w:hAnsi="宋体" w:cs="宋体"/>
          <w:sz w:val="24"/>
        </w:rPr>
      </w:pPr>
      <w:r>
        <w:rPr>
          <w:rFonts w:hint="eastAsia" w:ascii="宋体" w:hAnsi="宋体" w:cs="宋体"/>
          <w:sz w:val="24"/>
        </w:rPr>
        <w:t>（11）进入清算程序，或被宣告破产，或其他丧失履约能力的情形；</w:t>
      </w:r>
    </w:p>
    <w:p w14:paraId="4AAC6D51">
      <w:pPr>
        <w:pStyle w:val="4"/>
        <w:wordWrap w:val="0"/>
        <w:spacing w:before="0" w:after="0" w:line="360" w:lineRule="auto"/>
        <w:rPr>
          <w:rFonts w:ascii="宋体" w:hAnsi="宋体"/>
        </w:rPr>
      </w:pPr>
      <w:r>
        <w:rPr>
          <w:rFonts w:hint="eastAsia" w:ascii="宋体" w:hAnsi="宋体"/>
        </w:rPr>
        <w:t>1.5 费用承担</w:t>
      </w:r>
      <w:bookmarkEnd w:id="98"/>
      <w:bookmarkEnd w:id="99"/>
      <w:bookmarkEnd w:id="100"/>
      <w:bookmarkEnd w:id="101"/>
    </w:p>
    <w:p w14:paraId="59162325">
      <w:pPr>
        <w:wordWrap w:val="0"/>
        <w:spacing w:line="360" w:lineRule="auto"/>
        <w:ind w:firstLine="480" w:firstLineChars="200"/>
        <w:rPr>
          <w:rFonts w:ascii="宋体" w:hAnsi="宋体"/>
          <w:sz w:val="24"/>
          <w:szCs w:val="28"/>
        </w:rPr>
      </w:pPr>
      <w:r>
        <w:rPr>
          <w:rFonts w:hint="eastAsia" w:ascii="宋体" w:hAnsi="宋体"/>
          <w:sz w:val="24"/>
          <w:szCs w:val="28"/>
        </w:rPr>
        <w:t>投标人准备和参加投标活动发生的费用自理。</w:t>
      </w:r>
    </w:p>
    <w:p w14:paraId="6A9ACAB6">
      <w:pPr>
        <w:pStyle w:val="4"/>
        <w:wordWrap w:val="0"/>
        <w:spacing w:before="0" w:after="0" w:line="360" w:lineRule="auto"/>
        <w:rPr>
          <w:rFonts w:ascii="宋体" w:hAnsi="宋体"/>
        </w:rPr>
      </w:pPr>
      <w:bookmarkStart w:id="102" w:name="_Toc296602426"/>
      <w:bookmarkStart w:id="103" w:name="_Toc246996181"/>
      <w:bookmarkStart w:id="104" w:name="_Toc247085695"/>
      <w:bookmarkStart w:id="105" w:name="_Toc152045536"/>
      <w:bookmarkStart w:id="106" w:name="_Toc246996924"/>
      <w:bookmarkStart w:id="107" w:name="_Toc179632553"/>
      <w:bookmarkStart w:id="108" w:name="_Toc152042312"/>
      <w:bookmarkStart w:id="109" w:name="_Toc144974504"/>
      <w:r>
        <w:rPr>
          <w:rFonts w:hint="eastAsia" w:ascii="宋体" w:hAnsi="宋体"/>
        </w:rPr>
        <w:t>1.6 保密</w:t>
      </w:r>
      <w:bookmarkEnd w:id="102"/>
      <w:bookmarkEnd w:id="103"/>
      <w:bookmarkEnd w:id="104"/>
      <w:bookmarkEnd w:id="105"/>
      <w:bookmarkEnd w:id="106"/>
      <w:bookmarkEnd w:id="107"/>
      <w:bookmarkEnd w:id="108"/>
      <w:bookmarkEnd w:id="109"/>
    </w:p>
    <w:p w14:paraId="2ED4CF1D">
      <w:pPr>
        <w:wordWrap w:val="0"/>
        <w:spacing w:line="360" w:lineRule="auto"/>
        <w:ind w:firstLine="480" w:firstLineChars="200"/>
        <w:rPr>
          <w:rFonts w:ascii="宋体" w:hAnsi="宋体"/>
        </w:rPr>
      </w:pPr>
      <w:r>
        <w:rPr>
          <w:rFonts w:hint="eastAsia" w:ascii="宋体" w:hAnsi="宋体"/>
          <w:sz w:val="24"/>
          <w:szCs w:val="28"/>
        </w:rPr>
        <w:t>参与招标投标活动的各方应对招标文件和投标文件中的商业和技术等秘密保密，违者应对由此造成的后果承担法律责任。</w:t>
      </w:r>
      <w:r>
        <w:rPr>
          <w:rFonts w:hint="eastAsia" w:ascii="宋体" w:hAnsi="宋体"/>
        </w:rPr>
        <w:t xml:space="preserve"> </w:t>
      </w:r>
    </w:p>
    <w:p w14:paraId="2040B523">
      <w:pPr>
        <w:pStyle w:val="4"/>
        <w:wordWrap w:val="0"/>
        <w:spacing w:before="0" w:after="0" w:line="360" w:lineRule="auto"/>
        <w:rPr>
          <w:rFonts w:ascii="宋体" w:hAnsi="宋体"/>
        </w:rPr>
      </w:pPr>
      <w:bookmarkStart w:id="110" w:name="_Toc144974505"/>
      <w:bookmarkStart w:id="111" w:name="_Toc152045537"/>
      <w:bookmarkStart w:id="112" w:name="_Toc152042313"/>
      <w:bookmarkStart w:id="113" w:name="_Toc296602427"/>
      <w:bookmarkStart w:id="114" w:name="_Toc246996925"/>
      <w:bookmarkStart w:id="115" w:name="_Toc247085696"/>
      <w:bookmarkStart w:id="116" w:name="_Toc179632554"/>
      <w:bookmarkStart w:id="117" w:name="_Toc246996182"/>
      <w:r>
        <w:rPr>
          <w:rFonts w:hint="eastAsia" w:ascii="宋体" w:hAnsi="宋体"/>
        </w:rPr>
        <w:t>1.7 语言</w:t>
      </w:r>
      <w:bookmarkEnd w:id="110"/>
      <w:r>
        <w:rPr>
          <w:rFonts w:hint="eastAsia" w:ascii="宋体" w:hAnsi="宋体"/>
        </w:rPr>
        <w:t>文字</w:t>
      </w:r>
      <w:bookmarkEnd w:id="111"/>
      <w:bookmarkEnd w:id="112"/>
      <w:bookmarkEnd w:id="113"/>
      <w:bookmarkEnd w:id="114"/>
      <w:bookmarkEnd w:id="115"/>
      <w:bookmarkEnd w:id="116"/>
      <w:bookmarkEnd w:id="117"/>
    </w:p>
    <w:p w14:paraId="5DE9F9A2">
      <w:pPr>
        <w:wordWrap w:val="0"/>
        <w:spacing w:line="360" w:lineRule="auto"/>
        <w:ind w:firstLine="480" w:firstLineChars="200"/>
        <w:rPr>
          <w:rFonts w:ascii="宋体" w:hAnsi="宋体"/>
        </w:rPr>
      </w:pPr>
      <w:bookmarkStart w:id="118" w:name="_Toc152042314"/>
      <w:bookmarkStart w:id="119" w:name="_Toc144974506"/>
      <w:bookmarkStart w:id="120" w:name="_Toc247085697"/>
      <w:bookmarkStart w:id="121" w:name="_Toc246996926"/>
      <w:bookmarkStart w:id="122" w:name="_Toc246996183"/>
      <w:bookmarkStart w:id="123" w:name="_Toc152045538"/>
      <w:bookmarkStart w:id="124" w:name="_Toc179632555"/>
      <w:r>
        <w:rPr>
          <w:rFonts w:hint="eastAsia" w:ascii="宋体" w:hAnsi="宋体"/>
          <w:sz w:val="24"/>
          <w:szCs w:val="28"/>
        </w:rPr>
        <w:t>招标投标文件使用的语言文字为中文。专用术语使用外文的，应附有中文注释。</w:t>
      </w:r>
    </w:p>
    <w:p w14:paraId="53F7862B">
      <w:pPr>
        <w:pStyle w:val="4"/>
        <w:wordWrap w:val="0"/>
        <w:spacing w:before="0" w:after="0" w:line="360" w:lineRule="auto"/>
        <w:rPr>
          <w:rFonts w:ascii="宋体" w:hAnsi="宋体"/>
        </w:rPr>
      </w:pPr>
      <w:bookmarkStart w:id="125" w:name="_Toc296602428"/>
      <w:r>
        <w:rPr>
          <w:rFonts w:hint="eastAsia" w:ascii="宋体" w:hAnsi="宋体"/>
        </w:rPr>
        <w:t>1.8 计量单位</w:t>
      </w:r>
      <w:bookmarkEnd w:id="118"/>
      <w:bookmarkEnd w:id="119"/>
      <w:bookmarkEnd w:id="120"/>
      <w:bookmarkEnd w:id="121"/>
      <w:bookmarkEnd w:id="122"/>
      <w:bookmarkEnd w:id="123"/>
      <w:bookmarkEnd w:id="124"/>
      <w:bookmarkEnd w:id="125"/>
    </w:p>
    <w:p w14:paraId="133F6E2E">
      <w:pPr>
        <w:wordWrap w:val="0"/>
        <w:spacing w:line="360" w:lineRule="auto"/>
        <w:ind w:firstLine="480" w:firstLineChars="200"/>
        <w:rPr>
          <w:rFonts w:ascii="宋体" w:hAnsi="宋体"/>
        </w:rPr>
      </w:pPr>
      <w:r>
        <w:rPr>
          <w:rFonts w:hint="eastAsia" w:ascii="宋体" w:hAnsi="宋体"/>
          <w:sz w:val="24"/>
          <w:szCs w:val="28"/>
        </w:rPr>
        <w:t>所有计量均采用中华人民共和国法定计量单位。</w:t>
      </w:r>
    </w:p>
    <w:p w14:paraId="325DA640">
      <w:pPr>
        <w:pStyle w:val="4"/>
        <w:wordWrap w:val="0"/>
        <w:spacing w:before="0" w:after="0" w:line="360" w:lineRule="auto"/>
        <w:rPr>
          <w:rFonts w:ascii="宋体" w:hAnsi="宋体"/>
        </w:rPr>
      </w:pPr>
      <w:bookmarkStart w:id="126" w:name="_Toc144974507"/>
      <w:bookmarkStart w:id="127" w:name="_Toc247592876"/>
      <w:bookmarkStart w:id="128" w:name="_Toc152042315"/>
      <w:bookmarkStart w:id="129" w:name="_Toc247513962"/>
      <w:bookmarkStart w:id="130" w:name="_Toc296602429"/>
      <w:bookmarkStart w:id="131" w:name="_Toc247527563"/>
      <w:bookmarkStart w:id="132" w:name="_Toc152045539"/>
      <w:r>
        <w:rPr>
          <w:rFonts w:hint="eastAsia" w:ascii="宋体" w:hAnsi="宋体"/>
        </w:rPr>
        <w:t>1.9 踏勘现场</w:t>
      </w:r>
      <w:bookmarkEnd w:id="126"/>
      <w:bookmarkEnd w:id="127"/>
      <w:bookmarkEnd w:id="128"/>
      <w:bookmarkEnd w:id="129"/>
      <w:bookmarkEnd w:id="130"/>
      <w:bookmarkEnd w:id="131"/>
      <w:bookmarkEnd w:id="132"/>
    </w:p>
    <w:p w14:paraId="157E9081">
      <w:pPr>
        <w:wordWrap w:val="0"/>
        <w:spacing w:line="360" w:lineRule="auto"/>
        <w:ind w:firstLine="480" w:firstLineChars="200"/>
        <w:rPr>
          <w:rFonts w:ascii="宋体" w:hAnsi="宋体"/>
          <w:sz w:val="24"/>
          <w:szCs w:val="28"/>
        </w:rPr>
      </w:pPr>
      <w:r>
        <w:rPr>
          <w:rFonts w:hint="eastAsia" w:ascii="宋体" w:hAnsi="宋体"/>
          <w:sz w:val="24"/>
          <w:szCs w:val="28"/>
        </w:rPr>
        <w:t xml:space="preserve">1.9.1 招标人不组织现场踏勘，由投标人自行踏勘。 </w:t>
      </w:r>
    </w:p>
    <w:p w14:paraId="2B563E8A">
      <w:pPr>
        <w:wordWrap w:val="0"/>
        <w:spacing w:line="360" w:lineRule="auto"/>
        <w:ind w:firstLine="480" w:firstLineChars="200"/>
        <w:rPr>
          <w:rFonts w:ascii="宋体" w:hAnsi="宋体"/>
          <w:sz w:val="24"/>
          <w:szCs w:val="28"/>
        </w:rPr>
      </w:pPr>
      <w:r>
        <w:rPr>
          <w:rFonts w:hint="eastAsia" w:ascii="宋体" w:hAnsi="宋体"/>
          <w:sz w:val="24"/>
          <w:szCs w:val="28"/>
        </w:rPr>
        <w:t>1.9.2 投标人踏勘现场发生的费用自理。</w:t>
      </w:r>
    </w:p>
    <w:p w14:paraId="1DD4C7D1">
      <w:pPr>
        <w:wordWrap w:val="0"/>
        <w:spacing w:line="360" w:lineRule="auto"/>
        <w:ind w:firstLine="480" w:firstLineChars="200"/>
        <w:rPr>
          <w:rFonts w:ascii="宋体" w:hAnsi="宋体"/>
          <w:sz w:val="24"/>
          <w:szCs w:val="28"/>
        </w:rPr>
      </w:pPr>
      <w:r>
        <w:rPr>
          <w:rFonts w:hint="eastAsia" w:ascii="宋体" w:hAnsi="宋体"/>
          <w:sz w:val="24"/>
          <w:szCs w:val="28"/>
        </w:rPr>
        <w:t>1.9.3 投标人自行负责在踏勘现场中所发生的人员伤亡和财产损失。</w:t>
      </w:r>
    </w:p>
    <w:p w14:paraId="00D1AB84">
      <w:pPr>
        <w:wordWrap w:val="0"/>
        <w:spacing w:line="360" w:lineRule="auto"/>
        <w:ind w:firstLine="480" w:firstLineChars="200"/>
        <w:rPr>
          <w:rFonts w:ascii="宋体" w:hAnsi="宋体"/>
          <w:sz w:val="24"/>
          <w:szCs w:val="28"/>
        </w:rPr>
      </w:pPr>
      <w:r>
        <w:rPr>
          <w:rFonts w:hint="eastAsia" w:ascii="宋体" w:hAnsi="宋体"/>
          <w:sz w:val="24"/>
          <w:szCs w:val="28"/>
        </w:rPr>
        <w:t>1.9.4 投标人在踏勘现场中看到的工程场地和相关的周边环境情况，供投标人在编制投标文件时参考，招标人不对投标人据此作出的判断和决策负责。</w:t>
      </w:r>
    </w:p>
    <w:p w14:paraId="20BCBCBE">
      <w:pPr>
        <w:pStyle w:val="4"/>
        <w:wordWrap w:val="0"/>
        <w:spacing w:before="0" w:after="0" w:line="360" w:lineRule="auto"/>
        <w:rPr>
          <w:rFonts w:ascii="宋体" w:hAnsi="宋体"/>
        </w:rPr>
      </w:pPr>
      <w:bookmarkStart w:id="133" w:name="_Toc247527564"/>
      <w:bookmarkStart w:id="134" w:name="_Toc247592877"/>
      <w:bookmarkStart w:id="135" w:name="_Toc247513963"/>
      <w:bookmarkStart w:id="136" w:name="_Toc152045540"/>
      <w:bookmarkStart w:id="137" w:name="_Toc152042316"/>
      <w:bookmarkStart w:id="138" w:name="_Toc296602430"/>
      <w:bookmarkStart w:id="139" w:name="_Toc144974508"/>
      <w:r>
        <w:rPr>
          <w:rFonts w:hint="eastAsia" w:ascii="宋体" w:hAnsi="宋体"/>
        </w:rPr>
        <w:t>1.10 投标预备会</w:t>
      </w:r>
      <w:bookmarkEnd w:id="133"/>
      <w:bookmarkEnd w:id="134"/>
      <w:bookmarkEnd w:id="135"/>
      <w:bookmarkEnd w:id="136"/>
      <w:bookmarkEnd w:id="137"/>
      <w:bookmarkEnd w:id="138"/>
      <w:bookmarkEnd w:id="139"/>
      <w:bookmarkStart w:id="140" w:name="_Toc296602431"/>
    </w:p>
    <w:bookmarkEnd w:id="140"/>
    <w:p w14:paraId="72097CFC">
      <w:pPr>
        <w:pStyle w:val="4"/>
        <w:wordWrap w:val="0"/>
        <w:spacing w:before="0" w:after="0" w:line="500" w:lineRule="exact"/>
        <w:ind w:firstLine="480" w:firstLineChars="200"/>
        <w:rPr>
          <w:rFonts w:hint="eastAsia" w:ascii="宋体" w:hAnsi="宋体"/>
          <w:b w:val="0"/>
          <w:bCs w:val="0"/>
          <w:kern w:val="2"/>
          <w:sz w:val="24"/>
          <w:szCs w:val="28"/>
        </w:rPr>
      </w:pPr>
      <w:bookmarkStart w:id="141" w:name="_Toc22620"/>
      <w:bookmarkStart w:id="142" w:name="_Toc27294"/>
      <w:bookmarkStart w:id="143" w:name="_Toc12605"/>
      <w:bookmarkStart w:id="144" w:name="_Toc11321"/>
      <w:bookmarkStart w:id="145" w:name="_Toc20548"/>
      <w:bookmarkStart w:id="146" w:name="_Toc243"/>
      <w:bookmarkStart w:id="147" w:name="_Toc8646"/>
      <w:bookmarkStart w:id="148" w:name="_Toc246996930"/>
      <w:bookmarkStart w:id="149" w:name="_Toc144974510"/>
      <w:bookmarkStart w:id="150" w:name="_Toc179632560"/>
      <w:bookmarkStart w:id="151" w:name="_Toc152042318"/>
      <w:bookmarkStart w:id="152" w:name="_Toc26742"/>
      <w:bookmarkStart w:id="153" w:name="_Toc246996187"/>
      <w:bookmarkStart w:id="154" w:name="_Toc152045542"/>
      <w:bookmarkStart w:id="155" w:name="_Toc296602432"/>
      <w:bookmarkStart w:id="156" w:name="_Toc247085701"/>
      <w:r>
        <w:rPr>
          <w:rFonts w:hint="eastAsia" w:ascii="宋体" w:hAnsi="宋体"/>
          <w:b w:val="0"/>
          <w:bCs w:val="0"/>
          <w:kern w:val="2"/>
          <w:sz w:val="24"/>
          <w:szCs w:val="28"/>
        </w:rPr>
        <w:t>1.10.1 若第二章“投标人须知前附表”规定召开投标预备会的，招标人应按规定的时间和地点召开投标预备会，澄清投标人提出的问题。</w:t>
      </w:r>
    </w:p>
    <w:p w14:paraId="39A02583">
      <w:pPr>
        <w:pStyle w:val="4"/>
        <w:wordWrap w:val="0"/>
        <w:spacing w:before="0" w:after="0" w:line="500" w:lineRule="exact"/>
        <w:ind w:firstLine="480" w:firstLineChars="200"/>
        <w:rPr>
          <w:rFonts w:hint="eastAsia" w:ascii="宋体" w:hAnsi="宋体"/>
          <w:b w:val="0"/>
          <w:bCs w:val="0"/>
          <w:kern w:val="2"/>
          <w:sz w:val="24"/>
          <w:szCs w:val="28"/>
        </w:rPr>
      </w:pPr>
      <w:r>
        <w:rPr>
          <w:rFonts w:hint="eastAsia" w:ascii="宋体" w:hAnsi="宋体"/>
          <w:b w:val="0"/>
          <w:bCs w:val="0"/>
          <w:kern w:val="2"/>
          <w:sz w:val="24"/>
          <w:szCs w:val="28"/>
        </w:rPr>
        <w:t>1.10.2 投标人应按投标人须知前附表规定的时间和形式将提出的问题送达招标人，以便招标人在会议期间澄清。</w:t>
      </w:r>
    </w:p>
    <w:p w14:paraId="1B10A4F5">
      <w:pPr>
        <w:pStyle w:val="4"/>
        <w:wordWrap w:val="0"/>
        <w:spacing w:before="0" w:after="0" w:line="500" w:lineRule="exact"/>
        <w:ind w:firstLine="480" w:firstLineChars="200"/>
        <w:rPr>
          <w:rFonts w:hint="eastAsia" w:ascii="宋体" w:hAnsi="宋体"/>
          <w:b w:val="0"/>
          <w:bCs w:val="0"/>
          <w:kern w:val="2"/>
          <w:sz w:val="24"/>
          <w:szCs w:val="28"/>
        </w:rPr>
      </w:pPr>
      <w:r>
        <w:rPr>
          <w:rFonts w:hint="eastAsia" w:ascii="宋体" w:hAnsi="宋体"/>
          <w:b w:val="0"/>
          <w:bCs w:val="0"/>
          <w:kern w:val="2"/>
          <w:sz w:val="24"/>
          <w:szCs w:val="28"/>
        </w:rPr>
        <w:t>1.10.3 投标预备会后，招标人将对投标人所提问题的澄清，以本章第 2.2 款规定的形式通知所有购买招标文件的投标人。该澄清内容为招标文件的组成部分。</w:t>
      </w:r>
    </w:p>
    <w:p w14:paraId="05D5D015">
      <w:pPr>
        <w:pStyle w:val="4"/>
        <w:wordWrap w:val="0"/>
        <w:spacing w:before="0" w:after="0" w:line="500" w:lineRule="exact"/>
        <w:rPr>
          <w:rFonts w:hint="eastAsia" w:ascii="宋体" w:hAnsi="宋体"/>
        </w:rPr>
      </w:pPr>
      <w:r>
        <w:rPr>
          <w:rFonts w:hint="eastAsia" w:ascii="宋体" w:hAnsi="宋体"/>
        </w:rPr>
        <w:t>1.11 分包</w:t>
      </w:r>
      <w:bookmarkEnd w:id="141"/>
      <w:bookmarkEnd w:id="142"/>
      <w:bookmarkEnd w:id="143"/>
      <w:bookmarkEnd w:id="144"/>
      <w:bookmarkEnd w:id="145"/>
      <w:bookmarkEnd w:id="146"/>
      <w:bookmarkEnd w:id="147"/>
    </w:p>
    <w:p w14:paraId="70189789">
      <w:pPr>
        <w:wordWrap w:val="0"/>
        <w:spacing w:line="500" w:lineRule="exact"/>
        <w:ind w:firstLine="480" w:firstLineChars="200"/>
        <w:rPr>
          <w:rFonts w:hint="eastAsia" w:ascii="宋体" w:hAnsi="宋体"/>
          <w:sz w:val="24"/>
          <w:szCs w:val="28"/>
        </w:rPr>
      </w:pPr>
      <w:r>
        <w:rPr>
          <w:rFonts w:hint="eastAsia" w:ascii="宋体" w:hAnsi="宋体"/>
          <w:sz w:val="24"/>
          <w:szCs w:val="28"/>
        </w:rPr>
        <w:t>不允许</w:t>
      </w:r>
    </w:p>
    <w:p w14:paraId="57C9C1A6">
      <w:pPr>
        <w:pStyle w:val="4"/>
        <w:wordWrap w:val="0"/>
        <w:spacing w:before="0" w:after="0" w:line="500" w:lineRule="exact"/>
        <w:rPr>
          <w:rFonts w:hint="eastAsia" w:ascii="宋体" w:hAnsi="宋体"/>
        </w:rPr>
      </w:pPr>
      <w:bookmarkStart w:id="157" w:name="_Toc13669"/>
      <w:bookmarkStart w:id="158" w:name="_Toc11412"/>
      <w:bookmarkStart w:id="159" w:name="_Toc20871"/>
      <w:bookmarkStart w:id="160" w:name="_Toc25020"/>
      <w:bookmarkStart w:id="161" w:name="_Toc12545"/>
      <w:bookmarkStart w:id="162" w:name="_Toc16821"/>
      <w:bookmarkStart w:id="163" w:name="_Toc16297"/>
      <w:r>
        <w:rPr>
          <w:rFonts w:hint="eastAsia" w:ascii="宋体" w:hAnsi="宋体"/>
        </w:rPr>
        <w:t>1.12 响应和偏差</w:t>
      </w:r>
      <w:bookmarkEnd w:id="157"/>
      <w:bookmarkEnd w:id="158"/>
      <w:bookmarkEnd w:id="159"/>
      <w:bookmarkEnd w:id="160"/>
      <w:bookmarkEnd w:id="161"/>
      <w:bookmarkEnd w:id="162"/>
      <w:bookmarkEnd w:id="163"/>
    </w:p>
    <w:p w14:paraId="2AAC3225">
      <w:pPr>
        <w:wordWrap w:val="0"/>
        <w:spacing w:line="500" w:lineRule="exact"/>
        <w:ind w:firstLine="480" w:firstLineChars="200"/>
        <w:rPr>
          <w:rFonts w:hint="eastAsia" w:ascii="宋体" w:hAnsi="宋体"/>
          <w:sz w:val="24"/>
          <w:szCs w:val="28"/>
        </w:rPr>
      </w:pPr>
      <w:r>
        <w:rPr>
          <w:rFonts w:hint="eastAsia" w:ascii="宋体" w:hAnsi="宋体"/>
          <w:sz w:val="24"/>
          <w:szCs w:val="28"/>
        </w:rPr>
        <w:t>1.12.1 投标文件偏离招标文件某些要求，视为投标文件存在偏差。偏差包括重大偏差和细微偏差。</w:t>
      </w:r>
    </w:p>
    <w:p w14:paraId="595B343D">
      <w:pPr>
        <w:wordWrap w:val="0"/>
        <w:spacing w:line="500" w:lineRule="exact"/>
        <w:ind w:firstLine="480" w:firstLineChars="200"/>
        <w:rPr>
          <w:rFonts w:hint="eastAsia" w:ascii="宋体" w:hAnsi="宋体"/>
          <w:sz w:val="24"/>
          <w:szCs w:val="28"/>
        </w:rPr>
      </w:pPr>
      <w:r>
        <w:rPr>
          <w:rFonts w:hint="eastAsia" w:ascii="宋体" w:hAnsi="宋体"/>
          <w:sz w:val="24"/>
          <w:szCs w:val="28"/>
        </w:rPr>
        <w:t>1.12.2 投标文件应对招标文件的实质性要求和条件作出满足性或更有利于招标人的响应，否则，视为投标文件存在重大偏差，投标人的投标将被否决。</w:t>
      </w:r>
    </w:p>
    <w:p w14:paraId="1961BD90">
      <w:pPr>
        <w:wordWrap w:val="0"/>
        <w:spacing w:line="500" w:lineRule="exact"/>
        <w:ind w:firstLine="480" w:firstLineChars="200"/>
        <w:rPr>
          <w:rFonts w:hint="eastAsia" w:ascii="宋体" w:hAnsi="宋体"/>
          <w:sz w:val="24"/>
          <w:szCs w:val="28"/>
        </w:rPr>
      </w:pPr>
      <w:r>
        <w:rPr>
          <w:rFonts w:hint="eastAsia" w:ascii="宋体" w:hAnsi="宋体"/>
          <w:sz w:val="24"/>
          <w:szCs w:val="28"/>
        </w:rPr>
        <w:t>投标文件存在第三章“评标办法”中所列任一否决投标情形的，均属于存在重大偏差。</w:t>
      </w:r>
    </w:p>
    <w:p w14:paraId="2C6F0E23">
      <w:pPr>
        <w:wordWrap w:val="0"/>
        <w:spacing w:line="500" w:lineRule="exact"/>
        <w:ind w:firstLine="480" w:firstLineChars="200"/>
        <w:rPr>
          <w:rFonts w:hint="eastAsia" w:ascii="宋体" w:hAnsi="宋体"/>
          <w:sz w:val="24"/>
          <w:szCs w:val="28"/>
        </w:rPr>
      </w:pPr>
      <w:r>
        <w:rPr>
          <w:rFonts w:hint="eastAsia" w:ascii="宋体" w:hAnsi="宋体"/>
          <w:sz w:val="24"/>
          <w:szCs w:val="28"/>
        </w:rPr>
        <w:t>1.12.3 投标文件中的下列偏差为细微偏差：</w:t>
      </w:r>
    </w:p>
    <w:p w14:paraId="1521265F">
      <w:pPr>
        <w:wordWrap w:val="0"/>
        <w:spacing w:line="500" w:lineRule="exact"/>
        <w:ind w:firstLine="480" w:firstLineChars="200"/>
        <w:rPr>
          <w:rFonts w:hint="eastAsia" w:ascii="宋体" w:hAnsi="宋体"/>
          <w:sz w:val="24"/>
          <w:szCs w:val="28"/>
        </w:rPr>
      </w:pPr>
      <w:r>
        <w:rPr>
          <w:rFonts w:hint="eastAsia" w:ascii="宋体" w:hAnsi="宋体"/>
          <w:sz w:val="24"/>
          <w:szCs w:val="28"/>
        </w:rPr>
        <w:t>(1）在按照第三章“评标办法”的规定对投标价进行算术性错误修正及其他错误修正后，最终投标报价未超过最高投标限价（如有）的情况下，出现第三章“评标办法”规定的算术性错误和投标报价的其他错误；</w:t>
      </w:r>
    </w:p>
    <w:p w14:paraId="11E9FFC4">
      <w:pPr>
        <w:wordWrap w:val="0"/>
        <w:spacing w:line="500" w:lineRule="exact"/>
        <w:ind w:firstLine="480" w:firstLineChars="200"/>
        <w:rPr>
          <w:rFonts w:hint="eastAsia" w:ascii="宋体" w:hAnsi="宋体"/>
          <w:sz w:val="24"/>
          <w:szCs w:val="28"/>
        </w:rPr>
      </w:pPr>
      <w:r>
        <w:rPr>
          <w:rFonts w:hint="eastAsia" w:ascii="宋体" w:hAnsi="宋体"/>
          <w:sz w:val="24"/>
          <w:szCs w:val="28"/>
        </w:rPr>
        <w:t>(2）施工组织设计（含关键工程技术方案）和项目管理机构不够完善；</w:t>
      </w:r>
    </w:p>
    <w:p w14:paraId="0355486F">
      <w:pPr>
        <w:wordWrap w:val="0"/>
        <w:spacing w:line="500" w:lineRule="exact"/>
        <w:ind w:firstLine="480" w:firstLineChars="200"/>
        <w:rPr>
          <w:rFonts w:hint="eastAsia" w:ascii="宋体" w:hAnsi="宋体"/>
          <w:sz w:val="24"/>
          <w:szCs w:val="28"/>
        </w:rPr>
      </w:pPr>
      <w:r>
        <w:rPr>
          <w:rFonts w:hint="eastAsia" w:ascii="宋体" w:hAnsi="宋体"/>
          <w:sz w:val="24"/>
          <w:szCs w:val="28"/>
        </w:rPr>
        <w:t>(3）投标文件页码不连续、个别文字有遗漏错误等不影响投标文件实质性内容的偏差。</w:t>
      </w:r>
    </w:p>
    <w:p w14:paraId="3FAF7218">
      <w:pPr>
        <w:wordWrap w:val="0"/>
        <w:spacing w:line="500" w:lineRule="exact"/>
        <w:ind w:firstLine="480" w:firstLineChars="200"/>
        <w:rPr>
          <w:rFonts w:hint="eastAsia" w:ascii="宋体" w:hAnsi="宋体"/>
          <w:sz w:val="24"/>
          <w:szCs w:val="28"/>
        </w:rPr>
      </w:pPr>
      <w:r>
        <w:rPr>
          <w:rFonts w:hint="eastAsia" w:ascii="宋体" w:hAnsi="宋体"/>
          <w:sz w:val="24"/>
          <w:szCs w:val="28"/>
        </w:rPr>
        <w:t>1.12.4 评标委员会对投标文件中的细微偏差按如下规定处理：</w:t>
      </w:r>
    </w:p>
    <w:p w14:paraId="5F7DF003">
      <w:pPr>
        <w:wordWrap w:val="0"/>
        <w:spacing w:line="500" w:lineRule="exact"/>
        <w:ind w:firstLine="480" w:firstLineChars="200"/>
        <w:rPr>
          <w:rFonts w:hint="eastAsia" w:ascii="宋体" w:hAnsi="宋体"/>
          <w:sz w:val="24"/>
          <w:szCs w:val="28"/>
        </w:rPr>
      </w:pPr>
      <w:r>
        <w:rPr>
          <w:rFonts w:hint="eastAsia" w:ascii="宋体" w:hAnsi="宋体"/>
          <w:sz w:val="24"/>
          <w:szCs w:val="28"/>
        </w:rPr>
        <w:t>(1）对于本章第 1.12.3 项(1）目所述的细微偏差，按照第三章“评标办法”的规定予以修正并要求投标人进行澄清；</w:t>
      </w:r>
    </w:p>
    <w:p w14:paraId="5EF857C9">
      <w:pPr>
        <w:wordWrap w:val="0"/>
        <w:spacing w:line="500" w:lineRule="exact"/>
        <w:ind w:firstLine="480" w:firstLineChars="200"/>
        <w:rPr>
          <w:rFonts w:hint="eastAsia" w:ascii="宋体" w:hAnsi="宋体"/>
          <w:sz w:val="24"/>
          <w:szCs w:val="28"/>
        </w:rPr>
      </w:pPr>
      <w:r>
        <w:rPr>
          <w:rFonts w:hint="eastAsia" w:ascii="宋体" w:hAnsi="宋体"/>
          <w:sz w:val="24"/>
          <w:szCs w:val="28"/>
        </w:rPr>
        <w:t>(2）对于本章第 1.12.3 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2CC1766C">
      <w:pPr>
        <w:wordWrap w:val="0"/>
        <w:spacing w:line="500" w:lineRule="exact"/>
        <w:ind w:firstLine="480" w:firstLineChars="200"/>
        <w:rPr>
          <w:rFonts w:hint="eastAsia" w:ascii="宋体" w:hAnsi="宋体"/>
          <w:sz w:val="24"/>
          <w:szCs w:val="28"/>
        </w:rPr>
      </w:pPr>
      <w:r>
        <w:rPr>
          <w:rFonts w:hint="eastAsia" w:ascii="宋体" w:hAnsi="宋体"/>
          <w:sz w:val="24"/>
          <w:szCs w:val="28"/>
        </w:rPr>
        <w:t>(3）对于本章第 1.12.3 项（3）目所述的细微偏差，可要求投标人对细微偏差进行澄清。</w:t>
      </w:r>
    </w:p>
    <w:p w14:paraId="5E569911">
      <w:pPr>
        <w:wordWrap w:val="0"/>
        <w:spacing w:line="500" w:lineRule="exact"/>
        <w:ind w:firstLine="480" w:firstLineChars="200"/>
        <w:rPr>
          <w:rFonts w:hint="eastAsia" w:ascii="宋体" w:hAnsi="宋体"/>
          <w:sz w:val="24"/>
          <w:szCs w:val="28"/>
        </w:rPr>
      </w:pPr>
      <w:r>
        <w:rPr>
          <w:rFonts w:hint="eastAsia" w:ascii="宋体" w:hAnsi="宋体"/>
          <w:sz w:val="24"/>
          <w:szCs w:val="28"/>
        </w:rPr>
        <w:t>1.12.5 投标人应根据招标文件的要求提供施工组织设计等内容以对招标文件作出响应。</w:t>
      </w:r>
    </w:p>
    <w:p w14:paraId="4CDBAA44">
      <w:pPr>
        <w:pStyle w:val="3"/>
        <w:wordWrap w:val="0"/>
        <w:spacing w:before="0" w:after="0" w:line="500" w:lineRule="exact"/>
        <w:rPr>
          <w:rFonts w:ascii="宋体" w:hAnsi="宋体"/>
        </w:rPr>
      </w:pPr>
      <w:bookmarkStart w:id="164" w:name="_Toc3627"/>
      <w:bookmarkStart w:id="165" w:name="_Toc6019"/>
      <w:bookmarkStart w:id="166" w:name="_Toc31244"/>
      <w:bookmarkStart w:id="167" w:name="_Toc3810"/>
      <w:r>
        <w:rPr>
          <w:rFonts w:hint="eastAsia" w:ascii="宋体" w:hAnsi="宋体"/>
        </w:rPr>
        <w:t>2. 招标文件</w:t>
      </w:r>
      <w:bookmarkEnd w:id="148"/>
      <w:bookmarkEnd w:id="149"/>
      <w:bookmarkEnd w:id="150"/>
      <w:bookmarkEnd w:id="151"/>
      <w:bookmarkEnd w:id="152"/>
      <w:bookmarkEnd w:id="153"/>
      <w:bookmarkEnd w:id="154"/>
      <w:bookmarkEnd w:id="155"/>
      <w:bookmarkEnd w:id="156"/>
      <w:bookmarkEnd w:id="164"/>
      <w:bookmarkEnd w:id="165"/>
      <w:bookmarkEnd w:id="166"/>
      <w:bookmarkEnd w:id="167"/>
    </w:p>
    <w:p w14:paraId="7311C5B1">
      <w:pPr>
        <w:pStyle w:val="4"/>
        <w:wordWrap w:val="0"/>
        <w:spacing w:before="0" w:after="0" w:line="500" w:lineRule="exact"/>
        <w:rPr>
          <w:rFonts w:ascii="宋体" w:hAnsi="宋体"/>
        </w:rPr>
      </w:pPr>
      <w:bookmarkStart w:id="168" w:name="_Toc246996188"/>
      <w:bookmarkStart w:id="169" w:name="_Toc152045543"/>
      <w:bookmarkStart w:id="170" w:name="_Toc152042319"/>
      <w:bookmarkStart w:id="171" w:name="_Toc246996931"/>
      <w:bookmarkStart w:id="172" w:name="_Toc247085702"/>
      <w:bookmarkStart w:id="173" w:name="_Toc296602433"/>
      <w:bookmarkStart w:id="174" w:name="_Toc144974511"/>
      <w:bookmarkStart w:id="175" w:name="_Toc179632561"/>
      <w:r>
        <w:rPr>
          <w:rFonts w:hint="eastAsia" w:ascii="宋体" w:hAnsi="宋体"/>
        </w:rPr>
        <w:t>2.1 招标文件的组成</w:t>
      </w:r>
      <w:bookmarkEnd w:id="168"/>
      <w:bookmarkEnd w:id="169"/>
      <w:bookmarkEnd w:id="170"/>
      <w:bookmarkEnd w:id="171"/>
      <w:bookmarkEnd w:id="172"/>
      <w:bookmarkEnd w:id="173"/>
      <w:bookmarkEnd w:id="174"/>
      <w:bookmarkEnd w:id="175"/>
    </w:p>
    <w:p w14:paraId="0F6E19E8">
      <w:pPr>
        <w:tabs>
          <w:tab w:val="left" w:pos="4900"/>
          <w:tab w:val="left" w:pos="6527"/>
        </w:tabs>
        <w:wordWrap w:val="0"/>
        <w:spacing w:line="500" w:lineRule="exact"/>
        <w:ind w:firstLine="480" w:firstLineChars="200"/>
        <w:rPr>
          <w:rFonts w:hint="eastAsia" w:ascii="宋体" w:hAnsi="宋体"/>
          <w:sz w:val="24"/>
          <w:szCs w:val="24"/>
        </w:rPr>
      </w:pPr>
      <w:bookmarkStart w:id="176" w:name="_Toc246996932"/>
      <w:bookmarkStart w:id="177" w:name="_Toc296602434"/>
      <w:bookmarkStart w:id="178" w:name="_Toc152042320"/>
      <w:bookmarkStart w:id="179" w:name="_Toc246996189"/>
      <w:bookmarkStart w:id="180" w:name="_Toc144974512"/>
      <w:bookmarkStart w:id="181" w:name="_Toc152045544"/>
      <w:bookmarkStart w:id="182" w:name="_Toc247085703"/>
      <w:bookmarkStart w:id="183" w:name="_Toc179632562"/>
      <w:r>
        <w:rPr>
          <w:rFonts w:hint="eastAsia" w:ascii="宋体" w:hAnsi="宋体"/>
          <w:sz w:val="24"/>
          <w:szCs w:val="24"/>
        </w:rPr>
        <w:t>本招标文件包括：</w:t>
      </w:r>
    </w:p>
    <w:p w14:paraId="1F2F947C">
      <w:pPr>
        <w:tabs>
          <w:tab w:val="left" w:pos="4900"/>
          <w:tab w:val="left" w:pos="6527"/>
        </w:tabs>
        <w:wordWrap w:val="0"/>
        <w:spacing w:line="500" w:lineRule="exact"/>
        <w:ind w:firstLine="480" w:firstLineChars="200"/>
        <w:rPr>
          <w:rFonts w:hint="eastAsia" w:ascii="宋体" w:hAnsi="宋体"/>
          <w:sz w:val="24"/>
          <w:szCs w:val="24"/>
        </w:rPr>
      </w:pPr>
      <w:r>
        <w:rPr>
          <w:rFonts w:hint="eastAsia" w:ascii="宋体" w:hAnsi="宋体"/>
          <w:sz w:val="24"/>
          <w:szCs w:val="24"/>
        </w:rPr>
        <w:t>(1）招标公告；</w:t>
      </w:r>
    </w:p>
    <w:p w14:paraId="0174017A">
      <w:pPr>
        <w:tabs>
          <w:tab w:val="left" w:pos="4900"/>
          <w:tab w:val="left" w:pos="6527"/>
        </w:tabs>
        <w:wordWrap w:val="0"/>
        <w:spacing w:line="500" w:lineRule="exact"/>
        <w:ind w:firstLine="480" w:firstLineChars="200"/>
        <w:rPr>
          <w:rFonts w:hint="eastAsia" w:ascii="宋体" w:hAnsi="宋体"/>
          <w:sz w:val="24"/>
          <w:szCs w:val="24"/>
        </w:rPr>
      </w:pPr>
      <w:r>
        <w:rPr>
          <w:rFonts w:hint="eastAsia" w:ascii="宋体" w:hAnsi="宋体"/>
          <w:sz w:val="24"/>
          <w:szCs w:val="24"/>
        </w:rPr>
        <w:t>(2）投标人须知；</w:t>
      </w:r>
    </w:p>
    <w:p w14:paraId="00499E58">
      <w:pPr>
        <w:tabs>
          <w:tab w:val="left" w:pos="4900"/>
          <w:tab w:val="left" w:pos="6527"/>
        </w:tabs>
        <w:wordWrap w:val="0"/>
        <w:spacing w:line="500" w:lineRule="exact"/>
        <w:ind w:firstLine="480" w:firstLineChars="200"/>
        <w:rPr>
          <w:rFonts w:hint="eastAsia" w:ascii="宋体" w:hAnsi="宋体"/>
          <w:sz w:val="24"/>
          <w:szCs w:val="24"/>
        </w:rPr>
      </w:pPr>
      <w:r>
        <w:rPr>
          <w:rFonts w:hint="eastAsia" w:ascii="宋体" w:hAnsi="宋体"/>
          <w:sz w:val="24"/>
          <w:szCs w:val="24"/>
        </w:rPr>
        <w:t>(3）评标办法；</w:t>
      </w:r>
    </w:p>
    <w:p w14:paraId="34E6F4FD">
      <w:pPr>
        <w:tabs>
          <w:tab w:val="left" w:pos="4900"/>
          <w:tab w:val="left" w:pos="6527"/>
        </w:tabs>
        <w:wordWrap w:val="0"/>
        <w:spacing w:line="500" w:lineRule="exact"/>
        <w:ind w:firstLine="480" w:firstLineChars="200"/>
        <w:rPr>
          <w:rFonts w:hint="default" w:ascii="宋体" w:hAnsi="宋体" w:eastAsia="宋体"/>
          <w:sz w:val="24"/>
          <w:szCs w:val="24"/>
          <w:lang w:val="en-US" w:eastAsia="zh-CN"/>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hint="eastAsia" w:ascii="宋体" w:hAnsi="宋体"/>
          <w:sz w:val="24"/>
          <w:szCs w:val="24"/>
          <w:lang w:val="en-US" w:eastAsia="zh-CN"/>
        </w:rPr>
        <w:t>定标方法</w:t>
      </w:r>
    </w:p>
    <w:p w14:paraId="0B8394D9">
      <w:pPr>
        <w:tabs>
          <w:tab w:val="left" w:pos="4900"/>
          <w:tab w:val="left" w:pos="6527"/>
        </w:tabs>
        <w:wordWrap w:val="0"/>
        <w:spacing w:line="5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）合同条款及格式；</w:t>
      </w:r>
    </w:p>
    <w:p w14:paraId="569C1E43">
      <w:pPr>
        <w:tabs>
          <w:tab w:val="left" w:pos="4900"/>
          <w:tab w:val="left" w:pos="6527"/>
        </w:tabs>
        <w:wordWrap w:val="0"/>
        <w:spacing w:line="5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）工程量清单；</w:t>
      </w:r>
    </w:p>
    <w:p w14:paraId="61C61D2A">
      <w:pPr>
        <w:tabs>
          <w:tab w:val="left" w:pos="4900"/>
          <w:tab w:val="left" w:pos="6527"/>
        </w:tabs>
        <w:wordWrap w:val="0"/>
        <w:spacing w:line="5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）图纸；</w:t>
      </w:r>
    </w:p>
    <w:p w14:paraId="362E56AF">
      <w:pPr>
        <w:tabs>
          <w:tab w:val="left" w:pos="4900"/>
          <w:tab w:val="left" w:pos="6527"/>
        </w:tabs>
        <w:wordWrap w:val="0"/>
        <w:spacing w:line="5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w:t>
      </w:r>
      <w:r>
        <w:rPr>
          <w:rFonts w:ascii="sans-serif" w:hAnsi="sans-serif" w:eastAsia="sans-serif" w:cs="sans-serif"/>
          <w:i w:val="0"/>
          <w:iCs w:val="0"/>
          <w:caps w:val="0"/>
          <w:spacing w:val="0"/>
          <w:sz w:val="26"/>
          <w:szCs w:val="26"/>
          <w:shd w:val="clear" w:fill="FFFFFF"/>
        </w:rPr>
        <w:t>技术标准和要求</w:t>
      </w:r>
    </w:p>
    <w:p w14:paraId="1B291867">
      <w:pPr>
        <w:tabs>
          <w:tab w:val="left" w:pos="4900"/>
          <w:tab w:val="left" w:pos="6527"/>
        </w:tabs>
        <w:wordWrap w:val="0"/>
        <w:spacing w:line="5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）投标文件格式</w:t>
      </w:r>
    </w:p>
    <w:p w14:paraId="0F58F170">
      <w:pPr>
        <w:tabs>
          <w:tab w:val="left" w:pos="4900"/>
          <w:tab w:val="left" w:pos="6527"/>
        </w:tabs>
        <w:wordWrap w:val="0"/>
        <w:spacing w:line="500" w:lineRule="exact"/>
        <w:ind w:firstLine="480" w:firstLineChars="200"/>
        <w:rPr>
          <w:rFonts w:hint="eastAsia" w:ascii="宋体" w:hAnsi="宋体"/>
          <w:sz w:val="24"/>
          <w:szCs w:val="24"/>
        </w:rPr>
      </w:pPr>
      <w:r>
        <w:rPr>
          <w:rFonts w:hint="eastAsia" w:ascii="宋体" w:hAnsi="宋体"/>
          <w:sz w:val="24"/>
          <w:szCs w:val="24"/>
        </w:rPr>
        <w:t>根据本章</w:t>
      </w:r>
      <w:r>
        <w:rPr>
          <w:rFonts w:hint="eastAsia" w:ascii="宋体" w:hAnsi="宋体"/>
          <w:sz w:val="24"/>
          <w:szCs w:val="24"/>
          <w:lang w:val="en-US" w:eastAsia="zh-CN"/>
        </w:rPr>
        <w:t>第2.1款、</w:t>
      </w:r>
      <w:r>
        <w:rPr>
          <w:rFonts w:hint="eastAsia" w:ascii="宋体" w:hAnsi="宋体"/>
          <w:sz w:val="24"/>
          <w:szCs w:val="24"/>
        </w:rPr>
        <w:t>第 2.2 款和第 2.3 款对招标文件所作的澄清、修改，构成招标文件的组成部分。</w:t>
      </w:r>
    </w:p>
    <w:p w14:paraId="3B25F3E7">
      <w:pPr>
        <w:tabs>
          <w:tab w:val="left" w:pos="4900"/>
          <w:tab w:val="left" w:pos="6527"/>
        </w:tabs>
        <w:wordWrap w:val="0"/>
        <w:spacing w:line="500" w:lineRule="exact"/>
        <w:ind w:firstLine="480" w:firstLineChars="200"/>
        <w:rPr>
          <w:rFonts w:hint="eastAsia" w:ascii="宋体" w:hAnsi="宋体"/>
          <w:sz w:val="24"/>
          <w:szCs w:val="24"/>
        </w:rPr>
      </w:pPr>
      <w:r>
        <w:rPr>
          <w:rFonts w:hint="eastAsia" w:ascii="宋体" w:hAnsi="宋体"/>
          <w:sz w:val="24"/>
          <w:szCs w:val="24"/>
        </w:rPr>
        <w:t>当招标文件、招标文件的澄清或修改等在同一内容的表述上不一致时，以最后发出的书面文件为准。</w:t>
      </w:r>
    </w:p>
    <w:bookmarkEnd w:id="176"/>
    <w:bookmarkEnd w:id="177"/>
    <w:bookmarkEnd w:id="178"/>
    <w:bookmarkEnd w:id="179"/>
    <w:bookmarkEnd w:id="180"/>
    <w:bookmarkEnd w:id="181"/>
    <w:bookmarkEnd w:id="182"/>
    <w:bookmarkEnd w:id="183"/>
    <w:p w14:paraId="0516C400">
      <w:pPr>
        <w:pStyle w:val="4"/>
        <w:wordWrap w:val="0"/>
        <w:spacing w:before="0" w:after="0" w:line="500" w:lineRule="exact"/>
        <w:rPr>
          <w:rFonts w:hint="eastAsia" w:ascii="宋体" w:hAnsi="宋体"/>
        </w:rPr>
      </w:pPr>
      <w:bookmarkStart w:id="184" w:name="_Toc887"/>
      <w:bookmarkStart w:id="185" w:name="_Toc10988"/>
      <w:bookmarkStart w:id="186" w:name="_Toc14554"/>
      <w:bookmarkStart w:id="187" w:name="_Toc19380"/>
      <w:bookmarkStart w:id="188" w:name="_Toc16954"/>
      <w:bookmarkStart w:id="189" w:name="_Toc28112"/>
      <w:bookmarkStart w:id="190" w:name="_Toc10045"/>
      <w:bookmarkStart w:id="191" w:name="_Toc15172"/>
      <w:bookmarkStart w:id="192" w:name="_Toc27080"/>
      <w:bookmarkStart w:id="193" w:name="_Toc5681"/>
      <w:bookmarkStart w:id="194" w:name="_Toc19841"/>
      <w:bookmarkStart w:id="195" w:name="_Toc18694"/>
      <w:bookmarkStart w:id="196" w:name="_Toc16123"/>
      <w:bookmarkStart w:id="197" w:name="_Toc27643"/>
      <w:bookmarkStart w:id="198" w:name="_Toc10058"/>
      <w:bookmarkStart w:id="199" w:name="_Toc7325"/>
      <w:bookmarkStart w:id="200" w:name="_Toc25737"/>
      <w:bookmarkStart w:id="201" w:name="_Toc22707"/>
      <w:r>
        <w:rPr>
          <w:rFonts w:hint="eastAsia" w:ascii="宋体" w:hAnsi="宋体"/>
        </w:rPr>
        <w:t>2.2 招标文件的澄清</w:t>
      </w:r>
      <w:bookmarkEnd w:id="184"/>
      <w:bookmarkEnd w:id="185"/>
      <w:bookmarkEnd w:id="186"/>
      <w:bookmarkEnd w:id="187"/>
      <w:bookmarkEnd w:id="188"/>
      <w:bookmarkEnd w:id="189"/>
      <w:bookmarkEnd w:id="190"/>
      <w:bookmarkEnd w:id="191"/>
      <w:bookmarkEnd w:id="192"/>
    </w:p>
    <w:p w14:paraId="78D7EB0F">
      <w:pPr>
        <w:tabs>
          <w:tab w:val="left" w:pos="4900"/>
          <w:tab w:val="left" w:pos="6527"/>
        </w:tabs>
        <w:wordWrap w:val="0"/>
        <w:spacing w:line="500" w:lineRule="exact"/>
        <w:ind w:firstLine="480" w:firstLineChars="200"/>
        <w:rPr>
          <w:rFonts w:hint="eastAsia" w:ascii="宋体" w:hAnsi="宋体"/>
          <w:sz w:val="24"/>
          <w:szCs w:val="24"/>
        </w:rPr>
      </w:pPr>
      <w:r>
        <w:rPr>
          <w:rFonts w:hint="eastAsia" w:ascii="宋体" w:hAnsi="宋体"/>
          <w:sz w:val="24"/>
          <w:szCs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EC3706B">
      <w:pPr>
        <w:tabs>
          <w:tab w:val="left" w:pos="4900"/>
          <w:tab w:val="left" w:pos="6527"/>
        </w:tabs>
        <w:wordWrap w:val="0"/>
        <w:spacing w:line="500" w:lineRule="exact"/>
        <w:ind w:firstLine="480" w:firstLineChars="200"/>
        <w:rPr>
          <w:rFonts w:hint="eastAsia" w:ascii="宋体" w:hAnsi="宋体"/>
          <w:sz w:val="24"/>
          <w:szCs w:val="24"/>
        </w:rPr>
      </w:pPr>
      <w:r>
        <w:rPr>
          <w:rFonts w:hint="eastAsia" w:ascii="宋体" w:hAnsi="宋体"/>
          <w:sz w:val="24"/>
          <w:szCs w:val="24"/>
        </w:rPr>
        <w:t xml:space="preserve">2.2.2 </w:t>
      </w:r>
      <w:r>
        <w:rPr>
          <w:rFonts w:hint="eastAsia" w:ascii="宋体" w:hAnsi="宋体" w:eastAsia="宋体" w:cs="宋体"/>
          <w:color w:val="000000"/>
          <w:kern w:val="0"/>
          <w:sz w:val="24"/>
          <w:szCs w:val="24"/>
          <w:highlight w:val="none"/>
        </w:rPr>
        <w:t>招标文件的澄清将在投标人须知前附表规定的投标截止时间15天前</w:t>
      </w:r>
      <w:r>
        <w:rPr>
          <w:rFonts w:hint="eastAsia" w:ascii="宋体" w:hAnsi="宋体" w:eastAsia="宋体" w:cs="宋体"/>
          <w:color w:val="000000"/>
          <w:kern w:val="0"/>
          <w:sz w:val="24"/>
          <w:szCs w:val="24"/>
          <w:highlight w:val="none"/>
          <w:lang w:val="en-US" w:eastAsia="zh-CN"/>
        </w:rPr>
        <w:t>以公告形式通知</w:t>
      </w:r>
      <w:r>
        <w:rPr>
          <w:rFonts w:hint="eastAsia" w:ascii="宋体" w:hAnsi="宋体" w:eastAsia="宋体" w:cs="宋体"/>
          <w:color w:val="000000"/>
          <w:kern w:val="0"/>
          <w:sz w:val="24"/>
          <w:szCs w:val="24"/>
          <w:highlight w:val="none"/>
        </w:rPr>
        <w:t>所有购买招标文件的投标人</w:t>
      </w:r>
      <w:r>
        <w:rPr>
          <w:rFonts w:hint="eastAsia" w:ascii="宋体" w:hAnsi="宋体" w:eastAsia="宋体" w:cs="宋体"/>
          <w:color w:val="000000"/>
          <w:kern w:val="0"/>
          <w:sz w:val="24"/>
          <w:szCs w:val="24"/>
          <w:highlight w:val="none"/>
          <w:lang w:eastAsia="zh-CN"/>
        </w:rPr>
        <w:t>。</w:t>
      </w:r>
      <w:r>
        <w:rPr>
          <w:rFonts w:hint="eastAsia" w:ascii="宋体" w:hAnsi="宋体" w:cs="宋体"/>
          <w:sz w:val="24"/>
        </w:rPr>
        <w:t>但不指明澄清问题的来源。如果澄清发出的时间距投标截止时间不足 15天，相应延长投标截止时间。</w:t>
      </w:r>
    </w:p>
    <w:p w14:paraId="09119E01">
      <w:pPr>
        <w:tabs>
          <w:tab w:val="left" w:pos="4900"/>
          <w:tab w:val="left" w:pos="6527"/>
        </w:tabs>
        <w:wordWrap w:val="0"/>
        <w:spacing w:line="500" w:lineRule="exact"/>
        <w:ind w:firstLine="480" w:firstLineChars="200"/>
        <w:rPr>
          <w:rFonts w:hint="eastAsia" w:ascii="宋体" w:hAnsi="宋体"/>
          <w:sz w:val="24"/>
          <w:szCs w:val="24"/>
        </w:rPr>
      </w:pPr>
      <w:r>
        <w:rPr>
          <w:rFonts w:hint="eastAsia" w:ascii="宋体" w:hAnsi="宋体" w:cs="宋体"/>
          <w:sz w:val="24"/>
        </w:rPr>
        <w:t xml:space="preserve">2.2.3 </w:t>
      </w:r>
      <w:r>
        <w:rPr>
          <w:rFonts w:hint="eastAsia" w:ascii="宋体" w:hAnsi="宋体"/>
          <w:sz w:val="24"/>
        </w:rPr>
        <w:t>自招标文件</w:t>
      </w:r>
      <w:r>
        <w:rPr>
          <w:rFonts w:hint="eastAsia" w:ascii="宋体" w:hAnsi="宋体" w:cs="宋体"/>
          <w:sz w:val="24"/>
        </w:rPr>
        <w:t>澄清</w:t>
      </w:r>
      <w:r>
        <w:rPr>
          <w:rFonts w:hint="eastAsia" w:ascii="宋体" w:hAnsi="宋体"/>
          <w:sz w:val="24"/>
        </w:rPr>
        <w:t>公告在相关网站发布之日起，即为默认收到</w:t>
      </w:r>
    </w:p>
    <w:p w14:paraId="0BC0DA2C">
      <w:pPr>
        <w:tabs>
          <w:tab w:val="left" w:pos="4900"/>
          <w:tab w:val="left" w:pos="6527"/>
        </w:tabs>
        <w:wordWrap w:val="0"/>
        <w:spacing w:line="500" w:lineRule="exact"/>
        <w:ind w:firstLine="480" w:firstLineChars="200"/>
        <w:rPr>
          <w:rFonts w:hint="eastAsia" w:ascii="宋体" w:hAnsi="宋体"/>
          <w:sz w:val="24"/>
          <w:szCs w:val="24"/>
        </w:rPr>
      </w:pPr>
      <w:r>
        <w:rPr>
          <w:rFonts w:hint="eastAsia" w:ascii="宋体" w:hAnsi="宋体"/>
          <w:sz w:val="24"/>
          <w:szCs w:val="24"/>
        </w:rPr>
        <w:t>2.2.4 当招标文件澄清、修改内容相互矛盾时，以最后发出的通知或修改的文件为准。</w:t>
      </w:r>
    </w:p>
    <w:p w14:paraId="380CDC00">
      <w:pPr>
        <w:pStyle w:val="4"/>
        <w:wordWrap w:val="0"/>
        <w:spacing w:before="0" w:after="0" w:line="500" w:lineRule="exact"/>
        <w:rPr>
          <w:rFonts w:hint="eastAsia" w:ascii="宋体" w:hAnsi="宋体"/>
        </w:rPr>
      </w:pPr>
      <w:bookmarkStart w:id="202" w:name="_Toc7814"/>
      <w:bookmarkStart w:id="203" w:name="_Toc18738"/>
      <w:bookmarkStart w:id="204" w:name="_Toc32515"/>
      <w:bookmarkStart w:id="205" w:name="_Toc4765"/>
      <w:bookmarkStart w:id="206" w:name="_Toc7930"/>
      <w:bookmarkStart w:id="207" w:name="_Toc25390"/>
      <w:bookmarkStart w:id="208" w:name="_Toc7246"/>
      <w:bookmarkStart w:id="209" w:name="_Toc3614"/>
      <w:bookmarkStart w:id="210" w:name="_Toc10625"/>
      <w:r>
        <w:rPr>
          <w:rFonts w:hint="eastAsia" w:ascii="宋体" w:hAnsi="宋体"/>
        </w:rPr>
        <w:t>2.3 招标文件的修改</w:t>
      </w:r>
      <w:bookmarkEnd w:id="202"/>
      <w:bookmarkEnd w:id="203"/>
      <w:bookmarkEnd w:id="204"/>
      <w:bookmarkEnd w:id="205"/>
      <w:bookmarkEnd w:id="206"/>
      <w:bookmarkEnd w:id="207"/>
      <w:bookmarkEnd w:id="208"/>
      <w:bookmarkEnd w:id="209"/>
      <w:bookmarkEnd w:id="210"/>
    </w:p>
    <w:p w14:paraId="1721D8E1">
      <w:pPr>
        <w:wordWrap w:val="0"/>
        <w:autoSpaceDN w:val="0"/>
        <w:spacing w:line="360" w:lineRule="auto"/>
        <w:ind w:firstLine="480" w:firstLineChars="200"/>
        <w:rPr>
          <w:rFonts w:hint="eastAsia" w:ascii="宋体" w:hAnsi="宋体" w:eastAsia="宋体" w:cs="宋体"/>
          <w:sz w:val="24"/>
        </w:rPr>
      </w:pPr>
      <w:r>
        <w:rPr>
          <w:rFonts w:hint="eastAsia" w:ascii="宋体" w:hAnsi="宋体" w:eastAsia="宋体" w:cs="宋体"/>
          <w:sz w:val="24"/>
        </w:rPr>
        <w:t>2.3.1 在投标截止时间 15 天前，招标人可以修改招标文件，并以变更公告形式通知所有已购买招标文件的投标人。</w:t>
      </w:r>
    </w:p>
    <w:p w14:paraId="02451DF6">
      <w:pPr>
        <w:wordWrap w:val="0"/>
        <w:autoSpaceDN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2.3.2 </w:t>
      </w:r>
      <w:r>
        <w:rPr>
          <w:rFonts w:hint="eastAsia" w:ascii="宋体" w:hAnsi="宋体" w:eastAsia="宋体" w:cs="Times New Roman"/>
          <w:color w:val="000000"/>
          <w:kern w:val="0"/>
          <w:sz w:val="24"/>
        </w:rPr>
        <w:t>招标人可以通过电子化交易系统</w:t>
      </w:r>
      <w:r>
        <w:rPr>
          <w:rFonts w:hint="eastAsia" w:ascii="宋体" w:hAnsi="宋体" w:eastAsia="宋体" w:cs="宋体"/>
          <w:sz w:val="24"/>
        </w:rPr>
        <w:t>在三门峡市公共资源交易平台网发布变更公告</w:t>
      </w:r>
      <w:r>
        <w:rPr>
          <w:rFonts w:hint="eastAsia" w:ascii="宋体" w:hAnsi="宋体" w:eastAsia="宋体" w:cs="Times New Roman"/>
          <w:color w:val="000000"/>
          <w:kern w:val="0"/>
          <w:sz w:val="24"/>
        </w:rPr>
        <w:t>澄清修改招标文件，</w:t>
      </w:r>
      <w:r>
        <w:rPr>
          <w:rFonts w:hint="eastAsia" w:ascii="宋体" w:hAnsi="宋体" w:eastAsia="宋体" w:cs="宋体"/>
          <w:sz w:val="24"/>
        </w:rPr>
        <w:t>提醒投标人随时注意网上发布的信息。如因投标人自身原因未看到信息，因此造成的一切后果由投标人自行承担。</w:t>
      </w:r>
      <w:r>
        <w:rPr>
          <w:rFonts w:hint="eastAsia" w:ascii="宋体" w:hAnsi="宋体" w:eastAsia="宋体" w:cs="Times New Roman"/>
          <w:color w:val="000000"/>
          <w:kern w:val="0"/>
          <w:sz w:val="24"/>
        </w:rPr>
        <w:t>澄清修改招标文件的时间距投标人须知前附表规定的投标截止时间不足15日的，并且澄清内容影响投标文件编制的，将相应延长投标截止时间。</w:t>
      </w:r>
    </w:p>
    <w:p w14:paraId="02AE1F3A">
      <w:pPr>
        <w:widowControl/>
        <w:wordWrap w:val="0"/>
        <w:adjustRightInd w:val="0"/>
        <w:snapToGrid w:val="0"/>
        <w:spacing w:line="360" w:lineRule="auto"/>
        <w:ind w:firstLine="480" w:firstLineChars="200"/>
        <w:jc w:val="left"/>
        <w:rPr>
          <w:rFonts w:hint="eastAsia" w:ascii="宋体" w:hAnsi="宋体"/>
          <w:sz w:val="24"/>
          <w:szCs w:val="28"/>
        </w:rPr>
      </w:pPr>
      <w:r>
        <w:rPr>
          <w:rFonts w:hint="eastAsia" w:ascii="宋体" w:hAnsi="宋体" w:eastAsia="宋体" w:cs="宋体"/>
          <w:sz w:val="24"/>
        </w:rPr>
        <w:t>2.3.3</w:t>
      </w:r>
      <w:r>
        <w:rPr>
          <w:rFonts w:hint="eastAsia" w:ascii="宋体" w:hAnsi="宋体" w:eastAsia="宋体" w:cs="Times New Roman"/>
          <w:color w:val="000000"/>
          <w:kern w:val="0"/>
          <w:sz w:val="24"/>
        </w:rPr>
        <w:t>招标文件的澄清修改内容作为招标文件的组成部分，对投标人和招标人均具有约束作用。</w:t>
      </w:r>
    </w:p>
    <w:p w14:paraId="60697F62">
      <w:pPr>
        <w:pStyle w:val="4"/>
        <w:wordWrap w:val="0"/>
        <w:spacing w:before="0" w:after="0" w:line="500" w:lineRule="exact"/>
        <w:rPr>
          <w:rFonts w:hint="eastAsia" w:ascii="宋体" w:hAnsi="宋体"/>
        </w:rPr>
      </w:pPr>
      <w:r>
        <w:rPr>
          <w:rFonts w:hint="eastAsia" w:ascii="宋体" w:hAnsi="宋体"/>
        </w:rPr>
        <w:t>2.4 对招标文件的异议</w:t>
      </w:r>
      <w:bookmarkEnd w:id="193"/>
      <w:bookmarkEnd w:id="194"/>
      <w:bookmarkEnd w:id="195"/>
      <w:bookmarkEnd w:id="196"/>
      <w:bookmarkEnd w:id="197"/>
      <w:bookmarkEnd w:id="198"/>
      <w:bookmarkEnd w:id="199"/>
      <w:bookmarkEnd w:id="200"/>
      <w:bookmarkEnd w:id="201"/>
    </w:p>
    <w:p w14:paraId="154FB1FA">
      <w:pPr>
        <w:wordWrap w:val="0"/>
        <w:spacing w:line="500" w:lineRule="exact"/>
        <w:ind w:firstLine="480" w:firstLineChars="200"/>
      </w:pPr>
      <w:r>
        <w:rPr>
          <w:rFonts w:hint="eastAsia" w:ascii="宋体" w:hAnsi="宋体"/>
          <w:sz w:val="24"/>
          <w:szCs w:val="28"/>
        </w:rPr>
        <w:t>投标人或其他利害关系人对招标文件有异议的，应在投标截止时间 10 日前以书面形式提出。招标人将在收到异议之日起 3 日内作出答复；作出答复前，将暂停招标投标活动。</w:t>
      </w:r>
    </w:p>
    <w:p w14:paraId="372BF1C6">
      <w:pPr>
        <w:pStyle w:val="3"/>
        <w:wordWrap w:val="0"/>
        <w:spacing w:before="0" w:after="0" w:line="500" w:lineRule="exact"/>
        <w:rPr>
          <w:rFonts w:ascii="宋体" w:hAnsi="宋体"/>
        </w:rPr>
      </w:pPr>
      <w:bookmarkStart w:id="211" w:name="_Toc1110"/>
      <w:bookmarkStart w:id="212" w:name="_Toc247085705"/>
      <w:bookmarkStart w:id="213" w:name="_Toc5434"/>
      <w:bookmarkStart w:id="214" w:name="_Toc152045546"/>
      <w:bookmarkStart w:id="215" w:name="_Toc246996191"/>
      <w:bookmarkStart w:id="216" w:name="_Toc296602436"/>
      <w:bookmarkStart w:id="217" w:name="_Toc21791"/>
      <w:bookmarkStart w:id="218" w:name="_Toc14020"/>
      <w:bookmarkStart w:id="219" w:name="_Toc5737"/>
      <w:bookmarkStart w:id="220" w:name="_Toc246996934"/>
      <w:bookmarkStart w:id="221" w:name="_Toc144974514"/>
      <w:bookmarkStart w:id="222" w:name="_Toc179632564"/>
      <w:bookmarkStart w:id="223" w:name="_Toc152042322"/>
      <w:r>
        <w:rPr>
          <w:rFonts w:hint="eastAsia" w:ascii="宋体" w:hAnsi="宋体"/>
        </w:rPr>
        <w:t>3. 投标文件</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3479DF78">
      <w:pPr>
        <w:pStyle w:val="4"/>
        <w:wordWrap w:val="0"/>
        <w:spacing w:before="0" w:after="0" w:line="500" w:lineRule="exact"/>
        <w:rPr>
          <w:rFonts w:ascii="宋体" w:hAnsi="宋体"/>
        </w:rPr>
      </w:pPr>
      <w:bookmarkStart w:id="224" w:name="_Toc144974515"/>
      <w:bookmarkStart w:id="225" w:name="_Toc247085706"/>
      <w:bookmarkStart w:id="226" w:name="_Toc179632565"/>
      <w:bookmarkStart w:id="227" w:name="_Toc246996192"/>
      <w:bookmarkStart w:id="228" w:name="_Toc152045547"/>
      <w:bookmarkStart w:id="229" w:name="_Toc296602437"/>
      <w:bookmarkStart w:id="230" w:name="_Toc246996935"/>
      <w:bookmarkStart w:id="231" w:name="_Toc152042323"/>
      <w:r>
        <w:rPr>
          <w:rFonts w:hint="eastAsia" w:ascii="宋体" w:hAnsi="宋体"/>
        </w:rPr>
        <w:t>3.1 投标文件的组成</w:t>
      </w:r>
      <w:bookmarkEnd w:id="224"/>
      <w:bookmarkEnd w:id="225"/>
      <w:bookmarkEnd w:id="226"/>
      <w:bookmarkEnd w:id="227"/>
      <w:bookmarkEnd w:id="228"/>
      <w:bookmarkEnd w:id="229"/>
      <w:bookmarkEnd w:id="230"/>
      <w:bookmarkEnd w:id="231"/>
    </w:p>
    <w:p w14:paraId="385B04CF">
      <w:pPr>
        <w:wordWrap w:val="0"/>
        <w:spacing w:line="500" w:lineRule="exact"/>
        <w:ind w:firstLine="480" w:firstLineChars="200"/>
        <w:rPr>
          <w:rFonts w:ascii="宋体" w:hAnsi="宋体"/>
          <w:sz w:val="24"/>
          <w:szCs w:val="24"/>
        </w:rPr>
      </w:pPr>
      <w:r>
        <w:rPr>
          <w:rFonts w:hint="eastAsia" w:ascii="宋体" w:hAnsi="宋体"/>
          <w:sz w:val="24"/>
          <w:szCs w:val="24"/>
        </w:rPr>
        <w:t>3.1.1投标文件应包括下列内容：</w:t>
      </w:r>
    </w:p>
    <w:p w14:paraId="4FA5593B">
      <w:pPr>
        <w:wordWrap w:val="0"/>
        <w:spacing w:line="500" w:lineRule="exact"/>
        <w:ind w:firstLine="410" w:firstLineChars="171"/>
        <w:rPr>
          <w:rFonts w:hint="eastAsia" w:ascii="宋体" w:hAnsi="宋体"/>
          <w:sz w:val="24"/>
          <w:szCs w:val="24"/>
        </w:rPr>
      </w:pPr>
      <w:bookmarkStart w:id="232" w:name="_Toc152045548"/>
      <w:bookmarkStart w:id="233" w:name="_Toc144974516"/>
      <w:bookmarkStart w:id="234" w:name="_Toc179632566"/>
      <w:bookmarkStart w:id="235" w:name="_Toc247085707"/>
      <w:bookmarkStart w:id="236" w:name="_Toc152042324"/>
      <w:bookmarkStart w:id="237" w:name="_Toc246996193"/>
      <w:bookmarkStart w:id="238" w:name="_Toc246996936"/>
      <w:bookmarkStart w:id="239" w:name="_Toc296602438"/>
      <w:r>
        <w:rPr>
          <w:rFonts w:hint="eastAsia" w:ascii="宋体" w:hAnsi="宋体"/>
          <w:sz w:val="24"/>
          <w:szCs w:val="24"/>
        </w:rPr>
        <w:t>第一个信封（商务及技术文件）：</w:t>
      </w:r>
    </w:p>
    <w:p w14:paraId="1D888F13">
      <w:pPr>
        <w:wordWrap w:val="0"/>
        <w:spacing w:line="500" w:lineRule="exact"/>
        <w:ind w:firstLine="410" w:firstLineChars="17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(1）投标函</w:t>
      </w:r>
      <w:r>
        <w:rPr>
          <w:rFonts w:hint="eastAsia" w:ascii="宋体" w:hAnsi="宋体"/>
          <w:color w:val="000000" w:themeColor="text1"/>
          <w:sz w:val="24"/>
          <w:szCs w:val="24"/>
          <w:lang w:val="en-US" w:eastAsia="zh-CN"/>
          <w14:textFill>
            <w14:solidFill>
              <w14:schemeClr w14:val="tx1"/>
            </w14:solidFill>
          </w14:textFill>
        </w:rPr>
        <w:t>及</w:t>
      </w:r>
      <w:r>
        <w:rPr>
          <w:rFonts w:hint="eastAsia" w:ascii="宋体" w:hAnsi="宋体"/>
          <w:color w:val="000000" w:themeColor="text1"/>
          <w:sz w:val="24"/>
          <w:szCs w:val="24"/>
          <w14:textFill>
            <w14:solidFill>
              <w14:schemeClr w14:val="tx1"/>
            </w14:solidFill>
          </w14:textFill>
        </w:rPr>
        <w:t>投标函附录；</w:t>
      </w:r>
    </w:p>
    <w:p w14:paraId="223B4B3C">
      <w:pPr>
        <w:wordWrap w:val="0"/>
        <w:spacing w:line="500" w:lineRule="exact"/>
        <w:ind w:firstLine="410" w:firstLineChars="17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(2）法定代表人身份证明及授权委托书</w:t>
      </w:r>
    </w:p>
    <w:p w14:paraId="3F17DED9">
      <w:pPr>
        <w:wordWrap w:val="0"/>
        <w:spacing w:line="500" w:lineRule="exact"/>
        <w:ind w:firstLine="410" w:firstLineChars="17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）投标保证金；</w:t>
      </w:r>
    </w:p>
    <w:p w14:paraId="159D7DE8">
      <w:pPr>
        <w:wordWrap w:val="0"/>
        <w:spacing w:line="500" w:lineRule="exact"/>
        <w:ind w:firstLine="410" w:firstLineChars="17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）施工组织设计；</w:t>
      </w:r>
    </w:p>
    <w:p w14:paraId="7B119BA3">
      <w:pPr>
        <w:wordWrap w:val="0"/>
        <w:spacing w:line="500" w:lineRule="exact"/>
        <w:ind w:firstLine="410" w:firstLineChars="171"/>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）项目管理机构</w:t>
      </w:r>
    </w:p>
    <w:p w14:paraId="68E22A36">
      <w:pPr>
        <w:wordWrap w:val="0"/>
        <w:spacing w:line="500" w:lineRule="exact"/>
        <w:ind w:firstLine="410" w:firstLineChars="171"/>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资格审查等资料</w:t>
      </w:r>
    </w:p>
    <w:p w14:paraId="174EEBDB">
      <w:pPr>
        <w:wordWrap w:val="0"/>
        <w:spacing w:line="500" w:lineRule="exact"/>
        <w:ind w:firstLine="410" w:firstLineChars="171"/>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履职尽责承诺及服务承诺</w:t>
      </w:r>
    </w:p>
    <w:p w14:paraId="703EE857">
      <w:pPr>
        <w:wordWrap w:val="0"/>
        <w:spacing w:line="500" w:lineRule="exact"/>
        <w:ind w:firstLine="410" w:firstLineChars="171"/>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不拖欠农民工工资承诺</w:t>
      </w:r>
    </w:p>
    <w:p w14:paraId="7C70CA92">
      <w:pPr>
        <w:wordWrap w:val="0"/>
        <w:spacing w:line="500" w:lineRule="exact"/>
        <w:ind w:firstLine="410" w:firstLineChars="171"/>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其他资料。</w:t>
      </w:r>
    </w:p>
    <w:p w14:paraId="2B878EEB">
      <w:pPr>
        <w:wordWrap w:val="0"/>
        <w:spacing w:line="500" w:lineRule="exact"/>
        <w:ind w:firstLine="410" w:firstLineChars="171"/>
        <w:rPr>
          <w:rFonts w:hint="eastAsia" w:ascii="宋体" w:hAnsi="宋体"/>
          <w:sz w:val="24"/>
          <w:szCs w:val="24"/>
        </w:rPr>
      </w:pPr>
      <w:r>
        <w:rPr>
          <w:rFonts w:hint="eastAsia" w:ascii="宋体" w:hAnsi="宋体"/>
          <w:sz w:val="24"/>
          <w:szCs w:val="24"/>
        </w:rPr>
        <w:t>第二个信封（报价文件）：</w:t>
      </w:r>
    </w:p>
    <w:p w14:paraId="7AAB3A7F">
      <w:pPr>
        <w:wordWrap w:val="0"/>
        <w:spacing w:line="500" w:lineRule="exact"/>
        <w:ind w:firstLine="410" w:firstLineChars="171"/>
        <w:rPr>
          <w:rFonts w:hint="eastAsia" w:ascii="宋体" w:hAnsi="宋体"/>
          <w:sz w:val="24"/>
          <w:szCs w:val="24"/>
        </w:rPr>
      </w:pPr>
      <w:r>
        <w:rPr>
          <w:rFonts w:hint="eastAsia" w:ascii="宋体" w:hAnsi="宋体"/>
          <w:sz w:val="24"/>
          <w:szCs w:val="24"/>
        </w:rPr>
        <w:t>（1）投标函；</w:t>
      </w:r>
    </w:p>
    <w:p w14:paraId="715C1345">
      <w:pPr>
        <w:wordWrap w:val="0"/>
        <w:spacing w:line="500" w:lineRule="exact"/>
        <w:ind w:firstLine="410" w:firstLineChars="171"/>
        <w:rPr>
          <w:rFonts w:hint="eastAsia" w:ascii="宋体" w:hAnsi="宋体"/>
          <w:sz w:val="24"/>
          <w:szCs w:val="24"/>
        </w:rPr>
      </w:pPr>
      <w:r>
        <w:rPr>
          <w:rFonts w:hint="eastAsia" w:ascii="宋体" w:hAnsi="宋体"/>
          <w:sz w:val="24"/>
          <w:szCs w:val="24"/>
        </w:rPr>
        <w:t>（2）已标价工程量清单；</w:t>
      </w:r>
    </w:p>
    <w:p w14:paraId="3DFAF1DF">
      <w:pPr>
        <w:pStyle w:val="4"/>
        <w:wordWrap w:val="0"/>
        <w:spacing w:before="0" w:after="0" w:line="500" w:lineRule="exact"/>
        <w:rPr>
          <w:rFonts w:ascii="宋体" w:hAnsi="宋体"/>
          <w:sz w:val="21"/>
          <w:szCs w:val="21"/>
        </w:rPr>
      </w:pPr>
      <w:r>
        <w:rPr>
          <w:rFonts w:hint="eastAsia" w:ascii="宋体" w:hAnsi="宋体"/>
        </w:rPr>
        <w:t>3.2 投标报价</w:t>
      </w:r>
      <w:bookmarkEnd w:id="232"/>
      <w:bookmarkEnd w:id="233"/>
      <w:bookmarkEnd w:id="234"/>
      <w:bookmarkEnd w:id="235"/>
      <w:bookmarkEnd w:id="236"/>
      <w:bookmarkEnd w:id="237"/>
      <w:bookmarkEnd w:id="238"/>
      <w:bookmarkEnd w:id="239"/>
      <w:bookmarkStart w:id="240" w:name="_Toc152045549"/>
      <w:bookmarkStart w:id="241" w:name="_Toc152042325"/>
      <w:bookmarkStart w:id="242" w:name="_Toc179632567"/>
      <w:bookmarkStart w:id="243" w:name="_Toc144974517"/>
    </w:p>
    <w:p w14:paraId="19FB3B6B">
      <w:pPr>
        <w:wordWrap w:val="0"/>
        <w:spacing w:line="500" w:lineRule="exact"/>
        <w:ind w:firstLine="410" w:firstLineChars="171"/>
        <w:rPr>
          <w:rFonts w:hint="eastAsia" w:ascii="宋体" w:hAnsi="宋体"/>
          <w:sz w:val="24"/>
          <w:szCs w:val="24"/>
        </w:rPr>
      </w:pPr>
      <w:bookmarkStart w:id="244" w:name="_Toc246996194"/>
      <w:bookmarkStart w:id="245" w:name="_Toc246996937"/>
      <w:bookmarkStart w:id="246" w:name="_Toc247085708"/>
      <w:bookmarkStart w:id="247" w:name="_Toc296602439"/>
      <w:r>
        <w:rPr>
          <w:rFonts w:hint="eastAsia" w:ascii="宋体" w:hAnsi="宋体"/>
          <w:sz w:val="24"/>
          <w:szCs w:val="24"/>
        </w:rPr>
        <w:t>3.2.1 投标报价应包括国家规定的增值税税金，除投标人须知前附表另有规定外，增值税税金按一般计税方法计算。投标人应按“投标文件格式”的要求在投标函中进行报价并填写工程量清单相应表格。</w:t>
      </w:r>
    </w:p>
    <w:p w14:paraId="5CDDE8FF">
      <w:pPr>
        <w:wordWrap w:val="0"/>
        <w:spacing w:line="500" w:lineRule="exact"/>
        <w:ind w:firstLine="410" w:firstLineChars="171"/>
        <w:rPr>
          <w:rFonts w:hint="eastAsia" w:ascii="宋体" w:hAnsi="宋体"/>
          <w:sz w:val="24"/>
          <w:szCs w:val="24"/>
        </w:rPr>
      </w:pPr>
      <w:r>
        <w:rPr>
          <w:rFonts w:hint="eastAsia" w:ascii="宋体" w:hAnsi="宋体"/>
          <w:sz w:val="24"/>
          <w:szCs w:val="24"/>
        </w:rPr>
        <w:t>3.2.2投标人应充分了解本项目的总体情况以及影响投标报价的其他要素。</w:t>
      </w:r>
    </w:p>
    <w:p w14:paraId="0B4A63A6">
      <w:pPr>
        <w:wordWrap w:val="0"/>
        <w:spacing w:line="360" w:lineRule="auto"/>
        <w:ind w:firstLine="410" w:firstLineChars="171"/>
        <w:rPr>
          <w:rFonts w:hint="eastAsia" w:ascii="宋体" w:hAnsi="宋体"/>
          <w:sz w:val="24"/>
          <w:szCs w:val="24"/>
          <w:highlight w:val="none"/>
        </w:rPr>
      </w:pPr>
      <w:r>
        <w:rPr>
          <w:rFonts w:hint="eastAsia" w:ascii="宋体" w:hAnsi="宋体"/>
          <w:sz w:val="24"/>
          <w:szCs w:val="24"/>
        </w:rPr>
        <w:t>3.2.3本项目的报价方式见投标人须知前附表。投标人在投标截止时间前修改投标函中的投标总报价，应同时修改投标文件“已标价工程量清单”中的相应报价。此修改须符合本章第</w:t>
      </w:r>
    </w:p>
    <w:p w14:paraId="44687F5B">
      <w:pPr>
        <w:pStyle w:val="4"/>
        <w:wordWrap w:val="0"/>
        <w:spacing w:before="0" w:after="0" w:line="520" w:lineRule="exact"/>
        <w:rPr>
          <w:rFonts w:ascii="宋体" w:hAnsi="宋体"/>
        </w:rPr>
      </w:pPr>
      <w:r>
        <w:rPr>
          <w:rFonts w:hint="eastAsia" w:ascii="宋体" w:hAnsi="宋体"/>
        </w:rPr>
        <w:t>3.3 投标有效期</w:t>
      </w:r>
      <w:bookmarkEnd w:id="240"/>
      <w:bookmarkEnd w:id="241"/>
      <w:bookmarkEnd w:id="242"/>
      <w:bookmarkEnd w:id="243"/>
      <w:bookmarkEnd w:id="244"/>
      <w:bookmarkEnd w:id="245"/>
      <w:bookmarkEnd w:id="246"/>
      <w:bookmarkEnd w:id="247"/>
    </w:p>
    <w:p w14:paraId="251853CC">
      <w:pPr>
        <w:wordWrap w:val="0"/>
        <w:spacing w:line="520" w:lineRule="exact"/>
        <w:ind w:firstLine="480" w:firstLineChars="200"/>
        <w:rPr>
          <w:rFonts w:ascii="宋体" w:hAnsi="宋体"/>
          <w:sz w:val="24"/>
          <w:szCs w:val="24"/>
        </w:rPr>
      </w:pPr>
      <w:r>
        <w:rPr>
          <w:rFonts w:hint="eastAsia" w:ascii="宋体" w:hAnsi="宋体"/>
          <w:sz w:val="24"/>
          <w:szCs w:val="24"/>
        </w:rPr>
        <w:t>3.3.1 投标有效期为投标截止之日起60日历天。</w:t>
      </w:r>
    </w:p>
    <w:p w14:paraId="09DF47FA">
      <w:pPr>
        <w:wordWrap w:val="0"/>
        <w:spacing w:line="520" w:lineRule="exact"/>
        <w:ind w:firstLine="480" w:firstLineChars="200"/>
        <w:rPr>
          <w:rFonts w:ascii="宋体" w:hAnsi="宋体"/>
          <w:sz w:val="24"/>
          <w:szCs w:val="24"/>
        </w:rPr>
      </w:pPr>
      <w:r>
        <w:rPr>
          <w:rFonts w:hint="eastAsia" w:ascii="宋体" w:hAnsi="宋体"/>
          <w:sz w:val="24"/>
          <w:szCs w:val="24"/>
        </w:rPr>
        <w:t>3.3.2在投标有效期内，投标人撤销或修改其投标文件的，应承担招标文件和法律规定的责任。</w:t>
      </w:r>
    </w:p>
    <w:p w14:paraId="3DE749AA">
      <w:pPr>
        <w:wordWrap w:val="0"/>
        <w:spacing w:line="520" w:lineRule="exact"/>
        <w:ind w:firstLine="480" w:firstLineChars="200"/>
        <w:rPr>
          <w:rFonts w:ascii="宋体" w:hAnsi="宋体"/>
          <w:sz w:val="24"/>
          <w:szCs w:val="24"/>
        </w:rPr>
      </w:pPr>
      <w:r>
        <w:rPr>
          <w:rFonts w:hint="eastAsia" w:ascii="宋体" w:hAnsi="宋体"/>
          <w:sz w:val="24"/>
          <w:szCs w:val="24"/>
        </w:rPr>
        <w:t>3.3.3出现特殊情况需要延长投标有效期的，</w:t>
      </w:r>
      <w:r>
        <w:rPr>
          <w:rFonts w:hint="eastAsia" w:ascii="宋体" w:hAnsi="宋体" w:eastAsia="宋体" w:cs="宋体"/>
          <w:color w:val="000000"/>
          <w:kern w:val="0"/>
          <w:sz w:val="24"/>
          <w:szCs w:val="24"/>
          <w:highlight w:val="none"/>
        </w:rPr>
        <w:t>招标人通知所有投标人延长投标有效期。投标人同意延长的，应相应延长其投标保证金的有效期，但不得要求或被允许修改或撤销其电子投标文件；投标人拒绝延长的，其投标失效，但投标人有权收回其投标保证金。</w:t>
      </w:r>
    </w:p>
    <w:p w14:paraId="7F0C4DC0">
      <w:pPr>
        <w:pStyle w:val="4"/>
        <w:wordWrap w:val="0"/>
        <w:spacing w:before="0" w:after="0" w:line="520" w:lineRule="exact"/>
        <w:rPr>
          <w:rFonts w:ascii="宋体" w:hAnsi="宋体"/>
        </w:rPr>
      </w:pPr>
      <w:bookmarkStart w:id="248" w:name="_Toc152045550"/>
      <w:bookmarkStart w:id="249" w:name="_Toc179632568"/>
      <w:bookmarkStart w:id="250" w:name="_Toc152042326"/>
      <w:bookmarkStart w:id="251" w:name="_Toc246996195"/>
      <w:bookmarkStart w:id="252" w:name="_Toc296602440"/>
      <w:bookmarkStart w:id="253" w:name="_Toc246996938"/>
      <w:bookmarkStart w:id="254" w:name="_Toc144974518"/>
      <w:bookmarkStart w:id="255" w:name="_Toc247085709"/>
      <w:r>
        <w:rPr>
          <w:rFonts w:hint="eastAsia" w:ascii="宋体" w:hAnsi="宋体"/>
        </w:rPr>
        <w:t>3.4 投标保证金</w:t>
      </w:r>
      <w:bookmarkEnd w:id="248"/>
      <w:bookmarkEnd w:id="249"/>
      <w:bookmarkEnd w:id="250"/>
      <w:bookmarkEnd w:id="251"/>
      <w:bookmarkEnd w:id="252"/>
      <w:bookmarkEnd w:id="253"/>
      <w:bookmarkEnd w:id="254"/>
      <w:bookmarkEnd w:id="255"/>
    </w:p>
    <w:p w14:paraId="418207C9">
      <w:pPr>
        <w:wordWrap w:val="0"/>
        <w:spacing w:line="520" w:lineRule="exact"/>
        <w:ind w:firstLine="480" w:firstLineChars="200"/>
        <w:rPr>
          <w:rFonts w:ascii="宋体" w:hAnsi="宋体"/>
          <w:sz w:val="24"/>
          <w:szCs w:val="24"/>
        </w:rPr>
      </w:pPr>
      <w:r>
        <w:rPr>
          <w:rFonts w:hint="eastAsia" w:ascii="宋体" w:hAnsi="宋体"/>
          <w:sz w:val="24"/>
          <w:szCs w:val="24"/>
        </w:rPr>
        <w:t>3.4.1 投标人须知前附表规定递交投标保证金的，投标人在递交投标文件的同时，应按投标人须知前附表规定的金额和“投标文件格式”规定的或者事先经过招标人认可的投标保证金格式递交投标保证金，并作为其投标文件的组成部分。</w:t>
      </w:r>
    </w:p>
    <w:p w14:paraId="0453C993">
      <w:pPr>
        <w:wordWrap w:val="0"/>
        <w:spacing w:line="520" w:lineRule="exact"/>
        <w:ind w:firstLine="480" w:firstLineChars="200"/>
        <w:rPr>
          <w:rFonts w:ascii="宋体" w:hAnsi="宋体"/>
          <w:sz w:val="24"/>
          <w:szCs w:val="24"/>
        </w:rPr>
      </w:pPr>
      <w:r>
        <w:rPr>
          <w:rFonts w:hint="eastAsia" w:ascii="宋体" w:hAnsi="宋体"/>
          <w:sz w:val="24"/>
          <w:szCs w:val="24"/>
        </w:rPr>
        <w:t>3.4.2 投标人不按投标人须知前附表第3.4.1项要求提交投标保证金的，评标委员会将否决其投标。</w:t>
      </w:r>
    </w:p>
    <w:p w14:paraId="2BD20DFD">
      <w:pPr>
        <w:pageBreakBefore w:val="0"/>
        <w:widowControl w:val="0"/>
        <w:kinsoku/>
        <w:wordWrap w:val="0"/>
        <w:overflowPunct/>
        <w:topLinePunct w:val="0"/>
        <w:autoSpaceDE w:val="0"/>
        <w:autoSpaceDN w:val="0"/>
        <w:bidi w:val="0"/>
        <w:adjustRightInd w:val="0"/>
        <w:spacing w:line="460" w:lineRule="exact"/>
        <w:ind w:firstLine="480" w:firstLineChars="200"/>
        <w:jc w:val="left"/>
        <w:textAlignment w:val="auto"/>
        <w:rPr>
          <w:rFonts w:hint="eastAsia" w:ascii="宋体" w:hAnsi="宋体" w:eastAsia="宋体" w:cs="仿宋_GB2312"/>
          <w:sz w:val="24"/>
          <w:szCs w:val="24"/>
        </w:rPr>
      </w:pPr>
      <w:r>
        <w:rPr>
          <w:rFonts w:hint="eastAsia" w:ascii="宋体" w:hAnsi="宋体"/>
          <w:sz w:val="24"/>
          <w:szCs w:val="24"/>
        </w:rPr>
        <w:t>3.4.3</w:t>
      </w:r>
      <w:r>
        <w:rPr>
          <w:rFonts w:hint="eastAsia" w:ascii="宋体" w:hAnsi="宋体" w:eastAsia="宋体" w:cs="仿宋_GB2312"/>
          <w:sz w:val="24"/>
          <w:szCs w:val="24"/>
        </w:rPr>
        <w:t>投标保证金的退还</w:t>
      </w:r>
    </w:p>
    <w:p w14:paraId="04979F88">
      <w:pPr>
        <w:pageBreakBefore w:val="0"/>
        <w:widowControl w:val="0"/>
        <w:kinsoku/>
        <w:wordWrap w:val="0"/>
        <w:overflowPunct/>
        <w:topLinePunct w:val="0"/>
        <w:autoSpaceDE w:val="0"/>
        <w:autoSpaceDN w:val="0"/>
        <w:bidi w:val="0"/>
        <w:adjustRightInd w:val="0"/>
        <w:spacing w:line="460" w:lineRule="exact"/>
        <w:ind w:firstLine="480" w:firstLineChars="200"/>
        <w:jc w:val="left"/>
        <w:textAlignment w:val="auto"/>
        <w:rPr>
          <w:rFonts w:ascii="宋体" w:hAnsi="宋体"/>
          <w:sz w:val="24"/>
          <w:szCs w:val="24"/>
        </w:rPr>
      </w:pPr>
      <w:r>
        <w:rPr>
          <w:rFonts w:hint="eastAsia" w:ascii="宋体" w:hAnsi="宋体" w:eastAsia="宋体" w:cs="仿宋_GB2312"/>
          <w:sz w:val="24"/>
          <w:szCs w:val="24"/>
        </w:rPr>
        <w:t>评标结束后，</w:t>
      </w:r>
      <w:r>
        <w:rPr>
          <w:rFonts w:hint="eastAsia" w:ascii="宋体" w:hAnsi="宋体" w:eastAsia="宋体" w:cs="仿宋_GB2312"/>
          <w:sz w:val="24"/>
          <w:szCs w:val="24"/>
          <w:lang w:val="en-US" w:eastAsia="zh-CN"/>
        </w:rPr>
        <w:t>发布候选人公示</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定标结果</w:t>
      </w:r>
      <w:r>
        <w:rPr>
          <w:rFonts w:hint="eastAsia" w:ascii="宋体" w:hAnsi="宋体" w:eastAsia="宋体" w:cs="仿宋_GB2312"/>
          <w:sz w:val="24"/>
          <w:szCs w:val="24"/>
        </w:rPr>
        <w:t>公示，公示期结束后，交易中心统一办理（无需投标人办理）。未中标人的保证金在结果公告发布后，系统自动提交退款申请至中心财务处，由财务核对后自动退还给未中标人基本账户；中标人的保证金在合同签订后，由代理机构上传合同扫描件，经项目负责人确认后，系统自动提交退款申请至中心财务处，由财务核对后自动退还给中标人基本账户招投标活动中因发生质疑、投诉、举报或有关部门立案调查，投标保证金暂不退还，待调查处理结案后，按有关规定办理。</w:t>
      </w:r>
    </w:p>
    <w:p w14:paraId="1AA12919">
      <w:pPr>
        <w:wordWrap w:val="0"/>
        <w:spacing w:line="520" w:lineRule="exact"/>
        <w:ind w:firstLine="480" w:firstLineChars="200"/>
        <w:rPr>
          <w:rFonts w:ascii="宋体" w:hAnsi="宋体"/>
          <w:sz w:val="24"/>
          <w:szCs w:val="24"/>
        </w:rPr>
      </w:pPr>
      <w:r>
        <w:rPr>
          <w:rFonts w:hint="eastAsia" w:ascii="宋体" w:hAnsi="宋体"/>
          <w:sz w:val="24"/>
          <w:szCs w:val="24"/>
        </w:rPr>
        <w:t xml:space="preserve">3.4.4 有下列情形之一的，投标保证金将不予退还： </w:t>
      </w:r>
    </w:p>
    <w:p w14:paraId="3A801CD9">
      <w:pPr>
        <w:wordWrap w:val="0"/>
        <w:spacing w:line="520" w:lineRule="exact"/>
        <w:ind w:firstLine="480" w:firstLineChars="200"/>
        <w:rPr>
          <w:rFonts w:ascii="宋体" w:hAnsi="宋体"/>
          <w:sz w:val="24"/>
        </w:rPr>
      </w:pPr>
      <w:bookmarkStart w:id="256" w:name="_Toc152045552"/>
      <w:bookmarkStart w:id="257" w:name="_Toc179632570"/>
      <w:bookmarkStart w:id="258" w:name="_Toc144974520"/>
      <w:bookmarkStart w:id="259" w:name="_Toc152042328"/>
      <w:bookmarkStart w:id="260" w:name="_Toc296602442"/>
      <w:bookmarkStart w:id="261" w:name="_Toc246996197"/>
      <w:bookmarkStart w:id="262" w:name="_Toc247085711"/>
      <w:bookmarkStart w:id="263" w:name="_Toc144974521"/>
      <w:bookmarkStart w:id="264" w:name="_Toc179632571"/>
      <w:bookmarkStart w:id="265" w:name="_Toc152045553"/>
      <w:bookmarkStart w:id="266" w:name="_Toc246996940"/>
      <w:bookmarkStart w:id="267" w:name="_Toc152042329"/>
      <w:r>
        <w:rPr>
          <w:rFonts w:hint="eastAsia" w:ascii="宋体" w:hAnsi="宋体"/>
          <w:sz w:val="24"/>
        </w:rPr>
        <w:t>（1）投标人在投标有效期内撤销投标文件的；</w:t>
      </w:r>
    </w:p>
    <w:p w14:paraId="60FDFD5E">
      <w:pPr>
        <w:wordWrap w:val="0"/>
        <w:spacing w:line="520" w:lineRule="exact"/>
        <w:ind w:firstLine="480" w:firstLineChars="200"/>
        <w:rPr>
          <w:rFonts w:ascii="宋体" w:hAnsi="宋体"/>
          <w:sz w:val="24"/>
        </w:rPr>
      </w:pPr>
      <w:r>
        <w:rPr>
          <w:rFonts w:hint="eastAsia" w:ascii="宋体" w:hAnsi="宋体"/>
          <w:sz w:val="24"/>
        </w:rPr>
        <w:t>（2）投标人在投标文件提供虚假材料的；</w:t>
      </w:r>
    </w:p>
    <w:p w14:paraId="5A11A007">
      <w:pPr>
        <w:wordWrap w:val="0"/>
        <w:spacing w:line="520" w:lineRule="exact"/>
        <w:ind w:firstLine="480" w:firstLineChars="200"/>
        <w:rPr>
          <w:rFonts w:ascii="宋体" w:hAnsi="宋体"/>
          <w:sz w:val="24"/>
        </w:rPr>
      </w:pPr>
      <w:r>
        <w:rPr>
          <w:rFonts w:hint="eastAsia" w:ascii="宋体" w:hAnsi="宋体"/>
          <w:sz w:val="24"/>
        </w:rPr>
        <w:t>（3）除因不可抗力或招标文件认可的情形以外，不与招标人签订合同的；</w:t>
      </w:r>
    </w:p>
    <w:p w14:paraId="7E373BA8">
      <w:pPr>
        <w:wordWrap w:val="0"/>
        <w:spacing w:line="520" w:lineRule="exact"/>
        <w:ind w:firstLine="480" w:firstLineChars="200"/>
        <w:rPr>
          <w:rFonts w:ascii="宋体" w:hAnsi="宋体"/>
          <w:sz w:val="24"/>
        </w:rPr>
      </w:pPr>
      <w:r>
        <w:rPr>
          <w:rFonts w:hint="eastAsia" w:ascii="宋体" w:hAnsi="宋体"/>
          <w:sz w:val="24"/>
        </w:rPr>
        <w:t>（4）投标人与招标人、其他投标人或者代理机构恶意串通的；</w:t>
      </w:r>
    </w:p>
    <w:p w14:paraId="6244046C">
      <w:pPr>
        <w:wordWrap w:val="0"/>
        <w:spacing w:line="520" w:lineRule="exact"/>
        <w:ind w:firstLine="480" w:firstLineChars="200"/>
        <w:rPr>
          <w:rFonts w:ascii="宋体" w:hAnsi="宋体"/>
          <w:sz w:val="24"/>
        </w:rPr>
      </w:pPr>
      <w:r>
        <w:rPr>
          <w:rFonts w:hint="eastAsia" w:ascii="宋体" w:hAnsi="宋体"/>
          <w:sz w:val="24"/>
        </w:rPr>
        <w:t>（5）法律法规及招标文件规定的其他情形。</w:t>
      </w:r>
    </w:p>
    <w:p w14:paraId="6017B640">
      <w:pPr>
        <w:wordWrap w:val="0"/>
        <w:spacing w:line="520" w:lineRule="exact"/>
        <w:ind w:firstLine="480" w:firstLineChars="200"/>
        <w:rPr>
          <w:rFonts w:ascii="宋体" w:hAnsi="宋体"/>
          <w:sz w:val="24"/>
        </w:rPr>
      </w:pPr>
      <w:r>
        <w:rPr>
          <w:rFonts w:hint="eastAsia" w:ascii="宋体" w:hAnsi="宋体"/>
          <w:sz w:val="24"/>
        </w:rPr>
        <w:t>投标人出现以上情况经有关部门调查核实后，保证金不予退还，不予退还的保证金上缴财政国库。</w:t>
      </w:r>
    </w:p>
    <w:p w14:paraId="31D665AE">
      <w:pPr>
        <w:pStyle w:val="4"/>
        <w:wordWrap w:val="0"/>
        <w:spacing w:before="0" w:after="0" w:line="520" w:lineRule="exact"/>
        <w:rPr>
          <w:rFonts w:hint="eastAsia" w:ascii="宋体" w:hAnsi="宋体"/>
        </w:rPr>
      </w:pPr>
      <w:r>
        <w:rPr>
          <w:rFonts w:hint="eastAsia" w:ascii="宋体" w:hAnsi="宋体"/>
        </w:rPr>
        <w:t xml:space="preserve">3.5 </w:t>
      </w:r>
      <w:bookmarkEnd w:id="256"/>
      <w:bookmarkEnd w:id="257"/>
      <w:bookmarkEnd w:id="258"/>
      <w:bookmarkEnd w:id="259"/>
      <w:r>
        <w:rPr>
          <w:rFonts w:hint="eastAsia" w:ascii="宋体" w:hAnsi="宋体"/>
        </w:rPr>
        <w:t>资格审查资料</w:t>
      </w:r>
    </w:p>
    <w:p w14:paraId="298FB935">
      <w:pPr>
        <w:wordWrap w:val="0"/>
        <w:spacing w:line="520" w:lineRule="exact"/>
        <w:ind w:firstLine="480" w:firstLineChars="200"/>
        <w:jc w:val="left"/>
        <w:rPr>
          <w:rFonts w:hint="eastAsia" w:ascii="宋体" w:hAnsi="宋体" w:cs="宋体"/>
          <w:sz w:val="24"/>
        </w:rPr>
      </w:pPr>
      <w:r>
        <w:rPr>
          <w:rFonts w:hint="eastAsia" w:ascii="宋体" w:hAnsi="宋体" w:cs="宋体"/>
          <w:sz w:val="24"/>
        </w:rPr>
        <w:t>除投标人须知前附表另有规定外，投标人应按规定提供资格审查资料，以证明其满足本章第 1.4 .1款规定的资质、信誉、项目经理及</w:t>
      </w:r>
      <w:r>
        <w:rPr>
          <w:rFonts w:hint="eastAsia" w:ascii="宋体" w:hAnsi="宋体" w:cs="宋体"/>
          <w:sz w:val="24"/>
          <w:lang w:val="en-US" w:eastAsia="zh-CN"/>
        </w:rPr>
        <w:t>技术负责人</w:t>
      </w:r>
      <w:r>
        <w:rPr>
          <w:rFonts w:hint="eastAsia" w:ascii="宋体" w:hAnsi="宋体" w:cs="宋体"/>
          <w:sz w:val="24"/>
          <w:lang w:eastAsia="zh-CN"/>
        </w:rPr>
        <w:t>、</w:t>
      </w:r>
      <w:r>
        <w:rPr>
          <w:rFonts w:hint="eastAsia" w:ascii="宋体" w:hAnsi="宋体" w:cs="宋体"/>
          <w:sz w:val="24"/>
          <w:lang w:val="en-US" w:eastAsia="zh-CN"/>
        </w:rPr>
        <w:t>财务</w:t>
      </w:r>
      <w:r>
        <w:rPr>
          <w:rFonts w:hint="eastAsia" w:ascii="宋体" w:hAnsi="宋体" w:cs="宋体"/>
          <w:sz w:val="24"/>
        </w:rPr>
        <w:t>等要求。</w:t>
      </w:r>
    </w:p>
    <w:p w14:paraId="675C7AD5">
      <w:pPr>
        <w:pStyle w:val="4"/>
        <w:wordWrap w:val="0"/>
        <w:spacing w:before="0" w:after="0" w:line="520" w:lineRule="exact"/>
        <w:rPr>
          <w:rFonts w:hint="eastAsia" w:ascii="宋体" w:hAnsi="宋体"/>
        </w:rPr>
      </w:pPr>
      <w:r>
        <w:rPr>
          <w:rFonts w:hint="eastAsia" w:ascii="宋体" w:hAnsi="宋体"/>
        </w:rPr>
        <w:t>3.6备选投标方案</w:t>
      </w:r>
    </w:p>
    <w:p w14:paraId="7212DF00">
      <w:pPr>
        <w:widowControl/>
        <w:tabs>
          <w:tab w:val="left" w:pos="946"/>
        </w:tabs>
        <w:wordWrap w:val="0"/>
        <w:spacing w:line="520" w:lineRule="exact"/>
        <w:ind w:right="100" w:firstLine="480" w:firstLineChars="200"/>
        <w:jc w:val="left"/>
        <w:rPr>
          <w:rFonts w:hint="eastAsia" w:ascii="宋体" w:hAnsi="宋体" w:cs="宋体"/>
          <w:sz w:val="24"/>
        </w:rPr>
      </w:pPr>
      <w:r>
        <w:rPr>
          <w:rFonts w:hint="eastAsia" w:ascii="宋体" w:hAnsi="宋体" w:cs="宋体"/>
          <w:sz w:val="24"/>
        </w:rPr>
        <w:t>3.6.1 除投标人须知前附表规定允许外，投标人不得递交备选投标方案，否则其投标将被否决。</w:t>
      </w:r>
    </w:p>
    <w:p w14:paraId="79427C03">
      <w:pPr>
        <w:widowControl/>
        <w:tabs>
          <w:tab w:val="left" w:pos="946"/>
        </w:tabs>
        <w:wordWrap w:val="0"/>
        <w:spacing w:line="520" w:lineRule="exact"/>
        <w:ind w:right="100" w:firstLine="480" w:firstLineChars="200"/>
        <w:jc w:val="left"/>
        <w:rPr>
          <w:rFonts w:hint="eastAsia" w:ascii="宋体" w:hAnsi="宋体" w:cs="宋体"/>
          <w:sz w:val="24"/>
        </w:rPr>
      </w:pPr>
      <w:r>
        <w:rPr>
          <w:rFonts w:hint="eastAsia" w:ascii="宋体" w:hAnsi="宋体" w:cs="宋体"/>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7FD202F">
      <w:pPr>
        <w:widowControl/>
        <w:tabs>
          <w:tab w:val="left" w:pos="946"/>
        </w:tabs>
        <w:wordWrap w:val="0"/>
        <w:spacing w:line="520" w:lineRule="exact"/>
        <w:ind w:right="100" w:firstLine="480" w:firstLineChars="200"/>
        <w:jc w:val="left"/>
        <w:rPr>
          <w:rFonts w:ascii="宋体" w:hAnsi="宋体" w:cs="宋体"/>
          <w:sz w:val="24"/>
        </w:rPr>
      </w:pPr>
      <w:r>
        <w:rPr>
          <w:rFonts w:hint="eastAsia" w:ascii="宋体" w:hAnsi="宋体" w:cs="宋体"/>
          <w:sz w:val="24"/>
        </w:rPr>
        <w:t>3.6.3 投标人提供两个或两个以上投标报价，或在投标文件中提供一个报价，但同时提供两个或两个以上施工组织设计的，视为提供备选方案。</w:t>
      </w:r>
    </w:p>
    <w:p w14:paraId="1135F511">
      <w:pPr>
        <w:pStyle w:val="4"/>
        <w:wordWrap w:val="0"/>
        <w:spacing w:before="0" w:after="0" w:line="520" w:lineRule="exact"/>
        <w:rPr>
          <w:rFonts w:ascii="宋体" w:hAnsi="宋体"/>
        </w:rPr>
      </w:pPr>
      <w:r>
        <w:rPr>
          <w:rFonts w:hint="eastAsia" w:ascii="宋体" w:hAnsi="宋体"/>
        </w:rPr>
        <w:t>3.7投标文件的</w:t>
      </w:r>
      <w:bookmarkEnd w:id="260"/>
      <w:r>
        <w:rPr>
          <w:rFonts w:hint="eastAsia" w:ascii="宋体" w:hAnsi="宋体"/>
        </w:rPr>
        <w:t>编制</w:t>
      </w:r>
    </w:p>
    <w:bookmarkEnd w:id="261"/>
    <w:bookmarkEnd w:id="262"/>
    <w:bookmarkEnd w:id="263"/>
    <w:bookmarkEnd w:id="264"/>
    <w:bookmarkEnd w:id="265"/>
    <w:bookmarkEnd w:id="266"/>
    <w:bookmarkEnd w:id="267"/>
    <w:p w14:paraId="3D5B7103">
      <w:pPr>
        <w:widowControl/>
        <w:tabs>
          <w:tab w:val="left" w:pos="946"/>
        </w:tabs>
        <w:wordWrap w:val="0"/>
        <w:spacing w:line="520" w:lineRule="exact"/>
        <w:ind w:right="100" w:firstLine="480" w:firstLineChars="200"/>
        <w:jc w:val="left"/>
        <w:rPr>
          <w:rFonts w:hint="eastAsia" w:ascii="宋体" w:hAnsi="宋体" w:cs="宋体"/>
          <w:sz w:val="24"/>
        </w:rPr>
      </w:pPr>
      <w:bookmarkStart w:id="268" w:name="_Toc296602443"/>
      <w:bookmarkStart w:id="269" w:name="_Toc246996199"/>
      <w:bookmarkStart w:id="270" w:name="_Toc144974523"/>
      <w:bookmarkStart w:id="271" w:name="_Toc179632573"/>
      <w:bookmarkStart w:id="272" w:name="_Toc152042331"/>
      <w:bookmarkStart w:id="273" w:name="_Toc152045555"/>
      <w:bookmarkStart w:id="274" w:name="_Toc247085713"/>
      <w:bookmarkStart w:id="275" w:name="_Toc246996942"/>
      <w:r>
        <w:rPr>
          <w:rFonts w:hint="eastAsia" w:ascii="宋体" w:hAnsi="宋体" w:cs="宋体"/>
          <w:sz w:val="24"/>
        </w:rPr>
        <w:t>3.7.1投标文件应按“投标文件格式”进行编写，如有必要，可以增加附页，作为投标文件的组成部分。其中，投标函附录在满足招标文件实质性要求的基础上，可以提出比招标文件要求更有利于招标人的承诺。</w:t>
      </w:r>
    </w:p>
    <w:p w14:paraId="60BD6E68">
      <w:pPr>
        <w:widowControl/>
        <w:tabs>
          <w:tab w:val="left" w:pos="946"/>
        </w:tabs>
        <w:wordWrap w:val="0"/>
        <w:spacing w:line="520" w:lineRule="exact"/>
        <w:ind w:right="100" w:firstLine="480" w:firstLineChars="200"/>
        <w:jc w:val="left"/>
        <w:rPr>
          <w:rFonts w:hint="eastAsia" w:ascii="宋体" w:hAnsi="宋体" w:cs="宋体"/>
          <w:sz w:val="24"/>
        </w:rPr>
      </w:pPr>
      <w:r>
        <w:rPr>
          <w:rFonts w:hint="eastAsia" w:ascii="宋体" w:hAnsi="宋体" w:cs="宋体"/>
          <w:sz w:val="24"/>
        </w:rPr>
        <w:t>3.7.2投标文件应当对招标文件有关工期、质量、投标有效期、招标范围等实质性内容作出响应。</w:t>
      </w:r>
    </w:p>
    <w:p w14:paraId="6029009D">
      <w:pPr>
        <w:widowControl/>
        <w:tabs>
          <w:tab w:val="left" w:pos="946"/>
        </w:tabs>
        <w:wordWrap w:val="0"/>
        <w:spacing w:line="520" w:lineRule="exact"/>
        <w:ind w:right="100" w:firstLine="480" w:firstLineChars="200"/>
        <w:jc w:val="left"/>
        <w:rPr>
          <w:rFonts w:hint="eastAsia" w:ascii="宋体" w:hAnsi="宋体" w:cs="宋体"/>
          <w:sz w:val="24"/>
        </w:rPr>
      </w:pPr>
      <w:r>
        <w:rPr>
          <w:rFonts w:hint="eastAsia" w:ascii="宋体" w:hAnsi="宋体" w:cs="宋体"/>
          <w:sz w:val="24"/>
        </w:rPr>
        <w:t>3.7.3投标文件的制作应满足以下规定：</w:t>
      </w:r>
    </w:p>
    <w:p w14:paraId="59C3DA4B">
      <w:pPr>
        <w:widowControl/>
        <w:tabs>
          <w:tab w:val="left" w:pos="946"/>
        </w:tabs>
        <w:wordWrap w:val="0"/>
        <w:spacing w:line="520" w:lineRule="exact"/>
        <w:ind w:right="100" w:firstLine="480" w:firstLineChars="200"/>
        <w:jc w:val="left"/>
        <w:rPr>
          <w:rFonts w:hint="eastAsia" w:ascii="宋体" w:hAnsi="宋体" w:cs="宋体"/>
          <w:sz w:val="24"/>
        </w:rPr>
      </w:pPr>
      <w:r>
        <w:rPr>
          <w:rFonts w:hint="eastAsia" w:ascii="宋体" w:hAnsi="宋体" w:cs="宋体"/>
          <w:sz w:val="24"/>
        </w:rPr>
        <w:t>（1）投标文件由投标人使用“电子交易平台”自带的“投标文件制作工具”制作生成。</w:t>
      </w:r>
    </w:p>
    <w:p w14:paraId="233A9D3C">
      <w:pPr>
        <w:widowControl/>
        <w:tabs>
          <w:tab w:val="left" w:pos="946"/>
        </w:tabs>
        <w:wordWrap w:val="0"/>
        <w:spacing w:line="520" w:lineRule="exact"/>
        <w:ind w:right="100" w:firstLine="480" w:firstLineChars="200"/>
        <w:jc w:val="left"/>
        <w:rPr>
          <w:rFonts w:hint="eastAsia" w:ascii="宋体" w:hAnsi="宋体" w:cs="宋体"/>
          <w:sz w:val="24"/>
        </w:rPr>
      </w:pPr>
      <w:r>
        <w:rPr>
          <w:rFonts w:hint="eastAsia" w:ascii="宋体" w:hAnsi="宋体" w:cs="宋体"/>
          <w:sz w:val="24"/>
        </w:rPr>
        <w:t>（2）投标文件制作完成后，投标人应使用CA数字证书对投标文件进行文件加密，形成加密的投标文件。</w:t>
      </w:r>
    </w:p>
    <w:p w14:paraId="2B98B738">
      <w:pPr>
        <w:widowControl/>
        <w:tabs>
          <w:tab w:val="left" w:pos="946"/>
        </w:tabs>
        <w:wordWrap w:val="0"/>
        <w:spacing w:line="520" w:lineRule="exact"/>
        <w:ind w:right="100" w:firstLine="480" w:firstLineChars="200"/>
        <w:jc w:val="left"/>
        <w:rPr>
          <w:rFonts w:hint="eastAsia" w:ascii="宋体" w:hAnsi="宋体" w:cs="宋体"/>
          <w:sz w:val="24"/>
        </w:rPr>
      </w:pPr>
      <w:r>
        <w:rPr>
          <w:rFonts w:hint="eastAsia" w:ascii="宋体" w:hAnsi="宋体" w:cs="宋体"/>
          <w:sz w:val="24"/>
        </w:rPr>
        <w:t>（3）投标文件制作的具体方法详见“投标文件制作工具”中的帮助文档。</w:t>
      </w:r>
    </w:p>
    <w:p w14:paraId="1DD99C11">
      <w:pPr>
        <w:pStyle w:val="4"/>
        <w:keepNext/>
        <w:keepLines w:val="0"/>
        <w:pageBreakBefore w:val="0"/>
        <w:widowControl w:val="0"/>
        <w:kinsoku/>
        <w:wordWrap w:val="0"/>
        <w:overflowPunct/>
        <w:topLinePunct w:val="0"/>
        <w:autoSpaceDE/>
        <w:autoSpaceDN/>
        <w:bidi w:val="0"/>
        <w:adjustRightInd/>
        <w:snapToGrid/>
        <w:spacing w:before="0" w:after="0" w:line="460" w:lineRule="exact"/>
        <w:ind w:firstLine="240" w:firstLineChars="1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3.7.4投标文件的签署</w:t>
      </w:r>
    </w:p>
    <w:p w14:paraId="6CD99EA4">
      <w:pPr>
        <w:pageBreakBefore w:val="0"/>
        <w:widowControl w:val="0"/>
        <w:kinsoku/>
        <w:wordWrap w:val="0"/>
        <w:overflowPunct/>
        <w:topLinePunct w:val="0"/>
        <w:autoSpaceDN w:val="0"/>
        <w:bidi w:val="0"/>
        <w:spacing w:line="460" w:lineRule="exact"/>
        <w:ind w:firstLine="480" w:firstLineChars="200"/>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）电子投标文件必须上传电子评标系统。</w:t>
      </w:r>
    </w:p>
    <w:p w14:paraId="218E4C72">
      <w:pPr>
        <w:pageBreakBefore w:val="0"/>
        <w:kinsoku/>
        <w:wordWrap w:val="0"/>
        <w:overflowPunct/>
        <w:topLinePunct w:val="0"/>
        <w:bidi w:val="0"/>
        <w:spacing w:line="450" w:lineRule="exact"/>
        <w:ind w:firstLine="480" w:firstLineChars="200"/>
        <w:rPr>
          <w:rFonts w:ascii="宋体" w:hAnsi="宋体" w:eastAsia="宋体" w:cs="宋体"/>
          <w:sz w:val="24"/>
          <w:szCs w:val="24"/>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hint="eastAsia" w:ascii="宋体" w:hAnsi="宋体" w:eastAsia="宋体" w:cs="宋体"/>
          <w:sz w:val="24"/>
          <w:szCs w:val="24"/>
        </w:rPr>
        <w:t>电子化投标文件的签章</w:t>
      </w:r>
      <w:r>
        <w:rPr>
          <w:rFonts w:hint="eastAsia" w:ascii="宋体" w:hAnsi="宋体" w:eastAsia="宋体" w:cs="宋体"/>
          <w:sz w:val="24"/>
          <w:szCs w:val="24"/>
          <w:lang w:eastAsia="zh-CN"/>
        </w:rPr>
        <w:t>：</w:t>
      </w:r>
      <w:r>
        <w:rPr>
          <w:rFonts w:hint="eastAsia" w:ascii="宋体" w:hAnsi="宋体" w:eastAsia="宋体" w:cs="宋体"/>
          <w:sz w:val="24"/>
          <w:szCs w:val="24"/>
        </w:rPr>
        <w:t>投标人在生成电子化投标文件后，应对电子化投标文件进行签章，未进行签章的视为无效投标。</w:t>
      </w:r>
    </w:p>
    <w:p w14:paraId="5B272287">
      <w:pPr>
        <w:widowControl/>
        <w:tabs>
          <w:tab w:val="left" w:pos="946"/>
        </w:tabs>
        <w:wordWrap w:val="0"/>
        <w:spacing w:line="520" w:lineRule="exact"/>
        <w:ind w:right="100" w:firstLine="480" w:firstLineChars="200"/>
        <w:jc w:val="left"/>
        <w:rPr>
          <w:rFonts w:hint="eastAsia" w:ascii="宋体" w:hAnsi="宋体" w:cs="宋体"/>
          <w:sz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）招标文件中要求法定代表人或授权委托人签字或盖章的，投标人在进行电子化投标文件签章时，以签盖法定代表人签章为准。</w:t>
      </w:r>
    </w:p>
    <w:bookmarkEnd w:id="268"/>
    <w:bookmarkEnd w:id="269"/>
    <w:bookmarkEnd w:id="270"/>
    <w:bookmarkEnd w:id="271"/>
    <w:bookmarkEnd w:id="272"/>
    <w:bookmarkEnd w:id="273"/>
    <w:bookmarkEnd w:id="274"/>
    <w:bookmarkEnd w:id="275"/>
    <w:p w14:paraId="1887965E">
      <w:pPr>
        <w:pStyle w:val="3"/>
        <w:wordWrap w:val="0"/>
        <w:spacing w:before="0" w:after="0" w:line="360" w:lineRule="auto"/>
        <w:rPr>
          <w:rFonts w:hint="eastAsia" w:ascii="宋体" w:hAnsi="宋体"/>
        </w:rPr>
      </w:pPr>
      <w:bookmarkStart w:id="276" w:name="_Toc12793"/>
      <w:bookmarkStart w:id="277" w:name="_Toc29207"/>
      <w:bookmarkStart w:id="278" w:name="_Toc25239"/>
      <w:bookmarkStart w:id="279" w:name="_Toc2512"/>
      <w:bookmarkStart w:id="280" w:name="_Toc24748"/>
      <w:bookmarkStart w:id="281" w:name="_Toc12817"/>
      <w:bookmarkStart w:id="282" w:name="_Toc296602451"/>
      <w:bookmarkStart w:id="283" w:name="_Toc21085"/>
      <w:bookmarkStart w:id="284" w:name="_Toc152045562"/>
      <w:bookmarkStart w:id="285" w:name="_Toc246996949"/>
      <w:bookmarkStart w:id="286" w:name="_Toc144974530"/>
      <w:bookmarkStart w:id="287" w:name="_Toc152042338"/>
      <w:bookmarkStart w:id="288" w:name="_Toc247085720"/>
      <w:bookmarkStart w:id="289" w:name="_Toc246996206"/>
      <w:bookmarkStart w:id="290" w:name="_Toc179632580"/>
      <w:r>
        <w:rPr>
          <w:rFonts w:hint="eastAsia" w:ascii="宋体" w:hAnsi="宋体"/>
        </w:rPr>
        <w:t>4.投标（电子平台投标文件上传）</w:t>
      </w:r>
      <w:bookmarkEnd w:id="276"/>
      <w:bookmarkEnd w:id="277"/>
      <w:bookmarkEnd w:id="278"/>
      <w:bookmarkEnd w:id="279"/>
      <w:bookmarkEnd w:id="280"/>
      <w:bookmarkEnd w:id="281"/>
    </w:p>
    <w:p w14:paraId="393E0253">
      <w:pPr>
        <w:pStyle w:val="4"/>
        <w:wordWrap w:val="0"/>
        <w:spacing w:line="500" w:lineRule="exact"/>
        <w:rPr>
          <w:rFonts w:hint="eastAsia" w:ascii="宋体" w:hAnsi="宋体" w:cs="宋体"/>
          <w:sz w:val="24"/>
          <w:szCs w:val="24"/>
        </w:rPr>
      </w:pPr>
      <w:bookmarkStart w:id="291" w:name="_Toc81406506"/>
      <w:bookmarkStart w:id="292" w:name="_Toc30254"/>
      <w:bookmarkStart w:id="293" w:name="_Toc64882984"/>
      <w:bookmarkStart w:id="294" w:name="_Toc1848"/>
      <w:bookmarkStart w:id="295" w:name="_Toc4241"/>
      <w:bookmarkStart w:id="296" w:name="_Toc4308"/>
      <w:bookmarkStart w:id="297" w:name="_Toc27752"/>
      <w:r>
        <w:rPr>
          <w:rFonts w:hint="eastAsia" w:ascii="宋体" w:hAnsi="宋体" w:cs="宋体"/>
          <w:sz w:val="24"/>
          <w:szCs w:val="24"/>
        </w:rPr>
        <w:t>4.1投标文件的加密</w:t>
      </w:r>
      <w:bookmarkEnd w:id="291"/>
      <w:bookmarkEnd w:id="292"/>
      <w:bookmarkEnd w:id="293"/>
    </w:p>
    <w:p w14:paraId="38BCC5CE">
      <w:pPr>
        <w:wordWrap w:val="0"/>
        <w:spacing w:line="500" w:lineRule="exact"/>
        <w:ind w:firstLine="480" w:firstLineChars="200"/>
        <w:rPr>
          <w:rFonts w:hint="eastAsia" w:ascii="宋体" w:hAnsi="宋体" w:cs="宋体"/>
          <w:sz w:val="24"/>
        </w:rPr>
      </w:pPr>
      <w:r>
        <w:rPr>
          <w:rFonts w:hint="eastAsia" w:ascii="宋体" w:hAnsi="宋体" w:cs="宋体"/>
          <w:sz w:val="24"/>
        </w:rPr>
        <w:t>投标文件应采用双信封形式，投标文件应按照本章第3.7.</w:t>
      </w:r>
      <w:r>
        <w:rPr>
          <w:rFonts w:hint="eastAsia" w:ascii="宋体" w:hAnsi="宋体" w:cs="宋体"/>
          <w:sz w:val="24"/>
          <w:lang w:val="en-US" w:eastAsia="zh-CN"/>
        </w:rPr>
        <w:t>3</w:t>
      </w:r>
      <w:r>
        <w:rPr>
          <w:rFonts w:hint="eastAsia" w:ascii="宋体" w:hAnsi="宋体" w:cs="宋体"/>
          <w:sz w:val="24"/>
        </w:rPr>
        <w:t>项要求制作并加密，未按要求加密的投标文件，招标人（“电子交易平台”）将拒绝接收并提示。</w:t>
      </w:r>
    </w:p>
    <w:p w14:paraId="6B8C02E7">
      <w:pPr>
        <w:pStyle w:val="4"/>
        <w:wordWrap w:val="0"/>
        <w:spacing w:line="500" w:lineRule="exact"/>
        <w:rPr>
          <w:rFonts w:hint="eastAsia" w:ascii="宋体" w:hAnsi="宋体" w:cs="宋体"/>
          <w:sz w:val="24"/>
          <w:szCs w:val="24"/>
        </w:rPr>
      </w:pPr>
      <w:bookmarkStart w:id="298" w:name="_Toc81406507"/>
      <w:bookmarkStart w:id="299" w:name="_Toc64882985"/>
      <w:bookmarkStart w:id="300" w:name="_Toc2554"/>
      <w:r>
        <w:rPr>
          <w:rFonts w:hint="eastAsia" w:ascii="宋体" w:hAnsi="宋体" w:cs="宋体"/>
          <w:sz w:val="24"/>
          <w:szCs w:val="24"/>
        </w:rPr>
        <w:t>4.2投标文件的递交</w:t>
      </w:r>
      <w:bookmarkEnd w:id="298"/>
      <w:bookmarkEnd w:id="299"/>
      <w:bookmarkEnd w:id="300"/>
    </w:p>
    <w:p w14:paraId="6410FB97">
      <w:pPr>
        <w:wordWrap w:val="0"/>
        <w:spacing w:line="500" w:lineRule="exact"/>
        <w:ind w:firstLine="480" w:firstLineChars="200"/>
        <w:rPr>
          <w:rFonts w:hint="eastAsia" w:ascii="宋体" w:hAnsi="宋体" w:cs="宋体"/>
          <w:sz w:val="24"/>
        </w:rPr>
      </w:pPr>
      <w:r>
        <w:rPr>
          <w:rFonts w:hint="eastAsia" w:ascii="宋体" w:hAnsi="宋体" w:cs="宋体"/>
          <w:sz w:val="24"/>
        </w:rPr>
        <w:t>4.2.1投标人应在第一章“招标公告”规定的投标截止时间前，通过互联网使用CA数字证书登录“电子交易平台”，将加密的投标文件上传，并保存上传成功后系统自动生成的电子签收凭证，递交时间即为电子签收凭证时间。投标人应充分考虑上传文件时的不可预见因素，未在投标截止时间前完成上传的，视为逾期送达，招标人（“电子交易平台”）将拒绝接收。</w:t>
      </w:r>
    </w:p>
    <w:p w14:paraId="25B33F71">
      <w:pPr>
        <w:wordWrap w:val="0"/>
        <w:spacing w:line="500" w:lineRule="exact"/>
        <w:ind w:firstLine="480" w:firstLineChars="200"/>
        <w:rPr>
          <w:rFonts w:hint="eastAsia" w:ascii="宋体" w:hAnsi="宋体" w:cs="宋体"/>
          <w:sz w:val="24"/>
        </w:rPr>
      </w:pPr>
      <w:r>
        <w:rPr>
          <w:rFonts w:hint="eastAsia" w:ascii="宋体" w:hAnsi="宋体" w:cs="宋体"/>
          <w:sz w:val="24"/>
        </w:rPr>
        <w:t>4.2.2投标人递交投标文件的地点：见第一章“招标公告”。</w:t>
      </w:r>
    </w:p>
    <w:p w14:paraId="41D39BA8">
      <w:pPr>
        <w:wordWrap w:val="0"/>
        <w:spacing w:line="500" w:lineRule="exact"/>
        <w:ind w:firstLine="480" w:firstLineChars="200"/>
        <w:rPr>
          <w:rFonts w:hint="eastAsia" w:ascii="宋体" w:hAnsi="宋体" w:cs="宋体"/>
          <w:sz w:val="24"/>
        </w:rPr>
      </w:pPr>
      <w:r>
        <w:rPr>
          <w:rFonts w:hint="eastAsia" w:ascii="宋体" w:hAnsi="宋体" w:cs="宋体"/>
          <w:sz w:val="24"/>
        </w:rPr>
        <w:t>4.2.3除投标人须知前附表另有规定外，投标人所递交的投标文件不予退还。投标人少于3个的，将不予开标。</w:t>
      </w:r>
    </w:p>
    <w:p w14:paraId="3438A349">
      <w:pPr>
        <w:pStyle w:val="4"/>
        <w:wordWrap w:val="0"/>
        <w:spacing w:line="500" w:lineRule="exact"/>
        <w:rPr>
          <w:rFonts w:hint="eastAsia" w:ascii="宋体" w:hAnsi="宋体" w:cs="宋体"/>
          <w:sz w:val="24"/>
          <w:szCs w:val="24"/>
        </w:rPr>
      </w:pPr>
      <w:bookmarkStart w:id="301" w:name="_Toc64882986"/>
      <w:bookmarkStart w:id="302" w:name="_Toc81406508"/>
      <w:bookmarkStart w:id="303" w:name="_Toc19931"/>
      <w:r>
        <w:rPr>
          <w:rFonts w:hint="eastAsia" w:ascii="宋体" w:hAnsi="宋体" w:cs="宋体"/>
          <w:sz w:val="24"/>
          <w:szCs w:val="24"/>
        </w:rPr>
        <w:t>4.3投标文件的修改与撤回</w:t>
      </w:r>
      <w:bookmarkEnd w:id="301"/>
      <w:bookmarkEnd w:id="302"/>
      <w:bookmarkEnd w:id="303"/>
    </w:p>
    <w:p w14:paraId="46CBFAE1">
      <w:pPr>
        <w:wordWrap w:val="0"/>
        <w:spacing w:line="500" w:lineRule="exact"/>
        <w:ind w:firstLine="480" w:firstLineChars="200"/>
        <w:rPr>
          <w:rFonts w:hint="eastAsia" w:ascii="宋体" w:hAnsi="宋体" w:cs="宋体"/>
          <w:sz w:val="24"/>
        </w:rPr>
      </w:pPr>
      <w:r>
        <w:rPr>
          <w:rFonts w:hint="eastAsia" w:ascii="宋体" w:hAnsi="宋体" w:cs="宋体"/>
          <w:sz w:val="24"/>
        </w:rPr>
        <w:t>4.3.1在本章第4.2.1项规定的投标截止时间前，投标人可以修改或撤回已递交的投标文件。投标人对加密的投标文件进行撤回的，应在“电子交易平台”直接进行撤回操作：投标人对加密的投标文件进行修改的，应在投标截止时间前完成上传。</w:t>
      </w:r>
    </w:p>
    <w:p w14:paraId="7AA2AF0B">
      <w:pPr>
        <w:wordWrap w:val="0"/>
        <w:spacing w:line="500" w:lineRule="exact"/>
        <w:ind w:firstLine="480" w:firstLineChars="200"/>
        <w:rPr>
          <w:rFonts w:hint="eastAsia" w:ascii="宋体" w:hAnsi="宋体" w:cs="宋体"/>
          <w:sz w:val="24"/>
        </w:rPr>
      </w:pPr>
      <w:r>
        <w:rPr>
          <w:rFonts w:hint="eastAsia" w:ascii="宋体" w:hAnsi="宋体" w:cs="宋体"/>
          <w:sz w:val="24"/>
        </w:rPr>
        <w:t>4.3.2投标人修改投标文件的，应使用“投标文件制作工具”制作成完整的投标文件，并按照本章第3条、第4条规定进行编制、加密和递交。对采用网上递交的加密的投标文件，以投标截止时间前最后完成上传的文件为准。</w:t>
      </w:r>
    </w:p>
    <w:p w14:paraId="3119D7E7">
      <w:pPr>
        <w:wordWrap w:val="0"/>
        <w:spacing w:line="500" w:lineRule="exact"/>
        <w:ind w:firstLine="480" w:firstLineChars="200"/>
        <w:rPr>
          <w:rFonts w:hint="eastAsia" w:ascii="宋体" w:hAnsi="宋体" w:cs="宋体"/>
          <w:sz w:val="24"/>
        </w:rPr>
      </w:pPr>
      <w:r>
        <w:rPr>
          <w:rFonts w:hint="eastAsia" w:ascii="宋体" w:hAnsi="宋体" w:cs="宋体"/>
          <w:sz w:val="24"/>
        </w:rPr>
        <w:t>4.3.3投标人撤回投标文件的，招标人自收到投标人书面撤回通知之日起5日内退还已收取的投标保证金。</w:t>
      </w:r>
    </w:p>
    <w:p w14:paraId="6C67495A">
      <w:pPr>
        <w:pStyle w:val="3"/>
        <w:wordWrap w:val="0"/>
        <w:spacing w:before="0" w:after="0" w:line="360" w:lineRule="auto"/>
        <w:rPr>
          <w:rFonts w:hint="eastAsia" w:ascii="宋体" w:hAnsi="宋体"/>
        </w:rPr>
      </w:pPr>
      <w:bookmarkStart w:id="304" w:name="_Toc6253"/>
      <w:bookmarkStart w:id="305" w:name="_Toc16149"/>
      <w:bookmarkStart w:id="306" w:name="_Toc32155"/>
      <w:bookmarkStart w:id="307" w:name="_Toc25950"/>
      <w:bookmarkStart w:id="308" w:name="_Toc12906"/>
      <w:r>
        <w:rPr>
          <w:rFonts w:hint="eastAsia" w:ascii="宋体" w:hAnsi="宋体"/>
        </w:rPr>
        <w:t>5．开标</w:t>
      </w:r>
      <w:bookmarkEnd w:id="294"/>
      <w:r>
        <w:rPr>
          <w:rFonts w:hint="eastAsia" w:ascii="宋体" w:hAnsi="宋体"/>
        </w:rPr>
        <w:t>（本项目为电子开标）</w:t>
      </w:r>
      <w:bookmarkEnd w:id="295"/>
      <w:bookmarkEnd w:id="296"/>
      <w:bookmarkEnd w:id="297"/>
      <w:bookmarkEnd w:id="304"/>
      <w:bookmarkEnd w:id="305"/>
      <w:bookmarkEnd w:id="306"/>
      <w:bookmarkEnd w:id="307"/>
      <w:bookmarkEnd w:id="308"/>
    </w:p>
    <w:p w14:paraId="28866236">
      <w:pPr>
        <w:wordWrap w:val="0"/>
        <w:spacing w:line="500" w:lineRule="exact"/>
        <w:ind w:firstLine="482" w:firstLineChars="200"/>
        <w:rPr>
          <w:rFonts w:hint="eastAsia" w:ascii="宋体" w:hAnsi="宋体" w:cs="宋体"/>
          <w:b/>
          <w:bCs/>
          <w:sz w:val="24"/>
        </w:rPr>
      </w:pPr>
      <w:bookmarkStart w:id="309" w:name="_Toc81406510"/>
      <w:r>
        <w:rPr>
          <w:rFonts w:hint="eastAsia" w:ascii="宋体" w:hAnsi="宋体" w:cs="宋体"/>
          <w:b/>
          <w:bCs/>
          <w:sz w:val="24"/>
        </w:rPr>
        <w:t>5.1开标时间和地点</w:t>
      </w:r>
      <w:bookmarkEnd w:id="309"/>
    </w:p>
    <w:p w14:paraId="6BFA0D47">
      <w:pPr>
        <w:widowControl/>
        <w:wordWrap w:val="0"/>
        <w:spacing w:line="360" w:lineRule="auto"/>
        <w:ind w:firstLine="480" w:firstLineChars="200"/>
        <w:jc w:val="left"/>
        <w:rPr>
          <w:rFonts w:ascii="宋体" w:hAnsi="宋体" w:eastAsia="宋体" w:cs="宋体"/>
          <w:sz w:val="24"/>
          <w:szCs w:val="24"/>
          <w:highlight w:val="none"/>
        </w:rPr>
      </w:pPr>
      <w:bookmarkStart w:id="310" w:name="_Toc81406511"/>
      <w:r>
        <w:rPr>
          <w:rFonts w:hint="eastAsia" w:ascii="宋体" w:hAnsi="宋体" w:eastAsia="宋体" w:cs="宋体"/>
          <w:color w:val="000000"/>
          <w:kern w:val="0"/>
          <w:sz w:val="24"/>
          <w:szCs w:val="24"/>
          <w:highlight w:val="none"/>
        </w:rPr>
        <w:t xml:space="preserve">5.1.1 开标时间：见投标人须知前附表。 </w:t>
      </w:r>
    </w:p>
    <w:p w14:paraId="0F2B7CAC">
      <w:pPr>
        <w:widowControl/>
        <w:wordWrap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5.1.2 开标地点：见投标人须知前附表。 </w:t>
      </w:r>
    </w:p>
    <w:p w14:paraId="42635D84">
      <w:pPr>
        <w:wordWrap w:val="0"/>
        <w:spacing w:line="50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5.1.3 开标时要求：见投标人须知前附表。</w:t>
      </w:r>
    </w:p>
    <w:p w14:paraId="3DAEEF1B">
      <w:pPr>
        <w:wordWrap w:val="0"/>
        <w:spacing w:line="500" w:lineRule="exact"/>
        <w:ind w:firstLine="482" w:firstLineChars="200"/>
        <w:rPr>
          <w:rFonts w:hint="eastAsia" w:ascii="宋体" w:hAnsi="宋体" w:cs="宋体"/>
          <w:b/>
          <w:bCs/>
          <w:sz w:val="24"/>
        </w:rPr>
      </w:pPr>
      <w:r>
        <w:rPr>
          <w:rFonts w:hint="eastAsia" w:ascii="宋体" w:hAnsi="宋体" w:cs="宋体"/>
          <w:b/>
          <w:bCs/>
          <w:sz w:val="24"/>
        </w:rPr>
        <w:t>5.2开标程序</w:t>
      </w:r>
      <w:bookmarkEnd w:id="310"/>
    </w:p>
    <w:p w14:paraId="5D16AB7F">
      <w:pPr>
        <w:wordWrap w:val="0"/>
        <w:spacing w:line="500" w:lineRule="exact"/>
        <w:ind w:firstLine="480" w:firstLineChars="200"/>
        <w:rPr>
          <w:rFonts w:hint="eastAsia" w:ascii="宋体" w:hAnsi="宋体" w:cs="宋体"/>
          <w:sz w:val="24"/>
        </w:rPr>
      </w:pPr>
      <w:r>
        <w:rPr>
          <w:rFonts w:hint="eastAsia" w:ascii="宋体" w:hAnsi="宋体" w:cs="宋体"/>
          <w:sz w:val="24"/>
        </w:rPr>
        <w:t>5.2.1主持人按下列程序对投标文件第一个信封（商务及技术文件）进行开标：</w:t>
      </w:r>
    </w:p>
    <w:p w14:paraId="5D622F92">
      <w:pPr>
        <w:wordWrap w:val="0"/>
        <w:spacing w:line="500" w:lineRule="exact"/>
        <w:ind w:firstLine="480" w:firstLineChars="200"/>
        <w:rPr>
          <w:rFonts w:hint="eastAsia" w:ascii="宋体" w:hAnsi="宋体" w:cs="宋体"/>
          <w:sz w:val="24"/>
        </w:rPr>
      </w:pPr>
      <w:r>
        <w:rPr>
          <w:rFonts w:hint="eastAsia" w:ascii="宋体" w:hAnsi="宋体" w:cs="宋体"/>
          <w:sz w:val="24"/>
        </w:rPr>
        <w:t>（1）宣布开标纪律；</w:t>
      </w:r>
    </w:p>
    <w:p w14:paraId="1D9B79AB">
      <w:pPr>
        <w:wordWrap w:val="0"/>
        <w:spacing w:line="500" w:lineRule="exact"/>
        <w:ind w:firstLine="480" w:firstLineChars="200"/>
        <w:rPr>
          <w:rFonts w:hint="eastAsia" w:ascii="宋体" w:hAnsi="宋体" w:cs="宋体"/>
          <w:sz w:val="24"/>
        </w:rPr>
      </w:pPr>
      <w:r>
        <w:rPr>
          <w:rFonts w:hint="eastAsia" w:ascii="宋体" w:hAnsi="宋体" w:cs="宋体"/>
          <w:sz w:val="24"/>
        </w:rPr>
        <w:t>（2）公布在投标截止时间前递交投标文件的投标人数量；</w:t>
      </w:r>
    </w:p>
    <w:p w14:paraId="5C2F7593">
      <w:pPr>
        <w:wordWrap w:val="0"/>
        <w:spacing w:line="500" w:lineRule="exact"/>
        <w:ind w:firstLine="480" w:firstLineChars="200"/>
        <w:rPr>
          <w:rFonts w:hint="eastAsia" w:ascii="宋体" w:hAnsi="宋体" w:cs="宋体"/>
          <w:sz w:val="24"/>
        </w:rPr>
      </w:pPr>
      <w:r>
        <w:rPr>
          <w:rFonts w:hint="eastAsia" w:ascii="宋体" w:hAnsi="宋体" w:cs="宋体"/>
          <w:sz w:val="24"/>
        </w:rPr>
        <w:t>（3）宣布开标人、唱标人、记录人等有关人员姓名；</w:t>
      </w:r>
    </w:p>
    <w:p w14:paraId="08E14E4E">
      <w:pPr>
        <w:wordWrap w:val="0"/>
        <w:spacing w:line="500" w:lineRule="exact"/>
        <w:ind w:firstLine="480" w:firstLineChars="200"/>
        <w:rPr>
          <w:rFonts w:hint="eastAsia" w:ascii="宋体" w:hAnsi="宋体" w:cs="宋体"/>
          <w:sz w:val="24"/>
        </w:rPr>
      </w:pPr>
      <w:r>
        <w:rPr>
          <w:rFonts w:hint="eastAsia" w:ascii="宋体" w:hAnsi="宋体" w:cs="宋体"/>
          <w:sz w:val="24"/>
        </w:rPr>
        <w:t>（4）投标人代表解密加密的投标文件；</w:t>
      </w:r>
    </w:p>
    <w:p w14:paraId="43DFFA95">
      <w:pPr>
        <w:wordWrap w:val="0"/>
        <w:spacing w:line="500" w:lineRule="exact"/>
        <w:ind w:firstLine="480" w:firstLineChars="200"/>
        <w:rPr>
          <w:rFonts w:hint="eastAsia" w:ascii="宋体" w:hAnsi="宋体" w:cs="宋体"/>
          <w:sz w:val="24"/>
          <w:highlight w:val="yellow"/>
        </w:rPr>
      </w:pPr>
      <w:r>
        <w:rPr>
          <w:rFonts w:hint="eastAsia" w:ascii="宋体" w:hAnsi="宋体" w:cs="宋体"/>
          <w:sz w:val="24"/>
        </w:rPr>
        <w:t>（5）招标人对未成功解密的投标文件进行退回并按本章第5.3进行补救处理；</w:t>
      </w:r>
    </w:p>
    <w:p w14:paraId="6155B39E">
      <w:pPr>
        <w:wordWrap w:val="0"/>
        <w:spacing w:line="500" w:lineRule="exact"/>
        <w:ind w:firstLine="480" w:firstLineChars="200"/>
        <w:rPr>
          <w:rFonts w:hint="eastAsia" w:ascii="宋体" w:hAnsi="宋体" w:cs="宋体"/>
          <w:sz w:val="24"/>
        </w:rPr>
      </w:pPr>
      <w:r>
        <w:rPr>
          <w:rFonts w:hint="eastAsia" w:ascii="宋体" w:hAnsi="宋体" w:cs="宋体"/>
          <w:sz w:val="24"/>
        </w:rPr>
        <w:t>（6）导入并读取所有解密成功的投标文件的内容；</w:t>
      </w:r>
    </w:p>
    <w:p w14:paraId="6E354767">
      <w:pPr>
        <w:wordWrap w:val="0"/>
        <w:spacing w:line="500" w:lineRule="exact"/>
        <w:ind w:firstLine="480" w:firstLineChars="200"/>
        <w:rPr>
          <w:rFonts w:hint="eastAsia" w:ascii="宋体" w:hAnsi="宋体" w:cs="宋体"/>
          <w:sz w:val="24"/>
        </w:rPr>
      </w:pPr>
      <w:r>
        <w:rPr>
          <w:rFonts w:hint="eastAsia" w:ascii="宋体" w:hAnsi="宋体" w:cs="宋体"/>
          <w:sz w:val="24"/>
        </w:rPr>
        <w:t>（7）公布投标人名称、投标保证金的递交情况、工期及其他内容，并记录在案；</w:t>
      </w:r>
    </w:p>
    <w:p w14:paraId="66E9BA0B">
      <w:pPr>
        <w:wordWrap w:val="0"/>
        <w:spacing w:line="500" w:lineRule="exact"/>
        <w:ind w:firstLine="480" w:firstLineChars="200"/>
        <w:rPr>
          <w:rFonts w:hint="eastAsia" w:ascii="宋体" w:hAnsi="宋体" w:cs="宋体"/>
          <w:sz w:val="24"/>
        </w:rPr>
      </w:pPr>
      <w:r>
        <w:rPr>
          <w:rFonts w:hint="eastAsia" w:ascii="宋体" w:hAnsi="宋体" w:cs="宋体"/>
          <w:sz w:val="24"/>
        </w:rPr>
        <w:t>（8）开标结束。</w:t>
      </w:r>
    </w:p>
    <w:p w14:paraId="0CFFAE38">
      <w:pPr>
        <w:wordWrap w:val="0"/>
        <w:spacing w:line="500" w:lineRule="exact"/>
        <w:ind w:firstLine="480" w:firstLineChars="200"/>
        <w:rPr>
          <w:rFonts w:hint="eastAsia" w:ascii="宋体" w:hAnsi="宋体" w:cs="宋体"/>
          <w:sz w:val="24"/>
        </w:rPr>
      </w:pPr>
      <w:r>
        <w:rPr>
          <w:rFonts w:hint="eastAsia" w:ascii="宋体" w:hAnsi="宋体" w:cs="宋体"/>
          <w:sz w:val="24"/>
        </w:rPr>
        <w:t>在投标文件开标过程中，若招标人宣读的内容与投标文件不符，投标人有权在开标现场提出疑问，经招标人当场核查确认之后，可重新宣读其投标文件。若投标人现场未提出疑问，则认为投标人已确认招标人宣读的内容。</w:t>
      </w:r>
    </w:p>
    <w:p w14:paraId="7A264ED8">
      <w:pPr>
        <w:wordWrap w:val="0"/>
        <w:spacing w:line="500" w:lineRule="exact"/>
        <w:ind w:firstLine="480" w:firstLineChars="200"/>
        <w:rPr>
          <w:rFonts w:hint="eastAsia" w:ascii="宋体" w:hAnsi="宋体" w:cs="宋体"/>
          <w:sz w:val="24"/>
        </w:rPr>
      </w:pPr>
      <w:r>
        <w:rPr>
          <w:rFonts w:hint="eastAsia" w:ascii="宋体" w:hAnsi="宋体" w:cs="宋体"/>
          <w:sz w:val="24"/>
        </w:rPr>
        <w:t>5.2.2投标文件第二个信封（报价文件）暂时不予开启。</w:t>
      </w:r>
    </w:p>
    <w:p w14:paraId="12427B87">
      <w:pPr>
        <w:wordWrap w:val="0"/>
        <w:spacing w:line="500" w:lineRule="exact"/>
        <w:ind w:firstLine="480" w:firstLineChars="200"/>
        <w:rPr>
          <w:rFonts w:hint="eastAsia" w:ascii="宋体" w:hAnsi="宋体" w:cs="宋体"/>
          <w:sz w:val="24"/>
        </w:rPr>
      </w:pPr>
      <w:r>
        <w:rPr>
          <w:rFonts w:hint="eastAsia" w:ascii="宋体" w:hAnsi="宋体" w:cs="宋体"/>
          <w:sz w:val="24"/>
        </w:rPr>
        <w:t>5.2.3招标人将按照本章第5.1款规定的时间和地点对投标文件第二个信封（报价文件）进行开标。主持人按下列程序进行开标：</w:t>
      </w:r>
    </w:p>
    <w:p w14:paraId="46B0C33F">
      <w:pPr>
        <w:wordWrap w:val="0"/>
        <w:spacing w:line="500" w:lineRule="exact"/>
        <w:ind w:firstLine="480" w:firstLineChars="200"/>
        <w:rPr>
          <w:rFonts w:hint="eastAsia" w:ascii="宋体" w:hAnsi="宋体" w:cs="宋体"/>
          <w:sz w:val="24"/>
        </w:rPr>
      </w:pPr>
      <w:r>
        <w:rPr>
          <w:rFonts w:hint="eastAsia" w:ascii="宋体" w:hAnsi="宋体" w:cs="宋体"/>
          <w:sz w:val="24"/>
        </w:rPr>
        <w:t>（1）宣布开标纪律；</w:t>
      </w:r>
    </w:p>
    <w:p w14:paraId="05D194F7">
      <w:pPr>
        <w:wordWrap w:val="0"/>
        <w:spacing w:line="500" w:lineRule="exact"/>
        <w:ind w:firstLine="480" w:firstLineChars="200"/>
        <w:rPr>
          <w:rFonts w:hint="eastAsia" w:ascii="宋体" w:hAnsi="宋体" w:cs="宋体"/>
          <w:sz w:val="24"/>
        </w:rPr>
      </w:pPr>
      <w:r>
        <w:rPr>
          <w:rFonts w:hint="eastAsia" w:ascii="宋体" w:hAnsi="宋体" w:cs="宋体"/>
          <w:sz w:val="24"/>
        </w:rPr>
        <w:t>（2）公布参与第二个信封（报价文件）的投标人数量；</w:t>
      </w:r>
    </w:p>
    <w:p w14:paraId="4150B16A">
      <w:pPr>
        <w:wordWrap w:val="0"/>
        <w:spacing w:line="520" w:lineRule="exact"/>
        <w:ind w:firstLine="480" w:firstLineChars="200"/>
        <w:rPr>
          <w:rFonts w:hint="eastAsia" w:ascii="宋体" w:hAnsi="宋体" w:cs="宋体"/>
          <w:sz w:val="24"/>
        </w:rPr>
      </w:pPr>
      <w:r>
        <w:rPr>
          <w:rFonts w:hint="eastAsia" w:ascii="宋体" w:hAnsi="宋体" w:cs="宋体"/>
          <w:sz w:val="24"/>
        </w:rPr>
        <w:t>（3）宣布开标人、唱标人、记录人等有关人员姓名；</w:t>
      </w:r>
    </w:p>
    <w:p w14:paraId="21BF1F34">
      <w:pPr>
        <w:wordWrap w:val="0"/>
        <w:spacing w:line="520" w:lineRule="exact"/>
        <w:ind w:firstLine="480" w:firstLineChars="200"/>
        <w:rPr>
          <w:rFonts w:hint="eastAsia" w:ascii="宋体" w:hAnsi="宋体" w:cs="宋体"/>
          <w:sz w:val="24"/>
        </w:rPr>
      </w:pPr>
      <w:r>
        <w:rPr>
          <w:rFonts w:hint="eastAsia" w:ascii="宋体" w:hAnsi="宋体" w:cs="宋体"/>
          <w:sz w:val="24"/>
        </w:rPr>
        <w:t>（4）投标人代表在线解密加密的投标文件；</w:t>
      </w:r>
    </w:p>
    <w:p w14:paraId="438F4E3D">
      <w:pPr>
        <w:wordWrap w:val="0"/>
        <w:spacing w:line="520" w:lineRule="exact"/>
        <w:ind w:firstLine="480" w:firstLineChars="200"/>
        <w:rPr>
          <w:rFonts w:hint="eastAsia" w:ascii="宋体" w:hAnsi="宋体" w:cs="宋体"/>
          <w:sz w:val="24"/>
        </w:rPr>
      </w:pPr>
      <w:r>
        <w:rPr>
          <w:rFonts w:hint="eastAsia" w:ascii="宋体" w:hAnsi="宋体" w:cs="宋体"/>
          <w:sz w:val="24"/>
        </w:rPr>
        <w:t>（5）招标人对未成功解密的投标文件进行退回并按本章第5.4进行补救处理；；</w:t>
      </w:r>
    </w:p>
    <w:p w14:paraId="29031846">
      <w:pPr>
        <w:wordWrap w:val="0"/>
        <w:spacing w:line="520" w:lineRule="exact"/>
        <w:ind w:firstLine="480" w:firstLineChars="200"/>
        <w:rPr>
          <w:rFonts w:hint="eastAsia" w:ascii="宋体" w:hAnsi="宋体" w:cs="宋体"/>
          <w:sz w:val="24"/>
        </w:rPr>
      </w:pPr>
      <w:r>
        <w:rPr>
          <w:rFonts w:hint="eastAsia" w:ascii="宋体" w:hAnsi="宋体" w:cs="宋体"/>
          <w:sz w:val="24"/>
        </w:rPr>
        <w:t>（6）导入并读取所有解密成功的投标文件的内容；</w:t>
      </w:r>
    </w:p>
    <w:p w14:paraId="6F329896">
      <w:pPr>
        <w:wordWrap w:val="0"/>
        <w:spacing w:line="520" w:lineRule="exact"/>
        <w:ind w:firstLine="480" w:firstLineChars="200"/>
        <w:rPr>
          <w:rFonts w:hint="eastAsia" w:ascii="宋体" w:hAnsi="宋体" w:cs="宋体"/>
          <w:sz w:val="24"/>
        </w:rPr>
      </w:pPr>
      <w:r>
        <w:rPr>
          <w:rFonts w:hint="eastAsia" w:ascii="宋体" w:hAnsi="宋体" w:cs="宋体"/>
          <w:sz w:val="24"/>
        </w:rPr>
        <w:t>（7）公布投标人名称、投标报价，并记录在案；</w:t>
      </w:r>
    </w:p>
    <w:p w14:paraId="70506026">
      <w:pPr>
        <w:wordWrap w:val="0"/>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）开标结束。</w:t>
      </w:r>
    </w:p>
    <w:p w14:paraId="63FD7969">
      <w:pPr>
        <w:wordWrap w:val="0"/>
        <w:spacing w:line="520" w:lineRule="exact"/>
        <w:ind w:firstLine="480" w:firstLineChars="200"/>
        <w:rPr>
          <w:rFonts w:hint="eastAsia" w:ascii="宋体" w:hAnsi="宋体" w:cs="宋体"/>
          <w:sz w:val="24"/>
        </w:rPr>
      </w:pPr>
      <w:r>
        <w:rPr>
          <w:rFonts w:hint="eastAsia" w:ascii="宋体" w:hAnsi="宋体" w:cs="宋体"/>
          <w:sz w:val="24"/>
        </w:rPr>
        <w:t>5.2.4在投标文件第二个信封(报价文件)开标现场，招标人将按第三章“评标办法”规定的原则计算并宣布评标基准价。若招标人发现投标文件出现以下任一情况，其投标报价将不再参加评标基准价的计算：</w:t>
      </w:r>
    </w:p>
    <w:p w14:paraId="4F227606">
      <w:pPr>
        <w:wordWrap w:val="0"/>
        <w:spacing w:line="520" w:lineRule="exact"/>
        <w:ind w:firstLine="480" w:firstLineChars="200"/>
        <w:rPr>
          <w:rFonts w:hint="eastAsia" w:ascii="宋体" w:hAnsi="宋体" w:cs="宋体"/>
          <w:sz w:val="24"/>
        </w:rPr>
      </w:pPr>
      <w:r>
        <w:rPr>
          <w:rFonts w:hint="eastAsia" w:ascii="宋体" w:hAnsi="宋体" w:cs="宋体"/>
          <w:sz w:val="24"/>
        </w:rPr>
        <w:t>（1）未在投标函上填写投标总价；</w:t>
      </w:r>
    </w:p>
    <w:p w14:paraId="5954E3DA">
      <w:pPr>
        <w:wordWrap w:val="0"/>
        <w:spacing w:line="520" w:lineRule="exact"/>
        <w:ind w:firstLine="480" w:firstLineChars="200"/>
        <w:rPr>
          <w:rFonts w:hint="eastAsia" w:ascii="宋体" w:hAnsi="宋体" w:cs="宋体"/>
          <w:sz w:val="24"/>
        </w:rPr>
      </w:pPr>
      <w:r>
        <w:rPr>
          <w:rFonts w:hint="eastAsia" w:ascii="宋体" w:hAnsi="宋体" w:cs="宋体"/>
          <w:sz w:val="24"/>
        </w:rPr>
        <w:t>（2）投标报价超出招标人公布的最高投标限价（如有）；</w:t>
      </w:r>
    </w:p>
    <w:p w14:paraId="426EA131">
      <w:pPr>
        <w:wordWrap w:val="0"/>
        <w:spacing w:line="520" w:lineRule="exact"/>
        <w:ind w:firstLine="480" w:firstLineChars="200"/>
        <w:rPr>
          <w:rFonts w:hint="eastAsia" w:ascii="宋体" w:hAnsi="宋体" w:cs="宋体"/>
          <w:sz w:val="24"/>
        </w:rPr>
      </w:pPr>
      <w:r>
        <w:rPr>
          <w:rFonts w:hint="eastAsia" w:ascii="宋体" w:hAnsi="宋体" w:cs="宋体"/>
          <w:sz w:val="24"/>
        </w:rPr>
        <w:t>（3）投标报价的大写金额无法确定具体数值；</w:t>
      </w:r>
    </w:p>
    <w:p w14:paraId="09B315F5">
      <w:pPr>
        <w:wordWrap w:val="0"/>
        <w:spacing w:line="520" w:lineRule="exact"/>
        <w:ind w:firstLine="480" w:firstLineChars="200"/>
        <w:rPr>
          <w:rFonts w:hint="eastAsia" w:ascii="宋体" w:hAnsi="宋体" w:cs="宋体"/>
          <w:sz w:val="24"/>
        </w:rPr>
      </w:pPr>
      <w:r>
        <w:rPr>
          <w:rFonts w:hint="eastAsia" w:ascii="宋体" w:hAnsi="宋体" w:cs="宋体"/>
          <w:sz w:val="24"/>
        </w:rPr>
        <w:t>如果投标人</w:t>
      </w:r>
      <w:r>
        <w:rPr>
          <w:rFonts w:ascii="宋体" w:hAnsi="宋体"/>
          <w:sz w:val="24"/>
          <w:szCs w:val="24"/>
        </w:rPr>
        <w:t>认为</w:t>
      </w:r>
      <w:r>
        <w:rPr>
          <w:rFonts w:hint="eastAsia" w:ascii="宋体" w:hAnsi="宋体"/>
          <w:sz w:val="24"/>
          <w:szCs w:val="24"/>
        </w:rPr>
        <w:t>项目</w:t>
      </w:r>
      <w:r>
        <w:rPr>
          <w:rFonts w:ascii="宋体" w:hAnsi="宋体"/>
          <w:sz w:val="24"/>
          <w:szCs w:val="24"/>
        </w:rPr>
        <w:t>的</w:t>
      </w:r>
      <w:r>
        <w:rPr>
          <w:rFonts w:hint="eastAsia" w:ascii="宋体" w:hAnsi="宋体" w:cs="宋体"/>
          <w:sz w:val="24"/>
        </w:rPr>
        <w:t>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4F2F28E4">
      <w:pPr>
        <w:wordWrap w:val="0"/>
        <w:spacing w:line="520" w:lineRule="exact"/>
        <w:ind w:firstLine="480" w:firstLineChars="200"/>
        <w:rPr>
          <w:rFonts w:hint="eastAsia" w:ascii="宋体" w:hAnsi="宋体" w:cs="宋体"/>
          <w:sz w:val="24"/>
        </w:rPr>
      </w:pPr>
      <w:r>
        <w:rPr>
          <w:rFonts w:hint="eastAsia" w:ascii="宋体" w:hAnsi="宋体" w:cs="宋体"/>
          <w:sz w:val="24"/>
        </w:rPr>
        <w:t>5.2.5在投标文件第一个信封(商务及技术文件)或第二个信封(报价文件)开标过程中，若招标人宣读的内容与投标文件不符，投标人有权在开标线上提出疑问，经招标人当场核查确认之后，可重新宣读其投标文件。若投标人在线上未提出疑问，则认为投标人已确认招标人宣读的内容。</w:t>
      </w:r>
    </w:p>
    <w:p w14:paraId="4A6A168B">
      <w:pPr>
        <w:wordWrap w:val="0"/>
        <w:spacing w:line="520" w:lineRule="exact"/>
        <w:ind w:firstLine="482" w:firstLineChars="200"/>
        <w:rPr>
          <w:rFonts w:hint="eastAsia" w:ascii="宋体" w:hAnsi="宋体" w:cs="宋体"/>
          <w:b/>
          <w:bCs/>
          <w:sz w:val="24"/>
        </w:rPr>
      </w:pPr>
      <w:bookmarkStart w:id="311" w:name="_Toc32463"/>
      <w:bookmarkStart w:id="312" w:name="_Toc514414230"/>
      <w:bookmarkStart w:id="313" w:name="_Toc17434"/>
      <w:bookmarkStart w:id="314" w:name="_Toc64882990"/>
      <w:bookmarkStart w:id="315" w:name="_Toc81406512"/>
      <w:r>
        <w:rPr>
          <w:rFonts w:hint="eastAsia" w:ascii="宋体" w:hAnsi="宋体" w:cs="宋体"/>
          <w:b/>
          <w:bCs/>
          <w:sz w:val="24"/>
        </w:rPr>
        <w:t>5.3．开标异议</w:t>
      </w:r>
      <w:bookmarkEnd w:id="311"/>
      <w:bookmarkEnd w:id="312"/>
      <w:bookmarkEnd w:id="313"/>
    </w:p>
    <w:p w14:paraId="72069ACA">
      <w:pPr>
        <w:wordWrap w:val="0"/>
        <w:spacing w:line="360" w:lineRule="auto"/>
        <w:rPr>
          <w:rFonts w:hint="eastAsia" w:ascii="宋体" w:hAnsi="宋体" w:cs="宋体"/>
          <w:sz w:val="24"/>
          <w:szCs w:val="24"/>
        </w:rPr>
      </w:pPr>
      <w:r>
        <w:rPr>
          <w:rFonts w:hint="eastAsia" w:ascii="宋体" w:hAnsi="宋体" w:cs="宋体"/>
          <w:sz w:val="24"/>
          <w:szCs w:val="24"/>
        </w:rPr>
        <w:t>　</w:t>
      </w:r>
      <w:r>
        <w:rPr>
          <w:rFonts w:hint="eastAsia" w:ascii="宋体" w:hAnsi="宋体" w:cs="宋体"/>
          <w:sz w:val="24"/>
        </w:rPr>
        <w:t>　投标人对开标有异议的，应当在开标现场提出，招标人当场作出答复，并制作记录，有异议的投标人、招标人代表、记录人等有关人员在记录上签字确认。</w:t>
      </w:r>
    </w:p>
    <w:p w14:paraId="00F4D569">
      <w:pPr>
        <w:wordWrap w:val="0"/>
        <w:spacing w:line="520" w:lineRule="exact"/>
        <w:ind w:firstLine="482" w:firstLineChars="200"/>
        <w:rPr>
          <w:rFonts w:hint="eastAsia" w:ascii="宋体" w:hAnsi="宋体" w:cs="宋体"/>
          <w:b/>
          <w:bCs/>
          <w:sz w:val="24"/>
        </w:rPr>
      </w:pPr>
      <w:r>
        <w:rPr>
          <w:rFonts w:hint="eastAsia" w:ascii="宋体" w:hAnsi="宋体" w:cs="宋体"/>
          <w:b/>
          <w:bCs/>
          <w:sz w:val="24"/>
        </w:rPr>
        <w:t>5.4开标补救措施</w:t>
      </w:r>
      <w:bookmarkEnd w:id="314"/>
      <w:bookmarkEnd w:id="315"/>
    </w:p>
    <w:p w14:paraId="473C1542">
      <w:pPr>
        <w:wordWrap w:val="0"/>
        <w:spacing w:line="520" w:lineRule="exact"/>
        <w:ind w:firstLine="480" w:firstLineChars="200"/>
        <w:rPr>
          <w:rFonts w:hint="eastAsia" w:ascii="宋体" w:hAnsi="宋体" w:cs="宋体"/>
          <w:sz w:val="24"/>
        </w:rPr>
      </w:pPr>
      <w:r>
        <w:rPr>
          <w:rFonts w:hint="eastAsia" w:ascii="宋体" w:hAnsi="宋体" w:cs="宋体"/>
          <w:sz w:val="24"/>
        </w:rPr>
        <w:t>5.4.1开标过程中因本章第5.4.2项、第5.4.3项所列原因，导致系统无法正常运行，将按投标人须知前附表的规定采取补救措施。</w:t>
      </w:r>
    </w:p>
    <w:p w14:paraId="1DC399C9">
      <w:pPr>
        <w:wordWrap w:val="0"/>
        <w:spacing w:line="520" w:lineRule="exact"/>
        <w:ind w:firstLine="480" w:firstLineChars="200"/>
        <w:rPr>
          <w:rFonts w:hint="eastAsia" w:ascii="宋体" w:hAnsi="宋体" w:cs="宋体"/>
          <w:sz w:val="24"/>
        </w:rPr>
      </w:pPr>
      <w:r>
        <w:rPr>
          <w:rFonts w:hint="eastAsia" w:ascii="宋体" w:hAnsi="宋体" w:cs="宋体"/>
          <w:sz w:val="24"/>
        </w:rPr>
        <w:t>5.4.2因“电子交易平台”系统故障导致投标人无法正常上传加密的投标文件投标人应打印并递交电子交易平台自动生成的上传失败的异常记录单。</w:t>
      </w:r>
    </w:p>
    <w:p w14:paraId="1885898C">
      <w:pPr>
        <w:wordWrap w:val="0"/>
        <w:spacing w:line="520" w:lineRule="exact"/>
        <w:ind w:firstLine="480" w:firstLineChars="200"/>
        <w:rPr>
          <w:rFonts w:hint="eastAsia" w:ascii="宋体" w:hAnsi="宋体" w:cs="宋体"/>
          <w:sz w:val="24"/>
        </w:rPr>
      </w:pPr>
      <w:r>
        <w:rPr>
          <w:rFonts w:hint="eastAsia" w:ascii="宋体" w:hAnsi="宋体" w:cs="宋体"/>
          <w:sz w:val="24"/>
        </w:rPr>
        <w:t>5.4.3当出现以下情况时，应对未开标的中止电子开标，并在恢复正常后及时安排时间开标：</w:t>
      </w:r>
    </w:p>
    <w:p w14:paraId="30074615">
      <w:pPr>
        <w:wordWrap w:val="0"/>
        <w:spacing w:line="500" w:lineRule="exact"/>
        <w:ind w:firstLine="480" w:firstLineChars="200"/>
        <w:rPr>
          <w:rFonts w:hint="eastAsia" w:ascii="宋体" w:hAnsi="宋体" w:cs="宋体"/>
          <w:sz w:val="24"/>
        </w:rPr>
      </w:pPr>
      <w:r>
        <w:rPr>
          <w:rFonts w:hint="eastAsia" w:ascii="宋体" w:hAnsi="宋体" w:cs="宋体"/>
          <w:sz w:val="24"/>
        </w:rPr>
        <w:t>（1）系统服务器发生故障，无法访问或无法使用系统；</w:t>
      </w:r>
    </w:p>
    <w:p w14:paraId="082C7811">
      <w:pPr>
        <w:wordWrap w:val="0"/>
        <w:spacing w:line="500" w:lineRule="exact"/>
        <w:ind w:firstLine="480" w:firstLineChars="200"/>
        <w:rPr>
          <w:rFonts w:hint="eastAsia" w:ascii="宋体" w:hAnsi="宋体" w:cs="宋体"/>
          <w:sz w:val="24"/>
        </w:rPr>
      </w:pPr>
      <w:r>
        <w:rPr>
          <w:rFonts w:hint="eastAsia" w:ascii="宋体" w:hAnsi="宋体" w:cs="宋体"/>
          <w:sz w:val="24"/>
        </w:rPr>
        <w:t>（2）系统的软件或数据库出现错误，不能进行正常操作；</w:t>
      </w:r>
    </w:p>
    <w:p w14:paraId="54DAFC70">
      <w:pPr>
        <w:wordWrap w:val="0"/>
        <w:spacing w:line="500" w:lineRule="exact"/>
        <w:ind w:firstLine="480" w:firstLineChars="200"/>
        <w:rPr>
          <w:rFonts w:hint="eastAsia" w:ascii="宋体" w:hAnsi="宋体" w:cs="宋体"/>
          <w:sz w:val="24"/>
        </w:rPr>
      </w:pPr>
      <w:r>
        <w:rPr>
          <w:rFonts w:hint="eastAsia" w:ascii="宋体" w:hAnsi="宋体" w:cs="宋体"/>
          <w:sz w:val="24"/>
        </w:rPr>
        <w:t>（3）系统发现有安全漏洞，有潜在的泄密危险；</w:t>
      </w:r>
    </w:p>
    <w:p w14:paraId="4B7B35D7">
      <w:pPr>
        <w:wordWrap w:val="0"/>
        <w:spacing w:line="500" w:lineRule="exact"/>
        <w:ind w:firstLine="480" w:firstLineChars="200"/>
        <w:rPr>
          <w:rFonts w:hint="eastAsia" w:ascii="宋体" w:hAnsi="宋体" w:cs="宋体"/>
          <w:sz w:val="24"/>
        </w:rPr>
      </w:pPr>
      <w:r>
        <w:rPr>
          <w:rFonts w:hint="eastAsia" w:ascii="宋体" w:hAnsi="宋体" w:cs="宋体"/>
          <w:sz w:val="24"/>
        </w:rPr>
        <w:t>（4）出现断电事故且短时间内无法恢复供电；</w:t>
      </w:r>
    </w:p>
    <w:p w14:paraId="33E5A810">
      <w:pPr>
        <w:wordWrap w:val="0"/>
        <w:spacing w:line="500" w:lineRule="exact"/>
        <w:ind w:firstLine="480" w:firstLineChars="200"/>
        <w:rPr>
          <w:rFonts w:hint="eastAsia" w:ascii="宋体" w:hAnsi="宋体" w:cs="宋体"/>
          <w:sz w:val="24"/>
        </w:rPr>
      </w:pPr>
      <w:r>
        <w:rPr>
          <w:rFonts w:hint="eastAsia" w:ascii="宋体" w:hAnsi="宋体" w:cs="宋体"/>
          <w:sz w:val="24"/>
        </w:rPr>
        <w:t>（5）其他无法保证招投标过程正常进行的情形。</w:t>
      </w:r>
    </w:p>
    <w:p w14:paraId="67CB0D00">
      <w:pPr>
        <w:wordWrap w:val="0"/>
        <w:spacing w:line="500" w:lineRule="exact"/>
        <w:ind w:firstLine="480" w:firstLineChars="200"/>
        <w:rPr>
          <w:rFonts w:hint="eastAsia" w:ascii="宋体" w:hAnsi="宋体" w:cs="宋体"/>
          <w:sz w:val="24"/>
        </w:rPr>
      </w:pPr>
      <w:r>
        <w:rPr>
          <w:rFonts w:hint="eastAsia" w:ascii="宋体" w:hAnsi="宋体" w:cs="宋体"/>
          <w:sz w:val="24"/>
        </w:rPr>
        <w:t>5.4.4采取补救措施时，必须对原有资料及信息作出妥善保密处理。</w:t>
      </w:r>
    </w:p>
    <w:p w14:paraId="552F32BB">
      <w:pPr>
        <w:pStyle w:val="3"/>
        <w:keepNext w:val="0"/>
        <w:keepLines w:val="0"/>
        <w:tabs>
          <w:tab w:val="left" w:pos="5744"/>
        </w:tabs>
        <w:wordWrap w:val="0"/>
        <w:spacing w:before="0" w:after="0" w:line="360" w:lineRule="auto"/>
        <w:rPr>
          <w:rFonts w:ascii="宋体" w:hAnsi="宋体"/>
        </w:rPr>
      </w:pPr>
      <w:bookmarkStart w:id="316" w:name="_Toc31389"/>
      <w:bookmarkStart w:id="317" w:name="_Toc11463"/>
      <w:bookmarkStart w:id="318" w:name="_Toc21386"/>
      <w:bookmarkStart w:id="319" w:name="_Toc2809"/>
      <w:r>
        <w:rPr>
          <w:rFonts w:hint="eastAsia" w:ascii="宋体" w:hAnsi="宋体"/>
        </w:rPr>
        <w:t>6. 评标</w:t>
      </w:r>
      <w:bookmarkEnd w:id="282"/>
      <w:bookmarkEnd w:id="283"/>
      <w:bookmarkEnd w:id="284"/>
      <w:bookmarkEnd w:id="285"/>
      <w:bookmarkEnd w:id="286"/>
      <w:bookmarkEnd w:id="287"/>
      <w:bookmarkEnd w:id="288"/>
      <w:bookmarkEnd w:id="289"/>
      <w:bookmarkEnd w:id="290"/>
      <w:bookmarkEnd w:id="316"/>
      <w:bookmarkEnd w:id="317"/>
      <w:bookmarkEnd w:id="318"/>
      <w:bookmarkEnd w:id="319"/>
      <w:r>
        <w:rPr>
          <w:rFonts w:hint="eastAsia" w:ascii="宋体" w:hAnsi="宋体"/>
        </w:rPr>
        <w:tab/>
      </w:r>
    </w:p>
    <w:p w14:paraId="61B701BB">
      <w:pPr>
        <w:pStyle w:val="4"/>
        <w:keepNext w:val="0"/>
        <w:keepLines w:val="0"/>
        <w:wordWrap w:val="0"/>
        <w:spacing w:before="0" w:after="0" w:line="360" w:lineRule="auto"/>
        <w:rPr>
          <w:rFonts w:ascii="宋体" w:hAnsi="宋体"/>
        </w:rPr>
      </w:pPr>
      <w:bookmarkStart w:id="320" w:name="_Toc246996950"/>
      <w:bookmarkStart w:id="321" w:name="_Toc247085721"/>
      <w:bookmarkStart w:id="322" w:name="_Toc296602452"/>
      <w:bookmarkStart w:id="323" w:name="_Toc144974531"/>
      <w:bookmarkStart w:id="324" w:name="_Toc152045563"/>
      <w:bookmarkStart w:id="325" w:name="_Toc246996207"/>
      <w:bookmarkStart w:id="326" w:name="_Toc179632581"/>
      <w:bookmarkStart w:id="327" w:name="_Toc152042339"/>
      <w:r>
        <w:rPr>
          <w:rFonts w:hint="eastAsia" w:ascii="宋体" w:hAnsi="宋体"/>
        </w:rPr>
        <w:t>6.1 评标委员会</w:t>
      </w:r>
      <w:bookmarkEnd w:id="320"/>
      <w:bookmarkEnd w:id="321"/>
      <w:bookmarkEnd w:id="322"/>
      <w:bookmarkEnd w:id="323"/>
      <w:bookmarkEnd w:id="324"/>
      <w:bookmarkEnd w:id="325"/>
      <w:bookmarkEnd w:id="326"/>
      <w:bookmarkEnd w:id="327"/>
    </w:p>
    <w:p w14:paraId="5D956E47">
      <w:pPr>
        <w:wordWrap w:val="0"/>
        <w:spacing w:line="360" w:lineRule="auto"/>
        <w:ind w:firstLine="480" w:firstLineChars="200"/>
        <w:rPr>
          <w:rFonts w:ascii="宋体" w:hAnsi="宋体"/>
          <w:sz w:val="24"/>
          <w:szCs w:val="24"/>
        </w:rPr>
      </w:pPr>
      <w:r>
        <w:rPr>
          <w:rFonts w:hint="eastAsia" w:ascii="宋体" w:hAnsi="宋体"/>
          <w:sz w:val="24"/>
          <w:szCs w:val="24"/>
        </w:rPr>
        <w:t>6.1.1 评标由招标人依法组建的评标委员会负责。评标委员会由招标人代表，以及有关技术、经济等方面的专家组成。评标委员会成员人数以及技术、经济等方面专家的确定方式见投标人须知前附表。</w:t>
      </w:r>
    </w:p>
    <w:p w14:paraId="48D8D1E0">
      <w:pPr>
        <w:wordWrap w:val="0"/>
        <w:spacing w:line="360" w:lineRule="auto"/>
        <w:ind w:firstLine="480" w:firstLineChars="200"/>
        <w:rPr>
          <w:rFonts w:ascii="宋体" w:hAnsi="宋体"/>
          <w:sz w:val="24"/>
          <w:szCs w:val="24"/>
        </w:rPr>
      </w:pPr>
      <w:r>
        <w:rPr>
          <w:rFonts w:hint="eastAsia" w:ascii="宋体" w:hAnsi="宋体"/>
          <w:sz w:val="24"/>
          <w:szCs w:val="24"/>
        </w:rPr>
        <w:t>6.1.2 评标委员会成员有下列情形之一的，应当回避：</w:t>
      </w:r>
    </w:p>
    <w:p w14:paraId="6F8861B4">
      <w:pPr>
        <w:wordWrap w:val="0"/>
        <w:spacing w:line="360" w:lineRule="auto"/>
        <w:ind w:firstLine="410" w:firstLineChars="171"/>
        <w:rPr>
          <w:rFonts w:ascii="宋体" w:hAnsi="宋体"/>
          <w:sz w:val="24"/>
          <w:szCs w:val="24"/>
        </w:rPr>
      </w:pPr>
      <w:r>
        <w:rPr>
          <w:rFonts w:hint="eastAsia" w:ascii="宋体" w:hAnsi="宋体"/>
          <w:sz w:val="24"/>
          <w:szCs w:val="24"/>
        </w:rPr>
        <w:t>（1）投标人或投标人主要负责人的近亲属；</w:t>
      </w:r>
    </w:p>
    <w:p w14:paraId="0684EDAD">
      <w:pPr>
        <w:wordWrap w:val="0"/>
        <w:spacing w:line="360" w:lineRule="auto"/>
        <w:ind w:firstLine="410" w:firstLineChars="171"/>
        <w:rPr>
          <w:rFonts w:ascii="宋体" w:hAnsi="宋体"/>
          <w:sz w:val="24"/>
          <w:szCs w:val="24"/>
        </w:rPr>
      </w:pPr>
      <w:r>
        <w:rPr>
          <w:rFonts w:hint="eastAsia" w:ascii="宋体" w:hAnsi="宋体"/>
          <w:sz w:val="24"/>
          <w:szCs w:val="24"/>
        </w:rPr>
        <w:t>（2）项目主管部门或者行政监督部门的人员；</w:t>
      </w:r>
    </w:p>
    <w:p w14:paraId="7F937FCA">
      <w:pPr>
        <w:wordWrap w:val="0"/>
        <w:spacing w:line="360" w:lineRule="auto"/>
        <w:ind w:firstLine="410" w:firstLineChars="171"/>
        <w:rPr>
          <w:rFonts w:ascii="宋体" w:hAnsi="宋体"/>
          <w:sz w:val="24"/>
          <w:szCs w:val="24"/>
        </w:rPr>
      </w:pPr>
      <w:r>
        <w:rPr>
          <w:rFonts w:hint="eastAsia" w:ascii="宋体" w:hAnsi="宋体"/>
          <w:sz w:val="24"/>
          <w:szCs w:val="24"/>
        </w:rPr>
        <w:t>（3）与投标人有经济利益关系；</w:t>
      </w:r>
    </w:p>
    <w:p w14:paraId="1DF15CC1">
      <w:pPr>
        <w:wordWrap w:val="0"/>
        <w:spacing w:line="360" w:lineRule="auto"/>
        <w:ind w:firstLine="410" w:firstLineChars="171"/>
        <w:rPr>
          <w:rFonts w:ascii="宋体" w:hAnsi="宋体"/>
          <w:sz w:val="24"/>
          <w:szCs w:val="24"/>
        </w:rPr>
      </w:pPr>
      <w:r>
        <w:rPr>
          <w:rFonts w:hint="eastAsia" w:ascii="宋体" w:hAnsi="宋体"/>
          <w:sz w:val="24"/>
          <w:szCs w:val="24"/>
        </w:rPr>
        <w:t>（4）曾因在招标、评标以及其他与招标投标有关活动中从事违法行为而受过行政处罚或刑事处罚的；</w:t>
      </w:r>
    </w:p>
    <w:p w14:paraId="35A7CE15">
      <w:pPr>
        <w:wordWrap w:val="0"/>
        <w:spacing w:line="360" w:lineRule="auto"/>
        <w:ind w:firstLine="410" w:firstLineChars="171"/>
        <w:rPr>
          <w:rFonts w:ascii="宋体" w:hAnsi="宋体"/>
          <w:sz w:val="24"/>
          <w:szCs w:val="24"/>
        </w:rPr>
      </w:pPr>
      <w:r>
        <w:rPr>
          <w:rFonts w:hint="eastAsia" w:ascii="宋体" w:hAnsi="宋体"/>
          <w:sz w:val="24"/>
          <w:szCs w:val="24"/>
        </w:rPr>
        <w:t>（5）与投标人有其他利害关系。</w:t>
      </w:r>
    </w:p>
    <w:p w14:paraId="7656005F">
      <w:pPr>
        <w:pStyle w:val="4"/>
        <w:wordWrap w:val="0"/>
        <w:spacing w:before="0" w:after="0" w:line="360" w:lineRule="auto"/>
        <w:rPr>
          <w:rFonts w:ascii="宋体" w:hAnsi="宋体"/>
        </w:rPr>
      </w:pPr>
      <w:bookmarkStart w:id="328" w:name="_Toc144974532"/>
      <w:bookmarkStart w:id="329" w:name="_Toc296602453"/>
      <w:bookmarkStart w:id="330" w:name="_Toc246996208"/>
      <w:bookmarkStart w:id="331" w:name="_Toc152045564"/>
      <w:bookmarkStart w:id="332" w:name="_Toc179632582"/>
      <w:bookmarkStart w:id="333" w:name="_Toc246996951"/>
      <w:bookmarkStart w:id="334" w:name="_Toc247085722"/>
      <w:bookmarkStart w:id="335" w:name="_Toc152042340"/>
      <w:r>
        <w:rPr>
          <w:rFonts w:hint="eastAsia" w:ascii="宋体" w:hAnsi="宋体"/>
        </w:rPr>
        <w:t>6.2 评标原则</w:t>
      </w:r>
      <w:bookmarkEnd w:id="328"/>
      <w:bookmarkEnd w:id="329"/>
      <w:bookmarkEnd w:id="330"/>
      <w:bookmarkEnd w:id="331"/>
      <w:bookmarkEnd w:id="332"/>
      <w:bookmarkEnd w:id="333"/>
      <w:bookmarkEnd w:id="334"/>
      <w:bookmarkEnd w:id="335"/>
    </w:p>
    <w:p w14:paraId="29FFAC63">
      <w:pPr>
        <w:wordWrap w:val="0"/>
        <w:spacing w:line="360" w:lineRule="auto"/>
        <w:ind w:firstLine="480" w:firstLineChars="200"/>
        <w:rPr>
          <w:rFonts w:hint="eastAsia" w:ascii="宋体" w:hAnsi="宋体"/>
          <w:sz w:val="24"/>
          <w:szCs w:val="24"/>
        </w:rPr>
      </w:pPr>
      <w:r>
        <w:rPr>
          <w:rFonts w:hint="eastAsia" w:ascii="宋体" w:hAnsi="宋体"/>
          <w:sz w:val="24"/>
          <w:szCs w:val="24"/>
        </w:rPr>
        <w:t>评标活动遵循公平、公正、科学和择优的原则。</w:t>
      </w:r>
    </w:p>
    <w:p w14:paraId="060FEEE9">
      <w:pPr>
        <w:pStyle w:val="4"/>
        <w:wordWrap w:val="0"/>
        <w:spacing w:before="0" w:after="0" w:line="360" w:lineRule="auto"/>
        <w:rPr>
          <w:rFonts w:hint="eastAsia" w:ascii="宋体" w:hAnsi="宋体" w:eastAsia="宋体" w:cs="Times New Roman"/>
          <w:b/>
          <w:bCs/>
          <w:highlight w:val="none"/>
          <w:lang w:val="en-US" w:eastAsia="zh-CN"/>
        </w:rPr>
      </w:pPr>
      <w:bookmarkStart w:id="336" w:name="_Toc15113"/>
      <w:bookmarkStart w:id="337" w:name="_Toc362359952"/>
      <w:bookmarkStart w:id="338" w:name="_Toc15538"/>
      <w:bookmarkStart w:id="339" w:name="_Toc10574"/>
      <w:bookmarkStart w:id="340" w:name="_Toc152045566"/>
      <w:bookmarkStart w:id="341" w:name="_Toc246996210"/>
      <w:bookmarkStart w:id="342" w:name="_Toc179632584"/>
      <w:bookmarkStart w:id="343" w:name="_Toc19334"/>
      <w:bookmarkStart w:id="344" w:name="_Toc152042342"/>
      <w:bookmarkStart w:id="345" w:name="_Toc296602455"/>
      <w:bookmarkStart w:id="346" w:name="_Toc246996953"/>
      <w:bookmarkStart w:id="347" w:name="_Toc247085724"/>
      <w:bookmarkStart w:id="348" w:name="_Toc144974534"/>
      <w:r>
        <w:rPr>
          <w:rFonts w:hint="eastAsia" w:ascii="宋体" w:hAnsi="宋体" w:eastAsia="宋体" w:cs="Times New Roman"/>
          <w:b/>
          <w:bCs/>
          <w:highlight w:val="none"/>
          <w:lang w:val="en-US" w:eastAsia="zh-CN"/>
        </w:rPr>
        <w:t>6.3评标</w:t>
      </w:r>
      <w:bookmarkEnd w:id="336"/>
      <w:bookmarkEnd w:id="337"/>
    </w:p>
    <w:p w14:paraId="4BB91700">
      <w:pPr>
        <w:wordWrap w:val="0"/>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6.3.1评标委员会按照第三章“评标办法”规定的方法、评审因素、标准和程序对投标文件进行评审。第三章“评标办法”没有规定的方法、评审因素和标准，不作为评标依据</w:t>
      </w:r>
      <w:r>
        <w:rPr>
          <w:rFonts w:hint="eastAsia" w:ascii="宋体" w:hAnsi="宋体"/>
          <w:color w:val="auto"/>
          <w:sz w:val="24"/>
          <w:szCs w:val="24"/>
          <w:highlight w:val="none"/>
          <w:lang w:eastAsia="zh-CN"/>
        </w:rPr>
        <w:t>。</w:t>
      </w:r>
    </w:p>
    <w:p w14:paraId="266F2F2E">
      <w:pPr>
        <w:wordWrap w:val="0"/>
        <w:spacing w:line="360" w:lineRule="auto"/>
        <w:ind w:firstLine="480" w:firstLineChars="200"/>
        <w:rPr>
          <w:rFonts w:hint="eastAsia" w:ascii="宋体" w:hAnsi="宋体" w:cs="宋体"/>
          <w:color w:val="auto"/>
          <w:sz w:val="24"/>
          <w:szCs w:val="40"/>
          <w:highlight w:val="none"/>
          <w:lang w:val="en-US" w:eastAsia="zh-CN"/>
        </w:rPr>
      </w:pPr>
      <w:r>
        <w:rPr>
          <w:rFonts w:hint="eastAsia" w:ascii="宋体" w:hAnsi="宋体"/>
          <w:color w:val="auto"/>
          <w:sz w:val="24"/>
          <w:szCs w:val="24"/>
          <w:highlight w:val="none"/>
          <w:lang w:val="en-US" w:eastAsia="zh-CN"/>
        </w:rPr>
        <w:t>6.3.2 评标完成后，评标委员会应当向招标人提交书面评标报告和中标候选人名单。评标报告应当载明每个中标候选人的特点、优势、缺点、风险等评审情况和推荐理由，并对技术、质量、安全、工期的控制能力等提供技术咨询建议，供定标委员会参考。</w:t>
      </w:r>
      <w:bookmarkStart w:id="349" w:name="_Toc863735720"/>
      <w:bookmarkStart w:id="350" w:name="_Toc1409094879"/>
    </w:p>
    <w:bookmarkEnd w:id="349"/>
    <w:p w14:paraId="11619066">
      <w:pPr>
        <w:pStyle w:val="4"/>
        <w:wordWrap w:val="0"/>
        <w:spacing w:before="0" w:after="0" w:line="360" w:lineRule="auto"/>
        <w:rPr>
          <w:rFonts w:hint="eastAsia" w:ascii="宋体" w:hAnsi="宋体" w:eastAsia="宋体" w:cs="Times New Roman"/>
          <w:b/>
          <w:bCs/>
          <w:highlight w:val="none"/>
          <w:lang w:val="en-US" w:eastAsia="zh-CN"/>
        </w:rPr>
      </w:pPr>
      <w:r>
        <w:rPr>
          <w:rFonts w:hint="eastAsia" w:ascii="宋体" w:hAnsi="宋体" w:eastAsia="宋体" w:cs="Times New Roman"/>
          <w:b/>
          <w:bCs/>
          <w:highlight w:val="none"/>
          <w:lang w:val="en-US" w:eastAsia="zh-CN"/>
        </w:rPr>
        <w:t>6.4 中标候选人公示</w:t>
      </w:r>
      <w:bookmarkEnd w:id="350"/>
    </w:p>
    <w:p w14:paraId="6B57DEC5">
      <w:pPr>
        <w:wordWrap w:val="0"/>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招标人在收到评标报告之日起3日内，</w:t>
      </w:r>
      <w:r>
        <w:rPr>
          <w:rFonts w:hint="eastAsia" w:ascii="宋体" w:hAnsi="宋体" w:eastAsia="宋体" w:cs="Times New Roman"/>
          <w:b w:val="0"/>
          <w:bCs w:val="0"/>
          <w:color w:val="auto"/>
          <w:sz w:val="24"/>
          <w:szCs w:val="24"/>
          <w:highlight w:val="none"/>
          <w:lang w:val="en-US" w:eastAsia="zh-CN"/>
        </w:rPr>
        <w:t>在与发布招标公告一致的媒体</w:t>
      </w:r>
      <w:r>
        <w:rPr>
          <w:rFonts w:hint="eastAsia" w:ascii="宋体" w:hAnsi="宋体" w:eastAsia="宋体" w:cs="Times New Roman"/>
          <w:b w:val="0"/>
          <w:bCs w:val="0"/>
          <w:color w:val="auto"/>
          <w:sz w:val="24"/>
          <w:szCs w:val="24"/>
          <w:highlight w:val="none"/>
        </w:rPr>
        <w:t>上</w:t>
      </w:r>
      <w:r>
        <w:rPr>
          <w:rFonts w:hint="eastAsia" w:ascii="宋体" w:hAnsi="宋体" w:cs="Times New Roman"/>
          <w:b w:val="0"/>
          <w:bCs w:val="0"/>
          <w:color w:val="auto"/>
          <w:sz w:val="24"/>
          <w:szCs w:val="24"/>
          <w:highlight w:val="none"/>
          <w:lang w:val="en-US" w:eastAsia="zh-CN"/>
        </w:rPr>
        <w:t>发布中标候选人</w:t>
      </w:r>
      <w:r>
        <w:rPr>
          <w:rFonts w:hint="eastAsia" w:ascii="宋体" w:hAnsi="宋体" w:eastAsia="宋体" w:cs="Times New Roman"/>
          <w:b w:val="0"/>
          <w:bCs w:val="0"/>
          <w:color w:val="auto"/>
          <w:sz w:val="24"/>
          <w:szCs w:val="24"/>
          <w:highlight w:val="none"/>
        </w:rPr>
        <w:t>公示</w:t>
      </w:r>
      <w:r>
        <w:rPr>
          <w:rFonts w:hint="eastAsia" w:ascii="宋体" w:hAnsi="宋体" w:eastAsia="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lang w:val="en-US" w:eastAsia="zh-CN"/>
        </w:rPr>
        <w:t>公示期不得少于3日，</w:t>
      </w:r>
      <w:r>
        <w:rPr>
          <w:rFonts w:hint="eastAsia" w:ascii="宋体" w:hAnsi="宋体" w:eastAsia="宋体" w:cs="Times New Roman"/>
          <w:b w:val="0"/>
          <w:bCs w:val="0"/>
          <w:color w:val="auto"/>
          <w:sz w:val="24"/>
          <w:szCs w:val="24"/>
          <w:highlight w:val="none"/>
        </w:rPr>
        <w:t>公示应当</w:t>
      </w:r>
      <w:r>
        <w:rPr>
          <w:rFonts w:hint="eastAsia" w:ascii="宋体" w:hAnsi="宋体" w:eastAsia="宋体" w:cs="Times New Roman"/>
          <w:b w:val="0"/>
          <w:bCs w:val="0"/>
          <w:color w:val="auto"/>
          <w:sz w:val="24"/>
          <w:szCs w:val="24"/>
          <w:highlight w:val="none"/>
          <w:lang w:eastAsia="zh-CN"/>
        </w:rPr>
        <w:t>载明</w:t>
      </w:r>
      <w:r>
        <w:rPr>
          <w:rFonts w:hint="eastAsia" w:ascii="宋体" w:hAnsi="宋体" w:eastAsia="宋体" w:cs="Times New Roman"/>
          <w:b w:val="0"/>
          <w:bCs w:val="0"/>
          <w:color w:val="auto"/>
          <w:sz w:val="24"/>
          <w:szCs w:val="24"/>
          <w:highlight w:val="none"/>
          <w:lang w:val="en-US" w:eastAsia="zh-CN"/>
        </w:rPr>
        <w:t>所有投标人情况、推荐的</w:t>
      </w:r>
      <w:r>
        <w:rPr>
          <w:rFonts w:hint="eastAsia" w:ascii="宋体" w:hAnsi="宋体" w:cs="Times New Roman"/>
          <w:b w:val="0"/>
          <w:bCs w:val="0"/>
          <w:color w:val="auto"/>
          <w:sz w:val="24"/>
          <w:szCs w:val="24"/>
          <w:highlight w:val="none"/>
          <w:lang w:val="en-US" w:eastAsia="zh-CN"/>
        </w:rPr>
        <w:t>中</w:t>
      </w:r>
      <w:r>
        <w:rPr>
          <w:rFonts w:hint="eastAsia" w:ascii="宋体" w:hAnsi="宋体" w:eastAsia="宋体" w:cs="Times New Roman"/>
          <w:b w:val="0"/>
          <w:bCs w:val="0"/>
          <w:color w:val="auto"/>
          <w:sz w:val="24"/>
          <w:szCs w:val="24"/>
          <w:highlight w:val="none"/>
          <w:lang w:val="en-US" w:eastAsia="zh-CN"/>
        </w:rPr>
        <w:t>标候选人情况（包括项目投标信息、管理人员信息、业绩信息等）、否决投标情况及原因、异议方式、监督电话及投诉方式等内容。</w:t>
      </w:r>
    </w:p>
    <w:p w14:paraId="351A6257">
      <w:pPr>
        <w:pStyle w:val="3"/>
        <w:wordWrap w:val="0"/>
        <w:spacing w:before="0" w:after="0" w:line="360" w:lineRule="auto"/>
        <w:rPr>
          <w:rFonts w:hint="default" w:ascii="宋体" w:hAnsi="宋体" w:eastAsia="宋体" w:cs="Times New Roman"/>
          <w:b/>
          <w:bCs/>
          <w:highlight w:val="none"/>
          <w:lang w:val="en-US" w:eastAsia="zh-CN"/>
        </w:rPr>
      </w:pPr>
      <w:bookmarkStart w:id="351" w:name="_Toc10957"/>
      <w:r>
        <w:rPr>
          <w:rFonts w:hint="eastAsia" w:ascii="宋体" w:hAnsi="宋体" w:eastAsia="宋体" w:cs="Times New Roman"/>
          <w:b/>
          <w:bCs/>
          <w:highlight w:val="none"/>
          <w:lang w:val="en-US" w:eastAsia="zh-CN"/>
        </w:rPr>
        <w:t>7.定标</w:t>
      </w:r>
      <w:bookmarkEnd w:id="351"/>
    </w:p>
    <w:p w14:paraId="4D1821F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.1招标人应当在</w:t>
      </w:r>
      <w:r>
        <w:rPr>
          <w:rFonts w:hint="eastAsia" w:ascii="宋体" w:hAnsi="宋体" w:cs="宋体"/>
          <w:color w:val="auto"/>
          <w:kern w:val="0"/>
          <w:sz w:val="24"/>
          <w:szCs w:val="24"/>
          <w:highlight w:val="none"/>
          <w:lang w:val="en-US" w:eastAsia="zh-CN"/>
        </w:rPr>
        <w:t>收到评标报告10日内完成定标工作</w:t>
      </w:r>
      <w:r>
        <w:rPr>
          <w:rFonts w:hint="eastAsia" w:ascii="宋体" w:hAnsi="宋体" w:eastAsia="宋体" w:cs="宋体"/>
          <w:color w:val="auto"/>
          <w:kern w:val="0"/>
          <w:sz w:val="24"/>
          <w:szCs w:val="24"/>
          <w:highlight w:val="none"/>
          <w:lang w:val="en-US" w:eastAsia="zh-CN"/>
        </w:rPr>
        <w:t>，定标过程包括核查和定标会议两个阶段。定标会议应当在</w:t>
      </w:r>
      <w:r>
        <w:rPr>
          <w:rFonts w:hint="eastAsia" w:ascii="宋体" w:hAnsi="宋体" w:cs="宋体"/>
          <w:color w:val="auto"/>
          <w:kern w:val="0"/>
          <w:sz w:val="24"/>
          <w:szCs w:val="24"/>
          <w:highlight w:val="none"/>
          <w:lang w:val="en-US" w:eastAsia="zh-CN"/>
        </w:rPr>
        <w:t>卢氏县</w:t>
      </w:r>
      <w:r>
        <w:rPr>
          <w:rFonts w:hint="eastAsia" w:ascii="宋体" w:hAnsi="宋体" w:eastAsia="宋体" w:cs="宋体"/>
          <w:color w:val="auto"/>
          <w:kern w:val="0"/>
          <w:sz w:val="24"/>
          <w:szCs w:val="24"/>
          <w:highlight w:val="none"/>
          <w:lang w:val="en-US" w:eastAsia="zh-CN"/>
        </w:rPr>
        <w:t>公共资源交易中心按流程进行，不能按时完成定标工作的，应当通过三门峡市公共资源交易平台发布延期原因和最终定标时间，最终定标时间不得超过投标有效期。</w:t>
      </w:r>
    </w:p>
    <w:p w14:paraId="3C94A889">
      <w:pPr>
        <w:pStyle w:val="4"/>
        <w:wordWrap w:val="0"/>
        <w:spacing w:before="0" w:after="0" w:line="360" w:lineRule="auto"/>
        <w:rPr>
          <w:rFonts w:hint="eastAsia" w:ascii="宋体" w:hAnsi="宋体" w:eastAsia="宋体" w:cs="Times New Roman"/>
          <w:b/>
          <w:bCs/>
          <w:highlight w:val="none"/>
          <w:lang w:val="en-US" w:eastAsia="zh-CN"/>
        </w:rPr>
      </w:pPr>
      <w:bookmarkStart w:id="352" w:name="_Toc1960677989"/>
      <w:r>
        <w:rPr>
          <w:rFonts w:hint="eastAsia" w:ascii="宋体" w:hAnsi="宋体" w:eastAsia="宋体" w:cs="Times New Roman"/>
          <w:b/>
          <w:bCs/>
          <w:highlight w:val="none"/>
          <w:lang w:val="en-US" w:eastAsia="zh-CN"/>
        </w:rPr>
        <w:t>7.2 定标委员会</w:t>
      </w:r>
      <w:bookmarkEnd w:id="352"/>
    </w:p>
    <w:p w14:paraId="7DD2AAC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 xml:space="preserve">.2.1 </w:t>
      </w:r>
      <w:r>
        <w:rPr>
          <w:rFonts w:hint="eastAsia" w:ascii="宋体" w:hAnsi="宋体" w:cs="宋体"/>
          <w:color w:val="auto"/>
          <w:kern w:val="0"/>
          <w:sz w:val="24"/>
          <w:szCs w:val="24"/>
          <w:highlight w:val="none"/>
          <w:lang w:val="en-US" w:eastAsia="zh-CN"/>
        </w:rPr>
        <w:t>详见投标人须知前附表</w:t>
      </w:r>
    </w:p>
    <w:p w14:paraId="3D64505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.2.2 定标委员会成员有下列情形之一的，应当回避：</w:t>
      </w:r>
    </w:p>
    <w:p w14:paraId="1C058345">
      <w:pPr>
        <w:pageBreakBefore w:val="0"/>
        <w:kinsoku/>
        <w:wordWrap w:val="0"/>
        <w:overflowPunct/>
        <w:topLinePunct w:val="0"/>
        <w:bidi w:val="0"/>
        <w:spacing w:line="360" w:lineRule="auto"/>
        <w:ind w:firstLine="480" w:firstLineChars="200"/>
        <w:textAlignment w:val="auto"/>
        <w:rPr>
          <w:rFonts w:hint="eastAsia" w:asci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与投标单位有直接利益关系的</w:t>
      </w:r>
      <w:r>
        <w:rPr>
          <w:rFonts w:hint="eastAsia" w:ascii="宋体" w:hAnsi="宋体"/>
          <w:color w:val="auto"/>
          <w:sz w:val="24"/>
          <w:szCs w:val="24"/>
          <w:highlight w:val="none"/>
          <w:lang w:eastAsia="zh-CN"/>
        </w:rPr>
        <w:t>。</w:t>
      </w:r>
    </w:p>
    <w:p w14:paraId="28D5E9D2">
      <w:pPr>
        <w:pageBreakBefore w:val="0"/>
        <w:kinsoku/>
        <w:wordWrap w:val="0"/>
        <w:overflowPunct/>
        <w:topLinePunct w:val="0"/>
        <w:bidi w:val="0"/>
        <w:spacing w:line="360" w:lineRule="auto"/>
        <w:ind w:firstLine="480" w:firstLineChars="200"/>
        <w:textAlignment w:val="auto"/>
        <w:rPr>
          <w:rFonts w:hint="eastAsia" w:asci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作为招标人代表参与本项目评标委员会的</w:t>
      </w:r>
      <w:r>
        <w:rPr>
          <w:rFonts w:hint="eastAsia" w:ascii="宋体" w:hAnsi="宋体"/>
          <w:color w:val="auto"/>
          <w:sz w:val="24"/>
          <w:szCs w:val="24"/>
          <w:highlight w:val="none"/>
          <w:lang w:eastAsia="zh-CN"/>
        </w:rPr>
        <w:t>。</w:t>
      </w:r>
    </w:p>
    <w:p w14:paraId="7D07419D">
      <w:pPr>
        <w:pageBreakBefore w:val="0"/>
        <w:kinsoku/>
        <w:wordWrap w:val="0"/>
        <w:overflowPunct/>
        <w:topLinePunct w:val="0"/>
        <w:bidi w:val="0"/>
        <w:spacing w:line="360" w:lineRule="auto"/>
        <w:ind w:firstLine="480" w:firstLineChars="200"/>
        <w:textAlignment w:val="auto"/>
        <w:rPr>
          <w:rFonts w:hint="eastAsia" w:asci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与投标人有经济利益关系，可能影响对投标公正评审的</w:t>
      </w:r>
      <w:r>
        <w:rPr>
          <w:rFonts w:hint="eastAsia" w:ascii="宋体" w:hAnsi="宋体"/>
          <w:color w:val="auto"/>
          <w:sz w:val="24"/>
          <w:szCs w:val="24"/>
          <w:highlight w:val="none"/>
          <w:lang w:eastAsia="zh-CN"/>
        </w:rPr>
        <w:t>。</w:t>
      </w:r>
    </w:p>
    <w:p w14:paraId="7D83A4CD">
      <w:pPr>
        <w:pageBreakBefore w:val="0"/>
        <w:kinsoku/>
        <w:wordWrap w:val="0"/>
        <w:overflowPunct/>
        <w:topLinePunct w:val="0"/>
        <w:bidi w:val="0"/>
        <w:spacing w:line="360"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本项目</w:t>
      </w:r>
      <w:r>
        <w:rPr>
          <w:rFonts w:hint="eastAsia" w:hAnsi="宋体"/>
          <w:color w:val="auto"/>
          <w:sz w:val="24"/>
          <w:szCs w:val="24"/>
          <w:highlight w:val="none"/>
          <w:lang w:eastAsia="zh-CN"/>
        </w:rPr>
        <w:t>资格审查工作小组</w:t>
      </w:r>
      <w:r>
        <w:rPr>
          <w:rFonts w:hint="eastAsia" w:hAnsi="宋体"/>
          <w:color w:val="auto"/>
          <w:sz w:val="24"/>
          <w:szCs w:val="24"/>
          <w:highlight w:val="none"/>
          <w:lang w:val="en-US" w:eastAsia="zh-CN"/>
        </w:rPr>
        <w:t>成员</w:t>
      </w:r>
      <w:r>
        <w:rPr>
          <w:rFonts w:hint="eastAsia" w:hAnsi="宋体"/>
          <w:color w:val="auto"/>
          <w:sz w:val="24"/>
          <w:szCs w:val="24"/>
          <w:highlight w:val="none"/>
        </w:rPr>
        <w:t>或清标工作小</w:t>
      </w:r>
      <w:r>
        <w:rPr>
          <w:rFonts w:hint="eastAsia" w:ascii="宋体" w:hAnsi="宋体" w:eastAsia="宋体" w:cs="Times New Roman"/>
          <w:color w:val="auto"/>
          <w:sz w:val="24"/>
          <w:szCs w:val="24"/>
          <w:highlight w:val="none"/>
        </w:rPr>
        <w:t>组成员</w:t>
      </w:r>
      <w:r>
        <w:rPr>
          <w:rFonts w:hint="eastAsia" w:ascii="宋体" w:hAnsi="宋体" w:eastAsia="宋体" w:cs="Times New Roman"/>
          <w:color w:val="auto"/>
          <w:sz w:val="24"/>
          <w:szCs w:val="24"/>
          <w:highlight w:val="none"/>
          <w:lang w:eastAsia="zh-CN"/>
        </w:rPr>
        <w:t>。</w:t>
      </w:r>
    </w:p>
    <w:p w14:paraId="487C7EA2">
      <w:pPr>
        <w:wordWrap w:val="0"/>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（5）其它影响招标、投标公正评审情形。</w:t>
      </w:r>
    </w:p>
    <w:p w14:paraId="2937862B">
      <w:pPr>
        <w:pStyle w:val="4"/>
        <w:wordWrap w:val="0"/>
        <w:spacing w:before="0" w:after="0" w:line="360" w:lineRule="auto"/>
        <w:rPr>
          <w:rFonts w:hint="eastAsia" w:ascii="宋体" w:hAnsi="宋体" w:eastAsia="宋体" w:cs="Times New Roman"/>
          <w:b/>
          <w:bCs/>
          <w:highlight w:val="none"/>
          <w:lang w:val="en-US" w:eastAsia="zh-CN"/>
        </w:rPr>
      </w:pPr>
      <w:bookmarkStart w:id="353" w:name="_Toc761118850"/>
      <w:r>
        <w:rPr>
          <w:rFonts w:hint="eastAsia" w:ascii="宋体" w:hAnsi="宋体" w:eastAsia="宋体" w:cs="Times New Roman"/>
          <w:b/>
          <w:bCs/>
          <w:highlight w:val="none"/>
          <w:lang w:val="en-US" w:eastAsia="zh-CN"/>
        </w:rPr>
        <w:t>7.3 定标原则</w:t>
      </w:r>
      <w:bookmarkEnd w:id="353"/>
    </w:p>
    <w:p w14:paraId="0A752470">
      <w:pPr>
        <w:wordWrap w:val="0"/>
        <w:adjustRightInd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Courier New"/>
          <w:color w:val="auto"/>
          <w:sz w:val="24"/>
          <w:szCs w:val="24"/>
          <w:highlight w:val="none"/>
        </w:rPr>
        <w:t>定标</w:t>
      </w:r>
      <w:r>
        <w:rPr>
          <w:rFonts w:hint="eastAsia" w:ascii="宋体" w:hAnsi="宋体" w:cs="Courier New"/>
          <w:color w:val="auto"/>
          <w:sz w:val="24"/>
          <w:szCs w:val="24"/>
          <w:highlight w:val="none"/>
          <w:lang w:val="en-US" w:eastAsia="zh-CN"/>
        </w:rPr>
        <w:t>应当遵循公开透明、择优竞争、科学规范、廉洁高效的</w:t>
      </w:r>
      <w:r>
        <w:rPr>
          <w:rFonts w:hint="eastAsia" w:ascii="宋体" w:hAnsi="宋体" w:cs="Courier New"/>
          <w:color w:val="auto"/>
          <w:sz w:val="24"/>
          <w:szCs w:val="24"/>
          <w:highlight w:val="none"/>
        </w:rPr>
        <w:t>原则</w:t>
      </w:r>
      <w:r>
        <w:rPr>
          <w:rFonts w:hint="eastAsia" w:ascii="宋体" w:hAnsi="宋体" w:cs="Courier New"/>
          <w:color w:val="auto"/>
          <w:sz w:val="24"/>
          <w:szCs w:val="24"/>
          <w:highlight w:val="none"/>
          <w:lang w:eastAsia="zh-CN"/>
        </w:rPr>
        <w:t>。</w:t>
      </w:r>
    </w:p>
    <w:p w14:paraId="089E8629">
      <w:pPr>
        <w:pStyle w:val="4"/>
        <w:wordWrap w:val="0"/>
        <w:spacing w:before="0" w:after="0" w:line="360" w:lineRule="auto"/>
        <w:rPr>
          <w:rFonts w:hint="eastAsia" w:ascii="宋体" w:hAnsi="宋体" w:eastAsia="宋体" w:cs="Times New Roman"/>
          <w:b/>
          <w:bCs/>
          <w:highlight w:val="none"/>
          <w:lang w:val="en-US" w:eastAsia="zh-CN"/>
        </w:rPr>
      </w:pPr>
      <w:bookmarkStart w:id="354" w:name="_Toc1243929273"/>
      <w:r>
        <w:rPr>
          <w:rFonts w:hint="eastAsia" w:ascii="宋体" w:hAnsi="宋体" w:eastAsia="宋体" w:cs="Times New Roman"/>
          <w:b/>
          <w:bCs/>
          <w:highlight w:val="none"/>
          <w:lang w:val="en-US" w:eastAsia="zh-CN"/>
        </w:rPr>
        <w:t>7.4 定标</w:t>
      </w:r>
      <w:bookmarkEnd w:id="354"/>
      <w:r>
        <w:rPr>
          <w:rFonts w:hint="eastAsia" w:ascii="宋体" w:hAnsi="宋体" w:eastAsia="宋体" w:cs="Times New Roman"/>
          <w:b/>
          <w:bCs/>
          <w:highlight w:val="none"/>
          <w:lang w:val="en-US" w:eastAsia="zh-CN"/>
        </w:rPr>
        <w:t>程序</w:t>
      </w:r>
    </w:p>
    <w:p w14:paraId="7FD2CEB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Courier New"/>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7</w:t>
      </w:r>
      <w:r>
        <w:rPr>
          <w:rFonts w:hint="eastAsia" w:ascii="宋体" w:hAnsi="宋体" w:eastAsia="宋体" w:cs="Courier New"/>
          <w:color w:val="auto"/>
          <w:kern w:val="2"/>
          <w:sz w:val="24"/>
          <w:szCs w:val="24"/>
          <w:highlight w:val="none"/>
          <w:lang w:val="en-US" w:eastAsia="zh-CN" w:bidi="ar-SA"/>
        </w:rPr>
        <w:t>.4.1核查</w:t>
      </w:r>
    </w:p>
    <w:p w14:paraId="1D72D19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定标委员会应当在收到评标报告后首先对中标候选人进行核查，形成核查报告，核查报告在定标会议召开前应当保密。核查内容应包括中标候选人的信用信息、履约能力、以及招标人认为其他需要核查的内容。核查内容不得设置不合理限制和隐性壁垒。招标文件中没有规定的核查标准和方法不得作为定标核查的依据，不得在定标过程中新增定标条件和要求。定标委员会经核查发现中标候选人确有弄虚作假、围标串标等情形的，应当否决相应中标候选人的中标资格，并及时向行政监督部门报告。</w:t>
      </w:r>
    </w:p>
    <w:p w14:paraId="2C4BF81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Courier New"/>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具体核查要求详见定标办法。</w:t>
      </w:r>
    </w:p>
    <w:p w14:paraId="08EA967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Courier New"/>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7</w:t>
      </w:r>
      <w:r>
        <w:rPr>
          <w:rFonts w:hint="eastAsia" w:ascii="宋体" w:hAnsi="宋体" w:eastAsia="宋体" w:cs="Courier New"/>
          <w:color w:val="auto"/>
          <w:kern w:val="2"/>
          <w:sz w:val="24"/>
          <w:szCs w:val="24"/>
          <w:highlight w:val="none"/>
          <w:lang w:val="en-US" w:eastAsia="zh-CN" w:bidi="ar-SA"/>
        </w:rPr>
        <w:t>.4.2定标会议</w:t>
      </w:r>
    </w:p>
    <w:p w14:paraId="7E53E84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Courier New"/>
          <w:b/>
          <w:bCs/>
          <w:color w:val="auto"/>
          <w:kern w:val="2"/>
          <w:sz w:val="24"/>
          <w:szCs w:val="24"/>
          <w:highlight w:val="yellow"/>
          <w:lang w:val="en-US" w:eastAsia="zh-CN" w:bidi="ar-SA"/>
        </w:rPr>
      </w:pPr>
      <w:r>
        <w:rPr>
          <w:rFonts w:hint="eastAsia" w:ascii="宋体" w:hAnsi="宋体" w:cs="Courier New"/>
          <w:color w:val="auto"/>
          <w:kern w:val="2"/>
          <w:sz w:val="24"/>
          <w:szCs w:val="24"/>
          <w:highlight w:val="none"/>
          <w:lang w:val="en-US" w:eastAsia="zh-CN" w:bidi="ar-SA"/>
        </w:rPr>
        <w:t>招标人组织</w:t>
      </w:r>
      <w:r>
        <w:rPr>
          <w:rFonts w:hint="eastAsia" w:ascii="宋体" w:hAnsi="宋体" w:eastAsia="宋体" w:cs="Courier New"/>
          <w:color w:val="auto"/>
          <w:kern w:val="2"/>
          <w:sz w:val="24"/>
          <w:szCs w:val="24"/>
          <w:highlight w:val="none"/>
          <w:lang w:val="en-US" w:eastAsia="zh-CN" w:bidi="ar-SA"/>
        </w:rPr>
        <w:t>对中标候选人进行核查后，召开定标会议。定标会议</w:t>
      </w:r>
      <w:r>
        <w:rPr>
          <w:rFonts w:hint="eastAsia" w:ascii="宋体" w:hAnsi="宋体" w:eastAsia="宋体" w:cs="Courier New"/>
          <w:b/>
          <w:bCs/>
          <w:color w:val="000000" w:themeColor="text1"/>
          <w:kern w:val="2"/>
          <w:sz w:val="24"/>
          <w:szCs w:val="24"/>
          <w:highlight w:val="none"/>
          <w:lang w:val="en-US" w:eastAsia="zh-CN" w:bidi="ar-SA"/>
          <w14:textFill>
            <w14:solidFill>
              <w14:schemeClr w14:val="tx1"/>
            </w14:solidFill>
          </w14:textFill>
        </w:rPr>
        <w:t>采</w:t>
      </w:r>
      <w:r>
        <w:rPr>
          <w:rFonts w:hint="eastAsia" w:ascii="宋体" w:hAnsi="宋体" w:cs="Courier New"/>
          <w:b/>
          <w:bCs/>
          <w:color w:val="000000" w:themeColor="text1"/>
          <w:kern w:val="2"/>
          <w:sz w:val="24"/>
          <w:szCs w:val="24"/>
          <w:highlight w:val="none"/>
          <w:lang w:val="en-US" w:eastAsia="zh-CN" w:bidi="ar-SA"/>
          <w14:textFill>
            <w14:solidFill>
              <w14:schemeClr w14:val="tx1"/>
            </w14:solidFill>
          </w14:textFill>
        </w:rPr>
        <w:t>用随机法确定中标人</w:t>
      </w:r>
      <w:r>
        <w:rPr>
          <w:rFonts w:hint="eastAsia" w:ascii="宋体" w:hAnsi="宋体" w:cs="Courier New"/>
          <w:b/>
          <w:bCs/>
          <w:color w:val="auto"/>
          <w:kern w:val="2"/>
          <w:sz w:val="24"/>
          <w:szCs w:val="24"/>
          <w:highlight w:val="none"/>
          <w:lang w:val="en-US" w:eastAsia="zh-CN" w:bidi="ar-SA"/>
        </w:rPr>
        <w:t>。</w:t>
      </w:r>
    </w:p>
    <w:p w14:paraId="72CF5A7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Courier New"/>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7</w:t>
      </w:r>
      <w:r>
        <w:rPr>
          <w:rFonts w:hint="eastAsia" w:ascii="宋体" w:hAnsi="宋体" w:eastAsia="宋体" w:cs="Courier New"/>
          <w:color w:val="auto"/>
          <w:kern w:val="2"/>
          <w:sz w:val="24"/>
          <w:szCs w:val="24"/>
          <w:highlight w:val="none"/>
          <w:lang w:val="en-US" w:eastAsia="zh-CN" w:bidi="ar-SA"/>
        </w:rPr>
        <w:t>.4.3定标因素</w:t>
      </w:r>
    </w:p>
    <w:p w14:paraId="13FB200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Courier New"/>
          <w:color w:val="auto"/>
          <w:kern w:val="2"/>
          <w:sz w:val="24"/>
          <w:szCs w:val="24"/>
          <w:highlight w:val="none"/>
          <w:lang w:val="en-US" w:eastAsia="zh-CN" w:bidi="ar-SA"/>
        </w:rPr>
        <w:t>定标因素</w:t>
      </w:r>
      <w:r>
        <w:rPr>
          <w:rFonts w:hint="eastAsia" w:ascii="宋体" w:hAnsi="宋体" w:cs="Courier New"/>
          <w:color w:val="auto"/>
          <w:kern w:val="2"/>
          <w:sz w:val="24"/>
          <w:szCs w:val="24"/>
          <w:highlight w:val="none"/>
          <w:lang w:val="en-US" w:eastAsia="zh-CN" w:bidi="ar-SA"/>
        </w:rPr>
        <w:t>：详见定标要素一览表。</w:t>
      </w:r>
      <w:bookmarkStart w:id="355" w:name="_Toc1319964594"/>
    </w:p>
    <w:p w14:paraId="753E339D">
      <w:pPr>
        <w:pStyle w:val="4"/>
        <w:wordWrap w:val="0"/>
        <w:spacing w:before="0" w:after="0" w:line="360" w:lineRule="auto"/>
        <w:rPr>
          <w:rFonts w:hint="eastAsia" w:ascii="宋体" w:hAnsi="宋体" w:eastAsia="宋体" w:cs="Times New Roman"/>
          <w:b/>
          <w:bCs/>
          <w:highlight w:val="none"/>
          <w:lang w:val="en-US" w:eastAsia="zh-CN"/>
        </w:rPr>
      </w:pPr>
      <w:r>
        <w:rPr>
          <w:rFonts w:hint="eastAsia" w:ascii="宋体" w:hAnsi="宋体" w:eastAsia="宋体" w:cs="Times New Roman"/>
          <w:b/>
          <w:bCs/>
          <w:highlight w:val="none"/>
          <w:lang w:val="en-US" w:eastAsia="zh-CN"/>
        </w:rPr>
        <w:t>7.5 中标结果公示</w:t>
      </w:r>
      <w:bookmarkEnd w:id="355"/>
    </w:p>
    <w:p w14:paraId="3F0EEDF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招标人应当在定标工作完成后3日内发布中标结果公示，公示期不少于3 日。中标结果公示应当载明定标时间、定标地点、定标方法、中标人名称、中标价格、质量、工期、资格条件、项目负责人信息，中标候选人的核查、考察、比较优势，核查未通过的中标候选人名单和原因以及异议和投诉渠道等内容。</w:t>
      </w:r>
    </w:p>
    <w:p w14:paraId="4B29D554">
      <w:pPr>
        <w:pStyle w:val="4"/>
        <w:wordWrap w:val="0"/>
        <w:spacing w:before="0" w:after="0" w:line="360" w:lineRule="auto"/>
        <w:rPr>
          <w:rFonts w:hint="eastAsia" w:ascii="宋体" w:hAnsi="宋体" w:eastAsia="宋体" w:cs="Times New Roman"/>
          <w:b/>
          <w:bCs/>
          <w:highlight w:val="none"/>
          <w:lang w:val="en-US" w:eastAsia="zh-CN"/>
        </w:rPr>
      </w:pPr>
      <w:bookmarkStart w:id="356" w:name="_Toc29967"/>
      <w:bookmarkStart w:id="357" w:name="_Toc13804"/>
      <w:bookmarkStart w:id="358" w:name="_Toc31068"/>
      <w:bookmarkStart w:id="359" w:name="_Toc29733"/>
      <w:bookmarkStart w:id="360" w:name="_Toc7388"/>
      <w:bookmarkStart w:id="361" w:name="_Toc16847"/>
      <w:bookmarkStart w:id="362" w:name="_Toc18485"/>
      <w:bookmarkStart w:id="363" w:name="_Toc18150"/>
      <w:bookmarkStart w:id="364" w:name="_Toc1690"/>
      <w:r>
        <w:rPr>
          <w:rFonts w:hint="eastAsia" w:ascii="宋体" w:hAnsi="宋体" w:eastAsia="宋体" w:cs="Times New Roman"/>
          <w:b/>
          <w:bCs/>
          <w:highlight w:val="none"/>
          <w:lang w:val="en-US" w:eastAsia="zh-CN"/>
        </w:rPr>
        <w:t>7.6中标通知</w:t>
      </w:r>
      <w:bookmarkEnd w:id="356"/>
      <w:bookmarkEnd w:id="357"/>
      <w:bookmarkEnd w:id="358"/>
      <w:bookmarkEnd w:id="359"/>
      <w:bookmarkEnd w:id="360"/>
      <w:bookmarkEnd w:id="361"/>
      <w:bookmarkEnd w:id="362"/>
      <w:bookmarkEnd w:id="363"/>
      <w:bookmarkEnd w:id="364"/>
    </w:p>
    <w:p w14:paraId="5598F68A">
      <w:pPr>
        <w:tabs>
          <w:tab w:val="left" w:pos="4900"/>
          <w:tab w:val="left" w:pos="6527"/>
        </w:tabs>
        <w:wordWrap w:val="0"/>
        <w:spacing w:line="360" w:lineRule="auto"/>
        <w:ind w:firstLine="480" w:firstLineChars="200"/>
        <w:rPr>
          <w:rFonts w:hint="default"/>
          <w:lang w:val="en-US" w:eastAsia="zh-CN"/>
        </w:rPr>
      </w:pPr>
      <w:r>
        <w:rPr>
          <w:rFonts w:hint="eastAsia" w:ascii="宋体" w:hAnsi="宋体"/>
          <w:sz w:val="24"/>
          <w:szCs w:val="24"/>
        </w:rPr>
        <w:t>在本章规定的投标有效期内，招标人以投标人须知前附表规定的形式向中标人发出中标通知书。</w:t>
      </w:r>
    </w:p>
    <w:p w14:paraId="1E738B90">
      <w:pPr>
        <w:pStyle w:val="3"/>
        <w:numPr>
          <w:ilvl w:val="0"/>
          <w:numId w:val="1"/>
        </w:numPr>
        <w:wordWrap w:val="0"/>
        <w:rPr>
          <w:rFonts w:hint="eastAsia"/>
        </w:rPr>
      </w:pPr>
      <w:bookmarkStart w:id="365" w:name="_Toc1591"/>
      <w:r>
        <w:rPr>
          <w:rFonts w:hint="eastAsia"/>
        </w:rPr>
        <w:t>合同授予</w:t>
      </w:r>
      <w:bookmarkEnd w:id="338"/>
      <w:bookmarkEnd w:id="339"/>
      <w:bookmarkEnd w:id="340"/>
      <w:bookmarkEnd w:id="341"/>
      <w:bookmarkEnd w:id="342"/>
      <w:bookmarkEnd w:id="343"/>
      <w:bookmarkEnd w:id="344"/>
      <w:bookmarkEnd w:id="345"/>
      <w:bookmarkEnd w:id="346"/>
      <w:bookmarkEnd w:id="347"/>
      <w:bookmarkEnd w:id="348"/>
      <w:bookmarkEnd w:id="365"/>
    </w:p>
    <w:p w14:paraId="293ED0E4">
      <w:pPr>
        <w:pStyle w:val="5"/>
        <w:wordWrap w:val="0"/>
        <w:rPr>
          <w:rFonts w:hint="eastAsia"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 xml:space="preserve"> 中标通知</w:t>
      </w:r>
    </w:p>
    <w:p w14:paraId="5A4B4918">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在投标人须知前附表规定的投标有效期内，招标人以书面形式向中标人发出中标通知书，同时将中标结果通知未中标的投标人。</w:t>
      </w:r>
    </w:p>
    <w:p w14:paraId="387D494D">
      <w:pPr>
        <w:pStyle w:val="5"/>
        <w:wordWrap w:val="0"/>
        <w:rPr>
          <w:rFonts w:hint="eastAsia"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签订合同</w:t>
      </w:r>
    </w:p>
    <w:p w14:paraId="2C2E79DE">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.1 招标人和中标人应当在投标有效期内并且在自中标通知书发出之日起30天内，根据招标文件和中标人的投标文件订立书面合同。招标人发出中标结果通知，中标人无正当理由在7日内不领取中标通知书及拒签合同的，招标人取消其中标资格，其投标保证金不予退还；给招标人造成的损失超过投标保证金数额的，中标人还应当对超过部分予以赔偿。</w:t>
      </w:r>
    </w:p>
    <w:p w14:paraId="3BD45134">
      <w:pPr>
        <w:wordWrap w:val="0"/>
        <w:spacing w:line="360" w:lineRule="auto"/>
        <w:ind w:firstLine="480" w:firstLineChars="200"/>
        <w:rPr>
          <w:rFonts w:hint="eastAsia"/>
        </w:rPr>
      </w:pPr>
      <w:r>
        <w:rPr>
          <w:rFonts w:hint="eastAsia" w:ascii="宋体" w:hAnsi="宋体" w:cs="宋体"/>
          <w:color w:val="auto"/>
          <w:sz w:val="24"/>
          <w:lang w:val="en-US" w:eastAsia="zh-CN"/>
        </w:rPr>
        <w:t>8</w:t>
      </w: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.2 发出中标通知书后，招标人无正当理由拒签合同的，招标人向中标人退还投标保证金；给中标人造成损失的，还应当赔偿损失。</w:t>
      </w:r>
    </w:p>
    <w:p w14:paraId="3D8501EB">
      <w:pPr>
        <w:pStyle w:val="3"/>
        <w:wordWrap w:val="0"/>
        <w:rPr>
          <w:sz w:val="24"/>
          <w:szCs w:val="24"/>
        </w:rPr>
      </w:pPr>
      <w:bookmarkStart w:id="366" w:name="_Toc31692"/>
      <w:bookmarkStart w:id="367" w:name="_Toc27653"/>
      <w:bookmarkStart w:id="368" w:name="_Toc19023"/>
      <w:bookmarkStart w:id="369" w:name="_Toc22477"/>
      <w:bookmarkStart w:id="370" w:name="_Toc17967"/>
      <w:bookmarkStart w:id="371" w:name="_Toc12510"/>
      <w:bookmarkStart w:id="372" w:name="_Toc6034"/>
      <w:bookmarkStart w:id="373" w:name="_Toc10569"/>
      <w:bookmarkStart w:id="374" w:name="_Toc17493"/>
      <w:bookmarkStart w:id="375" w:name="_Toc26779"/>
      <w:bookmarkStart w:id="376" w:name="_Toc25990"/>
      <w:bookmarkStart w:id="377" w:name="_Toc19965"/>
      <w:bookmarkStart w:id="378" w:name="_Toc12821"/>
      <w:bookmarkStart w:id="379" w:name="_Toc17552"/>
      <w:r>
        <w:rPr>
          <w:rFonts w:hint="eastAsia"/>
          <w:sz w:val="24"/>
          <w:szCs w:val="24"/>
          <w:lang w:val="en-US" w:eastAsia="zh-CN"/>
        </w:rPr>
        <w:t>9</w:t>
      </w:r>
      <w:r>
        <w:rPr>
          <w:rFonts w:hint="eastAsia"/>
          <w:sz w:val="24"/>
          <w:szCs w:val="24"/>
        </w:rPr>
        <w:t xml:space="preserve"> 纪律和监督</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FD5CDAF">
      <w:pPr>
        <w:pStyle w:val="4"/>
        <w:wordWrap w:val="0"/>
        <w:rPr>
          <w:sz w:val="24"/>
          <w:szCs w:val="24"/>
        </w:rPr>
      </w:pPr>
      <w:bookmarkStart w:id="380" w:name="_Toc8778"/>
      <w:bookmarkStart w:id="381" w:name="_Toc3227"/>
      <w:bookmarkStart w:id="382" w:name="_Toc28639"/>
      <w:bookmarkStart w:id="383" w:name="_Toc14269"/>
      <w:bookmarkStart w:id="384" w:name="_Toc22251"/>
      <w:bookmarkStart w:id="385" w:name="_Toc28932"/>
      <w:bookmarkStart w:id="386" w:name="_Toc2453"/>
      <w:bookmarkStart w:id="387" w:name="_Toc22708"/>
      <w:r>
        <w:rPr>
          <w:rFonts w:hint="eastAsia"/>
          <w:sz w:val="24"/>
          <w:szCs w:val="24"/>
          <w:lang w:val="en-US" w:eastAsia="zh-CN"/>
        </w:rPr>
        <w:t>9</w:t>
      </w:r>
      <w:r>
        <w:rPr>
          <w:rFonts w:hint="eastAsia"/>
          <w:sz w:val="24"/>
          <w:szCs w:val="24"/>
        </w:rPr>
        <w:t>.1 对招标人的纪律要求</w:t>
      </w:r>
      <w:bookmarkEnd w:id="380"/>
      <w:bookmarkEnd w:id="381"/>
      <w:bookmarkEnd w:id="382"/>
      <w:bookmarkEnd w:id="383"/>
      <w:bookmarkEnd w:id="384"/>
      <w:bookmarkEnd w:id="385"/>
      <w:bookmarkEnd w:id="386"/>
      <w:bookmarkEnd w:id="387"/>
    </w:p>
    <w:p w14:paraId="48209049">
      <w:pPr>
        <w:tabs>
          <w:tab w:val="left" w:pos="4900"/>
          <w:tab w:val="left" w:pos="6527"/>
        </w:tabs>
        <w:wordWrap w:val="0"/>
        <w:spacing w:line="360" w:lineRule="auto"/>
        <w:ind w:firstLine="480" w:firstLineChars="200"/>
        <w:rPr>
          <w:rFonts w:ascii="宋体" w:hAnsi="宋体"/>
          <w:sz w:val="24"/>
          <w:szCs w:val="24"/>
        </w:rPr>
      </w:pPr>
      <w:r>
        <w:rPr>
          <w:rFonts w:hint="eastAsia" w:ascii="宋体" w:hAnsi="宋体"/>
          <w:sz w:val="24"/>
          <w:szCs w:val="24"/>
        </w:rPr>
        <w:t>招标人不得泄露招标投标活动中应保密的情况和资料，不得与投标人串通损害国家利益、社会公共利益或他人合法权益。</w:t>
      </w:r>
    </w:p>
    <w:p w14:paraId="6E090DD0">
      <w:pPr>
        <w:pStyle w:val="4"/>
        <w:wordWrap w:val="0"/>
        <w:rPr>
          <w:sz w:val="24"/>
          <w:szCs w:val="24"/>
        </w:rPr>
      </w:pPr>
      <w:bookmarkStart w:id="388" w:name="_Toc19033"/>
      <w:bookmarkStart w:id="389" w:name="_Toc8982"/>
      <w:bookmarkStart w:id="390" w:name="_Toc29000"/>
      <w:bookmarkStart w:id="391" w:name="_Toc6507"/>
      <w:bookmarkStart w:id="392" w:name="_Toc30651"/>
      <w:bookmarkStart w:id="393" w:name="_Toc20199"/>
      <w:bookmarkStart w:id="394" w:name="_Toc19046"/>
      <w:bookmarkStart w:id="395" w:name="_Toc24680"/>
      <w:bookmarkStart w:id="396" w:name="_Toc11105"/>
      <w:r>
        <w:rPr>
          <w:rFonts w:hint="eastAsia"/>
          <w:sz w:val="24"/>
          <w:szCs w:val="24"/>
          <w:lang w:val="en-US" w:eastAsia="zh-CN"/>
        </w:rPr>
        <w:t>9</w:t>
      </w:r>
      <w:r>
        <w:rPr>
          <w:rFonts w:hint="eastAsia"/>
          <w:sz w:val="24"/>
          <w:szCs w:val="24"/>
        </w:rPr>
        <w:t>.2 对投标人的纪律要求</w:t>
      </w:r>
      <w:bookmarkEnd w:id="388"/>
      <w:bookmarkEnd w:id="389"/>
      <w:bookmarkEnd w:id="390"/>
      <w:bookmarkEnd w:id="391"/>
      <w:bookmarkEnd w:id="392"/>
      <w:bookmarkEnd w:id="393"/>
      <w:bookmarkEnd w:id="394"/>
      <w:bookmarkEnd w:id="395"/>
      <w:bookmarkEnd w:id="396"/>
    </w:p>
    <w:p w14:paraId="313B5A33">
      <w:pPr>
        <w:tabs>
          <w:tab w:val="left" w:pos="4900"/>
          <w:tab w:val="left" w:pos="6527"/>
        </w:tabs>
        <w:wordWrap w:val="0"/>
        <w:spacing w:line="360" w:lineRule="auto"/>
        <w:ind w:firstLine="480" w:firstLineChars="200"/>
        <w:rPr>
          <w:rFonts w:ascii="宋体" w:hAnsi="宋体"/>
          <w:sz w:val="24"/>
          <w:szCs w:val="24"/>
        </w:rPr>
      </w:pPr>
      <w:r>
        <w:rPr>
          <w:rFonts w:hint="eastAsia" w:ascii="宋体" w:hAnsi="宋体"/>
          <w:sz w:val="24"/>
          <w:szCs w:val="24"/>
        </w:rPr>
        <w:t>投标人不得相互串通投标或与招标人串通投标，不得向招标人或评标委员会成员行贿谋取中标，不得以他人名义投标或以其他方式弄虚作假骗取中标；投标人不得以任何方式干扰、影响评标工作。</w:t>
      </w:r>
    </w:p>
    <w:p w14:paraId="3CA1D5AD">
      <w:pPr>
        <w:pStyle w:val="4"/>
        <w:wordWrap w:val="0"/>
        <w:rPr>
          <w:sz w:val="24"/>
          <w:szCs w:val="24"/>
        </w:rPr>
      </w:pPr>
      <w:bookmarkStart w:id="397" w:name="_Toc7034"/>
      <w:bookmarkStart w:id="398" w:name="_Toc7353"/>
      <w:bookmarkStart w:id="399" w:name="_Toc6751"/>
      <w:bookmarkStart w:id="400" w:name="_Toc14858"/>
      <w:bookmarkStart w:id="401" w:name="_Toc12587"/>
      <w:bookmarkStart w:id="402" w:name="_Toc4080"/>
      <w:bookmarkStart w:id="403" w:name="_Toc26243"/>
      <w:bookmarkStart w:id="404" w:name="_Toc9120"/>
      <w:bookmarkStart w:id="405" w:name="_Toc18301"/>
      <w:r>
        <w:rPr>
          <w:rFonts w:hint="eastAsia"/>
          <w:sz w:val="24"/>
          <w:szCs w:val="24"/>
          <w:lang w:val="en-US" w:eastAsia="zh-CN"/>
        </w:rPr>
        <w:t>9</w:t>
      </w:r>
      <w:r>
        <w:rPr>
          <w:rFonts w:hint="eastAsia"/>
          <w:sz w:val="24"/>
          <w:szCs w:val="24"/>
        </w:rPr>
        <w:t>.3 对评标委员会成员的纪律要求</w:t>
      </w:r>
      <w:bookmarkEnd w:id="397"/>
      <w:bookmarkEnd w:id="398"/>
      <w:bookmarkEnd w:id="399"/>
      <w:bookmarkEnd w:id="400"/>
      <w:bookmarkEnd w:id="401"/>
      <w:bookmarkEnd w:id="402"/>
      <w:bookmarkEnd w:id="403"/>
      <w:bookmarkEnd w:id="404"/>
      <w:bookmarkEnd w:id="405"/>
    </w:p>
    <w:p w14:paraId="18A2ECA6">
      <w:pPr>
        <w:tabs>
          <w:tab w:val="left" w:pos="4900"/>
          <w:tab w:val="left" w:pos="6527"/>
        </w:tabs>
        <w:wordWrap w:val="0"/>
        <w:spacing w:line="360" w:lineRule="auto"/>
        <w:ind w:firstLine="480" w:firstLineChars="200"/>
        <w:rPr>
          <w:rFonts w:ascii="宋体" w:hAnsi="宋体"/>
          <w:sz w:val="24"/>
          <w:szCs w:val="24"/>
        </w:rPr>
      </w:pPr>
      <w:r>
        <w:rPr>
          <w:rFonts w:hint="eastAsia" w:ascii="宋体" w:hAnsi="宋体"/>
          <w:sz w:val="24"/>
          <w:szCs w:val="24"/>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2907EAC9">
      <w:pPr>
        <w:pStyle w:val="4"/>
        <w:wordWrap w:val="0"/>
        <w:rPr>
          <w:sz w:val="24"/>
          <w:szCs w:val="24"/>
        </w:rPr>
      </w:pPr>
      <w:bookmarkStart w:id="406" w:name="_Toc25323"/>
      <w:bookmarkStart w:id="407" w:name="_Toc10918"/>
      <w:bookmarkStart w:id="408" w:name="_Toc6204"/>
      <w:bookmarkStart w:id="409" w:name="_Toc4771"/>
      <w:bookmarkStart w:id="410" w:name="_Toc14713"/>
      <w:bookmarkStart w:id="411" w:name="_Toc23012"/>
      <w:bookmarkStart w:id="412" w:name="_Toc30727"/>
      <w:bookmarkStart w:id="413" w:name="_Toc1302"/>
      <w:bookmarkStart w:id="414" w:name="_Toc32723"/>
      <w:r>
        <w:rPr>
          <w:rFonts w:hint="eastAsia"/>
          <w:sz w:val="24"/>
          <w:szCs w:val="24"/>
          <w:lang w:val="en-US" w:eastAsia="zh-CN"/>
        </w:rPr>
        <w:t>9</w:t>
      </w:r>
      <w:r>
        <w:rPr>
          <w:rFonts w:hint="eastAsia"/>
          <w:sz w:val="24"/>
          <w:szCs w:val="24"/>
        </w:rPr>
        <w:t>.4 对与评标活动有关的工作人员的纪律要求</w:t>
      </w:r>
      <w:bookmarkEnd w:id="406"/>
      <w:bookmarkEnd w:id="407"/>
      <w:bookmarkEnd w:id="408"/>
      <w:bookmarkEnd w:id="409"/>
      <w:bookmarkEnd w:id="410"/>
      <w:bookmarkEnd w:id="411"/>
      <w:bookmarkEnd w:id="412"/>
      <w:bookmarkEnd w:id="413"/>
      <w:bookmarkEnd w:id="414"/>
    </w:p>
    <w:p w14:paraId="4C6B12CD">
      <w:pPr>
        <w:tabs>
          <w:tab w:val="left" w:pos="4900"/>
          <w:tab w:val="left" w:pos="6527"/>
        </w:tabs>
        <w:wordWrap w:val="0"/>
        <w:spacing w:line="360" w:lineRule="auto"/>
        <w:ind w:firstLine="480" w:firstLineChars="200"/>
        <w:rPr>
          <w:rFonts w:ascii="宋体" w:hAnsi="宋体"/>
          <w:sz w:val="24"/>
          <w:szCs w:val="24"/>
        </w:rPr>
      </w:pPr>
      <w:r>
        <w:rPr>
          <w:rFonts w:hint="eastAsia" w:ascii="宋体" w:hAnsi="宋体"/>
          <w:sz w:val="24"/>
          <w:szCs w:val="24"/>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5FCAE672">
      <w:pPr>
        <w:pStyle w:val="4"/>
        <w:wordWrap w:val="0"/>
        <w:rPr>
          <w:sz w:val="24"/>
          <w:szCs w:val="24"/>
        </w:rPr>
      </w:pPr>
      <w:bookmarkStart w:id="415" w:name="_Toc30365"/>
      <w:bookmarkStart w:id="416" w:name="_Toc27950"/>
      <w:bookmarkStart w:id="417" w:name="_Toc14224"/>
      <w:bookmarkStart w:id="418" w:name="_Toc27422"/>
      <w:bookmarkStart w:id="419" w:name="_Toc22506"/>
      <w:bookmarkStart w:id="420" w:name="_Toc19100"/>
      <w:bookmarkStart w:id="421" w:name="_Toc9968"/>
      <w:bookmarkStart w:id="422" w:name="_Toc806"/>
      <w:bookmarkStart w:id="423" w:name="_Toc25591"/>
      <w:r>
        <w:rPr>
          <w:rFonts w:hint="eastAsia"/>
          <w:sz w:val="24"/>
          <w:szCs w:val="24"/>
          <w:lang w:val="en-US" w:eastAsia="zh-CN"/>
        </w:rPr>
        <w:t>9</w:t>
      </w:r>
      <w:r>
        <w:rPr>
          <w:rFonts w:hint="eastAsia"/>
          <w:sz w:val="24"/>
          <w:szCs w:val="24"/>
        </w:rPr>
        <w:t>.5 投诉</w:t>
      </w:r>
      <w:bookmarkEnd w:id="415"/>
      <w:bookmarkEnd w:id="416"/>
      <w:bookmarkEnd w:id="417"/>
      <w:bookmarkEnd w:id="418"/>
      <w:bookmarkEnd w:id="419"/>
      <w:bookmarkEnd w:id="420"/>
      <w:bookmarkEnd w:id="421"/>
      <w:bookmarkEnd w:id="422"/>
      <w:bookmarkEnd w:id="423"/>
    </w:p>
    <w:p w14:paraId="04B17BB5">
      <w:pPr>
        <w:tabs>
          <w:tab w:val="left" w:pos="4900"/>
          <w:tab w:val="left" w:pos="6527"/>
        </w:tabs>
        <w:wordWrap w:val="0"/>
        <w:spacing w:line="360" w:lineRule="auto"/>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.5.1 投标人或其他利害关系人认为招标投标活动不符合法律、行政法规规定的，可以自知道或应当知道之日起 10 日内向有关行政监督部门投诉。投诉应有明确的请求和必要的证明材料。</w:t>
      </w:r>
    </w:p>
    <w:p w14:paraId="437ACFFC">
      <w:pPr>
        <w:tabs>
          <w:tab w:val="left" w:pos="4900"/>
          <w:tab w:val="left" w:pos="6527"/>
        </w:tabs>
        <w:wordWrap w:val="0"/>
        <w:spacing w:line="360" w:lineRule="auto"/>
        <w:ind w:firstLine="480" w:firstLineChars="200"/>
        <w:rPr>
          <w:rFonts w:ascii="宋体" w:hAnsi="宋体"/>
          <w:sz w:val="24"/>
          <w:szCs w:val="24"/>
        </w:rPr>
      </w:pPr>
      <w:r>
        <w:rPr>
          <w:rFonts w:hint="eastAsia" w:ascii="宋体" w:hAnsi="宋体"/>
          <w:sz w:val="24"/>
          <w:szCs w:val="24"/>
        </w:rPr>
        <w:t>监督部门的联系方式见投标人须知前附表。</w:t>
      </w:r>
    </w:p>
    <w:p w14:paraId="2D30EB9D">
      <w:pPr>
        <w:tabs>
          <w:tab w:val="left" w:pos="4900"/>
          <w:tab w:val="left" w:pos="6527"/>
        </w:tabs>
        <w:wordWrap w:val="0"/>
        <w:spacing w:line="360" w:lineRule="auto"/>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 xml:space="preserve">.5.2 投标人或其他利害关系人对招标文件、开标和评标结果提出投诉的，应按照投标人须知第 2.4 款、第 5.3 款和第 7.2 款的规定先向招标人提出异议。异议答复期间不计算在第 </w:t>
      </w:r>
      <w:r>
        <w:rPr>
          <w:rFonts w:hint="eastAsia" w:ascii="宋体" w:hAnsi="宋体"/>
          <w:sz w:val="24"/>
          <w:szCs w:val="24"/>
          <w:lang w:val="en-US" w:eastAsia="zh-CN"/>
        </w:rPr>
        <w:t>9</w:t>
      </w:r>
      <w:r>
        <w:rPr>
          <w:rFonts w:hint="eastAsia" w:ascii="宋体" w:hAnsi="宋体"/>
          <w:sz w:val="24"/>
          <w:szCs w:val="24"/>
        </w:rPr>
        <w:t>.5.1项规定的期限内。</w:t>
      </w:r>
    </w:p>
    <w:p w14:paraId="515AB382">
      <w:pPr>
        <w:pStyle w:val="3"/>
        <w:wordWrap w:val="0"/>
        <w:rPr>
          <w:sz w:val="24"/>
          <w:szCs w:val="24"/>
        </w:rPr>
      </w:pPr>
      <w:bookmarkStart w:id="424" w:name="_Toc14951"/>
      <w:bookmarkStart w:id="425" w:name="_Toc1192"/>
      <w:bookmarkStart w:id="426" w:name="_Toc28826"/>
      <w:bookmarkStart w:id="427" w:name="_Toc10738"/>
      <w:bookmarkStart w:id="428" w:name="_Toc24320"/>
      <w:bookmarkStart w:id="429" w:name="_Toc24581"/>
      <w:bookmarkStart w:id="430" w:name="_Toc8544"/>
      <w:bookmarkStart w:id="431" w:name="_Toc10643"/>
      <w:bookmarkStart w:id="432" w:name="_Toc6847"/>
      <w:bookmarkStart w:id="433" w:name="_Toc18979"/>
      <w:bookmarkStart w:id="434" w:name="_Toc485"/>
      <w:bookmarkStart w:id="435" w:name="_Toc27240"/>
      <w:bookmarkStart w:id="436" w:name="_Toc32369"/>
      <w:r>
        <w:rPr>
          <w:rFonts w:hint="eastAsia"/>
          <w:sz w:val="24"/>
          <w:szCs w:val="24"/>
          <w:lang w:val="en-US" w:eastAsia="zh-CN"/>
        </w:rPr>
        <w:t>10</w:t>
      </w:r>
      <w:r>
        <w:rPr>
          <w:rFonts w:hint="eastAsia"/>
          <w:sz w:val="24"/>
          <w:szCs w:val="24"/>
        </w:rPr>
        <w:t>. 是否采用电子招标投标</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24CC87CA">
      <w:pPr>
        <w:tabs>
          <w:tab w:val="left" w:pos="4900"/>
          <w:tab w:val="left" w:pos="6527"/>
        </w:tabs>
        <w:wordWrap w:val="0"/>
        <w:spacing w:line="360" w:lineRule="auto"/>
        <w:ind w:firstLine="480" w:firstLineChars="200"/>
        <w:rPr>
          <w:rFonts w:ascii="宋体" w:hAnsi="宋体"/>
          <w:sz w:val="24"/>
          <w:szCs w:val="24"/>
        </w:rPr>
      </w:pPr>
      <w:r>
        <w:rPr>
          <w:rFonts w:hint="eastAsia" w:ascii="宋体" w:hAnsi="宋体"/>
          <w:sz w:val="24"/>
          <w:szCs w:val="24"/>
        </w:rPr>
        <w:t>本招标项目是否采用电子招标投标方式，见投标人须知前附表。</w:t>
      </w:r>
    </w:p>
    <w:p w14:paraId="303BDA34">
      <w:pPr>
        <w:pStyle w:val="3"/>
        <w:numPr>
          <w:ilvl w:val="0"/>
          <w:numId w:val="0"/>
        </w:numPr>
        <w:wordWrap w:val="0"/>
        <w:rPr>
          <w:sz w:val="24"/>
          <w:szCs w:val="24"/>
        </w:rPr>
      </w:pPr>
      <w:bookmarkStart w:id="437" w:name="_Toc9267"/>
      <w:bookmarkStart w:id="438" w:name="_Toc1502"/>
      <w:bookmarkStart w:id="439" w:name="_Toc24141"/>
      <w:bookmarkStart w:id="440" w:name="_Toc9141"/>
      <w:bookmarkStart w:id="441" w:name="_Toc16914"/>
      <w:bookmarkStart w:id="442" w:name="_Toc23460"/>
      <w:bookmarkStart w:id="443" w:name="_Toc16197"/>
      <w:bookmarkStart w:id="444" w:name="_Toc2403"/>
      <w:bookmarkStart w:id="445" w:name="_Toc15687"/>
      <w:bookmarkStart w:id="446" w:name="_Toc4351"/>
      <w:bookmarkStart w:id="447" w:name="_Toc20524"/>
      <w:bookmarkStart w:id="448" w:name="_Toc1880"/>
      <w:bookmarkStart w:id="449" w:name="_Toc5670"/>
      <w:bookmarkStart w:id="450" w:name="_Toc10734"/>
      <w:r>
        <w:rPr>
          <w:rFonts w:hint="eastAsia"/>
          <w:sz w:val="24"/>
          <w:szCs w:val="24"/>
          <w:lang w:val="en-US" w:eastAsia="zh-CN"/>
        </w:rPr>
        <w:t>11.</w:t>
      </w:r>
      <w:r>
        <w:rPr>
          <w:rFonts w:hint="eastAsia"/>
          <w:sz w:val="24"/>
          <w:szCs w:val="24"/>
        </w:rPr>
        <w:t>需要补充的其他内容</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3DEDF091">
      <w:pPr>
        <w:tabs>
          <w:tab w:val="left" w:pos="4900"/>
          <w:tab w:val="left" w:pos="6527"/>
        </w:tabs>
        <w:wordWrap w:val="0"/>
        <w:spacing w:line="360" w:lineRule="auto"/>
        <w:ind w:firstLine="480" w:firstLineChars="200"/>
        <w:rPr>
          <w:rFonts w:ascii="宋体" w:hAnsi="宋体"/>
          <w:sz w:val="24"/>
          <w:szCs w:val="24"/>
        </w:rPr>
      </w:pPr>
      <w:r>
        <w:rPr>
          <w:rFonts w:hint="eastAsia" w:ascii="宋体" w:hAnsi="宋体"/>
          <w:sz w:val="24"/>
          <w:szCs w:val="24"/>
        </w:rPr>
        <w:t>需要补充的其他内容：见投标人须知前附表。</w:t>
      </w:r>
    </w:p>
    <w:p w14:paraId="640CFBF0">
      <w:pPr>
        <w:wordWrap w:val="0"/>
        <w:spacing w:line="360" w:lineRule="auto"/>
        <w:ind w:firstLine="643" w:firstLineChars="200"/>
        <w:rPr>
          <w:rFonts w:ascii="宋体" w:hAnsi="宋体"/>
          <w:b/>
          <w:sz w:val="32"/>
          <w:szCs w:val="32"/>
        </w:rPr>
      </w:pPr>
    </w:p>
    <w:p w14:paraId="6A7ED183">
      <w:pPr>
        <w:wordWrap w:val="0"/>
        <w:rPr>
          <w:rFonts w:ascii="宋体" w:hAnsi="宋体"/>
          <w:color w:val="auto"/>
        </w:rPr>
      </w:pPr>
      <w:r>
        <w:rPr>
          <w:rFonts w:ascii="宋体" w:hAnsi="宋体"/>
          <w:b/>
          <w:sz w:val="32"/>
          <w:szCs w:val="32"/>
        </w:rPr>
        <w:br w:type="page"/>
      </w:r>
    </w:p>
    <w:p w14:paraId="68A9013E">
      <w:pPr>
        <w:pStyle w:val="7"/>
        <w:wordWrap w:val="0"/>
        <w:rPr>
          <w:rFonts w:hint="eastAsia"/>
          <w:lang w:val="en-US" w:eastAsia="zh-CN"/>
        </w:rPr>
      </w:pPr>
    </w:p>
    <w:p w14:paraId="09044842">
      <w:pPr>
        <w:pStyle w:val="3"/>
        <w:wordWrap w:val="0"/>
        <w:jc w:val="center"/>
        <w:rPr>
          <w:rFonts w:hint="eastAsia"/>
          <w:kern w:val="2"/>
          <w:szCs w:val="22"/>
        </w:rPr>
      </w:pPr>
      <w:r>
        <w:rPr>
          <w:rFonts w:hint="eastAsia" w:ascii="宋体" w:hAnsi="宋体" w:cs="宋体"/>
          <w:bCs w:val="0"/>
          <w:color w:val="auto"/>
          <w:kern w:val="0"/>
          <w:sz w:val="30"/>
          <w:szCs w:val="30"/>
        </w:rPr>
        <w:t xml:space="preserve">第三章 </w:t>
      </w:r>
      <w:bookmarkEnd w:id="63"/>
      <w:bookmarkEnd w:id="64"/>
      <w:bookmarkStart w:id="451" w:name="_Toc22233"/>
      <w:bookmarkStart w:id="452" w:name="_Toc31289"/>
      <w:bookmarkStart w:id="453" w:name="_Toc18272"/>
      <w:bookmarkStart w:id="454" w:name="_Toc8471"/>
      <w:bookmarkStart w:id="455" w:name="_Toc19236"/>
      <w:bookmarkStart w:id="456" w:name="_Toc4923"/>
      <w:bookmarkStart w:id="457" w:name="_Toc32066"/>
      <w:bookmarkStart w:id="458" w:name="_Toc3360"/>
      <w:bookmarkStart w:id="459" w:name="_Toc17004"/>
      <w:bookmarkStart w:id="460" w:name="_Toc8671"/>
      <w:bookmarkStart w:id="461" w:name="_Toc28896"/>
      <w:bookmarkStart w:id="462" w:name="_Toc6083"/>
      <w:bookmarkStart w:id="463" w:name="_Toc25614"/>
      <w:bookmarkStart w:id="464" w:name="_Toc485395248"/>
      <w:bookmarkStart w:id="465" w:name="_Toc234382663"/>
      <w:bookmarkStart w:id="466" w:name="_Toc25781"/>
      <w:bookmarkStart w:id="467" w:name="_Toc489602184"/>
      <w:bookmarkStart w:id="468" w:name="_Toc14778"/>
      <w:bookmarkStart w:id="469" w:name="_Toc463691040"/>
      <w:bookmarkStart w:id="470" w:name="_Toc2651"/>
      <w:bookmarkStart w:id="471" w:name="_Toc9032"/>
      <w:bookmarkStart w:id="472" w:name="_Toc1430"/>
      <w:r>
        <w:rPr>
          <w:rFonts w:hint="eastAsia"/>
          <w:kern w:val="2"/>
          <w:szCs w:val="22"/>
        </w:rPr>
        <w:t>评标办法前附表</w:t>
      </w:r>
      <w:bookmarkEnd w:id="451"/>
      <w:bookmarkEnd w:id="452"/>
      <w:bookmarkEnd w:id="453"/>
      <w:bookmarkEnd w:id="454"/>
      <w:bookmarkEnd w:id="455"/>
      <w:bookmarkEnd w:id="456"/>
      <w:bookmarkEnd w:id="457"/>
      <w:bookmarkEnd w:id="458"/>
      <w:bookmarkEnd w:id="459"/>
      <w:bookmarkEnd w:id="460"/>
      <w:bookmarkEnd w:id="461"/>
      <w:bookmarkEnd w:id="462"/>
      <w:bookmarkEnd w:id="463"/>
    </w:p>
    <w:p w14:paraId="09591439">
      <w:pPr>
        <w:pStyle w:val="3"/>
        <w:wordWrap w:val="0"/>
      </w:pPr>
      <w:bookmarkStart w:id="473" w:name="_Toc20496"/>
      <w:r>
        <w:rPr>
          <w:rFonts w:hint="eastAsia"/>
          <w:b/>
          <w:bCs/>
          <w:kern w:val="2"/>
          <w:szCs w:val="22"/>
          <w:lang w:eastAsia="zh-CN"/>
        </w:rPr>
        <w:t>（</w:t>
      </w:r>
      <w:r>
        <w:rPr>
          <w:rFonts w:hint="eastAsia"/>
          <w:b/>
          <w:bCs/>
          <w:kern w:val="2"/>
          <w:szCs w:val="22"/>
          <w:lang w:val="en-US" w:eastAsia="zh-CN"/>
        </w:rPr>
        <w:t>一</w:t>
      </w:r>
      <w:r>
        <w:rPr>
          <w:rFonts w:hint="eastAsia"/>
          <w:b/>
          <w:bCs/>
          <w:kern w:val="2"/>
          <w:szCs w:val="22"/>
          <w:lang w:eastAsia="zh-CN"/>
        </w:rPr>
        <w:t>）</w:t>
      </w:r>
      <w:r>
        <w:rPr>
          <w:rFonts w:hint="eastAsia"/>
          <w:b/>
          <w:bCs/>
          <w:kern w:val="2"/>
          <w:szCs w:val="22"/>
          <w:lang w:val="en-US" w:eastAsia="zh-CN"/>
        </w:rPr>
        <w:t>初步评审标准</w:t>
      </w:r>
      <w:bookmarkEnd w:id="464"/>
      <w:bookmarkEnd w:id="465"/>
      <w:bookmarkEnd w:id="473"/>
      <w:bookmarkStart w:id="474" w:name="_Toc234382664"/>
    </w:p>
    <w:tbl>
      <w:tblPr>
        <w:tblStyle w:val="15"/>
        <w:tblpPr w:leftFromText="180" w:rightFromText="180" w:vertAnchor="text" w:horzAnchor="page" w:tblpXSpec="center" w:tblpY="1"/>
        <w:tblOverlap w:val="never"/>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231"/>
        <w:gridCol w:w="2225"/>
        <w:gridCol w:w="5433"/>
      </w:tblGrid>
      <w:tr w14:paraId="225E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4439" w:type="dxa"/>
            <w:gridSpan w:val="3"/>
            <w:noWrap w:val="0"/>
            <w:vAlign w:val="center"/>
          </w:tcPr>
          <w:p w14:paraId="7470772B">
            <w:pPr>
              <w:widowControl/>
              <w:wordWrap w:val="0"/>
              <w:jc w:val="center"/>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条款号</w:t>
            </w:r>
          </w:p>
        </w:tc>
        <w:tc>
          <w:tcPr>
            <w:tcW w:w="5433" w:type="dxa"/>
            <w:noWrap w:val="0"/>
            <w:vAlign w:val="center"/>
          </w:tcPr>
          <w:p w14:paraId="3219C188">
            <w:pPr>
              <w:widowControl/>
              <w:wordWrap w:val="0"/>
              <w:jc w:val="center"/>
              <w:rPr>
                <w:rFonts w:hint="eastAsia" w:ascii="宋体" w:hAnsi="宋体" w:eastAsia="宋体" w:cs="宋体"/>
                <w:color w:val="000000"/>
                <w:kern w:val="0"/>
                <w:sz w:val="21"/>
                <w:szCs w:val="21"/>
                <w:highlight w:val="none"/>
              </w:rPr>
            </w:pPr>
            <w:r>
              <w:rPr>
                <w:rFonts w:hint="eastAsia" w:ascii="宋体" w:hAnsi="宋体" w:eastAsia="宋体" w:cs="Times New Roman"/>
                <w:b/>
                <w:bCs/>
                <w:sz w:val="21"/>
                <w:szCs w:val="21"/>
                <w:highlight w:val="none"/>
              </w:rPr>
              <w:t>评审因素与标准</w:t>
            </w:r>
          </w:p>
        </w:tc>
      </w:tr>
      <w:tr w14:paraId="617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noWrap w:val="0"/>
            <w:vAlign w:val="center"/>
          </w:tcPr>
          <w:p w14:paraId="7FEA112B">
            <w:pPr>
              <w:wordWrap w:val="0"/>
              <w:jc w:val="center"/>
              <w:rPr>
                <w:rFonts w:ascii="宋体" w:hAnsi="宋体" w:cs="宋体"/>
                <w:sz w:val="24"/>
                <w:szCs w:val="24"/>
              </w:rPr>
            </w:pPr>
            <w:r>
              <w:rPr>
                <w:rFonts w:hint="eastAsia" w:ascii="宋体" w:hAnsi="宋体" w:eastAsia="宋体" w:cs="Times New Roman"/>
                <w:sz w:val="21"/>
                <w:szCs w:val="21"/>
                <w:highlight w:val="none"/>
              </w:rPr>
              <w:t>1</w:t>
            </w:r>
          </w:p>
        </w:tc>
        <w:tc>
          <w:tcPr>
            <w:tcW w:w="3456" w:type="dxa"/>
            <w:gridSpan w:val="2"/>
            <w:noWrap w:val="0"/>
            <w:vAlign w:val="center"/>
          </w:tcPr>
          <w:p w14:paraId="74155A02">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评标方法</w:t>
            </w:r>
          </w:p>
        </w:tc>
        <w:tc>
          <w:tcPr>
            <w:tcW w:w="5433" w:type="dxa"/>
            <w:noWrap w:val="0"/>
            <w:vAlign w:val="top"/>
          </w:tcPr>
          <w:p w14:paraId="10776E26">
            <w:pPr>
              <w:keepNext w:val="0"/>
              <w:keepLines w:val="0"/>
              <w:pageBreakBefore w:val="0"/>
              <w:kinsoku/>
              <w:wordWrap w:val="0"/>
              <w:overflowPunct/>
              <w:topLinePunct w:val="0"/>
              <w:autoSpaceDE/>
              <w:autoSpaceDN/>
              <w:bidi w:val="0"/>
              <w:spacing w:line="440" w:lineRule="exact"/>
              <w:ind w:firstLine="480" w:firstLineChars="200"/>
              <w:jc w:val="center"/>
              <w:textAlignment w:val="auto"/>
              <w:rPr>
                <w:rFonts w:hint="eastAsia" w:ascii="宋体" w:hAnsi="宋体" w:eastAsia="宋体" w:cs="Times New Roman"/>
                <w:bCs/>
                <w:color w:val="auto"/>
                <w:sz w:val="24"/>
              </w:rPr>
            </w:pPr>
            <w:r>
              <w:rPr>
                <w:rFonts w:hint="eastAsia" w:ascii="宋体" w:hAnsi="宋体" w:eastAsia="宋体" w:cs="Times New Roman"/>
                <w:bCs/>
                <w:color w:val="auto"/>
                <w:sz w:val="24"/>
                <w:lang w:val="en-US" w:eastAsia="zh-CN"/>
              </w:rPr>
              <w:t>合格制</w:t>
            </w:r>
          </w:p>
        </w:tc>
      </w:tr>
      <w:tr w14:paraId="0573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restart"/>
            <w:noWrap w:val="0"/>
            <w:vAlign w:val="center"/>
          </w:tcPr>
          <w:p w14:paraId="3AB4DB87">
            <w:pPr>
              <w:wordWrap w:val="0"/>
              <w:spacing w:line="360" w:lineRule="auto"/>
              <w:jc w:val="center"/>
              <w:rPr>
                <w:rFonts w:ascii="宋体" w:hAnsi="宋体" w:cs="宋体"/>
                <w:sz w:val="24"/>
                <w:szCs w:val="24"/>
              </w:rPr>
            </w:pPr>
            <w:r>
              <w:rPr>
                <w:rFonts w:hint="eastAsia" w:ascii="宋体" w:hAnsi="宋体" w:cs="宋体"/>
                <w:sz w:val="24"/>
                <w:szCs w:val="24"/>
              </w:rPr>
              <w:t>2.1.1</w:t>
            </w:r>
          </w:p>
          <w:p w14:paraId="6B8232CC">
            <w:pPr>
              <w:wordWrap w:val="0"/>
              <w:spacing w:line="360" w:lineRule="auto"/>
              <w:jc w:val="center"/>
              <w:rPr>
                <w:rFonts w:ascii="宋体" w:hAnsi="宋体" w:cs="宋体"/>
                <w:sz w:val="24"/>
                <w:szCs w:val="24"/>
              </w:rPr>
            </w:pPr>
          </w:p>
        </w:tc>
        <w:tc>
          <w:tcPr>
            <w:tcW w:w="1231" w:type="dxa"/>
            <w:vMerge w:val="restart"/>
            <w:noWrap w:val="0"/>
            <w:vAlign w:val="center"/>
          </w:tcPr>
          <w:p w14:paraId="119C39FE">
            <w:pPr>
              <w:keepNext w:val="0"/>
              <w:keepLines w:val="0"/>
              <w:pageBreakBefore w:val="0"/>
              <w:kinsoku/>
              <w:wordWrap w:val="0"/>
              <w:overflowPunct/>
              <w:topLinePunct w:val="0"/>
              <w:autoSpaceDE/>
              <w:autoSpaceDN/>
              <w:bidi w:val="0"/>
              <w:spacing w:line="440" w:lineRule="exac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形式评审</w:t>
            </w:r>
          </w:p>
          <w:p w14:paraId="5DCE860E">
            <w:pPr>
              <w:keepNext w:val="0"/>
              <w:keepLines w:val="0"/>
              <w:pageBreakBefore w:val="0"/>
              <w:kinsoku/>
              <w:wordWrap w:val="0"/>
              <w:overflowPunct/>
              <w:topLinePunct w:val="0"/>
              <w:autoSpaceDE/>
              <w:autoSpaceDN/>
              <w:bidi w:val="0"/>
              <w:spacing w:line="440" w:lineRule="exac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与响应性评审标准</w:t>
            </w:r>
          </w:p>
          <w:p w14:paraId="4D3788A6">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p>
        </w:tc>
        <w:tc>
          <w:tcPr>
            <w:tcW w:w="2225" w:type="dxa"/>
            <w:noWrap w:val="0"/>
            <w:vAlign w:val="center"/>
          </w:tcPr>
          <w:p w14:paraId="10DBFF33">
            <w:pPr>
              <w:keepNext w:val="0"/>
              <w:keepLines w:val="0"/>
              <w:pageBreakBefore w:val="0"/>
              <w:kinsoku/>
              <w:wordWrap w:val="0"/>
              <w:overflowPunct/>
              <w:topLinePunct w:val="0"/>
              <w:autoSpaceDE/>
              <w:autoSpaceDN/>
              <w:bidi w:val="0"/>
              <w:spacing w:line="440" w:lineRule="exact"/>
              <w:jc w:val="center"/>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投标人名称</w:t>
            </w:r>
          </w:p>
        </w:tc>
        <w:tc>
          <w:tcPr>
            <w:tcW w:w="5433" w:type="dxa"/>
            <w:noWrap w:val="0"/>
            <w:vAlign w:val="center"/>
          </w:tcPr>
          <w:p w14:paraId="49D68EF1">
            <w:pPr>
              <w:keepNext w:val="0"/>
              <w:keepLines w:val="0"/>
              <w:pageBreakBefore w:val="0"/>
              <w:kinsoku/>
              <w:wordWrap w:val="0"/>
              <w:overflowPunct/>
              <w:topLinePunct w:val="0"/>
              <w:autoSpaceDE/>
              <w:autoSpaceDN/>
              <w:bidi w:val="0"/>
              <w:spacing w:line="440" w:lineRule="exac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与营业执照、资质证书</w:t>
            </w:r>
            <w:r>
              <w:rPr>
                <w:rFonts w:hint="eastAsia" w:ascii="宋体" w:hAnsi="宋体" w:cs="Times New Roman"/>
                <w:bCs/>
                <w:color w:val="auto"/>
                <w:sz w:val="24"/>
                <w:lang w:val="en-US" w:eastAsia="zh-CN"/>
              </w:rPr>
              <w:t>等</w:t>
            </w:r>
            <w:r>
              <w:rPr>
                <w:rFonts w:hint="eastAsia" w:ascii="宋体" w:hAnsi="宋体" w:eastAsia="宋体" w:cs="Times New Roman"/>
                <w:bCs/>
                <w:color w:val="auto"/>
                <w:sz w:val="24"/>
              </w:rPr>
              <w:t>一致；</w:t>
            </w:r>
          </w:p>
        </w:tc>
      </w:tr>
      <w:tr w14:paraId="4BD7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continue"/>
            <w:noWrap w:val="0"/>
            <w:vAlign w:val="center"/>
          </w:tcPr>
          <w:p w14:paraId="571944A2">
            <w:pPr>
              <w:wordWrap w:val="0"/>
              <w:spacing w:line="360" w:lineRule="auto"/>
              <w:jc w:val="left"/>
            </w:pPr>
          </w:p>
        </w:tc>
        <w:tc>
          <w:tcPr>
            <w:tcW w:w="1231" w:type="dxa"/>
            <w:vMerge w:val="continue"/>
            <w:noWrap w:val="0"/>
            <w:vAlign w:val="center"/>
          </w:tcPr>
          <w:p w14:paraId="13EA38E4">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p>
        </w:tc>
        <w:tc>
          <w:tcPr>
            <w:tcW w:w="2225" w:type="dxa"/>
            <w:noWrap w:val="0"/>
            <w:vAlign w:val="center"/>
          </w:tcPr>
          <w:p w14:paraId="6054A9E2">
            <w:pPr>
              <w:keepNext w:val="0"/>
              <w:keepLines w:val="0"/>
              <w:pageBreakBefore w:val="0"/>
              <w:kinsoku/>
              <w:wordWrap w:val="0"/>
              <w:overflowPunct/>
              <w:topLinePunct w:val="0"/>
              <w:autoSpaceDE/>
              <w:autoSpaceDN/>
              <w:bidi w:val="0"/>
              <w:spacing w:line="440" w:lineRule="exact"/>
              <w:jc w:val="center"/>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投标函签字盖章</w:t>
            </w:r>
          </w:p>
        </w:tc>
        <w:tc>
          <w:tcPr>
            <w:tcW w:w="5433" w:type="dxa"/>
            <w:noWrap w:val="0"/>
            <w:vAlign w:val="center"/>
          </w:tcPr>
          <w:p w14:paraId="5E0AB4EA">
            <w:pPr>
              <w:keepNext w:val="0"/>
              <w:keepLines w:val="0"/>
              <w:pageBreakBefore w:val="0"/>
              <w:kinsoku/>
              <w:wordWrap w:val="0"/>
              <w:overflowPunct/>
              <w:topLinePunct w:val="0"/>
              <w:autoSpaceDE/>
              <w:autoSpaceDN/>
              <w:bidi w:val="0"/>
              <w:spacing w:line="440" w:lineRule="exac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符合第二章“投标人须知前附表”要求；</w:t>
            </w:r>
          </w:p>
        </w:tc>
      </w:tr>
      <w:tr w14:paraId="2B36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continue"/>
            <w:noWrap w:val="0"/>
            <w:vAlign w:val="center"/>
          </w:tcPr>
          <w:p w14:paraId="664256D6">
            <w:pPr>
              <w:wordWrap w:val="0"/>
              <w:spacing w:line="360" w:lineRule="auto"/>
              <w:jc w:val="left"/>
            </w:pPr>
          </w:p>
        </w:tc>
        <w:tc>
          <w:tcPr>
            <w:tcW w:w="1231" w:type="dxa"/>
            <w:vMerge w:val="continue"/>
            <w:noWrap w:val="0"/>
            <w:vAlign w:val="center"/>
          </w:tcPr>
          <w:p w14:paraId="59290B10">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p>
        </w:tc>
        <w:tc>
          <w:tcPr>
            <w:tcW w:w="2225" w:type="dxa"/>
            <w:noWrap w:val="0"/>
            <w:vAlign w:val="center"/>
          </w:tcPr>
          <w:p w14:paraId="419B1B56">
            <w:pPr>
              <w:keepNext w:val="0"/>
              <w:keepLines w:val="0"/>
              <w:pageBreakBefore w:val="0"/>
              <w:kinsoku/>
              <w:wordWrap w:val="0"/>
              <w:overflowPunct/>
              <w:topLinePunct w:val="0"/>
              <w:autoSpaceDE/>
              <w:autoSpaceDN/>
              <w:bidi w:val="0"/>
              <w:spacing w:line="440" w:lineRule="exact"/>
              <w:jc w:val="center"/>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投标文件格式</w:t>
            </w:r>
          </w:p>
        </w:tc>
        <w:tc>
          <w:tcPr>
            <w:tcW w:w="5433" w:type="dxa"/>
            <w:noWrap w:val="0"/>
            <w:vAlign w:val="center"/>
          </w:tcPr>
          <w:p w14:paraId="075FD7FC">
            <w:pPr>
              <w:keepNext w:val="0"/>
              <w:keepLines w:val="0"/>
              <w:pageBreakBefore w:val="0"/>
              <w:kinsoku/>
              <w:wordWrap w:val="0"/>
              <w:overflowPunct/>
              <w:topLinePunct w:val="0"/>
              <w:autoSpaceDE/>
              <w:autoSpaceDN/>
              <w:bidi w:val="0"/>
              <w:spacing w:line="440" w:lineRule="exac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符合第</w:t>
            </w:r>
            <w:r>
              <w:rPr>
                <w:rFonts w:hint="eastAsia" w:ascii="宋体" w:hAnsi="宋体" w:eastAsia="宋体" w:cs="Times New Roman"/>
                <w:bCs/>
                <w:color w:val="auto"/>
                <w:sz w:val="24"/>
                <w:lang w:val="en-US" w:eastAsia="zh-CN"/>
              </w:rPr>
              <w:t>九</w:t>
            </w:r>
            <w:r>
              <w:rPr>
                <w:rFonts w:hint="eastAsia" w:ascii="宋体" w:hAnsi="宋体" w:eastAsia="宋体" w:cs="Times New Roman"/>
                <w:bCs/>
                <w:color w:val="auto"/>
                <w:sz w:val="24"/>
              </w:rPr>
              <w:t>章“投标文件格式（第一信封）”的要求；</w:t>
            </w:r>
          </w:p>
        </w:tc>
      </w:tr>
      <w:tr w14:paraId="6F00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3" w:type="dxa"/>
            <w:vMerge w:val="continue"/>
            <w:noWrap w:val="0"/>
            <w:vAlign w:val="center"/>
          </w:tcPr>
          <w:p w14:paraId="78E260D0">
            <w:pPr>
              <w:wordWrap w:val="0"/>
              <w:spacing w:line="360" w:lineRule="auto"/>
              <w:jc w:val="left"/>
            </w:pPr>
          </w:p>
        </w:tc>
        <w:tc>
          <w:tcPr>
            <w:tcW w:w="1231" w:type="dxa"/>
            <w:vMerge w:val="continue"/>
            <w:noWrap w:val="0"/>
            <w:vAlign w:val="center"/>
          </w:tcPr>
          <w:p w14:paraId="2200C86D">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p>
        </w:tc>
        <w:tc>
          <w:tcPr>
            <w:tcW w:w="2225" w:type="dxa"/>
            <w:noWrap w:val="0"/>
            <w:vAlign w:val="center"/>
          </w:tcPr>
          <w:p w14:paraId="4418A2E1">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投标范围</w:t>
            </w:r>
          </w:p>
        </w:tc>
        <w:tc>
          <w:tcPr>
            <w:tcW w:w="5433" w:type="dxa"/>
            <w:noWrap w:val="0"/>
            <w:vAlign w:val="center"/>
          </w:tcPr>
          <w:p w14:paraId="5BC3FD93">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符合第二章“投标人须知前附表”规定；</w:t>
            </w:r>
          </w:p>
        </w:tc>
      </w:tr>
      <w:tr w14:paraId="5B42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continue"/>
            <w:noWrap w:val="0"/>
            <w:vAlign w:val="center"/>
          </w:tcPr>
          <w:p w14:paraId="2E7F5C34">
            <w:pPr>
              <w:wordWrap w:val="0"/>
              <w:spacing w:line="360" w:lineRule="auto"/>
              <w:jc w:val="left"/>
            </w:pPr>
          </w:p>
        </w:tc>
        <w:tc>
          <w:tcPr>
            <w:tcW w:w="1231" w:type="dxa"/>
            <w:vMerge w:val="continue"/>
            <w:noWrap w:val="0"/>
            <w:vAlign w:val="center"/>
          </w:tcPr>
          <w:p w14:paraId="20EFFC7A">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p>
        </w:tc>
        <w:tc>
          <w:tcPr>
            <w:tcW w:w="2225" w:type="dxa"/>
            <w:noWrap w:val="0"/>
            <w:vAlign w:val="center"/>
          </w:tcPr>
          <w:p w14:paraId="59A0AFEF">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工期</w:t>
            </w:r>
          </w:p>
        </w:tc>
        <w:tc>
          <w:tcPr>
            <w:tcW w:w="5433" w:type="dxa"/>
            <w:noWrap w:val="0"/>
            <w:vAlign w:val="center"/>
          </w:tcPr>
          <w:p w14:paraId="3197C6F2">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符合第二章“投标人须知前附表”规定；</w:t>
            </w:r>
          </w:p>
        </w:tc>
      </w:tr>
      <w:tr w14:paraId="4C17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continue"/>
            <w:noWrap w:val="0"/>
            <w:vAlign w:val="center"/>
          </w:tcPr>
          <w:p w14:paraId="1D9EDEDA">
            <w:pPr>
              <w:wordWrap w:val="0"/>
              <w:spacing w:line="360" w:lineRule="auto"/>
              <w:jc w:val="left"/>
            </w:pPr>
          </w:p>
        </w:tc>
        <w:tc>
          <w:tcPr>
            <w:tcW w:w="1231" w:type="dxa"/>
            <w:vMerge w:val="continue"/>
            <w:noWrap w:val="0"/>
            <w:vAlign w:val="center"/>
          </w:tcPr>
          <w:p w14:paraId="2D1EE568">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p>
        </w:tc>
        <w:tc>
          <w:tcPr>
            <w:tcW w:w="2225" w:type="dxa"/>
            <w:noWrap w:val="0"/>
            <w:vAlign w:val="center"/>
          </w:tcPr>
          <w:p w14:paraId="1D7E7198">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质量要求</w:t>
            </w:r>
          </w:p>
        </w:tc>
        <w:tc>
          <w:tcPr>
            <w:tcW w:w="5433" w:type="dxa"/>
            <w:noWrap w:val="0"/>
            <w:vAlign w:val="center"/>
          </w:tcPr>
          <w:p w14:paraId="34EC6CEB">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符合第二章“投标人须知前附表”规定；</w:t>
            </w:r>
          </w:p>
        </w:tc>
      </w:tr>
      <w:tr w14:paraId="47D0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continue"/>
            <w:noWrap w:val="0"/>
            <w:vAlign w:val="center"/>
          </w:tcPr>
          <w:p w14:paraId="54A4A82B">
            <w:pPr>
              <w:wordWrap w:val="0"/>
              <w:spacing w:line="360" w:lineRule="auto"/>
              <w:jc w:val="left"/>
            </w:pPr>
          </w:p>
        </w:tc>
        <w:tc>
          <w:tcPr>
            <w:tcW w:w="1231" w:type="dxa"/>
            <w:vMerge w:val="continue"/>
            <w:noWrap w:val="0"/>
            <w:vAlign w:val="center"/>
          </w:tcPr>
          <w:p w14:paraId="6EE370A3">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p>
        </w:tc>
        <w:tc>
          <w:tcPr>
            <w:tcW w:w="2225" w:type="dxa"/>
            <w:noWrap w:val="0"/>
            <w:vAlign w:val="center"/>
          </w:tcPr>
          <w:p w14:paraId="7D86C4D7">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保修期限</w:t>
            </w:r>
          </w:p>
        </w:tc>
        <w:tc>
          <w:tcPr>
            <w:tcW w:w="5433" w:type="dxa"/>
            <w:noWrap w:val="0"/>
            <w:vAlign w:val="center"/>
          </w:tcPr>
          <w:p w14:paraId="01429677">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符合第二章“投标人须知前附表”规定；</w:t>
            </w:r>
          </w:p>
        </w:tc>
      </w:tr>
      <w:tr w14:paraId="3AE5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continue"/>
            <w:noWrap w:val="0"/>
            <w:vAlign w:val="center"/>
          </w:tcPr>
          <w:p w14:paraId="7D3400CE">
            <w:pPr>
              <w:wordWrap w:val="0"/>
              <w:spacing w:line="360" w:lineRule="auto"/>
              <w:jc w:val="left"/>
            </w:pPr>
          </w:p>
        </w:tc>
        <w:tc>
          <w:tcPr>
            <w:tcW w:w="1231" w:type="dxa"/>
            <w:vMerge w:val="continue"/>
            <w:noWrap w:val="0"/>
            <w:vAlign w:val="center"/>
          </w:tcPr>
          <w:p w14:paraId="1879E8D3">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p>
        </w:tc>
        <w:tc>
          <w:tcPr>
            <w:tcW w:w="2225" w:type="dxa"/>
            <w:noWrap w:val="0"/>
            <w:vAlign w:val="center"/>
          </w:tcPr>
          <w:p w14:paraId="004A092C">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投标有效期</w:t>
            </w:r>
          </w:p>
        </w:tc>
        <w:tc>
          <w:tcPr>
            <w:tcW w:w="5433" w:type="dxa"/>
            <w:noWrap w:val="0"/>
            <w:vAlign w:val="center"/>
          </w:tcPr>
          <w:p w14:paraId="2E8A4508">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符合第二章“投标人须知前附表”规定；</w:t>
            </w:r>
          </w:p>
        </w:tc>
      </w:tr>
      <w:tr w14:paraId="5E49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continue"/>
            <w:noWrap w:val="0"/>
            <w:vAlign w:val="center"/>
          </w:tcPr>
          <w:p w14:paraId="66A5CB4F">
            <w:pPr>
              <w:wordWrap w:val="0"/>
              <w:spacing w:line="360" w:lineRule="auto"/>
              <w:jc w:val="left"/>
            </w:pPr>
          </w:p>
        </w:tc>
        <w:tc>
          <w:tcPr>
            <w:tcW w:w="1231" w:type="dxa"/>
            <w:vMerge w:val="continue"/>
            <w:noWrap w:val="0"/>
            <w:vAlign w:val="center"/>
          </w:tcPr>
          <w:p w14:paraId="00E75A10">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p>
        </w:tc>
        <w:tc>
          <w:tcPr>
            <w:tcW w:w="2225" w:type="dxa"/>
            <w:noWrap w:val="0"/>
            <w:vAlign w:val="center"/>
          </w:tcPr>
          <w:p w14:paraId="7A3B3945">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投标保证金</w:t>
            </w:r>
          </w:p>
        </w:tc>
        <w:tc>
          <w:tcPr>
            <w:tcW w:w="5433" w:type="dxa"/>
            <w:noWrap w:val="0"/>
            <w:vAlign w:val="center"/>
          </w:tcPr>
          <w:p w14:paraId="4C77DBDD">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符合第二章“投标人须知前附表”规定；</w:t>
            </w:r>
          </w:p>
        </w:tc>
      </w:tr>
      <w:tr w14:paraId="6B7A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restart"/>
            <w:noWrap w:val="0"/>
            <w:vAlign w:val="center"/>
          </w:tcPr>
          <w:p w14:paraId="124E0F7F">
            <w:pPr>
              <w:wordWrap w:val="0"/>
              <w:spacing w:line="360" w:lineRule="auto"/>
              <w:jc w:val="center"/>
              <w:rPr>
                <w:rFonts w:ascii="宋体" w:hAnsi="宋体" w:cs="宋体"/>
                <w:sz w:val="24"/>
                <w:szCs w:val="24"/>
              </w:rPr>
            </w:pPr>
            <w:r>
              <w:rPr>
                <w:rFonts w:hint="eastAsia" w:ascii="宋体" w:hAnsi="宋体" w:cs="宋体"/>
                <w:sz w:val="24"/>
                <w:szCs w:val="24"/>
              </w:rPr>
              <w:t>2.1.2</w:t>
            </w:r>
          </w:p>
        </w:tc>
        <w:tc>
          <w:tcPr>
            <w:tcW w:w="1231" w:type="dxa"/>
            <w:vMerge w:val="restart"/>
            <w:noWrap w:val="0"/>
            <w:vAlign w:val="center"/>
          </w:tcPr>
          <w:p w14:paraId="0B0CA48D">
            <w:pPr>
              <w:wordWrap w:val="0"/>
              <w:spacing w:line="360" w:lineRule="auto"/>
              <w:jc w:val="center"/>
              <w:rPr>
                <w:rFonts w:ascii="宋体" w:hAnsi="宋体" w:cs="宋体"/>
                <w:sz w:val="24"/>
                <w:szCs w:val="24"/>
              </w:rPr>
            </w:pPr>
            <w:r>
              <w:rPr>
                <w:rFonts w:hint="eastAsia" w:ascii="宋体" w:hAnsi="宋体" w:cs="宋体"/>
                <w:sz w:val="24"/>
                <w:szCs w:val="24"/>
              </w:rPr>
              <w:t>资格</w:t>
            </w:r>
            <w:r>
              <w:rPr>
                <w:rFonts w:hint="eastAsia" w:ascii="宋体" w:hAnsi="宋体" w:cs="宋体"/>
                <w:sz w:val="24"/>
                <w:szCs w:val="24"/>
                <w:lang w:val="en-US" w:eastAsia="zh-CN"/>
              </w:rPr>
              <w:t>评</w:t>
            </w:r>
            <w:r>
              <w:rPr>
                <w:rFonts w:hint="eastAsia" w:ascii="宋体" w:hAnsi="宋体" w:cs="宋体"/>
                <w:sz w:val="24"/>
                <w:szCs w:val="24"/>
              </w:rPr>
              <w:t>审</w:t>
            </w:r>
          </w:p>
          <w:p w14:paraId="793434BC">
            <w:pPr>
              <w:wordWrap w:val="0"/>
              <w:spacing w:line="360" w:lineRule="auto"/>
              <w:jc w:val="center"/>
              <w:rPr>
                <w:rFonts w:ascii="宋体" w:hAnsi="宋体" w:cs="宋体"/>
                <w:sz w:val="24"/>
                <w:szCs w:val="24"/>
              </w:rPr>
            </w:pPr>
            <w:r>
              <w:rPr>
                <w:rFonts w:hint="eastAsia" w:ascii="宋体" w:hAnsi="宋体" w:cs="宋体"/>
                <w:sz w:val="24"/>
                <w:szCs w:val="24"/>
              </w:rPr>
              <w:t>标准</w:t>
            </w:r>
          </w:p>
        </w:tc>
        <w:tc>
          <w:tcPr>
            <w:tcW w:w="2225" w:type="dxa"/>
            <w:noWrap w:val="0"/>
            <w:vAlign w:val="center"/>
          </w:tcPr>
          <w:p w14:paraId="56BE72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eastAsia="宋体"/>
                <w:sz w:val="24"/>
                <w:szCs w:val="28"/>
                <w:lang w:val="en-US" w:eastAsia="zh-CN"/>
              </w:rPr>
            </w:pPr>
            <w:r>
              <w:rPr>
                <w:rFonts w:hint="eastAsia"/>
                <w:sz w:val="24"/>
                <w:szCs w:val="28"/>
                <w:lang w:val="en-US" w:eastAsia="zh-CN"/>
              </w:rPr>
              <w:t>营业执照</w:t>
            </w:r>
          </w:p>
        </w:tc>
        <w:tc>
          <w:tcPr>
            <w:tcW w:w="5433" w:type="dxa"/>
            <w:noWrap w:val="0"/>
            <w:vAlign w:val="center"/>
          </w:tcPr>
          <w:p w14:paraId="1DC690F5">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eastAsia="宋体"/>
                <w:sz w:val="24"/>
                <w:szCs w:val="28"/>
                <w:lang w:val="en-US" w:eastAsia="zh-CN"/>
              </w:rPr>
            </w:pPr>
            <w:r>
              <w:rPr>
                <w:rFonts w:hint="eastAsia" w:ascii="宋体" w:hAnsi="宋体" w:cs="宋体"/>
                <w:color w:val="auto"/>
                <w:kern w:val="0"/>
                <w:sz w:val="24"/>
              </w:rPr>
              <w:t>投标人须具备独立法人资格，持有合法有效的营业执照；</w:t>
            </w:r>
          </w:p>
        </w:tc>
      </w:tr>
      <w:tr w14:paraId="1EA4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continue"/>
            <w:noWrap w:val="0"/>
            <w:vAlign w:val="center"/>
          </w:tcPr>
          <w:p w14:paraId="2363B9C2">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1231" w:type="dxa"/>
            <w:vMerge w:val="continue"/>
            <w:noWrap w:val="0"/>
            <w:vAlign w:val="center"/>
          </w:tcPr>
          <w:p w14:paraId="28EA6FEF">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2225" w:type="dxa"/>
            <w:noWrap w:val="0"/>
            <w:vAlign w:val="center"/>
          </w:tcPr>
          <w:p w14:paraId="1A1E6B4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eastAsia="宋体"/>
                <w:lang w:val="en-US" w:eastAsia="zh-CN"/>
              </w:rPr>
            </w:pPr>
            <w:r>
              <w:rPr>
                <w:rFonts w:hint="eastAsia" w:ascii="宋体" w:hAnsi="宋体" w:eastAsia="宋体" w:cs="宋体"/>
                <w:color w:val="auto"/>
                <w:kern w:val="0"/>
                <w:sz w:val="24"/>
                <w:lang w:val="en-US" w:eastAsia="zh-CN"/>
              </w:rPr>
              <w:t>企业资质</w:t>
            </w:r>
          </w:p>
        </w:tc>
        <w:tc>
          <w:tcPr>
            <w:tcW w:w="5433" w:type="dxa"/>
            <w:noWrap w:val="0"/>
            <w:vAlign w:val="center"/>
          </w:tcPr>
          <w:p w14:paraId="72540C41">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bCs/>
                <w:color w:val="auto"/>
                <w:sz w:val="24"/>
              </w:rPr>
              <w:t>投标人应具备路基路面养护乙级及以上资质，且具有有效的安全生产许可证</w:t>
            </w:r>
            <w:r>
              <w:rPr>
                <w:rFonts w:hint="eastAsia" w:ascii="宋体" w:hAnsi="宋体"/>
                <w:bCs/>
                <w:color w:val="auto"/>
                <w:sz w:val="24"/>
                <w:lang w:eastAsia="zh-CN"/>
              </w:rPr>
              <w:t>，</w:t>
            </w:r>
            <w:r>
              <w:rPr>
                <w:rFonts w:hint="eastAsia" w:ascii="宋体" w:hAnsi="宋体" w:eastAsia="宋体" w:cs="宋体"/>
                <w:color w:val="auto"/>
                <w:kern w:val="0"/>
                <w:sz w:val="24"/>
                <w:szCs w:val="24"/>
                <w:lang w:val="en-US" w:eastAsia="zh-CN" w:bidi="ar-SA"/>
              </w:rPr>
              <w:t>在人员、设备、资金等方面具有相</w:t>
            </w:r>
            <w:r>
              <w:rPr>
                <w:rFonts w:hint="eastAsia" w:ascii="宋体" w:hAnsi="宋体"/>
                <w:bCs/>
                <w:color w:val="auto"/>
                <w:sz w:val="24"/>
              </w:rPr>
              <w:t>应的施工能力；</w:t>
            </w:r>
          </w:p>
        </w:tc>
      </w:tr>
      <w:tr w14:paraId="6AE2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continue"/>
            <w:noWrap w:val="0"/>
            <w:vAlign w:val="center"/>
          </w:tcPr>
          <w:p w14:paraId="65A02546">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1231" w:type="dxa"/>
            <w:vMerge w:val="continue"/>
            <w:noWrap w:val="0"/>
            <w:vAlign w:val="center"/>
          </w:tcPr>
          <w:p w14:paraId="2E1CF99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2225" w:type="dxa"/>
            <w:noWrap w:val="0"/>
            <w:vAlign w:val="center"/>
          </w:tcPr>
          <w:p w14:paraId="092804C8">
            <w:pPr>
              <w:wordWrap w:val="0"/>
              <w:autoSpaceDE w:val="0"/>
              <w:autoSpaceDN w:val="0"/>
              <w:adjustRightInd w:val="0"/>
              <w:spacing w:line="240" w:lineRule="atLeast"/>
              <w:jc w:val="center"/>
            </w:pPr>
            <w:r>
              <w:rPr>
                <w:rFonts w:hint="eastAsia" w:ascii="宋体" w:hAnsi="宋体" w:eastAsia="宋体" w:cs="宋体"/>
                <w:color w:val="auto"/>
                <w:kern w:val="0"/>
                <w:sz w:val="24"/>
                <w:lang w:eastAsia="zh-CN"/>
              </w:rPr>
              <w:t>项目经理</w:t>
            </w:r>
          </w:p>
        </w:tc>
        <w:tc>
          <w:tcPr>
            <w:tcW w:w="5433" w:type="dxa"/>
            <w:noWrap w:val="0"/>
            <w:vAlign w:val="center"/>
          </w:tcPr>
          <w:p w14:paraId="0D454C27">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bCs/>
                <w:color w:val="auto"/>
                <w:sz w:val="24"/>
              </w:rPr>
              <w:t>拟派项目经理须具备公路工程专业贰级及以上注册建造师资格、且具有有效的安全生产考核合格证并出具项目经理无在建工程承诺书（提供202</w:t>
            </w:r>
            <w:r>
              <w:rPr>
                <w:rFonts w:hint="eastAsia" w:ascii="宋体" w:hAnsi="宋体"/>
                <w:bCs/>
                <w:color w:val="auto"/>
                <w:sz w:val="24"/>
                <w:lang w:val="en-US" w:eastAsia="zh-CN"/>
              </w:rPr>
              <w:t>6</w:t>
            </w:r>
            <w:r>
              <w:rPr>
                <w:rFonts w:hint="eastAsia" w:ascii="宋体" w:hAnsi="宋体"/>
                <w:bCs/>
                <w:color w:val="auto"/>
                <w:sz w:val="24"/>
              </w:rPr>
              <w:t>年任意</w:t>
            </w:r>
            <w:r>
              <w:rPr>
                <w:rFonts w:hint="eastAsia" w:ascii="宋体" w:hAnsi="宋体"/>
                <w:bCs/>
                <w:color w:val="auto"/>
                <w:sz w:val="24"/>
                <w:lang w:val="en-US" w:eastAsia="zh-CN"/>
              </w:rPr>
              <w:t>一个月</w:t>
            </w:r>
            <w:r>
              <w:rPr>
                <w:rFonts w:hint="eastAsia" w:ascii="宋体" w:hAnsi="宋体"/>
                <w:bCs/>
                <w:color w:val="auto"/>
                <w:sz w:val="24"/>
              </w:rPr>
              <w:t>养老保险证明）；</w:t>
            </w:r>
          </w:p>
        </w:tc>
      </w:tr>
      <w:tr w14:paraId="1292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continue"/>
            <w:noWrap w:val="0"/>
            <w:vAlign w:val="center"/>
          </w:tcPr>
          <w:p w14:paraId="00CF5E3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1231" w:type="dxa"/>
            <w:vMerge w:val="continue"/>
            <w:noWrap w:val="0"/>
            <w:vAlign w:val="center"/>
          </w:tcPr>
          <w:p w14:paraId="3530741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2225" w:type="dxa"/>
            <w:noWrap w:val="0"/>
            <w:vAlign w:val="center"/>
          </w:tcPr>
          <w:p w14:paraId="3DB40798">
            <w:pPr>
              <w:wordWrap w:val="0"/>
              <w:autoSpaceDE w:val="0"/>
              <w:autoSpaceDN w:val="0"/>
              <w:adjustRightInd w:val="0"/>
              <w:spacing w:line="240" w:lineRule="atLeast"/>
              <w:jc w:val="center"/>
            </w:pPr>
            <w:r>
              <w:rPr>
                <w:rFonts w:hint="eastAsia" w:ascii="宋体" w:hAnsi="宋体" w:eastAsia="宋体" w:cs="宋体"/>
                <w:color w:val="auto"/>
                <w:kern w:val="0"/>
                <w:sz w:val="24"/>
                <w:lang w:eastAsia="zh-CN"/>
              </w:rPr>
              <w:t>技术负责人</w:t>
            </w:r>
          </w:p>
        </w:tc>
        <w:tc>
          <w:tcPr>
            <w:tcW w:w="5433" w:type="dxa"/>
            <w:noWrap w:val="0"/>
            <w:vAlign w:val="center"/>
          </w:tcPr>
          <w:p w14:paraId="55A26909">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bCs/>
                <w:color w:val="auto"/>
                <w:sz w:val="24"/>
                <w:lang w:eastAsia="zh-CN"/>
              </w:rPr>
              <w:t>拟派技术负责人须具备相关专业中级及以上技术职称，为本单位员工且已缴纳社会养老保险（</w:t>
            </w:r>
            <w:r>
              <w:rPr>
                <w:rFonts w:hint="eastAsia" w:ascii="宋体" w:hAnsi="宋体"/>
                <w:bCs/>
                <w:color w:val="auto"/>
                <w:sz w:val="24"/>
              </w:rPr>
              <w:t>提供202</w:t>
            </w:r>
            <w:r>
              <w:rPr>
                <w:rFonts w:hint="eastAsia" w:ascii="宋体" w:hAnsi="宋体"/>
                <w:bCs/>
                <w:color w:val="auto"/>
                <w:sz w:val="24"/>
                <w:lang w:val="en-US" w:eastAsia="zh-CN"/>
              </w:rPr>
              <w:t>6</w:t>
            </w:r>
            <w:r>
              <w:rPr>
                <w:rFonts w:hint="eastAsia" w:ascii="宋体" w:hAnsi="宋体"/>
                <w:bCs/>
                <w:color w:val="auto"/>
                <w:sz w:val="24"/>
              </w:rPr>
              <w:t>年任意</w:t>
            </w:r>
            <w:r>
              <w:rPr>
                <w:rFonts w:hint="eastAsia" w:ascii="宋体" w:hAnsi="宋体"/>
                <w:bCs/>
                <w:color w:val="auto"/>
                <w:sz w:val="24"/>
                <w:lang w:val="en-US" w:eastAsia="zh-CN"/>
              </w:rPr>
              <w:t>一个月</w:t>
            </w:r>
            <w:r>
              <w:rPr>
                <w:rFonts w:hint="eastAsia" w:ascii="宋体" w:hAnsi="宋体"/>
                <w:bCs/>
                <w:color w:val="auto"/>
                <w:sz w:val="24"/>
              </w:rPr>
              <w:t>养老保险证明</w:t>
            </w:r>
            <w:r>
              <w:rPr>
                <w:rFonts w:hint="eastAsia" w:ascii="宋体" w:hAnsi="宋体"/>
                <w:bCs/>
                <w:color w:val="auto"/>
                <w:sz w:val="24"/>
                <w:lang w:eastAsia="zh-CN"/>
              </w:rPr>
              <w:t>）</w:t>
            </w:r>
            <w:r>
              <w:rPr>
                <w:rFonts w:hint="eastAsia" w:ascii="宋体" w:hAnsi="宋体"/>
                <w:bCs/>
                <w:color w:val="auto"/>
                <w:sz w:val="24"/>
              </w:rPr>
              <w:t>；</w:t>
            </w:r>
          </w:p>
        </w:tc>
      </w:tr>
      <w:tr w14:paraId="22B8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continue"/>
            <w:noWrap w:val="0"/>
            <w:vAlign w:val="center"/>
          </w:tcPr>
          <w:p w14:paraId="7C1FA061">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1231" w:type="dxa"/>
            <w:vMerge w:val="continue"/>
            <w:noWrap w:val="0"/>
            <w:vAlign w:val="center"/>
          </w:tcPr>
          <w:p w14:paraId="173DCF26">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2225" w:type="dxa"/>
            <w:noWrap w:val="0"/>
            <w:vAlign w:val="center"/>
          </w:tcPr>
          <w:p w14:paraId="650941DD">
            <w:pPr>
              <w:wordWrap w:val="0"/>
              <w:spacing w:line="240" w:lineRule="atLeast"/>
              <w:jc w:val="center"/>
            </w:pPr>
            <w:r>
              <w:rPr>
                <w:rFonts w:hint="eastAsia" w:ascii="宋体" w:hAnsi="宋体" w:eastAsia="宋体" w:cs="宋体"/>
                <w:color w:val="auto"/>
                <w:kern w:val="0"/>
                <w:sz w:val="24"/>
                <w:lang w:eastAsia="zh-CN"/>
              </w:rPr>
              <w:t>财务状况</w:t>
            </w:r>
          </w:p>
        </w:tc>
        <w:tc>
          <w:tcPr>
            <w:tcW w:w="5433" w:type="dxa"/>
            <w:noWrap w:val="0"/>
            <w:vAlign w:val="center"/>
          </w:tcPr>
          <w:p w14:paraId="047EEDCD">
            <w:pPr>
              <w:keepNext w:val="0"/>
              <w:keepLines w:val="0"/>
              <w:pageBreakBefore w:val="0"/>
              <w:kinsoku/>
              <w:wordWrap w:val="0"/>
              <w:overflowPunct/>
              <w:topLinePunct w:val="0"/>
              <w:autoSpaceDE/>
              <w:autoSpaceDN/>
              <w:bidi w:val="0"/>
              <w:spacing w:line="440" w:lineRule="exact"/>
              <w:ind w:firstLine="480" w:firstLineChars="200"/>
              <w:textAlignment w:val="auto"/>
            </w:pPr>
            <w:r>
              <w:rPr>
                <w:rFonts w:hint="eastAsia" w:ascii="宋体" w:hAnsi="宋体" w:eastAsia="宋体" w:cs="宋体"/>
                <w:color w:val="auto"/>
                <w:kern w:val="0"/>
                <w:sz w:val="24"/>
                <w:szCs w:val="23"/>
                <w:lang w:val="en-US" w:eastAsia="zh-CN" w:bidi="ar-SA"/>
              </w:rPr>
              <w:t>具有良好的财务状况且没有处于被责令停业</w:t>
            </w:r>
            <w:r>
              <w:rPr>
                <w:rFonts w:hint="eastAsia" w:ascii="宋体" w:hAnsi="宋体" w:cs="宋体"/>
                <w:color w:val="auto"/>
                <w:kern w:val="0"/>
                <w:sz w:val="24"/>
                <w:szCs w:val="23"/>
                <w:lang w:val="en-US" w:eastAsia="zh-CN" w:bidi="ar-SA"/>
              </w:rPr>
              <w:t>，</w:t>
            </w:r>
            <w:r>
              <w:rPr>
                <w:rFonts w:hint="eastAsia" w:ascii="宋体" w:hAnsi="宋体" w:eastAsia="宋体" w:cs="宋体"/>
                <w:color w:val="auto"/>
                <w:kern w:val="0"/>
                <w:sz w:val="24"/>
                <w:szCs w:val="23"/>
                <w:lang w:val="en-US" w:eastAsia="zh-CN" w:bidi="ar-SA"/>
              </w:rPr>
              <w:t>提供</w:t>
            </w:r>
            <w:r>
              <w:rPr>
                <w:rFonts w:hint="eastAsia" w:ascii="宋体" w:hAnsi="宋体" w:cs="宋体"/>
                <w:color w:val="auto"/>
                <w:kern w:val="0"/>
                <w:sz w:val="24"/>
                <w:szCs w:val="23"/>
                <w:lang w:val="en-US" w:eastAsia="zh-CN" w:bidi="ar-SA"/>
              </w:rPr>
              <w:t>2025年度财务审计报告或财务报表（利润表、负债表、现金流量表）</w:t>
            </w:r>
            <w:r>
              <w:rPr>
                <w:rFonts w:hint="eastAsia" w:ascii="宋体" w:hAnsi="宋体" w:eastAsia="宋体" w:cs="宋体"/>
                <w:color w:val="auto"/>
                <w:kern w:val="0"/>
                <w:sz w:val="24"/>
                <w:szCs w:val="23"/>
                <w:lang w:val="en-US" w:eastAsia="zh-CN" w:bidi="ar-SA"/>
              </w:rPr>
              <w:t>，成立不满一年的提供最近一月的财务报表；</w:t>
            </w:r>
          </w:p>
        </w:tc>
      </w:tr>
      <w:tr w14:paraId="62A3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continue"/>
            <w:noWrap w:val="0"/>
            <w:vAlign w:val="center"/>
          </w:tcPr>
          <w:p w14:paraId="4866BB69">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1231" w:type="dxa"/>
            <w:vMerge w:val="continue"/>
            <w:noWrap w:val="0"/>
            <w:vAlign w:val="center"/>
          </w:tcPr>
          <w:p w14:paraId="4D2279BC">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2225" w:type="dxa"/>
            <w:noWrap w:val="0"/>
            <w:vAlign w:val="center"/>
          </w:tcPr>
          <w:p w14:paraId="0D5F7B3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pPr>
            <w:r>
              <w:rPr>
                <w:rFonts w:hint="eastAsia" w:ascii="宋体" w:hAnsi="宋体" w:eastAsia="宋体" w:cs="宋体"/>
                <w:color w:val="auto"/>
                <w:kern w:val="0"/>
                <w:sz w:val="24"/>
                <w:lang w:val="en-US" w:eastAsia="zh-CN"/>
              </w:rPr>
              <w:t>无行贿犯罪记录</w:t>
            </w:r>
          </w:p>
        </w:tc>
        <w:tc>
          <w:tcPr>
            <w:tcW w:w="5433" w:type="dxa"/>
            <w:noWrap w:val="0"/>
            <w:vAlign w:val="center"/>
          </w:tcPr>
          <w:p w14:paraId="46500D39">
            <w:pPr>
              <w:keepNext w:val="0"/>
              <w:keepLines w:val="0"/>
              <w:pageBreakBefore w:val="0"/>
              <w:widowControl w:val="0"/>
              <w:kinsoku/>
              <w:wordWrap w:val="0"/>
              <w:overflowPunct/>
              <w:topLinePunct w:val="0"/>
              <w:autoSpaceDE/>
              <w:autoSpaceDN/>
              <w:bidi w:val="0"/>
              <w:adjustRightInd/>
              <w:snapToGrid/>
              <w:spacing w:line="440" w:lineRule="exact"/>
              <w:textAlignment w:val="auto"/>
            </w:pPr>
            <w:r>
              <w:rPr>
                <w:rFonts w:hint="eastAsia" w:ascii="宋体" w:hAnsi="宋体" w:eastAsia="宋体" w:cs="宋体"/>
                <w:color w:val="auto"/>
                <w:kern w:val="0"/>
                <w:sz w:val="24"/>
                <w:lang w:val="en-US" w:eastAsia="zh-CN"/>
              </w:rPr>
              <w:t>参加政府采购活动前 3 年内无行贿犯罪记录，（开标时提供《中国裁判文书网》查询结果网页截图或企业自行承诺的无行贿犯罪承诺书， 查询&lt;承诺&gt;对象为 “企业， 法定代表人，项目经理”）；</w:t>
            </w:r>
          </w:p>
        </w:tc>
      </w:tr>
      <w:tr w14:paraId="4BFA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continue"/>
            <w:noWrap w:val="0"/>
            <w:vAlign w:val="center"/>
          </w:tcPr>
          <w:p w14:paraId="555ADC3B">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1231" w:type="dxa"/>
            <w:vMerge w:val="continue"/>
            <w:noWrap w:val="0"/>
            <w:vAlign w:val="center"/>
          </w:tcPr>
          <w:p w14:paraId="60E6ADF3">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2225" w:type="dxa"/>
            <w:noWrap w:val="0"/>
            <w:vAlign w:val="center"/>
          </w:tcPr>
          <w:p w14:paraId="22EC2F2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pPr>
            <w:r>
              <w:rPr>
                <w:rFonts w:hint="eastAsia" w:ascii="宋体" w:hAnsi="宋体" w:eastAsia="宋体" w:cs="Times New Roman"/>
                <w:bCs/>
                <w:color w:val="auto"/>
                <w:sz w:val="24"/>
              </w:rPr>
              <w:t>无商业贿赂和不正当竞争行为</w:t>
            </w:r>
          </w:p>
        </w:tc>
        <w:tc>
          <w:tcPr>
            <w:tcW w:w="5433" w:type="dxa"/>
            <w:noWrap w:val="0"/>
            <w:vAlign w:val="center"/>
          </w:tcPr>
          <w:p w14:paraId="4334DF7D">
            <w:pPr>
              <w:keepNext w:val="0"/>
              <w:keepLines w:val="0"/>
              <w:pageBreakBefore w:val="0"/>
              <w:widowControl w:val="0"/>
              <w:kinsoku/>
              <w:wordWrap w:val="0"/>
              <w:overflowPunct/>
              <w:topLinePunct w:val="0"/>
              <w:autoSpaceDE/>
              <w:autoSpaceDN/>
              <w:bidi w:val="0"/>
              <w:adjustRightInd/>
              <w:snapToGrid/>
              <w:spacing w:line="440" w:lineRule="exact"/>
              <w:textAlignment w:val="auto"/>
            </w:pPr>
            <w:r>
              <w:rPr>
                <w:rFonts w:hint="eastAsia" w:ascii="宋体" w:hAnsi="宋体"/>
                <w:bCs/>
                <w:color w:val="auto"/>
                <w:sz w:val="24"/>
              </w:rPr>
              <w:t>参加政府采购活动前 3 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tc>
      </w:tr>
      <w:tr w14:paraId="64FA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continue"/>
            <w:noWrap w:val="0"/>
            <w:vAlign w:val="center"/>
          </w:tcPr>
          <w:p w14:paraId="47DD7B84">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1231" w:type="dxa"/>
            <w:vMerge w:val="continue"/>
            <w:noWrap w:val="0"/>
            <w:vAlign w:val="center"/>
          </w:tcPr>
          <w:p w14:paraId="583895CB">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2225" w:type="dxa"/>
            <w:noWrap w:val="0"/>
            <w:vAlign w:val="center"/>
          </w:tcPr>
          <w:p w14:paraId="47D94FA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pPr>
            <w:r>
              <w:rPr>
                <w:rFonts w:hint="eastAsia" w:ascii="宋体" w:hAnsi="宋体" w:eastAsia="宋体" w:cs="Times New Roman"/>
                <w:bCs/>
                <w:color w:val="auto"/>
                <w:sz w:val="24"/>
                <w:lang w:val="en-US" w:eastAsia="zh-CN"/>
              </w:rPr>
              <w:t>信用</w:t>
            </w:r>
            <w:r>
              <w:rPr>
                <w:rFonts w:hint="eastAsia" w:ascii="宋体" w:hAnsi="宋体" w:eastAsia="宋体" w:cs="Times New Roman"/>
                <w:bCs/>
                <w:color w:val="auto"/>
                <w:sz w:val="24"/>
              </w:rPr>
              <w:t>查询</w:t>
            </w:r>
          </w:p>
        </w:tc>
        <w:tc>
          <w:tcPr>
            <w:tcW w:w="5433" w:type="dxa"/>
            <w:noWrap w:val="0"/>
            <w:vAlign w:val="center"/>
          </w:tcPr>
          <w:p w14:paraId="649528B3">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eastAsia="宋体"/>
                <w:lang w:eastAsia="zh-CN"/>
              </w:rPr>
            </w:pPr>
            <w:r>
              <w:rPr>
                <w:rFonts w:hint="eastAsia" w:ascii="宋体" w:hAnsi="宋体" w:eastAsia="宋体" w:cs="Times New Roman"/>
                <w:bCs/>
                <w:color w:val="auto"/>
                <w:sz w:val="24"/>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w:t>
            </w:r>
            <w:r>
              <w:rPr>
                <w:rFonts w:hint="eastAsia" w:ascii="宋体" w:hAnsi="宋体" w:cs="Times New Roman"/>
                <w:bCs/>
                <w:color w:val="auto"/>
                <w:sz w:val="24"/>
                <w:lang w:eastAsia="zh-CN"/>
              </w:rPr>
              <w:t>注：査询时间必须是招标公告发布以后投标文件递交截止时间之前，查询结果清晰可见；</w:t>
            </w:r>
          </w:p>
        </w:tc>
      </w:tr>
      <w:tr w14:paraId="3CBA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continue"/>
            <w:noWrap w:val="0"/>
            <w:vAlign w:val="center"/>
          </w:tcPr>
          <w:p w14:paraId="20F4D387">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1231" w:type="dxa"/>
            <w:vMerge w:val="continue"/>
            <w:noWrap w:val="0"/>
            <w:vAlign w:val="center"/>
          </w:tcPr>
          <w:p w14:paraId="0085C6A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pPr>
          </w:p>
        </w:tc>
        <w:tc>
          <w:tcPr>
            <w:tcW w:w="2225" w:type="dxa"/>
            <w:noWrap w:val="0"/>
            <w:vAlign w:val="center"/>
          </w:tcPr>
          <w:p w14:paraId="3913A8A7">
            <w:pPr>
              <w:keepNext w:val="0"/>
              <w:keepLines w:val="0"/>
              <w:pageBreakBefore w:val="0"/>
              <w:widowControl w:val="0"/>
              <w:kinsoku/>
              <w:wordWrap w:val="0"/>
              <w:overflowPunct/>
              <w:topLinePunct w:val="0"/>
              <w:autoSpaceDE/>
              <w:autoSpaceDN/>
              <w:bidi w:val="0"/>
              <w:adjustRightInd/>
              <w:snapToGrid/>
              <w:spacing w:line="440" w:lineRule="exact"/>
              <w:textAlignment w:val="auto"/>
            </w:pPr>
            <w:r>
              <w:rPr>
                <w:rFonts w:hint="eastAsia" w:ascii="宋体" w:hAnsi="宋体" w:eastAsia="宋体" w:cs="Times New Roman"/>
                <w:bCs/>
                <w:color w:val="auto"/>
                <w:sz w:val="24"/>
                <w:lang w:val="en-US" w:eastAsia="zh-CN"/>
              </w:rPr>
              <w:t>本次招标不接受联合体投标；</w:t>
            </w:r>
          </w:p>
        </w:tc>
        <w:tc>
          <w:tcPr>
            <w:tcW w:w="5433" w:type="dxa"/>
            <w:noWrap w:val="0"/>
            <w:vAlign w:val="center"/>
          </w:tcPr>
          <w:p w14:paraId="18FAA47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eastAsia="宋体"/>
                <w:lang w:val="en-US" w:eastAsia="zh-CN"/>
              </w:rPr>
            </w:pPr>
            <w:r>
              <w:rPr>
                <w:rFonts w:hint="eastAsia" w:ascii="宋体" w:hAnsi="宋体" w:eastAsia="宋体" w:cs="Times New Roman"/>
                <w:bCs/>
                <w:color w:val="auto"/>
                <w:sz w:val="24"/>
                <w:lang w:val="en-US" w:eastAsia="zh-CN"/>
              </w:rPr>
              <w:t>提供非联合体承诺书（格式自拟）</w:t>
            </w:r>
          </w:p>
        </w:tc>
      </w:tr>
      <w:tr w14:paraId="4A31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83" w:type="dxa"/>
            <w:vMerge w:val="restart"/>
            <w:noWrap w:val="0"/>
            <w:vAlign w:val="center"/>
          </w:tcPr>
          <w:p w14:paraId="1E178EF3">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2.1.3</w:t>
            </w:r>
          </w:p>
        </w:tc>
        <w:tc>
          <w:tcPr>
            <w:tcW w:w="1231" w:type="dxa"/>
            <w:vMerge w:val="restart"/>
            <w:noWrap w:val="0"/>
            <w:vAlign w:val="center"/>
          </w:tcPr>
          <w:p w14:paraId="3128AAA3">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形式评审与响应性评审标准</w:t>
            </w:r>
          </w:p>
          <w:p w14:paraId="4F828609">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（第二信封）</w:t>
            </w:r>
          </w:p>
        </w:tc>
        <w:tc>
          <w:tcPr>
            <w:tcW w:w="2225" w:type="dxa"/>
            <w:noWrap w:val="0"/>
            <w:vAlign w:val="center"/>
          </w:tcPr>
          <w:p w14:paraId="60F7005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投标人名称</w:t>
            </w:r>
          </w:p>
        </w:tc>
        <w:tc>
          <w:tcPr>
            <w:tcW w:w="5433" w:type="dxa"/>
            <w:noWrap w:val="0"/>
            <w:vAlign w:val="center"/>
          </w:tcPr>
          <w:p w14:paraId="50CCB1D1">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与营业执照、资质证书</w:t>
            </w:r>
            <w:r>
              <w:rPr>
                <w:rFonts w:hint="eastAsia" w:ascii="宋体" w:hAnsi="宋体" w:cs="Times New Roman"/>
                <w:bCs/>
                <w:color w:val="auto"/>
                <w:sz w:val="24"/>
                <w:lang w:val="en-US" w:eastAsia="zh-CN"/>
              </w:rPr>
              <w:t>等</w:t>
            </w:r>
            <w:r>
              <w:rPr>
                <w:rFonts w:hint="eastAsia" w:ascii="宋体" w:hAnsi="宋体" w:eastAsia="宋体" w:cs="Times New Roman"/>
                <w:bCs/>
                <w:color w:val="auto"/>
                <w:sz w:val="24"/>
                <w:lang w:val="en-US" w:eastAsia="zh-CN"/>
              </w:rPr>
              <w:t>一致；</w:t>
            </w:r>
          </w:p>
        </w:tc>
      </w:tr>
      <w:tr w14:paraId="7D6A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83" w:type="dxa"/>
            <w:vMerge w:val="continue"/>
            <w:noWrap w:val="0"/>
            <w:vAlign w:val="center"/>
          </w:tcPr>
          <w:p w14:paraId="0B42DFC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Cs/>
                <w:color w:val="auto"/>
                <w:sz w:val="24"/>
                <w:lang w:val="en-US" w:eastAsia="zh-CN"/>
              </w:rPr>
            </w:pPr>
          </w:p>
        </w:tc>
        <w:tc>
          <w:tcPr>
            <w:tcW w:w="1231" w:type="dxa"/>
            <w:vMerge w:val="continue"/>
            <w:noWrap w:val="0"/>
            <w:vAlign w:val="top"/>
          </w:tcPr>
          <w:p w14:paraId="05322F3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Cs/>
                <w:color w:val="auto"/>
                <w:sz w:val="24"/>
                <w:lang w:val="en-US" w:eastAsia="zh-CN"/>
              </w:rPr>
            </w:pPr>
          </w:p>
        </w:tc>
        <w:tc>
          <w:tcPr>
            <w:tcW w:w="2225" w:type="dxa"/>
            <w:noWrap w:val="0"/>
            <w:vAlign w:val="center"/>
          </w:tcPr>
          <w:p w14:paraId="2EA8A9A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投标函签字盖章</w:t>
            </w:r>
          </w:p>
        </w:tc>
        <w:tc>
          <w:tcPr>
            <w:tcW w:w="5433" w:type="dxa"/>
            <w:noWrap w:val="0"/>
            <w:vAlign w:val="center"/>
          </w:tcPr>
          <w:p w14:paraId="72BF179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符合第二章“投标人须知前附表”要求；</w:t>
            </w:r>
          </w:p>
        </w:tc>
      </w:tr>
      <w:tr w14:paraId="3E54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83" w:type="dxa"/>
            <w:vMerge w:val="continue"/>
            <w:noWrap w:val="0"/>
            <w:vAlign w:val="center"/>
          </w:tcPr>
          <w:p w14:paraId="4E060E9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Cs/>
                <w:color w:val="auto"/>
                <w:sz w:val="24"/>
                <w:lang w:val="en-US" w:eastAsia="zh-CN"/>
              </w:rPr>
            </w:pPr>
          </w:p>
        </w:tc>
        <w:tc>
          <w:tcPr>
            <w:tcW w:w="1231" w:type="dxa"/>
            <w:vMerge w:val="continue"/>
            <w:noWrap w:val="0"/>
            <w:vAlign w:val="top"/>
          </w:tcPr>
          <w:p w14:paraId="30DF70C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Cs/>
                <w:color w:val="auto"/>
                <w:sz w:val="24"/>
                <w:lang w:val="en-US" w:eastAsia="zh-CN"/>
              </w:rPr>
            </w:pPr>
          </w:p>
        </w:tc>
        <w:tc>
          <w:tcPr>
            <w:tcW w:w="2225" w:type="dxa"/>
            <w:noWrap w:val="0"/>
            <w:vAlign w:val="center"/>
          </w:tcPr>
          <w:p w14:paraId="146F82B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投标文件格式</w:t>
            </w:r>
          </w:p>
        </w:tc>
        <w:tc>
          <w:tcPr>
            <w:tcW w:w="5433" w:type="dxa"/>
            <w:noWrap w:val="0"/>
            <w:vAlign w:val="center"/>
          </w:tcPr>
          <w:p w14:paraId="29E22705">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符合第九章“投标文件格式（第二信封）”的要求；</w:t>
            </w:r>
          </w:p>
        </w:tc>
      </w:tr>
      <w:tr w14:paraId="7DC1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83" w:type="dxa"/>
            <w:vMerge w:val="continue"/>
            <w:noWrap w:val="0"/>
            <w:vAlign w:val="center"/>
          </w:tcPr>
          <w:p w14:paraId="4416C9D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Cs/>
                <w:color w:val="auto"/>
                <w:sz w:val="24"/>
                <w:lang w:val="en-US" w:eastAsia="zh-CN"/>
              </w:rPr>
            </w:pPr>
          </w:p>
        </w:tc>
        <w:tc>
          <w:tcPr>
            <w:tcW w:w="1231" w:type="dxa"/>
            <w:vMerge w:val="continue"/>
            <w:noWrap w:val="0"/>
            <w:vAlign w:val="top"/>
          </w:tcPr>
          <w:p w14:paraId="15C38C0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Cs/>
                <w:color w:val="auto"/>
                <w:sz w:val="24"/>
                <w:lang w:val="en-US" w:eastAsia="zh-CN"/>
              </w:rPr>
            </w:pPr>
          </w:p>
        </w:tc>
        <w:tc>
          <w:tcPr>
            <w:tcW w:w="2225" w:type="dxa"/>
            <w:noWrap w:val="0"/>
            <w:vAlign w:val="center"/>
          </w:tcPr>
          <w:p w14:paraId="5D82C42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报价唯一</w:t>
            </w:r>
          </w:p>
        </w:tc>
        <w:tc>
          <w:tcPr>
            <w:tcW w:w="5433" w:type="dxa"/>
            <w:noWrap w:val="0"/>
            <w:vAlign w:val="center"/>
          </w:tcPr>
          <w:p w14:paraId="663D49E0">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只能有一个有效报价；</w:t>
            </w:r>
          </w:p>
        </w:tc>
      </w:tr>
      <w:tr w14:paraId="0FF6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83" w:type="dxa"/>
            <w:vMerge w:val="continue"/>
            <w:noWrap w:val="0"/>
            <w:vAlign w:val="center"/>
          </w:tcPr>
          <w:p w14:paraId="3E407CF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Cs/>
                <w:color w:val="auto"/>
                <w:sz w:val="24"/>
                <w:lang w:val="en-US" w:eastAsia="zh-CN"/>
              </w:rPr>
            </w:pPr>
          </w:p>
        </w:tc>
        <w:tc>
          <w:tcPr>
            <w:tcW w:w="1231" w:type="dxa"/>
            <w:vMerge w:val="continue"/>
            <w:noWrap w:val="0"/>
            <w:vAlign w:val="center"/>
          </w:tcPr>
          <w:p w14:paraId="16272B4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Cs/>
                <w:color w:val="auto"/>
                <w:sz w:val="24"/>
                <w:lang w:val="en-US" w:eastAsia="zh-CN"/>
              </w:rPr>
            </w:pPr>
          </w:p>
        </w:tc>
        <w:tc>
          <w:tcPr>
            <w:tcW w:w="2225" w:type="dxa"/>
            <w:noWrap w:val="0"/>
            <w:vAlign w:val="center"/>
          </w:tcPr>
          <w:p w14:paraId="51E9ED0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投标报价</w:t>
            </w:r>
          </w:p>
        </w:tc>
        <w:tc>
          <w:tcPr>
            <w:tcW w:w="5433" w:type="dxa"/>
            <w:noWrap w:val="0"/>
            <w:vAlign w:val="center"/>
          </w:tcPr>
          <w:p w14:paraId="122FD007">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投标人的投标报价不能超出招标控制价；</w:t>
            </w:r>
          </w:p>
        </w:tc>
      </w:tr>
      <w:tr w14:paraId="4EC4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83" w:type="dxa"/>
            <w:vMerge w:val="continue"/>
            <w:noWrap w:val="0"/>
            <w:vAlign w:val="center"/>
          </w:tcPr>
          <w:p w14:paraId="3CD0A4E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Cs/>
                <w:color w:val="auto"/>
                <w:sz w:val="24"/>
                <w:lang w:val="en-US" w:eastAsia="zh-CN"/>
              </w:rPr>
            </w:pPr>
          </w:p>
        </w:tc>
        <w:tc>
          <w:tcPr>
            <w:tcW w:w="1231" w:type="dxa"/>
            <w:vMerge w:val="continue"/>
            <w:noWrap w:val="0"/>
            <w:vAlign w:val="top"/>
          </w:tcPr>
          <w:p w14:paraId="460903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Cs/>
                <w:color w:val="auto"/>
                <w:sz w:val="24"/>
                <w:lang w:val="en-US" w:eastAsia="zh-CN"/>
              </w:rPr>
            </w:pPr>
          </w:p>
        </w:tc>
        <w:tc>
          <w:tcPr>
            <w:tcW w:w="2225" w:type="dxa"/>
            <w:noWrap w:val="0"/>
            <w:vAlign w:val="center"/>
          </w:tcPr>
          <w:p w14:paraId="18B668F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已标价工程量清单</w:t>
            </w:r>
          </w:p>
        </w:tc>
        <w:tc>
          <w:tcPr>
            <w:tcW w:w="5433" w:type="dxa"/>
            <w:noWrap w:val="0"/>
            <w:vAlign w:val="center"/>
          </w:tcPr>
          <w:p w14:paraId="30E8B67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符合第六章“工程量清单”给出的范围及数量，投标人不得擅自修改工程量清单的工程项目和数量。</w:t>
            </w:r>
          </w:p>
        </w:tc>
      </w:tr>
    </w:tbl>
    <w:p w14:paraId="2EC2B97C">
      <w:pPr>
        <w:wordWrap w:val="0"/>
        <w:rPr>
          <w:rFonts w:hint="eastAsia"/>
          <w:lang w:eastAsia="zh-CN"/>
        </w:rPr>
      </w:pPr>
      <w:r>
        <w:rPr>
          <w:rFonts w:hint="eastAsia"/>
          <w:lang w:eastAsia="zh-CN"/>
        </w:rPr>
        <w:br w:type="page"/>
      </w:r>
    </w:p>
    <w:p w14:paraId="71B1ACAC">
      <w:pPr>
        <w:pStyle w:val="20"/>
        <w:wordWrap w:val="0"/>
        <w:rPr>
          <w:rFonts w:hint="eastAsia"/>
          <w:lang w:eastAsia="zh-CN"/>
        </w:rPr>
      </w:pPr>
    </w:p>
    <w:p w14:paraId="62F19BEB">
      <w:pPr>
        <w:pStyle w:val="3"/>
        <w:wordWrap w:val="0"/>
        <w:rPr>
          <w:rFonts w:hint="eastAsia"/>
        </w:rPr>
      </w:pPr>
      <w:bookmarkStart w:id="475" w:name="_Toc12971"/>
      <w:r>
        <w:rPr>
          <w:rFonts w:hint="eastAsia"/>
          <w:b/>
          <w:bCs/>
          <w:kern w:val="2"/>
          <w:szCs w:val="22"/>
          <w:lang w:eastAsia="zh-CN"/>
        </w:rPr>
        <w:t>（</w:t>
      </w:r>
      <w:r>
        <w:rPr>
          <w:rFonts w:hint="eastAsia"/>
          <w:b/>
          <w:bCs/>
          <w:kern w:val="2"/>
          <w:szCs w:val="22"/>
          <w:lang w:val="en-US" w:eastAsia="zh-CN"/>
        </w:rPr>
        <w:t>二</w:t>
      </w:r>
      <w:r>
        <w:rPr>
          <w:rFonts w:hint="eastAsia"/>
          <w:b/>
          <w:bCs/>
          <w:kern w:val="2"/>
          <w:szCs w:val="22"/>
          <w:lang w:eastAsia="zh-CN"/>
        </w:rPr>
        <w:t>）</w:t>
      </w:r>
      <w:r>
        <w:rPr>
          <w:rFonts w:hint="eastAsia"/>
          <w:b/>
          <w:bCs/>
          <w:kern w:val="2"/>
          <w:szCs w:val="22"/>
          <w:lang w:val="en-US" w:eastAsia="zh-CN"/>
        </w:rPr>
        <w:t>技术标评审标准</w:t>
      </w:r>
      <w:bookmarkEnd w:id="475"/>
    </w:p>
    <w:tbl>
      <w:tblPr>
        <w:tblStyle w:val="15"/>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888"/>
        <w:gridCol w:w="4782"/>
        <w:gridCol w:w="1977"/>
      </w:tblGrid>
      <w:tr w14:paraId="39B0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8" w:type="dxa"/>
            <w:noWrap w:val="0"/>
            <w:vAlign w:val="center"/>
          </w:tcPr>
          <w:p w14:paraId="0D07ACD3">
            <w:pPr>
              <w:keepNext w:val="0"/>
              <w:keepLines w:val="0"/>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888" w:type="dxa"/>
            <w:noWrap w:val="0"/>
            <w:vAlign w:val="center"/>
          </w:tcPr>
          <w:p w14:paraId="027F385D">
            <w:pPr>
              <w:keepNext w:val="0"/>
              <w:keepLines w:val="0"/>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评审项目</w:t>
            </w:r>
          </w:p>
        </w:tc>
        <w:tc>
          <w:tcPr>
            <w:tcW w:w="4782" w:type="dxa"/>
            <w:noWrap w:val="0"/>
            <w:vAlign w:val="center"/>
          </w:tcPr>
          <w:p w14:paraId="7BF244E6">
            <w:pPr>
              <w:keepNext w:val="0"/>
              <w:keepLines w:val="0"/>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评审内容</w:t>
            </w:r>
          </w:p>
        </w:tc>
        <w:tc>
          <w:tcPr>
            <w:tcW w:w="1977" w:type="dxa"/>
            <w:noWrap w:val="0"/>
            <w:vAlign w:val="center"/>
          </w:tcPr>
          <w:p w14:paraId="4F39D933">
            <w:pPr>
              <w:keepNext w:val="0"/>
              <w:keepLines w:val="0"/>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strike/>
                <w:dstrike w:val="0"/>
                <w:color w:val="auto"/>
                <w:sz w:val="24"/>
                <w:szCs w:val="24"/>
                <w:highlight w:val="magenta"/>
                <w:lang w:val="en-US" w:eastAsia="zh-CN"/>
              </w:rPr>
            </w:pPr>
            <w:r>
              <w:rPr>
                <w:rFonts w:hint="eastAsia" w:asciiTheme="minorEastAsia" w:hAnsiTheme="minorEastAsia" w:eastAsiaTheme="minorEastAsia" w:cstheme="minorEastAsia"/>
                <w:b/>
                <w:color w:val="auto"/>
                <w:sz w:val="24"/>
                <w:szCs w:val="24"/>
                <w:highlight w:val="none"/>
              </w:rPr>
              <w:t>综合评价等级</w:t>
            </w:r>
            <w:r>
              <w:rPr>
                <w:rFonts w:hint="eastAsia" w:asciiTheme="minorEastAsia" w:hAnsiTheme="minorEastAsia" w:eastAsiaTheme="minorEastAsia" w:cstheme="minorEastAsia"/>
                <w:b/>
                <w:color w:val="auto"/>
                <w:sz w:val="24"/>
                <w:szCs w:val="24"/>
                <w:highlight w:val="none"/>
                <w:lang w:eastAsia="zh-CN"/>
              </w:rPr>
              <w:t>（合格</w:t>
            </w:r>
            <w:r>
              <w:rPr>
                <w:rFonts w:hint="eastAsia" w:asciiTheme="minorEastAsia" w:hAnsiTheme="minorEastAsia" w:eastAsiaTheme="minorEastAsia" w:cstheme="minorEastAsia"/>
                <w:b/>
                <w:color w:val="auto"/>
                <w:sz w:val="24"/>
                <w:szCs w:val="24"/>
                <w:highlight w:val="none"/>
                <w:lang w:val="en-US" w:eastAsia="zh-CN"/>
              </w:rPr>
              <w:t>/不合格）</w:t>
            </w:r>
          </w:p>
        </w:tc>
      </w:tr>
      <w:tr w14:paraId="27D3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58" w:type="dxa"/>
            <w:noWrap w:val="0"/>
            <w:vAlign w:val="center"/>
          </w:tcPr>
          <w:p w14:paraId="0B6DB04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p>
        </w:tc>
        <w:tc>
          <w:tcPr>
            <w:tcW w:w="1888" w:type="dxa"/>
            <w:noWrap w:val="0"/>
            <w:vAlign w:val="center"/>
          </w:tcPr>
          <w:p w14:paraId="09AC2C3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000000"/>
                <w:spacing w:val="1"/>
                <w:sz w:val="24"/>
                <w:szCs w:val="24"/>
              </w:rPr>
              <w:t>总体施工组织布置及规划</w:t>
            </w:r>
          </w:p>
        </w:tc>
        <w:tc>
          <w:tcPr>
            <w:tcW w:w="4782" w:type="dxa"/>
            <w:noWrap w:val="0"/>
            <w:vAlign w:val="center"/>
          </w:tcPr>
          <w:p w14:paraId="606B491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具有总体施工组织布置及规划。</w:t>
            </w:r>
          </w:p>
          <w:p w14:paraId="423C484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否则不合格。</w:t>
            </w:r>
          </w:p>
        </w:tc>
        <w:tc>
          <w:tcPr>
            <w:tcW w:w="1977" w:type="dxa"/>
            <w:noWrap w:val="0"/>
            <w:vAlign w:val="center"/>
          </w:tcPr>
          <w:p w14:paraId="5EAE7115">
            <w:pPr>
              <w:keepNext w:val="0"/>
              <w:keepLines w:val="0"/>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3F96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58" w:type="dxa"/>
            <w:noWrap w:val="0"/>
            <w:vAlign w:val="center"/>
          </w:tcPr>
          <w:p w14:paraId="17C43B0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w:t>
            </w:r>
          </w:p>
        </w:tc>
        <w:tc>
          <w:tcPr>
            <w:tcW w:w="1888" w:type="dxa"/>
            <w:noWrap w:val="0"/>
            <w:vAlign w:val="center"/>
          </w:tcPr>
          <w:p w14:paraId="361496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主要工程项目的施工方案、方法与技术措施</w:t>
            </w:r>
          </w:p>
        </w:tc>
        <w:tc>
          <w:tcPr>
            <w:tcW w:w="4782" w:type="dxa"/>
            <w:noWrap w:val="0"/>
            <w:vAlign w:val="center"/>
          </w:tcPr>
          <w:p w14:paraId="52AAF75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1.施工方案（含工程特点、施工重点与难点及绿色施工）总体安排；</w:t>
            </w:r>
          </w:p>
          <w:p w14:paraId="4C039CB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2.施工工艺、施工机械；</w:t>
            </w:r>
          </w:p>
          <w:p w14:paraId="3FD9BCA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3.对施工难点的建议。</w:t>
            </w:r>
          </w:p>
          <w:p w14:paraId="1CFF64F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否则不合格。</w:t>
            </w:r>
          </w:p>
        </w:tc>
        <w:tc>
          <w:tcPr>
            <w:tcW w:w="1977" w:type="dxa"/>
            <w:noWrap w:val="0"/>
            <w:vAlign w:val="center"/>
          </w:tcPr>
          <w:p w14:paraId="4530312B">
            <w:pPr>
              <w:keepNext w:val="0"/>
              <w:keepLines w:val="0"/>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0E28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58" w:type="dxa"/>
            <w:noWrap w:val="0"/>
            <w:vAlign w:val="center"/>
          </w:tcPr>
          <w:p w14:paraId="473BB28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w:t>
            </w:r>
          </w:p>
        </w:tc>
        <w:tc>
          <w:tcPr>
            <w:tcW w:w="1888" w:type="dxa"/>
            <w:noWrap w:val="0"/>
            <w:vAlign w:val="center"/>
          </w:tcPr>
          <w:p w14:paraId="6A81194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000000"/>
                <w:spacing w:val="1"/>
                <w:sz w:val="24"/>
                <w:szCs w:val="24"/>
              </w:rPr>
            </w:pPr>
            <w:r>
              <w:rPr>
                <w:rFonts w:hint="eastAsia" w:asciiTheme="minorEastAsia" w:hAnsiTheme="minorEastAsia" w:eastAsiaTheme="minorEastAsia" w:cstheme="minorEastAsia"/>
                <w:color w:val="000000"/>
                <w:spacing w:val="1"/>
                <w:sz w:val="24"/>
                <w:szCs w:val="24"/>
              </w:rPr>
              <w:t>工期保证体系及保证措施</w:t>
            </w:r>
          </w:p>
        </w:tc>
        <w:tc>
          <w:tcPr>
            <w:tcW w:w="4782" w:type="dxa"/>
            <w:noWrap w:val="0"/>
            <w:vAlign w:val="center"/>
          </w:tcPr>
          <w:p w14:paraId="53E1B1B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工期承诺满足招标文件要求</w:t>
            </w:r>
            <w:r>
              <w:rPr>
                <w:rFonts w:hint="eastAsia" w:asciiTheme="minorEastAsia" w:hAnsiTheme="minorEastAsia" w:eastAsiaTheme="minorEastAsia" w:cstheme="minorEastAsia"/>
                <w:sz w:val="24"/>
                <w:szCs w:val="24"/>
                <w:lang w:eastAsia="zh-CN"/>
              </w:rPr>
              <w:t>；</w:t>
            </w:r>
          </w:p>
          <w:p w14:paraId="77DCFD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2.具有</w:t>
            </w:r>
            <w:r>
              <w:rPr>
                <w:rFonts w:hint="eastAsia" w:asciiTheme="minorEastAsia" w:hAnsiTheme="minorEastAsia" w:eastAsiaTheme="minorEastAsia" w:cstheme="minorEastAsia"/>
                <w:sz w:val="24"/>
                <w:szCs w:val="24"/>
              </w:rPr>
              <w:t>工期保证</w:t>
            </w:r>
            <w:r>
              <w:rPr>
                <w:rFonts w:hint="eastAsia" w:asciiTheme="minorEastAsia" w:hAnsiTheme="minorEastAsia" w:eastAsiaTheme="minorEastAsia" w:cstheme="minorEastAsia"/>
                <w:sz w:val="24"/>
                <w:szCs w:val="24"/>
                <w:lang w:val="en-US" w:eastAsia="zh-CN"/>
              </w:rPr>
              <w:t>体系及保证</w:t>
            </w:r>
            <w:r>
              <w:rPr>
                <w:rFonts w:hint="eastAsia" w:asciiTheme="minorEastAsia" w:hAnsiTheme="minorEastAsia" w:eastAsiaTheme="minorEastAsia" w:cstheme="minorEastAsia"/>
                <w:sz w:val="24"/>
                <w:szCs w:val="24"/>
              </w:rPr>
              <w:t>措施。</w:t>
            </w:r>
          </w:p>
          <w:p w14:paraId="19FF4F6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否则不合格。</w:t>
            </w:r>
          </w:p>
        </w:tc>
        <w:tc>
          <w:tcPr>
            <w:tcW w:w="1977" w:type="dxa"/>
            <w:noWrap w:val="0"/>
            <w:vAlign w:val="center"/>
          </w:tcPr>
          <w:p w14:paraId="0CA00E90">
            <w:pPr>
              <w:keepNext w:val="0"/>
              <w:keepLines w:val="0"/>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6A68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58" w:type="dxa"/>
            <w:noWrap w:val="0"/>
            <w:vAlign w:val="center"/>
          </w:tcPr>
          <w:p w14:paraId="56F9A0C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w:t>
            </w:r>
          </w:p>
        </w:tc>
        <w:tc>
          <w:tcPr>
            <w:tcW w:w="1888" w:type="dxa"/>
            <w:noWrap w:val="0"/>
            <w:vAlign w:val="center"/>
          </w:tcPr>
          <w:p w14:paraId="0235593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工程质量管理体系及保证措施</w:t>
            </w:r>
          </w:p>
        </w:tc>
        <w:tc>
          <w:tcPr>
            <w:tcW w:w="4782" w:type="dxa"/>
            <w:noWrap w:val="0"/>
            <w:vAlign w:val="center"/>
          </w:tcPr>
          <w:p w14:paraId="2AA1BCE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1.工程质量管理体系及保证措施</w:t>
            </w:r>
            <w:r>
              <w:rPr>
                <w:rFonts w:hint="eastAsia" w:asciiTheme="minorEastAsia" w:hAnsiTheme="minorEastAsia" w:eastAsiaTheme="minorEastAsia" w:cstheme="minorEastAsia"/>
                <w:sz w:val="24"/>
                <w:szCs w:val="24"/>
                <w:lang w:eastAsia="zh-CN"/>
              </w:rPr>
              <w:t>；</w:t>
            </w:r>
          </w:p>
          <w:p w14:paraId="71F3DC9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指挥系统、质量监控系统、联络协调系统</w:t>
            </w:r>
            <w:r>
              <w:rPr>
                <w:rFonts w:hint="eastAsia" w:asciiTheme="minorEastAsia" w:hAnsiTheme="minorEastAsia" w:eastAsiaTheme="minorEastAsia" w:cstheme="minorEastAsia"/>
                <w:sz w:val="24"/>
                <w:szCs w:val="24"/>
                <w:lang w:eastAsia="zh-CN"/>
              </w:rPr>
              <w:t>；</w:t>
            </w:r>
          </w:p>
          <w:p w14:paraId="4D9C036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3.具有</w:t>
            </w:r>
            <w:r>
              <w:rPr>
                <w:rFonts w:hint="eastAsia" w:asciiTheme="minorEastAsia" w:hAnsiTheme="minorEastAsia" w:eastAsiaTheme="minorEastAsia" w:cstheme="minorEastAsia"/>
                <w:sz w:val="24"/>
                <w:szCs w:val="24"/>
              </w:rPr>
              <w:t>不偷工减料</w:t>
            </w:r>
            <w:r>
              <w:rPr>
                <w:rFonts w:hint="eastAsia" w:asciiTheme="minorEastAsia" w:hAnsiTheme="minorEastAsia" w:eastAsiaTheme="minorEastAsia" w:cstheme="minorEastAsia"/>
                <w:sz w:val="24"/>
                <w:szCs w:val="24"/>
                <w:lang w:val="en-US" w:eastAsia="zh-CN"/>
              </w:rPr>
              <w:t>的保证措施</w:t>
            </w:r>
            <w:r>
              <w:rPr>
                <w:rFonts w:hint="eastAsia" w:asciiTheme="minorEastAsia" w:hAnsiTheme="minorEastAsia" w:eastAsiaTheme="minorEastAsia" w:cstheme="minorEastAsia"/>
                <w:sz w:val="24"/>
                <w:szCs w:val="24"/>
                <w:lang w:eastAsia="zh-CN"/>
              </w:rPr>
              <w:t>。</w:t>
            </w:r>
          </w:p>
          <w:p w14:paraId="1A54239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否则不合格。</w:t>
            </w:r>
          </w:p>
        </w:tc>
        <w:tc>
          <w:tcPr>
            <w:tcW w:w="1977" w:type="dxa"/>
            <w:noWrap w:val="0"/>
            <w:vAlign w:val="center"/>
          </w:tcPr>
          <w:p w14:paraId="58D1C8A1">
            <w:pPr>
              <w:keepNext w:val="0"/>
              <w:keepLines w:val="0"/>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325E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8" w:type="dxa"/>
            <w:noWrap w:val="0"/>
            <w:vAlign w:val="center"/>
          </w:tcPr>
          <w:p w14:paraId="34EDC30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w:t>
            </w:r>
          </w:p>
        </w:tc>
        <w:tc>
          <w:tcPr>
            <w:tcW w:w="1888" w:type="dxa"/>
            <w:noWrap w:val="0"/>
            <w:vAlign w:val="center"/>
          </w:tcPr>
          <w:p w14:paraId="0D0BAB6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安全生产管理体系及保证措施</w:t>
            </w:r>
          </w:p>
        </w:tc>
        <w:tc>
          <w:tcPr>
            <w:tcW w:w="4782" w:type="dxa"/>
            <w:noWrap w:val="0"/>
            <w:vAlign w:val="center"/>
          </w:tcPr>
          <w:p w14:paraId="5C4FF0D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1.具有</w:t>
            </w:r>
            <w:r>
              <w:rPr>
                <w:rFonts w:hint="eastAsia" w:asciiTheme="minorEastAsia" w:hAnsiTheme="minorEastAsia" w:eastAsiaTheme="minorEastAsia" w:cstheme="minorEastAsia"/>
                <w:sz w:val="24"/>
                <w:szCs w:val="24"/>
              </w:rPr>
              <w:t>施工安全生产保障体系</w:t>
            </w:r>
            <w:r>
              <w:rPr>
                <w:rFonts w:hint="eastAsia" w:asciiTheme="minorEastAsia" w:hAnsiTheme="minorEastAsia" w:eastAsiaTheme="minorEastAsia" w:cstheme="minorEastAsia"/>
                <w:sz w:val="24"/>
                <w:szCs w:val="24"/>
                <w:lang w:eastAsia="zh-CN"/>
              </w:rPr>
              <w:t>；</w:t>
            </w:r>
          </w:p>
          <w:p w14:paraId="7EEBAA9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2.具有</w:t>
            </w:r>
            <w:r>
              <w:rPr>
                <w:rFonts w:hint="eastAsia" w:asciiTheme="minorEastAsia" w:hAnsiTheme="minorEastAsia" w:eastAsiaTheme="minorEastAsia" w:cstheme="minorEastAsia"/>
                <w:sz w:val="24"/>
                <w:szCs w:val="24"/>
              </w:rPr>
              <w:t>安全管理制度，安全管理目标具体，全员安全责任制明确，现场安全管理组织机构、人员配备。</w:t>
            </w:r>
          </w:p>
          <w:p w14:paraId="31FFCB5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根据工程特点、周边环境和施工工艺，制定有项目危险性较大的分部分项工程清单并明确有相应的安全管理措施。</w:t>
            </w:r>
          </w:p>
          <w:p w14:paraId="728FEED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否则不合格。</w:t>
            </w:r>
          </w:p>
        </w:tc>
        <w:tc>
          <w:tcPr>
            <w:tcW w:w="1977" w:type="dxa"/>
            <w:noWrap w:val="0"/>
            <w:vAlign w:val="center"/>
          </w:tcPr>
          <w:p w14:paraId="63DEDF28">
            <w:pPr>
              <w:keepNext w:val="0"/>
              <w:keepLines w:val="0"/>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284E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58" w:type="dxa"/>
            <w:noWrap w:val="0"/>
            <w:vAlign w:val="center"/>
          </w:tcPr>
          <w:p w14:paraId="183E851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w:t>
            </w:r>
          </w:p>
        </w:tc>
        <w:tc>
          <w:tcPr>
            <w:tcW w:w="1888" w:type="dxa"/>
            <w:noWrap w:val="0"/>
            <w:vAlign w:val="center"/>
          </w:tcPr>
          <w:p w14:paraId="36A46DF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000000"/>
                <w:spacing w:val="1"/>
                <w:sz w:val="24"/>
                <w:szCs w:val="24"/>
              </w:rPr>
            </w:pPr>
            <w:r>
              <w:rPr>
                <w:rFonts w:hint="eastAsia" w:asciiTheme="minorEastAsia" w:hAnsiTheme="minorEastAsia" w:eastAsiaTheme="minorEastAsia" w:cstheme="minorEastAsia"/>
                <w:sz w:val="24"/>
                <w:szCs w:val="24"/>
              </w:rPr>
              <w:t>拟投入资源配备计划</w:t>
            </w:r>
          </w:p>
        </w:tc>
        <w:tc>
          <w:tcPr>
            <w:tcW w:w="4782" w:type="dxa"/>
            <w:noWrap w:val="0"/>
            <w:vAlign w:val="center"/>
          </w:tcPr>
          <w:p w14:paraId="7C339C1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机械、劳动力、主要物资：</w:t>
            </w:r>
            <w:r>
              <w:rPr>
                <w:rFonts w:hint="eastAsia" w:asciiTheme="minorEastAsia" w:hAnsiTheme="minorEastAsia" w:eastAsiaTheme="minorEastAsia" w:cstheme="minorEastAsia"/>
                <w:sz w:val="24"/>
                <w:szCs w:val="24"/>
                <w:lang w:val="en-US" w:eastAsia="zh-CN"/>
              </w:rPr>
              <w:t>具有</w:t>
            </w:r>
            <w:r>
              <w:rPr>
                <w:rFonts w:hint="eastAsia" w:asciiTheme="minorEastAsia" w:hAnsiTheme="minorEastAsia" w:eastAsiaTheme="minorEastAsia" w:cstheme="minorEastAsia"/>
                <w:sz w:val="24"/>
                <w:szCs w:val="24"/>
              </w:rPr>
              <w:t>投入计划与进度计划，</w:t>
            </w:r>
            <w:r>
              <w:rPr>
                <w:rFonts w:hint="eastAsia" w:asciiTheme="minorEastAsia" w:hAnsiTheme="minorEastAsia" w:eastAsiaTheme="minorEastAsia" w:cstheme="minorEastAsia"/>
                <w:sz w:val="24"/>
                <w:szCs w:val="24"/>
                <w:lang w:val="en-US" w:eastAsia="zh-CN"/>
              </w:rPr>
              <w:t>具有</w:t>
            </w:r>
            <w:r>
              <w:rPr>
                <w:rFonts w:hint="eastAsia" w:asciiTheme="minorEastAsia" w:hAnsiTheme="minorEastAsia" w:eastAsiaTheme="minorEastAsia" w:cstheme="minorEastAsia"/>
                <w:sz w:val="24"/>
                <w:szCs w:val="24"/>
              </w:rPr>
              <w:t>机械设备配置</w:t>
            </w:r>
            <w:r>
              <w:rPr>
                <w:rFonts w:hint="eastAsia" w:asciiTheme="minorEastAsia" w:hAnsiTheme="minorEastAsia" w:eastAsiaTheme="minorEastAsia" w:cstheme="minorEastAsia"/>
                <w:sz w:val="24"/>
                <w:szCs w:val="24"/>
                <w:lang w:val="en-US" w:eastAsia="zh-CN"/>
              </w:rPr>
              <w:t>计划</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具有</w:t>
            </w:r>
            <w:r>
              <w:rPr>
                <w:rFonts w:hint="eastAsia" w:asciiTheme="minorEastAsia" w:hAnsiTheme="minorEastAsia" w:eastAsiaTheme="minorEastAsia" w:cstheme="minorEastAsia"/>
                <w:sz w:val="24"/>
                <w:szCs w:val="24"/>
              </w:rPr>
              <w:t>调配投入计划</w:t>
            </w:r>
            <w:r>
              <w:rPr>
                <w:rFonts w:hint="eastAsia" w:asciiTheme="minorEastAsia" w:hAnsiTheme="minorEastAsia" w:eastAsiaTheme="minorEastAsia" w:cstheme="minorEastAsia"/>
                <w:sz w:val="24"/>
                <w:szCs w:val="24"/>
                <w:lang w:eastAsia="zh-CN"/>
              </w:rPr>
              <w:t>。</w:t>
            </w:r>
          </w:p>
          <w:p w14:paraId="30849E5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否则不合格。</w:t>
            </w:r>
          </w:p>
        </w:tc>
        <w:tc>
          <w:tcPr>
            <w:tcW w:w="1977" w:type="dxa"/>
            <w:noWrap w:val="0"/>
            <w:vAlign w:val="center"/>
          </w:tcPr>
          <w:p w14:paraId="68E85D46">
            <w:pPr>
              <w:keepNext w:val="0"/>
              <w:keepLines w:val="0"/>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3D30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58" w:type="dxa"/>
            <w:noWrap w:val="0"/>
            <w:vAlign w:val="center"/>
          </w:tcPr>
          <w:p w14:paraId="52A3626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w:t>
            </w:r>
          </w:p>
        </w:tc>
        <w:tc>
          <w:tcPr>
            <w:tcW w:w="1888" w:type="dxa"/>
            <w:noWrap w:val="0"/>
            <w:vAlign w:val="center"/>
          </w:tcPr>
          <w:p w14:paraId="46FF55A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文明施工、环境保护管理体系及施工现场扬尘治理措施</w:t>
            </w:r>
          </w:p>
        </w:tc>
        <w:tc>
          <w:tcPr>
            <w:tcW w:w="4782" w:type="dxa"/>
            <w:noWrap w:val="0"/>
            <w:vAlign w:val="center"/>
          </w:tcPr>
          <w:p w14:paraId="748283C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1.文明施工保证措施；</w:t>
            </w:r>
          </w:p>
          <w:p w14:paraId="63DFBB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2.环境保护管理体系；</w:t>
            </w:r>
          </w:p>
          <w:p w14:paraId="11AF23E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3.现场施工区、生活区、办公区等符合有关规定；</w:t>
            </w:r>
          </w:p>
          <w:p w14:paraId="394A24D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4.防治施工现场扬尘治理方案。</w:t>
            </w:r>
          </w:p>
          <w:p w14:paraId="191FD81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否则不合格。</w:t>
            </w:r>
          </w:p>
        </w:tc>
        <w:tc>
          <w:tcPr>
            <w:tcW w:w="1977" w:type="dxa"/>
            <w:noWrap w:val="0"/>
            <w:vAlign w:val="center"/>
          </w:tcPr>
          <w:p w14:paraId="3DB78141">
            <w:pPr>
              <w:keepNext w:val="0"/>
              <w:keepLines w:val="0"/>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7909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58" w:type="dxa"/>
            <w:noWrap w:val="0"/>
            <w:vAlign w:val="center"/>
          </w:tcPr>
          <w:p w14:paraId="5AEA965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8</w:t>
            </w:r>
          </w:p>
        </w:tc>
        <w:tc>
          <w:tcPr>
            <w:tcW w:w="1888" w:type="dxa"/>
            <w:noWrap w:val="0"/>
            <w:vAlign w:val="center"/>
          </w:tcPr>
          <w:p w14:paraId="77C31770">
            <w:pPr>
              <w:wordWrap w:val="0"/>
              <w:spacing w:line="360" w:lineRule="auto"/>
              <w:jc w:val="center"/>
              <w:rPr>
                <w:rFonts w:hint="eastAsia" w:asciiTheme="minorEastAsia" w:hAnsiTheme="minorEastAsia" w:eastAsiaTheme="minorEastAsia" w:cstheme="minorEastAsia"/>
                <w:color w:val="000000"/>
                <w:spacing w:val="1"/>
                <w:sz w:val="24"/>
                <w:szCs w:val="24"/>
              </w:rPr>
            </w:pPr>
            <w:r>
              <w:rPr>
                <w:rFonts w:hint="eastAsia" w:asciiTheme="minorEastAsia" w:hAnsiTheme="minorEastAsia" w:eastAsiaTheme="minorEastAsia" w:cstheme="minorEastAsia"/>
                <w:color w:val="000000"/>
                <w:spacing w:val="1"/>
                <w:sz w:val="24"/>
                <w:szCs w:val="24"/>
              </w:rPr>
              <w:t>项目风险预测与防范，事故应</w:t>
            </w:r>
          </w:p>
          <w:p w14:paraId="1AC2B5E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
                <w:sz w:val="24"/>
                <w:szCs w:val="24"/>
              </w:rPr>
              <w:t xml:space="preserve">急预案 </w:t>
            </w:r>
          </w:p>
        </w:tc>
        <w:tc>
          <w:tcPr>
            <w:tcW w:w="4782" w:type="dxa"/>
            <w:noWrap w:val="0"/>
            <w:vAlign w:val="center"/>
          </w:tcPr>
          <w:p w14:paraId="018EE03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风险防控管理措施</w:t>
            </w:r>
          </w:p>
          <w:p w14:paraId="4472971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风险控制要点定位准确</w:t>
            </w:r>
          </w:p>
          <w:p w14:paraId="683068E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各阶段风险控制及应急措施</w:t>
            </w:r>
            <w:r>
              <w:rPr>
                <w:rFonts w:hint="eastAsia" w:asciiTheme="minorEastAsia" w:hAnsiTheme="minorEastAsia" w:eastAsiaTheme="minorEastAsia" w:cstheme="minorEastAsia"/>
                <w:sz w:val="24"/>
                <w:szCs w:val="24"/>
                <w:lang w:eastAsia="zh-CN"/>
              </w:rPr>
              <w:t>。</w:t>
            </w:r>
          </w:p>
          <w:p w14:paraId="07D5D0E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否则不合格。</w:t>
            </w:r>
          </w:p>
        </w:tc>
        <w:tc>
          <w:tcPr>
            <w:tcW w:w="1977" w:type="dxa"/>
            <w:noWrap w:val="0"/>
            <w:vAlign w:val="center"/>
          </w:tcPr>
          <w:p w14:paraId="5EADFB92">
            <w:pPr>
              <w:keepNext w:val="0"/>
              <w:keepLines w:val="0"/>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rPr>
            </w:pPr>
          </w:p>
        </w:tc>
      </w:tr>
      <w:tr w14:paraId="7D40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05" w:type="dxa"/>
            <w:gridSpan w:val="4"/>
            <w:noWrap w:val="0"/>
            <w:vAlign w:val="center"/>
          </w:tcPr>
          <w:p w14:paraId="2E2379F9">
            <w:pPr>
              <w:keepNext w:val="0"/>
              <w:keepLines w:val="0"/>
              <w:suppressLineNumbers w:val="0"/>
              <w:wordWrap w:val="0"/>
              <w:spacing w:before="0" w:beforeAutospacing="0" w:after="0" w:afterAutospacing="0" w:line="360" w:lineRule="auto"/>
              <w:ind w:left="0" w:right="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备注：需按要求提供相应的方案、措施。</w:t>
            </w:r>
          </w:p>
          <w:p w14:paraId="6A562913">
            <w:pPr>
              <w:keepNext w:val="0"/>
              <w:keepLines w:val="0"/>
              <w:suppressLineNumbers w:val="0"/>
              <w:wordWrap w:val="0"/>
              <w:spacing w:before="0" w:beforeAutospacing="0" w:after="0" w:afterAutospacing="0" w:line="360" w:lineRule="auto"/>
              <w:ind w:left="0" w:right="0"/>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以上评审标准有一项不合格视为整个技术标不合格。</w:t>
            </w:r>
          </w:p>
        </w:tc>
      </w:tr>
    </w:tbl>
    <w:p w14:paraId="5DCA1B4A">
      <w:pPr>
        <w:pStyle w:val="20"/>
        <w:wordWrap w:val="0"/>
        <w:rPr>
          <w:rFonts w:hint="eastAsia"/>
        </w:rPr>
      </w:pPr>
    </w:p>
    <w:p w14:paraId="455E1DDB">
      <w:pPr>
        <w:keepNext w:val="0"/>
        <w:keepLines w:val="0"/>
        <w:pageBreakBefore w:val="0"/>
        <w:widowControl w:val="0"/>
        <w:kinsoku/>
        <w:wordWrap w:val="0"/>
        <w:overflowPunct/>
        <w:topLinePunct w:val="0"/>
        <w:autoSpaceDE/>
        <w:autoSpaceDN/>
        <w:bidi w:val="0"/>
        <w:adjustRightInd/>
        <w:snapToGrid/>
        <w:spacing w:line="360" w:lineRule="auto"/>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14:paraId="3A6FBAFB">
      <w:pPr>
        <w:keepNext w:val="0"/>
        <w:keepLines w:val="0"/>
        <w:pageBreakBefore w:val="0"/>
        <w:widowControl w:val="0"/>
        <w:kinsoku/>
        <w:wordWrap w:val="0"/>
        <w:overflowPunct/>
        <w:topLinePunct w:val="0"/>
        <w:autoSpaceDE/>
        <w:autoSpaceDN/>
        <w:bidi w:val="0"/>
        <w:adjustRightInd/>
        <w:snapToGrid/>
        <w:spacing w:line="360" w:lineRule="auto"/>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1）本表适用于专家独立评审使用；</w:t>
      </w:r>
    </w:p>
    <w:p w14:paraId="2BCFB35F">
      <w:pPr>
        <w:keepNext w:val="0"/>
        <w:keepLines w:val="0"/>
        <w:pageBreakBefore w:val="0"/>
        <w:widowControl w:val="0"/>
        <w:kinsoku/>
        <w:wordWrap w:val="0"/>
        <w:overflowPunct/>
        <w:topLinePunct w:val="0"/>
        <w:autoSpaceDE/>
        <w:autoSpaceDN/>
        <w:bidi w:val="0"/>
        <w:adjustRightInd/>
        <w:snapToGrid/>
        <w:spacing w:line="360" w:lineRule="auto"/>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2）专家</w:t>
      </w:r>
      <w:r>
        <w:rPr>
          <w:rFonts w:hint="eastAsia" w:ascii="宋体" w:hAnsi="宋体" w:eastAsia="宋体" w:cs="宋体"/>
          <w:b/>
          <w:bCs/>
          <w:color w:val="auto"/>
          <w:sz w:val="24"/>
          <w:szCs w:val="24"/>
          <w:highlight w:val="none"/>
          <w:lang w:val="en-US" w:eastAsia="zh-CN"/>
        </w:rPr>
        <w:t>应</w:t>
      </w:r>
      <w:r>
        <w:rPr>
          <w:rFonts w:hint="eastAsia" w:ascii="宋体" w:hAnsi="宋体" w:eastAsia="宋体" w:cs="宋体"/>
          <w:b/>
          <w:bCs/>
          <w:color w:val="auto"/>
          <w:sz w:val="24"/>
          <w:szCs w:val="24"/>
          <w:highlight w:val="none"/>
        </w:rPr>
        <w:t>指出各评审项的优点、存在缺陷或签订合同前应注意和澄清事项；</w:t>
      </w:r>
    </w:p>
    <w:p w14:paraId="4EAB3608">
      <w:pPr>
        <w:keepNext w:val="0"/>
        <w:keepLines w:val="0"/>
        <w:pageBreakBefore w:val="0"/>
        <w:widowControl w:val="0"/>
        <w:kinsoku/>
        <w:wordWrap w:val="0"/>
        <w:overflowPunct/>
        <w:topLinePunct w:val="0"/>
        <w:autoSpaceDE/>
        <w:autoSpaceDN/>
        <w:bidi w:val="0"/>
        <w:adjustRightInd/>
        <w:snapToGrid/>
        <w:spacing w:line="360" w:lineRule="auto"/>
        <w:jc w:val="both"/>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技术标</w:t>
      </w:r>
      <w:r>
        <w:rPr>
          <w:rFonts w:hint="eastAsia" w:ascii="宋体" w:hAnsi="宋体" w:eastAsia="宋体" w:cs="宋体"/>
          <w:b/>
          <w:bCs/>
          <w:color w:val="auto"/>
          <w:sz w:val="24"/>
          <w:szCs w:val="24"/>
          <w:highlight w:val="none"/>
        </w:rPr>
        <w:t>分为合格或不合格两个等级。</w:t>
      </w:r>
      <w:r>
        <w:rPr>
          <w:rFonts w:hint="eastAsia" w:ascii="宋体" w:hAnsi="宋体" w:eastAsia="宋体" w:cs="宋体"/>
          <w:b/>
          <w:bCs/>
          <w:color w:val="auto"/>
          <w:sz w:val="24"/>
          <w:szCs w:val="24"/>
          <w:highlight w:val="none"/>
          <w:lang w:eastAsia="zh-CN"/>
        </w:rPr>
        <w:t>因交易中心系统设置原因，技术标需要打分，统一设置5分为合格，0分为不合格。</w:t>
      </w:r>
    </w:p>
    <w:p w14:paraId="254AFE05">
      <w:pPr>
        <w:keepNext w:val="0"/>
        <w:keepLines w:val="0"/>
        <w:pageBreakBefore w:val="0"/>
        <w:widowControl w:val="0"/>
        <w:kinsoku/>
        <w:wordWrap w:val="0"/>
        <w:overflowPunct/>
        <w:topLinePunct w:val="0"/>
        <w:autoSpaceDE/>
        <w:autoSpaceDN/>
        <w:bidi w:val="0"/>
        <w:adjustRightInd/>
        <w:snapToGrid/>
        <w:spacing w:line="360" w:lineRule="auto"/>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（4）技术标施工组织设计的“合格”与“不合格”评标专家主要依据其是否满足工程施工需求、符合规范要求、具备可操作性，以及能否保障工程质量、安全、进度和成本控制</w:t>
      </w:r>
      <w:r>
        <w:rPr>
          <w:rFonts w:hint="eastAsia" w:ascii="宋体" w:hAnsi="宋体" w:eastAsia="宋体" w:cs="宋体"/>
          <w:color w:val="auto"/>
          <w:sz w:val="24"/>
          <w:szCs w:val="24"/>
          <w:highlight w:val="none"/>
          <w:lang w:eastAsia="zh-CN"/>
        </w:rPr>
        <w:t>。</w:t>
      </w:r>
    </w:p>
    <w:p w14:paraId="523B7DE0">
      <w:pPr>
        <w:pStyle w:val="20"/>
        <w:wordWrap w:val="0"/>
        <w:rPr>
          <w:rFonts w:hint="eastAsia"/>
        </w:rPr>
      </w:pPr>
    </w:p>
    <w:p w14:paraId="49E08C46">
      <w:pPr>
        <w:pStyle w:val="20"/>
        <w:wordWrap w:val="0"/>
        <w:rPr>
          <w:rFonts w:hint="eastAsia"/>
        </w:rPr>
      </w:pPr>
    </w:p>
    <w:p w14:paraId="1CBD9754">
      <w:pPr>
        <w:pStyle w:val="20"/>
        <w:wordWrap w:val="0"/>
        <w:rPr>
          <w:rFonts w:hint="eastAsia"/>
        </w:rPr>
      </w:pPr>
    </w:p>
    <w:p w14:paraId="3AC1AD63">
      <w:pPr>
        <w:pStyle w:val="20"/>
        <w:wordWrap w:val="0"/>
        <w:rPr>
          <w:rFonts w:hint="eastAsia"/>
        </w:rPr>
      </w:pPr>
    </w:p>
    <w:p w14:paraId="0D01E3F8">
      <w:pPr>
        <w:pStyle w:val="20"/>
        <w:wordWrap w:val="0"/>
        <w:rPr>
          <w:rFonts w:hint="eastAsia"/>
        </w:rPr>
      </w:pPr>
    </w:p>
    <w:p w14:paraId="58180731">
      <w:pPr>
        <w:pStyle w:val="20"/>
        <w:wordWrap w:val="0"/>
        <w:rPr>
          <w:rFonts w:hint="eastAsia"/>
        </w:rPr>
      </w:pPr>
    </w:p>
    <w:p w14:paraId="0AD7A4F2">
      <w:pPr>
        <w:pStyle w:val="20"/>
        <w:wordWrap w:val="0"/>
        <w:rPr>
          <w:rFonts w:hint="eastAsia"/>
        </w:rPr>
      </w:pPr>
    </w:p>
    <w:p w14:paraId="37DCC77A">
      <w:pPr>
        <w:pStyle w:val="20"/>
        <w:wordWrap w:val="0"/>
        <w:rPr>
          <w:rFonts w:hint="eastAsia"/>
        </w:rPr>
      </w:pPr>
    </w:p>
    <w:p w14:paraId="55B14BED">
      <w:pPr>
        <w:pStyle w:val="3"/>
        <w:wordWrap w:val="0"/>
        <w:rPr>
          <w:rFonts w:hint="eastAsia"/>
        </w:rPr>
      </w:pPr>
      <w:bookmarkStart w:id="476" w:name="_Toc9605"/>
      <w:r>
        <w:rPr>
          <w:rFonts w:hint="eastAsia" w:ascii="Arial" w:hAnsi="Arial" w:eastAsia="宋体" w:cs="Times New Roman"/>
          <w:b/>
          <w:bCs/>
          <w:kern w:val="2"/>
          <w:szCs w:val="22"/>
          <w:lang w:eastAsia="zh-CN"/>
        </w:rPr>
        <w:t>（</w:t>
      </w:r>
      <w:r>
        <w:rPr>
          <w:rFonts w:hint="eastAsia" w:ascii="Arial" w:hAnsi="Arial" w:eastAsia="宋体" w:cs="Times New Roman"/>
          <w:b/>
          <w:bCs/>
          <w:kern w:val="2"/>
          <w:szCs w:val="22"/>
          <w:lang w:val="en-US" w:eastAsia="zh-CN"/>
        </w:rPr>
        <w:t>三</w:t>
      </w:r>
      <w:r>
        <w:rPr>
          <w:rFonts w:hint="eastAsia" w:ascii="Arial" w:hAnsi="Arial" w:eastAsia="宋体" w:cs="Times New Roman"/>
          <w:b/>
          <w:bCs/>
          <w:kern w:val="2"/>
          <w:szCs w:val="22"/>
          <w:lang w:eastAsia="zh-CN"/>
        </w:rPr>
        <w:t>）</w:t>
      </w:r>
      <w:r>
        <w:rPr>
          <w:rFonts w:hint="eastAsia" w:ascii="Arial" w:hAnsi="Arial" w:eastAsia="宋体" w:cs="Times New Roman"/>
          <w:b/>
          <w:bCs/>
          <w:kern w:val="2"/>
          <w:szCs w:val="22"/>
          <w:lang w:val="en-US" w:eastAsia="zh-CN"/>
        </w:rPr>
        <w:t>综合</w:t>
      </w:r>
      <w:r>
        <w:rPr>
          <w:rFonts w:hint="eastAsia" w:ascii="Arial" w:hAnsi="Arial" w:eastAsia="宋体" w:cs="Times New Roman"/>
          <w:b/>
          <w:bCs/>
          <w:kern w:val="2"/>
          <w:szCs w:val="22"/>
          <w:lang w:eastAsia="zh-CN"/>
        </w:rPr>
        <w:t>标评审标准</w:t>
      </w:r>
      <w:bookmarkEnd w:id="476"/>
    </w:p>
    <w:tbl>
      <w:tblPr>
        <w:tblStyle w:val="15"/>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469"/>
        <w:gridCol w:w="5615"/>
        <w:gridCol w:w="1454"/>
      </w:tblGrid>
      <w:tr w14:paraId="5449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noWrap w:val="0"/>
            <w:vAlign w:val="center"/>
          </w:tcPr>
          <w:p w14:paraId="0E90D79A">
            <w:pPr>
              <w:keepNext w:val="0"/>
              <w:keepLines w:val="0"/>
              <w:suppressLineNumbers w:val="0"/>
              <w:wordWrap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469" w:type="dxa"/>
            <w:noWrap w:val="0"/>
            <w:vAlign w:val="center"/>
          </w:tcPr>
          <w:p w14:paraId="47682039">
            <w:pPr>
              <w:keepNext w:val="0"/>
              <w:keepLines w:val="0"/>
              <w:suppressLineNumbers w:val="0"/>
              <w:wordWrap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评审项目</w:t>
            </w:r>
          </w:p>
        </w:tc>
        <w:tc>
          <w:tcPr>
            <w:tcW w:w="5615" w:type="dxa"/>
            <w:noWrap w:val="0"/>
            <w:vAlign w:val="center"/>
          </w:tcPr>
          <w:p w14:paraId="0DA40ECA">
            <w:pPr>
              <w:keepNext w:val="0"/>
              <w:keepLines w:val="0"/>
              <w:suppressLineNumbers w:val="0"/>
              <w:wordWrap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评审内容</w:t>
            </w:r>
          </w:p>
        </w:tc>
        <w:tc>
          <w:tcPr>
            <w:tcW w:w="1454" w:type="dxa"/>
            <w:noWrap w:val="0"/>
            <w:vAlign w:val="center"/>
          </w:tcPr>
          <w:p w14:paraId="1FC5CB79">
            <w:pPr>
              <w:keepNext w:val="0"/>
              <w:keepLines w:val="0"/>
              <w:suppressLineNumbers w:val="0"/>
              <w:wordWrap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综合评价等级</w:t>
            </w:r>
            <w:r>
              <w:rPr>
                <w:rFonts w:hint="eastAsia" w:ascii="宋体" w:hAnsi="宋体" w:cs="宋体"/>
                <w:b/>
                <w:color w:val="auto"/>
                <w:sz w:val="24"/>
                <w:szCs w:val="24"/>
                <w:highlight w:val="none"/>
                <w:lang w:eastAsia="zh-CN"/>
              </w:rPr>
              <w:t>（合格</w:t>
            </w:r>
            <w:r>
              <w:rPr>
                <w:rFonts w:hint="eastAsia" w:ascii="宋体" w:hAnsi="宋体" w:cs="宋体"/>
                <w:b/>
                <w:color w:val="auto"/>
                <w:sz w:val="24"/>
                <w:szCs w:val="24"/>
                <w:highlight w:val="none"/>
                <w:lang w:val="en-US" w:eastAsia="zh-CN"/>
              </w:rPr>
              <w:t>/不合格）</w:t>
            </w:r>
          </w:p>
        </w:tc>
      </w:tr>
      <w:tr w14:paraId="61DD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658" w:type="dxa"/>
            <w:noWrap w:val="0"/>
            <w:vAlign w:val="center"/>
          </w:tcPr>
          <w:p w14:paraId="72D0B628">
            <w:pPr>
              <w:keepNext w:val="0"/>
              <w:keepLines w:val="0"/>
              <w:suppressLineNumbers w:val="0"/>
              <w:wordWrap w:val="0"/>
              <w:spacing w:before="0" w:beforeAutospacing="0" w:after="0" w:afterAutospacing="0" w:line="360" w:lineRule="auto"/>
              <w:ind w:left="0" w:right="0"/>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p>
        </w:tc>
        <w:tc>
          <w:tcPr>
            <w:tcW w:w="1469" w:type="dxa"/>
            <w:noWrap w:val="0"/>
            <w:vAlign w:val="center"/>
          </w:tcPr>
          <w:p w14:paraId="2DCA90F1">
            <w:pPr>
              <w:keepNext w:val="0"/>
              <w:keepLines w:val="0"/>
              <w:suppressLineNumbers w:val="0"/>
              <w:wordWrap w:val="0"/>
              <w:spacing w:before="0" w:beforeAutospacing="0" w:after="0" w:afterAutospacing="0" w:line="360" w:lineRule="auto"/>
              <w:ind w:left="0" w:right="0"/>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企业业绩</w:t>
            </w:r>
          </w:p>
        </w:tc>
        <w:tc>
          <w:tcPr>
            <w:tcW w:w="5615" w:type="dxa"/>
            <w:noWrap w:val="0"/>
            <w:vAlign w:val="center"/>
          </w:tcPr>
          <w:p w14:paraId="75FCE979">
            <w:pPr>
              <w:wordWrap w:val="0"/>
              <w:spacing w:line="5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年1月1日以来</w:t>
            </w:r>
            <w:r>
              <w:rPr>
                <w:rFonts w:hint="eastAsia" w:ascii="宋体" w:hAnsi="宋体" w:cs="宋体"/>
                <w:color w:val="auto"/>
                <w:sz w:val="24"/>
                <w:szCs w:val="24"/>
                <w:highlight w:val="none"/>
                <w:lang w:val="en-US" w:eastAsia="zh-CN"/>
              </w:rPr>
              <w:t>至少具有2</w:t>
            </w:r>
            <w:r>
              <w:rPr>
                <w:rFonts w:hint="eastAsia" w:ascii="宋体" w:hAnsi="宋体" w:eastAsia="宋体" w:cs="宋体"/>
                <w:color w:val="auto"/>
                <w:sz w:val="24"/>
                <w:szCs w:val="24"/>
                <w:highlight w:val="none"/>
                <w:lang w:val="en-US" w:eastAsia="zh-CN"/>
              </w:rPr>
              <w:t>项</w:t>
            </w:r>
            <w:r>
              <w:rPr>
                <w:rFonts w:hint="eastAsia" w:ascii="宋体" w:hAnsi="宋体" w:cs="宋体"/>
                <w:color w:val="auto"/>
                <w:sz w:val="24"/>
                <w:szCs w:val="24"/>
                <w:highlight w:val="none"/>
                <w:lang w:val="en-US" w:eastAsia="zh-CN"/>
              </w:rPr>
              <w:t>公路工程</w:t>
            </w:r>
            <w:r>
              <w:rPr>
                <w:rFonts w:hint="eastAsia" w:ascii="宋体" w:hAnsi="宋体" w:eastAsia="宋体" w:cs="宋体"/>
                <w:color w:val="auto"/>
                <w:sz w:val="24"/>
                <w:szCs w:val="24"/>
                <w:highlight w:val="none"/>
                <w:lang w:val="en-US" w:eastAsia="zh-CN"/>
              </w:rPr>
              <w:t>项目业绩，需提供中标通知书和合同协议书</w:t>
            </w:r>
            <w:r>
              <w:rPr>
                <w:rFonts w:hint="eastAsia" w:ascii="宋体" w:hAnsi="宋体" w:cs="宋体"/>
                <w:color w:val="auto"/>
                <w:sz w:val="24"/>
                <w:szCs w:val="24"/>
                <w:highlight w:val="none"/>
                <w:lang w:val="en-US" w:eastAsia="zh-CN"/>
              </w:rPr>
              <w:t>原件的扫描件，</w:t>
            </w:r>
            <w:r>
              <w:rPr>
                <w:rFonts w:hint="eastAsia" w:ascii="宋体" w:hAnsi="宋体" w:eastAsia="宋体" w:cs="宋体"/>
                <w:color w:val="auto"/>
                <w:sz w:val="24"/>
                <w:szCs w:val="24"/>
                <w:highlight w:val="none"/>
                <w:lang w:val="en-US" w:eastAsia="zh-CN"/>
              </w:rPr>
              <w:t>时间以合同签订时间为准。</w:t>
            </w:r>
          </w:p>
          <w:p w14:paraId="55000091">
            <w:pPr>
              <w:wordWrap w:val="0"/>
              <w:spacing w:line="5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注：未提供或</w:t>
            </w:r>
            <w:r>
              <w:rPr>
                <w:rFonts w:hint="eastAsia" w:ascii="宋体" w:hAnsi="宋体" w:eastAsia="宋体" w:cs="宋体"/>
                <w:color w:val="auto"/>
                <w:sz w:val="24"/>
                <w:szCs w:val="24"/>
                <w:highlight w:val="none"/>
                <w:lang w:val="en-US" w:eastAsia="zh-CN"/>
              </w:rPr>
              <w:t>证明资料不齐全的视为不合格。</w:t>
            </w:r>
          </w:p>
        </w:tc>
        <w:tc>
          <w:tcPr>
            <w:tcW w:w="1454" w:type="dxa"/>
            <w:noWrap w:val="0"/>
            <w:vAlign w:val="center"/>
          </w:tcPr>
          <w:p w14:paraId="2D5B1282">
            <w:pPr>
              <w:keepNext w:val="0"/>
              <w:keepLines w:val="0"/>
              <w:suppressLineNumbers w:val="0"/>
              <w:wordWrap w:val="0"/>
              <w:spacing w:before="0" w:beforeAutospacing="0" w:after="0" w:afterAutospacing="0" w:line="360" w:lineRule="auto"/>
              <w:ind w:left="0" w:right="0"/>
              <w:jc w:val="center"/>
              <w:rPr>
                <w:rFonts w:hint="eastAsia" w:ascii="宋体" w:hAnsi="宋体" w:cs="宋体"/>
                <w:b/>
                <w:color w:val="auto"/>
                <w:sz w:val="24"/>
                <w:szCs w:val="24"/>
                <w:highlight w:val="none"/>
              </w:rPr>
            </w:pPr>
          </w:p>
        </w:tc>
      </w:tr>
      <w:tr w14:paraId="5503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658" w:type="dxa"/>
            <w:noWrap w:val="0"/>
            <w:vAlign w:val="center"/>
          </w:tcPr>
          <w:p w14:paraId="67938473">
            <w:pPr>
              <w:keepNext w:val="0"/>
              <w:keepLines w:val="0"/>
              <w:suppressLineNumbers w:val="0"/>
              <w:wordWrap w:val="0"/>
              <w:spacing w:before="0" w:beforeAutospacing="0" w:after="0" w:afterAutospacing="0" w:line="360" w:lineRule="auto"/>
              <w:ind w:left="0" w:right="0"/>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p>
        </w:tc>
        <w:tc>
          <w:tcPr>
            <w:tcW w:w="1469" w:type="dxa"/>
            <w:noWrap w:val="0"/>
            <w:vAlign w:val="center"/>
          </w:tcPr>
          <w:p w14:paraId="7E18A6CF">
            <w:pPr>
              <w:keepNext w:val="0"/>
              <w:keepLines w:val="0"/>
              <w:suppressLineNumbers w:val="0"/>
              <w:wordWrap w:val="0"/>
              <w:spacing w:before="0" w:beforeAutospacing="0" w:after="0" w:afterAutospacing="0" w:line="360" w:lineRule="auto"/>
              <w:ind w:left="0" w:right="0"/>
              <w:jc w:val="center"/>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lang w:val="en-US" w:eastAsia="zh-CN"/>
              </w:rPr>
              <w:t>履职尽责承诺</w:t>
            </w:r>
          </w:p>
        </w:tc>
        <w:tc>
          <w:tcPr>
            <w:tcW w:w="5615" w:type="dxa"/>
            <w:noWrap w:val="0"/>
            <w:vAlign w:val="center"/>
          </w:tcPr>
          <w:p w14:paraId="19BD80AD">
            <w:pPr>
              <w:wordWrap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具有书面保证技术措施落实到位的承诺和落实不到位的处理承诺，其中包括各关键岗位人员的在岗、更换等履职尽责承诺</w:t>
            </w:r>
          </w:p>
          <w:p w14:paraId="0B28D859">
            <w:pPr>
              <w:wordWrap w:val="0"/>
              <w:spacing w:line="500" w:lineRule="exact"/>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lang w:val="en-US" w:eastAsia="zh-CN"/>
              </w:rPr>
              <w:t>注：未提供承诺视为不合格。</w:t>
            </w:r>
          </w:p>
        </w:tc>
        <w:tc>
          <w:tcPr>
            <w:tcW w:w="1454" w:type="dxa"/>
            <w:noWrap w:val="0"/>
            <w:vAlign w:val="center"/>
          </w:tcPr>
          <w:p w14:paraId="2458ACF8">
            <w:pPr>
              <w:keepNext w:val="0"/>
              <w:keepLines w:val="0"/>
              <w:suppressLineNumbers w:val="0"/>
              <w:wordWrap w:val="0"/>
              <w:spacing w:before="0" w:beforeAutospacing="0" w:after="0" w:afterAutospacing="0" w:line="360" w:lineRule="auto"/>
              <w:ind w:left="0" w:right="0"/>
              <w:jc w:val="center"/>
              <w:rPr>
                <w:rFonts w:hint="eastAsia" w:ascii="宋体" w:hAnsi="宋体" w:cs="宋体"/>
                <w:b/>
                <w:color w:val="auto"/>
                <w:sz w:val="24"/>
                <w:szCs w:val="24"/>
                <w:highlight w:val="none"/>
              </w:rPr>
            </w:pPr>
          </w:p>
        </w:tc>
      </w:tr>
      <w:tr w14:paraId="645D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658" w:type="dxa"/>
            <w:noWrap w:val="0"/>
            <w:vAlign w:val="center"/>
          </w:tcPr>
          <w:p w14:paraId="2F012CA5">
            <w:pPr>
              <w:keepNext w:val="0"/>
              <w:keepLines w:val="0"/>
              <w:suppressLineNumbers w:val="0"/>
              <w:wordWrap w:val="0"/>
              <w:spacing w:before="0" w:beforeAutospacing="0" w:after="0" w:afterAutospacing="0" w:line="360" w:lineRule="auto"/>
              <w:ind w:left="0" w:right="0"/>
              <w:jc w:val="center"/>
              <w:rPr>
                <w:rFonts w:hint="eastAsia" w:eastAsia="宋体"/>
                <w:b w:val="0"/>
                <w:bCs/>
                <w:lang w:val="en-US" w:eastAsia="zh-CN"/>
              </w:rPr>
            </w:pPr>
            <w:r>
              <w:rPr>
                <w:rFonts w:hint="eastAsia"/>
                <w:b w:val="0"/>
                <w:bCs/>
                <w:lang w:val="en-US" w:eastAsia="zh-CN"/>
              </w:rPr>
              <w:t>3</w:t>
            </w:r>
          </w:p>
        </w:tc>
        <w:tc>
          <w:tcPr>
            <w:tcW w:w="1469" w:type="dxa"/>
            <w:noWrap w:val="0"/>
            <w:vAlign w:val="center"/>
          </w:tcPr>
          <w:p w14:paraId="591B9A0E">
            <w:pPr>
              <w:keepNext w:val="0"/>
              <w:keepLines w:val="0"/>
              <w:suppressLineNumbers w:val="0"/>
              <w:wordWrap w:val="0"/>
              <w:spacing w:before="0" w:beforeAutospacing="0" w:after="0" w:afterAutospacing="0" w:line="360" w:lineRule="auto"/>
              <w:ind w:left="0" w:right="0"/>
              <w:jc w:val="center"/>
            </w:pPr>
            <w:r>
              <w:rPr>
                <w:rFonts w:hint="default" w:ascii="宋体" w:hAnsi="宋体" w:eastAsia="宋体" w:cs="宋体"/>
                <w:color w:val="auto"/>
                <w:sz w:val="24"/>
                <w:szCs w:val="24"/>
                <w:highlight w:val="none"/>
                <w:lang w:val="en-US" w:eastAsia="zh-CN"/>
              </w:rPr>
              <w:t>服务承诺</w:t>
            </w:r>
          </w:p>
        </w:tc>
        <w:tc>
          <w:tcPr>
            <w:tcW w:w="5615" w:type="dxa"/>
            <w:noWrap w:val="0"/>
            <w:vAlign w:val="center"/>
          </w:tcPr>
          <w:p w14:paraId="5025BFA3">
            <w:pPr>
              <w:wordWrap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1、承诺质量、工期达到招标文件要求并有具体措施；</w:t>
            </w:r>
          </w:p>
          <w:p w14:paraId="62B9139B">
            <w:pPr>
              <w:wordWrap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2、优惠条件的承诺；</w:t>
            </w:r>
          </w:p>
          <w:p w14:paraId="47803972">
            <w:pPr>
              <w:wordWrap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3、保证不拖欠农民工工资的承诺；</w:t>
            </w:r>
          </w:p>
          <w:p w14:paraId="69696223">
            <w:pPr>
              <w:wordWrap w:val="0"/>
              <w:spacing w:line="500" w:lineRule="exact"/>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lang w:val="en-US" w:eastAsia="zh-CN"/>
              </w:rPr>
              <w:t>注：未提供承诺视为不合格。</w:t>
            </w:r>
          </w:p>
        </w:tc>
        <w:tc>
          <w:tcPr>
            <w:tcW w:w="1454" w:type="dxa"/>
            <w:noWrap w:val="0"/>
            <w:vAlign w:val="center"/>
          </w:tcPr>
          <w:p w14:paraId="4BAD05FD">
            <w:pPr>
              <w:keepNext w:val="0"/>
              <w:keepLines w:val="0"/>
              <w:suppressLineNumbers w:val="0"/>
              <w:wordWrap w:val="0"/>
              <w:spacing w:before="0" w:beforeAutospacing="0" w:after="0" w:afterAutospacing="0" w:line="360" w:lineRule="auto"/>
              <w:ind w:left="0" w:right="0"/>
              <w:jc w:val="center"/>
              <w:rPr>
                <w:rFonts w:hint="eastAsia" w:ascii="宋体" w:hAnsi="宋体" w:cs="宋体"/>
                <w:b/>
                <w:color w:val="auto"/>
                <w:sz w:val="24"/>
                <w:szCs w:val="24"/>
                <w:highlight w:val="none"/>
              </w:rPr>
            </w:pPr>
          </w:p>
        </w:tc>
      </w:tr>
      <w:tr w14:paraId="751D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196" w:type="dxa"/>
            <w:gridSpan w:val="4"/>
            <w:noWrap w:val="0"/>
            <w:vAlign w:val="center"/>
          </w:tcPr>
          <w:p w14:paraId="61E4FA66">
            <w:pPr>
              <w:keepNext w:val="0"/>
              <w:keepLines w:val="0"/>
              <w:suppressLineNumbers w:val="0"/>
              <w:wordWrap w:val="0"/>
              <w:spacing w:before="0" w:beforeAutospacing="0" w:after="0" w:afterAutospacing="0" w:line="360" w:lineRule="auto"/>
              <w:ind w:left="0" w:leftChars="0" w:right="0" w:right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备注：需按要求提供相应承诺。</w:t>
            </w:r>
          </w:p>
          <w:p w14:paraId="33854FE9">
            <w:pPr>
              <w:keepNext w:val="0"/>
              <w:keepLines w:val="0"/>
              <w:suppressLineNumbers w:val="0"/>
              <w:wordWrap w:val="0"/>
              <w:spacing w:before="0" w:beforeAutospacing="0" w:after="0" w:afterAutospacing="0" w:line="360" w:lineRule="auto"/>
              <w:ind w:left="0" w:leftChars="0" w:right="0" w:right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以上评审标准有一项不合格视为整个综合标不合格。</w:t>
            </w:r>
          </w:p>
        </w:tc>
      </w:tr>
    </w:tbl>
    <w:p w14:paraId="0A5E9C1C">
      <w:pPr>
        <w:pStyle w:val="20"/>
        <w:wordWrap w:val="0"/>
        <w:rPr>
          <w:rFonts w:hint="eastAsia"/>
        </w:rPr>
      </w:pPr>
    </w:p>
    <w:p w14:paraId="77C7524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auto"/>
          <w:sz w:val="24"/>
          <w:szCs w:val="24"/>
          <w:highlight w:val="none"/>
          <w:lang w:eastAsia="zh-CN"/>
        </w:rPr>
        <w:t>备注：</w:t>
      </w:r>
      <w:r>
        <w:rPr>
          <w:rFonts w:hint="eastAsia" w:ascii="宋体" w:hAnsi="宋体" w:eastAsia="宋体" w:cs="宋体"/>
          <w:b/>
          <w:bCs/>
          <w:color w:val="000000" w:themeColor="text1"/>
          <w:sz w:val="24"/>
          <w:szCs w:val="24"/>
          <w:highlight w:val="none"/>
          <w:lang w:eastAsia="zh-CN"/>
          <w14:textFill>
            <w14:solidFill>
              <w14:schemeClr w14:val="tx1"/>
            </w14:solidFill>
          </w14:textFill>
        </w:rPr>
        <w:t>（1）本表适用于专家独立评审使用；</w:t>
      </w:r>
    </w:p>
    <w:p w14:paraId="35B3C64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723" w:firstLineChars="300"/>
        <w:jc w:val="left"/>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（2）专家</w:t>
      </w:r>
      <w:r>
        <w:rPr>
          <w:rFonts w:hint="eastAsia" w:ascii="宋体" w:hAnsi="宋体" w:cs="宋体"/>
          <w:b/>
          <w:bCs/>
          <w:color w:val="000000" w:themeColor="text1"/>
          <w:sz w:val="24"/>
          <w:szCs w:val="24"/>
          <w:highlight w:val="none"/>
          <w:lang w:val="en-US" w:eastAsia="zh-CN"/>
          <w14:textFill>
            <w14:solidFill>
              <w14:schemeClr w14:val="tx1"/>
            </w14:solidFill>
          </w14:textFill>
        </w:rPr>
        <w:t>应</w:t>
      </w:r>
      <w:r>
        <w:rPr>
          <w:rFonts w:hint="eastAsia" w:ascii="宋体" w:hAnsi="宋体" w:eastAsia="宋体" w:cs="宋体"/>
          <w:b/>
          <w:bCs/>
          <w:color w:val="000000" w:themeColor="text1"/>
          <w:sz w:val="24"/>
          <w:szCs w:val="24"/>
          <w:highlight w:val="none"/>
          <w:lang w:eastAsia="zh-CN"/>
          <w14:textFill>
            <w14:solidFill>
              <w14:schemeClr w14:val="tx1"/>
            </w14:solidFill>
          </w14:textFill>
        </w:rPr>
        <w:t>指出各评审项的优点、存在缺陷或签订合同前应注意和澄清事项；</w:t>
      </w:r>
    </w:p>
    <w:p w14:paraId="7F2E75D3">
      <w:pPr>
        <w:widowControl/>
        <w:wordWrap w:val="0"/>
        <w:spacing w:line="360" w:lineRule="auto"/>
        <w:ind w:firstLine="723" w:firstLineChars="300"/>
        <w:jc w:val="left"/>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（3）综合评价等级仅分为合格或不合格两个等级。</w:t>
      </w:r>
      <w:r>
        <w:rPr>
          <w:rFonts w:hint="eastAsia" w:ascii="宋体" w:hAnsi="宋体" w:eastAsia="宋体" w:cs="宋体"/>
          <w:b/>
          <w:bCs/>
          <w:color w:val="000000"/>
          <w:kern w:val="0"/>
          <w:sz w:val="24"/>
          <w:szCs w:val="24"/>
          <w:highlight w:val="none"/>
          <w:lang w:eastAsia="zh-CN"/>
        </w:rPr>
        <w:t>因交易中心系统设置原因，综合标需要打分，统一设置5分为合格，0分为不合格。</w:t>
      </w:r>
    </w:p>
    <w:p w14:paraId="4A1D623E">
      <w:pPr>
        <w:pStyle w:val="3"/>
        <w:wordWrap w:val="0"/>
        <w:rPr>
          <w:rFonts w:hint="default" w:ascii="Arial" w:hAnsi="Arial" w:eastAsia="宋体" w:cs="Times New Roman"/>
          <w:b/>
          <w:bCs/>
          <w:kern w:val="2"/>
          <w:szCs w:val="22"/>
          <w:lang w:val="en-US" w:eastAsia="zh-CN"/>
        </w:rPr>
      </w:pPr>
      <w:r>
        <w:rPr>
          <w:rFonts w:hint="eastAsia" w:ascii="Arial" w:hAnsi="Arial" w:eastAsia="宋体" w:cs="Times New Roman"/>
          <w:b/>
          <w:bCs/>
          <w:kern w:val="2"/>
          <w:szCs w:val="22"/>
          <w:lang w:eastAsia="zh-CN"/>
        </w:rPr>
        <w:t>（</w:t>
      </w:r>
      <w:r>
        <w:rPr>
          <w:rFonts w:hint="eastAsia" w:ascii="Arial" w:hAnsi="Arial" w:eastAsia="宋体" w:cs="Times New Roman"/>
          <w:b/>
          <w:bCs/>
          <w:kern w:val="2"/>
          <w:szCs w:val="22"/>
          <w:lang w:val="en-US" w:eastAsia="zh-CN"/>
        </w:rPr>
        <w:t>四</w:t>
      </w:r>
      <w:r>
        <w:rPr>
          <w:rFonts w:hint="eastAsia" w:ascii="Arial" w:hAnsi="Arial" w:eastAsia="宋体" w:cs="Times New Roman"/>
          <w:b/>
          <w:bCs/>
          <w:kern w:val="2"/>
          <w:szCs w:val="22"/>
          <w:lang w:eastAsia="zh-CN"/>
        </w:rPr>
        <w:t>）</w:t>
      </w:r>
      <w:r>
        <w:rPr>
          <w:rFonts w:hint="eastAsia" w:ascii="Arial" w:hAnsi="Arial" w:eastAsia="宋体" w:cs="Times New Roman"/>
          <w:b/>
          <w:bCs/>
          <w:kern w:val="2"/>
          <w:szCs w:val="22"/>
          <w:lang w:val="en-US" w:eastAsia="zh-CN"/>
        </w:rPr>
        <w:t>商务标（投标报价）评审标准</w:t>
      </w:r>
    </w:p>
    <w:tbl>
      <w:tblPr>
        <w:tblStyle w:val="15"/>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569"/>
        <w:gridCol w:w="5221"/>
        <w:gridCol w:w="1748"/>
      </w:tblGrid>
      <w:tr w14:paraId="11CA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noWrap w:val="0"/>
            <w:vAlign w:val="center"/>
          </w:tcPr>
          <w:p w14:paraId="298D9E17">
            <w:pPr>
              <w:keepNext w:val="0"/>
              <w:keepLines w:val="0"/>
              <w:suppressLineNumbers w:val="0"/>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69" w:type="dxa"/>
            <w:noWrap w:val="0"/>
            <w:vAlign w:val="center"/>
          </w:tcPr>
          <w:p w14:paraId="574DBC64">
            <w:pPr>
              <w:keepNext w:val="0"/>
              <w:keepLines w:val="0"/>
              <w:suppressLineNumbers w:val="0"/>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评审项目</w:t>
            </w:r>
          </w:p>
        </w:tc>
        <w:tc>
          <w:tcPr>
            <w:tcW w:w="5221" w:type="dxa"/>
            <w:noWrap w:val="0"/>
            <w:vAlign w:val="center"/>
          </w:tcPr>
          <w:p w14:paraId="51B176EF">
            <w:pPr>
              <w:keepNext w:val="0"/>
              <w:keepLines w:val="0"/>
              <w:suppressLineNumbers w:val="0"/>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1748" w:type="dxa"/>
            <w:noWrap w:val="0"/>
            <w:vAlign w:val="center"/>
          </w:tcPr>
          <w:p w14:paraId="1D91A31C">
            <w:pPr>
              <w:keepNext w:val="0"/>
              <w:keepLines w:val="0"/>
              <w:suppressLineNumbers w:val="0"/>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综合评价等级</w:t>
            </w:r>
          </w:p>
          <w:p w14:paraId="7F989FF0">
            <w:pPr>
              <w:keepNext w:val="0"/>
              <w:keepLines w:val="0"/>
              <w:suppressLineNumbers w:val="0"/>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（合格</w:t>
            </w:r>
            <w:r>
              <w:rPr>
                <w:rFonts w:hint="eastAsia" w:ascii="宋体" w:hAnsi="宋体" w:eastAsia="宋体" w:cs="宋体"/>
                <w:b/>
                <w:color w:val="auto"/>
                <w:sz w:val="21"/>
                <w:szCs w:val="21"/>
                <w:highlight w:val="none"/>
                <w:lang w:val="en-US" w:eastAsia="zh-CN"/>
              </w:rPr>
              <w:t>/不合格）</w:t>
            </w:r>
          </w:p>
        </w:tc>
      </w:tr>
      <w:tr w14:paraId="7219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noWrap w:val="0"/>
            <w:vAlign w:val="center"/>
          </w:tcPr>
          <w:p w14:paraId="7D0B64D0">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1569" w:type="dxa"/>
            <w:noWrap w:val="0"/>
            <w:vAlign w:val="center"/>
          </w:tcPr>
          <w:p w14:paraId="11F6D436">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投标报价</w:t>
            </w:r>
          </w:p>
        </w:tc>
        <w:tc>
          <w:tcPr>
            <w:tcW w:w="5221" w:type="dxa"/>
            <w:noWrap w:val="0"/>
            <w:vAlign w:val="center"/>
          </w:tcPr>
          <w:p w14:paraId="24DD5899">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投标人的投标报价不能超出招标控制价；符合第六章“工程量清单”给出的范围及数量，投标人不得擅自修改工程量清单的工程项目和数量。</w:t>
            </w:r>
          </w:p>
          <w:p w14:paraId="712CE188">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否则不合格。</w:t>
            </w:r>
          </w:p>
        </w:tc>
        <w:tc>
          <w:tcPr>
            <w:tcW w:w="1748" w:type="dxa"/>
            <w:noWrap w:val="0"/>
            <w:vAlign w:val="center"/>
          </w:tcPr>
          <w:p w14:paraId="70C869DE">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rPr>
            </w:pPr>
          </w:p>
        </w:tc>
      </w:tr>
      <w:tr w14:paraId="6F0B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429" w:type="dxa"/>
            <w:gridSpan w:val="4"/>
            <w:noWrap w:val="0"/>
            <w:vAlign w:val="center"/>
          </w:tcPr>
          <w:p w14:paraId="50513C85">
            <w:pPr>
              <w:keepNext w:val="0"/>
              <w:keepLines w:val="0"/>
              <w:suppressLineNumbers w:val="0"/>
              <w:wordWrap w:val="0"/>
              <w:spacing w:before="0" w:beforeAutospacing="0" w:after="0" w:afterAutospacing="0" w:line="360" w:lineRule="auto"/>
              <w:ind w:left="0" w:leftChars="0" w:right="0" w:right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p w14:paraId="256F2B13">
            <w:pPr>
              <w:keepNext w:val="0"/>
              <w:keepLines w:val="0"/>
              <w:suppressLineNumbers w:val="0"/>
              <w:wordWrap w:val="0"/>
              <w:spacing w:before="0" w:beforeAutospacing="0" w:after="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以上评审标准有一项不合格视为整个综合标不合格。</w:t>
            </w:r>
          </w:p>
        </w:tc>
      </w:tr>
    </w:tbl>
    <w:p w14:paraId="76A688D4">
      <w:pPr>
        <w:wordWrap w:val="0"/>
        <w:rPr>
          <w:vanish/>
        </w:rPr>
      </w:pPr>
    </w:p>
    <w:p w14:paraId="45288ED1">
      <w:pPr>
        <w:pStyle w:val="20"/>
        <w:wordWrap w:val="0"/>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备注：</w:t>
      </w:r>
    </w:p>
    <w:p w14:paraId="4B06D31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723" w:firstLineChars="300"/>
        <w:jc w:val="left"/>
        <w:textAlignment w:val="baseline"/>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（1）本表适用于专家独立评审使用；</w:t>
      </w:r>
    </w:p>
    <w:p w14:paraId="0D1B2B6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723" w:firstLineChars="300"/>
        <w:jc w:val="left"/>
        <w:textAlignment w:val="baseline"/>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（2）专家应指出各评审项的优点、存在缺陷或签订合同前应注意和澄清事项；</w:t>
      </w:r>
    </w:p>
    <w:p w14:paraId="1D60432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723" w:firstLineChars="300"/>
        <w:jc w:val="left"/>
        <w:textAlignment w:val="baseline"/>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（3）综合评价等级仅分为合格或不合格两个等级。因交易中心系统设置原因，商务标（投标报价）需要打分，统一设置5分为合格，0分为不合格。</w:t>
      </w:r>
    </w:p>
    <w:p w14:paraId="5030E18B">
      <w:pPr>
        <w:wordWrap w:val="0"/>
        <w:rPr>
          <w:rFonts w:hint="eastAsia" w:ascii="宋体" w:hAnsi="宋体" w:cs="宋体"/>
          <w:b/>
          <w:bCs/>
          <w:color w:val="auto"/>
          <w:sz w:val="28"/>
          <w:szCs w:val="28"/>
          <w:lang w:val="en-US" w:eastAsia="zh-CN"/>
        </w:rPr>
      </w:pPr>
      <w:bookmarkStart w:id="477" w:name="_Toc251767414"/>
      <w:bookmarkStart w:id="478" w:name="_Toc191983639"/>
      <w:bookmarkStart w:id="479" w:name="_Toc27118"/>
      <w:r>
        <w:rPr>
          <w:rFonts w:hint="eastAsia" w:ascii="宋体" w:hAnsi="宋体" w:cs="宋体"/>
          <w:b/>
          <w:bCs/>
          <w:color w:val="auto"/>
          <w:sz w:val="28"/>
          <w:szCs w:val="28"/>
          <w:lang w:val="en-US" w:eastAsia="zh-CN"/>
        </w:rPr>
        <w:br w:type="page"/>
      </w:r>
    </w:p>
    <w:p w14:paraId="600CD4D7">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rPr>
        <w:t>评标方法</w:t>
      </w:r>
      <w:r>
        <w:rPr>
          <w:rFonts w:hint="eastAsia" w:ascii="宋体" w:hAnsi="宋体" w:cs="宋体"/>
          <w:b/>
          <w:bCs/>
          <w:sz w:val="28"/>
          <w:szCs w:val="28"/>
        </w:rPr>
        <w:t>（合格制）</w:t>
      </w:r>
    </w:p>
    <w:bookmarkEnd w:id="477"/>
    <w:bookmarkEnd w:id="478"/>
    <w:bookmarkEnd w:id="479"/>
    <w:p w14:paraId="450ABB47">
      <w:pPr>
        <w:wordWrap w:val="0"/>
        <w:spacing w:line="50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本次评标采用合格制。评标委员会按照招标文件确定的评标标准和方法，客观、公正地对投标文件进行评审和比较，评标方法使用合格制评审，并指出各投标文件中的优点和存在的缺陷等，不对投标文件进行打分，不直接确定中标人，仅向招标人推送一定数量且不排序的合格中标候选人名单。</w:t>
      </w:r>
    </w:p>
    <w:p w14:paraId="0F33F9CD">
      <w:pPr>
        <w:wordWrap w:val="0"/>
        <w:spacing w:line="50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 初步评审标准</w:t>
      </w:r>
    </w:p>
    <w:p w14:paraId="701F0BA5">
      <w:pPr>
        <w:wordWrap w:val="0"/>
        <w:spacing w:line="500" w:lineRule="exact"/>
        <w:ind w:firstLine="480" w:firstLineChars="200"/>
        <w:rPr>
          <w:rFonts w:hint="eastAsia" w:ascii="宋体" w:hAnsi="宋体" w:eastAsia="宋体" w:cs="宋体"/>
          <w:color w:val="auto"/>
          <w:sz w:val="24"/>
          <w:szCs w:val="24"/>
          <w:lang w:val="en-US" w:eastAsia="zh-CN"/>
        </w:rPr>
      </w:pPr>
      <w:bookmarkStart w:id="480" w:name="_Toc565672312"/>
      <w:r>
        <w:rPr>
          <w:rFonts w:hint="eastAsia" w:ascii="宋体" w:hAnsi="宋体" w:eastAsia="宋体" w:cs="宋体"/>
          <w:color w:val="auto"/>
          <w:sz w:val="24"/>
          <w:szCs w:val="24"/>
          <w:lang w:val="en-US" w:eastAsia="zh-CN"/>
        </w:rPr>
        <w:t>2.1.1 形式评审标准：见评标办法（一）；</w:t>
      </w:r>
    </w:p>
    <w:p w14:paraId="5FA20770">
      <w:pPr>
        <w:wordWrap w:val="0"/>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 资格评审标准：见评标办法（一）；</w:t>
      </w:r>
    </w:p>
    <w:p w14:paraId="2062BAF7">
      <w:pPr>
        <w:wordWrap w:val="0"/>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 响应性评审标准：见评标办法（一）；</w:t>
      </w:r>
    </w:p>
    <w:p w14:paraId="1EAB0884">
      <w:pPr>
        <w:wordWrap w:val="0"/>
        <w:spacing w:line="50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2.2 </w:t>
      </w:r>
      <w:bookmarkEnd w:id="480"/>
      <w:r>
        <w:rPr>
          <w:rFonts w:hint="eastAsia" w:ascii="宋体" w:hAnsi="宋体" w:cs="宋体"/>
          <w:color w:val="auto"/>
          <w:sz w:val="24"/>
          <w:szCs w:val="24"/>
          <w:lang w:val="en-US" w:eastAsia="zh-CN"/>
        </w:rPr>
        <w:t xml:space="preserve"> 合格制评审标准</w:t>
      </w:r>
    </w:p>
    <w:p w14:paraId="77065815">
      <w:pPr>
        <w:wordWrap w:val="0"/>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2.2.1 技术标：见“二、技术标评审标</w:t>
      </w:r>
      <w:r>
        <w:rPr>
          <w:rFonts w:hint="eastAsia" w:ascii="宋体" w:hAnsi="宋体" w:eastAsia="宋体" w:cs="宋体"/>
          <w:color w:val="auto"/>
          <w:sz w:val="24"/>
          <w:szCs w:val="24"/>
          <w:lang w:val="en-US" w:eastAsia="zh-CN"/>
        </w:rPr>
        <w:t>准”；</w:t>
      </w:r>
    </w:p>
    <w:p w14:paraId="0ABD82FE">
      <w:pPr>
        <w:wordWrap w:val="0"/>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 综合标：见“三、综合标评审标准”；</w:t>
      </w:r>
    </w:p>
    <w:p w14:paraId="46585A8B">
      <w:pPr>
        <w:wordWrap w:val="0"/>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2.2.3</w:t>
      </w:r>
      <w:r>
        <w:rPr>
          <w:rFonts w:hint="eastAsia" w:ascii="宋体" w:hAnsi="宋体" w:cs="宋体"/>
          <w:color w:val="auto"/>
          <w:sz w:val="24"/>
          <w:szCs w:val="24"/>
          <w:highlight w:val="none"/>
          <w:lang w:val="en-US" w:eastAsia="zh-CN"/>
        </w:rPr>
        <w:t>商务标</w:t>
      </w:r>
      <w:r>
        <w:rPr>
          <w:rFonts w:hint="eastAsia" w:ascii="宋体" w:hAnsi="宋体" w:eastAsia="宋体" w:cs="宋体"/>
          <w:color w:val="auto"/>
          <w:sz w:val="24"/>
          <w:szCs w:val="24"/>
          <w:highlight w:val="none"/>
          <w:lang w:val="en-US" w:eastAsia="zh-CN"/>
        </w:rPr>
        <w:t>：见“四、投标报价评分标准”；</w:t>
      </w:r>
    </w:p>
    <w:p w14:paraId="68C2E42A">
      <w:pPr>
        <w:pStyle w:val="3"/>
        <w:tabs>
          <w:tab w:val="left" w:pos="425"/>
        </w:tabs>
        <w:wordWrap w:val="0"/>
        <w:spacing w:before="0" w:after="0" w:line="500" w:lineRule="exact"/>
        <w:rPr>
          <w:rFonts w:hint="eastAsia" w:ascii="宋体" w:hAnsi="宋体" w:eastAsia="宋体" w:cs="宋体"/>
          <w:b/>
          <w:bCs/>
          <w:color w:val="auto"/>
          <w:sz w:val="28"/>
          <w:szCs w:val="28"/>
        </w:rPr>
      </w:pPr>
      <w:bookmarkStart w:id="481" w:name="_Toc191983640"/>
      <w:bookmarkStart w:id="482" w:name="_Toc32697"/>
      <w:bookmarkStart w:id="483" w:name="_Toc12945"/>
      <w:bookmarkStart w:id="484" w:name="_Toc12521"/>
      <w:bookmarkStart w:id="485" w:name="_Toc32717"/>
      <w:bookmarkStart w:id="486" w:name="_Toc6841"/>
      <w:bookmarkStart w:id="487" w:name="_Toc524622326"/>
      <w:bookmarkStart w:id="488" w:name="_Toc251767415"/>
      <w:bookmarkStart w:id="489" w:name="_Toc23756"/>
      <w:bookmarkStart w:id="490" w:name="_Toc4342"/>
      <w:bookmarkStart w:id="491" w:name="_Toc11960"/>
      <w:bookmarkStart w:id="492" w:name="_Toc15162"/>
      <w:bookmarkStart w:id="493" w:name="_Toc7394"/>
      <w:bookmarkStart w:id="494" w:name="_Toc27895"/>
      <w:bookmarkStart w:id="495" w:name="_Toc31315"/>
      <w:bookmarkStart w:id="496" w:name="_Toc380053216"/>
      <w:bookmarkStart w:id="497" w:name="_Toc528057103"/>
      <w:bookmarkStart w:id="498" w:name="_Toc21299"/>
      <w:bookmarkStart w:id="499" w:name="_Toc528051242"/>
      <w:r>
        <w:rPr>
          <w:rFonts w:hint="eastAsia" w:ascii="宋体" w:hAnsi="宋体" w:eastAsia="宋体" w:cs="宋体"/>
          <w:b/>
          <w:bCs/>
          <w:color w:val="auto"/>
          <w:sz w:val="28"/>
          <w:szCs w:val="28"/>
        </w:rPr>
        <w:t>3.评标程序</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1030337E">
      <w:pPr>
        <w:widowControl/>
        <w:wordWrap w:val="0"/>
        <w:spacing w:line="360" w:lineRule="auto"/>
        <w:ind w:firstLine="482" w:firstLineChars="200"/>
        <w:jc w:val="left"/>
        <w:rPr>
          <w:rFonts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3.1 第一信封初步评审</w:t>
      </w:r>
    </w:p>
    <w:p w14:paraId="3C2C00B3">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3.1.1 评标委员会依据本章第 2.1</w:t>
      </w:r>
      <w:r>
        <w:rPr>
          <w:rFonts w:hint="eastAsia" w:ascii="宋体" w:hAnsi="宋体" w:cs="宋体"/>
          <w:color w:val="000000"/>
          <w:kern w:val="0"/>
          <w:sz w:val="24"/>
          <w:szCs w:val="24"/>
          <w:highlight w:val="none"/>
          <w:lang w:val="en-US" w:eastAsia="zh-CN"/>
        </w:rPr>
        <w:t>.1项、第2.1.2项</w:t>
      </w:r>
      <w:r>
        <w:rPr>
          <w:rFonts w:hint="eastAsia" w:ascii="宋体" w:hAnsi="宋体" w:eastAsia="宋体" w:cs="宋体"/>
          <w:color w:val="000000"/>
          <w:kern w:val="0"/>
          <w:sz w:val="24"/>
          <w:szCs w:val="24"/>
          <w:highlight w:val="none"/>
        </w:rPr>
        <w:t>规定的标准，依据投标人在三门峡市公共资源交易系统上传的投标文件的原件扫描件，以便核验</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 xml:space="preserve">对投标文件商务及技术进行初步评审。有一项不符合评审标准的，评标委员会否决其投标。 </w:t>
      </w:r>
    </w:p>
    <w:p w14:paraId="2B63A640">
      <w:pPr>
        <w:widowControl/>
        <w:wordWrap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3.2 第一信封详细评审 </w:t>
      </w:r>
    </w:p>
    <w:p w14:paraId="72F0FCAB">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评标委员会按本章第 2.2 款规定的量化因素和分值进行</w:t>
      </w:r>
      <w:r>
        <w:rPr>
          <w:rFonts w:hint="eastAsia" w:ascii="宋体" w:hAnsi="宋体" w:eastAsia="宋体" w:cs="宋体"/>
          <w:color w:val="000000"/>
          <w:kern w:val="0"/>
          <w:sz w:val="24"/>
          <w:szCs w:val="24"/>
          <w:highlight w:val="none"/>
          <w:lang w:val="en-US" w:eastAsia="zh-CN"/>
        </w:rPr>
        <w:t>评审</w:t>
      </w:r>
      <w:r>
        <w:rPr>
          <w:rFonts w:hint="eastAsia" w:ascii="宋体" w:hAnsi="宋体" w:eastAsia="宋体" w:cs="宋体"/>
          <w:color w:val="000000"/>
          <w:kern w:val="0"/>
          <w:sz w:val="24"/>
          <w:szCs w:val="24"/>
          <w:highlight w:val="none"/>
        </w:rPr>
        <w:t>。</w:t>
      </w:r>
    </w:p>
    <w:p w14:paraId="002B13CD">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（1）按本章第 2.2规定的评审因素和分值对技术标评审；</w:t>
      </w:r>
    </w:p>
    <w:p w14:paraId="47F29F1F">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（2）按本章第 2.2规定的评审因素和分值对</w:t>
      </w:r>
      <w:r>
        <w:rPr>
          <w:rFonts w:hint="eastAsia" w:ascii="宋体" w:hAnsi="宋体" w:eastAsia="宋体" w:cs="宋体"/>
          <w:color w:val="000000"/>
          <w:kern w:val="0"/>
          <w:sz w:val="24"/>
          <w:szCs w:val="24"/>
          <w:highlight w:val="none"/>
          <w:lang w:val="en-US" w:eastAsia="zh-CN"/>
        </w:rPr>
        <w:t>综合标评审</w:t>
      </w:r>
      <w:r>
        <w:rPr>
          <w:rFonts w:hint="eastAsia" w:ascii="宋体" w:hAnsi="宋体" w:eastAsia="宋体" w:cs="宋体"/>
          <w:color w:val="000000"/>
          <w:kern w:val="0"/>
          <w:sz w:val="24"/>
          <w:szCs w:val="24"/>
          <w:highlight w:val="none"/>
        </w:rPr>
        <w:t xml:space="preserve">； </w:t>
      </w:r>
    </w:p>
    <w:p w14:paraId="7291F93C">
      <w:pPr>
        <w:widowControl/>
        <w:wordWrap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3.3 报价文件开标 </w:t>
      </w:r>
    </w:p>
    <w:p w14:paraId="67CF4613">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lang w:val="en-US" w:eastAsia="zh-CN"/>
        </w:rPr>
        <w:t>第一信封（</w:t>
      </w:r>
      <w:r>
        <w:rPr>
          <w:rFonts w:hint="eastAsia" w:ascii="宋体" w:hAnsi="宋体" w:eastAsia="宋体" w:cs="宋体"/>
          <w:color w:val="000000"/>
          <w:kern w:val="0"/>
          <w:sz w:val="24"/>
          <w:szCs w:val="24"/>
          <w:highlight w:val="none"/>
        </w:rPr>
        <w:t>商务及技术文件</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评审结束后，招标人将按照第二章“投标人须知”第 4.</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款规定的时间和地点对通过</w:t>
      </w:r>
      <w:r>
        <w:rPr>
          <w:rFonts w:hint="eastAsia" w:ascii="宋体" w:hAnsi="宋体" w:eastAsia="宋体" w:cs="宋体"/>
          <w:color w:val="000000"/>
          <w:kern w:val="0"/>
          <w:sz w:val="24"/>
          <w:szCs w:val="24"/>
          <w:highlight w:val="none"/>
          <w:lang w:val="en-US" w:eastAsia="zh-CN"/>
        </w:rPr>
        <w:t>第一信封</w:t>
      </w:r>
      <w:r>
        <w:rPr>
          <w:rFonts w:hint="eastAsia" w:ascii="宋体" w:hAnsi="宋体" w:eastAsia="宋体" w:cs="宋体"/>
          <w:color w:val="000000"/>
          <w:kern w:val="0"/>
          <w:sz w:val="24"/>
          <w:szCs w:val="24"/>
          <w:highlight w:val="none"/>
        </w:rPr>
        <w:t xml:space="preserve">投标文件商务及技术文件评审的投标文件报价文件进行开标。 </w:t>
      </w:r>
    </w:p>
    <w:p w14:paraId="23768DB1">
      <w:pPr>
        <w:widowControl/>
        <w:wordWrap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3.4 第二信封初步评审 </w:t>
      </w:r>
    </w:p>
    <w:p w14:paraId="6CA185EA">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3.4.1评标委员会依据本章第2.1.3项规定的评审标准对投标文件报价文件进行初步评审。有一项不符合评审标准的，评标委员会应否决其投标。 </w:t>
      </w:r>
    </w:p>
    <w:p w14:paraId="615C86FA">
      <w:pPr>
        <w:widowControl/>
        <w:wordWrap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3.5 第二信封详细评审 </w:t>
      </w:r>
    </w:p>
    <w:p w14:paraId="5ECB3A04">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3.5.1 评标委员会按本章第 2.2.</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 xml:space="preserve">规定的评审因素和分值对商务标（投标报价）评审。 </w:t>
      </w:r>
    </w:p>
    <w:p w14:paraId="775FC24E">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3.5.2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 </w:t>
      </w:r>
    </w:p>
    <w:p w14:paraId="13B7123E">
      <w:pPr>
        <w:widowControl/>
        <w:wordWrap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3.6 投标文件相关信息的核查 </w:t>
      </w:r>
    </w:p>
    <w:p w14:paraId="59B79D32">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3.6.1 评标委员会应对在评标过程中发现的投标人与投标人之间、投标人与招标人之间存在的串通投标的情形进行评审和认定。投标人存在串通投标、弄虚作假、行贿等违法行为的，评标委员会应否决其投标。 </w:t>
      </w:r>
    </w:p>
    <w:p w14:paraId="3856BD6F">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（1）有下列情形之一的，属于投标人相互串通投标； </w:t>
      </w:r>
    </w:p>
    <w:p w14:paraId="57E1CE92">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a.投标人之间协商投标报价等投标文件的实质性内容； </w:t>
      </w:r>
    </w:p>
    <w:p w14:paraId="709B1C46">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b.投标人之间约定中标人； </w:t>
      </w:r>
    </w:p>
    <w:p w14:paraId="4627F840">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c.投标人之间约定部分投标人放弃投标或中标； </w:t>
      </w:r>
    </w:p>
    <w:p w14:paraId="648A6DC9">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d.属于同一集团、协会、商会等组织成员的投标人按照该组织要求协同投标； </w:t>
      </w:r>
    </w:p>
    <w:p w14:paraId="15173AD9">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e.投标人之间为谋取中标或排斥特定投标人而采取的其他联合行动。 </w:t>
      </w:r>
    </w:p>
    <w:p w14:paraId="40E5D3A5">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（2）有下列情形之一的，属于投标人相互串通投标； </w:t>
      </w:r>
    </w:p>
    <w:p w14:paraId="0EE9ED14">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a.不同投标人的投标文件由同一单位或个人编制； </w:t>
      </w:r>
    </w:p>
    <w:p w14:paraId="5B59BD01">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b.不同投标人委托同一单位或个人办理投标事宜； </w:t>
      </w:r>
    </w:p>
    <w:p w14:paraId="142ED328">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c.不同投标人的投标文件载明的项目管理成员为同一人； </w:t>
      </w:r>
    </w:p>
    <w:p w14:paraId="408B3DA8">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d.不同投标人的投标文件异常一致或投标报价呈规律性差异； </w:t>
      </w:r>
    </w:p>
    <w:p w14:paraId="603AAD55">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e.不同投标人的投标文件相互混合； </w:t>
      </w:r>
    </w:p>
    <w:p w14:paraId="3562D94C">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f.不同投标人的投标保证金从同一单位或个人的账号转出。 </w:t>
      </w:r>
    </w:p>
    <w:p w14:paraId="1D391809">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（3）有下列情形之一的，属于招标人与投标人相互串通投标； </w:t>
      </w:r>
    </w:p>
    <w:p w14:paraId="6523617A">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a.招标人在开标前开启投标文件并将有关信息泄露给其他投标人； </w:t>
      </w:r>
    </w:p>
    <w:p w14:paraId="74EBB41A">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b.招标人直接或间接向投标人泄露标底、评标委员会成员等信息； </w:t>
      </w:r>
    </w:p>
    <w:p w14:paraId="1454168D">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c.招标人明示或暗示投标人压低或抬高投标报价； </w:t>
      </w:r>
    </w:p>
    <w:p w14:paraId="396CD510">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d.招标人授意投标人撤换、修改投标文件； </w:t>
      </w:r>
    </w:p>
    <w:p w14:paraId="568E302F">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e.招标人明示或暗示投标人为特定投标人中标提供方便； </w:t>
      </w:r>
    </w:p>
    <w:p w14:paraId="35A83BCB">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f.招标人与投标人为谋求特定投标人中标而采取的其他串通行为。 </w:t>
      </w:r>
    </w:p>
    <w:p w14:paraId="7AEE09F4">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（4）投标人有下列情形之一的，属于弄虚作假的行为； </w:t>
      </w:r>
    </w:p>
    <w:p w14:paraId="71E5FB2F">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a.使用通过受让或租借等方式获取的资格、资质证书投标；</w:t>
      </w:r>
    </w:p>
    <w:p w14:paraId="38081D3F">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b.使用伪造、变造的许可证件； </w:t>
      </w:r>
    </w:p>
    <w:p w14:paraId="7D3534CE">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c.提供虚假的财务状况或业绩； </w:t>
      </w:r>
    </w:p>
    <w:p w14:paraId="730D70D5">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d.提供虚假的项目负责人或主要技术人员简历、劳动关系证明； </w:t>
      </w:r>
    </w:p>
    <w:p w14:paraId="7D37E794">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e.提供虚假的信用状况； </w:t>
      </w:r>
    </w:p>
    <w:p w14:paraId="119C48E6">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f.其他弄虚做假的行为。 </w:t>
      </w:r>
    </w:p>
    <w:p w14:paraId="06748A61">
      <w:pPr>
        <w:widowControl/>
        <w:wordWrap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3.7 投标文件的澄清和说明 </w:t>
      </w:r>
    </w:p>
    <w:p w14:paraId="601AC375">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3.7.1 在评标过程中，评标委员会可以要求投标人对所提交投标文件中不明确的内容、明显文字或计算错误进行澄清或说明。评标委员会不接收投标人主动提出的澄清、说明。投标人不按评标委员会要求澄清或说明的，评标委员会应否决其投标。 </w:t>
      </w:r>
    </w:p>
    <w:p w14:paraId="2C4630CB">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3.7.2 澄清、说明不得改变投标文件的范围或改变投标文件的实质性内容（算术性错误修正的除外）。投标人的澄清、说明属于投标文件的组成部分。 </w:t>
      </w:r>
    </w:p>
    <w:p w14:paraId="2FF4F6BF">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3.7.3 评标委员会不得暗示或诱导投标人作出澄清、说明或补正，对投标人提交的澄清、说明或补正有疑问的，可以要求投标人进一步澄清、说明或补正，直至满足评标委员会的要求。 </w:t>
      </w:r>
    </w:p>
    <w:p w14:paraId="1C958B9E">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3.7.4 凡超出招标文件规定的或给发包人带来未曾要求的利益的变化、偏差或其他因素在评标时不予考虑。 </w:t>
      </w:r>
    </w:p>
    <w:p w14:paraId="34F244DD">
      <w:pPr>
        <w:widowControl/>
        <w:wordWrap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3.8 不得否决投标的情形 </w:t>
      </w:r>
    </w:p>
    <w:p w14:paraId="2F0BC08C">
      <w:pPr>
        <w:widowControl/>
        <w:wordWrap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应按照第二章“投标人须知”第</w:t>
      </w:r>
      <w:r>
        <w:rPr>
          <w:rFonts w:hint="eastAsia" w:ascii="宋体" w:hAnsi="宋体" w:eastAsia="宋体" w:cs="宋体"/>
          <w:color w:val="000000"/>
          <w:kern w:val="0"/>
          <w:sz w:val="24"/>
          <w:szCs w:val="24"/>
          <w:highlight w:val="none"/>
          <w:lang w:val="en-US" w:eastAsia="zh-CN"/>
        </w:rPr>
        <w:t>2.6</w:t>
      </w:r>
      <w:r>
        <w:rPr>
          <w:rFonts w:hint="eastAsia" w:ascii="宋体" w:hAnsi="宋体" w:eastAsia="宋体" w:cs="宋体"/>
          <w:color w:val="000000"/>
          <w:kern w:val="0"/>
          <w:sz w:val="24"/>
          <w:szCs w:val="24"/>
          <w:highlight w:val="none"/>
        </w:rPr>
        <w:t xml:space="preserve">项规定的原则处理偏差。 </w:t>
      </w:r>
    </w:p>
    <w:p w14:paraId="3685F216">
      <w:pPr>
        <w:widowControl/>
        <w:wordWrap w:val="0"/>
        <w:spacing w:line="360" w:lineRule="auto"/>
        <w:ind w:firstLine="482" w:firstLineChars="200"/>
        <w:jc w:val="left"/>
        <w:rPr>
          <w:rFonts w:ascii="宋体" w:hAnsi="宋体" w:eastAsia="宋体" w:cs="Times New Roman"/>
          <w:sz w:val="24"/>
          <w:szCs w:val="24"/>
          <w:highlight w:val="none"/>
        </w:rPr>
      </w:pPr>
      <w:r>
        <w:rPr>
          <w:rFonts w:hint="eastAsia" w:ascii="宋体" w:hAnsi="宋体" w:eastAsia="宋体" w:cs="宋体"/>
          <w:b/>
          <w:color w:val="000000"/>
          <w:kern w:val="0"/>
          <w:sz w:val="24"/>
          <w:szCs w:val="24"/>
          <w:highlight w:val="none"/>
        </w:rPr>
        <w:t xml:space="preserve">3.9 评标结果 </w:t>
      </w:r>
    </w:p>
    <w:p w14:paraId="685E0F45">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3.9.1 推荐中标候选人的具体方法及规则：</w:t>
      </w:r>
    </w:p>
    <w:p w14:paraId="1A3D287A">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（1）计算评标基准价C：</w:t>
      </w:r>
    </w:p>
    <w:p w14:paraId="7B8EFE4B">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C=所有评审结论为合格投标人的投标报价的算术平均值（当合格投标人数量＞5时，去掉一个最高报价和一个最低报价后的算术平均值）即为评标基准价（计算结果保留2位小数）</w:t>
      </w:r>
    </w:p>
    <w:p w14:paraId="53AA3270">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（2）确定中标候选人：</w:t>
      </w:r>
    </w:p>
    <w:p w14:paraId="0DFABFEA">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所有评审结论为合格投标人的数量为F，评标委员会对合格投标人的投标报价按由低到高的顺序进行排序，若报价相等，按投标人在开标记录表上的序号由小到大的次序进行排序。</w:t>
      </w:r>
    </w:p>
    <w:p w14:paraId="43551F56">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①当F＜3时，招标人应当重新招标。</w:t>
      </w:r>
    </w:p>
    <w:p w14:paraId="678A3ECB">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②当3≤F≤10时，所有评审结论为合格的投标人全部推荐为中标候选人。</w:t>
      </w:r>
    </w:p>
    <w:p w14:paraId="2CC5E1A4">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③当F＞10时，按所有评审结论为合格投标人的投标报价与评标基准价C的差值进行计算，高于评标基准价C差值的绝对值最小的</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名投标人和低于（或等于）评标基准价C差值的绝对值最小的</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名投标人推荐为中标候选人。</w:t>
      </w:r>
    </w:p>
    <w:p w14:paraId="29996A14">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注：</w:t>
      </w:r>
    </w:p>
    <w:p w14:paraId="1F2B2F5A">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①高于或低于评标基准价C的投标人数量少于应当入围中标候选人数量时，按实际数量入围中标候选人。</w:t>
      </w:r>
    </w:p>
    <w:p w14:paraId="06899E9F">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②若投标人报价出现并列则同时入围中标候选人。</w:t>
      </w:r>
    </w:p>
    <w:p w14:paraId="4E65EC60">
      <w:pPr>
        <w:widowControl/>
        <w:wordWrap w:val="0"/>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 xml:space="preserve">③评标委员会以不标明排序方式向招标人推荐中标候选人。 </w:t>
      </w:r>
    </w:p>
    <w:p w14:paraId="6A1BF4F1">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3.9.2 评标委员会完成评标后，应当向招标人提交书面评标报告。</w:t>
      </w:r>
    </w:p>
    <w:p w14:paraId="37F730CA">
      <w:pPr>
        <w:widowControl/>
        <w:wordWrap w:val="0"/>
        <w:spacing w:line="360" w:lineRule="auto"/>
        <w:ind w:firstLine="480" w:firstLineChars="20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 xml:space="preserve"> 在各评标专家独立对所有投标人评审完成之后，由评标委员会主任组织各成员对各投标人的投标文件进行集体讨论并出具评报报告，评标报告中排名不分先后，评标报告应当载明每个中标候选人的特点、优势、缺点、风险等评审情况和推荐理由，并对技术、质量、安全、工期的控制能力等提供技术咨询建议，供定标委员会参考。</w:t>
      </w:r>
      <w:r>
        <w:rPr>
          <w:rFonts w:hint="eastAsia" w:ascii="宋体" w:hAnsi="宋体" w:eastAsia="宋体" w:cs="宋体"/>
          <w:color w:val="000000"/>
          <w:kern w:val="0"/>
          <w:sz w:val="24"/>
          <w:szCs w:val="24"/>
          <w:highlight w:val="none"/>
          <w:lang w:val="en-US" w:eastAsia="zh-CN"/>
        </w:rPr>
        <w:t>否则无效。</w:t>
      </w:r>
    </w:p>
    <w:p w14:paraId="3097656A">
      <w:pPr>
        <w:widowControl/>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 xml:space="preserve"> 评标委员会在汇总各评标专家意见时，如果有评标专家对汇总意见持保留意见的，则应在评标报告中注明。</w:t>
      </w:r>
    </w:p>
    <w:p w14:paraId="2957DED7">
      <w:pPr>
        <w:wordWrap w:val="0"/>
        <w:spacing w:line="50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 xml:space="preserve"> 投标人综合评价等级为不合格的，仅需指出不合格的具体原因，不必再指出投标文件优点和存在缺陷或签订合同前应注意和澄清的事项。</w:t>
      </w:r>
    </w:p>
    <w:bookmarkEnd w:id="474"/>
    <w:p w14:paraId="5C870AA6">
      <w:pPr>
        <w:wordWrap w:val="0"/>
        <w:autoSpaceDN w:val="0"/>
        <w:spacing w:line="360" w:lineRule="auto"/>
        <w:ind w:firstLine="480" w:firstLineChars="200"/>
        <w:rPr>
          <w:rFonts w:ascii="宋体" w:hAnsi="宋体"/>
          <w:color w:val="auto"/>
          <w:sz w:val="24"/>
          <w:shd w:val="pct10" w:color="auto" w:fill="FFFFFF"/>
        </w:rPr>
      </w:pPr>
    </w:p>
    <w:p w14:paraId="7EF0EAA4">
      <w:pPr>
        <w:widowControl/>
        <w:wordWrap w:val="0"/>
        <w:jc w:val="left"/>
        <w:rPr>
          <w:rFonts w:ascii="宋体" w:hAnsi="宋体" w:cs="宋体"/>
          <w:b/>
          <w:color w:val="auto"/>
          <w:kern w:val="0"/>
          <w:sz w:val="30"/>
          <w:szCs w:val="30"/>
        </w:rPr>
      </w:pPr>
      <w:bookmarkStart w:id="500" w:name="_Toc76460596"/>
    </w:p>
    <w:p w14:paraId="394C7B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bidi w:val="0"/>
        <w:spacing w:before="0" w:beforeAutospacing="0" w:after="0" w:afterAutospacing="0" w:line="15" w:lineRule="atLeast"/>
        <w:ind w:left="0" w:right="0" w:firstLine="0"/>
        <w:jc w:val="center"/>
        <w:rPr>
          <w:rFonts w:hint="default" w:ascii="宋体" w:hAnsi="宋体" w:eastAsia="宋体" w:cs="宋体"/>
          <w:bCs w:val="0"/>
          <w:color w:val="auto"/>
          <w:kern w:val="0"/>
          <w:sz w:val="30"/>
          <w:szCs w:val="30"/>
          <w:lang w:val="en-US" w:eastAsia="zh-CN"/>
        </w:rPr>
      </w:pPr>
      <w:bookmarkStart w:id="501" w:name="_Toc83750142"/>
      <w:r>
        <w:rPr>
          <w:rFonts w:ascii="宋体" w:hAnsi="宋体" w:cs="宋体"/>
          <w:bCs w:val="0"/>
          <w:color w:val="auto"/>
          <w:kern w:val="0"/>
          <w:sz w:val="30"/>
          <w:szCs w:val="30"/>
        </w:rPr>
        <w:br w:type="page"/>
      </w:r>
      <w:bookmarkStart w:id="502" w:name="_Toc180485653"/>
      <w:r>
        <w:rPr>
          <w:rFonts w:hint="eastAsia" w:ascii="宋体" w:hAnsi="宋体" w:cs="宋体"/>
          <w:b/>
          <w:bCs/>
          <w:color w:val="auto"/>
          <w:kern w:val="0"/>
          <w:sz w:val="30"/>
          <w:szCs w:val="30"/>
        </w:rPr>
        <w:t>第四章</w:t>
      </w:r>
      <w:r>
        <w:rPr>
          <w:rFonts w:hint="eastAsia" w:ascii="宋体" w:hAnsi="宋体" w:cs="宋体"/>
          <w:b/>
          <w:bCs/>
          <w:color w:val="auto"/>
          <w:kern w:val="0"/>
          <w:sz w:val="30"/>
          <w:szCs w:val="30"/>
          <w:lang w:val="en-US" w:eastAsia="zh-CN"/>
        </w:rPr>
        <w:t xml:space="preserve"> 定标方法</w:t>
      </w:r>
    </w:p>
    <w:p w14:paraId="1374799C">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宋体" w:hAnsi="宋体" w:cs="宋体"/>
          <w:b/>
          <w:bCs/>
          <w:color w:val="auto"/>
          <w:kern w:val="0"/>
          <w:sz w:val="24"/>
        </w:rPr>
      </w:pPr>
      <w:r>
        <w:rPr>
          <w:rFonts w:hint="default" w:ascii="宋体" w:hAnsi="宋体" w:cs="宋体"/>
          <w:b/>
          <w:bCs/>
          <w:color w:val="auto"/>
          <w:kern w:val="0"/>
          <w:sz w:val="24"/>
          <w:lang w:val="en-US" w:eastAsia="zh-CN"/>
        </w:rPr>
        <w:t>1、定标依据</w:t>
      </w:r>
    </w:p>
    <w:p w14:paraId="4B9D3E4B">
      <w:pPr>
        <w:spacing w:line="440" w:lineRule="exact"/>
        <w:ind w:firstLine="480" w:firstLineChars="200"/>
        <w:rPr>
          <w:rFonts w:ascii="宋体" w:hAnsi="宋体" w:cs="宋体"/>
          <w:sz w:val="24"/>
        </w:rPr>
      </w:pPr>
      <w:r>
        <w:rPr>
          <w:rFonts w:hint="eastAsia" w:ascii="宋体" w:hAnsi="宋体" w:cs="宋体"/>
          <w:sz w:val="24"/>
        </w:rPr>
        <w:t>本次定标办法的制定依据下列文件进行：</w:t>
      </w:r>
    </w:p>
    <w:p w14:paraId="2BA19F69">
      <w:pPr>
        <w:spacing w:line="440" w:lineRule="exact"/>
        <w:ind w:firstLine="480" w:firstLineChars="200"/>
        <w:rPr>
          <w:rFonts w:hint="eastAsia" w:ascii="宋体" w:hAnsi="宋体" w:cs="宋体"/>
          <w:sz w:val="24"/>
        </w:rPr>
      </w:pPr>
      <w:r>
        <w:rPr>
          <w:rFonts w:hint="eastAsia" w:ascii="宋体" w:hAnsi="宋体" w:cs="宋体"/>
          <w:sz w:val="24"/>
        </w:rPr>
        <w:t>（1）《中华人民共和国招标投标法》；</w:t>
      </w:r>
    </w:p>
    <w:p w14:paraId="55599758">
      <w:pPr>
        <w:spacing w:line="440" w:lineRule="exact"/>
        <w:ind w:firstLine="480" w:firstLineChars="200"/>
        <w:rPr>
          <w:rFonts w:hint="eastAsia" w:ascii="宋体" w:hAnsi="宋体" w:cs="宋体"/>
          <w:sz w:val="24"/>
        </w:rPr>
      </w:pPr>
      <w:r>
        <w:rPr>
          <w:rFonts w:hint="eastAsia" w:ascii="宋体" w:hAnsi="宋体" w:cs="宋体"/>
          <w:sz w:val="24"/>
        </w:rPr>
        <w:t>（2）《国务院办公厅关于创新完善体制机制推动招标投标市场规范健康发展的意见》（国办发〔2024〕21号）；</w:t>
      </w:r>
    </w:p>
    <w:p w14:paraId="33CDCD51">
      <w:pPr>
        <w:spacing w:line="440" w:lineRule="exact"/>
        <w:ind w:firstLine="480" w:firstLineChars="200"/>
        <w:rPr>
          <w:rFonts w:hint="eastAsia" w:ascii="宋体" w:hAnsi="宋体" w:cs="宋体"/>
          <w:sz w:val="24"/>
        </w:rPr>
      </w:pPr>
      <w:r>
        <w:rPr>
          <w:rFonts w:hint="eastAsia" w:ascii="宋体" w:hAnsi="宋体" w:cs="宋体"/>
          <w:sz w:val="24"/>
        </w:rPr>
        <w:t>（3）《河南省政府投资工程建设项目招标投标“评定分离”管理办法（试行）》（豫发改公管规〔2025〕559号）；</w:t>
      </w:r>
    </w:p>
    <w:p w14:paraId="18F968BD">
      <w:pPr>
        <w:spacing w:line="440" w:lineRule="exact"/>
        <w:ind w:firstLine="480" w:firstLineChars="200"/>
        <w:rPr>
          <w:rFonts w:ascii="宋体" w:hAnsi="宋体" w:cs="宋体"/>
          <w:sz w:val="24"/>
        </w:rPr>
      </w:pPr>
      <w:r>
        <w:rPr>
          <w:rFonts w:hint="eastAsia" w:ascii="宋体" w:hAnsi="宋体" w:cs="宋体"/>
          <w:sz w:val="24"/>
        </w:rPr>
        <w:t>（4）本项目招标文件及招标投标全过程资料；</w:t>
      </w:r>
    </w:p>
    <w:p w14:paraId="7C9A4269">
      <w:pPr>
        <w:spacing w:line="440" w:lineRule="exact"/>
        <w:ind w:firstLine="480" w:firstLineChars="200"/>
        <w:rPr>
          <w:rFonts w:ascii="宋体" w:hAnsi="宋体" w:cs="宋体"/>
          <w:sz w:val="24"/>
        </w:rPr>
      </w:pPr>
      <w:r>
        <w:rPr>
          <w:rFonts w:hint="eastAsia" w:ascii="宋体" w:hAnsi="宋体" w:cs="宋体"/>
          <w:sz w:val="24"/>
        </w:rPr>
        <w:t>（5）评标委员会推荐的合格中标候选人名单；</w:t>
      </w:r>
    </w:p>
    <w:p w14:paraId="573E6190">
      <w:pPr>
        <w:spacing w:line="440" w:lineRule="exact"/>
        <w:ind w:firstLine="480" w:firstLineChars="200"/>
        <w:rPr>
          <w:rFonts w:ascii="宋体" w:hAnsi="宋体" w:cs="宋体"/>
          <w:sz w:val="24"/>
        </w:rPr>
      </w:pPr>
      <w:r>
        <w:rPr>
          <w:rFonts w:hint="eastAsia" w:ascii="宋体" w:hAnsi="宋体" w:cs="宋体"/>
          <w:sz w:val="24"/>
        </w:rPr>
        <w:t>（6）其他有关法律法规和相关制度。</w:t>
      </w:r>
    </w:p>
    <w:p w14:paraId="6E2CBF7A">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宋体" w:hAnsi="宋体" w:cs="宋体"/>
          <w:b/>
          <w:bCs/>
          <w:color w:val="auto"/>
          <w:kern w:val="0"/>
          <w:sz w:val="24"/>
          <w:lang w:val="en-US" w:eastAsia="zh-CN"/>
        </w:rPr>
      </w:pPr>
      <w:r>
        <w:rPr>
          <w:rFonts w:hint="default" w:ascii="宋体" w:hAnsi="宋体" w:cs="宋体"/>
          <w:b/>
          <w:bCs/>
          <w:color w:val="auto"/>
          <w:kern w:val="0"/>
          <w:sz w:val="24"/>
          <w:lang w:val="en-US" w:eastAsia="zh-CN"/>
        </w:rPr>
        <w:t>2、定标原则</w:t>
      </w:r>
    </w:p>
    <w:p w14:paraId="0562BA25">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宋体" w:hAnsi="宋体" w:cs="宋体"/>
          <w:color w:val="auto"/>
          <w:kern w:val="0"/>
          <w:sz w:val="24"/>
        </w:rPr>
      </w:pPr>
      <w:r>
        <w:rPr>
          <w:rFonts w:hint="default" w:ascii="宋体" w:hAnsi="宋体" w:cs="宋体"/>
          <w:color w:val="auto"/>
          <w:kern w:val="0"/>
          <w:sz w:val="24"/>
          <w:lang w:val="en-US" w:eastAsia="zh-CN"/>
        </w:rPr>
        <w:t>定标应当公开透明、择优竞争、科学规范、廉洁高效的原则。</w:t>
      </w:r>
    </w:p>
    <w:p w14:paraId="7F524D7E">
      <w:pPr>
        <w:keepNext w:val="0"/>
        <w:keepLines w:val="0"/>
        <w:pageBreakBefore w:val="0"/>
        <w:widowControl/>
        <w:numPr>
          <w:ilvl w:val="0"/>
          <w:numId w:val="2"/>
        </w:numPr>
        <w:kinsoku/>
        <w:wordWrap w:val="0"/>
        <w:overflowPunct/>
        <w:topLinePunct w:val="0"/>
        <w:autoSpaceDE/>
        <w:autoSpaceDN/>
        <w:bidi w:val="0"/>
        <w:adjustRightInd/>
        <w:snapToGrid/>
        <w:spacing w:line="560" w:lineRule="exact"/>
        <w:jc w:val="left"/>
        <w:textAlignment w:val="auto"/>
        <w:rPr>
          <w:rFonts w:hint="default" w:ascii="宋体" w:hAnsi="宋体" w:cs="宋体"/>
          <w:b/>
          <w:bCs/>
          <w:color w:val="auto"/>
          <w:kern w:val="0"/>
          <w:sz w:val="24"/>
          <w:lang w:val="en-US" w:eastAsia="zh-CN"/>
        </w:rPr>
      </w:pPr>
      <w:r>
        <w:rPr>
          <w:rFonts w:hint="default" w:ascii="宋体" w:hAnsi="宋体" w:cs="宋体"/>
          <w:b/>
          <w:bCs/>
          <w:color w:val="auto"/>
          <w:kern w:val="0"/>
          <w:sz w:val="24"/>
          <w:lang w:val="en-US" w:eastAsia="zh-CN"/>
        </w:rPr>
        <w:t>定标方法</w:t>
      </w:r>
    </w:p>
    <w:p w14:paraId="7A47E5DF">
      <w:pPr>
        <w:spacing w:line="440" w:lineRule="exact"/>
        <w:ind w:firstLine="480" w:firstLineChars="200"/>
        <w:jc w:val="left"/>
        <w:rPr>
          <w:rFonts w:hint="eastAsia" w:ascii="宋体" w:hAnsi="宋体" w:cs="宋体"/>
          <w:color w:val="000000"/>
          <w:sz w:val="24"/>
        </w:rPr>
      </w:pPr>
      <w:r>
        <w:rPr>
          <w:rFonts w:hint="eastAsia" w:ascii="宋体" w:hAnsi="宋体" w:cs="宋体"/>
          <w:color w:val="000000"/>
          <w:sz w:val="24"/>
        </w:rPr>
        <w:t>本项目</w:t>
      </w:r>
      <w:r>
        <w:rPr>
          <w:rFonts w:hint="eastAsia" w:ascii="宋体" w:hAnsi="宋体" w:cs="宋体"/>
          <w:b/>
          <w:color w:val="000000"/>
          <w:sz w:val="24"/>
        </w:rPr>
        <w:t>采用</w:t>
      </w:r>
      <w:r>
        <w:rPr>
          <w:rFonts w:hint="eastAsia" w:ascii="宋体" w:hAnsi="宋体" w:cs="宋体"/>
          <w:b/>
          <w:bCs/>
          <w:color w:val="000000"/>
          <w:sz w:val="24"/>
        </w:rPr>
        <w:t>核查随机法</w:t>
      </w:r>
      <w:r>
        <w:rPr>
          <w:rFonts w:hint="eastAsia" w:ascii="宋体" w:hAnsi="宋体" w:cs="宋体"/>
          <w:color w:val="000000"/>
          <w:sz w:val="24"/>
        </w:rPr>
        <w:t>进行定标。</w:t>
      </w:r>
    </w:p>
    <w:p w14:paraId="4A187918">
      <w:pPr>
        <w:spacing w:line="360" w:lineRule="auto"/>
        <w:ind w:firstLine="482" w:firstLineChars="200"/>
        <w:jc w:val="left"/>
        <w:rPr>
          <w:rFonts w:ascii="宋体" w:hAnsi="宋体" w:cs="宋体"/>
          <w:sz w:val="24"/>
        </w:rPr>
      </w:pPr>
      <w:r>
        <w:rPr>
          <w:rFonts w:ascii="宋体" w:hAnsi="宋体" w:cs="宋体"/>
          <w:b/>
          <w:bCs/>
          <w:sz w:val="24"/>
          <w:szCs w:val="24"/>
        </w:rPr>
        <w:t>定标地点为</w:t>
      </w:r>
      <w:r>
        <w:rPr>
          <w:rFonts w:hint="eastAsia" w:ascii="宋体" w:hAnsi="宋体" w:cs="宋体"/>
          <w:b/>
          <w:bCs/>
          <w:sz w:val="24"/>
          <w:szCs w:val="24"/>
          <w:lang w:val="en-US" w:eastAsia="zh-CN"/>
        </w:rPr>
        <w:t>卢氏县</w:t>
      </w:r>
      <w:r>
        <w:rPr>
          <w:rFonts w:ascii="宋体" w:hAnsi="宋体" w:cs="宋体"/>
          <w:b/>
          <w:bCs/>
          <w:sz w:val="24"/>
          <w:szCs w:val="24"/>
        </w:rPr>
        <w:t>公共资源交易中心，定标时间及具体地点由招标代理机构以</w:t>
      </w:r>
      <w:r>
        <w:rPr>
          <w:rFonts w:hint="eastAsia" w:ascii="宋体" w:hAnsi="宋体" w:cs="宋体"/>
          <w:b/>
          <w:bCs/>
          <w:sz w:val="24"/>
          <w:szCs w:val="24"/>
        </w:rPr>
        <w:t>电话、短信、</w:t>
      </w:r>
      <w:r>
        <w:rPr>
          <w:rFonts w:ascii="宋体" w:hAnsi="宋体" w:cs="宋体"/>
          <w:b/>
          <w:bCs/>
          <w:sz w:val="24"/>
          <w:szCs w:val="24"/>
        </w:rPr>
        <w:t>邮件</w:t>
      </w:r>
      <w:r>
        <w:rPr>
          <w:rFonts w:hint="eastAsia" w:ascii="宋体" w:hAnsi="宋体" w:cs="宋体"/>
          <w:b/>
          <w:bCs/>
          <w:sz w:val="24"/>
          <w:szCs w:val="24"/>
        </w:rPr>
        <w:t>等</w:t>
      </w:r>
      <w:r>
        <w:rPr>
          <w:rFonts w:ascii="宋体" w:hAnsi="宋体" w:cs="宋体"/>
          <w:b/>
          <w:bCs/>
          <w:sz w:val="24"/>
          <w:szCs w:val="24"/>
        </w:rPr>
        <w:t>方式通知所有通过核查的中标候选人，中标候选人需要通过</w:t>
      </w:r>
      <w:r>
        <w:rPr>
          <w:rFonts w:hint="eastAsia" w:ascii="宋体" w:hAnsi="宋体" w:cs="宋体"/>
          <w:b/>
          <w:bCs/>
          <w:sz w:val="24"/>
          <w:szCs w:val="24"/>
        </w:rPr>
        <w:t>电话、短信、</w:t>
      </w:r>
      <w:r>
        <w:rPr>
          <w:rFonts w:ascii="宋体" w:hAnsi="宋体" w:cs="宋体"/>
          <w:b/>
          <w:bCs/>
          <w:sz w:val="24"/>
          <w:szCs w:val="24"/>
        </w:rPr>
        <w:t>邮件</w:t>
      </w:r>
      <w:r>
        <w:rPr>
          <w:rFonts w:hint="eastAsia" w:ascii="宋体" w:hAnsi="宋体" w:cs="宋体"/>
          <w:b/>
          <w:bCs/>
          <w:sz w:val="24"/>
          <w:szCs w:val="24"/>
        </w:rPr>
        <w:t>等</w:t>
      </w:r>
      <w:r>
        <w:rPr>
          <w:rFonts w:ascii="宋体" w:hAnsi="宋体" w:cs="宋体"/>
          <w:b/>
          <w:bCs/>
          <w:sz w:val="24"/>
          <w:szCs w:val="24"/>
        </w:rPr>
        <w:t>方式确定是否参与定标会议</w:t>
      </w:r>
      <w:r>
        <w:rPr>
          <w:rFonts w:hint="eastAsia" w:ascii="宋体" w:hAnsi="宋体" w:cs="宋体"/>
          <w:b/>
          <w:bCs/>
          <w:sz w:val="24"/>
          <w:szCs w:val="24"/>
        </w:rPr>
        <w:t>；</w:t>
      </w:r>
      <w:r>
        <w:rPr>
          <w:rFonts w:ascii="宋体" w:hAnsi="宋体" w:cs="宋体"/>
          <w:b/>
          <w:bCs/>
          <w:sz w:val="24"/>
          <w:szCs w:val="24"/>
        </w:rPr>
        <w:t>中标候选人不得扰乱会场秩序或做出影响定标会议正常进行的其他行为。逾期未回复</w:t>
      </w:r>
      <w:r>
        <w:rPr>
          <w:rFonts w:hint="eastAsia" w:ascii="宋体" w:hAnsi="宋体" w:cs="宋体"/>
          <w:b/>
          <w:bCs/>
          <w:sz w:val="24"/>
          <w:szCs w:val="24"/>
        </w:rPr>
        <w:t>电话、短信、</w:t>
      </w:r>
      <w:r>
        <w:rPr>
          <w:rFonts w:ascii="宋体" w:hAnsi="宋体" w:cs="宋体"/>
          <w:b/>
          <w:bCs/>
          <w:sz w:val="24"/>
          <w:szCs w:val="24"/>
        </w:rPr>
        <w:t>邮件、</w:t>
      </w:r>
      <w:r>
        <w:rPr>
          <w:rFonts w:hint="eastAsia" w:ascii="宋体" w:hAnsi="宋体" w:cs="宋体"/>
          <w:b/>
          <w:bCs/>
          <w:sz w:val="24"/>
          <w:szCs w:val="24"/>
        </w:rPr>
        <w:t>且</w:t>
      </w:r>
      <w:r>
        <w:rPr>
          <w:rFonts w:ascii="宋体" w:hAnsi="宋体" w:cs="宋体"/>
          <w:b/>
          <w:bCs/>
          <w:sz w:val="24"/>
          <w:szCs w:val="24"/>
        </w:rPr>
        <w:t>未</w:t>
      </w:r>
      <w:r>
        <w:rPr>
          <w:rFonts w:hint="eastAsia" w:ascii="宋体" w:hAnsi="宋体" w:cs="宋体"/>
          <w:b/>
          <w:bCs/>
          <w:color w:val="000000"/>
          <w:sz w:val="24"/>
          <w:szCs w:val="24"/>
        </w:rPr>
        <w:t>按时</w:t>
      </w:r>
      <w:r>
        <w:rPr>
          <w:rFonts w:ascii="宋体" w:hAnsi="宋体" w:cs="宋体"/>
          <w:b/>
          <w:bCs/>
          <w:sz w:val="24"/>
          <w:szCs w:val="24"/>
        </w:rPr>
        <w:t>到现场参与定标会议的中标候选人默认认可所有定标过程，招标人不接受未到现场参会的中标候选人对抽取过程提出的异议。</w:t>
      </w:r>
    </w:p>
    <w:p w14:paraId="56D15BAB">
      <w:pPr>
        <w:spacing w:line="440" w:lineRule="exact"/>
        <w:ind w:firstLine="482" w:firstLineChars="200"/>
        <w:rPr>
          <w:rFonts w:hint="eastAsia" w:ascii="宋体" w:hAnsi="宋体" w:cs="宋体"/>
          <w:color w:val="000000"/>
          <w:sz w:val="24"/>
          <w:szCs w:val="22"/>
        </w:rPr>
      </w:pPr>
      <w:r>
        <w:rPr>
          <w:rFonts w:ascii="宋体" w:hAnsi="宋体" w:cs="宋体"/>
          <w:b/>
          <w:bCs/>
          <w:sz w:val="24"/>
          <w:szCs w:val="24"/>
        </w:rPr>
        <w:t>鼓励中标候选人的法定代表人或其委托代理人现场参加定标会议。通过核查的中标候选人(法定代表人或委托代理人)在规定的时间、地点到达现场参与定标会议(法定代表人需提供法定代表人身份证明</w:t>
      </w:r>
      <w:r>
        <w:rPr>
          <w:rFonts w:hint="eastAsia" w:ascii="宋体" w:hAnsi="宋体" w:cs="宋体"/>
          <w:b/>
          <w:bCs/>
          <w:sz w:val="24"/>
          <w:szCs w:val="24"/>
        </w:rPr>
        <w:t>及身份证原件</w:t>
      </w:r>
      <w:r>
        <w:rPr>
          <w:rFonts w:ascii="宋体" w:hAnsi="宋体" w:cs="宋体"/>
          <w:b/>
          <w:bCs/>
          <w:sz w:val="24"/>
          <w:szCs w:val="24"/>
        </w:rPr>
        <w:t>，委托代理人需提供授权委托书</w:t>
      </w:r>
      <w:r>
        <w:rPr>
          <w:rFonts w:hint="eastAsia" w:ascii="宋体" w:hAnsi="宋体" w:cs="宋体"/>
          <w:b/>
          <w:bCs/>
          <w:sz w:val="24"/>
          <w:szCs w:val="24"/>
        </w:rPr>
        <w:t>及身份证原件</w:t>
      </w:r>
      <w:r>
        <w:rPr>
          <w:rFonts w:ascii="宋体" w:hAnsi="宋体" w:cs="宋体"/>
          <w:b/>
          <w:bCs/>
          <w:sz w:val="24"/>
          <w:szCs w:val="24"/>
        </w:rPr>
        <w:t>)，</w:t>
      </w:r>
      <w:r>
        <w:rPr>
          <w:rFonts w:hint="eastAsia" w:ascii="宋体" w:hAnsi="宋体" w:cs="宋体"/>
          <w:b/>
          <w:bCs/>
          <w:sz w:val="24"/>
          <w:szCs w:val="24"/>
        </w:rPr>
        <w:t>未到场的中标候选人需出具委托定标委员会成员代为抽取代码球的授权委托书。</w:t>
      </w:r>
      <w:r>
        <w:rPr>
          <w:rFonts w:ascii="宋体" w:hAnsi="宋体" w:cs="宋体"/>
          <w:b/>
          <w:bCs/>
          <w:sz w:val="24"/>
          <w:szCs w:val="24"/>
        </w:rPr>
        <w:t>中标候选人根据自身情况按需参会。</w:t>
      </w:r>
    </w:p>
    <w:p w14:paraId="6B0DDD16">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宋体" w:hAnsi="宋体" w:cs="宋体"/>
          <w:b/>
          <w:bCs/>
          <w:color w:val="auto"/>
          <w:kern w:val="0"/>
          <w:sz w:val="24"/>
          <w:lang w:val="en-US" w:eastAsia="zh-CN"/>
        </w:rPr>
      </w:pPr>
      <w:r>
        <w:rPr>
          <w:rFonts w:hint="eastAsia" w:ascii="宋体" w:hAnsi="宋体" w:cs="宋体"/>
          <w:b/>
          <w:bCs/>
          <w:color w:val="auto"/>
          <w:kern w:val="0"/>
          <w:sz w:val="24"/>
          <w:lang w:val="en-US" w:eastAsia="zh-CN"/>
        </w:rPr>
        <w:t>4、</w:t>
      </w:r>
      <w:r>
        <w:rPr>
          <w:rFonts w:hint="default" w:ascii="宋体" w:hAnsi="宋体" w:cs="宋体"/>
          <w:b/>
          <w:bCs/>
          <w:color w:val="auto"/>
          <w:kern w:val="0"/>
          <w:sz w:val="24"/>
          <w:lang w:val="en-US" w:eastAsia="zh-CN"/>
        </w:rPr>
        <w:t>定标委员会的组建</w:t>
      </w:r>
    </w:p>
    <w:p w14:paraId="541621D0">
      <w:pPr>
        <w:spacing w:line="440" w:lineRule="exact"/>
        <w:ind w:firstLine="480" w:firstLineChars="200"/>
        <w:jc w:val="left"/>
        <w:rPr>
          <w:rFonts w:ascii="宋体" w:hAnsi="宋体" w:cs="宋体"/>
          <w:sz w:val="24"/>
        </w:rPr>
      </w:pPr>
      <w:r>
        <w:rPr>
          <w:rFonts w:hint="eastAsia" w:ascii="宋体" w:hAnsi="宋体" w:cs="宋体"/>
          <w:sz w:val="24"/>
        </w:rPr>
        <w:t>招标人应当组建定标委员会，负责对中标候选人进行核查和组织召开定标会议等内容。定标工作应当由定标委员会独立完成。</w:t>
      </w:r>
    </w:p>
    <w:p w14:paraId="3209E5AF">
      <w:pPr>
        <w:spacing w:line="440" w:lineRule="exact"/>
        <w:ind w:firstLine="480" w:firstLineChars="200"/>
        <w:jc w:val="left"/>
        <w:rPr>
          <w:rFonts w:ascii="宋体" w:hAnsi="宋体" w:cs="宋体"/>
          <w:sz w:val="24"/>
        </w:rPr>
      </w:pPr>
      <w:r>
        <w:rPr>
          <w:rFonts w:hint="eastAsia" w:ascii="宋体" w:hAnsi="宋体" w:cs="宋体"/>
          <w:sz w:val="24"/>
        </w:rPr>
        <w:t>定标委员会成员数量为7人，本单位成员不得低于成员总数的三分之二。定标委员会组长由招标人确定，原则上由招标人的法定代表人、主要负责人或分管负责人担任，其他成员由招标人自行选定。</w:t>
      </w:r>
    </w:p>
    <w:p w14:paraId="77A380E2">
      <w:pPr>
        <w:keepNext w:val="0"/>
        <w:keepLines w:val="0"/>
        <w:pageBreakBefore w:val="0"/>
        <w:widowControl/>
        <w:kinsoku/>
        <w:wordWrap w:val="0"/>
        <w:overflowPunct/>
        <w:topLinePunct w:val="0"/>
        <w:autoSpaceDE/>
        <w:autoSpaceDN/>
        <w:bidi w:val="0"/>
        <w:adjustRightInd/>
        <w:snapToGrid/>
        <w:spacing w:line="560" w:lineRule="exact"/>
        <w:ind w:firstLine="480" w:firstLineChars="200"/>
        <w:jc w:val="left"/>
        <w:textAlignment w:val="auto"/>
        <w:rPr>
          <w:rFonts w:hint="eastAsia" w:ascii="宋体" w:hAnsi="宋体" w:cs="宋体"/>
          <w:sz w:val="24"/>
        </w:rPr>
      </w:pPr>
      <w:r>
        <w:rPr>
          <w:rFonts w:hint="eastAsia" w:ascii="宋体" w:hAnsi="宋体" w:cs="宋体"/>
          <w:sz w:val="24"/>
        </w:rPr>
        <w:t>定标委员会成员与中标候选人有利害关系的应当主动申请回避。</w:t>
      </w:r>
    </w:p>
    <w:p w14:paraId="393D224B">
      <w:pPr>
        <w:keepNext w:val="0"/>
        <w:keepLines w:val="0"/>
        <w:pageBreakBefore w:val="0"/>
        <w:widowControl/>
        <w:kinsoku/>
        <w:wordWrap w:val="0"/>
        <w:overflowPunct/>
        <w:topLinePunct w:val="0"/>
        <w:autoSpaceDE/>
        <w:autoSpaceDN/>
        <w:bidi w:val="0"/>
        <w:adjustRightInd/>
        <w:snapToGrid/>
        <w:spacing w:line="560" w:lineRule="exact"/>
        <w:ind w:firstLine="482" w:firstLineChars="200"/>
        <w:jc w:val="left"/>
        <w:textAlignment w:val="auto"/>
        <w:rPr>
          <w:rFonts w:hint="default" w:ascii="宋体" w:hAnsi="宋体" w:cs="宋体"/>
          <w:b/>
          <w:bCs/>
          <w:color w:val="auto"/>
          <w:kern w:val="0"/>
          <w:sz w:val="24"/>
        </w:rPr>
      </w:pPr>
      <w:r>
        <w:rPr>
          <w:rFonts w:hint="default" w:ascii="宋体" w:hAnsi="宋体" w:cs="宋体"/>
          <w:b/>
          <w:bCs/>
          <w:color w:val="auto"/>
          <w:kern w:val="0"/>
          <w:sz w:val="24"/>
          <w:lang w:val="en-US" w:eastAsia="zh-CN"/>
        </w:rPr>
        <w:t>5、定标核查内容</w:t>
      </w:r>
    </w:p>
    <w:p w14:paraId="0F0C280F">
      <w:pPr>
        <w:keepNext w:val="0"/>
        <w:keepLines w:val="0"/>
        <w:pageBreakBefore w:val="0"/>
        <w:widowControl/>
        <w:kinsoku/>
        <w:wordWrap w:val="0"/>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在定标会议前，由招标人组织成立核查小组对中标候选人进行核查，核查小组成员由招标人确定。</w:t>
      </w:r>
    </w:p>
    <w:p w14:paraId="0E55FCB0">
      <w:pPr>
        <w:keepNext w:val="0"/>
        <w:keepLines w:val="0"/>
        <w:pageBreakBefore w:val="0"/>
        <w:widowControl/>
        <w:kinsoku/>
        <w:wordWrap w:val="0"/>
        <w:overflowPunct/>
        <w:topLinePunct w:val="0"/>
        <w:autoSpaceDE/>
        <w:autoSpaceDN/>
        <w:bidi w:val="0"/>
        <w:adjustRightInd/>
        <w:snapToGrid/>
        <w:spacing w:line="560" w:lineRule="exact"/>
        <w:ind w:firstLine="482" w:firstLineChars="200"/>
        <w:jc w:val="left"/>
        <w:textAlignment w:val="auto"/>
        <w:rPr>
          <w:rFonts w:hint="eastAsia" w:ascii="宋体" w:hAnsi="宋体" w:cs="宋体"/>
          <w:color w:val="auto"/>
          <w:kern w:val="0"/>
          <w:sz w:val="24"/>
          <w:lang w:val="en-US" w:eastAsia="zh-CN"/>
        </w:rPr>
      </w:pPr>
      <w:r>
        <w:rPr>
          <w:rFonts w:hint="eastAsia" w:ascii="宋体" w:hAnsi="宋体" w:cs="宋体"/>
          <w:b/>
          <w:bCs/>
          <w:color w:val="auto"/>
          <w:kern w:val="0"/>
          <w:sz w:val="24"/>
          <w:lang w:val="en-US" w:eastAsia="zh-CN"/>
        </w:rPr>
        <w:t>核查组织形式：</w:t>
      </w:r>
      <w:r>
        <w:rPr>
          <w:rFonts w:hint="eastAsia" w:ascii="宋体" w:hAnsi="宋体" w:cs="宋体"/>
          <w:color w:val="auto"/>
          <w:kern w:val="0"/>
          <w:sz w:val="24"/>
          <w:lang w:val="en-US" w:eastAsia="zh-CN"/>
        </w:rPr>
        <w:t>在定标会议前，由招标人组织成立定标委员会对中标候选人进行核查。核查小组成员由招标人确定，核查小组成员根据对各中标候选人的投标文件内容进行核查，并形成核查报告，核查报告在定标会议召开前应当保密。</w:t>
      </w:r>
    </w:p>
    <w:p w14:paraId="15A4B7EF">
      <w:pPr>
        <w:keepNext w:val="0"/>
        <w:keepLines w:val="0"/>
        <w:pageBreakBefore w:val="0"/>
        <w:widowControl/>
        <w:kinsoku/>
        <w:wordWrap w:val="0"/>
        <w:overflowPunct/>
        <w:topLinePunct w:val="0"/>
        <w:autoSpaceDE/>
        <w:autoSpaceDN/>
        <w:bidi w:val="0"/>
        <w:adjustRightInd/>
        <w:snapToGrid/>
        <w:spacing w:line="560" w:lineRule="exact"/>
        <w:ind w:firstLine="480" w:firstLineChars="200"/>
        <w:jc w:val="left"/>
        <w:textAlignment w:val="auto"/>
        <w:rPr>
          <w:rFonts w:hint="default" w:ascii="宋体" w:hAnsi="宋体" w:cs="宋体"/>
          <w:color w:val="auto"/>
          <w:kern w:val="0"/>
          <w:sz w:val="24"/>
        </w:rPr>
      </w:pPr>
      <w:r>
        <w:rPr>
          <w:rFonts w:hint="eastAsia" w:ascii="宋体" w:hAnsi="宋体" w:cs="宋体"/>
          <w:color w:val="auto"/>
          <w:kern w:val="0"/>
          <w:sz w:val="24"/>
          <w:lang w:val="en-US" w:eastAsia="zh-CN"/>
        </w:rPr>
        <w:t>5.</w:t>
      </w:r>
      <w:r>
        <w:rPr>
          <w:rFonts w:hint="default" w:ascii="宋体" w:hAnsi="宋体" w:cs="宋体"/>
          <w:color w:val="auto"/>
          <w:kern w:val="0"/>
          <w:sz w:val="24"/>
          <w:lang w:val="en-US" w:eastAsia="zh-CN"/>
        </w:rPr>
        <w:t>2、核查内容包括：</w:t>
      </w:r>
    </w:p>
    <w:p w14:paraId="17F23DA9">
      <w:pPr>
        <w:keepNext w:val="0"/>
        <w:keepLines w:val="0"/>
        <w:pageBreakBefore w:val="0"/>
        <w:kinsoku/>
        <w:wordWrap w:val="0"/>
        <w:overflowPunct/>
        <w:topLinePunct w:val="0"/>
        <w:autoSpaceDE/>
        <w:autoSpaceDN/>
        <w:bidi w:val="0"/>
        <w:spacing w:line="440" w:lineRule="exact"/>
        <w:ind w:firstLine="480" w:firstLineChars="200"/>
        <w:textAlignment w:val="auto"/>
        <w:rPr>
          <w:rFonts w:ascii="宋体" w:hAnsi="宋体" w:cs="宋体"/>
          <w:color w:val="auto"/>
          <w:kern w:val="0"/>
          <w:sz w:val="24"/>
        </w:rPr>
      </w:pPr>
      <w:r>
        <w:rPr>
          <w:rFonts w:hint="eastAsia" w:ascii="宋体" w:hAnsi="宋体"/>
          <w:bCs/>
          <w:color w:val="auto"/>
          <w:sz w:val="24"/>
        </w:rPr>
        <w:t>1、</w:t>
      </w:r>
      <w:r>
        <w:rPr>
          <w:rFonts w:hint="eastAsia" w:ascii="宋体" w:hAnsi="宋体" w:cs="宋体"/>
          <w:color w:val="auto"/>
          <w:kern w:val="0"/>
          <w:sz w:val="24"/>
        </w:rPr>
        <w:t>投标人须具备独立法人资格，持有合法有效的营业执照；</w:t>
      </w:r>
    </w:p>
    <w:p w14:paraId="64567F2C">
      <w:pPr>
        <w:keepNext w:val="0"/>
        <w:keepLines w:val="0"/>
        <w:pageBreakBefore w:val="0"/>
        <w:kinsoku/>
        <w:wordWrap w:val="0"/>
        <w:overflowPunct/>
        <w:topLinePunct w:val="0"/>
        <w:autoSpaceDE/>
        <w:autoSpaceDN/>
        <w:bidi w:val="0"/>
        <w:spacing w:line="440" w:lineRule="exact"/>
        <w:ind w:firstLine="480" w:firstLineChars="200"/>
        <w:textAlignment w:val="auto"/>
        <w:rPr>
          <w:rFonts w:ascii="宋体" w:hAnsi="宋体"/>
          <w:bCs/>
          <w:color w:val="auto"/>
          <w:sz w:val="24"/>
        </w:rPr>
      </w:pPr>
      <w:r>
        <w:rPr>
          <w:rFonts w:hint="eastAsia" w:ascii="宋体" w:hAnsi="宋体"/>
          <w:bCs/>
          <w:color w:val="auto"/>
          <w:sz w:val="24"/>
        </w:rPr>
        <w:t>2、投标人应具备路基路面养护乙级及以上资质，且具有有效的安全生产许可证；</w:t>
      </w:r>
    </w:p>
    <w:p w14:paraId="41846488">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bCs/>
          <w:color w:val="auto"/>
          <w:sz w:val="24"/>
        </w:rPr>
      </w:pPr>
      <w:r>
        <w:rPr>
          <w:rFonts w:hint="eastAsia" w:ascii="宋体" w:hAnsi="宋体"/>
          <w:bCs/>
          <w:color w:val="auto"/>
          <w:sz w:val="24"/>
        </w:rPr>
        <w:t>3、拟派项目经理须具备公路工程专业贰级及以上注册建造师资格、且具有有效的安全生产考核合格证并出具项目经理无在建工程承诺书（提供202</w:t>
      </w:r>
      <w:r>
        <w:rPr>
          <w:rFonts w:hint="eastAsia" w:ascii="宋体" w:hAnsi="宋体"/>
          <w:bCs/>
          <w:color w:val="auto"/>
          <w:sz w:val="24"/>
          <w:lang w:val="en-US" w:eastAsia="zh-CN"/>
        </w:rPr>
        <w:t>6</w:t>
      </w:r>
      <w:r>
        <w:rPr>
          <w:rFonts w:hint="eastAsia" w:ascii="宋体" w:hAnsi="宋体"/>
          <w:bCs/>
          <w:color w:val="auto"/>
          <w:sz w:val="24"/>
        </w:rPr>
        <w:t>年任意</w:t>
      </w:r>
      <w:r>
        <w:rPr>
          <w:rFonts w:hint="eastAsia" w:ascii="宋体" w:hAnsi="宋体"/>
          <w:bCs/>
          <w:color w:val="auto"/>
          <w:sz w:val="24"/>
          <w:lang w:val="en-US" w:eastAsia="zh-CN"/>
        </w:rPr>
        <w:t>一个月</w:t>
      </w:r>
      <w:r>
        <w:rPr>
          <w:rFonts w:hint="eastAsia" w:ascii="宋体" w:hAnsi="宋体"/>
          <w:bCs/>
          <w:color w:val="auto"/>
          <w:sz w:val="24"/>
        </w:rPr>
        <w:t>养老保险证明）；</w:t>
      </w:r>
    </w:p>
    <w:p w14:paraId="5B9184CC">
      <w:pPr>
        <w:keepNext w:val="0"/>
        <w:keepLines w:val="0"/>
        <w:pageBreakBefore w:val="0"/>
        <w:kinsoku/>
        <w:wordWrap w:val="0"/>
        <w:overflowPunct/>
        <w:topLinePunct w:val="0"/>
        <w:autoSpaceDE/>
        <w:autoSpaceDN/>
        <w:bidi w:val="0"/>
        <w:spacing w:line="440" w:lineRule="exact"/>
        <w:ind w:firstLine="480" w:firstLineChars="200"/>
        <w:textAlignment w:val="auto"/>
        <w:rPr>
          <w:rFonts w:ascii="宋体" w:hAnsi="宋体"/>
          <w:bCs/>
          <w:color w:val="auto"/>
          <w:sz w:val="24"/>
        </w:rPr>
      </w:pPr>
      <w:r>
        <w:rPr>
          <w:rFonts w:hint="eastAsia" w:ascii="宋体" w:hAnsi="宋体"/>
          <w:bCs/>
          <w:color w:val="auto"/>
          <w:sz w:val="24"/>
          <w:lang w:val="en-US" w:eastAsia="zh-CN"/>
        </w:rPr>
        <w:t>4、</w:t>
      </w:r>
      <w:r>
        <w:rPr>
          <w:rFonts w:hint="eastAsia" w:ascii="宋体" w:hAnsi="宋体"/>
          <w:bCs/>
          <w:color w:val="auto"/>
          <w:sz w:val="24"/>
          <w:lang w:eastAsia="zh-CN"/>
        </w:rPr>
        <w:t>拟派技术负责人须具备相关专业中级及以上技术职称，为本单位员工且已缴纳社会养老保险（须提供</w:t>
      </w:r>
      <w:r>
        <w:rPr>
          <w:rFonts w:hint="eastAsia" w:ascii="宋体" w:hAnsi="宋体"/>
          <w:bCs/>
          <w:color w:val="auto"/>
          <w:sz w:val="24"/>
        </w:rPr>
        <w:t>提供202</w:t>
      </w:r>
      <w:r>
        <w:rPr>
          <w:rFonts w:hint="eastAsia" w:ascii="宋体" w:hAnsi="宋体"/>
          <w:bCs/>
          <w:color w:val="auto"/>
          <w:sz w:val="24"/>
          <w:lang w:val="en-US" w:eastAsia="zh-CN"/>
        </w:rPr>
        <w:t>6</w:t>
      </w:r>
      <w:r>
        <w:rPr>
          <w:rFonts w:hint="eastAsia" w:ascii="宋体" w:hAnsi="宋体"/>
          <w:bCs/>
          <w:color w:val="auto"/>
          <w:sz w:val="24"/>
        </w:rPr>
        <w:t>年任意</w:t>
      </w:r>
      <w:r>
        <w:rPr>
          <w:rFonts w:hint="eastAsia" w:ascii="宋体" w:hAnsi="宋体"/>
          <w:bCs/>
          <w:color w:val="auto"/>
          <w:sz w:val="24"/>
          <w:lang w:val="en-US" w:eastAsia="zh-CN"/>
        </w:rPr>
        <w:t>一个月</w:t>
      </w:r>
      <w:r>
        <w:rPr>
          <w:rFonts w:hint="eastAsia" w:ascii="宋体" w:hAnsi="宋体"/>
          <w:bCs/>
          <w:color w:val="auto"/>
          <w:sz w:val="24"/>
        </w:rPr>
        <w:t>养老保险证明</w:t>
      </w:r>
      <w:r>
        <w:rPr>
          <w:rFonts w:hint="eastAsia" w:ascii="宋体" w:hAnsi="宋体"/>
          <w:bCs/>
          <w:color w:val="auto"/>
          <w:sz w:val="24"/>
          <w:lang w:eastAsia="zh-CN"/>
        </w:rPr>
        <w:t>）</w:t>
      </w:r>
      <w:r>
        <w:rPr>
          <w:rFonts w:hint="eastAsia" w:ascii="宋体" w:hAnsi="宋体"/>
          <w:bCs/>
          <w:color w:val="auto"/>
          <w:sz w:val="24"/>
        </w:rPr>
        <w:t>；</w:t>
      </w:r>
    </w:p>
    <w:p w14:paraId="1906A253">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3"/>
          <w:lang w:val="en-US" w:eastAsia="zh-CN" w:bidi="ar-SA"/>
        </w:rPr>
      </w:pPr>
      <w:r>
        <w:rPr>
          <w:rFonts w:hint="eastAsia" w:ascii="宋体" w:hAnsi="宋体"/>
          <w:bCs/>
          <w:color w:val="auto"/>
          <w:sz w:val="24"/>
          <w:lang w:val="en-US" w:eastAsia="zh-CN"/>
        </w:rPr>
        <w:t>5、</w:t>
      </w:r>
      <w:r>
        <w:rPr>
          <w:rFonts w:hint="eastAsia" w:ascii="宋体" w:hAnsi="宋体" w:eastAsia="宋体" w:cs="宋体"/>
          <w:color w:val="auto"/>
          <w:kern w:val="0"/>
          <w:sz w:val="24"/>
          <w:szCs w:val="23"/>
          <w:lang w:val="en-US" w:eastAsia="zh-CN" w:bidi="ar-SA"/>
        </w:rPr>
        <w:t>具有良好的财务状况且没有处于被责令停业</w:t>
      </w:r>
      <w:r>
        <w:rPr>
          <w:rFonts w:hint="eastAsia" w:ascii="宋体" w:hAnsi="宋体" w:cs="宋体"/>
          <w:color w:val="auto"/>
          <w:kern w:val="0"/>
          <w:sz w:val="24"/>
          <w:szCs w:val="23"/>
          <w:lang w:val="en-US" w:eastAsia="zh-CN" w:bidi="ar-SA"/>
        </w:rPr>
        <w:t>，</w:t>
      </w:r>
      <w:r>
        <w:rPr>
          <w:rFonts w:hint="eastAsia" w:ascii="宋体" w:hAnsi="宋体" w:eastAsia="宋体" w:cs="宋体"/>
          <w:color w:val="auto"/>
          <w:kern w:val="0"/>
          <w:sz w:val="24"/>
          <w:szCs w:val="23"/>
          <w:lang w:val="en-US" w:eastAsia="zh-CN" w:bidi="ar-SA"/>
        </w:rPr>
        <w:t>提供</w:t>
      </w:r>
      <w:r>
        <w:rPr>
          <w:rFonts w:hint="eastAsia" w:ascii="宋体" w:hAnsi="宋体" w:cs="宋体"/>
          <w:color w:val="auto"/>
          <w:kern w:val="0"/>
          <w:sz w:val="24"/>
          <w:szCs w:val="23"/>
          <w:lang w:val="en-US" w:eastAsia="zh-CN" w:bidi="ar-SA"/>
        </w:rPr>
        <w:t>2025年度财务审计报告或财务报表（利润表、负债表、现金流量表）</w:t>
      </w:r>
      <w:r>
        <w:rPr>
          <w:rFonts w:hint="eastAsia" w:ascii="宋体" w:hAnsi="宋体" w:eastAsia="宋体" w:cs="宋体"/>
          <w:color w:val="auto"/>
          <w:kern w:val="0"/>
          <w:sz w:val="24"/>
          <w:szCs w:val="23"/>
          <w:lang w:val="en-US" w:eastAsia="zh-CN" w:bidi="ar-SA"/>
        </w:rPr>
        <w:t>，成立不满一年的提供最近一月的财务报表；</w:t>
      </w:r>
    </w:p>
    <w:p w14:paraId="6E1195B7">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bCs/>
          <w:color w:val="auto"/>
          <w:sz w:val="24"/>
          <w:lang w:val="en-US" w:eastAsia="zh-CN"/>
        </w:rPr>
      </w:pPr>
      <w:r>
        <w:rPr>
          <w:rFonts w:hint="eastAsia" w:ascii="宋体" w:hAnsi="宋体" w:eastAsia="宋体" w:cs="宋体"/>
          <w:color w:val="auto"/>
          <w:kern w:val="0"/>
          <w:sz w:val="24"/>
          <w:szCs w:val="23"/>
          <w:lang w:val="en-US" w:eastAsia="zh-CN" w:bidi="ar-SA"/>
        </w:rPr>
        <w:t>6、</w:t>
      </w:r>
      <w:r>
        <w:rPr>
          <w:rFonts w:hint="eastAsia" w:ascii="宋体" w:hAnsi="宋体"/>
          <w:bCs/>
          <w:color w:val="auto"/>
          <w:sz w:val="24"/>
          <w:lang w:val="en-US" w:eastAsia="zh-CN"/>
        </w:rPr>
        <w:t>参加政府采购活动前3年内无行贿犯罪记录，（开标时提供《中国裁判文书网》查询结果网页截图或企业自行承诺的无行贿犯罪承诺书， 查询&lt;承诺&gt;对象为 “企业，法定代表人，项目经理”）；</w:t>
      </w:r>
    </w:p>
    <w:p w14:paraId="7ED97D92">
      <w:pPr>
        <w:keepNext w:val="0"/>
        <w:keepLines w:val="0"/>
        <w:pageBreakBefore w:val="0"/>
        <w:kinsoku/>
        <w:wordWrap w:val="0"/>
        <w:overflowPunct/>
        <w:topLinePunct w:val="0"/>
        <w:autoSpaceDE/>
        <w:autoSpaceDN/>
        <w:bidi w:val="0"/>
        <w:spacing w:line="440" w:lineRule="exact"/>
        <w:ind w:firstLine="480" w:firstLineChars="200"/>
        <w:textAlignment w:val="auto"/>
        <w:rPr>
          <w:rFonts w:hint="eastAsia" w:ascii="宋体" w:hAnsi="宋体"/>
          <w:bCs/>
          <w:color w:val="auto"/>
          <w:sz w:val="24"/>
        </w:rPr>
      </w:pPr>
      <w:r>
        <w:rPr>
          <w:rFonts w:hint="eastAsia" w:ascii="宋体" w:hAnsi="宋体"/>
          <w:bCs/>
          <w:color w:val="auto"/>
          <w:sz w:val="24"/>
          <w:lang w:val="en-US" w:eastAsia="zh-CN"/>
        </w:rPr>
        <w:t>7</w:t>
      </w:r>
      <w:r>
        <w:rPr>
          <w:rFonts w:hint="eastAsia" w:ascii="宋体" w:hAnsi="宋体"/>
          <w:bCs/>
          <w:color w:val="auto"/>
          <w:sz w:val="24"/>
        </w:rPr>
        <w:t xml:space="preserve">、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 </w:t>
      </w:r>
    </w:p>
    <w:p w14:paraId="52D490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bCs/>
          <w:color w:val="auto"/>
          <w:sz w:val="24"/>
          <w:lang w:val="en-US" w:eastAsia="zh-CN"/>
        </w:rPr>
      </w:pPr>
      <w:r>
        <w:rPr>
          <w:rFonts w:hint="eastAsia" w:ascii="宋体" w:hAnsi="宋体"/>
          <w:bCs/>
          <w:color w:val="auto"/>
          <w:sz w:val="24"/>
          <w:lang w:val="en-US" w:eastAsia="zh-CN"/>
        </w:rPr>
        <w:t>8</w:t>
      </w:r>
      <w:r>
        <w:rPr>
          <w:rFonts w:hint="eastAsia" w:ascii="宋体" w:hAnsi="宋体"/>
          <w:bCs/>
          <w:color w:val="auto"/>
          <w:sz w:val="24"/>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w:t>
      </w:r>
      <w:r>
        <w:rPr>
          <w:rFonts w:hint="eastAsia" w:ascii="宋体" w:hAnsi="宋体" w:eastAsia="宋体" w:cs="Times New Roman"/>
          <w:bCs/>
          <w:color w:val="auto"/>
          <w:sz w:val="24"/>
          <w:lang w:val="en-US" w:eastAsia="zh-CN"/>
        </w:rPr>
        <w:t>注：査询时间必须是招标公告发布以后投标文件递交截止时间之前，查询结果清晰可见</w:t>
      </w:r>
    </w:p>
    <w:p w14:paraId="52CB485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bCs/>
          <w:color w:val="auto"/>
          <w:sz w:val="24"/>
        </w:rPr>
      </w:pPr>
      <w:r>
        <w:rPr>
          <w:rFonts w:hint="eastAsia" w:ascii="宋体" w:hAnsi="宋体"/>
          <w:bCs/>
          <w:color w:val="auto"/>
          <w:sz w:val="24"/>
          <w:lang w:val="en-US" w:eastAsia="zh-CN"/>
        </w:rPr>
        <w:t>9</w:t>
      </w:r>
      <w:r>
        <w:rPr>
          <w:rFonts w:hint="eastAsia" w:ascii="宋体" w:hAnsi="宋体"/>
          <w:bCs/>
          <w:color w:val="auto"/>
          <w:sz w:val="24"/>
        </w:rPr>
        <w:t>、本次招标不接受联合体投标；</w:t>
      </w:r>
    </w:p>
    <w:p w14:paraId="2F6DDC2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bCs/>
          <w:color w:val="auto"/>
          <w:sz w:val="24"/>
        </w:rPr>
      </w:pPr>
      <w:r>
        <w:rPr>
          <w:rFonts w:hint="eastAsia" w:ascii="宋体" w:hAnsi="宋体"/>
          <w:bCs/>
          <w:color w:val="auto"/>
          <w:sz w:val="24"/>
          <w:lang w:val="en-US" w:eastAsia="zh-CN"/>
        </w:rPr>
        <w:t>10</w:t>
      </w:r>
      <w:r>
        <w:rPr>
          <w:rFonts w:hint="eastAsia" w:ascii="宋体" w:hAnsi="宋体"/>
          <w:bCs/>
          <w:color w:val="auto"/>
          <w:sz w:val="24"/>
        </w:rPr>
        <w:t>、本次招标实行资格后审。</w:t>
      </w:r>
    </w:p>
    <w:p w14:paraId="4A340271">
      <w:pPr>
        <w:keepNext w:val="0"/>
        <w:keepLines w:val="0"/>
        <w:pageBreakBefore w:val="0"/>
        <w:widowControl/>
        <w:kinsoku/>
        <w:wordWrap w:val="0"/>
        <w:overflowPunct/>
        <w:topLinePunct w:val="0"/>
        <w:autoSpaceDE/>
        <w:autoSpaceDN/>
        <w:bidi w:val="0"/>
        <w:adjustRightInd/>
        <w:snapToGrid/>
        <w:spacing w:line="560" w:lineRule="exact"/>
        <w:ind w:firstLine="480" w:firstLineChars="200"/>
        <w:jc w:val="left"/>
        <w:textAlignment w:val="auto"/>
        <w:rPr>
          <w:rFonts w:hint="eastAsia" w:ascii="宋体" w:hAnsi="宋体"/>
          <w:bCs/>
          <w:color w:val="auto"/>
          <w:sz w:val="24"/>
        </w:rPr>
      </w:pPr>
      <w:r>
        <w:rPr>
          <w:rFonts w:hint="eastAsia" w:ascii="宋体" w:hAnsi="宋体"/>
          <w:bCs/>
          <w:color w:val="auto"/>
          <w:sz w:val="24"/>
        </w:rPr>
        <w:t>注：被列入失信被执行人、重大税收违法失信主体及政府采购违法失信行为记录名单的企业做无效标处理。 招标人或招标代理机构有权对投标人信用记录进行甄别和复查。</w:t>
      </w:r>
    </w:p>
    <w:p w14:paraId="39F92742">
      <w:pPr>
        <w:keepNext w:val="0"/>
        <w:keepLines w:val="0"/>
        <w:pageBreakBefore w:val="0"/>
        <w:widowControl/>
        <w:kinsoku/>
        <w:wordWrap w:val="0"/>
        <w:overflowPunct/>
        <w:topLinePunct w:val="0"/>
        <w:autoSpaceDE/>
        <w:autoSpaceDN/>
        <w:bidi w:val="0"/>
        <w:adjustRightInd/>
        <w:snapToGrid/>
        <w:spacing w:line="560" w:lineRule="exact"/>
        <w:ind w:firstLine="480" w:firstLineChars="200"/>
        <w:jc w:val="left"/>
        <w:textAlignment w:val="auto"/>
        <w:rPr>
          <w:rFonts w:hint="default" w:ascii="宋体" w:hAnsi="宋体" w:cs="宋体"/>
          <w:color w:val="auto"/>
          <w:kern w:val="0"/>
          <w:sz w:val="24"/>
          <w:lang w:val="en-US" w:eastAsia="zh-CN"/>
        </w:rPr>
      </w:pPr>
      <w:r>
        <w:rPr>
          <w:rFonts w:hint="default" w:ascii="宋体" w:hAnsi="宋体" w:cs="宋体"/>
          <w:color w:val="auto"/>
          <w:kern w:val="0"/>
          <w:sz w:val="24"/>
          <w:lang w:val="en-US" w:eastAsia="zh-CN"/>
        </w:rPr>
        <w:t>定标委员会查实有中标候选人存在虚假投标、资质造假等影响中标结果的，以及违反法律、法规及招标文件相关规定的中标候选人核查结果为不合格，不得进入定标程序，并在核查报告中载明。</w:t>
      </w:r>
    </w:p>
    <w:p w14:paraId="62F75EED">
      <w:pPr>
        <w:keepNext w:val="0"/>
        <w:keepLines w:val="0"/>
        <w:pageBreakBefore w:val="0"/>
        <w:widowControl/>
        <w:kinsoku/>
        <w:wordWrap w:val="0"/>
        <w:overflowPunct/>
        <w:topLinePunct w:val="0"/>
        <w:autoSpaceDE/>
        <w:autoSpaceDN/>
        <w:bidi w:val="0"/>
        <w:adjustRightInd/>
        <w:snapToGrid/>
        <w:spacing w:line="560" w:lineRule="exact"/>
        <w:ind w:firstLine="480" w:firstLineChars="200"/>
        <w:jc w:val="left"/>
        <w:textAlignment w:val="auto"/>
        <w:rPr>
          <w:rFonts w:hint="default" w:ascii="宋体" w:hAnsi="宋体" w:cs="宋体"/>
          <w:color w:val="auto"/>
          <w:kern w:val="0"/>
          <w:sz w:val="24"/>
          <w:lang w:val="en-US" w:eastAsia="zh-CN"/>
        </w:rPr>
      </w:pPr>
      <w:r>
        <w:rPr>
          <w:rFonts w:hint="default" w:ascii="宋体" w:hAnsi="宋体" w:cs="宋体"/>
          <w:color w:val="auto"/>
          <w:kern w:val="0"/>
          <w:sz w:val="24"/>
          <w:lang w:val="en-US" w:eastAsia="zh-CN"/>
        </w:rPr>
        <w:t>经核查合格的中标候选人即可进入定标会议程序，如经核查合格的中标候选人数量为两家，招标人继续定标会议程序；如经核查合格的中标候选人数量为一家或全部不合格，招标人应重新招标。</w:t>
      </w:r>
    </w:p>
    <w:p w14:paraId="691CF7D1">
      <w:pPr>
        <w:keepNext w:val="0"/>
        <w:keepLines w:val="0"/>
        <w:pageBreakBefore w:val="0"/>
        <w:widowControl/>
        <w:kinsoku/>
        <w:wordWrap w:val="0"/>
        <w:overflowPunct/>
        <w:topLinePunct w:val="0"/>
        <w:autoSpaceDE/>
        <w:autoSpaceDN/>
        <w:bidi w:val="0"/>
        <w:adjustRightInd/>
        <w:snapToGrid/>
        <w:spacing w:line="560" w:lineRule="exact"/>
        <w:ind w:firstLine="480" w:firstLineChars="200"/>
        <w:jc w:val="left"/>
        <w:textAlignment w:val="auto"/>
        <w:rPr>
          <w:rFonts w:hint="default" w:ascii="宋体" w:hAnsi="宋体" w:cs="宋体"/>
          <w:color w:val="auto"/>
          <w:kern w:val="0"/>
          <w:sz w:val="24"/>
        </w:rPr>
      </w:pPr>
      <w:r>
        <w:rPr>
          <w:rFonts w:hint="default" w:ascii="宋体" w:hAnsi="宋体" w:cs="宋体"/>
          <w:color w:val="auto"/>
          <w:kern w:val="0"/>
          <w:sz w:val="24"/>
          <w:lang w:val="en-US" w:eastAsia="zh-CN"/>
        </w:rPr>
        <w:t>定标委员会应当严格履行定标环节核查责任，经核查发现定标候选人确有问题的，应当主动向监督部门报告，并依规否决相应中标候选人资格。</w:t>
      </w:r>
    </w:p>
    <w:p w14:paraId="547F8676">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宋体" w:hAnsi="宋体" w:cs="宋体"/>
          <w:b/>
          <w:bCs/>
          <w:color w:val="auto"/>
          <w:kern w:val="0"/>
          <w:sz w:val="24"/>
        </w:rPr>
      </w:pPr>
      <w:r>
        <w:rPr>
          <w:rFonts w:hint="default" w:ascii="宋体" w:hAnsi="宋体" w:cs="宋体"/>
          <w:b/>
          <w:bCs/>
          <w:color w:val="auto"/>
          <w:kern w:val="0"/>
          <w:sz w:val="24"/>
          <w:lang w:val="en-US" w:eastAsia="zh-CN"/>
        </w:rPr>
        <w:t>6、定标因素定标因素还应包括：</w:t>
      </w:r>
    </w:p>
    <w:p w14:paraId="47C9ACF0">
      <w:pPr>
        <w:keepNext w:val="0"/>
        <w:keepLines w:val="0"/>
        <w:pageBreakBefore w:val="0"/>
        <w:widowControl/>
        <w:kinsoku/>
        <w:wordWrap w:val="0"/>
        <w:overflowPunct/>
        <w:topLinePunct w:val="0"/>
        <w:autoSpaceDE/>
        <w:autoSpaceDN/>
        <w:bidi w:val="0"/>
        <w:adjustRightInd/>
        <w:snapToGrid/>
        <w:spacing w:line="560" w:lineRule="exact"/>
        <w:ind w:firstLine="480" w:firstLineChars="200"/>
        <w:jc w:val="left"/>
        <w:textAlignment w:val="auto"/>
        <w:rPr>
          <w:rFonts w:hint="default" w:ascii="宋体" w:hAnsi="宋体" w:cs="宋体"/>
          <w:color w:val="auto"/>
          <w:kern w:val="0"/>
          <w:sz w:val="24"/>
          <w:lang w:val="en-US" w:eastAsia="zh-CN"/>
        </w:rPr>
      </w:pPr>
      <w:r>
        <w:rPr>
          <w:rFonts w:hint="default" w:ascii="宋体" w:hAnsi="宋体" w:cs="宋体"/>
          <w:color w:val="auto"/>
          <w:kern w:val="0"/>
          <w:sz w:val="24"/>
          <w:lang w:val="en-US" w:eastAsia="zh-CN"/>
        </w:rPr>
        <w:t>定标因素还应包括：</w:t>
      </w:r>
    </w:p>
    <w:p w14:paraId="6222F697">
      <w:pPr>
        <w:keepNext w:val="0"/>
        <w:keepLines w:val="0"/>
        <w:pageBreakBefore w:val="0"/>
        <w:widowControl/>
        <w:kinsoku/>
        <w:wordWrap w:val="0"/>
        <w:overflowPunct/>
        <w:topLinePunct w:val="0"/>
        <w:autoSpaceDE/>
        <w:autoSpaceDN/>
        <w:bidi w:val="0"/>
        <w:adjustRightInd/>
        <w:snapToGrid/>
        <w:spacing w:line="560" w:lineRule="exact"/>
        <w:ind w:firstLine="480" w:firstLineChars="200"/>
        <w:jc w:val="left"/>
        <w:textAlignment w:val="auto"/>
        <w:rPr>
          <w:rFonts w:hint="default" w:ascii="宋体" w:hAnsi="宋体" w:cs="宋体"/>
          <w:color w:val="auto"/>
          <w:kern w:val="0"/>
          <w:sz w:val="24"/>
          <w:lang w:val="en-US" w:eastAsia="zh-CN"/>
        </w:rPr>
      </w:pPr>
      <w:r>
        <w:rPr>
          <w:rFonts w:hint="default" w:ascii="宋体" w:hAnsi="宋体" w:cs="宋体"/>
          <w:color w:val="auto"/>
          <w:kern w:val="0"/>
          <w:sz w:val="24"/>
          <w:lang w:val="en-US" w:eastAsia="zh-CN"/>
        </w:rPr>
        <w:t>投标人综合实力、财务状况、施工组织设计、同类项目业绩情况、工期计划、投标报价。</w:t>
      </w:r>
    </w:p>
    <w:p w14:paraId="13FDC2DC">
      <w:pPr>
        <w:keepNext w:val="0"/>
        <w:keepLines w:val="0"/>
        <w:pageBreakBefore w:val="0"/>
        <w:widowControl/>
        <w:kinsoku/>
        <w:wordWrap w:val="0"/>
        <w:overflowPunct/>
        <w:topLinePunct w:val="0"/>
        <w:autoSpaceDE/>
        <w:autoSpaceDN/>
        <w:bidi w:val="0"/>
        <w:adjustRightInd/>
        <w:snapToGrid/>
        <w:spacing w:line="560" w:lineRule="exact"/>
        <w:ind w:firstLine="480" w:firstLineChars="200"/>
        <w:jc w:val="left"/>
        <w:textAlignment w:val="auto"/>
        <w:rPr>
          <w:rFonts w:hint="default" w:ascii="宋体" w:hAnsi="宋体" w:cs="宋体"/>
          <w:color w:val="auto"/>
          <w:kern w:val="0"/>
          <w:sz w:val="24"/>
          <w:lang w:val="en-US" w:eastAsia="zh-CN"/>
        </w:rPr>
      </w:pPr>
      <w:r>
        <w:rPr>
          <w:rFonts w:hint="default" w:ascii="宋体" w:hAnsi="宋体" w:cs="宋体"/>
          <w:color w:val="auto"/>
          <w:kern w:val="0"/>
          <w:sz w:val="24"/>
          <w:lang w:val="en-US" w:eastAsia="zh-CN"/>
        </w:rPr>
        <w:t>投标人的以下资信情况将作为本项目定标委员会的参考因素：</w:t>
      </w:r>
    </w:p>
    <w:p w14:paraId="5805F793">
      <w:pPr>
        <w:wordWrap w:val="0"/>
        <w:adjustRightInd w:val="0"/>
        <w:snapToGrid w:val="0"/>
        <w:spacing w:line="360" w:lineRule="auto"/>
        <w:ind w:firstLine="420"/>
        <w:jc w:val="center"/>
        <w:rPr>
          <w:rFonts w:hint="default" w:ascii="宋体" w:hAnsi="宋体" w:cs="宋体"/>
          <w:color w:val="auto"/>
          <w:kern w:val="0"/>
          <w:sz w:val="24"/>
          <w:lang w:val="en-US" w:eastAsia="zh-CN"/>
        </w:rPr>
      </w:pPr>
      <w:r>
        <w:rPr>
          <w:rFonts w:hint="eastAsia" w:ascii="宋体" w:hAnsi="宋体" w:eastAsia="宋体" w:cs="宋体"/>
          <w:b/>
          <w:bCs/>
          <w:color w:val="auto"/>
          <w:sz w:val="24"/>
          <w:szCs w:val="24"/>
          <w:highlight w:val="none"/>
          <w:lang w:val="en-US" w:eastAsia="zh-CN"/>
        </w:rPr>
        <w:t>定标</w:t>
      </w:r>
      <w:r>
        <w:rPr>
          <w:rFonts w:hint="eastAsia" w:ascii="宋体" w:hAnsi="宋体" w:cs="宋体"/>
          <w:b/>
          <w:bCs/>
          <w:color w:val="auto"/>
          <w:sz w:val="24"/>
          <w:szCs w:val="24"/>
          <w:highlight w:val="none"/>
          <w:lang w:val="en-US" w:eastAsia="zh-CN"/>
        </w:rPr>
        <w:t>因</w:t>
      </w:r>
      <w:r>
        <w:rPr>
          <w:rFonts w:hint="eastAsia" w:ascii="宋体" w:hAnsi="宋体" w:eastAsia="宋体" w:cs="宋体"/>
          <w:b/>
          <w:bCs/>
          <w:color w:val="auto"/>
          <w:sz w:val="24"/>
          <w:szCs w:val="24"/>
          <w:highlight w:val="none"/>
        </w:rPr>
        <w:t>素一览表</w:t>
      </w:r>
    </w:p>
    <w:tbl>
      <w:tblPr>
        <w:tblStyle w:val="15"/>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531"/>
        <w:gridCol w:w="5999"/>
      </w:tblGrid>
      <w:tr w14:paraId="4CF2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ADBD6A4">
            <w:pPr>
              <w:keepNext w:val="0"/>
              <w:keepLines w:val="0"/>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序号</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4BCEEA24">
            <w:pPr>
              <w:keepNext w:val="0"/>
              <w:keepLines w:val="0"/>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名称</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388D9D02">
            <w:pPr>
              <w:keepNext w:val="0"/>
              <w:keepLines w:val="0"/>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有关要求或说明</w:t>
            </w:r>
          </w:p>
        </w:tc>
      </w:tr>
      <w:tr w14:paraId="2E00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5B4CF66">
            <w:pPr>
              <w:keepNext w:val="0"/>
              <w:keepLines w:val="0"/>
              <w:suppressLineNumbers w:val="0"/>
              <w:wordWrap w:val="0"/>
              <w:adjustRightInd w:val="0"/>
              <w:snapToGrid w:val="0"/>
              <w:spacing w:before="0" w:beforeAutospacing="0" w:after="0" w:afterAutospacing="0" w:line="360" w:lineRule="auto"/>
              <w:ind w:left="0" w:leftChars="0" w:right="0" w:rightChars="0"/>
              <w:jc w:val="center"/>
              <w:rPr>
                <w:rFonts w:hint="eastAsia" w:ascii="宋体" w:hAnsi="宋体" w:eastAsia="宋体" w:cs="宋体"/>
                <w:b w:val="0"/>
                <w:bCs w:val="0"/>
                <w:color w:val="auto"/>
                <w:kern w:val="0"/>
                <w:sz w:val="24"/>
                <w:szCs w:val="24"/>
                <w:highlight w:val="green"/>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69120372">
            <w:pPr>
              <w:keepNext w:val="0"/>
              <w:keepLines w:val="0"/>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green"/>
                <w:lang w:bidi="ar"/>
              </w:rPr>
            </w:pPr>
            <w:r>
              <w:rPr>
                <w:rFonts w:hint="eastAsia" w:ascii="宋体" w:hAnsi="宋体" w:eastAsia="宋体" w:cs="宋体"/>
                <w:color w:val="auto"/>
                <w:sz w:val="24"/>
                <w:szCs w:val="24"/>
                <w:highlight w:val="none"/>
              </w:rPr>
              <w:t>投标人综合实力</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52FEC0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（1）营业执照、资质证书、安全生产许可证；</w:t>
            </w:r>
          </w:p>
          <w:p w14:paraId="1CC970C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（2）项目经理证书及安全生产考核合格证、技术负责人证书；</w:t>
            </w:r>
          </w:p>
        </w:tc>
      </w:tr>
      <w:tr w14:paraId="73D1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41087D9">
            <w:pPr>
              <w:keepNext w:val="0"/>
              <w:keepLines w:val="0"/>
              <w:suppressLineNumbers w:val="0"/>
              <w:wordWrap w:val="0"/>
              <w:adjustRightInd w:val="0"/>
              <w:snapToGrid w:val="0"/>
              <w:spacing w:before="0" w:beforeAutospacing="0" w:after="0" w:afterAutospacing="0" w:line="360" w:lineRule="auto"/>
              <w:ind w:left="0" w:leftChars="0" w:right="0" w:rightChars="0"/>
              <w:jc w:val="center"/>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2</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171A4A0E">
            <w:pPr>
              <w:keepNext w:val="0"/>
              <w:keepLines w:val="0"/>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财务状况</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2B4DA4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kern w:val="0"/>
                <w:sz w:val="24"/>
                <w:szCs w:val="23"/>
                <w:lang w:val="en-US" w:eastAsia="zh-CN" w:bidi="ar-SA"/>
              </w:rPr>
              <w:t>具有良好的财务状况且没有处于被责令停业</w:t>
            </w:r>
            <w:r>
              <w:rPr>
                <w:rFonts w:hint="eastAsia" w:ascii="宋体" w:hAnsi="宋体" w:cs="宋体"/>
                <w:color w:val="auto"/>
                <w:kern w:val="0"/>
                <w:sz w:val="24"/>
                <w:szCs w:val="23"/>
                <w:lang w:val="en-US" w:eastAsia="zh-CN" w:bidi="ar-SA"/>
              </w:rPr>
              <w:t>，</w:t>
            </w:r>
            <w:r>
              <w:rPr>
                <w:rFonts w:hint="eastAsia" w:ascii="宋体" w:hAnsi="宋体" w:eastAsia="宋体" w:cs="宋体"/>
                <w:color w:val="auto"/>
                <w:kern w:val="0"/>
                <w:sz w:val="24"/>
                <w:szCs w:val="23"/>
                <w:lang w:val="en-US" w:eastAsia="zh-CN" w:bidi="ar-SA"/>
              </w:rPr>
              <w:t>提供</w:t>
            </w:r>
            <w:r>
              <w:rPr>
                <w:rFonts w:hint="eastAsia" w:ascii="宋体" w:hAnsi="宋体" w:cs="宋体"/>
                <w:color w:val="auto"/>
                <w:kern w:val="0"/>
                <w:sz w:val="24"/>
                <w:szCs w:val="23"/>
                <w:lang w:val="en-US" w:eastAsia="zh-CN" w:bidi="ar-SA"/>
              </w:rPr>
              <w:t>2025年度财务审计报告或财务报表（利润表、负债表、现金流量表）</w:t>
            </w:r>
            <w:r>
              <w:rPr>
                <w:rFonts w:hint="eastAsia" w:ascii="宋体" w:hAnsi="宋体" w:eastAsia="宋体" w:cs="宋体"/>
                <w:color w:val="auto"/>
                <w:kern w:val="0"/>
                <w:sz w:val="24"/>
                <w:szCs w:val="23"/>
                <w:lang w:val="en-US" w:eastAsia="zh-CN" w:bidi="ar-SA"/>
              </w:rPr>
              <w:t>，成立不满一年的提供最近一月的财务报表</w:t>
            </w:r>
            <w:r>
              <w:rPr>
                <w:rFonts w:hint="eastAsia" w:ascii="宋体" w:hAnsi="宋体" w:eastAsia="宋体" w:cs="宋体"/>
                <w:color w:val="auto"/>
                <w:sz w:val="24"/>
                <w:szCs w:val="22"/>
                <w:highlight w:val="none"/>
                <w:lang w:val="en-US" w:eastAsia="zh-CN"/>
              </w:rPr>
              <w:t>；</w:t>
            </w:r>
          </w:p>
        </w:tc>
      </w:tr>
      <w:tr w14:paraId="6D29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89FC762">
            <w:pPr>
              <w:keepNext w:val="0"/>
              <w:keepLines w:val="0"/>
              <w:suppressLineNumbers w:val="0"/>
              <w:wordWrap w:val="0"/>
              <w:adjustRightInd w:val="0"/>
              <w:snapToGrid w:val="0"/>
              <w:spacing w:before="0" w:beforeAutospacing="0" w:after="0" w:afterAutospacing="0"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3</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1892EC3C">
            <w:pPr>
              <w:keepNext w:val="0"/>
              <w:keepLines w:val="0"/>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bidi="ar"/>
              </w:rPr>
            </w:pPr>
            <w:r>
              <w:rPr>
                <w:rFonts w:hint="eastAsia" w:ascii="宋体" w:hAnsi="宋体" w:cs="宋体"/>
                <w:color w:val="auto"/>
                <w:sz w:val="24"/>
                <w:szCs w:val="24"/>
                <w:highlight w:val="none"/>
                <w:lang w:val="en-US" w:eastAsia="zh-CN"/>
              </w:rPr>
              <w:t>投标方案</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15F13AD8">
            <w:pPr>
              <w:keepNext w:val="0"/>
              <w:keepLines w:val="0"/>
              <w:suppressLineNumbers w:val="0"/>
              <w:wordWrap w:val="0"/>
              <w:spacing w:before="0" w:beforeAutospacing="0" w:after="0" w:afterAutospacing="0" w:line="360" w:lineRule="auto"/>
              <w:ind w:left="0" w:right="0"/>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sz w:val="24"/>
                <w:szCs w:val="22"/>
                <w:highlight w:val="none"/>
                <w:lang w:val="en-US" w:eastAsia="zh-CN"/>
              </w:rPr>
              <w:t>施工组织设计的完整性、合理性、针对性</w:t>
            </w:r>
            <w:r>
              <w:rPr>
                <w:rFonts w:hint="eastAsia" w:ascii="宋体" w:hAnsi="宋体" w:eastAsia="宋体" w:cs="宋体"/>
                <w:color w:val="auto"/>
                <w:sz w:val="24"/>
                <w:szCs w:val="22"/>
                <w:highlight w:val="none"/>
                <w:lang w:val="zh-CN" w:eastAsia="zh-CN"/>
              </w:rPr>
              <w:t>及服务承诺等</w:t>
            </w:r>
          </w:p>
        </w:tc>
      </w:tr>
      <w:tr w14:paraId="3DC7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E3CC697">
            <w:pPr>
              <w:keepNext w:val="0"/>
              <w:keepLines w:val="0"/>
              <w:suppressLineNumbers w:val="0"/>
              <w:wordWrap w:val="0"/>
              <w:adjustRightInd w:val="0"/>
              <w:snapToGrid w:val="0"/>
              <w:spacing w:before="0" w:beforeAutospacing="0" w:after="0" w:afterAutospacing="0" w:line="360" w:lineRule="auto"/>
              <w:ind w:left="0" w:leftChars="0" w:right="0" w:rightChars="0"/>
              <w:jc w:val="center"/>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4</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0DDF8475">
            <w:pPr>
              <w:keepNext w:val="0"/>
              <w:keepLines w:val="0"/>
              <w:suppressLineNumbers w:val="0"/>
              <w:wordWrap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履约能力</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7329B920">
            <w:pPr>
              <w:wordWrap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拟投入本项目管理机构人员配置上岗履约情况（需提供相关承诺或证明材料）、农民工工资按时足额发放履约情况（需提供相关承诺或证明材料）</w:t>
            </w:r>
            <w:r>
              <w:rPr>
                <w:rFonts w:hint="eastAsia" w:ascii="宋体" w:hAnsi="宋体" w:eastAsia="宋体" w:cs="宋体"/>
                <w:color w:val="auto"/>
                <w:sz w:val="24"/>
                <w:szCs w:val="24"/>
                <w:highlight w:val="none"/>
                <w:lang w:val="en-US" w:eastAsia="zh-CN"/>
              </w:rPr>
              <w:t>。</w:t>
            </w:r>
          </w:p>
        </w:tc>
      </w:tr>
      <w:tr w14:paraId="6F00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6968711">
            <w:pPr>
              <w:keepNext w:val="0"/>
              <w:keepLines w:val="0"/>
              <w:suppressLineNumbers w:val="0"/>
              <w:wordWrap w:val="0"/>
              <w:adjustRightInd w:val="0"/>
              <w:snapToGrid w:val="0"/>
              <w:spacing w:before="0" w:beforeAutospacing="0" w:after="0" w:afterAutospacing="0"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5</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31A3351C">
            <w:pPr>
              <w:keepNext w:val="0"/>
              <w:keepLines w:val="0"/>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sz w:val="24"/>
                <w:szCs w:val="24"/>
                <w:highlight w:val="none"/>
              </w:rPr>
              <w:t>业绩情况</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76205CE3">
            <w:pPr>
              <w:keepNext w:val="0"/>
              <w:keepLines w:val="0"/>
              <w:suppressLineNumbers w:val="0"/>
              <w:wordWrap w:val="0"/>
              <w:spacing w:before="0" w:beforeAutospacing="0" w:after="0" w:afterAutospacing="0" w:line="360" w:lineRule="auto"/>
              <w:ind w:left="0" w:right="0"/>
              <w:rPr>
                <w:rFonts w:hint="eastAsia" w:ascii="宋体" w:hAnsi="宋体" w:eastAsia="宋体" w:cs="宋体"/>
                <w:b/>
                <w:bCs/>
                <w:color w:val="auto"/>
                <w:kern w:val="0"/>
                <w:sz w:val="24"/>
                <w:szCs w:val="24"/>
                <w:highlight w:val="none"/>
                <w:lang w:bidi="ar"/>
              </w:rPr>
            </w:pP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lang w:val="en-US" w:eastAsia="zh-CN"/>
              </w:rPr>
              <w:t>企业202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年1月1日以来</w:t>
            </w:r>
            <w:r>
              <w:rPr>
                <w:rFonts w:hint="eastAsia" w:ascii="宋体" w:hAnsi="宋体" w:cs="宋体"/>
                <w:color w:val="auto"/>
                <w:sz w:val="24"/>
                <w:szCs w:val="24"/>
                <w:highlight w:val="none"/>
                <w:lang w:val="en-US" w:eastAsia="zh-CN"/>
              </w:rPr>
              <w:t>公路工程</w:t>
            </w:r>
            <w:r>
              <w:rPr>
                <w:rFonts w:hint="eastAsia" w:ascii="宋体" w:hAnsi="宋体" w:eastAsia="宋体" w:cs="宋体"/>
                <w:color w:val="auto"/>
                <w:sz w:val="24"/>
                <w:szCs w:val="24"/>
                <w:highlight w:val="none"/>
                <w:lang w:val="en-US" w:eastAsia="zh-CN"/>
              </w:rPr>
              <w:t>项目业绩</w:t>
            </w:r>
          </w:p>
        </w:tc>
      </w:tr>
      <w:tr w14:paraId="575E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78480CA">
            <w:pPr>
              <w:keepNext w:val="0"/>
              <w:keepLines w:val="0"/>
              <w:suppressLineNumbers w:val="0"/>
              <w:wordWrap w:val="0"/>
              <w:adjustRightInd w:val="0"/>
              <w:snapToGrid w:val="0"/>
              <w:spacing w:before="0" w:beforeAutospacing="0" w:after="0" w:afterAutospacing="0"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6</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3179D9E0">
            <w:pPr>
              <w:keepNext w:val="0"/>
              <w:keepLines w:val="0"/>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rPr>
              <w:t>工期计划</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79B1E8DD">
            <w:pPr>
              <w:keepNext w:val="0"/>
              <w:keepLines w:val="0"/>
              <w:suppressLineNumbers w:val="0"/>
              <w:wordWrap w:val="0"/>
              <w:spacing w:before="0" w:beforeAutospacing="0" w:after="0" w:afterAutospacing="0" w:line="360" w:lineRule="auto"/>
              <w:ind w:left="0" w:right="0"/>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投标人的</w:t>
            </w:r>
            <w:r>
              <w:rPr>
                <w:rFonts w:hint="eastAsia" w:ascii="宋体" w:hAnsi="宋体" w:eastAsia="宋体" w:cs="宋体"/>
                <w:color w:val="auto"/>
                <w:kern w:val="0"/>
                <w:sz w:val="24"/>
                <w:szCs w:val="24"/>
                <w:highlight w:val="none"/>
                <w:lang w:val="en-US" w:eastAsia="zh-CN" w:bidi="ar"/>
              </w:rPr>
              <w:t>投标</w:t>
            </w:r>
            <w:r>
              <w:rPr>
                <w:rFonts w:hint="eastAsia" w:ascii="宋体" w:hAnsi="宋体" w:eastAsia="宋体" w:cs="宋体"/>
                <w:color w:val="auto"/>
                <w:kern w:val="0"/>
                <w:sz w:val="24"/>
                <w:szCs w:val="24"/>
                <w:highlight w:val="none"/>
                <w:lang w:bidi="ar"/>
              </w:rPr>
              <w:t>函中</w:t>
            </w:r>
            <w:r>
              <w:rPr>
                <w:rFonts w:hint="eastAsia" w:ascii="宋体" w:hAnsi="宋体" w:eastAsia="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bidi="ar"/>
              </w:rPr>
              <w:t>的</w:t>
            </w:r>
            <w:r>
              <w:rPr>
                <w:rFonts w:hint="eastAsia" w:ascii="宋体" w:hAnsi="宋体" w:eastAsia="宋体" w:cs="宋体"/>
                <w:color w:val="auto"/>
                <w:sz w:val="24"/>
                <w:szCs w:val="24"/>
                <w:highlight w:val="none"/>
              </w:rPr>
              <w:t>工期情况</w:t>
            </w:r>
            <w:r>
              <w:rPr>
                <w:rFonts w:hint="eastAsia" w:ascii="宋体" w:hAnsi="宋体" w:eastAsia="宋体" w:cs="宋体"/>
                <w:color w:val="auto"/>
                <w:sz w:val="24"/>
                <w:szCs w:val="24"/>
                <w:highlight w:val="none"/>
                <w:lang w:eastAsia="zh-CN"/>
              </w:rPr>
              <w:t>。</w:t>
            </w:r>
          </w:p>
        </w:tc>
      </w:tr>
      <w:tr w14:paraId="35F4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B0405D2">
            <w:pPr>
              <w:keepNext w:val="0"/>
              <w:keepLines w:val="0"/>
              <w:suppressLineNumbers w:val="0"/>
              <w:wordWrap w:val="0"/>
              <w:adjustRightInd w:val="0"/>
              <w:snapToGrid w:val="0"/>
              <w:spacing w:before="0" w:beforeAutospacing="0" w:after="0" w:afterAutospacing="0" w:line="360" w:lineRule="auto"/>
              <w:ind w:left="0" w:leftChars="0" w:right="0" w:right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7</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0C4E03CD">
            <w:pPr>
              <w:keepNext w:val="0"/>
              <w:keepLines w:val="0"/>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sz w:val="24"/>
                <w:szCs w:val="24"/>
                <w:highlight w:val="none"/>
              </w:rPr>
              <w:t>投标报价</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4DC3FD54">
            <w:pPr>
              <w:keepNext w:val="0"/>
              <w:keepLines w:val="0"/>
              <w:numPr>
                <w:ilvl w:val="0"/>
                <w:numId w:val="0"/>
              </w:numPr>
              <w:suppressLineNumbers w:val="0"/>
              <w:wordWrap w:val="0"/>
              <w:spacing w:before="0" w:beforeAutospacing="0" w:after="0" w:afterAutospacing="0"/>
              <w:ind w:left="0" w:leftChars="0" w:right="0" w:firstLine="0" w:firstLineChars="0"/>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sz w:val="24"/>
                <w:szCs w:val="24"/>
                <w:highlight w:val="none"/>
              </w:rPr>
              <w:t>投标人的</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标报价情况。</w:t>
            </w:r>
          </w:p>
        </w:tc>
      </w:tr>
    </w:tbl>
    <w:p w14:paraId="64563D4E">
      <w:pPr>
        <w:wordWrap w:val="0"/>
        <w:spacing w:line="360" w:lineRule="auto"/>
        <w:jc w:val="left"/>
        <w:rPr>
          <w:rFonts w:ascii="宋体" w:hAnsi="宋体" w:cs="黑体"/>
          <w:b/>
          <w:color w:val="auto"/>
          <w:sz w:val="24"/>
          <w:highlight w:val="none"/>
        </w:rPr>
      </w:pPr>
      <w:r>
        <w:rPr>
          <w:rFonts w:hint="eastAsia" w:ascii="宋体" w:hAnsi="宋体" w:cs="黑体"/>
          <w:b/>
          <w:color w:val="auto"/>
          <w:sz w:val="24"/>
          <w:highlight w:val="none"/>
          <w:lang w:val="en-US" w:eastAsia="zh-CN"/>
        </w:rPr>
        <w:t>7</w:t>
      </w:r>
      <w:r>
        <w:rPr>
          <w:rFonts w:hint="eastAsia" w:ascii="宋体" w:hAnsi="宋体" w:cs="黑体"/>
          <w:b/>
          <w:color w:val="auto"/>
          <w:sz w:val="24"/>
          <w:highlight w:val="none"/>
        </w:rPr>
        <w:t>、定标程序</w:t>
      </w:r>
    </w:p>
    <w:p w14:paraId="4023349D">
      <w:pPr>
        <w:spacing w:line="440" w:lineRule="exact"/>
        <w:ind w:firstLine="480" w:firstLineChars="200"/>
        <w:jc w:val="left"/>
        <w:rPr>
          <w:rFonts w:hint="eastAsia" w:ascii="宋体" w:hAnsi="宋体" w:cs="宋体"/>
          <w:sz w:val="24"/>
        </w:rPr>
      </w:pPr>
      <w:r>
        <w:rPr>
          <w:rFonts w:hint="eastAsia" w:ascii="宋体" w:hAnsi="宋体" w:cs="宋体"/>
          <w:sz w:val="24"/>
        </w:rPr>
        <w:t>定标会议在</w:t>
      </w:r>
      <w:r>
        <w:rPr>
          <w:rFonts w:hint="eastAsia" w:ascii="宋体" w:hAnsi="宋体" w:cs="宋体"/>
          <w:sz w:val="24"/>
          <w:lang w:val="en-US" w:eastAsia="zh-CN"/>
        </w:rPr>
        <w:t>卢氏县</w:t>
      </w:r>
      <w:r>
        <w:rPr>
          <w:rFonts w:hint="eastAsia" w:ascii="宋体" w:hAnsi="宋体" w:cs="宋体"/>
          <w:sz w:val="24"/>
        </w:rPr>
        <w:t>公共资源交易中心按流程进行，由招标代理机构主持人介绍参会人员及定标委员会成员，具体程序分为以下几方面：</w:t>
      </w:r>
    </w:p>
    <w:p w14:paraId="7BAFB39D">
      <w:pPr>
        <w:spacing w:line="440" w:lineRule="exact"/>
        <w:ind w:firstLine="480" w:firstLineChars="200"/>
        <w:jc w:val="left"/>
        <w:rPr>
          <w:rFonts w:ascii="宋体" w:hAnsi="宋体" w:cs="宋体"/>
          <w:sz w:val="24"/>
        </w:rPr>
      </w:pPr>
      <w:r>
        <w:rPr>
          <w:rFonts w:ascii="宋体" w:hAnsi="宋体" w:cs="宋体"/>
          <w:sz w:val="24"/>
        </w:rPr>
        <w:t>1.宣读定标会议纪律；</w:t>
      </w:r>
    </w:p>
    <w:p w14:paraId="5B049187">
      <w:pPr>
        <w:spacing w:line="440" w:lineRule="exact"/>
        <w:ind w:firstLine="480" w:firstLineChars="200"/>
        <w:jc w:val="left"/>
        <w:rPr>
          <w:rFonts w:ascii="宋体" w:hAnsi="宋体" w:cs="宋体"/>
          <w:sz w:val="24"/>
        </w:rPr>
      </w:pPr>
      <w:r>
        <w:rPr>
          <w:rFonts w:ascii="宋体" w:hAnsi="宋体" w:cs="宋体"/>
          <w:sz w:val="24"/>
        </w:rPr>
        <w:t>2.介绍项目关联单位；</w:t>
      </w:r>
    </w:p>
    <w:p w14:paraId="149FEBE8">
      <w:pPr>
        <w:spacing w:line="440" w:lineRule="exact"/>
        <w:ind w:firstLine="480" w:firstLineChars="200"/>
        <w:jc w:val="left"/>
        <w:rPr>
          <w:rFonts w:ascii="宋体" w:hAnsi="宋体" w:cs="宋体"/>
          <w:sz w:val="24"/>
        </w:rPr>
      </w:pPr>
      <w:r>
        <w:rPr>
          <w:rFonts w:ascii="宋体" w:hAnsi="宋体" w:cs="宋体"/>
          <w:sz w:val="24"/>
        </w:rPr>
        <w:t>3.定标委员会签署承诺书；</w:t>
      </w:r>
    </w:p>
    <w:p w14:paraId="09771172">
      <w:pPr>
        <w:spacing w:line="440" w:lineRule="exact"/>
        <w:ind w:firstLine="480" w:firstLineChars="200"/>
        <w:jc w:val="left"/>
        <w:rPr>
          <w:rFonts w:ascii="宋体" w:hAnsi="宋体" w:cs="宋体"/>
          <w:sz w:val="24"/>
        </w:rPr>
      </w:pPr>
      <w:r>
        <w:rPr>
          <w:rFonts w:ascii="宋体" w:hAnsi="宋体" w:cs="宋体"/>
          <w:sz w:val="24"/>
        </w:rPr>
        <w:t>4.介绍开评标过程及评标委员会推荐中标候选人情况；</w:t>
      </w:r>
    </w:p>
    <w:p w14:paraId="303B4F91">
      <w:pPr>
        <w:spacing w:line="440" w:lineRule="exact"/>
        <w:ind w:firstLine="480" w:firstLineChars="200"/>
        <w:jc w:val="left"/>
        <w:rPr>
          <w:rFonts w:ascii="宋体" w:hAnsi="宋体" w:cs="宋体"/>
          <w:sz w:val="24"/>
        </w:rPr>
      </w:pPr>
      <w:r>
        <w:rPr>
          <w:rFonts w:ascii="宋体" w:hAnsi="宋体" w:cs="宋体"/>
          <w:sz w:val="24"/>
        </w:rPr>
        <w:t>5.定标委员会代表宣读核查结果；</w:t>
      </w:r>
    </w:p>
    <w:p w14:paraId="2BE9EEBB">
      <w:pPr>
        <w:spacing w:line="440" w:lineRule="exact"/>
        <w:ind w:firstLine="480" w:firstLineChars="200"/>
        <w:jc w:val="left"/>
        <w:rPr>
          <w:rFonts w:ascii="宋体" w:hAnsi="宋体" w:cs="宋体"/>
          <w:sz w:val="24"/>
        </w:rPr>
      </w:pPr>
      <w:r>
        <w:rPr>
          <w:rFonts w:ascii="宋体" w:hAnsi="宋体" w:cs="宋体"/>
          <w:sz w:val="24"/>
        </w:rPr>
        <w:t>6.进入定标程序。</w:t>
      </w:r>
    </w:p>
    <w:p w14:paraId="1F8CD94D">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本项目采用核查随机法进行定标。</w:t>
      </w:r>
    </w:p>
    <w:p w14:paraId="16288EF0">
      <w:pPr>
        <w:spacing w:line="480" w:lineRule="exact"/>
        <w:ind w:firstLine="480" w:firstLineChars="200"/>
        <w:jc w:val="left"/>
        <w:rPr>
          <w:rFonts w:ascii="宋体" w:hAnsi="宋体" w:cs="宋体"/>
          <w:sz w:val="24"/>
          <w:szCs w:val="24"/>
        </w:rPr>
      </w:pPr>
      <w:r>
        <w:rPr>
          <w:rFonts w:ascii="宋体" w:hAnsi="宋体" w:cs="宋体"/>
          <w:sz w:val="24"/>
          <w:szCs w:val="24"/>
        </w:rPr>
        <w:t>检查、投放号码球。在定标现场，公证处人员检查抽取箱和号码球，面对摄像头展示号码球，并将等于中标候选人数量的号码球投入抽取箱。双手抱起抽取箱摇动号码球后，面对摄像头和参会人员展示抽取箱透明面。</w:t>
      </w:r>
    </w:p>
    <w:p w14:paraId="78D43E97">
      <w:pPr>
        <w:spacing w:line="480" w:lineRule="exact"/>
        <w:ind w:firstLine="480" w:firstLineChars="200"/>
        <w:jc w:val="left"/>
        <w:rPr>
          <w:rFonts w:ascii="宋体" w:hAnsi="宋体" w:cs="宋体"/>
          <w:sz w:val="24"/>
          <w:szCs w:val="24"/>
        </w:rPr>
      </w:pPr>
      <w:r>
        <w:rPr>
          <w:rFonts w:ascii="宋体" w:hAnsi="宋体" w:cs="宋体"/>
          <w:sz w:val="24"/>
          <w:szCs w:val="24"/>
        </w:rPr>
        <w:t>抽取中标候选人代码球。先由到场的中标候选人法定代表人或其授权委托代理人（按签到顺序）抽取代码球，再由未到场的中标候选人委托定标委员会成员抽取代码球。</w:t>
      </w:r>
      <w:r>
        <w:rPr>
          <w:rFonts w:hint="eastAsia" w:ascii="宋体" w:hAnsi="宋体" w:cs="宋体"/>
          <w:sz w:val="24"/>
          <w:szCs w:val="24"/>
        </w:rPr>
        <w:t>按照定标委员会人员签到表顺序最后1名签到人员为</w:t>
      </w:r>
      <w:r>
        <w:rPr>
          <w:rFonts w:ascii="宋体" w:hAnsi="宋体" w:cs="宋体"/>
          <w:sz w:val="24"/>
          <w:szCs w:val="24"/>
        </w:rPr>
        <w:t>未到场的中标候选人</w:t>
      </w:r>
      <w:r>
        <w:rPr>
          <w:rFonts w:hint="eastAsia" w:ascii="宋体" w:hAnsi="宋体" w:cs="宋体"/>
          <w:sz w:val="24"/>
          <w:szCs w:val="24"/>
        </w:rPr>
        <w:t>抽取代码球，未到场中标候选人抽取顺序为：按照评标报告推荐的中标候选人的先后顺序进行抽取。</w:t>
      </w:r>
      <w:r>
        <w:rPr>
          <w:rFonts w:ascii="宋体" w:hAnsi="宋体" w:cs="宋体"/>
          <w:sz w:val="24"/>
          <w:szCs w:val="24"/>
        </w:rPr>
        <w:t>代码球抽取过程应无遮挡行为。招标代理机构人员应及时将中标候选人抽取的代码球号记录准确，并在大屏幕展示。</w:t>
      </w:r>
    </w:p>
    <w:p w14:paraId="3D3CA546">
      <w:pPr>
        <w:spacing w:line="480" w:lineRule="exact"/>
        <w:ind w:firstLine="480" w:firstLineChars="200"/>
        <w:jc w:val="left"/>
        <w:rPr>
          <w:rFonts w:ascii="宋体" w:hAnsi="宋体" w:cs="宋体"/>
          <w:sz w:val="24"/>
          <w:szCs w:val="24"/>
        </w:rPr>
      </w:pPr>
      <w:r>
        <w:rPr>
          <w:rFonts w:ascii="宋体" w:hAnsi="宋体" w:cs="宋体"/>
          <w:sz w:val="24"/>
          <w:szCs w:val="24"/>
        </w:rPr>
        <w:t>抽取时，抽取人站在抽取箱背面（抽取箱透明面为正面），待公证处人员随机摇晃抽取箱后，抽取人应扭头侧身快速抽取代码球，面对摄像机向参会人员展示抽取的代码球后，交给公证处人员。公证处人员现场宣读抽取的代码球号，并将代码球放置在指定位置上。直至所有中标候选人抽取完毕。</w:t>
      </w:r>
    </w:p>
    <w:p w14:paraId="65DF84C3">
      <w:pPr>
        <w:spacing w:line="480" w:lineRule="exact"/>
        <w:ind w:firstLine="480" w:firstLineChars="200"/>
        <w:jc w:val="left"/>
        <w:rPr>
          <w:rFonts w:ascii="宋体" w:hAnsi="宋体" w:cs="宋体"/>
          <w:sz w:val="24"/>
          <w:szCs w:val="24"/>
        </w:rPr>
      </w:pPr>
      <w:r>
        <w:rPr>
          <w:rFonts w:ascii="宋体" w:hAnsi="宋体" w:cs="宋体"/>
          <w:sz w:val="24"/>
          <w:szCs w:val="24"/>
        </w:rPr>
        <w:t>所有中标候选人抽取完毕后，招标代理机构现场打印《中标候选人抽取代码球号记录表》，定标委员会成员签字存档。</w:t>
      </w:r>
    </w:p>
    <w:p w14:paraId="5CC557DF">
      <w:pPr>
        <w:spacing w:line="480" w:lineRule="exact"/>
        <w:ind w:firstLine="480" w:firstLineChars="200"/>
        <w:jc w:val="left"/>
        <w:rPr>
          <w:rFonts w:ascii="宋体" w:hAnsi="宋体" w:cs="宋体"/>
          <w:sz w:val="24"/>
          <w:szCs w:val="24"/>
        </w:rPr>
      </w:pPr>
      <w:r>
        <w:rPr>
          <w:rFonts w:ascii="宋体" w:hAnsi="宋体" w:cs="宋体"/>
          <w:sz w:val="24"/>
          <w:szCs w:val="24"/>
        </w:rPr>
        <w:t>抽取中标人号码球。公证处人员再次检查抽取箱和中标候选人代码球，并将代码球投入抽取箱并随机摇晃抽取箱。定标委员会组长随机抽取代码球，抽中的号码所对应的中标候选人确定为中标人。</w:t>
      </w:r>
    </w:p>
    <w:p w14:paraId="031E6BC5">
      <w:pPr>
        <w:spacing w:line="480" w:lineRule="exact"/>
        <w:ind w:firstLine="480" w:firstLineChars="200"/>
        <w:jc w:val="left"/>
        <w:rPr>
          <w:rFonts w:ascii="宋体" w:hAnsi="宋体" w:cs="宋体"/>
          <w:sz w:val="24"/>
          <w:szCs w:val="24"/>
        </w:rPr>
      </w:pPr>
      <w:r>
        <w:rPr>
          <w:rFonts w:ascii="宋体" w:hAnsi="宋体" w:cs="宋体"/>
          <w:sz w:val="24"/>
          <w:szCs w:val="24"/>
        </w:rPr>
        <w:t>抽取时，定标委员会组长站在抽取箱背面，扭头侧身快速抽取代码球，面对摄像机向参会人员展示抽取的代码球后，交给公证处人员。代码球抽取过程应无遮挡行为。公证处人员现场宣读抽取的代码球号，并把代码球放置在中标人放置架上。</w:t>
      </w:r>
    </w:p>
    <w:p w14:paraId="17BF9F34">
      <w:pPr>
        <w:spacing w:line="480" w:lineRule="exact"/>
        <w:ind w:firstLine="480" w:firstLineChars="200"/>
        <w:jc w:val="left"/>
        <w:rPr>
          <w:rFonts w:ascii="宋体" w:hAnsi="宋体" w:cs="宋体"/>
          <w:sz w:val="24"/>
          <w:szCs w:val="24"/>
        </w:rPr>
      </w:pPr>
      <w:r>
        <w:rPr>
          <w:rFonts w:ascii="宋体" w:hAnsi="宋体" w:cs="宋体"/>
          <w:sz w:val="24"/>
          <w:szCs w:val="24"/>
        </w:rPr>
        <w:t>宣读中标人。定标委员会组长宣布中标人，招标代理机构人员现场填写中标人信息和出具《定标报告》。</w:t>
      </w:r>
    </w:p>
    <w:p w14:paraId="3533C359">
      <w:pPr>
        <w:spacing w:line="480" w:lineRule="exact"/>
        <w:ind w:firstLine="480" w:firstLineChars="200"/>
        <w:jc w:val="left"/>
        <w:rPr>
          <w:rFonts w:ascii="宋体" w:hAnsi="宋体" w:cs="宋体"/>
          <w:sz w:val="24"/>
          <w:szCs w:val="24"/>
        </w:rPr>
      </w:pPr>
      <w:r>
        <w:rPr>
          <w:rFonts w:ascii="宋体" w:hAnsi="宋体" w:cs="宋体"/>
          <w:sz w:val="24"/>
          <w:szCs w:val="24"/>
        </w:rPr>
        <w:t>签字确认。定标委员会成员、监督部门人员在《定标报告》《抽取结果表》《定标见证记录表》上签字。</w:t>
      </w:r>
    </w:p>
    <w:p w14:paraId="750F526F">
      <w:pPr>
        <w:spacing w:line="480" w:lineRule="exact"/>
        <w:ind w:firstLine="480" w:firstLineChars="200"/>
        <w:jc w:val="left"/>
        <w:rPr>
          <w:rFonts w:ascii="宋体" w:hAnsi="宋体" w:cs="宋体"/>
          <w:sz w:val="24"/>
          <w:szCs w:val="24"/>
        </w:rPr>
      </w:pPr>
      <w:r>
        <w:rPr>
          <w:rFonts w:ascii="宋体" w:hAnsi="宋体" w:cs="宋体"/>
          <w:sz w:val="24"/>
          <w:szCs w:val="24"/>
        </w:rPr>
        <w:t>公证处人员宣读公证词。</w:t>
      </w:r>
    </w:p>
    <w:p w14:paraId="04CFD10F">
      <w:pPr>
        <w:spacing w:line="440" w:lineRule="exact"/>
        <w:ind w:firstLine="480" w:firstLineChars="200"/>
        <w:jc w:val="left"/>
        <w:rPr>
          <w:rFonts w:hint="eastAsia" w:ascii="宋体" w:hAnsi="宋体" w:cs="宋体"/>
          <w:bCs/>
          <w:sz w:val="24"/>
          <w:szCs w:val="24"/>
        </w:rPr>
      </w:pPr>
      <w:r>
        <w:rPr>
          <w:rFonts w:ascii="宋体" w:hAnsi="宋体" w:cs="宋体"/>
          <w:sz w:val="24"/>
          <w:szCs w:val="24"/>
        </w:rPr>
        <w:t>招标代理机构主持人宣布定标会议结束。</w:t>
      </w:r>
    </w:p>
    <w:p w14:paraId="053976ED">
      <w:pPr>
        <w:spacing w:line="440" w:lineRule="exact"/>
        <w:jc w:val="left"/>
        <w:rPr>
          <w:rFonts w:ascii="宋体" w:hAnsi="宋体" w:cs="黑体"/>
          <w:b/>
          <w:sz w:val="24"/>
        </w:rPr>
      </w:pPr>
      <w:r>
        <w:rPr>
          <w:rFonts w:hint="eastAsia" w:ascii="宋体" w:hAnsi="宋体" w:cs="黑体"/>
          <w:b/>
          <w:sz w:val="24"/>
        </w:rPr>
        <w:t>8、定标报告</w:t>
      </w:r>
    </w:p>
    <w:p w14:paraId="68CD4705">
      <w:pPr>
        <w:spacing w:line="440" w:lineRule="exact"/>
        <w:ind w:firstLine="480" w:firstLineChars="200"/>
        <w:jc w:val="left"/>
        <w:rPr>
          <w:rFonts w:ascii="宋体" w:hAnsi="宋体" w:cs="宋体"/>
          <w:sz w:val="24"/>
        </w:rPr>
      </w:pPr>
      <w:r>
        <w:rPr>
          <w:rFonts w:hint="eastAsia" w:ascii="宋体" w:hAnsi="宋体" w:cs="宋体"/>
          <w:sz w:val="24"/>
        </w:rPr>
        <w:t>定标委员会应当按照招标文件中明确的定标原则、方法和程序，在中标候选人中确定中标人，并形成书面定标报告。</w:t>
      </w:r>
    </w:p>
    <w:p w14:paraId="703D956B">
      <w:pPr>
        <w:spacing w:line="440" w:lineRule="exact"/>
        <w:ind w:firstLine="482" w:firstLineChars="200"/>
        <w:jc w:val="left"/>
        <w:rPr>
          <w:rFonts w:ascii="宋体" w:hAnsi="宋体" w:cs="宋体"/>
          <w:b/>
          <w:sz w:val="24"/>
        </w:rPr>
      </w:pPr>
      <w:r>
        <w:rPr>
          <w:rFonts w:hint="eastAsia" w:ascii="宋体" w:hAnsi="宋体" w:cs="宋体"/>
          <w:b/>
          <w:sz w:val="24"/>
        </w:rPr>
        <w:t>定标报告应当包括项目基本情况、定标时间、定标地点、定标委员会成员名单、定标原则、定标方法、择优因素、定标程序及定标结果等内容。</w:t>
      </w:r>
    </w:p>
    <w:p w14:paraId="1EB562FD">
      <w:pPr>
        <w:spacing w:line="440" w:lineRule="exact"/>
        <w:ind w:firstLine="480" w:firstLineChars="200"/>
        <w:jc w:val="left"/>
        <w:rPr>
          <w:rFonts w:ascii="宋体" w:hAnsi="宋体" w:cs="宋体"/>
          <w:sz w:val="24"/>
        </w:rPr>
      </w:pPr>
      <w:r>
        <w:rPr>
          <w:rFonts w:hint="eastAsia" w:ascii="宋体" w:hAnsi="宋体" w:cs="宋体"/>
          <w:sz w:val="24"/>
        </w:rPr>
        <w:t>招标人应当在完成定标工作3日内发布中标结果公告，公示期不少于3日。中标结果公告应当载明定标时间、定标地点、定标方法、中标人名称、中标价格、质量、工期、资格条件、项目负责人信息；中标人的核查、考察、比较优势；核查未通过的中标候选人名单和原因，以及异议和投诉渠道等内容。</w:t>
      </w:r>
    </w:p>
    <w:p w14:paraId="727A78B7">
      <w:pPr>
        <w:wordWrap w:val="0"/>
        <w:spacing w:line="360" w:lineRule="auto"/>
        <w:ind w:firstLine="482" w:firstLineChars="200"/>
        <w:jc w:val="left"/>
        <w:rPr>
          <w:rFonts w:ascii="宋体" w:hAnsi="宋体" w:cs="黑体"/>
          <w:b/>
          <w:color w:val="auto"/>
          <w:sz w:val="24"/>
        </w:rPr>
      </w:pPr>
      <w:r>
        <w:rPr>
          <w:rFonts w:hint="eastAsia" w:ascii="宋体" w:hAnsi="宋体" w:cs="黑体"/>
          <w:b/>
          <w:color w:val="auto"/>
          <w:sz w:val="24"/>
          <w:lang w:val="en-US" w:eastAsia="zh-CN"/>
        </w:rPr>
        <w:t>9</w:t>
      </w:r>
      <w:r>
        <w:rPr>
          <w:rFonts w:hint="eastAsia" w:ascii="宋体" w:hAnsi="宋体" w:cs="黑体"/>
          <w:b/>
          <w:color w:val="auto"/>
          <w:sz w:val="24"/>
        </w:rPr>
        <w:t>、定标后结果处置</w:t>
      </w:r>
    </w:p>
    <w:p w14:paraId="1ACF3041">
      <w:pPr>
        <w:wordWrap w:val="0"/>
        <w:spacing w:line="360" w:lineRule="auto"/>
        <w:ind w:firstLine="480" w:firstLineChars="200"/>
        <w:jc w:val="left"/>
        <w:rPr>
          <w:rFonts w:ascii="宋体" w:hAnsi="宋体" w:cs="宋体"/>
          <w:color w:val="auto"/>
          <w:sz w:val="24"/>
        </w:rPr>
      </w:pPr>
      <w:r>
        <w:rPr>
          <w:rFonts w:hint="eastAsia" w:ascii="宋体" w:hAnsi="宋体" w:cs="宋体"/>
          <w:color w:val="auto"/>
          <w:sz w:val="24"/>
        </w:rPr>
        <w:t>（1）确定的中标人经公示后无其他问题，可以发放《中标通知书》。</w:t>
      </w:r>
    </w:p>
    <w:p w14:paraId="37766C94">
      <w:pPr>
        <w:wordWrap w:val="0"/>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rPr>
        <w:t>（2）对因中标人放弃中标、不</w:t>
      </w:r>
      <w:r>
        <w:rPr>
          <w:rFonts w:hint="eastAsia" w:ascii="宋体" w:hAnsi="宋体" w:eastAsia="宋体" w:cs="宋体"/>
          <w:color w:val="auto"/>
          <w:sz w:val="24"/>
        </w:rPr>
        <w:t>可抗力不能履行合同、不按照招标文件要求缴纳履约保证金、不符合投标或中标条件或被查实存在影响中标结果的违法行为等情形，招标人可以在</w:t>
      </w:r>
      <w:r>
        <w:rPr>
          <w:rFonts w:hint="eastAsia" w:ascii="宋体" w:hAnsi="宋体" w:eastAsia="宋体" w:cs="宋体"/>
          <w:color w:val="auto"/>
          <w:sz w:val="24"/>
          <w:lang w:eastAsia="zh-CN"/>
        </w:rPr>
        <w:t>中标候选人</w:t>
      </w:r>
      <w:r>
        <w:rPr>
          <w:rFonts w:hint="eastAsia" w:ascii="宋体" w:hAnsi="宋体" w:eastAsia="宋体" w:cs="宋体"/>
          <w:color w:val="auto"/>
          <w:sz w:val="24"/>
        </w:rPr>
        <w:t>中重新选取确定中标人，也可以重新招标。</w:t>
      </w:r>
    </w:p>
    <w:p w14:paraId="035D96FB">
      <w:pPr>
        <w:wordWrap w:val="0"/>
        <w:spacing w:line="360" w:lineRule="auto"/>
        <w:ind w:firstLine="480" w:firstLineChars="200"/>
        <w:jc w:val="left"/>
        <w:rPr>
          <w:rFonts w:hint="eastAsia" w:ascii="宋体" w:hAnsi="宋体" w:eastAsia="宋体" w:cs="宋体"/>
          <w:color w:val="auto"/>
          <w:sz w:val="24"/>
          <w:lang w:eastAsia="zh-CN"/>
        </w:rPr>
        <w:sectPr>
          <w:footerReference r:id="rId4" w:type="default"/>
          <w:pgSz w:w="11911" w:h="16838"/>
          <w:pgMar w:top="1440" w:right="1080" w:bottom="1440" w:left="1080" w:header="777" w:footer="641" w:gutter="0"/>
          <w:pgNumType w:start="1"/>
          <w:cols w:space="720" w:num="1"/>
        </w:sectPr>
      </w:pPr>
      <w:r>
        <w:rPr>
          <w:rFonts w:hint="eastAsia" w:ascii="宋体" w:hAnsi="宋体" w:eastAsia="宋体" w:cs="宋体"/>
          <w:color w:val="auto"/>
          <w:sz w:val="24"/>
        </w:rPr>
        <w:t>（3）对中标人以资金、技术等非正当理由放弃中标或被依法依规取消中标的，招标人应当移交有关行政监督部门依法规进行处理</w:t>
      </w:r>
      <w:r>
        <w:rPr>
          <w:rFonts w:hint="eastAsia" w:ascii="宋体" w:hAnsi="宋体" w:eastAsia="宋体" w:cs="宋体"/>
          <w:color w:val="auto"/>
          <w:sz w:val="24"/>
          <w:lang w:eastAsia="zh-CN"/>
        </w:rPr>
        <w:t>。</w:t>
      </w:r>
    </w:p>
    <w:p w14:paraId="11BC5B4C">
      <w:pPr>
        <w:pStyle w:val="2"/>
        <w:wordWrap w:val="0"/>
        <w:spacing w:line="240" w:lineRule="auto"/>
        <w:jc w:val="center"/>
        <w:rPr>
          <w:rFonts w:ascii="宋体" w:hAnsi="宋体" w:cs="宋体"/>
          <w:bCs w:val="0"/>
          <w:color w:val="auto"/>
          <w:kern w:val="0"/>
          <w:sz w:val="30"/>
          <w:szCs w:val="30"/>
        </w:rPr>
      </w:pPr>
      <w:r>
        <w:rPr>
          <w:rFonts w:hint="eastAsia" w:ascii="宋体" w:hAnsi="宋体" w:cs="宋体"/>
          <w:bCs w:val="0"/>
          <w:color w:val="auto"/>
          <w:kern w:val="0"/>
          <w:sz w:val="30"/>
          <w:szCs w:val="30"/>
          <w:lang w:val="en-US" w:eastAsia="zh-CN"/>
        </w:rPr>
        <w:t>五、</w:t>
      </w:r>
      <w:r>
        <w:rPr>
          <w:rFonts w:hint="eastAsia" w:ascii="宋体" w:hAnsi="宋体" w:cs="宋体"/>
          <w:bCs w:val="0"/>
          <w:color w:val="auto"/>
          <w:kern w:val="0"/>
          <w:sz w:val="30"/>
          <w:szCs w:val="30"/>
        </w:rPr>
        <w:t>合同条款及格式</w:t>
      </w:r>
      <w:bookmarkEnd w:id="500"/>
      <w:bookmarkEnd w:id="501"/>
      <w:bookmarkEnd w:id="502"/>
    </w:p>
    <w:bookmarkEnd w:id="466"/>
    <w:bookmarkEnd w:id="467"/>
    <w:bookmarkEnd w:id="468"/>
    <w:bookmarkEnd w:id="469"/>
    <w:bookmarkEnd w:id="470"/>
    <w:bookmarkEnd w:id="471"/>
    <w:bookmarkEnd w:id="472"/>
    <w:p w14:paraId="17813232">
      <w:pPr>
        <w:wordWrap w:val="0"/>
        <w:spacing w:line="360" w:lineRule="auto"/>
        <w:jc w:val="center"/>
        <w:rPr>
          <w:b/>
          <w:color w:val="auto"/>
          <w:sz w:val="28"/>
          <w:szCs w:val="28"/>
        </w:rPr>
      </w:pPr>
      <w:bookmarkStart w:id="503" w:name="_Toc7604"/>
      <w:bookmarkStart w:id="504" w:name="_Toc3846"/>
      <w:bookmarkStart w:id="505" w:name="_Toc10865"/>
      <w:bookmarkStart w:id="506" w:name="_Toc2635"/>
      <w:bookmarkStart w:id="507" w:name="_Toc489602188"/>
      <w:bookmarkStart w:id="508" w:name="_Toc10629"/>
      <w:bookmarkStart w:id="509" w:name="_Toc76460600"/>
      <w:bookmarkStart w:id="510" w:name="_Toc740"/>
      <w:bookmarkStart w:id="511" w:name="_Toc28640"/>
      <w:bookmarkStart w:id="512" w:name="_Toc19450"/>
      <w:bookmarkStart w:id="513" w:name="_Toc83750146"/>
      <w:r>
        <w:rPr>
          <w:rFonts w:hint="eastAsia"/>
          <w:b/>
          <w:color w:val="auto"/>
          <w:sz w:val="28"/>
          <w:szCs w:val="28"/>
        </w:rPr>
        <w:t>(仅供参考)</w:t>
      </w:r>
      <w:bookmarkEnd w:id="503"/>
      <w:bookmarkEnd w:id="504"/>
    </w:p>
    <w:p w14:paraId="2C3D3164">
      <w:pPr>
        <w:widowControl/>
        <w:wordWrap w:val="0"/>
        <w:spacing w:after="200" w:line="276" w:lineRule="auto"/>
        <w:jc w:val="center"/>
        <w:rPr>
          <w:rFonts w:ascii="宋体" w:hAnsi="宋体"/>
          <w:b/>
          <w:bCs/>
          <w:color w:val="auto"/>
          <w:kern w:val="0"/>
          <w:sz w:val="28"/>
          <w:szCs w:val="30"/>
        </w:rPr>
      </w:pPr>
      <w:r>
        <w:rPr>
          <w:rFonts w:ascii="宋体" w:hAnsi="宋体" w:cs="宋体"/>
          <w:b/>
          <w:bCs/>
          <w:color w:val="auto"/>
          <w:kern w:val="0"/>
          <w:sz w:val="28"/>
          <w:szCs w:val="30"/>
        </w:rPr>
        <w:t>第一节</w:t>
      </w:r>
      <w:r>
        <w:rPr>
          <w:rFonts w:ascii="宋体" w:hAnsi="宋体" w:cs="宋体"/>
          <w:b/>
          <w:bCs/>
          <w:color w:val="auto"/>
          <w:kern w:val="0"/>
          <w:sz w:val="28"/>
          <w:szCs w:val="30"/>
        </w:rPr>
        <w:tab/>
      </w:r>
      <w:r>
        <w:rPr>
          <w:rFonts w:ascii="宋体" w:hAnsi="宋体" w:cs="宋体"/>
          <w:b/>
          <w:bCs/>
          <w:color w:val="auto"/>
          <w:kern w:val="0"/>
          <w:sz w:val="28"/>
          <w:szCs w:val="30"/>
        </w:rPr>
        <w:t>通用合同条款</w:t>
      </w:r>
    </w:p>
    <w:p w14:paraId="4846F9FD">
      <w:pPr>
        <w:widowControl/>
        <w:wordWrap w:val="0"/>
        <w:jc w:val="center"/>
        <w:rPr>
          <w:rFonts w:ascii="宋体" w:hAnsi="宋体"/>
          <w:b/>
          <w:bCs/>
          <w:color w:val="auto"/>
          <w:kern w:val="1"/>
          <w:sz w:val="24"/>
          <w:szCs w:val="20"/>
        </w:rPr>
      </w:pPr>
      <w:bookmarkStart w:id="514" w:name="_Toc14321"/>
      <w:bookmarkEnd w:id="514"/>
      <w:bookmarkStart w:id="515" w:name="_Toc382236792"/>
      <w:bookmarkEnd w:id="515"/>
      <w:bookmarkStart w:id="516" w:name="_Toc246996254"/>
      <w:bookmarkEnd w:id="516"/>
      <w:bookmarkStart w:id="517" w:name="_Toc246996998"/>
      <w:bookmarkEnd w:id="517"/>
      <w:bookmarkStart w:id="518" w:name="_Toc247085769"/>
      <w:bookmarkEnd w:id="518"/>
      <w:bookmarkStart w:id="519" w:name="_Toc246996997"/>
      <w:bookmarkEnd w:id="519"/>
      <w:bookmarkStart w:id="520" w:name="_Toc247085770"/>
      <w:bookmarkEnd w:id="520"/>
      <w:bookmarkStart w:id="521" w:name="_Toc184635098"/>
      <w:bookmarkEnd w:id="521"/>
      <w:bookmarkStart w:id="522" w:name="_Toc296602499"/>
      <w:bookmarkEnd w:id="522"/>
      <w:bookmarkStart w:id="523" w:name="_Toc259437553"/>
      <w:bookmarkEnd w:id="523"/>
      <w:bookmarkStart w:id="524" w:name="_Toc296602500"/>
      <w:bookmarkEnd w:id="524"/>
      <w:r>
        <w:rPr>
          <w:rFonts w:ascii="宋体" w:hAnsi="宋体"/>
          <w:b/>
          <w:bCs/>
          <w:color w:val="auto"/>
          <w:kern w:val="1"/>
          <w:sz w:val="24"/>
          <w:szCs w:val="20"/>
        </w:rPr>
        <w:t>“通用合同条款”采用《标准施工招标文件》的“通用合同条款”。</w:t>
      </w:r>
    </w:p>
    <w:p w14:paraId="72E8DD53">
      <w:pPr>
        <w:widowControl/>
        <w:wordWrap w:val="0"/>
        <w:jc w:val="center"/>
        <w:rPr>
          <w:rFonts w:ascii="宋体" w:hAnsi="宋体"/>
          <w:b/>
          <w:bCs/>
          <w:color w:val="auto"/>
          <w:kern w:val="1"/>
          <w:sz w:val="20"/>
          <w:szCs w:val="20"/>
        </w:rPr>
      </w:pPr>
    </w:p>
    <w:p w14:paraId="0923102A">
      <w:pPr>
        <w:wordWrap w:val="0"/>
        <w:rPr>
          <w:rFonts w:ascii="宋体" w:hAnsi="宋体" w:cs="宋体"/>
          <w:b/>
          <w:bCs/>
          <w:color w:val="auto"/>
          <w:kern w:val="0"/>
          <w:sz w:val="28"/>
          <w:szCs w:val="30"/>
        </w:rPr>
      </w:pPr>
      <w:r>
        <w:rPr>
          <w:rFonts w:ascii="宋体" w:hAnsi="宋体" w:cs="宋体"/>
          <w:b/>
          <w:bCs/>
          <w:color w:val="auto"/>
          <w:kern w:val="0"/>
          <w:sz w:val="28"/>
          <w:szCs w:val="30"/>
        </w:rPr>
        <w:br w:type="page"/>
      </w:r>
    </w:p>
    <w:p w14:paraId="05A73725">
      <w:pPr>
        <w:widowControl/>
        <w:wordWrap w:val="0"/>
        <w:spacing w:after="200" w:line="276" w:lineRule="auto"/>
        <w:jc w:val="center"/>
        <w:rPr>
          <w:rFonts w:ascii="宋体" w:hAnsi="宋体" w:cs="宋体"/>
          <w:b/>
          <w:bCs/>
          <w:color w:val="auto"/>
          <w:kern w:val="0"/>
          <w:sz w:val="28"/>
          <w:szCs w:val="30"/>
        </w:rPr>
      </w:pPr>
      <w:r>
        <w:rPr>
          <w:rFonts w:ascii="宋体" w:hAnsi="宋体" w:cs="宋体"/>
          <w:b/>
          <w:bCs/>
          <w:color w:val="auto"/>
          <w:kern w:val="0"/>
          <w:sz w:val="28"/>
          <w:szCs w:val="30"/>
        </w:rPr>
        <w:t>第二节</w:t>
      </w:r>
      <w:r>
        <w:rPr>
          <w:rFonts w:ascii="宋体" w:hAnsi="宋体" w:cs="宋体"/>
          <w:b/>
          <w:bCs/>
          <w:color w:val="auto"/>
          <w:kern w:val="0"/>
          <w:sz w:val="28"/>
          <w:szCs w:val="30"/>
        </w:rPr>
        <w:tab/>
      </w:r>
      <w:r>
        <w:rPr>
          <w:rFonts w:ascii="宋体" w:hAnsi="宋体" w:cs="宋体"/>
          <w:b/>
          <w:bCs/>
          <w:color w:val="auto"/>
          <w:kern w:val="0"/>
          <w:sz w:val="28"/>
          <w:szCs w:val="30"/>
        </w:rPr>
        <w:t>专用合同条款</w:t>
      </w:r>
    </w:p>
    <w:p w14:paraId="0D34B329">
      <w:pPr>
        <w:widowControl/>
        <w:wordWrap w:val="0"/>
        <w:spacing w:after="200" w:line="276" w:lineRule="auto"/>
        <w:jc w:val="center"/>
        <w:rPr>
          <w:rFonts w:ascii="宋体" w:hAnsi="宋体" w:cs="宋体"/>
          <w:color w:val="auto"/>
          <w:kern w:val="0"/>
          <w:sz w:val="24"/>
        </w:rPr>
      </w:pPr>
      <w:r>
        <w:rPr>
          <w:rFonts w:ascii="宋体" w:hAnsi="宋体" w:cs="黑体"/>
          <w:color w:val="auto"/>
          <w:kern w:val="0"/>
          <w:sz w:val="28"/>
          <w:szCs w:val="36"/>
        </w:rPr>
        <w:t>A.公路工程专用合同条款</w:t>
      </w:r>
    </w:p>
    <w:p w14:paraId="07D298B7">
      <w:pPr>
        <w:wordWrap w:val="0"/>
        <w:spacing w:line="360" w:lineRule="auto"/>
        <w:ind w:firstLine="480" w:firstLineChars="200"/>
        <w:rPr>
          <w:rFonts w:hint="eastAsia" w:ascii="宋体" w:hAnsi="宋体"/>
          <w:sz w:val="24"/>
          <w:szCs w:val="24"/>
        </w:rPr>
      </w:pPr>
      <w:bookmarkStart w:id="525" w:name="_Toc234382841"/>
      <w:r>
        <w:rPr>
          <w:rFonts w:hint="eastAsia" w:ascii="宋体" w:hAnsi="宋体"/>
          <w:sz w:val="24"/>
          <w:szCs w:val="24"/>
        </w:rPr>
        <w:t>1．一般约定</w:t>
      </w:r>
      <w:bookmarkEnd w:id="525"/>
    </w:p>
    <w:p w14:paraId="2050F2DD">
      <w:pPr>
        <w:wordWrap w:val="0"/>
        <w:spacing w:line="360" w:lineRule="auto"/>
        <w:ind w:firstLine="480" w:firstLineChars="200"/>
        <w:rPr>
          <w:rFonts w:hint="eastAsia" w:ascii="宋体" w:hAnsi="宋体"/>
          <w:sz w:val="24"/>
          <w:szCs w:val="24"/>
        </w:rPr>
      </w:pPr>
      <w:bookmarkStart w:id="526" w:name="_Toc234382842"/>
      <w:r>
        <w:rPr>
          <w:rFonts w:hint="eastAsia" w:ascii="宋体" w:hAnsi="宋体"/>
          <w:sz w:val="24"/>
          <w:szCs w:val="24"/>
        </w:rPr>
        <w:t>1.1词语定义</w:t>
      </w:r>
      <w:bookmarkEnd w:id="526"/>
    </w:p>
    <w:p w14:paraId="75B7C847">
      <w:pPr>
        <w:wordWrap w:val="0"/>
        <w:spacing w:line="360" w:lineRule="auto"/>
        <w:ind w:firstLine="480" w:firstLineChars="200"/>
        <w:rPr>
          <w:rFonts w:hint="eastAsia" w:ascii="宋体" w:hAnsi="宋体"/>
          <w:sz w:val="24"/>
          <w:szCs w:val="24"/>
        </w:rPr>
      </w:pPr>
      <w:r>
        <w:rPr>
          <w:rFonts w:hint="eastAsia" w:ascii="宋体" w:hAnsi="宋体"/>
          <w:sz w:val="24"/>
          <w:szCs w:val="24"/>
        </w:rPr>
        <w:t>1.1.1合同</w:t>
      </w:r>
    </w:p>
    <w:p w14:paraId="3A39CA56">
      <w:pPr>
        <w:wordWrap w:val="0"/>
        <w:spacing w:line="360" w:lineRule="auto"/>
        <w:ind w:firstLine="480" w:firstLineChars="200"/>
        <w:rPr>
          <w:rFonts w:hint="eastAsia" w:ascii="宋体" w:hAnsi="宋体"/>
          <w:sz w:val="24"/>
          <w:szCs w:val="24"/>
        </w:rPr>
      </w:pPr>
      <w:r>
        <w:rPr>
          <w:rFonts w:hint="eastAsia" w:ascii="宋体" w:hAnsi="宋体"/>
          <w:sz w:val="24"/>
          <w:szCs w:val="24"/>
        </w:rPr>
        <w:t>第1.1.1.6目细化为：</w:t>
      </w:r>
    </w:p>
    <w:p w14:paraId="6C435B52">
      <w:pPr>
        <w:wordWrap w:val="0"/>
        <w:spacing w:line="360" w:lineRule="auto"/>
        <w:ind w:firstLine="480" w:firstLineChars="200"/>
        <w:rPr>
          <w:rFonts w:hint="eastAsia" w:ascii="宋体" w:hAnsi="宋体"/>
          <w:sz w:val="24"/>
          <w:szCs w:val="24"/>
        </w:rPr>
      </w:pPr>
      <w:r>
        <w:rPr>
          <w:rFonts w:hint="eastAsia" w:ascii="宋体" w:hAnsi="宋体"/>
          <w:sz w:val="24"/>
          <w:szCs w:val="24"/>
        </w:rPr>
        <w:t>技术规范：为本合同所约定的技术标准和要求，是合同文件的组成部分。通用合同条款中“技术标准和要求”一词具有相同含义。</w:t>
      </w:r>
    </w:p>
    <w:p w14:paraId="712CAF98">
      <w:pPr>
        <w:wordWrap w:val="0"/>
        <w:spacing w:line="360" w:lineRule="auto"/>
        <w:ind w:firstLine="480" w:firstLineChars="200"/>
        <w:rPr>
          <w:rFonts w:hint="eastAsia" w:ascii="宋体" w:hAnsi="宋体"/>
          <w:sz w:val="24"/>
          <w:szCs w:val="24"/>
        </w:rPr>
      </w:pPr>
      <w:r>
        <w:rPr>
          <w:rFonts w:hint="eastAsia" w:ascii="宋体" w:hAnsi="宋体"/>
          <w:sz w:val="24"/>
          <w:szCs w:val="24"/>
        </w:rPr>
        <w:t>第1.1.1.8目细化为：</w:t>
      </w:r>
    </w:p>
    <w:p w14:paraId="666403B4">
      <w:pPr>
        <w:wordWrap w:val="0"/>
        <w:spacing w:line="360" w:lineRule="auto"/>
        <w:ind w:firstLine="480" w:firstLineChars="200"/>
        <w:rPr>
          <w:rFonts w:hint="eastAsia" w:ascii="宋体" w:hAnsi="宋体"/>
          <w:sz w:val="24"/>
          <w:szCs w:val="24"/>
        </w:rPr>
      </w:pPr>
      <w:r>
        <w:rPr>
          <w:rFonts w:hint="eastAsia" w:ascii="宋体" w:hAnsi="宋体"/>
          <w:sz w:val="24"/>
          <w:szCs w:val="24"/>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w:t>
      </w:r>
    </w:p>
    <w:p w14:paraId="5D07BB13">
      <w:pPr>
        <w:wordWrap w:val="0"/>
        <w:spacing w:line="360" w:lineRule="auto"/>
        <w:ind w:firstLine="480" w:firstLineChars="200"/>
        <w:rPr>
          <w:rFonts w:hint="eastAsia" w:ascii="宋体" w:hAnsi="宋体"/>
          <w:sz w:val="24"/>
          <w:szCs w:val="24"/>
        </w:rPr>
      </w:pPr>
      <w:r>
        <w:rPr>
          <w:rFonts w:hint="eastAsia" w:ascii="宋体" w:hAnsi="宋体"/>
          <w:sz w:val="24"/>
          <w:szCs w:val="24"/>
        </w:rPr>
        <w:t>本项补充第1.1.1.10目：</w:t>
      </w:r>
    </w:p>
    <w:p w14:paraId="4290CD67">
      <w:pPr>
        <w:wordWrap w:val="0"/>
        <w:spacing w:line="360" w:lineRule="auto"/>
        <w:ind w:firstLine="480" w:firstLineChars="200"/>
        <w:rPr>
          <w:rFonts w:hint="eastAsia" w:ascii="宋体" w:hAnsi="宋体"/>
          <w:sz w:val="24"/>
          <w:szCs w:val="24"/>
        </w:rPr>
      </w:pPr>
      <w:r>
        <w:rPr>
          <w:rFonts w:hint="eastAsia" w:ascii="宋体" w:hAnsi="宋体"/>
          <w:sz w:val="24"/>
          <w:szCs w:val="24"/>
        </w:rPr>
        <w:t>1.1.1.10补遗书：指发出招标文件之后由招标人向已取得招标文件的投标人发出的、编号的对招标文件所作的澄清、修改书。</w:t>
      </w:r>
    </w:p>
    <w:p w14:paraId="0541921C">
      <w:pPr>
        <w:wordWrap w:val="0"/>
        <w:spacing w:line="360" w:lineRule="auto"/>
        <w:ind w:firstLine="480" w:firstLineChars="200"/>
        <w:rPr>
          <w:rFonts w:hint="eastAsia" w:ascii="宋体" w:hAnsi="宋体"/>
          <w:sz w:val="24"/>
          <w:szCs w:val="24"/>
        </w:rPr>
      </w:pPr>
      <w:r>
        <w:rPr>
          <w:rFonts w:hint="eastAsia" w:ascii="宋体" w:hAnsi="宋体"/>
          <w:sz w:val="24"/>
          <w:szCs w:val="24"/>
        </w:rPr>
        <w:t>1.1.2合同当事人和人员</w:t>
      </w:r>
    </w:p>
    <w:p w14:paraId="6882275A">
      <w:pPr>
        <w:wordWrap w:val="0"/>
        <w:spacing w:line="360" w:lineRule="auto"/>
        <w:ind w:firstLine="480" w:firstLineChars="200"/>
        <w:rPr>
          <w:rFonts w:hint="eastAsia" w:ascii="宋体" w:hAnsi="宋体"/>
          <w:sz w:val="24"/>
          <w:szCs w:val="24"/>
        </w:rPr>
      </w:pPr>
      <w:r>
        <w:rPr>
          <w:rFonts w:hint="eastAsia" w:ascii="宋体" w:hAnsi="宋体"/>
          <w:sz w:val="24"/>
          <w:szCs w:val="24"/>
        </w:rPr>
        <w:t>本项补充第1.1.2.8目：</w:t>
      </w:r>
    </w:p>
    <w:p w14:paraId="273E84D4">
      <w:pPr>
        <w:wordWrap w:val="0"/>
        <w:spacing w:line="360" w:lineRule="auto"/>
        <w:ind w:firstLine="480" w:firstLineChars="200"/>
        <w:rPr>
          <w:rFonts w:hint="eastAsia" w:ascii="宋体" w:hAnsi="宋体"/>
          <w:sz w:val="24"/>
          <w:szCs w:val="24"/>
        </w:rPr>
      </w:pPr>
      <w:r>
        <w:rPr>
          <w:rFonts w:hint="eastAsia" w:ascii="宋体" w:hAnsi="宋体"/>
          <w:sz w:val="24"/>
          <w:szCs w:val="24"/>
        </w:rPr>
        <w:t>1.1.2.8 承包人项目总工：指由承包人书面委派常驻现场负责管理本合同工程的总工程师或技术总负责人。</w:t>
      </w:r>
    </w:p>
    <w:p w14:paraId="6947C5F3">
      <w:pPr>
        <w:wordWrap w:val="0"/>
        <w:spacing w:line="360" w:lineRule="auto"/>
        <w:ind w:firstLine="480" w:firstLineChars="200"/>
        <w:rPr>
          <w:rFonts w:hint="eastAsia" w:ascii="宋体" w:hAnsi="宋体"/>
          <w:sz w:val="24"/>
          <w:szCs w:val="24"/>
        </w:rPr>
      </w:pPr>
      <w:r>
        <w:rPr>
          <w:rFonts w:hint="eastAsia" w:ascii="宋体" w:hAnsi="宋体"/>
          <w:sz w:val="24"/>
          <w:szCs w:val="24"/>
        </w:rPr>
        <w:t>1.1.3 工程和设备</w:t>
      </w:r>
    </w:p>
    <w:p w14:paraId="14D56C85">
      <w:pPr>
        <w:wordWrap w:val="0"/>
        <w:spacing w:line="360" w:lineRule="auto"/>
        <w:ind w:firstLine="480" w:firstLineChars="200"/>
        <w:rPr>
          <w:rFonts w:hint="eastAsia" w:ascii="宋体" w:hAnsi="宋体"/>
          <w:sz w:val="24"/>
          <w:szCs w:val="24"/>
        </w:rPr>
      </w:pPr>
      <w:r>
        <w:rPr>
          <w:rFonts w:hint="eastAsia" w:ascii="宋体" w:hAnsi="宋体"/>
          <w:sz w:val="24"/>
          <w:szCs w:val="24"/>
        </w:rPr>
        <w:t>第1.1.3.4目细化为：</w:t>
      </w:r>
    </w:p>
    <w:p w14:paraId="3D8722AD">
      <w:pPr>
        <w:wordWrap w:val="0"/>
        <w:spacing w:line="360" w:lineRule="auto"/>
        <w:ind w:firstLine="480" w:firstLineChars="200"/>
        <w:rPr>
          <w:rFonts w:hint="eastAsia" w:ascii="宋体" w:hAnsi="宋体"/>
          <w:sz w:val="24"/>
          <w:szCs w:val="24"/>
        </w:rPr>
      </w:pPr>
      <w:r>
        <w:rPr>
          <w:rFonts w:hint="eastAsia" w:ascii="宋体" w:hAnsi="宋体"/>
          <w:sz w:val="24"/>
          <w:szCs w:val="24"/>
        </w:rPr>
        <w:t>单位工程：指在建设项目中，根据签订的合同，具有独立施工条件的工程。</w:t>
      </w:r>
    </w:p>
    <w:p w14:paraId="2C44FEF3">
      <w:pPr>
        <w:wordWrap w:val="0"/>
        <w:spacing w:line="360" w:lineRule="auto"/>
        <w:ind w:firstLine="480" w:firstLineChars="200"/>
        <w:rPr>
          <w:rFonts w:hint="eastAsia" w:ascii="宋体" w:hAnsi="宋体"/>
          <w:sz w:val="24"/>
          <w:szCs w:val="24"/>
        </w:rPr>
      </w:pPr>
      <w:r>
        <w:rPr>
          <w:rFonts w:hint="eastAsia" w:ascii="宋体" w:hAnsi="宋体"/>
          <w:sz w:val="24"/>
          <w:szCs w:val="24"/>
        </w:rPr>
        <w:t>1.1.3.10目细化为：</w:t>
      </w:r>
    </w:p>
    <w:p w14:paraId="576ECF18">
      <w:pPr>
        <w:wordWrap w:val="0"/>
        <w:spacing w:line="360" w:lineRule="auto"/>
        <w:ind w:firstLine="480" w:firstLineChars="200"/>
        <w:rPr>
          <w:rFonts w:hint="eastAsia" w:ascii="宋体" w:hAnsi="宋体"/>
          <w:sz w:val="24"/>
          <w:szCs w:val="24"/>
        </w:rPr>
      </w:pPr>
      <w:r>
        <w:rPr>
          <w:rFonts w:hint="eastAsia" w:ascii="宋体" w:hAnsi="宋体"/>
          <w:sz w:val="24"/>
          <w:szCs w:val="24"/>
        </w:rPr>
        <w:t>永久占地：指为实施本合同工程而需要的一切永久占用的土地，包括公路两侧路权范围内的用地。</w:t>
      </w:r>
    </w:p>
    <w:p w14:paraId="2CCE9EFE">
      <w:pPr>
        <w:wordWrap w:val="0"/>
        <w:spacing w:line="360" w:lineRule="auto"/>
        <w:ind w:firstLine="480" w:firstLineChars="200"/>
        <w:rPr>
          <w:rFonts w:hint="eastAsia" w:ascii="宋体" w:hAnsi="宋体"/>
          <w:sz w:val="24"/>
          <w:szCs w:val="24"/>
        </w:rPr>
      </w:pPr>
      <w:r>
        <w:rPr>
          <w:rFonts w:hint="eastAsia" w:ascii="宋体" w:hAnsi="宋体"/>
          <w:sz w:val="24"/>
          <w:szCs w:val="24"/>
        </w:rPr>
        <w:t>第1.1.3.11目细化为：</w:t>
      </w:r>
    </w:p>
    <w:p w14:paraId="624E1525">
      <w:pPr>
        <w:wordWrap w:val="0"/>
        <w:spacing w:line="360" w:lineRule="auto"/>
        <w:ind w:firstLine="480" w:firstLineChars="200"/>
        <w:rPr>
          <w:rFonts w:hint="eastAsia" w:ascii="宋体" w:hAnsi="宋体"/>
          <w:sz w:val="24"/>
          <w:szCs w:val="24"/>
        </w:rPr>
      </w:pPr>
      <w:r>
        <w:rPr>
          <w:rFonts w:hint="eastAsia" w:ascii="宋体" w:hAnsi="宋体"/>
          <w:sz w:val="24"/>
          <w:szCs w:val="24"/>
        </w:rPr>
        <w:t>临时占地：指为实施本合同工程而需要的一切临时占用的土地，包括施工所用的临时支线、便道、便桥和现场的临时出入通道，以及生产（办公）、生活等临时设施用地等。</w:t>
      </w:r>
    </w:p>
    <w:p w14:paraId="46296F88">
      <w:pPr>
        <w:wordWrap w:val="0"/>
        <w:spacing w:line="360" w:lineRule="auto"/>
        <w:ind w:firstLine="480" w:firstLineChars="200"/>
        <w:rPr>
          <w:rFonts w:hint="eastAsia" w:ascii="宋体" w:hAnsi="宋体"/>
          <w:sz w:val="24"/>
          <w:szCs w:val="24"/>
        </w:rPr>
      </w:pPr>
      <w:r>
        <w:rPr>
          <w:rFonts w:hint="eastAsia" w:ascii="宋体" w:hAnsi="宋体"/>
          <w:sz w:val="24"/>
          <w:szCs w:val="24"/>
        </w:rPr>
        <w:t>本项补充第1.1.3.12目、第1.1.3.13目：</w:t>
      </w:r>
    </w:p>
    <w:p w14:paraId="4BA17163">
      <w:pPr>
        <w:wordWrap w:val="0"/>
        <w:spacing w:line="360" w:lineRule="auto"/>
        <w:ind w:firstLine="480" w:firstLineChars="200"/>
        <w:rPr>
          <w:rFonts w:hint="eastAsia" w:ascii="宋体" w:hAnsi="宋体"/>
          <w:sz w:val="24"/>
          <w:szCs w:val="24"/>
        </w:rPr>
      </w:pPr>
      <w:r>
        <w:rPr>
          <w:rFonts w:hint="eastAsia" w:ascii="宋体" w:hAnsi="宋体"/>
          <w:sz w:val="24"/>
          <w:szCs w:val="24"/>
        </w:rPr>
        <w:t>1.1.3.12 分部工程：指在单位工程中，按结构部位、路段长度及施工特点或施工任务划分的若干个工程。</w:t>
      </w:r>
    </w:p>
    <w:p w14:paraId="0A37EDE6">
      <w:pPr>
        <w:wordWrap w:val="0"/>
        <w:spacing w:line="360" w:lineRule="auto"/>
        <w:ind w:firstLine="480" w:firstLineChars="200"/>
        <w:rPr>
          <w:rFonts w:hint="eastAsia" w:ascii="宋体" w:hAnsi="宋体"/>
          <w:sz w:val="24"/>
          <w:szCs w:val="24"/>
        </w:rPr>
      </w:pPr>
      <w:r>
        <w:rPr>
          <w:rFonts w:hint="eastAsia" w:ascii="宋体" w:hAnsi="宋体"/>
          <w:sz w:val="24"/>
          <w:szCs w:val="24"/>
        </w:rPr>
        <w:t>1.1.3.13 分项工程：指在分部工程中，按不同的施工方法、材料、工序及路段长度等划分的若干个过程。</w:t>
      </w:r>
    </w:p>
    <w:p w14:paraId="724FD076">
      <w:pPr>
        <w:wordWrap w:val="0"/>
        <w:spacing w:line="360" w:lineRule="auto"/>
        <w:ind w:firstLine="480" w:firstLineChars="200"/>
        <w:rPr>
          <w:rFonts w:hint="eastAsia" w:ascii="宋体" w:hAnsi="宋体"/>
          <w:sz w:val="24"/>
          <w:szCs w:val="24"/>
        </w:rPr>
      </w:pPr>
      <w:r>
        <w:rPr>
          <w:rFonts w:hint="eastAsia" w:ascii="宋体" w:hAnsi="宋体"/>
          <w:sz w:val="24"/>
          <w:szCs w:val="24"/>
        </w:rPr>
        <w:t>1.1.6 其他</w:t>
      </w:r>
      <w:r>
        <w:rPr>
          <w:rFonts w:hint="eastAsia" w:ascii="宋体" w:hAnsi="宋体"/>
          <w:sz w:val="24"/>
          <w:szCs w:val="24"/>
        </w:rPr>
        <w:tab/>
      </w:r>
    </w:p>
    <w:p w14:paraId="676997C5">
      <w:pPr>
        <w:wordWrap w:val="0"/>
        <w:spacing w:line="360" w:lineRule="auto"/>
        <w:ind w:firstLine="480" w:firstLineChars="200"/>
        <w:rPr>
          <w:rFonts w:hint="eastAsia" w:ascii="宋体" w:hAnsi="宋体"/>
          <w:sz w:val="24"/>
          <w:szCs w:val="24"/>
        </w:rPr>
      </w:pPr>
      <w:r>
        <w:rPr>
          <w:rFonts w:hint="eastAsia" w:ascii="宋体" w:hAnsi="宋体"/>
          <w:sz w:val="24"/>
          <w:szCs w:val="24"/>
        </w:rPr>
        <w:t>本项补充第1.1.6.2目～1.1.6.8目：</w:t>
      </w:r>
    </w:p>
    <w:p w14:paraId="1C233198">
      <w:pPr>
        <w:wordWrap w:val="0"/>
        <w:spacing w:line="360" w:lineRule="auto"/>
        <w:ind w:firstLine="480" w:firstLineChars="200"/>
        <w:rPr>
          <w:rFonts w:hint="eastAsia" w:ascii="宋体" w:hAnsi="宋体"/>
          <w:sz w:val="24"/>
          <w:szCs w:val="24"/>
        </w:rPr>
      </w:pPr>
      <w:r>
        <w:rPr>
          <w:rFonts w:hint="eastAsia" w:ascii="宋体" w:hAnsi="宋体"/>
          <w:sz w:val="24"/>
          <w:szCs w:val="24"/>
        </w:rPr>
        <w:t>1.1.6.2 竣工验收：指《公路工程竣（交）工验收办法》中的竣工验收。通用合同条款中“国家验收”一词具有相同含义。</w:t>
      </w:r>
    </w:p>
    <w:p w14:paraId="72ADDF41">
      <w:pPr>
        <w:wordWrap w:val="0"/>
        <w:spacing w:line="360" w:lineRule="auto"/>
        <w:ind w:firstLine="480" w:firstLineChars="200"/>
        <w:rPr>
          <w:rFonts w:hint="eastAsia" w:ascii="宋体" w:hAnsi="宋体"/>
          <w:sz w:val="24"/>
          <w:szCs w:val="24"/>
        </w:rPr>
      </w:pPr>
      <w:r>
        <w:rPr>
          <w:rFonts w:hint="eastAsia" w:ascii="宋体" w:hAnsi="宋体"/>
          <w:sz w:val="24"/>
          <w:szCs w:val="24"/>
        </w:rPr>
        <w:t>1.1.6.3 交工：指《公路工程竣（交）工验收办法》中的交工验收。通用合同条款中“竣工”一词具有相同含义。</w:t>
      </w:r>
    </w:p>
    <w:p w14:paraId="5000D58F">
      <w:pPr>
        <w:wordWrap w:val="0"/>
        <w:spacing w:line="360" w:lineRule="auto"/>
        <w:ind w:firstLine="480" w:firstLineChars="200"/>
        <w:rPr>
          <w:rFonts w:hint="eastAsia" w:ascii="宋体" w:hAnsi="宋体"/>
          <w:sz w:val="24"/>
          <w:szCs w:val="24"/>
        </w:rPr>
      </w:pPr>
      <w:r>
        <w:rPr>
          <w:rFonts w:hint="eastAsia" w:ascii="宋体" w:hAnsi="宋体"/>
          <w:sz w:val="24"/>
          <w:szCs w:val="24"/>
        </w:rPr>
        <w:t>1.1.6.4 交工验收证书：指《公路工程竣（交）工验收办法》中的交工验收证书。通用合同条款中“工程接收证书”一词具有相同含义。</w:t>
      </w:r>
    </w:p>
    <w:p w14:paraId="021F4E6D">
      <w:pPr>
        <w:wordWrap w:val="0"/>
        <w:spacing w:line="360" w:lineRule="auto"/>
        <w:ind w:firstLine="480" w:firstLineChars="200"/>
        <w:rPr>
          <w:rFonts w:hint="eastAsia" w:ascii="宋体" w:hAnsi="宋体"/>
          <w:sz w:val="24"/>
          <w:szCs w:val="24"/>
        </w:rPr>
      </w:pPr>
      <w:r>
        <w:rPr>
          <w:rFonts w:hint="eastAsia" w:ascii="宋体" w:hAnsi="宋体"/>
          <w:sz w:val="24"/>
          <w:szCs w:val="24"/>
        </w:rPr>
        <w:t>1.1.6.5 转包：指承包人违反法律和不履行合同规定的责任和义务，将中标工程全部委托或以专业分包的名义将中标工程肢解后全部委托给其他施工企业施工的行为。</w:t>
      </w:r>
    </w:p>
    <w:p w14:paraId="02EBC11C">
      <w:pPr>
        <w:wordWrap w:val="0"/>
        <w:spacing w:line="360" w:lineRule="auto"/>
        <w:ind w:firstLine="480" w:firstLineChars="200"/>
        <w:rPr>
          <w:rFonts w:hint="eastAsia" w:ascii="宋体" w:hAnsi="宋体"/>
          <w:sz w:val="24"/>
          <w:szCs w:val="24"/>
        </w:rPr>
      </w:pPr>
      <w:r>
        <w:rPr>
          <w:rFonts w:hint="eastAsia" w:ascii="宋体" w:hAnsi="宋体"/>
          <w:sz w:val="24"/>
          <w:szCs w:val="24"/>
        </w:rPr>
        <w:t>1.1.6.6 专业分包：指承包人与具有相应资质的施工企业签订专业分包合同，由分包人承担承包人委托的分部工程、分项工程或适合专业化队伍施工的其他工程，整体结算，并能独立控制工程质量、施工进度、材料采购、生产安全的施工行为。</w:t>
      </w:r>
    </w:p>
    <w:p w14:paraId="0666B7D8">
      <w:pPr>
        <w:wordWrap w:val="0"/>
        <w:spacing w:line="360" w:lineRule="auto"/>
        <w:ind w:firstLine="480" w:firstLineChars="200"/>
        <w:rPr>
          <w:rFonts w:hint="eastAsia" w:ascii="宋体" w:hAnsi="宋体"/>
          <w:sz w:val="24"/>
          <w:szCs w:val="24"/>
        </w:rPr>
      </w:pPr>
      <w:r>
        <w:rPr>
          <w:rFonts w:hint="eastAsia" w:ascii="宋体" w:hAnsi="宋体"/>
          <w:sz w:val="24"/>
          <w:szCs w:val="24"/>
        </w:rPr>
        <w:t>1.1.6.7 劳务分包：指承包人与具有劳务分包资质的劳务企业签订劳务分包，由劳务企业提供劳务人员及机具，由承包人统一组织施工，统一控制工程质量、施工进度、材料采购、生产安全的施工行为。</w:t>
      </w:r>
    </w:p>
    <w:p w14:paraId="0ECF01CE">
      <w:pPr>
        <w:wordWrap w:val="0"/>
        <w:spacing w:line="360" w:lineRule="auto"/>
        <w:ind w:firstLine="480" w:firstLineChars="200"/>
        <w:rPr>
          <w:rFonts w:hint="eastAsia" w:ascii="宋体" w:hAnsi="宋体"/>
          <w:sz w:val="24"/>
          <w:szCs w:val="24"/>
        </w:rPr>
      </w:pPr>
      <w:r>
        <w:rPr>
          <w:rFonts w:hint="eastAsia" w:ascii="宋体" w:hAnsi="宋体"/>
          <w:sz w:val="24"/>
          <w:szCs w:val="24"/>
        </w:rPr>
        <w:t>1.1.6.8 雇佣民工：指承包人与具有相应劳动能力的自然人签订劳动合同，由承包人统一组织管理，从事分项工程施工或配套工程施工的行为。</w:t>
      </w:r>
    </w:p>
    <w:p w14:paraId="6119F093">
      <w:pPr>
        <w:wordWrap w:val="0"/>
        <w:spacing w:line="360" w:lineRule="auto"/>
        <w:ind w:firstLine="480" w:firstLineChars="200"/>
        <w:rPr>
          <w:rFonts w:hint="eastAsia" w:ascii="宋体" w:hAnsi="宋体"/>
          <w:sz w:val="24"/>
          <w:szCs w:val="24"/>
        </w:rPr>
      </w:pPr>
      <w:bookmarkStart w:id="527" w:name="_Toc234382843"/>
      <w:r>
        <w:rPr>
          <w:rFonts w:hint="eastAsia" w:ascii="宋体" w:hAnsi="宋体"/>
          <w:sz w:val="24"/>
          <w:szCs w:val="24"/>
        </w:rPr>
        <w:t>1.4合同文件的优先顺序</w:t>
      </w:r>
      <w:bookmarkEnd w:id="527"/>
    </w:p>
    <w:p w14:paraId="128C1F1C">
      <w:pPr>
        <w:wordWrap w:val="0"/>
        <w:spacing w:line="360" w:lineRule="auto"/>
        <w:ind w:firstLine="480" w:firstLineChars="200"/>
        <w:rPr>
          <w:rFonts w:hint="eastAsia" w:ascii="宋体" w:hAnsi="宋体"/>
          <w:sz w:val="24"/>
          <w:szCs w:val="24"/>
        </w:rPr>
      </w:pPr>
      <w:r>
        <w:rPr>
          <w:rFonts w:hint="eastAsia" w:ascii="宋体" w:hAnsi="宋体"/>
          <w:sz w:val="24"/>
          <w:szCs w:val="24"/>
        </w:rPr>
        <w:t>本款约定为：</w:t>
      </w:r>
    </w:p>
    <w:p w14:paraId="04B7E5FD">
      <w:pPr>
        <w:wordWrap w:val="0"/>
        <w:spacing w:line="360" w:lineRule="auto"/>
        <w:ind w:firstLine="480" w:firstLineChars="200"/>
        <w:rPr>
          <w:rFonts w:hint="eastAsia" w:ascii="宋体" w:hAnsi="宋体"/>
          <w:sz w:val="24"/>
          <w:szCs w:val="24"/>
        </w:rPr>
      </w:pPr>
      <w:r>
        <w:rPr>
          <w:rFonts w:hint="eastAsia" w:ascii="宋体" w:hAnsi="宋体"/>
          <w:sz w:val="24"/>
          <w:szCs w:val="24"/>
        </w:rPr>
        <w:t>组成合同的各项文件应互相解释，互为说明。除项目专用合同条款另有约定外，解释合同文件的优先顺序如下：</w:t>
      </w:r>
    </w:p>
    <w:p w14:paraId="73508DB3">
      <w:pPr>
        <w:wordWrap w:val="0"/>
        <w:spacing w:line="360" w:lineRule="auto"/>
        <w:ind w:firstLine="480" w:firstLineChars="200"/>
        <w:rPr>
          <w:rFonts w:hint="eastAsia" w:ascii="宋体" w:hAnsi="宋体"/>
          <w:sz w:val="24"/>
          <w:szCs w:val="24"/>
        </w:rPr>
      </w:pPr>
      <w:r>
        <w:rPr>
          <w:rFonts w:hint="eastAsia" w:ascii="宋体" w:hAnsi="宋体"/>
          <w:sz w:val="24"/>
          <w:szCs w:val="24"/>
        </w:rPr>
        <w:t>（1）合同协议书及各种合同附件（含评标期间和合同谈判过程中的澄清文件和补充资料）；</w:t>
      </w:r>
    </w:p>
    <w:p w14:paraId="153AA466">
      <w:pPr>
        <w:wordWrap w:val="0"/>
        <w:spacing w:line="360" w:lineRule="auto"/>
        <w:ind w:firstLine="480" w:firstLineChars="200"/>
        <w:rPr>
          <w:rFonts w:hint="eastAsia" w:ascii="宋体" w:hAnsi="宋体"/>
          <w:sz w:val="24"/>
          <w:szCs w:val="24"/>
        </w:rPr>
      </w:pPr>
      <w:r>
        <w:rPr>
          <w:rFonts w:hint="eastAsia" w:ascii="宋体" w:hAnsi="宋体"/>
          <w:sz w:val="24"/>
          <w:szCs w:val="24"/>
        </w:rPr>
        <w:t>（2）中标通知书；</w:t>
      </w:r>
    </w:p>
    <w:p w14:paraId="566076BD">
      <w:pPr>
        <w:wordWrap w:val="0"/>
        <w:spacing w:line="360" w:lineRule="auto"/>
        <w:ind w:firstLine="480" w:firstLineChars="200"/>
        <w:rPr>
          <w:rFonts w:hint="eastAsia" w:ascii="宋体" w:hAnsi="宋体"/>
          <w:sz w:val="24"/>
          <w:szCs w:val="24"/>
        </w:rPr>
      </w:pPr>
      <w:r>
        <w:rPr>
          <w:rFonts w:hint="eastAsia" w:ascii="宋体" w:hAnsi="宋体"/>
          <w:sz w:val="24"/>
          <w:szCs w:val="24"/>
        </w:rPr>
        <w:t>（3）投标函及投标函附录；</w:t>
      </w:r>
    </w:p>
    <w:p w14:paraId="63AACD2F">
      <w:pPr>
        <w:wordWrap w:val="0"/>
        <w:spacing w:line="360" w:lineRule="auto"/>
        <w:ind w:firstLine="480" w:firstLineChars="200"/>
        <w:rPr>
          <w:rFonts w:hint="eastAsia" w:ascii="宋体" w:hAnsi="宋体"/>
          <w:sz w:val="24"/>
          <w:szCs w:val="24"/>
        </w:rPr>
      </w:pPr>
      <w:r>
        <w:rPr>
          <w:rFonts w:hint="eastAsia" w:ascii="宋体" w:hAnsi="宋体"/>
          <w:sz w:val="24"/>
          <w:szCs w:val="24"/>
        </w:rPr>
        <w:t>（4）项目专用合同条款；</w:t>
      </w:r>
    </w:p>
    <w:p w14:paraId="393C97B3">
      <w:pPr>
        <w:wordWrap w:val="0"/>
        <w:spacing w:line="360" w:lineRule="auto"/>
        <w:ind w:firstLine="480" w:firstLineChars="200"/>
        <w:rPr>
          <w:rFonts w:hint="eastAsia" w:ascii="宋体" w:hAnsi="宋体"/>
          <w:sz w:val="24"/>
          <w:szCs w:val="24"/>
        </w:rPr>
      </w:pPr>
      <w:r>
        <w:rPr>
          <w:rFonts w:hint="eastAsia" w:ascii="宋体" w:hAnsi="宋体"/>
          <w:sz w:val="24"/>
          <w:szCs w:val="24"/>
        </w:rPr>
        <w:t>（5）公路工程专用合同条款；</w:t>
      </w:r>
    </w:p>
    <w:p w14:paraId="42C00720">
      <w:pPr>
        <w:wordWrap w:val="0"/>
        <w:spacing w:line="360" w:lineRule="auto"/>
        <w:ind w:firstLine="480" w:firstLineChars="200"/>
        <w:rPr>
          <w:rFonts w:hint="eastAsia" w:ascii="宋体" w:hAnsi="宋体"/>
          <w:sz w:val="24"/>
          <w:szCs w:val="24"/>
        </w:rPr>
      </w:pPr>
      <w:r>
        <w:rPr>
          <w:rFonts w:hint="eastAsia" w:ascii="宋体" w:hAnsi="宋体"/>
          <w:sz w:val="24"/>
          <w:szCs w:val="24"/>
        </w:rPr>
        <w:t>（6）通用合同条款；</w:t>
      </w:r>
    </w:p>
    <w:p w14:paraId="47BDE43D">
      <w:pPr>
        <w:wordWrap w:val="0"/>
        <w:spacing w:line="360" w:lineRule="auto"/>
        <w:ind w:firstLine="480" w:firstLineChars="200"/>
        <w:rPr>
          <w:rFonts w:hint="eastAsia" w:ascii="宋体" w:hAnsi="宋体"/>
          <w:sz w:val="24"/>
          <w:szCs w:val="24"/>
        </w:rPr>
      </w:pPr>
      <w:r>
        <w:rPr>
          <w:rFonts w:hint="eastAsia" w:ascii="宋体" w:hAnsi="宋体"/>
          <w:sz w:val="24"/>
          <w:szCs w:val="24"/>
        </w:rPr>
        <w:t>（7）技术规范；</w:t>
      </w:r>
    </w:p>
    <w:p w14:paraId="7FEE5788">
      <w:pPr>
        <w:wordWrap w:val="0"/>
        <w:spacing w:line="360" w:lineRule="auto"/>
        <w:ind w:firstLine="480" w:firstLineChars="200"/>
        <w:rPr>
          <w:rFonts w:hint="eastAsia" w:ascii="宋体" w:hAnsi="宋体"/>
          <w:sz w:val="24"/>
          <w:szCs w:val="24"/>
        </w:rPr>
      </w:pPr>
      <w:r>
        <w:rPr>
          <w:rFonts w:hint="eastAsia" w:ascii="宋体" w:hAnsi="宋体"/>
          <w:sz w:val="24"/>
          <w:szCs w:val="24"/>
        </w:rPr>
        <w:t>（8）图纸；</w:t>
      </w:r>
    </w:p>
    <w:p w14:paraId="406C06AD">
      <w:pPr>
        <w:wordWrap w:val="0"/>
        <w:spacing w:line="360" w:lineRule="auto"/>
        <w:ind w:firstLine="480" w:firstLineChars="200"/>
        <w:rPr>
          <w:rFonts w:hint="eastAsia" w:ascii="宋体" w:hAnsi="宋体"/>
          <w:sz w:val="24"/>
          <w:szCs w:val="24"/>
        </w:rPr>
      </w:pPr>
      <w:r>
        <w:rPr>
          <w:rFonts w:hint="eastAsia" w:ascii="宋体" w:hAnsi="宋体"/>
          <w:sz w:val="24"/>
          <w:szCs w:val="24"/>
        </w:rPr>
        <w:t>（9）已标价工程量清单；</w:t>
      </w:r>
    </w:p>
    <w:p w14:paraId="6453715E">
      <w:pPr>
        <w:wordWrap w:val="0"/>
        <w:spacing w:line="360" w:lineRule="auto"/>
        <w:ind w:firstLine="480" w:firstLineChars="200"/>
        <w:rPr>
          <w:rFonts w:hint="eastAsia" w:ascii="宋体" w:hAnsi="宋体"/>
          <w:sz w:val="24"/>
          <w:szCs w:val="24"/>
        </w:rPr>
      </w:pPr>
      <w:r>
        <w:rPr>
          <w:rFonts w:hint="eastAsia" w:ascii="宋体" w:hAnsi="宋体"/>
          <w:sz w:val="24"/>
          <w:szCs w:val="24"/>
        </w:rPr>
        <w:t>（10）承包人有关人员、设备投入的承诺及投标文件中的施工组织设计；</w:t>
      </w:r>
    </w:p>
    <w:p w14:paraId="3AF6FF87">
      <w:pPr>
        <w:wordWrap w:val="0"/>
        <w:spacing w:line="360" w:lineRule="auto"/>
        <w:ind w:firstLine="480" w:firstLineChars="200"/>
        <w:rPr>
          <w:rFonts w:hint="eastAsia" w:ascii="宋体" w:hAnsi="宋体"/>
          <w:sz w:val="24"/>
          <w:szCs w:val="24"/>
        </w:rPr>
      </w:pPr>
      <w:r>
        <w:rPr>
          <w:rFonts w:hint="eastAsia" w:ascii="宋体" w:hAnsi="宋体"/>
          <w:sz w:val="24"/>
          <w:szCs w:val="24"/>
        </w:rPr>
        <w:t>（11）其他合同文件。</w:t>
      </w:r>
    </w:p>
    <w:p w14:paraId="36DAFBA8">
      <w:pPr>
        <w:wordWrap w:val="0"/>
        <w:spacing w:line="360" w:lineRule="auto"/>
        <w:ind w:firstLine="480" w:firstLineChars="200"/>
        <w:rPr>
          <w:rFonts w:hint="eastAsia" w:ascii="宋体" w:hAnsi="宋体"/>
          <w:sz w:val="24"/>
          <w:szCs w:val="24"/>
        </w:rPr>
      </w:pPr>
      <w:bookmarkStart w:id="528" w:name="_Toc234382844"/>
      <w:r>
        <w:rPr>
          <w:rFonts w:hint="eastAsia" w:ascii="宋体" w:hAnsi="宋体"/>
          <w:sz w:val="24"/>
          <w:szCs w:val="24"/>
        </w:rPr>
        <w:t>1.5合同协议书</w:t>
      </w:r>
      <w:bookmarkEnd w:id="528"/>
    </w:p>
    <w:p w14:paraId="6D0C3705">
      <w:pPr>
        <w:wordWrap w:val="0"/>
        <w:spacing w:line="360" w:lineRule="auto"/>
        <w:ind w:firstLine="480" w:firstLineChars="200"/>
        <w:rPr>
          <w:rFonts w:hint="eastAsia" w:ascii="宋体" w:hAnsi="宋体"/>
          <w:sz w:val="24"/>
          <w:szCs w:val="24"/>
        </w:rPr>
      </w:pPr>
      <w:r>
        <w:rPr>
          <w:rFonts w:hint="eastAsia" w:ascii="宋体" w:hAnsi="宋体"/>
          <w:sz w:val="24"/>
          <w:szCs w:val="24"/>
        </w:rPr>
        <w:t>本款补充：</w:t>
      </w:r>
    </w:p>
    <w:p w14:paraId="2D0961B0">
      <w:pPr>
        <w:wordWrap w:val="0"/>
        <w:spacing w:line="360" w:lineRule="auto"/>
        <w:ind w:firstLine="480" w:firstLineChars="200"/>
        <w:rPr>
          <w:rFonts w:hint="eastAsia" w:ascii="宋体" w:hAnsi="宋体"/>
          <w:sz w:val="24"/>
          <w:szCs w:val="24"/>
        </w:rPr>
      </w:pPr>
      <w:r>
        <w:rPr>
          <w:rFonts w:hint="eastAsia" w:ascii="宋体" w:hAnsi="宋体"/>
          <w:sz w:val="24"/>
          <w:szCs w:val="24"/>
        </w:rPr>
        <w:t>制备本合同文件的费用由发包人承担。在合同协议书签订并生效之前，投标函和中标通知书将对双方具有约束力。</w:t>
      </w:r>
    </w:p>
    <w:p w14:paraId="1E996BFE">
      <w:pPr>
        <w:wordWrap w:val="0"/>
        <w:spacing w:line="360" w:lineRule="auto"/>
        <w:ind w:firstLine="480" w:firstLineChars="200"/>
        <w:rPr>
          <w:rFonts w:hint="eastAsia" w:ascii="宋体" w:hAnsi="宋体"/>
          <w:sz w:val="24"/>
          <w:szCs w:val="24"/>
        </w:rPr>
      </w:pPr>
      <w:bookmarkStart w:id="529" w:name="_Toc234382845"/>
      <w:r>
        <w:rPr>
          <w:rFonts w:hint="eastAsia" w:ascii="宋体" w:hAnsi="宋体"/>
          <w:sz w:val="24"/>
          <w:szCs w:val="24"/>
        </w:rPr>
        <w:t>1.6图纸和承包人文件</w:t>
      </w:r>
      <w:bookmarkEnd w:id="529"/>
    </w:p>
    <w:p w14:paraId="690502E8">
      <w:pPr>
        <w:wordWrap w:val="0"/>
        <w:spacing w:line="360" w:lineRule="auto"/>
        <w:ind w:firstLine="480" w:firstLineChars="200"/>
        <w:rPr>
          <w:rFonts w:hint="eastAsia" w:ascii="宋体" w:hAnsi="宋体"/>
          <w:sz w:val="24"/>
          <w:szCs w:val="24"/>
        </w:rPr>
      </w:pPr>
      <w:r>
        <w:rPr>
          <w:rFonts w:hint="eastAsia" w:ascii="宋体" w:hAnsi="宋体"/>
          <w:sz w:val="24"/>
          <w:szCs w:val="24"/>
        </w:rPr>
        <w:t>1.6.1 图纸的提供</w:t>
      </w:r>
    </w:p>
    <w:p w14:paraId="01F78570">
      <w:pPr>
        <w:wordWrap w:val="0"/>
        <w:spacing w:line="360" w:lineRule="auto"/>
        <w:ind w:firstLine="480" w:firstLineChars="200"/>
        <w:rPr>
          <w:rFonts w:hint="eastAsia" w:ascii="宋体" w:hAnsi="宋体"/>
          <w:sz w:val="24"/>
          <w:szCs w:val="24"/>
        </w:rPr>
      </w:pPr>
      <w:r>
        <w:rPr>
          <w:rFonts w:hint="eastAsia" w:ascii="宋体" w:hAnsi="宋体"/>
          <w:sz w:val="24"/>
          <w:szCs w:val="24"/>
        </w:rPr>
        <w:t>本项细化为：</w:t>
      </w:r>
    </w:p>
    <w:p w14:paraId="532687E4">
      <w:pPr>
        <w:wordWrap w:val="0"/>
        <w:spacing w:line="360" w:lineRule="auto"/>
        <w:ind w:firstLine="480" w:firstLineChars="200"/>
        <w:rPr>
          <w:rFonts w:hint="eastAsia" w:ascii="宋体" w:hAnsi="宋体"/>
          <w:sz w:val="24"/>
          <w:szCs w:val="24"/>
        </w:rPr>
      </w:pPr>
      <w:r>
        <w:rPr>
          <w:rFonts w:hint="eastAsia" w:ascii="宋体" w:hAnsi="宋体"/>
          <w:sz w:val="24"/>
          <w:szCs w:val="24"/>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264DACC8">
      <w:pPr>
        <w:wordWrap w:val="0"/>
        <w:spacing w:line="360" w:lineRule="auto"/>
        <w:ind w:firstLine="480" w:firstLineChars="200"/>
        <w:rPr>
          <w:rFonts w:hint="eastAsia" w:ascii="宋体" w:hAnsi="宋体"/>
          <w:sz w:val="24"/>
          <w:szCs w:val="24"/>
        </w:rPr>
      </w:pPr>
      <w:r>
        <w:rPr>
          <w:rFonts w:hint="eastAsia" w:ascii="宋体" w:hAnsi="宋体"/>
          <w:sz w:val="24"/>
          <w:szCs w:val="24"/>
        </w:rPr>
        <w:t>1.6.2承包人提供的文件</w:t>
      </w:r>
    </w:p>
    <w:p w14:paraId="44262B6B">
      <w:pPr>
        <w:wordWrap w:val="0"/>
        <w:spacing w:line="360" w:lineRule="auto"/>
        <w:ind w:firstLine="480" w:firstLineChars="200"/>
        <w:rPr>
          <w:rFonts w:hint="eastAsia" w:ascii="宋体" w:hAnsi="宋体"/>
          <w:sz w:val="24"/>
          <w:szCs w:val="24"/>
        </w:rPr>
      </w:pPr>
      <w:r>
        <w:rPr>
          <w:rFonts w:hint="eastAsia" w:ascii="宋体" w:hAnsi="宋体"/>
          <w:sz w:val="24"/>
          <w:szCs w:val="24"/>
        </w:rPr>
        <w:t>本项细化为：</w:t>
      </w:r>
    </w:p>
    <w:p w14:paraId="015B28D2">
      <w:pPr>
        <w:wordWrap w:val="0"/>
        <w:spacing w:line="360" w:lineRule="auto"/>
        <w:ind w:firstLine="480" w:firstLineChars="200"/>
        <w:rPr>
          <w:rFonts w:hint="eastAsia" w:ascii="宋体" w:hAnsi="宋体"/>
          <w:sz w:val="24"/>
          <w:szCs w:val="24"/>
        </w:rPr>
      </w:pPr>
      <w:r>
        <w:rPr>
          <w:rFonts w:hint="eastAsia" w:ascii="宋体" w:hAnsi="宋体"/>
          <w:sz w:val="24"/>
          <w:szCs w:val="24"/>
        </w:rPr>
        <w:t>有下列情形之一的，承包人应免费向监理人提交相关部分工程的施工图纸3份，并附必要的计算书、技术资料，或施工工艺图、设备安装图及安装设备的使用和维护手册各2份供监理人批准。</w:t>
      </w:r>
    </w:p>
    <w:p w14:paraId="45A0EDB4">
      <w:pPr>
        <w:wordWrap w:val="0"/>
        <w:spacing w:line="360" w:lineRule="auto"/>
        <w:ind w:firstLine="480" w:firstLineChars="200"/>
        <w:rPr>
          <w:rFonts w:hint="eastAsia" w:ascii="宋体" w:hAnsi="宋体"/>
          <w:sz w:val="24"/>
          <w:szCs w:val="24"/>
        </w:rPr>
      </w:pPr>
      <w:r>
        <w:rPr>
          <w:rFonts w:hint="eastAsia" w:ascii="宋体" w:hAnsi="宋体"/>
          <w:sz w:val="24"/>
          <w:szCs w:val="24"/>
        </w:rPr>
        <w:t>（1）为使第1.6.1项所述的施工图纸适合于经现场测量后的纵、横断面；</w:t>
      </w:r>
    </w:p>
    <w:p w14:paraId="320E090D">
      <w:pPr>
        <w:wordWrap w:val="0"/>
        <w:spacing w:line="360" w:lineRule="auto"/>
        <w:ind w:firstLine="480" w:firstLineChars="200"/>
        <w:rPr>
          <w:rFonts w:hint="eastAsia" w:ascii="宋体" w:hAnsi="宋体"/>
          <w:sz w:val="24"/>
          <w:szCs w:val="24"/>
        </w:rPr>
      </w:pPr>
      <w:r>
        <w:rPr>
          <w:rFonts w:hint="eastAsia" w:ascii="宋体" w:hAnsi="宋体"/>
          <w:sz w:val="24"/>
          <w:szCs w:val="24"/>
        </w:rPr>
        <w:t>（2）为使第1.6.1项所述的施工图纸适合于现场具体地形；</w:t>
      </w:r>
    </w:p>
    <w:p w14:paraId="72866D78">
      <w:pPr>
        <w:wordWrap w:val="0"/>
        <w:spacing w:line="360" w:lineRule="auto"/>
        <w:ind w:firstLine="480" w:firstLineChars="200"/>
        <w:rPr>
          <w:rFonts w:hint="eastAsia" w:ascii="宋体" w:hAnsi="宋体"/>
          <w:sz w:val="24"/>
          <w:szCs w:val="24"/>
        </w:rPr>
      </w:pPr>
      <w:r>
        <w:rPr>
          <w:rFonts w:hint="eastAsia" w:ascii="宋体" w:hAnsi="宋体"/>
          <w:sz w:val="24"/>
          <w:szCs w:val="24"/>
        </w:rPr>
        <w:t>（3）为使第1.6.1项所述的施工图纸适合于因尺寸与位置变化而引起局部变更；</w:t>
      </w:r>
    </w:p>
    <w:p w14:paraId="29709174">
      <w:pPr>
        <w:wordWrap w:val="0"/>
        <w:spacing w:line="360" w:lineRule="auto"/>
        <w:ind w:firstLine="480" w:firstLineChars="200"/>
        <w:rPr>
          <w:rFonts w:hint="eastAsia" w:ascii="宋体" w:hAnsi="宋体"/>
          <w:sz w:val="24"/>
          <w:szCs w:val="24"/>
        </w:rPr>
      </w:pPr>
      <w:r>
        <w:rPr>
          <w:rFonts w:hint="eastAsia" w:ascii="宋体" w:hAnsi="宋体"/>
          <w:sz w:val="24"/>
          <w:szCs w:val="24"/>
        </w:rPr>
        <w:t>（4）由于合同要求与施工需要。</w:t>
      </w:r>
    </w:p>
    <w:p w14:paraId="35BE3C99">
      <w:pPr>
        <w:wordWrap w:val="0"/>
        <w:spacing w:line="360" w:lineRule="auto"/>
        <w:ind w:firstLine="480" w:firstLineChars="200"/>
        <w:rPr>
          <w:rFonts w:hint="eastAsia" w:ascii="宋体" w:hAnsi="宋体"/>
          <w:sz w:val="24"/>
          <w:szCs w:val="24"/>
        </w:rPr>
      </w:pPr>
      <w:r>
        <w:rPr>
          <w:rFonts w:hint="eastAsia" w:ascii="宋体" w:hAnsi="宋体"/>
          <w:sz w:val="24"/>
          <w:szCs w:val="24"/>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14:paraId="4C1C05C1">
      <w:pPr>
        <w:wordWrap w:val="0"/>
        <w:spacing w:line="360" w:lineRule="auto"/>
        <w:ind w:firstLine="480" w:firstLineChars="200"/>
        <w:rPr>
          <w:rFonts w:hint="eastAsia" w:ascii="宋体" w:hAnsi="宋体"/>
          <w:sz w:val="24"/>
          <w:szCs w:val="24"/>
        </w:rPr>
      </w:pPr>
      <w:r>
        <w:rPr>
          <w:rFonts w:hint="eastAsia" w:ascii="宋体" w:hAnsi="宋体"/>
          <w:sz w:val="24"/>
          <w:szCs w:val="24"/>
        </w:rPr>
        <w:t>1.6.4图纸的错误</w:t>
      </w:r>
    </w:p>
    <w:p w14:paraId="6D5AF6EC">
      <w:pPr>
        <w:wordWrap w:val="0"/>
        <w:spacing w:line="360" w:lineRule="auto"/>
        <w:ind w:firstLine="480" w:firstLineChars="200"/>
        <w:rPr>
          <w:rFonts w:hint="eastAsia" w:ascii="宋体" w:hAnsi="宋体"/>
          <w:sz w:val="24"/>
          <w:szCs w:val="24"/>
        </w:rPr>
      </w:pPr>
      <w:r>
        <w:rPr>
          <w:rFonts w:hint="eastAsia" w:ascii="宋体" w:hAnsi="宋体"/>
          <w:sz w:val="24"/>
          <w:szCs w:val="24"/>
        </w:rPr>
        <w:t>本项细化为：</w:t>
      </w:r>
    </w:p>
    <w:p w14:paraId="68D4C3CB">
      <w:pPr>
        <w:wordWrap w:val="0"/>
        <w:spacing w:line="360" w:lineRule="auto"/>
        <w:ind w:firstLine="480" w:firstLineChars="200"/>
        <w:rPr>
          <w:rFonts w:hint="eastAsia" w:ascii="宋体" w:hAnsi="宋体"/>
          <w:sz w:val="24"/>
          <w:szCs w:val="24"/>
        </w:rPr>
      </w:pPr>
      <w:r>
        <w:rPr>
          <w:rFonts w:hint="eastAsia" w:ascii="宋体" w:hAnsi="宋体"/>
          <w:sz w:val="24"/>
          <w:szCs w:val="24"/>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14:paraId="19285D0D">
      <w:pPr>
        <w:wordWrap w:val="0"/>
        <w:spacing w:line="360" w:lineRule="auto"/>
        <w:ind w:firstLine="480" w:firstLineChars="200"/>
        <w:rPr>
          <w:rFonts w:hint="eastAsia" w:ascii="宋体" w:hAnsi="宋体"/>
          <w:sz w:val="24"/>
          <w:szCs w:val="24"/>
        </w:rPr>
      </w:pPr>
      <w:bookmarkStart w:id="530" w:name="_Toc234382846"/>
      <w:r>
        <w:rPr>
          <w:rFonts w:hint="eastAsia" w:ascii="宋体" w:hAnsi="宋体"/>
          <w:sz w:val="24"/>
          <w:szCs w:val="24"/>
        </w:rPr>
        <w:t>1.9严禁贿赂</w:t>
      </w:r>
      <w:bookmarkEnd w:id="530"/>
    </w:p>
    <w:p w14:paraId="5034D955">
      <w:pPr>
        <w:wordWrap w:val="0"/>
        <w:spacing w:line="360" w:lineRule="auto"/>
        <w:ind w:firstLine="480" w:firstLineChars="200"/>
        <w:rPr>
          <w:rFonts w:hint="eastAsia" w:ascii="宋体" w:hAnsi="宋体"/>
          <w:sz w:val="24"/>
          <w:szCs w:val="24"/>
        </w:rPr>
      </w:pPr>
      <w:r>
        <w:rPr>
          <w:rFonts w:hint="eastAsia" w:ascii="宋体" w:hAnsi="宋体"/>
          <w:sz w:val="24"/>
          <w:szCs w:val="24"/>
        </w:rPr>
        <w:t>本款补充：</w:t>
      </w:r>
    </w:p>
    <w:p w14:paraId="34A59508">
      <w:pPr>
        <w:wordWrap w:val="0"/>
        <w:spacing w:line="360" w:lineRule="auto"/>
        <w:ind w:firstLine="480" w:firstLineChars="200"/>
        <w:rPr>
          <w:rFonts w:hint="eastAsia" w:ascii="宋体" w:hAnsi="宋体"/>
          <w:sz w:val="24"/>
          <w:szCs w:val="24"/>
        </w:rPr>
      </w:pPr>
      <w:r>
        <w:rPr>
          <w:rFonts w:hint="eastAsia" w:ascii="宋体" w:hAnsi="宋体"/>
          <w:sz w:val="24"/>
          <w:szCs w:val="24"/>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上述行为造成的工程损耗害、发包人的经济损失等承担一切责任，并予赔偿。情节严重者，发包人有权终止承包人在本合同项下的承包。</w:t>
      </w:r>
    </w:p>
    <w:p w14:paraId="4EDDAB46">
      <w:pPr>
        <w:wordWrap w:val="0"/>
        <w:spacing w:line="360" w:lineRule="auto"/>
        <w:ind w:firstLine="480" w:firstLineChars="200"/>
        <w:rPr>
          <w:rFonts w:hint="eastAsia" w:ascii="宋体" w:hAnsi="宋体"/>
          <w:sz w:val="24"/>
          <w:szCs w:val="24"/>
        </w:rPr>
      </w:pPr>
      <w:bookmarkStart w:id="531" w:name="_Toc234382847"/>
      <w:r>
        <w:rPr>
          <w:rFonts w:hint="eastAsia" w:ascii="宋体" w:hAnsi="宋体"/>
          <w:sz w:val="24"/>
          <w:szCs w:val="24"/>
        </w:rPr>
        <w:t>2．发包人义务</w:t>
      </w:r>
      <w:bookmarkEnd w:id="531"/>
    </w:p>
    <w:p w14:paraId="39AA1612">
      <w:pPr>
        <w:wordWrap w:val="0"/>
        <w:spacing w:line="360" w:lineRule="auto"/>
        <w:ind w:firstLine="480" w:firstLineChars="200"/>
        <w:rPr>
          <w:rFonts w:hint="eastAsia" w:ascii="宋体" w:hAnsi="宋体"/>
          <w:sz w:val="24"/>
          <w:szCs w:val="24"/>
        </w:rPr>
      </w:pPr>
      <w:bookmarkStart w:id="532" w:name="_Toc234382848"/>
      <w:r>
        <w:rPr>
          <w:rFonts w:hint="eastAsia" w:ascii="宋体" w:hAnsi="宋体"/>
          <w:sz w:val="24"/>
          <w:szCs w:val="24"/>
        </w:rPr>
        <w:t>2.3提供施工场地</w:t>
      </w:r>
      <w:bookmarkEnd w:id="532"/>
    </w:p>
    <w:p w14:paraId="166A326E">
      <w:pPr>
        <w:wordWrap w:val="0"/>
        <w:spacing w:line="360" w:lineRule="auto"/>
        <w:ind w:firstLine="480" w:firstLineChars="200"/>
        <w:rPr>
          <w:rFonts w:hint="eastAsia" w:ascii="宋体" w:hAnsi="宋体"/>
          <w:sz w:val="24"/>
          <w:szCs w:val="24"/>
        </w:rPr>
      </w:pPr>
      <w:r>
        <w:rPr>
          <w:rFonts w:hint="eastAsia" w:ascii="宋体" w:hAnsi="宋体"/>
          <w:sz w:val="24"/>
          <w:szCs w:val="24"/>
        </w:rPr>
        <w:t>本款补充：</w:t>
      </w:r>
    </w:p>
    <w:p w14:paraId="506A2EDE">
      <w:pPr>
        <w:wordWrap w:val="0"/>
        <w:spacing w:line="360" w:lineRule="auto"/>
        <w:ind w:firstLine="480" w:firstLineChars="200"/>
        <w:rPr>
          <w:rFonts w:hint="eastAsia" w:ascii="宋体" w:hAnsi="宋体"/>
          <w:sz w:val="24"/>
          <w:szCs w:val="24"/>
        </w:rPr>
      </w:pPr>
      <w:r>
        <w:rPr>
          <w:rFonts w:hint="eastAsia" w:ascii="宋体" w:hAnsi="宋体"/>
          <w:sz w:val="24"/>
          <w:szCs w:val="24"/>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14:paraId="064121AC">
      <w:pPr>
        <w:wordWrap w:val="0"/>
        <w:spacing w:line="360" w:lineRule="auto"/>
        <w:ind w:firstLine="480" w:firstLineChars="200"/>
        <w:rPr>
          <w:rFonts w:hint="eastAsia" w:ascii="宋体" w:hAnsi="宋体"/>
          <w:sz w:val="24"/>
          <w:szCs w:val="24"/>
        </w:rPr>
      </w:pPr>
      <w:r>
        <w:rPr>
          <w:rFonts w:hint="eastAsia" w:ascii="宋体" w:hAnsi="宋体"/>
          <w:sz w:val="24"/>
          <w:szCs w:val="24"/>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01987061">
      <w:pPr>
        <w:wordWrap w:val="0"/>
        <w:spacing w:line="360" w:lineRule="auto"/>
        <w:ind w:firstLine="480" w:firstLineChars="200"/>
        <w:rPr>
          <w:rFonts w:hint="eastAsia" w:ascii="宋体" w:hAnsi="宋体"/>
          <w:sz w:val="24"/>
          <w:szCs w:val="24"/>
        </w:rPr>
      </w:pPr>
      <w:bookmarkStart w:id="533" w:name="_Toc234382849"/>
      <w:r>
        <w:rPr>
          <w:rFonts w:hint="eastAsia" w:ascii="宋体" w:hAnsi="宋体"/>
          <w:sz w:val="24"/>
          <w:szCs w:val="24"/>
        </w:rPr>
        <w:t>3．监理人</w:t>
      </w:r>
      <w:bookmarkEnd w:id="533"/>
    </w:p>
    <w:p w14:paraId="5B9FFAB2">
      <w:pPr>
        <w:wordWrap w:val="0"/>
        <w:spacing w:line="360" w:lineRule="auto"/>
        <w:ind w:firstLine="480" w:firstLineChars="200"/>
        <w:rPr>
          <w:rFonts w:hint="eastAsia" w:ascii="宋体" w:hAnsi="宋体"/>
          <w:sz w:val="24"/>
          <w:szCs w:val="24"/>
        </w:rPr>
      </w:pPr>
      <w:bookmarkStart w:id="534" w:name="_Toc234382850"/>
      <w:r>
        <w:rPr>
          <w:rFonts w:hint="eastAsia" w:ascii="宋体" w:hAnsi="宋体"/>
          <w:sz w:val="24"/>
          <w:szCs w:val="24"/>
        </w:rPr>
        <w:t>3.1监理人的职责和权力</w:t>
      </w:r>
      <w:bookmarkEnd w:id="534"/>
    </w:p>
    <w:p w14:paraId="1055CAE0">
      <w:pPr>
        <w:wordWrap w:val="0"/>
        <w:spacing w:line="360" w:lineRule="auto"/>
        <w:ind w:firstLine="480" w:firstLineChars="200"/>
        <w:rPr>
          <w:rFonts w:hint="eastAsia" w:ascii="宋体" w:hAnsi="宋体"/>
          <w:sz w:val="24"/>
          <w:szCs w:val="24"/>
        </w:rPr>
      </w:pPr>
      <w:r>
        <w:rPr>
          <w:rFonts w:hint="eastAsia" w:ascii="宋体" w:hAnsi="宋体"/>
          <w:sz w:val="24"/>
          <w:szCs w:val="24"/>
        </w:rPr>
        <w:t>第3.1.1项补充：</w:t>
      </w:r>
    </w:p>
    <w:p w14:paraId="17CABC33">
      <w:pPr>
        <w:wordWrap w:val="0"/>
        <w:spacing w:line="360" w:lineRule="auto"/>
        <w:ind w:firstLine="480" w:firstLineChars="200"/>
        <w:rPr>
          <w:rFonts w:hint="eastAsia" w:ascii="宋体" w:hAnsi="宋体"/>
          <w:sz w:val="24"/>
          <w:szCs w:val="24"/>
        </w:rPr>
      </w:pPr>
      <w:r>
        <w:rPr>
          <w:rFonts w:hint="eastAsia" w:ascii="宋体" w:hAnsi="宋体"/>
          <w:sz w:val="24"/>
          <w:szCs w:val="24"/>
        </w:rPr>
        <w:t>监理人在行使下列权力前需要经发包人事先批准：</w:t>
      </w:r>
    </w:p>
    <w:p w14:paraId="630047DC">
      <w:pPr>
        <w:wordWrap w:val="0"/>
        <w:spacing w:line="360" w:lineRule="auto"/>
        <w:ind w:firstLine="480" w:firstLineChars="200"/>
        <w:rPr>
          <w:rFonts w:hint="eastAsia" w:ascii="宋体" w:hAnsi="宋体"/>
          <w:sz w:val="24"/>
          <w:szCs w:val="24"/>
        </w:rPr>
      </w:pPr>
      <w:r>
        <w:rPr>
          <w:rFonts w:hint="eastAsia" w:ascii="宋体" w:hAnsi="宋体"/>
          <w:sz w:val="24"/>
          <w:szCs w:val="24"/>
        </w:rPr>
        <w:t>（1）根据第4.3款，同意分包本工程的某些非主体和非关键性工作；</w:t>
      </w:r>
    </w:p>
    <w:p w14:paraId="609809A6">
      <w:pPr>
        <w:wordWrap w:val="0"/>
        <w:spacing w:line="360" w:lineRule="auto"/>
        <w:ind w:firstLine="480" w:firstLineChars="200"/>
        <w:rPr>
          <w:rFonts w:hint="eastAsia" w:ascii="宋体" w:hAnsi="宋体"/>
          <w:sz w:val="24"/>
          <w:szCs w:val="24"/>
        </w:rPr>
      </w:pPr>
      <w:r>
        <w:rPr>
          <w:rFonts w:hint="eastAsia" w:ascii="宋体" w:hAnsi="宋体"/>
          <w:sz w:val="24"/>
          <w:szCs w:val="24"/>
        </w:rPr>
        <w:t>（2）确定第4.11款下产生的费用增加额；</w:t>
      </w:r>
    </w:p>
    <w:p w14:paraId="2CED8C47">
      <w:pPr>
        <w:wordWrap w:val="0"/>
        <w:spacing w:line="360" w:lineRule="auto"/>
        <w:ind w:firstLine="480" w:firstLineChars="200"/>
        <w:rPr>
          <w:rFonts w:hint="eastAsia" w:ascii="宋体" w:hAnsi="宋体"/>
          <w:sz w:val="24"/>
          <w:szCs w:val="24"/>
        </w:rPr>
      </w:pPr>
      <w:r>
        <w:rPr>
          <w:rFonts w:hint="eastAsia" w:ascii="宋体" w:hAnsi="宋体"/>
          <w:sz w:val="24"/>
          <w:szCs w:val="24"/>
        </w:rPr>
        <w:t>（3）根据第11.1款、第12.3款、第12.4款发布开工通知、暂停施工指示或复工通知；</w:t>
      </w:r>
    </w:p>
    <w:p w14:paraId="2F85D401">
      <w:pPr>
        <w:wordWrap w:val="0"/>
        <w:spacing w:line="360" w:lineRule="auto"/>
        <w:ind w:firstLine="480" w:firstLineChars="200"/>
        <w:rPr>
          <w:rFonts w:hint="eastAsia" w:ascii="宋体" w:hAnsi="宋体"/>
          <w:sz w:val="24"/>
          <w:szCs w:val="24"/>
        </w:rPr>
      </w:pPr>
      <w:r>
        <w:rPr>
          <w:rFonts w:hint="eastAsia" w:ascii="宋体" w:hAnsi="宋体"/>
          <w:sz w:val="24"/>
          <w:szCs w:val="24"/>
        </w:rPr>
        <w:t>（4）决定第11.3款、第11.4款下的工期延长；</w:t>
      </w:r>
    </w:p>
    <w:p w14:paraId="6135DD66">
      <w:pPr>
        <w:wordWrap w:val="0"/>
        <w:spacing w:line="360" w:lineRule="auto"/>
        <w:ind w:firstLine="480" w:firstLineChars="200"/>
        <w:rPr>
          <w:rFonts w:hint="eastAsia" w:ascii="宋体" w:hAnsi="宋体"/>
          <w:sz w:val="24"/>
          <w:szCs w:val="24"/>
        </w:rPr>
      </w:pPr>
      <w:r>
        <w:rPr>
          <w:rFonts w:hint="eastAsia" w:ascii="宋体" w:hAnsi="宋体"/>
          <w:sz w:val="24"/>
          <w:szCs w:val="24"/>
        </w:rPr>
        <w:t>（5）审查批准技术规范或设计的变更；</w:t>
      </w:r>
    </w:p>
    <w:p w14:paraId="46966B1C">
      <w:pPr>
        <w:wordWrap w:val="0"/>
        <w:spacing w:line="360" w:lineRule="auto"/>
        <w:ind w:firstLine="480" w:firstLineChars="200"/>
        <w:rPr>
          <w:rFonts w:hint="eastAsia" w:ascii="宋体" w:hAnsi="宋体"/>
          <w:sz w:val="24"/>
          <w:szCs w:val="24"/>
        </w:rPr>
      </w:pPr>
      <w:r>
        <w:rPr>
          <w:rFonts w:hint="eastAsia" w:ascii="宋体" w:hAnsi="宋体"/>
          <w:sz w:val="24"/>
          <w:szCs w:val="24"/>
        </w:rPr>
        <w:t>（6）根据第15.3款发出的变更指令，其单项工程变更或累计变更涉及的金额超过了项目专用合同条款数据表规定的金额；</w:t>
      </w:r>
    </w:p>
    <w:p w14:paraId="7E95785F">
      <w:pPr>
        <w:wordWrap w:val="0"/>
        <w:spacing w:line="360" w:lineRule="auto"/>
        <w:ind w:firstLine="480" w:firstLineChars="200"/>
        <w:rPr>
          <w:rFonts w:hint="eastAsia" w:ascii="宋体" w:hAnsi="宋体"/>
          <w:sz w:val="24"/>
          <w:szCs w:val="24"/>
        </w:rPr>
      </w:pPr>
      <w:r>
        <w:rPr>
          <w:rFonts w:hint="eastAsia" w:ascii="宋体" w:hAnsi="宋体"/>
          <w:sz w:val="24"/>
          <w:szCs w:val="24"/>
        </w:rPr>
        <w:t>（7）确定第15.4款下变更工作的单价；</w:t>
      </w:r>
    </w:p>
    <w:p w14:paraId="14672FE6">
      <w:pPr>
        <w:wordWrap w:val="0"/>
        <w:spacing w:line="360" w:lineRule="auto"/>
        <w:ind w:firstLine="480" w:firstLineChars="200"/>
        <w:rPr>
          <w:rFonts w:hint="eastAsia" w:ascii="宋体" w:hAnsi="宋体"/>
          <w:sz w:val="24"/>
          <w:szCs w:val="24"/>
        </w:rPr>
      </w:pPr>
      <w:r>
        <w:rPr>
          <w:rFonts w:hint="eastAsia" w:ascii="宋体" w:hAnsi="宋体"/>
          <w:sz w:val="24"/>
          <w:szCs w:val="24"/>
        </w:rPr>
        <w:t>（8）按照第15.6款决定有关暂列金额的使用；</w:t>
      </w:r>
    </w:p>
    <w:p w14:paraId="26311470">
      <w:pPr>
        <w:wordWrap w:val="0"/>
        <w:spacing w:line="360" w:lineRule="auto"/>
        <w:ind w:firstLine="480" w:firstLineChars="200"/>
        <w:rPr>
          <w:rFonts w:hint="eastAsia" w:ascii="宋体" w:hAnsi="宋体"/>
          <w:sz w:val="24"/>
          <w:szCs w:val="24"/>
        </w:rPr>
      </w:pPr>
      <w:r>
        <w:rPr>
          <w:rFonts w:hint="eastAsia" w:ascii="宋体" w:hAnsi="宋体"/>
          <w:sz w:val="24"/>
          <w:szCs w:val="24"/>
        </w:rPr>
        <w:t>（9）确定第15.8款项下的暂估价金额；</w:t>
      </w:r>
    </w:p>
    <w:p w14:paraId="2F70B232">
      <w:pPr>
        <w:wordWrap w:val="0"/>
        <w:spacing w:line="360" w:lineRule="auto"/>
        <w:ind w:firstLine="480" w:firstLineChars="200"/>
        <w:rPr>
          <w:rFonts w:hint="eastAsia" w:ascii="宋体" w:hAnsi="宋体"/>
          <w:sz w:val="24"/>
          <w:szCs w:val="24"/>
        </w:rPr>
      </w:pPr>
      <w:r>
        <w:rPr>
          <w:rFonts w:hint="eastAsia" w:ascii="宋体" w:hAnsi="宋体"/>
          <w:sz w:val="24"/>
          <w:szCs w:val="24"/>
        </w:rPr>
        <w:t>（10）确定第23.1款项下的索赔额。</w:t>
      </w:r>
    </w:p>
    <w:p w14:paraId="6D930DB0">
      <w:pPr>
        <w:wordWrap w:val="0"/>
        <w:spacing w:line="360" w:lineRule="auto"/>
        <w:ind w:firstLine="480" w:firstLineChars="200"/>
        <w:rPr>
          <w:rFonts w:hint="eastAsia" w:ascii="宋体" w:hAnsi="宋体"/>
          <w:sz w:val="24"/>
          <w:szCs w:val="24"/>
        </w:rPr>
      </w:pPr>
      <w:r>
        <w:rPr>
          <w:rFonts w:hint="eastAsia" w:ascii="宋体" w:hAnsi="宋体"/>
          <w:sz w:val="24"/>
          <w:szCs w:val="24"/>
        </w:rPr>
        <w:t>如果发生紧急情况，监理人认为将造成人员伤亡，或危及本工程或邻近的财产需立即采取行动，监理人有权在未征得发包人的批准的情况下发布处理紧急情况所比需的指令，承包人应予执行，由此造成的费用增加由监理人按第3.5款商定或确定。</w:t>
      </w:r>
    </w:p>
    <w:p w14:paraId="6327BD49">
      <w:pPr>
        <w:wordWrap w:val="0"/>
        <w:spacing w:line="360" w:lineRule="auto"/>
        <w:ind w:firstLine="480" w:firstLineChars="200"/>
        <w:rPr>
          <w:rFonts w:hint="eastAsia" w:ascii="宋体" w:hAnsi="宋体"/>
          <w:sz w:val="24"/>
          <w:szCs w:val="24"/>
        </w:rPr>
      </w:pPr>
      <w:bookmarkStart w:id="535" w:name="_Toc234382851"/>
      <w:r>
        <w:rPr>
          <w:rFonts w:hint="eastAsia" w:ascii="宋体" w:hAnsi="宋体"/>
          <w:sz w:val="24"/>
          <w:szCs w:val="24"/>
        </w:rPr>
        <w:t>3.5商定或确定</w:t>
      </w:r>
      <w:bookmarkEnd w:id="535"/>
    </w:p>
    <w:p w14:paraId="220D128F">
      <w:pPr>
        <w:wordWrap w:val="0"/>
        <w:spacing w:line="360" w:lineRule="auto"/>
        <w:ind w:firstLine="480" w:firstLineChars="200"/>
        <w:rPr>
          <w:rFonts w:hint="eastAsia" w:ascii="宋体" w:hAnsi="宋体"/>
          <w:sz w:val="24"/>
          <w:szCs w:val="24"/>
        </w:rPr>
      </w:pPr>
      <w:r>
        <w:rPr>
          <w:rFonts w:hint="eastAsia" w:ascii="宋体" w:hAnsi="宋体"/>
          <w:sz w:val="24"/>
          <w:szCs w:val="24"/>
        </w:rPr>
        <w:t>第3.5.1 项补充：</w:t>
      </w:r>
    </w:p>
    <w:p w14:paraId="1CDDDA22">
      <w:pPr>
        <w:wordWrap w:val="0"/>
        <w:spacing w:line="360" w:lineRule="auto"/>
        <w:ind w:firstLine="480" w:firstLineChars="200"/>
        <w:rPr>
          <w:rFonts w:hint="eastAsia" w:ascii="宋体" w:hAnsi="宋体"/>
          <w:sz w:val="24"/>
          <w:szCs w:val="24"/>
        </w:rPr>
      </w:pPr>
      <w:r>
        <w:rPr>
          <w:rFonts w:hint="eastAsia" w:ascii="宋体" w:hAnsi="宋体"/>
          <w:sz w:val="24"/>
          <w:szCs w:val="24"/>
        </w:rPr>
        <w:t>如果这项商定或确定导致费用增加和（或）工期延长，或者涉及确定变更工程的价格，则总监理工程师在发出通知前，应征得发包人的同意。</w:t>
      </w:r>
    </w:p>
    <w:p w14:paraId="0F1FEEF1">
      <w:pPr>
        <w:wordWrap w:val="0"/>
        <w:spacing w:line="360" w:lineRule="auto"/>
        <w:ind w:firstLine="480" w:firstLineChars="200"/>
        <w:rPr>
          <w:rFonts w:hint="eastAsia" w:ascii="宋体" w:hAnsi="宋体"/>
          <w:sz w:val="24"/>
          <w:szCs w:val="24"/>
        </w:rPr>
      </w:pPr>
      <w:bookmarkStart w:id="536" w:name="_Toc234382852"/>
      <w:r>
        <w:rPr>
          <w:rFonts w:hint="eastAsia" w:ascii="宋体" w:hAnsi="宋体"/>
          <w:sz w:val="24"/>
          <w:szCs w:val="24"/>
        </w:rPr>
        <w:t>4.承包人</w:t>
      </w:r>
      <w:bookmarkEnd w:id="536"/>
    </w:p>
    <w:p w14:paraId="603693E7">
      <w:pPr>
        <w:wordWrap w:val="0"/>
        <w:spacing w:line="360" w:lineRule="auto"/>
        <w:ind w:firstLine="480" w:firstLineChars="200"/>
        <w:rPr>
          <w:rFonts w:hint="eastAsia" w:ascii="宋体" w:hAnsi="宋体"/>
          <w:sz w:val="24"/>
          <w:szCs w:val="24"/>
        </w:rPr>
      </w:pPr>
      <w:bookmarkStart w:id="537" w:name="_Toc234382853"/>
      <w:r>
        <w:rPr>
          <w:rFonts w:hint="eastAsia" w:ascii="宋体" w:hAnsi="宋体"/>
          <w:sz w:val="24"/>
          <w:szCs w:val="24"/>
        </w:rPr>
        <w:t>4.1承包工的一般义务</w:t>
      </w:r>
      <w:bookmarkEnd w:id="537"/>
    </w:p>
    <w:p w14:paraId="04EABB2F">
      <w:pPr>
        <w:wordWrap w:val="0"/>
        <w:spacing w:line="360" w:lineRule="auto"/>
        <w:ind w:firstLine="480" w:firstLineChars="200"/>
        <w:rPr>
          <w:rFonts w:hint="eastAsia" w:ascii="宋体" w:hAnsi="宋体"/>
          <w:sz w:val="24"/>
          <w:szCs w:val="24"/>
        </w:rPr>
      </w:pPr>
      <w:r>
        <w:rPr>
          <w:rFonts w:hint="eastAsia" w:ascii="宋体" w:hAnsi="宋体"/>
          <w:sz w:val="24"/>
          <w:szCs w:val="24"/>
        </w:rPr>
        <w:t>4.1.9工程的维护和照管</w:t>
      </w:r>
    </w:p>
    <w:p w14:paraId="15372BB0">
      <w:pPr>
        <w:wordWrap w:val="0"/>
        <w:spacing w:line="360" w:lineRule="auto"/>
        <w:ind w:firstLine="480" w:firstLineChars="200"/>
        <w:rPr>
          <w:rFonts w:hint="eastAsia" w:ascii="宋体" w:hAnsi="宋体"/>
          <w:sz w:val="24"/>
          <w:szCs w:val="24"/>
        </w:rPr>
      </w:pPr>
      <w:r>
        <w:rPr>
          <w:rFonts w:hint="eastAsia" w:ascii="宋体" w:hAnsi="宋体"/>
          <w:sz w:val="24"/>
          <w:szCs w:val="24"/>
        </w:rPr>
        <w:t>本项细化为：</w:t>
      </w:r>
    </w:p>
    <w:p w14:paraId="10AAC1B2">
      <w:pPr>
        <w:wordWrap w:val="0"/>
        <w:spacing w:line="360" w:lineRule="auto"/>
        <w:ind w:firstLine="480" w:firstLineChars="200"/>
        <w:rPr>
          <w:rFonts w:hint="eastAsia" w:ascii="宋体" w:hAnsi="宋体"/>
          <w:sz w:val="24"/>
          <w:szCs w:val="24"/>
        </w:rPr>
      </w:pPr>
      <w:r>
        <w:rPr>
          <w:rFonts w:hint="eastAsia" w:ascii="宋体" w:hAnsi="宋体"/>
          <w:sz w:val="24"/>
          <w:szCs w:val="24"/>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7D08C3CB">
      <w:pPr>
        <w:wordWrap w:val="0"/>
        <w:spacing w:line="360" w:lineRule="auto"/>
        <w:ind w:firstLine="480" w:firstLineChars="200"/>
        <w:rPr>
          <w:rFonts w:hint="eastAsia" w:ascii="宋体" w:hAnsi="宋体"/>
          <w:sz w:val="24"/>
          <w:szCs w:val="24"/>
        </w:rPr>
      </w:pPr>
      <w:r>
        <w:rPr>
          <w:rFonts w:hint="eastAsia" w:ascii="宋体" w:hAnsi="宋体"/>
          <w:sz w:val="24"/>
          <w:szCs w:val="24"/>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29060C8C">
      <w:pPr>
        <w:wordWrap w:val="0"/>
        <w:spacing w:line="360" w:lineRule="auto"/>
        <w:ind w:firstLine="480" w:firstLineChars="200"/>
        <w:rPr>
          <w:rFonts w:hint="eastAsia" w:ascii="宋体" w:hAnsi="宋体"/>
          <w:sz w:val="24"/>
          <w:szCs w:val="24"/>
        </w:rPr>
      </w:pPr>
      <w:r>
        <w:rPr>
          <w:rFonts w:hint="eastAsia" w:ascii="宋体" w:hAnsi="宋体"/>
          <w:sz w:val="24"/>
          <w:szCs w:val="24"/>
        </w:rPr>
        <w:t>4.1.10其他义务</w:t>
      </w:r>
    </w:p>
    <w:p w14:paraId="493698EE">
      <w:pPr>
        <w:wordWrap w:val="0"/>
        <w:spacing w:line="360" w:lineRule="auto"/>
        <w:ind w:firstLine="480" w:firstLineChars="200"/>
        <w:rPr>
          <w:rFonts w:hint="eastAsia" w:ascii="宋体" w:hAnsi="宋体"/>
          <w:sz w:val="24"/>
          <w:szCs w:val="24"/>
        </w:rPr>
      </w:pPr>
      <w:r>
        <w:rPr>
          <w:rFonts w:hint="eastAsia" w:ascii="宋体" w:hAnsi="宋体"/>
          <w:sz w:val="24"/>
          <w:szCs w:val="24"/>
        </w:rPr>
        <w:t>本项细化为：</w:t>
      </w:r>
    </w:p>
    <w:p w14:paraId="763C0F94">
      <w:pPr>
        <w:wordWrap w:val="0"/>
        <w:spacing w:line="360" w:lineRule="auto"/>
        <w:ind w:firstLine="480" w:firstLineChars="200"/>
        <w:rPr>
          <w:rFonts w:hint="eastAsia" w:ascii="宋体" w:hAnsi="宋体"/>
          <w:sz w:val="24"/>
          <w:szCs w:val="24"/>
        </w:rPr>
      </w:pPr>
      <w:r>
        <w:rPr>
          <w:rFonts w:hint="eastAsia" w:ascii="宋体" w:hAnsi="宋体"/>
          <w:sz w:val="24"/>
          <w:szCs w:val="24"/>
        </w:rPr>
        <w:t>（1）临时占地由承包人向当地政府土地管理部门申请，并办理租用手续，承包人按有关规定直接支付其费用，发包人对此将予以协调。</w:t>
      </w:r>
    </w:p>
    <w:p w14:paraId="7EF15D3C">
      <w:pPr>
        <w:wordWrap w:val="0"/>
        <w:spacing w:line="360" w:lineRule="auto"/>
        <w:ind w:firstLine="480" w:firstLineChars="200"/>
        <w:rPr>
          <w:rFonts w:hint="eastAsia" w:ascii="宋体" w:hAnsi="宋体"/>
          <w:sz w:val="24"/>
          <w:szCs w:val="24"/>
        </w:rPr>
      </w:pPr>
      <w:r>
        <w:rPr>
          <w:rFonts w:hint="eastAsia" w:ascii="宋体" w:hAnsi="宋体"/>
          <w:sz w:val="24"/>
          <w:szCs w:val="24"/>
        </w:rPr>
        <w:t>临时占地范围包括承包人驻地的办公室、食堂、宿舍、道路和机械设备停放场、材料堆放场地、弃土场、预制场、拌合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14:paraId="0196C467">
      <w:pPr>
        <w:wordWrap w:val="0"/>
        <w:spacing w:line="360" w:lineRule="auto"/>
        <w:ind w:firstLine="480" w:firstLineChars="200"/>
        <w:rPr>
          <w:rFonts w:hint="eastAsia" w:ascii="宋体" w:hAnsi="宋体"/>
          <w:sz w:val="24"/>
          <w:szCs w:val="24"/>
        </w:rPr>
      </w:pPr>
      <w:r>
        <w:rPr>
          <w:rFonts w:hint="eastAsia" w:ascii="宋体" w:hAnsi="宋体"/>
          <w:sz w:val="24"/>
          <w:szCs w:val="24"/>
        </w:rPr>
        <w:t>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14:paraId="428CA9F0">
      <w:pPr>
        <w:wordWrap w:val="0"/>
        <w:spacing w:line="360" w:lineRule="auto"/>
        <w:ind w:firstLine="480" w:firstLineChars="200"/>
        <w:rPr>
          <w:rFonts w:hint="eastAsia" w:ascii="宋体" w:hAnsi="宋体"/>
          <w:sz w:val="24"/>
          <w:szCs w:val="24"/>
        </w:rPr>
      </w:pPr>
      <w:r>
        <w:rPr>
          <w:rFonts w:hint="eastAsia" w:ascii="宋体" w:hAnsi="宋体"/>
          <w:sz w:val="24"/>
          <w:szCs w:val="24"/>
        </w:rPr>
        <w:t>（2）除项目专用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3270E2AA">
      <w:pPr>
        <w:wordWrap w:val="0"/>
        <w:spacing w:line="360" w:lineRule="auto"/>
        <w:ind w:firstLine="480" w:firstLineChars="200"/>
        <w:rPr>
          <w:rFonts w:hint="eastAsia" w:ascii="宋体" w:hAnsi="宋体"/>
          <w:sz w:val="24"/>
          <w:szCs w:val="24"/>
        </w:rPr>
      </w:pPr>
      <w:r>
        <w:rPr>
          <w:rFonts w:hint="eastAsia" w:ascii="宋体" w:hAnsi="宋体"/>
          <w:sz w:val="24"/>
          <w:szCs w:val="24"/>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公路建设市场信用信息管理系统。</w:t>
      </w:r>
    </w:p>
    <w:p w14:paraId="5CEF6BB9">
      <w:pPr>
        <w:wordWrap w:val="0"/>
        <w:spacing w:line="360" w:lineRule="auto"/>
        <w:ind w:firstLine="480" w:firstLineChars="200"/>
        <w:rPr>
          <w:rFonts w:hint="eastAsia" w:ascii="宋体" w:hAnsi="宋体"/>
          <w:sz w:val="24"/>
          <w:szCs w:val="24"/>
        </w:rPr>
      </w:pPr>
      <w:r>
        <w:rPr>
          <w:rFonts w:hint="eastAsia" w:ascii="宋体" w:hAnsi="宋体"/>
          <w:sz w:val="24"/>
          <w:szCs w:val="24"/>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72BE4FF4">
      <w:pPr>
        <w:wordWrap w:val="0"/>
        <w:spacing w:line="360" w:lineRule="auto"/>
        <w:ind w:firstLine="480" w:firstLineChars="200"/>
        <w:rPr>
          <w:rFonts w:hint="eastAsia" w:ascii="宋体" w:hAnsi="宋体"/>
          <w:sz w:val="24"/>
          <w:szCs w:val="24"/>
        </w:rPr>
      </w:pPr>
      <w:r>
        <w:rPr>
          <w:rFonts w:hint="eastAsia" w:ascii="宋体" w:hAnsi="宋体"/>
          <w:sz w:val="24"/>
          <w:szCs w:val="24"/>
        </w:rPr>
        <w:t>工资支付表应如实记录支付单位、支付时间、支付对象、支付数额、支付对象的身份证号和签字等信息。民工花名册和工资支付表应报监理人备查。</w:t>
      </w:r>
    </w:p>
    <w:p w14:paraId="54FFB0B4">
      <w:pPr>
        <w:wordWrap w:val="0"/>
        <w:spacing w:line="360" w:lineRule="auto"/>
        <w:ind w:firstLine="480" w:firstLineChars="200"/>
        <w:rPr>
          <w:rFonts w:hint="eastAsia" w:ascii="宋体" w:hAnsi="宋体"/>
          <w:sz w:val="24"/>
          <w:szCs w:val="24"/>
        </w:rPr>
      </w:pPr>
      <w:r>
        <w:rPr>
          <w:rFonts w:hint="eastAsia" w:ascii="宋体" w:hAnsi="宋体"/>
          <w:sz w:val="24"/>
          <w:szCs w:val="24"/>
        </w:rPr>
        <w:t>（4）承包人应履行项目专用合同条款约定的其他义务。</w:t>
      </w:r>
    </w:p>
    <w:p w14:paraId="49149341">
      <w:pPr>
        <w:wordWrap w:val="0"/>
        <w:spacing w:line="360" w:lineRule="auto"/>
        <w:ind w:firstLine="480" w:firstLineChars="200"/>
        <w:rPr>
          <w:rFonts w:hint="eastAsia" w:ascii="宋体" w:hAnsi="宋体"/>
          <w:sz w:val="24"/>
          <w:szCs w:val="24"/>
        </w:rPr>
      </w:pPr>
      <w:bookmarkStart w:id="538" w:name="_Toc234382854"/>
      <w:r>
        <w:rPr>
          <w:rFonts w:hint="eastAsia" w:ascii="宋体" w:hAnsi="宋体"/>
          <w:sz w:val="24"/>
          <w:szCs w:val="24"/>
        </w:rPr>
        <w:t>4.3 分包</w:t>
      </w:r>
      <w:bookmarkEnd w:id="538"/>
    </w:p>
    <w:p w14:paraId="3194159D">
      <w:pPr>
        <w:wordWrap w:val="0"/>
        <w:spacing w:line="360" w:lineRule="auto"/>
        <w:ind w:firstLine="480" w:firstLineChars="200"/>
        <w:rPr>
          <w:rFonts w:hint="eastAsia" w:ascii="宋体" w:hAnsi="宋体"/>
          <w:sz w:val="24"/>
          <w:szCs w:val="24"/>
        </w:rPr>
      </w:pPr>
      <w:r>
        <w:rPr>
          <w:rFonts w:hint="eastAsia" w:ascii="宋体" w:hAnsi="宋体"/>
          <w:sz w:val="24"/>
          <w:szCs w:val="24"/>
        </w:rPr>
        <w:t>第4.3.2项～第4.3.4项细化为：</w:t>
      </w:r>
    </w:p>
    <w:p w14:paraId="2392A99B">
      <w:pPr>
        <w:wordWrap w:val="0"/>
        <w:spacing w:line="360" w:lineRule="auto"/>
        <w:ind w:firstLine="480" w:firstLineChars="200"/>
        <w:rPr>
          <w:rFonts w:hint="eastAsia" w:ascii="宋体" w:hAnsi="宋体"/>
          <w:sz w:val="24"/>
          <w:szCs w:val="24"/>
        </w:rPr>
      </w:pPr>
      <w:r>
        <w:rPr>
          <w:rFonts w:hint="eastAsia" w:ascii="宋体" w:hAnsi="宋体"/>
          <w:sz w:val="24"/>
          <w:szCs w:val="24"/>
        </w:rPr>
        <w:t>4.3.2 承包人不得将工程主体、关键性工作分包给第三人。经发包人同意，承包人可将工程的其他部分或工作分包给第三人。分包包括专业分包和劳务分包。</w:t>
      </w:r>
    </w:p>
    <w:p w14:paraId="03B743C1">
      <w:pPr>
        <w:wordWrap w:val="0"/>
        <w:spacing w:line="360" w:lineRule="auto"/>
        <w:ind w:firstLine="480" w:firstLineChars="200"/>
        <w:rPr>
          <w:rFonts w:hint="eastAsia" w:ascii="宋体" w:hAnsi="宋体"/>
          <w:sz w:val="24"/>
          <w:szCs w:val="24"/>
        </w:rPr>
      </w:pPr>
      <w:r>
        <w:rPr>
          <w:rFonts w:hint="eastAsia" w:ascii="宋体" w:hAnsi="宋体"/>
          <w:sz w:val="24"/>
          <w:szCs w:val="24"/>
        </w:rPr>
        <w:t>4.3.3专业分包</w:t>
      </w:r>
    </w:p>
    <w:p w14:paraId="5978B326">
      <w:pPr>
        <w:wordWrap w:val="0"/>
        <w:spacing w:line="360" w:lineRule="auto"/>
        <w:ind w:firstLine="480" w:firstLineChars="200"/>
        <w:rPr>
          <w:rFonts w:hint="eastAsia" w:ascii="宋体" w:hAnsi="宋体"/>
          <w:sz w:val="24"/>
          <w:szCs w:val="24"/>
        </w:rPr>
      </w:pPr>
      <w:r>
        <w:rPr>
          <w:rFonts w:hint="eastAsia" w:ascii="宋体" w:hAnsi="宋体"/>
          <w:sz w:val="24"/>
          <w:szCs w:val="24"/>
        </w:rPr>
        <w:t>在工程施工过程中，承包人进行专业分包必须遵守以下规定：</w:t>
      </w:r>
    </w:p>
    <w:p w14:paraId="26A74C08">
      <w:pPr>
        <w:wordWrap w:val="0"/>
        <w:spacing w:line="360" w:lineRule="auto"/>
        <w:ind w:firstLine="480" w:firstLineChars="200"/>
        <w:rPr>
          <w:rFonts w:hint="eastAsia" w:ascii="宋体" w:hAnsi="宋体"/>
          <w:sz w:val="24"/>
          <w:szCs w:val="24"/>
        </w:rPr>
      </w:pPr>
      <w:r>
        <w:rPr>
          <w:rFonts w:hint="eastAsia" w:ascii="宋体" w:hAnsi="宋体"/>
          <w:sz w:val="24"/>
          <w:szCs w:val="24"/>
        </w:rPr>
        <w:t>（1）允许专业分包的工程范围仅限于分部工程或分项工程、适合专业化队伍施工的工程，专业分包的工程量累计不得超过总工程量的30%。</w:t>
      </w:r>
    </w:p>
    <w:p w14:paraId="6A751F4B">
      <w:pPr>
        <w:wordWrap w:val="0"/>
        <w:spacing w:line="360" w:lineRule="auto"/>
        <w:ind w:firstLine="480" w:firstLineChars="200"/>
        <w:rPr>
          <w:rFonts w:hint="eastAsia" w:ascii="宋体" w:hAnsi="宋体"/>
          <w:sz w:val="24"/>
          <w:szCs w:val="24"/>
        </w:rPr>
      </w:pPr>
      <w:r>
        <w:rPr>
          <w:rFonts w:hint="eastAsia" w:ascii="宋体" w:hAnsi="宋体"/>
          <w:sz w:val="24"/>
          <w:szCs w:val="24"/>
        </w:rPr>
        <w:t>（2）专业分包人的资格能力（含安全生产能力）应与其分包工程的标准和规模相适应，具备相应的专业承包资质。</w:t>
      </w:r>
    </w:p>
    <w:p w14:paraId="1EC2F1CA">
      <w:pPr>
        <w:wordWrap w:val="0"/>
        <w:spacing w:line="360" w:lineRule="auto"/>
        <w:ind w:firstLine="480" w:firstLineChars="200"/>
        <w:rPr>
          <w:rFonts w:hint="eastAsia" w:ascii="宋体" w:hAnsi="宋体"/>
          <w:sz w:val="24"/>
          <w:szCs w:val="24"/>
        </w:rPr>
      </w:pPr>
      <w:r>
        <w:rPr>
          <w:rFonts w:hint="eastAsia" w:ascii="宋体" w:hAnsi="宋体"/>
          <w:sz w:val="24"/>
          <w:szCs w:val="24"/>
        </w:rPr>
        <w:t>（3）专业分工程不得再次分包。</w:t>
      </w:r>
    </w:p>
    <w:p w14:paraId="13DBBA7C">
      <w:pPr>
        <w:wordWrap w:val="0"/>
        <w:spacing w:line="360" w:lineRule="auto"/>
        <w:ind w:firstLine="480" w:firstLineChars="200"/>
        <w:rPr>
          <w:rFonts w:hint="eastAsia" w:ascii="宋体" w:hAnsi="宋体"/>
          <w:sz w:val="24"/>
          <w:szCs w:val="24"/>
        </w:rPr>
      </w:pPr>
      <w:r>
        <w:rPr>
          <w:rFonts w:hint="eastAsia" w:ascii="宋体" w:hAnsi="宋体"/>
          <w:sz w:val="24"/>
          <w:szCs w:val="24"/>
        </w:rPr>
        <w:t>（4）承包人和专业分包人应当依法签订专业分包合同，并按照合同履行约定的义务。专业分包合同必须明确约定工程款支付条款、结算方式以及保证按期支付的相应措施，确保工程款的支付。</w:t>
      </w:r>
    </w:p>
    <w:p w14:paraId="67AB5E37">
      <w:pPr>
        <w:wordWrap w:val="0"/>
        <w:spacing w:line="360" w:lineRule="auto"/>
        <w:ind w:firstLine="480" w:firstLineChars="200"/>
        <w:rPr>
          <w:rFonts w:hint="eastAsia" w:ascii="宋体" w:hAnsi="宋体"/>
          <w:sz w:val="24"/>
          <w:szCs w:val="24"/>
        </w:rPr>
      </w:pPr>
      <w:r>
        <w:rPr>
          <w:rFonts w:hint="eastAsia" w:ascii="宋体" w:hAnsi="宋体"/>
          <w:sz w:val="24"/>
          <w:szCs w:val="24"/>
        </w:rPr>
        <w:t>（5）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3A4BF31C">
      <w:pPr>
        <w:wordWrap w:val="0"/>
        <w:spacing w:line="360" w:lineRule="auto"/>
        <w:ind w:firstLine="480" w:firstLineChars="200"/>
        <w:rPr>
          <w:rFonts w:hint="eastAsia" w:ascii="宋体" w:hAnsi="宋体"/>
          <w:sz w:val="24"/>
          <w:szCs w:val="24"/>
        </w:rPr>
      </w:pPr>
      <w:r>
        <w:rPr>
          <w:rFonts w:hint="eastAsia" w:ascii="宋体" w:hAnsi="宋体"/>
          <w:sz w:val="24"/>
          <w:szCs w:val="24"/>
        </w:rPr>
        <w:t>（6）所有专业分包计划和专业分包合同须报监理人审批，并报发包人核备。监理人审批专业分包并不解除合同规定的承包人的任何责任或义务。</w:t>
      </w:r>
    </w:p>
    <w:p w14:paraId="3A35835D">
      <w:pPr>
        <w:wordWrap w:val="0"/>
        <w:spacing w:line="360" w:lineRule="auto"/>
        <w:ind w:firstLine="480" w:firstLineChars="200"/>
        <w:rPr>
          <w:rFonts w:hint="eastAsia" w:ascii="宋体" w:hAnsi="宋体"/>
          <w:sz w:val="24"/>
          <w:szCs w:val="24"/>
        </w:rPr>
      </w:pPr>
      <w:r>
        <w:rPr>
          <w:rFonts w:hint="eastAsia" w:ascii="宋体" w:hAnsi="宋体"/>
          <w:sz w:val="24"/>
          <w:szCs w:val="24"/>
        </w:rPr>
        <w:t>4.3.4劳务分包</w:t>
      </w:r>
    </w:p>
    <w:p w14:paraId="106B0AF5">
      <w:pPr>
        <w:wordWrap w:val="0"/>
        <w:spacing w:line="360" w:lineRule="auto"/>
        <w:ind w:firstLine="480" w:firstLineChars="200"/>
        <w:rPr>
          <w:rFonts w:hint="eastAsia" w:ascii="宋体" w:hAnsi="宋体"/>
          <w:sz w:val="24"/>
          <w:szCs w:val="24"/>
        </w:rPr>
      </w:pPr>
      <w:r>
        <w:rPr>
          <w:rFonts w:hint="eastAsia" w:ascii="宋体" w:hAnsi="宋体"/>
          <w:sz w:val="24"/>
          <w:szCs w:val="24"/>
        </w:rPr>
        <w:t>在工程施工过程中，承包人进行劳务分包必须遵守以下规定：</w:t>
      </w:r>
    </w:p>
    <w:p w14:paraId="37A66220">
      <w:pPr>
        <w:wordWrap w:val="0"/>
        <w:spacing w:line="360" w:lineRule="auto"/>
        <w:ind w:firstLine="480" w:firstLineChars="200"/>
        <w:rPr>
          <w:rFonts w:hint="eastAsia" w:ascii="宋体" w:hAnsi="宋体"/>
          <w:sz w:val="24"/>
          <w:szCs w:val="24"/>
        </w:rPr>
      </w:pPr>
      <w:r>
        <w:rPr>
          <w:rFonts w:hint="eastAsia" w:ascii="宋体" w:hAnsi="宋体"/>
          <w:sz w:val="24"/>
          <w:szCs w:val="24"/>
        </w:rPr>
        <w:t>（1）劳务分包人应具有劳务分包资质。</w:t>
      </w:r>
    </w:p>
    <w:p w14:paraId="34E02DE5">
      <w:pPr>
        <w:wordWrap w:val="0"/>
        <w:spacing w:line="360" w:lineRule="auto"/>
        <w:ind w:firstLine="480" w:firstLineChars="200"/>
        <w:rPr>
          <w:rFonts w:hint="eastAsia" w:ascii="宋体" w:hAnsi="宋体"/>
          <w:sz w:val="24"/>
          <w:szCs w:val="24"/>
        </w:rPr>
      </w:pPr>
      <w:r>
        <w:rPr>
          <w:rFonts w:hint="eastAsia" w:ascii="宋体" w:hAnsi="宋体"/>
          <w:sz w:val="24"/>
          <w:szCs w:val="24"/>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109727EB">
      <w:pPr>
        <w:wordWrap w:val="0"/>
        <w:spacing w:line="360" w:lineRule="auto"/>
        <w:ind w:firstLine="480" w:firstLineChars="200"/>
        <w:rPr>
          <w:rFonts w:hint="eastAsia" w:ascii="宋体" w:hAnsi="宋体"/>
          <w:sz w:val="24"/>
          <w:szCs w:val="24"/>
        </w:rPr>
      </w:pPr>
      <w:r>
        <w:rPr>
          <w:rFonts w:hint="eastAsia" w:ascii="宋体" w:hAnsi="宋体"/>
          <w:sz w:val="24"/>
          <w:szCs w:val="24"/>
        </w:rPr>
        <w:t>（3）承包人雇用的劳务作业应加入到承包人的施工班组统一管理。有关施工质量、施工安全、施工进度、环境保护、技术方案、试验检测、材料保管与供应、机械设备等都必须由承包人管理与调配，不得以包代管。</w:t>
      </w:r>
    </w:p>
    <w:p w14:paraId="7ECD835A">
      <w:pPr>
        <w:wordWrap w:val="0"/>
        <w:spacing w:line="360" w:lineRule="auto"/>
        <w:ind w:firstLine="480" w:firstLineChars="200"/>
        <w:rPr>
          <w:rFonts w:hint="eastAsia" w:ascii="宋体" w:hAnsi="宋体"/>
          <w:sz w:val="24"/>
          <w:szCs w:val="24"/>
        </w:rPr>
      </w:pPr>
      <w:r>
        <w:rPr>
          <w:rFonts w:hint="eastAsia" w:ascii="宋体" w:hAnsi="宋体"/>
          <w:sz w:val="24"/>
          <w:szCs w:val="24"/>
        </w:rPr>
        <w:t>（4）承包人应当对劳务分包人员进行安全培训和管理，劳务分包人不得将其分包的劳务作业再次分包。</w:t>
      </w:r>
    </w:p>
    <w:p w14:paraId="7B117B4D">
      <w:pPr>
        <w:wordWrap w:val="0"/>
        <w:spacing w:line="360" w:lineRule="auto"/>
        <w:ind w:firstLine="480" w:firstLineChars="200"/>
        <w:rPr>
          <w:rFonts w:hint="eastAsia" w:ascii="宋体" w:hAnsi="宋体"/>
          <w:sz w:val="24"/>
          <w:szCs w:val="24"/>
        </w:rPr>
      </w:pPr>
      <w:r>
        <w:rPr>
          <w:rFonts w:hint="eastAsia" w:ascii="宋体" w:hAnsi="宋体"/>
          <w:sz w:val="24"/>
          <w:szCs w:val="24"/>
        </w:rPr>
        <w:t>违反上述规定之一者属违规分包。</w:t>
      </w:r>
    </w:p>
    <w:p w14:paraId="24DD52C3">
      <w:pPr>
        <w:wordWrap w:val="0"/>
        <w:spacing w:line="360" w:lineRule="auto"/>
        <w:ind w:firstLine="480" w:firstLineChars="200"/>
        <w:rPr>
          <w:rFonts w:hint="eastAsia" w:ascii="宋体" w:hAnsi="宋体"/>
          <w:sz w:val="24"/>
          <w:szCs w:val="24"/>
        </w:rPr>
      </w:pPr>
      <w:r>
        <w:rPr>
          <w:rFonts w:hint="eastAsia" w:ascii="宋体" w:hAnsi="宋体"/>
          <w:sz w:val="24"/>
          <w:szCs w:val="24"/>
        </w:rPr>
        <w:t>本款补充第4.3.6项：</w:t>
      </w:r>
    </w:p>
    <w:p w14:paraId="66560F05">
      <w:pPr>
        <w:wordWrap w:val="0"/>
        <w:spacing w:line="360" w:lineRule="auto"/>
        <w:ind w:firstLine="480" w:firstLineChars="200"/>
        <w:rPr>
          <w:rFonts w:hint="eastAsia" w:ascii="宋体" w:hAnsi="宋体"/>
          <w:sz w:val="24"/>
          <w:szCs w:val="24"/>
        </w:rPr>
      </w:pPr>
      <w:r>
        <w:rPr>
          <w:rFonts w:hint="eastAsia" w:ascii="宋体" w:hAnsi="宋体"/>
          <w:sz w:val="24"/>
          <w:szCs w:val="24"/>
        </w:rPr>
        <w:t>4.3.6 发包人对承包人与分包人之间的法律与经济纠纷不承担任何责任和义务。</w:t>
      </w:r>
    </w:p>
    <w:p w14:paraId="6F943DBE">
      <w:pPr>
        <w:wordWrap w:val="0"/>
        <w:spacing w:line="360" w:lineRule="auto"/>
        <w:ind w:firstLine="480" w:firstLineChars="200"/>
        <w:rPr>
          <w:rFonts w:hint="eastAsia" w:ascii="宋体" w:hAnsi="宋体"/>
          <w:sz w:val="24"/>
          <w:szCs w:val="24"/>
        </w:rPr>
      </w:pPr>
      <w:bookmarkStart w:id="539" w:name="_Toc234382856"/>
      <w:r>
        <w:rPr>
          <w:rFonts w:hint="eastAsia" w:ascii="宋体" w:hAnsi="宋体"/>
          <w:sz w:val="24"/>
          <w:szCs w:val="24"/>
        </w:rPr>
        <w:t>4.6承包人人员的管理</w:t>
      </w:r>
      <w:bookmarkEnd w:id="539"/>
    </w:p>
    <w:p w14:paraId="64416570">
      <w:pPr>
        <w:wordWrap w:val="0"/>
        <w:spacing w:line="360" w:lineRule="auto"/>
        <w:ind w:firstLine="480" w:firstLineChars="200"/>
        <w:rPr>
          <w:rFonts w:hint="eastAsia" w:ascii="宋体" w:hAnsi="宋体"/>
          <w:sz w:val="24"/>
          <w:szCs w:val="24"/>
        </w:rPr>
      </w:pPr>
      <w:r>
        <w:rPr>
          <w:rFonts w:hint="eastAsia" w:ascii="宋体" w:hAnsi="宋体"/>
          <w:sz w:val="24"/>
          <w:szCs w:val="24"/>
        </w:rPr>
        <w:t>第4.6.3项细化为：</w:t>
      </w:r>
    </w:p>
    <w:p w14:paraId="7037007B">
      <w:pPr>
        <w:wordWrap w:val="0"/>
        <w:spacing w:line="360" w:lineRule="auto"/>
        <w:ind w:firstLine="480" w:firstLineChars="200"/>
        <w:rPr>
          <w:rFonts w:hint="eastAsia" w:ascii="宋体" w:hAnsi="宋体"/>
          <w:sz w:val="24"/>
          <w:szCs w:val="24"/>
        </w:rPr>
      </w:pPr>
      <w:r>
        <w:rPr>
          <w:rFonts w:hint="eastAsia" w:ascii="宋体" w:hAnsi="宋体"/>
          <w:sz w:val="24"/>
          <w:szCs w:val="24"/>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3A182394">
      <w:pPr>
        <w:wordWrap w:val="0"/>
        <w:spacing w:line="360" w:lineRule="auto"/>
        <w:ind w:firstLine="480" w:firstLineChars="200"/>
        <w:rPr>
          <w:rFonts w:hint="eastAsia" w:ascii="宋体" w:hAnsi="宋体"/>
          <w:sz w:val="24"/>
          <w:szCs w:val="24"/>
        </w:rPr>
      </w:pPr>
      <w:r>
        <w:rPr>
          <w:rFonts w:hint="eastAsia" w:ascii="宋体" w:hAnsi="宋体"/>
          <w:sz w:val="24"/>
          <w:szCs w:val="24"/>
        </w:rPr>
        <w:t>本款补充第4.6.5项：</w:t>
      </w:r>
    </w:p>
    <w:p w14:paraId="5D370C7C">
      <w:pPr>
        <w:wordWrap w:val="0"/>
        <w:spacing w:line="360" w:lineRule="auto"/>
        <w:ind w:firstLine="480" w:firstLineChars="200"/>
        <w:rPr>
          <w:rFonts w:hint="eastAsia" w:ascii="宋体" w:hAnsi="宋体"/>
          <w:sz w:val="24"/>
          <w:szCs w:val="24"/>
        </w:rPr>
      </w:pPr>
      <w:r>
        <w:rPr>
          <w:rFonts w:hint="eastAsia" w:ascii="宋体" w:hAnsi="宋体"/>
          <w:sz w:val="24"/>
          <w:szCs w:val="24"/>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次增加的费用和（或）工期延误由承包人承担。</w:t>
      </w:r>
    </w:p>
    <w:p w14:paraId="029722C7">
      <w:pPr>
        <w:wordWrap w:val="0"/>
        <w:spacing w:line="360" w:lineRule="auto"/>
        <w:ind w:firstLine="480" w:firstLineChars="200"/>
        <w:rPr>
          <w:rFonts w:hint="eastAsia" w:ascii="宋体" w:hAnsi="宋体"/>
          <w:sz w:val="24"/>
          <w:szCs w:val="24"/>
        </w:rPr>
      </w:pPr>
      <w:bookmarkStart w:id="540" w:name="_Toc234382857"/>
      <w:r>
        <w:rPr>
          <w:rFonts w:hint="eastAsia" w:ascii="宋体" w:hAnsi="宋体"/>
          <w:sz w:val="24"/>
          <w:szCs w:val="24"/>
        </w:rPr>
        <w:t>4.7撤换承包人项目经理和其他人员</w:t>
      </w:r>
      <w:bookmarkEnd w:id="540"/>
    </w:p>
    <w:p w14:paraId="19976F3E">
      <w:pPr>
        <w:wordWrap w:val="0"/>
        <w:spacing w:line="360" w:lineRule="auto"/>
        <w:ind w:firstLine="480" w:firstLineChars="200"/>
        <w:rPr>
          <w:rFonts w:hint="eastAsia" w:ascii="宋体" w:hAnsi="宋体"/>
          <w:sz w:val="24"/>
          <w:szCs w:val="24"/>
        </w:rPr>
      </w:pPr>
      <w:r>
        <w:rPr>
          <w:rFonts w:hint="eastAsia" w:ascii="宋体" w:hAnsi="宋体"/>
          <w:sz w:val="24"/>
          <w:szCs w:val="24"/>
        </w:rPr>
        <w:t>本款细化为：</w:t>
      </w:r>
    </w:p>
    <w:p w14:paraId="43B54481">
      <w:pPr>
        <w:wordWrap w:val="0"/>
        <w:spacing w:line="360" w:lineRule="auto"/>
        <w:ind w:firstLine="480" w:firstLineChars="200"/>
        <w:rPr>
          <w:rFonts w:hint="eastAsia" w:ascii="宋体" w:hAnsi="宋体"/>
          <w:sz w:val="24"/>
          <w:szCs w:val="24"/>
        </w:rPr>
      </w:pPr>
      <w:r>
        <w:rPr>
          <w:rFonts w:hint="eastAsia" w:ascii="宋体" w:hAnsi="宋体"/>
          <w:sz w:val="24"/>
          <w:szCs w:val="24"/>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2AA0EE7D">
      <w:pPr>
        <w:wordWrap w:val="0"/>
        <w:spacing w:line="360" w:lineRule="auto"/>
        <w:ind w:firstLine="480" w:firstLineChars="200"/>
        <w:rPr>
          <w:rFonts w:hint="eastAsia" w:ascii="宋体" w:hAnsi="宋体"/>
          <w:sz w:val="24"/>
          <w:szCs w:val="24"/>
        </w:rPr>
      </w:pPr>
      <w:bookmarkStart w:id="541" w:name="_Toc234382858"/>
      <w:r>
        <w:rPr>
          <w:rFonts w:hint="eastAsia" w:ascii="宋体" w:hAnsi="宋体"/>
          <w:sz w:val="24"/>
          <w:szCs w:val="24"/>
        </w:rPr>
        <w:t>4.9工程价款应专款专用</w:t>
      </w:r>
      <w:bookmarkEnd w:id="541"/>
    </w:p>
    <w:p w14:paraId="40B5217F">
      <w:pPr>
        <w:wordWrap w:val="0"/>
        <w:spacing w:line="360" w:lineRule="auto"/>
        <w:ind w:firstLine="480" w:firstLineChars="200"/>
        <w:rPr>
          <w:rFonts w:hint="eastAsia" w:ascii="宋体" w:hAnsi="宋体"/>
          <w:sz w:val="24"/>
          <w:szCs w:val="24"/>
        </w:rPr>
      </w:pPr>
      <w:r>
        <w:rPr>
          <w:rFonts w:hint="eastAsia" w:ascii="宋体" w:hAnsi="宋体"/>
          <w:sz w:val="24"/>
          <w:szCs w:val="24"/>
        </w:rPr>
        <w:t>本款细化为：</w:t>
      </w:r>
    </w:p>
    <w:p w14:paraId="5B95E04D">
      <w:pPr>
        <w:wordWrap w:val="0"/>
        <w:spacing w:line="360" w:lineRule="auto"/>
        <w:ind w:firstLine="480" w:firstLineChars="200"/>
        <w:rPr>
          <w:rFonts w:hint="eastAsia" w:ascii="宋体" w:hAnsi="宋体"/>
          <w:sz w:val="24"/>
          <w:szCs w:val="24"/>
        </w:rPr>
      </w:pPr>
      <w:r>
        <w:rPr>
          <w:rFonts w:hint="eastAsia" w:ascii="宋体" w:hAnsi="宋体"/>
          <w:sz w:val="24"/>
          <w:szCs w:val="24"/>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0EEB3398">
      <w:pPr>
        <w:wordWrap w:val="0"/>
        <w:spacing w:line="360" w:lineRule="auto"/>
        <w:ind w:firstLine="480" w:firstLineChars="200"/>
        <w:rPr>
          <w:rFonts w:hint="eastAsia" w:ascii="宋体" w:hAnsi="宋体"/>
          <w:sz w:val="24"/>
          <w:szCs w:val="24"/>
        </w:rPr>
      </w:pPr>
      <w:bookmarkStart w:id="542" w:name="_Toc234382860"/>
      <w:r>
        <w:rPr>
          <w:rFonts w:hint="eastAsia" w:ascii="宋体" w:hAnsi="宋体"/>
          <w:sz w:val="24"/>
          <w:szCs w:val="24"/>
        </w:rPr>
        <w:t>4.11不利物质条件</w:t>
      </w:r>
      <w:bookmarkEnd w:id="542"/>
    </w:p>
    <w:p w14:paraId="5466243D">
      <w:pPr>
        <w:wordWrap w:val="0"/>
        <w:spacing w:line="360" w:lineRule="auto"/>
        <w:ind w:firstLine="480" w:firstLineChars="200"/>
        <w:rPr>
          <w:rFonts w:hint="eastAsia" w:ascii="宋体" w:hAnsi="宋体"/>
          <w:sz w:val="24"/>
          <w:szCs w:val="24"/>
        </w:rPr>
      </w:pPr>
      <w:r>
        <w:rPr>
          <w:rFonts w:hint="eastAsia" w:ascii="宋体" w:hAnsi="宋体"/>
          <w:sz w:val="24"/>
          <w:szCs w:val="24"/>
        </w:rPr>
        <w:t>第4.11.2项细化为：</w:t>
      </w:r>
    </w:p>
    <w:p w14:paraId="7216F671">
      <w:pPr>
        <w:wordWrap w:val="0"/>
        <w:spacing w:line="360" w:lineRule="auto"/>
        <w:ind w:firstLine="480" w:firstLineChars="200"/>
        <w:rPr>
          <w:rFonts w:hint="eastAsia" w:ascii="宋体" w:hAnsi="宋体"/>
          <w:sz w:val="24"/>
          <w:szCs w:val="24"/>
        </w:rPr>
      </w:pPr>
      <w:r>
        <w:rPr>
          <w:rFonts w:hint="eastAsia" w:ascii="宋体" w:hAnsi="宋体"/>
          <w:sz w:val="24"/>
          <w:szCs w:val="24"/>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166797CA">
      <w:pPr>
        <w:wordWrap w:val="0"/>
        <w:spacing w:line="360" w:lineRule="auto"/>
        <w:ind w:firstLine="480" w:firstLineChars="200"/>
        <w:rPr>
          <w:rFonts w:hint="eastAsia" w:ascii="宋体" w:hAnsi="宋体"/>
          <w:sz w:val="24"/>
          <w:szCs w:val="24"/>
        </w:rPr>
      </w:pPr>
      <w:r>
        <w:rPr>
          <w:rFonts w:hint="eastAsia" w:ascii="宋体" w:hAnsi="宋体"/>
          <w:sz w:val="24"/>
          <w:szCs w:val="24"/>
        </w:rPr>
        <w:t>本款补充第4.11.3项：</w:t>
      </w:r>
    </w:p>
    <w:p w14:paraId="47D46D50">
      <w:pPr>
        <w:wordWrap w:val="0"/>
        <w:spacing w:line="360" w:lineRule="auto"/>
        <w:ind w:firstLine="480" w:firstLineChars="200"/>
        <w:rPr>
          <w:rFonts w:hint="eastAsia" w:ascii="宋体" w:hAnsi="宋体"/>
          <w:sz w:val="24"/>
          <w:szCs w:val="24"/>
        </w:rPr>
      </w:pPr>
      <w:r>
        <w:rPr>
          <w:rFonts w:hint="eastAsia" w:ascii="宋体" w:hAnsi="宋体"/>
          <w:sz w:val="24"/>
          <w:szCs w:val="24"/>
        </w:rPr>
        <w:t>4.11.3 可预见的不利物质条件</w:t>
      </w:r>
    </w:p>
    <w:p w14:paraId="0C27D517">
      <w:pPr>
        <w:wordWrap w:val="0"/>
        <w:spacing w:line="360" w:lineRule="auto"/>
        <w:ind w:firstLine="480" w:firstLineChars="200"/>
        <w:rPr>
          <w:rFonts w:hint="eastAsia" w:ascii="宋体" w:hAnsi="宋体"/>
          <w:sz w:val="24"/>
          <w:szCs w:val="24"/>
        </w:rPr>
      </w:pPr>
      <w:r>
        <w:rPr>
          <w:rFonts w:hint="eastAsia" w:ascii="宋体" w:hAnsi="宋体"/>
          <w:sz w:val="24"/>
          <w:szCs w:val="24"/>
        </w:rPr>
        <w:t>（1）对于项目专用合同条款中已经明确指出的不利物质条件无论承包人是否有其经历和经验均视为承包人在接受合同时已预见其影响，并已在签约合同价中计入因其影响而可能发生的一切费用。</w:t>
      </w:r>
    </w:p>
    <w:p w14:paraId="6BCAECAF">
      <w:pPr>
        <w:wordWrap w:val="0"/>
        <w:spacing w:line="360" w:lineRule="auto"/>
        <w:ind w:firstLine="480" w:firstLineChars="200"/>
        <w:rPr>
          <w:rFonts w:hint="eastAsia" w:ascii="宋体" w:hAnsi="宋体"/>
          <w:sz w:val="24"/>
          <w:szCs w:val="24"/>
        </w:rPr>
      </w:pPr>
      <w:r>
        <w:rPr>
          <w:rFonts w:hint="eastAsia" w:ascii="宋体" w:hAnsi="宋体"/>
          <w:sz w:val="24"/>
          <w:szCs w:val="24"/>
        </w:rPr>
        <w:t>（2）对于项目专用合同条款未明确指出，但是在不利物质条件发生之前，监理人已经指示承包人有可能发生，但承包人未能及时采取有效措施，而导致的损失和后果均由承包人承担。</w:t>
      </w:r>
    </w:p>
    <w:p w14:paraId="5C0E9B97">
      <w:pPr>
        <w:wordWrap w:val="0"/>
        <w:spacing w:line="360" w:lineRule="auto"/>
        <w:ind w:firstLine="480" w:firstLineChars="200"/>
        <w:rPr>
          <w:rFonts w:hint="eastAsia" w:ascii="宋体" w:hAnsi="宋体"/>
          <w:sz w:val="24"/>
          <w:szCs w:val="24"/>
        </w:rPr>
      </w:pPr>
      <w:r>
        <w:rPr>
          <w:rFonts w:hint="eastAsia" w:ascii="宋体" w:hAnsi="宋体"/>
          <w:sz w:val="24"/>
          <w:szCs w:val="24"/>
        </w:rPr>
        <w:t>补充第4.12款：</w:t>
      </w:r>
    </w:p>
    <w:p w14:paraId="1B23CF55">
      <w:pPr>
        <w:wordWrap w:val="0"/>
        <w:spacing w:line="360" w:lineRule="auto"/>
        <w:ind w:firstLine="480" w:firstLineChars="200"/>
        <w:rPr>
          <w:rFonts w:hint="eastAsia" w:ascii="宋体" w:hAnsi="宋体"/>
          <w:sz w:val="24"/>
          <w:szCs w:val="24"/>
        </w:rPr>
      </w:pPr>
      <w:bookmarkStart w:id="543" w:name="_Toc234382861"/>
      <w:r>
        <w:rPr>
          <w:rFonts w:hint="eastAsia" w:ascii="宋体" w:hAnsi="宋体"/>
          <w:sz w:val="24"/>
          <w:szCs w:val="24"/>
        </w:rPr>
        <w:t>4.12投标文件的完备性</w:t>
      </w:r>
      <w:bookmarkEnd w:id="543"/>
    </w:p>
    <w:p w14:paraId="0D6C94FF">
      <w:pPr>
        <w:wordWrap w:val="0"/>
        <w:spacing w:line="360" w:lineRule="auto"/>
        <w:ind w:firstLine="480" w:firstLineChars="200"/>
        <w:rPr>
          <w:rFonts w:hint="eastAsia" w:ascii="宋体" w:hAnsi="宋体"/>
          <w:sz w:val="24"/>
          <w:szCs w:val="24"/>
        </w:rPr>
      </w:pPr>
      <w:r>
        <w:rPr>
          <w:rFonts w:hint="eastAsia" w:ascii="宋体" w:hAnsi="宋体"/>
          <w:sz w:val="24"/>
          <w:szCs w:val="24"/>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14:paraId="70E1366A">
      <w:pPr>
        <w:wordWrap w:val="0"/>
        <w:spacing w:line="360" w:lineRule="auto"/>
        <w:ind w:firstLine="480" w:firstLineChars="200"/>
        <w:rPr>
          <w:rFonts w:hint="eastAsia" w:ascii="宋体" w:hAnsi="宋体"/>
          <w:sz w:val="24"/>
          <w:szCs w:val="24"/>
        </w:rPr>
      </w:pPr>
      <w:bookmarkStart w:id="544" w:name="_Toc234382862"/>
      <w:r>
        <w:rPr>
          <w:rFonts w:hint="eastAsia" w:ascii="宋体" w:hAnsi="宋体"/>
          <w:sz w:val="24"/>
          <w:szCs w:val="24"/>
        </w:rPr>
        <w:t>5．材料和工程设备</w:t>
      </w:r>
      <w:bookmarkEnd w:id="544"/>
    </w:p>
    <w:p w14:paraId="3F3C32CD">
      <w:pPr>
        <w:wordWrap w:val="0"/>
        <w:spacing w:line="360" w:lineRule="auto"/>
        <w:ind w:firstLine="480" w:firstLineChars="200"/>
        <w:rPr>
          <w:rFonts w:hint="eastAsia" w:ascii="宋体" w:hAnsi="宋体"/>
          <w:sz w:val="24"/>
          <w:szCs w:val="24"/>
        </w:rPr>
      </w:pPr>
      <w:bookmarkStart w:id="545" w:name="_Toc234382863"/>
      <w:r>
        <w:rPr>
          <w:rFonts w:hint="eastAsia" w:ascii="宋体" w:hAnsi="宋体"/>
          <w:sz w:val="24"/>
          <w:szCs w:val="24"/>
        </w:rPr>
        <w:t>5.2发包人提供的材料和工程设备</w:t>
      </w:r>
      <w:bookmarkEnd w:id="545"/>
    </w:p>
    <w:p w14:paraId="0A92E78C">
      <w:pPr>
        <w:wordWrap w:val="0"/>
        <w:spacing w:line="360" w:lineRule="auto"/>
        <w:ind w:firstLine="480" w:firstLineChars="200"/>
        <w:rPr>
          <w:rFonts w:hint="eastAsia" w:ascii="宋体" w:hAnsi="宋体"/>
          <w:sz w:val="24"/>
          <w:szCs w:val="24"/>
        </w:rPr>
      </w:pPr>
      <w:r>
        <w:rPr>
          <w:rFonts w:hint="eastAsia" w:ascii="宋体" w:hAnsi="宋体"/>
          <w:sz w:val="24"/>
          <w:szCs w:val="24"/>
        </w:rPr>
        <w:t>第5.2.3项补充：</w:t>
      </w:r>
    </w:p>
    <w:p w14:paraId="772DCBBE">
      <w:pPr>
        <w:wordWrap w:val="0"/>
        <w:spacing w:line="360" w:lineRule="auto"/>
        <w:ind w:firstLine="480" w:firstLineChars="200"/>
        <w:rPr>
          <w:rFonts w:hint="eastAsia" w:ascii="宋体" w:hAnsi="宋体"/>
          <w:sz w:val="24"/>
          <w:szCs w:val="24"/>
        </w:rPr>
      </w:pPr>
      <w:r>
        <w:rPr>
          <w:rFonts w:hint="eastAsia" w:ascii="宋体" w:hAnsi="宋体"/>
          <w:sz w:val="24"/>
          <w:szCs w:val="24"/>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4FB13A4E">
      <w:pPr>
        <w:wordWrap w:val="0"/>
        <w:spacing w:line="360" w:lineRule="auto"/>
        <w:ind w:firstLine="480" w:firstLineChars="200"/>
        <w:rPr>
          <w:rFonts w:hint="eastAsia" w:ascii="宋体" w:hAnsi="宋体"/>
          <w:sz w:val="24"/>
          <w:szCs w:val="24"/>
        </w:rPr>
      </w:pPr>
      <w:bookmarkStart w:id="546" w:name="_Toc234382864"/>
      <w:r>
        <w:rPr>
          <w:rFonts w:hint="eastAsia" w:ascii="宋体" w:hAnsi="宋体"/>
          <w:sz w:val="24"/>
          <w:szCs w:val="24"/>
        </w:rPr>
        <w:t>6．施工设备和临时设施</w:t>
      </w:r>
      <w:bookmarkEnd w:id="546"/>
    </w:p>
    <w:p w14:paraId="1AE62ACE">
      <w:pPr>
        <w:wordWrap w:val="0"/>
        <w:spacing w:line="360" w:lineRule="auto"/>
        <w:ind w:firstLine="480" w:firstLineChars="200"/>
        <w:rPr>
          <w:rFonts w:hint="eastAsia" w:ascii="宋体" w:hAnsi="宋体"/>
          <w:sz w:val="24"/>
          <w:szCs w:val="24"/>
        </w:rPr>
      </w:pPr>
      <w:bookmarkStart w:id="547" w:name="_Toc234382865"/>
      <w:r>
        <w:rPr>
          <w:rFonts w:hint="eastAsia" w:ascii="宋体" w:hAnsi="宋体"/>
          <w:sz w:val="24"/>
          <w:szCs w:val="24"/>
        </w:rPr>
        <w:t>6.2承包人提供的施工设备和临时设施</w:t>
      </w:r>
      <w:bookmarkEnd w:id="547"/>
    </w:p>
    <w:p w14:paraId="6A755D2A">
      <w:pPr>
        <w:wordWrap w:val="0"/>
        <w:spacing w:line="360" w:lineRule="auto"/>
        <w:ind w:firstLine="480" w:firstLineChars="200"/>
        <w:rPr>
          <w:rFonts w:hint="eastAsia" w:ascii="宋体" w:hAnsi="宋体"/>
          <w:sz w:val="24"/>
          <w:szCs w:val="24"/>
        </w:rPr>
      </w:pPr>
      <w:r>
        <w:rPr>
          <w:rFonts w:hint="eastAsia" w:ascii="宋体" w:hAnsi="宋体"/>
          <w:sz w:val="24"/>
          <w:szCs w:val="24"/>
        </w:rPr>
        <w:t>第6.1.2项约定为：</w:t>
      </w:r>
    </w:p>
    <w:p w14:paraId="6540B33D">
      <w:pPr>
        <w:wordWrap w:val="0"/>
        <w:spacing w:line="360" w:lineRule="auto"/>
        <w:ind w:firstLine="480" w:firstLineChars="200"/>
        <w:rPr>
          <w:rFonts w:hint="eastAsia" w:ascii="宋体" w:hAnsi="宋体"/>
          <w:sz w:val="24"/>
          <w:szCs w:val="24"/>
        </w:rPr>
      </w:pPr>
      <w:r>
        <w:rPr>
          <w:rFonts w:hint="eastAsia" w:ascii="宋体" w:hAnsi="宋体"/>
          <w:sz w:val="24"/>
          <w:szCs w:val="24"/>
        </w:rPr>
        <w:t>承包人应自行承担修建临时设施的费用，需要临时占地的，应由承包人按第4.1.10项（1）目的规定办理。</w:t>
      </w:r>
    </w:p>
    <w:p w14:paraId="416A2891">
      <w:pPr>
        <w:wordWrap w:val="0"/>
        <w:spacing w:line="360" w:lineRule="auto"/>
        <w:ind w:firstLine="480" w:firstLineChars="200"/>
        <w:rPr>
          <w:rFonts w:hint="eastAsia" w:ascii="宋体" w:hAnsi="宋体"/>
          <w:sz w:val="24"/>
          <w:szCs w:val="24"/>
        </w:rPr>
      </w:pPr>
      <w:bookmarkStart w:id="548" w:name="_Toc234382866"/>
      <w:r>
        <w:rPr>
          <w:rFonts w:hint="eastAsia" w:ascii="宋体" w:hAnsi="宋体"/>
          <w:sz w:val="24"/>
          <w:szCs w:val="24"/>
        </w:rPr>
        <w:t>6.3要求承包人增加或更换施工设备</w:t>
      </w:r>
      <w:bookmarkEnd w:id="548"/>
    </w:p>
    <w:p w14:paraId="423749E5">
      <w:pPr>
        <w:wordWrap w:val="0"/>
        <w:spacing w:line="360" w:lineRule="auto"/>
        <w:ind w:firstLine="480" w:firstLineChars="200"/>
        <w:rPr>
          <w:rFonts w:hint="eastAsia" w:ascii="宋体" w:hAnsi="宋体"/>
          <w:sz w:val="24"/>
          <w:szCs w:val="24"/>
        </w:rPr>
      </w:pPr>
      <w:r>
        <w:rPr>
          <w:rFonts w:hint="eastAsia" w:ascii="宋体" w:hAnsi="宋体"/>
          <w:sz w:val="24"/>
          <w:szCs w:val="24"/>
        </w:rPr>
        <w:t>本款细化为：</w:t>
      </w:r>
    </w:p>
    <w:p w14:paraId="6F14FCFC">
      <w:pPr>
        <w:wordWrap w:val="0"/>
        <w:spacing w:line="360" w:lineRule="auto"/>
        <w:ind w:firstLine="480" w:firstLineChars="200"/>
        <w:rPr>
          <w:rFonts w:hint="eastAsia" w:ascii="宋体" w:hAnsi="宋体"/>
          <w:sz w:val="24"/>
          <w:szCs w:val="24"/>
        </w:rPr>
      </w:pPr>
      <w:r>
        <w:rPr>
          <w:rFonts w:hint="eastAsia" w:ascii="宋体" w:hAnsi="宋体"/>
          <w:sz w:val="24"/>
          <w:szCs w:val="24"/>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556AE693">
      <w:pPr>
        <w:wordWrap w:val="0"/>
        <w:spacing w:line="360" w:lineRule="auto"/>
        <w:ind w:firstLine="480" w:firstLineChars="200"/>
        <w:rPr>
          <w:rFonts w:hint="eastAsia" w:ascii="宋体" w:hAnsi="宋体"/>
          <w:sz w:val="24"/>
          <w:szCs w:val="24"/>
        </w:rPr>
      </w:pPr>
      <w:bookmarkStart w:id="549" w:name="_Toc234382867"/>
      <w:r>
        <w:rPr>
          <w:rFonts w:hint="eastAsia" w:ascii="宋体" w:hAnsi="宋体"/>
          <w:sz w:val="24"/>
          <w:szCs w:val="24"/>
        </w:rPr>
        <w:t>7．交通运输</w:t>
      </w:r>
      <w:bookmarkEnd w:id="549"/>
    </w:p>
    <w:p w14:paraId="4BAF6E3D">
      <w:pPr>
        <w:wordWrap w:val="0"/>
        <w:spacing w:line="360" w:lineRule="auto"/>
        <w:ind w:firstLine="480" w:firstLineChars="200"/>
        <w:rPr>
          <w:rFonts w:hint="eastAsia" w:ascii="宋体" w:hAnsi="宋体"/>
          <w:sz w:val="24"/>
          <w:szCs w:val="24"/>
        </w:rPr>
      </w:pPr>
      <w:bookmarkStart w:id="550" w:name="_Toc234382868"/>
      <w:r>
        <w:rPr>
          <w:rFonts w:hint="eastAsia" w:ascii="宋体" w:hAnsi="宋体"/>
          <w:sz w:val="24"/>
          <w:szCs w:val="24"/>
        </w:rPr>
        <w:t>7.1道路通行权和场外设施</w:t>
      </w:r>
      <w:bookmarkEnd w:id="550"/>
    </w:p>
    <w:p w14:paraId="3D6A2084">
      <w:pPr>
        <w:wordWrap w:val="0"/>
        <w:spacing w:line="360" w:lineRule="auto"/>
        <w:ind w:firstLine="480" w:firstLineChars="200"/>
        <w:rPr>
          <w:rFonts w:hint="eastAsia" w:ascii="宋体" w:hAnsi="宋体"/>
          <w:sz w:val="24"/>
          <w:szCs w:val="24"/>
        </w:rPr>
      </w:pPr>
      <w:r>
        <w:rPr>
          <w:rFonts w:hint="eastAsia" w:ascii="宋体" w:hAnsi="宋体"/>
          <w:sz w:val="24"/>
          <w:szCs w:val="24"/>
        </w:rPr>
        <w:t>本款约定为：</w:t>
      </w:r>
    </w:p>
    <w:p w14:paraId="2491FB5E">
      <w:pPr>
        <w:wordWrap w:val="0"/>
        <w:spacing w:line="360" w:lineRule="auto"/>
        <w:ind w:firstLine="480" w:firstLineChars="200"/>
        <w:rPr>
          <w:rFonts w:hint="eastAsia" w:ascii="宋体" w:hAnsi="宋体"/>
          <w:sz w:val="24"/>
          <w:szCs w:val="24"/>
        </w:rPr>
      </w:pPr>
      <w:r>
        <w:rPr>
          <w:rFonts w:hint="eastAsia" w:ascii="宋体" w:hAnsi="宋体"/>
          <w:sz w:val="24"/>
          <w:szCs w:val="24"/>
        </w:rPr>
        <w:t>承包人应根据合同工程的施工需要，负责办理取得出入施工场地的专用和临时道路的通行权，以及取得为工程建设所需修建场外设施的权利，并承担有权费用。需要发包人协调时，发包人应协助承包人办理相关手续。</w:t>
      </w:r>
    </w:p>
    <w:p w14:paraId="5C791B23">
      <w:pPr>
        <w:wordWrap w:val="0"/>
        <w:spacing w:line="360" w:lineRule="auto"/>
        <w:ind w:firstLine="480" w:firstLineChars="200"/>
        <w:rPr>
          <w:rFonts w:hint="eastAsia" w:ascii="宋体" w:hAnsi="宋体"/>
          <w:sz w:val="24"/>
          <w:szCs w:val="24"/>
        </w:rPr>
      </w:pPr>
      <w:r>
        <w:rPr>
          <w:rFonts w:hint="eastAsia" w:ascii="宋体" w:hAnsi="宋体"/>
          <w:sz w:val="24"/>
          <w:szCs w:val="24"/>
        </w:rPr>
        <w:t>第9.2.5项细化为：</w:t>
      </w:r>
    </w:p>
    <w:p w14:paraId="5405BD7E">
      <w:pPr>
        <w:wordWrap w:val="0"/>
        <w:spacing w:line="360" w:lineRule="auto"/>
        <w:ind w:firstLine="480" w:firstLineChars="200"/>
        <w:rPr>
          <w:rFonts w:hint="eastAsia" w:ascii="宋体" w:hAnsi="宋体"/>
          <w:sz w:val="24"/>
          <w:szCs w:val="24"/>
        </w:rPr>
      </w:pPr>
      <w:r>
        <w:rPr>
          <w:rFonts w:hint="eastAsia" w:ascii="宋体" w:hAnsi="宋体"/>
          <w:sz w:val="24"/>
          <w:szCs w:val="24"/>
        </w:rPr>
        <w:t>除项目用合同条款另有约定外，安全生产费用应为投标价（不含安全生产费及建筑工程一切险及第三者责任险的保险费）的1</w:t>
      </w:r>
      <w:r>
        <w:rPr>
          <w:rFonts w:ascii="宋体" w:hAnsi="宋体"/>
          <w:sz w:val="24"/>
          <w:szCs w:val="24"/>
        </w:rPr>
        <w:t>.5</w:t>
      </w:r>
      <w:r>
        <w:rPr>
          <w:rFonts w:hint="eastAsia" w:ascii="宋体" w:hAnsi="宋体"/>
          <w:sz w:val="24"/>
          <w:szCs w:val="24"/>
        </w:rPr>
        <w:t>%（若发包人公布了投标控制价上限时，按投标控制价上限的1</w:t>
      </w:r>
      <w:r>
        <w:rPr>
          <w:rFonts w:ascii="宋体" w:hAnsi="宋体"/>
          <w:sz w:val="24"/>
          <w:szCs w:val="24"/>
        </w:rPr>
        <w:t>.5</w:t>
      </w:r>
      <w:r>
        <w:rPr>
          <w:rFonts w:hint="eastAsia" w:ascii="宋体" w:hAnsi="宋体"/>
          <w:sz w:val="24"/>
          <w:szCs w:val="24"/>
        </w:rPr>
        <w:t>%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3AA6CDDF">
      <w:pPr>
        <w:wordWrap w:val="0"/>
        <w:spacing w:line="360" w:lineRule="auto"/>
        <w:ind w:firstLine="480" w:firstLineChars="200"/>
        <w:rPr>
          <w:rFonts w:hint="eastAsia" w:ascii="宋体" w:hAnsi="宋体"/>
          <w:sz w:val="24"/>
          <w:szCs w:val="24"/>
        </w:rPr>
      </w:pPr>
      <w:r>
        <w:rPr>
          <w:rFonts w:hint="eastAsia" w:ascii="宋体" w:hAnsi="宋体"/>
          <w:sz w:val="24"/>
          <w:szCs w:val="24"/>
        </w:rPr>
        <w:t>本款补充第9.2.8项～9.2.11项：</w:t>
      </w:r>
    </w:p>
    <w:p w14:paraId="0653B6CA">
      <w:pPr>
        <w:wordWrap w:val="0"/>
        <w:spacing w:line="360" w:lineRule="auto"/>
        <w:ind w:firstLine="480" w:firstLineChars="200"/>
        <w:rPr>
          <w:rFonts w:hint="eastAsia" w:ascii="宋体" w:hAnsi="宋体"/>
          <w:sz w:val="24"/>
          <w:szCs w:val="24"/>
        </w:rPr>
      </w:pPr>
      <w:r>
        <w:rPr>
          <w:rFonts w:hint="eastAsia" w:ascii="宋体" w:hAnsi="宋体"/>
          <w:sz w:val="24"/>
          <w:szCs w:val="24"/>
        </w:rPr>
        <w:t>9.2.9为保护本合同工程免遭损坏，或为了现场附近和过往群众的安全与方便，在确有必要的时候和地方，或当监理人或有关主管部门要求时，承包人应自费提供照明、警卫、护栅、警告标志等安全防护设施。</w:t>
      </w:r>
    </w:p>
    <w:p w14:paraId="1D7985E0">
      <w:pPr>
        <w:wordWrap w:val="0"/>
        <w:spacing w:line="360" w:lineRule="auto"/>
        <w:ind w:firstLine="480" w:firstLineChars="200"/>
        <w:rPr>
          <w:rFonts w:hint="eastAsia" w:ascii="宋体" w:hAnsi="宋体"/>
          <w:sz w:val="24"/>
          <w:szCs w:val="24"/>
        </w:rPr>
      </w:pPr>
      <w:r>
        <w:rPr>
          <w:rFonts w:hint="eastAsia" w:ascii="宋体" w:hAnsi="宋体"/>
          <w:sz w:val="24"/>
          <w:szCs w:val="24"/>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6ABB249B">
      <w:pPr>
        <w:wordWrap w:val="0"/>
        <w:spacing w:line="360" w:lineRule="auto"/>
        <w:ind w:firstLine="480" w:firstLineChars="200"/>
        <w:rPr>
          <w:rFonts w:hint="eastAsia" w:ascii="宋体" w:hAnsi="宋体"/>
          <w:sz w:val="24"/>
          <w:szCs w:val="24"/>
        </w:rPr>
      </w:pPr>
      <w:r>
        <w:rPr>
          <w:rFonts w:hint="eastAsia" w:ascii="宋体" w:hAnsi="宋体"/>
          <w:sz w:val="24"/>
          <w:szCs w:val="24"/>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5BA24FFC">
      <w:pPr>
        <w:wordWrap w:val="0"/>
        <w:spacing w:line="360" w:lineRule="auto"/>
        <w:ind w:firstLine="480" w:firstLineChars="200"/>
        <w:rPr>
          <w:rFonts w:hint="eastAsia" w:ascii="宋体" w:hAnsi="宋体"/>
          <w:sz w:val="24"/>
          <w:szCs w:val="24"/>
        </w:rPr>
      </w:pPr>
      <w:r>
        <w:rPr>
          <w:rFonts w:hint="eastAsia" w:ascii="宋体" w:hAnsi="宋体"/>
          <w:sz w:val="24"/>
          <w:szCs w:val="24"/>
        </w:rPr>
        <w:t>9.4.9在施工期间，承包人应随时保持现场整洁，施工设备和材料、工程设备应整齐妥善存放和储存，废料与垃圾及不再需要的临时设施应及时从现场清除、拆除并运走。</w:t>
      </w:r>
    </w:p>
    <w:p w14:paraId="45CB2E54">
      <w:pPr>
        <w:wordWrap w:val="0"/>
        <w:spacing w:line="360" w:lineRule="auto"/>
        <w:ind w:firstLine="480" w:firstLineChars="200"/>
        <w:rPr>
          <w:rFonts w:hint="eastAsia" w:ascii="宋体" w:hAnsi="宋体"/>
          <w:sz w:val="24"/>
          <w:szCs w:val="24"/>
        </w:rPr>
      </w:pPr>
      <w:bookmarkStart w:id="551" w:name="_Toc234382874"/>
      <w:r>
        <w:rPr>
          <w:rFonts w:hint="eastAsia" w:ascii="宋体" w:hAnsi="宋体"/>
          <w:sz w:val="24"/>
          <w:szCs w:val="24"/>
        </w:rPr>
        <w:t>10．进度计划</w:t>
      </w:r>
      <w:bookmarkEnd w:id="551"/>
    </w:p>
    <w:p w14:paraId="44473FDD">
      <w:pPr>
        <w:wordWrap w:val="0"/>
        <w:spacing w:line="360" w:lineRule="auto"/>
        <w:ind w:firstLine="480" w:firstLineChars="200"/>
        <w:rPr>
          <w:rFonts w:hint="eastAsia" w:ascii="宋体" w:hAnsi="宋体"/>
          <w:sz w:val="24"/>
          <w:szCs w:val="24"/>
        </w:rPr>
      </w:pPr>
      <w:bookmarkStart w:id="552" w:name="_Toc234382875"/>
      <w:r>
        <w:rPr>
          <w:rFonts w:hint="eastAsia" w:ascii="宋体" w:hAnsi="宋体"/>
          <w:sz w:val="24"/>
          <w:szCs w:val="24"/>
        </w:rPr>
        <w:t>10.1合同进度计划</w:t>
      </w:r>
      <w:bookmarkEnd w:id="552"/>
    </w:p>
    <w:p w14:paraId="0B6FA554">
      <w:pPr>
        <w:wordWrap w:val="0"/>
        <w:spacing w:line="360" w:lineRule="auto"/>
        <w:ind w:firstLine="480" w:firstLineChars="200"/>
        <w:rPr>
          <w:rFonts w:hint="eastAsia" w:ascii="宋体" w:hAnsi="宋体"/>
          <w:sz w:val="24"/>
          <w:szCs w:val="24"/>
        </w:rPr>
      </w:pPr>
      <w:r>
        <w:rPr>
          <w:rFonts w:hint="eastAsia" w:ascii="宋体" w:hAnsi="宋体"/>
          <w:sz w:val="24"/>
          <w:szCs w:val="24"/>
        </w:rPr>
        <w:t>本款补充：</w:t>
      </w:r>
    </w:p>
    <w:p w14:paraId="7B93DFFC">
      <w:pPr>
        <w:wordWrap w:val="0"/>
        <w:spacing w:line="360" w:lineRule="auto"/>
        <w:ind w:firstLine="480" w:firstLineChars="200"/>
        <w:rPr>
          <w:rFonts w:hint="eastAsia" w:ascii="宋体" w:hAnsi="宋体"/>
          <w:sz w:val="24"/>
          <w:szCs w:val="24"/>
        </w:rPr>
      </w:pPr>
      <w:r>
        <w:rPr>
          <w:rFonts w:hint="eastAsia" w:ascii="宋体" w:hAnsi="宋体"/>
          <w:sz w:val="24"/>
          <w:szCs w:val="24"/>
        </w:rPr>
        <w:t>承包人编制施工方案说明的内容见项目专用合同条款。</w:t>
      </w:r>
    </w:p>
    <w:p w14:paraId="44577E66">
      <w:pPr>
        <w:wordWrap w:val="0"/>
        <w:spacing w:line="360" w:lineRule="auto"/>
        <w:ind w:firstLine="480" w:firstLineChars="200"/>
        <w:rPr>
          <w:rFonts w:hint="eastAsia" w:ascii="宋体" w:hAnsi="宋体"/>
          <w:sz w:val="24"/>
          <w:szCs w:val="24"/>
        </w:rPr>
      </w:pPr>
      <w:r>
        <w:rPr>
          <w:rFonts w:hint="eastAsia" w:ascii="宋体" w:hAnsi="宋体"/>
          <w:sz w:val="24"/>
          <w:szCs w:val="24"/>
        </w:rPr>
        <w:t>承包人向监理人报送施工进度计划和施工方案说明的期限：签订合同协议书后28天之内。</w:t>
      </w:r>
    </w:p>
    <w:p w14:paraId="1835B186">
      <w:pPr>
        <w:wordWrap w:val="0"/>
        <w:spacing w:line="360" w:lineRule="auto"/>
        <w:ind w:firstLine="480" w:firstLineChars="200"/>
        <w:rPr>
          <w:rFonts w:hint="eastAsia" w:ascii="宋体" w:hAnsi="宋体"/>
          <w:sz w:val="24"/>
          <w:szCs w:val="24"/>
        </w:rPr>
      </w:pPr>
      <w:r>
        <w:rPr>
          <w:rFonts w:hint="eastAsia" w:ascii="宋体" w:hAnsi="宋体"/>
          <w:sz w:val="24"/>
          <w:szCs w:val="24"/>
        </w:rPr>
        <w:t>监理人应在14天内对承包人施工进度计划和施工方案说明予以批复或提出修改意见。</w:t>
      </w:r>
    </w:p>
    <w:p w14:paraId="5AEEEEEB">
      <w:pPr>
        <w:wordWrap w:val="0"/>
        <w:spacing w:line="360" w:lineRule="auto"/>
        <w:ind w:firstLine="480" w:firstLineChars="200"/>
        <w:rPr>
          <w:rFonts w:hint="eastAsia" w:ascii="宋体" w:hAnsi="宋体"/>
          <w:sz w:val="24"/>
          <w:szCs w:val="24"/>
        </w:rPr>
      </w:pPr>
      <w:r>
        <w:rPr>
          <w:rFonts w:hint="eastAsia" w:ascii="宋体" w:hAnsi="宋体"/>
          <w:sz w:val="24"/>
          <w:szCs w:val="24"/>
        </w:rPr>
        <w:t>合同进度计划应按照关键线路网络图和主要工作横道图两种形式分别编绘，并应包括每月预计完成的工作量和形象进度。</w:t>
      </w:r>
    </w:p>
    <w:p w14:paraId="0DAB90AB">
      <w:pPr>
        <w:wordWrap w:val="0"/>
        <w:spacing w:line="360" w:lineRule="auto"/>
        <w:ind w:firstLine="480" w:firstLineChars="200"/>
        <w:rPr>
          <w:rFonts w:hint="eastAsia" w:ascii="宋体" w:hAnsi="宋体"/>
          <w:sz w:val="24"/>
          <w:szCs w:val="24"/>
        </w:rPr>
      </w:pPr>
      <w:bookmarkStart w:id="553" w:name="_Toc234382876"/>
      <w:r>
        <w:rPr>
          <w:rFonts w:hint="eastAsia" w:ascii="宋体" w:hAnsi="宋体"/>
          <w:sz w:val="24"/>
          <w:szCs w:val="24"/>
        </w:rPr>
        <w:t>10.2合同进度计划的修订</w:t>
      </w:r>
      <w:bookmarkEnd w:id="553"/>
    </w:p>
    <w:p w14:paraId="35F54C95">
      <w:pPr>
        <w:wordWrap w:val="0"/>
        <w:spacing w:line="360" w:lineRule="auto"/>
        <w:ind w:firstLine="480" w:firstLineChars="200"/>
        <w:rPr>
          <w:rFonts w:hint="eastAsia" w:ascii="宋体" w:hAnsi="宋体"/>
          <w:sz w:val="24"/>
          <w:szCs w:val="24"/>
        </w:rPr>
      </w:pPr>
      <w:r>
        <w:rPr>
          <w:rFonts w:hint="eastAsia" w:ascii="宋体" w:hAnsi="宋体"/>
          <w:sz w:val="24"/>
          <w:szCs w:val="24"/>
        </w:rPr>
        <w:t>本款补充：</w:t>
      </w:r>
    </w:p>
    <w:p w14:paraId="71670EB8">
      <w:pPr>
        <w:wordWrap w:val="0"/>
        <w:spacing w:line="360" w:lineRule="auto"/>
        <w:ind w:firstLine="480" w:firstLineChars="200"/>
        <w:rPr>
          <w:rFonts w:hint="eastAsia" w:ascii="宋体" w:hAnsi="宋体"/>
          <w:sz w:val="24"/>
          <w:szCs w:val="24"/>
        </w:rPr>
      </w:pPr>
      <w:r>
        <w:rPr>
          <w:rFonts w:hint="eastAsia" w:ascii="宋体" w:hAnsi="宋体"/>
          <w:sz w:val="24"/>
          <w:szCs w:val="24"/>
        </w:rPr>
        <w:t>承包人提交合同进度计划修订申请报告，并附有关措施和相关资料的期限：实际进度发生滞后的当月25日前。</w:t>
      </w:r>
    </w:p>
    <w:p w14:paraId="69824085">
      <w:pPr>
        <w:wordWrap w:val="0"/>
        <w:spacing w:line="360" w:lineRule="auto"/>
        <w:ind w:firstLine="480" w:firstLineChars="200"/>
        <w:rPr>
          <w:rFonts w:hint="eastAsia" w:ascii="宋体" w:hAnsi="宋体"/>
          <w:sz w:val="24"/>
          <w:szCs w:val="24"/>
        </w:rPr>
      </w:pPr>
      <w:r>
        <w:rPr>
          <w:rFonts w:hint="eastAsia" w:ascii="宋体" w:hAnsi="宋体"/>
          <w:sz w:val="24"/>
          <w:szCs w:val="24"/>
        </w:rPr>
        <w:t>监理人批复修订合同进度计划的期限：收到修订合同进度计划后14天内。</w:t>
      </w:r>
    </w:p>
    <w:p w14:paraId="6ED76258">
      <w:pPr>
        <w:wordWrap w:val="0"/>
        <w:spacing w:line="360" w:lineRule="auto"/>
        <w:ind w:firstLine="480" w:firstLineChars="200"/>
        <w:rPr>
          <w:rFonts w:hint="eastAsia" w:ascii="宋体" w:hAnsi="宋体"/>
          <w:sz w:val="24"/>
          <w:szCs w:val="24"/>
        </w:rPr>
      </w:pPr>
      <w:r>
        <w:rPr>
          <w:rFonts w:hint="eastAsia" w:ascii="宋体" w:hAnsi="宋体"/>
          <w:sz w:val="24"/>
          <w:szCs w:val="24"/>
        </w:rPr>
        <w:t>补充第10.3、10.4款：</w:t>
      </w:r>
    </w:p>
    <w:p w14:paraId="0C905C7F">
      <w:pPr>
        <w:wordWrap w:val="0"/>
        <w:spacing w:line="360" w:lineRule="auto"/>
        <w:ind w:firstLine="480" w:firstLineChars="200"/>
        <w:rPr>
          <w:rFonts w:hint="eastAsia" w:ascii="宋体" w:hAnsi="宋体"/>
          <w:sz w:val="24"/>
          <w:szCs w:val="24"/>
        </w:rPr>
      </w:pPr>
      <w:bookmarkStart w:id="554" w:name="_Toc234382877"/>
      <w:r>
        <w:rPr>
          <w:rFonts w:hint="eastAsia" w:ascii="宋体" w:hAnsi="宋体"/>
          <w:sz w:val="24"/>
          <w:szCs w:val="24"/>
        </w:rPr>
        <w:t>10.3年度施工计划</w:t>
      </w:r>
      <w:bookmarkEnd w:id="554"/>
    </w:p>
    <w:p w14:paraId="00606E34">
      <w:pPr>
        <w:wordWrap w:val="0"/>
        <w:spacing w:line="360" w:lineRule="auto"/>
        <w:ind w:firstLine="480" w:firstLineChars="200"/>
        <w:rPr>
          <w:rFonts w:hint="eastAsia" w:ascii="宋体" w:hAnsi="宋体"/>
          <w:sz w:val="24"/>
          <w:szCs w:val="24"/>
        </w:rPr>
      </w:pPr>
      <w:r>
        <w:rPr>
          <w:rFonts w:hint="eastAsia" w:ascii="宋体" w:hAnsi="宋体"/>
          <w:sz w:val="24"/>
          <w:szCs w:val="24"/>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5E4E4F41">
      <w:pPr>
        <w:wordWrap w:val="0"/>
        <w:spacing w:line="360" w:lineRule="auto"/>
        <w:ind w:firstLine="480" w:firstLineChars="200"/>
        <w:rPr>
          <w:rFonts w:hint="eastAsia" w:ascii="宋体" w:hAnsi="宋体"/>
          <w:sz w:val="24"/>
          <w:szCs w:val="24"/>
        </w:rPr>
      </w:pPr>
      <w:bookmarkStart w:id="555" w:name="_Toc234382878"/>
      <w:r>
        <w:rPr>
          <w:rFonts w:hint="eastAsia" w:ascii="宋体" w:hAnsi="宋体"/>
          <w:sz w:val="24"/>
          <w:szCs w:val="24"/>
        </w:rPr>
        <w:t>10.4合同用款计划</w:t>
      </w:r>
      <w:bookmarkEnd w:id="555"/>
    </w:p>
    <w:p w14:paraId="7C76EAC4">
      <w:pPr>
        <w:wordWrap w:val="0"/>
        <w:spacing w:line="360" w:lineRule="auto"/>
        <w:ind w:firstLine="480" w:firstLineChars="200"/>
        <w:rPr>
          <w:rFonts w:hint="eastAsia" w:ascii="宋体" w:hAnsi="宋体"/>
          <w:sz w:val="24"/>
          <w:szCs w:val="24"/>
        </w:rPr>
      </w:pPr>
      <w:r>
        <w:rPr>
          <w:rFonts w:hint="eastAsia" w:ascii="宋体" w:hAnsi="宋体"/>
          <w:sz w:val="24"/>
          <w:szCs w:val="24"/>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073BCA76">
      <w:pPr>
        <w:wordWrap w:val="0"/>
        <w:spacing w:line="360" w:lineRule="auto"/>
        <w:ind w:firstLine="480" w:firstLineChars="200"/>
        <w:rPr>
          <w:rFonts w:hint="eastAsia" w:ascii="宋体" w:hAnsi="宋体"/>
          <w:sz w:val="24"/>
          <w:szCs w:val="24"/>
        </w:rPr>
      </w:pPr>
      <w:bookmarkStart w:id="556" w:name="_Toc234382879"/>
      <w:r>
        <w:rPr>
          <w:rFonts w:hint="eastAsia" w:ascii="宋体" w:hAnsi="宋体"/>
          <w:sz w:val="24"/>
          <w:szCs w:val="24"/>
        </w:rPr>
        <w:t>11．开工和竣工</w:t>
      </w:r>
      <w:bookmarkEnd w:id="556"/>
    </w:p>
    <w:p w14:paraId="02AFB1AA">
      <w:pPr>
        <w:wordWrap w:val="0"/>
        <w:spacing w:line="360" w:lineRule="auto"/>
        <w:ind w:firstLine="480" w:firstLineChars="200"/>
        <w:rPr>
          <w:rFonts w:hint="eastAsia" w:ascii="宋体" w:hAnsi="宋体"/>
          <w:sz w:val="24"/>
          <w:szCs w:val="24"/>
        </w:rPr>
      </w:pPr>
      <w:bookmarkStart w:id="557" w:name="_Toc234382880"/>
      <w:r>
        <w:rPr>
          <w:rFonts w:hint="eastAsia" w:ascii="宋体" w:hAnsi="宋体"/>
          <w:sz w:val="24"/>
          <w:szCs w:val="24"/>
        </w:rPr>
        <w:t>11.1开工</w:t>
      </w:r>
      <w:bookmarkEnd w:id="557"/>
    </w:p>
    <w:p w14:paraId="5172E01D">
      <w:pPr>
        <w:wordWrap w:val="0"/>
        <w:spacing w:line="360" w:lineRule="auto"/>
        <w:ind w:firstLine="480" w:firstLineChars="200"/>
        <w:rPr>
          <w:rFonts w:hint="eastAsia" w:ascii="宋体" w:hAnsi="宋体"/>
          <w:sz w:val="24"/>
          <w:szCs w:val="24"/>
        </w:rPr>
      </w:pPr>
      <w:r>
        <w:rPr>
          <w:rFonts w:hint="eastAsia" w:ascii="宋体" w:hAnsi="宋体"/>
          <w:sz w:val="24"/>
          <w:szCs w:val="24"/>
        </w:rPr>
        <w:t>第11.1.2项补充：</w:t>
      </w:r>
    </w:p>
    <w:p w14:paraId="3C580455">
      <w:pPr>
        <w:wordWrap w:val="0"/>
        <w:spacing w:line="360" w:lineRule="auto"/>
        <w:ind w:firstLine="480" w:firstLineChars="200"/>
        <w:rPr>
          <w:rFonts w:hint="eastAsia" w:ascii="宋体" w:hAnsi="宋体"/>
          <w:sz w:val="24"/>
          <w:szCs w:val="24"/>
        </w:rPr>
      </w:pPr>
      <w:r>
        <w:rPr>
          <w:rFonts w:hint="eastAsia" w:ascii="宋体" w:hAnsi="宋体"/>
          <w:sz w:val="24"/>
          <w:szCs w:val="24"/>
        </w:rPr>
        <w:t>承包人应在分部工程开工前14天向监理人提交分部工程开工报审表，若承包人的开工准备、工作计划和质量控制方法是可接受的且已获得批准，则经监理人书面同意，分部工程才能开工。</w:t>
      </w:r>
    </w:p>
    <w:p w14:paraId="48B6A62D">
      <w:pPr>
        <w:wordWrap w:val="0"/>
        <w:spacing w:line="360" w:lineRule="auto"/>
        <w:ind w:firstLine="480" w:firstLineChars="200"/>
        <w:rPr>
          <w:rFonts w:hint="eastAsia" w:ascii="宋体" w:hAnsi="宋体"/>
          <w:sz w:val="24"/>
          <w:szCs w:val="24"/>
        </w:rPr>
      </w:pPr>
      <w:bookmarkStart w:id="558" w:name="_Toc234382881"/>
      <w:r>
        <w:rPr>
          <w:rFonts w:hint="eastAsia" w:ascii="宋体" w:hAnsi="宋体"/>
          <w:sz w:val="24"/>
          <w:szCs w:val="24"/>
        </w:rPr>
        <w:t>11.3发包人的工期延误</w:t>
      </w:r>
      <w:bookmarkEnd w:id="558"/>
    </w:p>
    <w:p w14:paraId="5C1B05A2">
      <w:pPr>
        <w:wordWrap w:val="0"/>
        <w:spacing w:line="360" w:lineRule="auto"/>
        <w:ind w:firstLine="480" w:firstLineChars="200"/>
        <w:rPr>
          <w:rFonts w:hint="eastAsia" w:ascii="宋体" w:hAnsi="宋体"/>
          <w:sz w:val="24"/>
          <w:szCs w:val="24"/>
        </w:rPr>
      </w:pPr>
      <w:r>
        <w:rPr>
          <w:rFonts w:hint="eastAsia" w:ascii="宋体" w:hAnsi="宋体"/>
          <w:sz w:val="24"/>
          <w:szCs w:val="24"/>
        </w:rPr>
        <w:t>本款补充：</w:t>
      </w:r>
    </w:p>
    <w:p w14:paraId="5E03B3EE">
      <w:pPr>
        <w:wordWrap w:val="0"/>
        <w:spacing w:line="360" w:lineRule="auto"/>
        <w:ind w:firstLine="480" w:firstLineChars="200"/>
        <w:rPr>
          <w:rFonts w:hint="eastAsia" w:ascii="宋体" w:hAnsi="宋体"/>
          <w:sz w:val="24"/>
          <w:szCs w:val="24"/>
        </w:rPr>
      </w:pPr>
      <w:r>
        <w:rPr>
          <w:rFonts w:hint="eastAsia" w:ascii="宋体" w:hAnsi="宋体"/>
          <w:sz w:val="24"/>
          <w:szCs w:val="24"/>
        </w:rPr>
        <w:t>即使由于上述原因造成工期延误，如果受影响的工程并非处在工程施工进度网络计划的关键线路上，则承包人无权要求延长总工期。</w:t>
      </w:r>
    </w:p>
    <w:p w14:paraId="6E765254">
      <w:pPr>
        <w:wordWrap w:val="0"/>
        <w:spacing w:line="360" w:lineRule="auto"/>
        <w:ind w:firstLine="480" w:firstLineChars="200"/>
        <w:rPr>
          <w:rFonts w:hint="eastAsia" w:ascii="宋体" w:hAnsi="宋体"/>
          <w:sz w:val="24"/>
          <w:szCs w:val="24"/>
        </w:rPr>
      </w:pPr>
      <w:bookmarkStart w:id="559" w:name="_Toc234382882"/>
      <w:r>
        <w:rPr>
          <w:rFonts w:hint="eastAsia" w:ascii="宋体" w:hAnsi="宋体"/>
          <w:sz w:val="24"/>
          <w:szCs w:val="24"/>
        </w:rPr>
        <w:t>11.4异常恶劣的气候条件</w:t>
      </w:r>
      <w:bookmarkEnd w:id="559"/>
    </w:p>
    <w:p w14:paraId="0FE36962">
      <w:pPr>
        <w:wordWrap w:val="0"/>
        <w:spacing w:line="360" w:lineRule="auto"/>
        <w:ind w:firstLine="480" w:firstLineChars="200"/>
        <w:rPr>
          <w:rFonts w:hint="eastAsia" w:ascii="宋体" w:hAnsi="宋体"/>
          <w:sz w:val="24"/>
          <w:szCs w:val="24"/>
        </w:rPr>
      </w:pPr>
      <w:r>
        <w:rPr>
          <w:rFonts w:hint="eastAsia" w:ascii="宋体" w:hAnsi="宋体"/>
          <w:sz w:val="24"/>
          <w:szCs w:val="24"/>
        </w:rPr>
        <w:t>本款补充：</w:t>
      </w:r>
    </w:p>
    <w:p w14:paraId="2D383847">
      <w:pPr>
        <w:wordWrap w:val="0"/>
        <w:spacing w:line="360" w:lineRule="auto"/>
        <w:ind w:firstLine="480" w:firstLineChars="200"/>
        <w:rPr>
          <w:rFonts w:hint="eastAsia" w:ascii="宋体" w:hAnsi="宋体"/>
          <w:sz w:val="24"/>
          <w:szCs w:val="24"/>
        </w:rPr>
      </w:pPr>
      <w:r>
        <w:rPr>
          <w:rFonts w:hint="eastAsia" w:ascii="宋体" w:hAnsi="宋体"/>
          <w:sz w:val="24"/>
          <w:szCs w:val="24"/>
        </w:rPr>
        <w:t>异常气候条件是指项目所在地30年一遇的罕见气候现象（包括温度、降水、降雪、风等）。异常恶劣的气候条件在项目专用合同条款中作具体规定。</w:t>
      </w:r>
    </w:p>
    <w:p w14:paraId="68BA0772">
      <w:pPr>
        <w:wordWrap w:val="0"/>
        <w:spacing w:line="360" w:lineRule="auto"/>
        <w:ind w:firstLine="480" w:firstLineChars="200"/>
        <w:rPr>
          <w:rFonts w:hint="eastAsia" w:ascii="宋体" w:hAnsi="宋体"/>
          <w:sz w:val="24"/>
          <w:szCs w:val="24"/>
        </w:rPr>
      </w:pPr>
      <w:bookmarkStart w:id="560" w:name="_Toc234382883"/>
      <w:r>
        <w:rPr>
          <w:rFonts w:hint="eastAsia" w:ascii="宋体" w:hAnsi="宋体"/>
          <w:sz w:val="24"/>
          <w:szCs w:val="24"/>
        </w:rPr>
        <w:t>11.5承包人的工期延误</w:t>
      </w:r>
      <w:bookmarkEnd w:id="560"/>
    </w:p>
    <w:p w14:paraId="5963ACA0">
      <w:pPr>
        <w:wordWrap w:val="0"/>
        <w:spacing w:line="360" w:lineRule="auto"/>
        <w:ind w:firstLine="480" w:firstLineChars="200"/>
        <w:rPr>
          <w:rFonts w:hint="eastAsia" w:ascii="宋体" w:hAnsi="宋体"/>
          <w:sz w:val="24"/>
          <w:szCs w:val="24"/>
        </w:rPr>
      </w:pPr>
      <w:r>
        <w:rPr>
          <w:rFonts w:hint="eastAsia" w:ascii="宋体" w:hAnsi="宋体"/>
          <w:sz w:val="24"/>
          <w:szCs w:val="24"/>
        </w:rPr>
        <w:t>本款细化为：</w:t>
      </w:r>
    </w:p>
    <w:p w14:paraId="2BE61BDF">
      <w:pPr>
        <w:wordWrap w:val="0"/>
        <w:spacing w:line="360" w:lineRule="auto"/>
        <w:ind w:firstLine="480" w:firstLineChars="200"/>
        <w:rPr>
          <w:rFonts w:hint="eastAsia" w:ascii="宋体" w:hAnsi="宋体"/>
          <w:sz w:val="24"/>
          <w:szCs w:val="24"/>
        </w:rPr>
      </w:pPr>
      <w:r>
        <w:rPr>
          <w:rFonts w:hint="eastAsia" w:ascii="宋体" w:hAnsi="宋体"/>
          <w:sz w:val="24"/>
          <w:szCs w:val="24"/>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1ECAD625">
      <w:pPr>
        <w:wordWrap w:val="0"/>
        <w:spacing w:line="360" w:lineRule="auto"/>
        <w:ind w:firstLine="480" w:firstLineChars="200"/>
        <w:rPr>
          <w:rFonts w:hint="eastAsia" w:ascii="宋体" w:hAnsi="宋体"/>
          <w:sz w:val="24"/>
          <w:szCs w:val="24"/>
        </w:rPr>
      </w:pPr>
      <w:r>
        <w:rPr>
          <w:rFonts w:hint="eastAsia" w:ascii="宋体" w:hAnsi="宋体"/>
          <w:sz w:val="24"/>
          <w:szCs w:val="24"/>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5EC0609D">
      <w:pPr>
        <w:wordWrap w:val="0"/>
        <w:spacing w:line="360" w:lineRule="auto"/>
        <w:ind w:firstLine="480" w:firstLineChars="200"/>
        <w:rPr>
          <w:rFonts w:hint="eastAsia" w:ascii="宋体" w:hAnsi="宋体"/>
          <w:sz w:val="24"/>
          <w:szCs w:val="24"/>
        </w:rPr>
      </w:pPr>
      <w:r>
        <w:rPr>
          <w:rFonts w:hint="eastAsia" w:ascii="宋体" w:hAnsi="宋体"/>
          <w:sz w:val="24"/>
          <w:szCs w:val="24"/>
        </w:rPr>
        <w:t>（2）由于承包人原因造成工期延误，承包人应支付逾期交工违约金。逾期交工违约金的计算方法在项目专用合同条款数据表中约定，时间自预定的交工日期起到交工验收为：每逾期一天支付    元人民币（在项目专用合同条款中约定），时间自预定的竣工日期起到工程接收证书中写明的实际竣工日期止（扣除已批准的延长工期），按天计算。逾期竣工违约金累计金额最高不超过签约合同价的10%。发包人可以从应付或到期应付给承包人的任何款项中或采用其他方法扣除此违约金。</w:t>
      </w:r>
    </w:p>
    <w:p w14:paraId="028D1BED">
      <w:pPr>
        <w:wordWrap w:val="0"/>
        <w:spacing w:line="360" w:lineRule="auto"/>
        <w:ind w:firstLine="480" w:firstLineChars="200"/>
        <w:rPr>
          <w:rFonts w:hint="eastAsia" w:ascii="宋体" w:hAnsi="宋体"/>
          <w:sz w:val="24"/>
          <w:szCs w:val="24"/>
        </w:rPr>
      </w:pPr>
      <w:r>
        <w:rPr>
          <w:rFonts w:hint="eastAsia" w:ascii="宋体" w:hAnsi="宋体"/>
          <w:sz w:val="24"/>
          <w:szCs w:val="24"/>
        </w:rPr>
        <w:t>承包人支付逾期竣工建约金，不免除承包人完成工程及修补缺陷的义务。</w:t>
      </w:r>
    </w:p>
    <w:p w14:paraId="49E25DD9">
      <w:pPr>
        <w:wordWrap w:val="0"/>
        <w:spacing w:line="360" w:lineRule="auto"/>
        <w:ind w:firstLine="480" w:firstLineChars="200"/>
        <w:rPr>
          <w:rFonts w:hint="eastAsia" w:ascii="宋体" w:hAnsi="宋体"/>
          <w:sz w:val="24"/>
          <w:szCs w:val="24"/>
        </w:rPr>
      </w:pPr>
      <w:r>
        <w:rPr>
          <w:rFonts w:hint="eastAsia" w:ascii="宋体" w:hAnsi="宋体"/>
          <w:sz w:val="24"/>
          <w:szCs w:val="24"/>
        </w:rPr>
        <w:t>如果在合同工作完工之前，已对合同工程内按时完工的单位工程签发了工程接收证书，则合同工程的逾期竣工违约金，应按已签发工程接收证书的单位工程的价值占合同工程价值的比例予以减少，但本规定不应影响逾期竣工违约金的规定限额。</w:t>
      </w:r>
    </w:p>
    <w:p w14:paraId="4E597360">
      <w:pPr>
        <w:wordWrap w:val="0"/>
        <w:spacing w:line="360" w:lineRule="auto"/>
        <w:ind w:firstLine="480" w:firstLineChars="200"/>
        <w:rPr>
          <w:rFonts w:hint="eastAsia" w:ascii="宋体" w:hAnsi="宋体"/>
          <w:sz w:val="24"/>
          <w:szCs w:val="24"/>
        </w:rPr>
      </w:pPr>
      <w:bookmarkStart w:id="561" w:name="_Toc234382884"/>
      <w:r>
        <w:rPr>
          <w:rFonts w:hint="eastAsia" w:ascii="宋体" w:hAnsi="宋体"/>
          <w:sz w:val="24"/>
          <w:szCs w:val="24"/>
        </w:rPr>
        <w:t>11．6工期提前</w:t>
      </w:r>
      <w:bookmarkEnd w:id="561"/>
    </w:p>
    <w:p w14:paraId="07FA0021">
      <w:pPr>
        <w:wordWrap w:val="0"/>
        <w:spacing w:line="360" w:lineRule="auto"/>
        <w:ind w:firstLine="480" w:firstLineChars="200"/>
        <w:rPr>
          <w:rFonts w:hint="eastAsia" w:ascii="宋体" w:hAnsi="宋体"/>
          <w:sz w:val="24"/>
          <w:szCs w:val="24"/>
        </w:rPr>
      </w:pPr>
      <w:r>
        <w:rPr>
          <w:rFonts w:hint="eastAsia" w:ascii="宋体" w:hAnsi="宋体"/>
          <w:sz w:val="24"/>
          <w:szCs w:val="24"/>
        </w:rPr>
        <w:t>本款补充：</w:t>
      </w:r>
    </w:p>
    <w:p w14:paraId="73F13E3F">
      <w:pPr>
        <w:wordWrap w:val="0"/>
        <w:spacing w:line="360" w:lineRule="auto"/>
        <w:ind w:firstLine="480" w:firstLineChars="200"/>
        <w:rPr>
          <w:rFonts w:hint="eastAsia" w:ascii="宋体" w:hAnsi="宋体"/>
          <w:sz w:val="24"/>
          <w:szCs w:val="24"/>
        </w:rPr>
      </w:pPr>
      <w:r>
        <w:rPr>
          <w:rFonts w:hint="eastAsia" w:ascii="宋体" w:hAnsi="宋体"/>
          <w:sz w:val="24"/>
          <w:szCs w:val="24"/>
        </w:rPr>
        <w:t>发包人不得随意要求承包人提前交工，承包人也不得随意提出提前交工的建议。如遇特殊情况，确需将工期提前的，发包人和承包人必须采取有效措施，确保工程质量。</w:t>
      </w:r>
    </w:p>
    <w:p w14:paraId="42432D9E">
      <w:pPr>
        <w:wordWrap w:val="0"/>
        <w:spacing w:line="360" w:lineRule="auto"/>
        <w:ind w:firstLine="480" w:firstLineChars="200"/>
        <w:rPr>
          <w:rFonts w:hint="eastAsia" w:ascii="宋体" w:hAnsi="宋体"/>
          <w:sz w:val="24"/>
          <w:szCs w:val="24"/>
        </w:rPr>
      </w:pPr>
      <w:r>
        <w:rPr>
          <w:rFonts w:hint="eastAsia" w:ascii="宋体" w:hAnsi="宋体"/>
          <w:sz w:val="24"/>
          <w:szCs w:val="24"/>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0D8F345A">
      <w:pPr>
        <w:wordWrap w:val="0"/>
        <w:spacing w:line="360" w:lineRule="auto"/>
        <w:ind w:firstLine="480" w:firstLineChars="200"/>
        <w:rPr>
          <w:rFonts w:hint="eastAsia" w:ascii="宋体" w:hAnsi="宋体"/>
          <w:sz w:val="24"/>
          <w:szCs w:val="24"/>
        </w:rPr>
      </w:pPr>
      <w:r>
        <w:rPr>
          <w:rFonts w:hint="eastAsia" w:ascii="宋体" w:hAnsi="宋体"/>
          <w:sz w:val="24"/>
          <w:szCs w:val="24"/>
        </w:rPr>
        <w:t>补充11.7款：</w:t>
      </w:r>
    </w:p>
    <w:p w14:paraId="304CB4E0">
      <w:pPr>
        <w:wordWrap w:val="0"/>
        <w:spacing w:line="360" w:lineRule="auto"/>
        <w:ind w:firstLine="480" w:firstLineChars="200"/>
        <w:rPr>
          <w:rFonts w:hint="eastAsia" w:ascii="宋体" w:hAnsi="宋体"/>
          <w:sz w:val="24"/>
          <w:szCs w:val="24"/>
        </w:rPr>
      </w:pPr>
      <w:bookmarkStart w:id="562" w:name="_Toc234382885"/>
      <w:r>
        <w:rPr>
          <w:rFonts w:hint="eastAsia" w:ascii="宋体" w:hAnsi="宋体"/>
          <w:sz w:val="24"/>
          <w:szCs w:val="24"/>
        </w:rPr>
        <w:t>11．7工作时间的限制</w:t>
      </w:r>
      <w:bookmarkEnd w:id="562"/>
    </w:p>
    <w:p w14:paraId="044B8892">
      <w:pPr>
        <w:wordWrap w:val="0"/>
        <w:spacing w:line="360" w:lineRule="auto"/>
        <w:ind w:firstLine="480" w:firstLineChars="200"/>
        <w:rPr>
          <w:rFonts w:hint="eastAsia" w:ascii="宋体" w:hAnsi="宋体"/>
          <w:sz w:val="24"/>
          <w:szCs w:val="24"/>
        </w:rPr>
      </w:pPr>
      <w:r>
        <w:rPr>
          <w:rFonts w:hint="eastAsia" w:ascii="宋体" w:hAnsi="宋体"/>
          <w:sz w:val="24"/>
          <w:szCs w:val="24"/>
        </w:rPr>
        <w:t>承包人在夜间或国家规定的节假日进行永久工程的施工，应向监理人报告，以便监理人履行监理人履行监理职责和义务。</w:t>
      </w:r>
    </w:p>
    <w:p w14:paraId="5045553A">
      <w:pPr>
        <w:wordWrap w:val="0"/>
        <w:spacing w:line="360" w:lineRule="auto"/>
        <w:ind w:firstLine="480" w:firstLineChars="200"/>
        <w:rPr>
          <w:rFonts w:hint="eastAsia" w:ascii="宋体" w:hAnsi="宋体"/>
          <w:sz w:val="24"/>
          <w:szCs w:val="24"/>
        </w:rPr>
      </w:pPr>
      <w:r>
        <w:rPr>
          <w:rFonts w:hint="eastAsia" w:ascii="宋体" w:hAnsi="宋体"/>
          <w:sz w:val="24"/>
          <w:szCs w:val="24"/>
        </w:rPr>
        <w:t>但是，为了抢救生命或保护财产，或为了工程的安全、质量而不可避免地短暂作业，则不必事先向监理人报告。但承包人应在事后立即向监理人报告。</w:t>
      </w:r>
    </w:p>
    <w:p w14:paraId="0B22E733">
      <w:pPr>
        <w:wordWrap w:val="0"/>
        <w:spacing w:line="360" w:lineRule="auto"/>
        <w:ind w:firstLine="480" w:firstLineChars="200"/>
        <w:rPr>
          <w:rFonts w:hint="eastAsia" w:ascii="宋体" w:hAnsi="宋体"/>
          <w:sz w:val="24"/>
          <w:szCs w:val="24"/>
        </w:rPr>
      </w:pPr>
      <w:r>
        <w:rPr>
          <w:rFonts w:hint="eastAsia" w:ascii="宋体" w:hAnsi="宋体"/>
          <w:sz w:val="24"/>
          <w:szCs w:val="24"/>
        </w:rPr>
        <w:t>本款规定不适用于习惯上或施工本身要求实行连续生产的作业。</w:t>
      </w:r>
    </w:p>
    <w:p w14:paraId="6F605A90">
      <w:pPr>
        <w:wordWrap w:val="0"/>
        <w:spacing w:line="360" w:lineRule="auto"/>
        <w:ind w:firstLine="480" w:firstLineChars="200"/>
        <w:rPr>
          <w:rFonts w:hint="eastAsia" w:ascii="宋体" w:hAnsi="宋体"/>
          <w:sz w:val="24"/>
          <w:szCs w:val="24"/>
        </w:rPr>
      </w:pPr>
      <w:bookmarkStart w:id="563" w:name="_Toc234382886"/>
      <w:r>
        <w:rPr>
          <w:rFonts w:hint="eastAsia" w:ascii="宋体" w:hAnsi="宋体"/>
          <w:sz w:val="24"/>
          <w:szCs w:val="24"/>
        </w:rPr>
        <w:t>12．暂停施工</w:t>
      </w:r>
      <w:bookmarkEnd w:id="563"/>
    </w:p>
    <w:p w14:paraId="6D645C57">
      <w:pPr>
        <w:wordWrap w:val="0"/>
        <w:spacing w:line="360" w:lineRule="auto"/>
        <w:ind w:firstLine="480" w:firstLineChars="200"/>
        <w:rPr>
          <w:rFonts w:hint="eastAsia" w:ascii="宋体" w:hAnsi="宋体"/>
          <w:sz w:val="24"/>
          <w:szCs w:val="24"/>
        </w:rPr>
      </w:pPr>
      <w:bookmarkStart w:id="564" w:name="_Toc234382887"/>
      <w:r>
        <w:rPr>
          <w:rFonts w:hint="eastAsia" w:ascii="宋体" w:hAnsi="宋体"/>
          <w:sz w:val="24"/>
          <w:szCs w:val="24"/>
        </w:rPr>
        <w:t>12．1承包人暂停施工的责任</w:t>
      </w:r>
      <w:bookmarkEnd w:id="564"/>
    </w:p>
    <w:p w14:paraId="6B137A5F">
      <w:pPr>
        <w:wordWrap w:val="0"/>
        <w:spacing w:line="360" w:lineRule="auto"/>
        <w:ind w:firstLine="480" w:firstLineChars="200"/>
        <w:rPr>
          <w:rFonts w:hint="eastAsia" w:ascii="宋体" w:hAnsi="宋体"/>
          <w:sz w:val="24"/>
          <w:szCs w:val="24"/>
        </w:rPr>
      </w:pPr>
      <w:r>
        <w:rPr>
          <w:rFonts w:hint="eastAsia" w:ascii="宋体" w:hAnsi="宋体"/>
          <w:sz w:val="24"/>
          <w:szCs w:val="24"/>
        </w:rPr>
        <w:t>本款第（5）项细化为：</w:t>
      </w:r>
    </w:p>
    <w:p w14:paraId="562CE632">
      <w:pPr>
        <w:wordWrap w:val="0"/>
        <w:spacing w:line="360" w:lineRule="auto"/>
        <w:ind w:firstLine="480" w:firstLineChars="200"/>
        <w:rPr>
          <w:rFonts w:hint="eastAsia" w:ascii="宋体" w:hAnsi="宋体"/>
          <w:sz w:val="24"/>
          <w:szCs w:val="24"/>
        </w:rPr>
      </w:pPr>
      <w:r>
        <w:rPr>
          <w:rFonts w:hint="eastAsia" w:ascii="宋体" w:hAnsi="宋体"/>
          <w:sz w:val="24"/>
          <w:szCs w:val="24"/>
        </w:rPr>
        <w:t>（5）现场气候条件导致的必要停工（第11.4款规定的异常恶劣的气候条件除外）；</w:t>
      </w:r>
    </w:p>
    <w:p w14:paraId="2F6A3D39">
      <w:pPr>
        <w:wordWrap w:val="0"/>
        <w:spacing w:line="360" w:lineRule="auto"/>
        <w:ind w:firstLine="480" w:firstLineChars="200"/>
        <w:rPr>
          <w:rFonts w:hint="eastAsia" w:ascii="宋体" w:hAnsi="宋体"/>
          <w:sz w:val="24"/>
          <w:szCs w:val="24"/>
        </w:rPr>
      </w:pPr>
      <w:r>
        <w:rPr>
          <w:rFonts w:hint="eastAsia" w:ascii="宋体" w:hAnsi="宋体"/>
          <w:sz w:val="24"/>
          <w:szCs w:val="24"/>
        </w:rPr>
        <w:t>（6）项目专用合同条款约定的由承包人承担的其他暂停施工。</w:t>
      </w:r>
    </w:p>
    <w:p w14:paraId="1F757792">
      <w:pPr>
        <w:wordWrap w:val="0"/>
        <w:spacing w:line="360" w:lineRule="auto"/>
        <w:ind w:firstLine="480" w:firstLineChars="200"/>
        <w:rPr>
          <w:rFonts w:hint="eastAsia" w:ascii="宋体" w:hAnsi="宋体"/>
          <w:sz w:val="24"/>
          <w:szCs w:val="24"/>
        </w:rPr>
      </w:pPr>
      <w:bookmarkStart w:id="565" w:name="_Toc234382888"/>
      <w:r>
        <w:rPr>
          <w:rFonts w:hint="eastAsia" w:ascii="宋体" w:hAnsi="宋体"/>
          <w:sz w:val="24"/>
          <w:szCs w:val="24"/>
        </w:rPr>
        <w:t>13．工程质量</w:t>
      </w:r>
      <w:bookmarkEnd w:id="565"/>
    </w:p>
    <w:p w14:paraId="236252DE">
      <w:pPr>
        <w:wordWrap w:val="0"/>
        <w:spacing w:line="360" w:lineRule="auto"/>
        <w:ind w:firstLine="480" w:firstLineChars="200"/>
        <w:rPr>
          <w:rFonts w:hint="eastAsia" w:ascii="宋体" w:hAnsi="宋体"/>
          <w:sz w:val="24"/>
          <w:szCs w:val="24"/>
        </w:rPr>
      </w:pPr>
      <w:bookmarkStart w:id="566" w:name="_Toc234382889"/>
      <w:r>
        <w:rPr>
          <w:rFonts w:hint="eastAsia" w:ascii="宋体" w:hAnsi="宋体"/>
          <w:sz w:val="24"/>
          <w:szCs w:val="24"/>
        </w:rPr>
        <w:t>13．1工程质量要求</w:t>
      </w:r>
      <w:bookmarkEnd w:id="566"/>
    </w:p>
    <w:p w14:paraId="28DD4171">
      <w:pPr>
        <w:wordWrap w:val="0"/>
        <w:spacing w:line="360" w:lineRule="auto"/>
        <w:ind w:firstLine="480" w:firstLineChars="200"/>
        <w:rPr>
          <w:rFonts w:hint="eastAsia" w:ascii="宋体" w:hAnsi="宋体"/>
          <w:sz w:val="24"/>
          <w:szCs w:val="24"/>
        </w:rPr>
      </w:pPr>
      <w:r>
        <w:rPr>
          <w:rFonts w:hint="eastAsia" w:ascii="宋体" w:hAnsi="宋体"/>
          <w:sz w:val="24"/>
          <w:szCs w:val="24"/>
        </w:rPr>
        <w:t>第13.1.1项约定为：</w:t>
      </w:r>
    </w:p>
    <w:p w14:paraId="6CF86AD0">
      <w:pPr>
        <w:wordWrap w:val="0"/>
        <w:spacing w:line="360" w:lineRule="auto"/>
        <w:ind w:firstLine="480" w:firstLineChars="200"/>
        <w:rPr>
          <w:rFonts w:hint="eastAsia" w:ascii="宋体" w:hAnsi="宋体"/>
          <w:sz w:val="24"/>
          <w:szCs w:val="24"/>
        </w:rPr>
      </w:pPr>
      <w:r>
        <w:rPr>
          <w:rFonts w:hint="eastAsia" w:ascii="宋体" w:hAnsi="宋体"/>
          <w:sz w:val="24"/>
          <w:szCs w:val="24"/>
        </w:rPr>
        <w:t>工程质量验收按技术规范及《公路工程质量检验评定标准》执行。</w:t>
      </w:r>
    </w:p>
    <w:p w14:paraId="7130916E">
      <w:pPr>
        <w:wordWrap w:val="0"/>
        <w:spacing w:line="360" w:lineRule="auto"/>
        <w:ind w:firstLine="480" w:firstLineChars="200"/>
        <w:rPr>
          <w:rFonts w:hint="eastAsia" w:ascii="宋体" w:hAnsi="宋体"/>
          <w:sz w:val="24"/>
          <w:szCs w:val="24"/>
        </w:rPr>
      </w:pPr>
      <w:r>
        <w:rPr>
          <w:rFonts w:hint="eastAsia" w:ascii="宋体" w:hAnsi="宋体"/>
          <w:sz w:val="24"/>
          <w:szCs w:val="24"/>
        </w:rPr>
        <w:t>本款补充第13.1.4和13.1.5项：</w:t>
      </w:r>
    </w:p>
    <w:p w14:paraId="0DFE13BB">
      <w:pPr>
        <w:wordWrap w:val="0"/>
        <w:spacing w:line="360" w:lineRule="auto"/>
        <w:ind w:firstLine="480" w:firstLineChars="200"/>
        <w:rPr>
          <w:rFonts w:hint="eastAsia" w:ascii="宋体" w:hAnsi="宋体"/>
          <w:sz w:val="24"/>
          <w:szCs w:val="24"/>
        </w:rPr>
      </w:pPr>
      <w:r>
        <w:rPr>
          <w:rFonts w:hint="eastAsia" w:ascii="宋体" w:hAnsi="宋体"/>
          <w:sz w:val="24"/>
          <w:szCs w:val="24"/>
        </w:rPr>
        <w:t>13.1.4发包人和成博爱人应严格遵守《关于严格落实公路工程质量责任制的若干意见》的相关规定，认真执行工程质量责任登记制度并按要求填写工程质量责任登记表。</w:t>
      </w:r>
    </w:p>
    <w:p w14:paraId="05DC1EEA">
      <w:pPr>
        <w:wordWrap w:val="0"/>
        <w:spacing w:line="360" w:lineRule="auto"/>
        <w:ind w:firstLine="480" w:firstLineChars="200"/>
        <w:rPr>
          <w:rFonts w:hint="eastAsia" w:ascii="宋体" w:hAnsi="宋体"/>
          <w:sz w:val="24"/>
          <w:szCs w:val="24"/>
        </w:rPr>
      </w:pPr>
      <w:r>
        <w:rPr>
          <w:rFonts w:hint="eastAsia" w:ascii="宋体" w:hAnsi="宋体"/>
          <w:sz w:val="24"/>
          <w:szCs w:val="24"/>
        </w:rPr>
        <w:t>13.1.5本项目严格执行质量责任追究制度。质量事故处理实行“四不放过”原则：事故原因调查不清不放过；事故责任者没有受到教育不放过；没有防范措施不放过；相关责任人没受到处理不放过。</w:t>
      </w:r>
    </w:p>
    <w:p w14:paraId="3619985C">
      <w:pPr>
        <w:wordWrap w:val="0"/>
        <w:spacing w:line="360" w:lineRule="auto"/>
        <w:ind w:firstLine="480" w:firstLineChars="200"/>
        <w:rPr>
          <w:rFonts w:hint="eastAsia" w:ascii="宋体" w:hAnsi="宋体"/>
          <w:sz w:val="24"/>
          <w:szCs w:val="24"/>
        </w:rPr>
      </w:pPr>
      <w:bookmarkStart w:id="567" w:name="_Toc234382890"/>
      <w:r>
        <w:rPr>
          <w:rFonts w:hint="eastAsia" w:ascii="宋体" w:hAnsi="宋体"/>
          <w:sz w:val="24"/>
          <w:szCs w:val="24"/>
        </w:rPr>
        <w:t>13．2承包人的质量管理</w:t>
      </w:r>
      <w:bookmarkEnd w:id="567"/>
    </w:p>
    <w:p w14:paraId="44DC8FD6">
      <w:pPr>
        <w:wordWrap w:val="0"/>
        <w:spacing w:line="360" w:lineRule="auto"/>
        <w:ind w:firstLine="480" w:firstLineChars="200"/>
        <w:rPr>
          <w:rFonts w:hint="eastAsia" w:ascii="宋体" w:hAnsi="宋体"/>
          <w:sz w:val="24"/>
          <w:szCs w:val="24"/>
        </w:rPr>
      </w:pPr>
      <w:r>
        <w:rPr>
          <w:rFonts w:hint="eastAsia" w:ascii="宋体" w:hAnsi="宋体"/>
          <w:sz w:val="24"/>
          <w:szCs w:val="24"/>
        </w:rPr>
        <w:t>第13.2.1项补充：</w:t>
      </w:r>
    </w:p>
    <w:p w14:paraId="2DEBF9FE">
      <w:pPr>
        <w:wordWrap w:val="0"/>
        <w:spacing w:line="360" w:lineRule="auto"/>
        <w:ind w:firstLine="480" w:firstLineChars="200"/>
        <w:rPr>
          <w:rFonts w:hint="eastAsia" w:ascii="宋体" w:hAnsi="宋体"/>
          <w:sz w:val="24"/>
          <w:szCs w:val="24"/>
        </w:rPr>
      </w:pPr>
      <w:r>
        <w:rPr>
          <w:rFonts w:hint="eastAsia" w:ascii="宋体" w:hAnsi="宋体"/>
          <w:sz w:val="24"/>
          <w:szCs w:val="24"/>
        </w:rPr>
        <w:t>承包人提交工程质量保证措施文件的期限：签订合同协议书后28天之内。</w:t>
      </w:r>
    </w:p>
    <w:p w14:paraId="04DB1324">
      <w:pPr>
        <w:wordWrap w:val="0"/>
        <w:spacing w:line="360" w:lineRule="auto"/>
        <w:ind w:firstLine="480" w:firstLineChars="200"/>
        <w:rPr>
          <w:rFonts w:hint="eastAsia" w:ascii="宋体" w:hAnsi="宋体"/>
          <w:sz w:val="24"/>
          <w:szCs w:val="24"/>
        </w:rPr>
      </w:pPr>
      <w:r>
        <w:rPr>
          <w:rFonts w:hint="eastAsia" w:ascii="宋体" w:hAnsi="宋体"/>
          <w:sz w:val="24"/>
          <w:szCs w:val="24"/>
        </w:rPr>
        <w:t>本款补充第13.2.3项～第13.2.6项：</w:t>
      </w:r>
    </w:p>
    <w:p w14:paraId="58B6A35B">
      <w:pPr>
        <w:wordWrap w:val="0"/>
        <w:spacing w:line="360" w:lineRule="auto"/>
        <w:ind w:firstLine="480" w:firstLineChars="200"/>
        <w:rPr>
          <w:rFonts w:hint="eastAsia" w:ascii="宋体" w:hAnsi="宋体"/>
          <w:sz w:val="24"/>
          <w:szCs w:val="24"/>
        </w:rPr>
      </w:pPr>
      <w:r>
        <w:rPr>
          <w:rFonts w:hint="eastAsia" w:ascii="宋体" w:hAnsi="宋体"/>
          <w:sz w:val="24"/>
          <w:szCs w:val="24"/>
        </w:rPr>
        <w:t>13.2.3承包人必须遵守国家有关法律、法规和规章，严格执行公路工程强制性技术标准、各类技术规范及规程，全面履行工程合同义务，依法对公路工程质量负责。</w:t>
      </w:r>
    </w:p>
    <w:p w14:paraId="29E7A74E">
      <w:pPr>
        <w:wordWrap w:val="0"/>
        <w:spacing w:line="360" w:lineRule="auto"/>
        <w:ind w:firstLine="480" w:firstLineChars="200"/>
        <w:rPr>
          <w:rFonts w:hint="eastAsia" w:ascii="宋体" w:hAnsi="宋体"/>
          <w:sz w:val="24"/>
          <w:szCs w:val="24"/>
        </w:rPr>
      </w:pPr>
      <w:r>
        <w:rPr>
          <w:rFonts w:hint="eastAsia" w:ascii="宋体" w:hAnsi="宋体"/>
          <w:sz w:val="24"/>
          <w:szCs w:val="24"/>
        </w:rPr>
        <w:t>13.2.4承包人应加强质量监控，确保规范规定的检验、抽检频率，现场质检的原始资料必须真实、准确、可靠，不得追记，接受质量检查时必须出示原始资料。</w:t>
      </w:r>
    </w:p>
    <w:p w14:paraId="2C97FC32">
      <w:pPr>
        <w:wordWrap w:val="0"/>
        <w:spacing w:line="360" w:lineRule="auto"/>
        <w:ind w:firstLine="480" w:firstLineChars="200"/>
        <w:rPr>
          <w:rFonts w:hint="eastAsia" w:ascii="宋体" w:hAnsi="宋体"/>
          <w:sz w:val="24"/>
          <w:szCs w:val="24"/>
        </w:rPr>
      </w:pPr>
      <w:r>
        <w:rPr>
          <w:rFonts w:hint="eastAsia" w:ascii="宋体" w:hAnsi="宋体"/>
          <w:sz w:val="24"/>
          <w:szCs w:val="24"/>
        </w:rPr>
        <w:t>13.2.5承包人必须完善检验手段，根据技术规范的规定配齐检测和试验仪器、仪表，并应及时校正确保其精度；根据合同要求加强工地试验室的管理；加强标准计量基础工作和材料检验工作，不得违规计量，不合格材料严禁用于本工程。</w:t>
      </w:r>
    </w:p>
    <w:p w14:paraId="7E1735CA">
      <w:pPr>
        <w:wordWrap w:val="0"/>
        <w:spacing w:line="360" w:lineRule="auto"/>
        <w:ind w:firstLine="480" w:firstLineChars="200"/>
        <w:rPr>
          <w:rFonts w:hint="eastAsia" w:ascii="宋体" w:hAnsi="宋体"/>
          <w:sz w:val="24"/>
          <w:szCs w:val="24"/>
        </w:rPr>
      </w:pPr>
      <w:r>
        <w:rPr>
          <w:rFonts w:hint="eastAsia" w:ascii="宋体" w:hAnsi="宋体"/>
          <w:sz w:val="24"/>
          <w:szCs w:val="24"/>
        </w:rPr>
        <w:t>13.2.6承包人驻工程现场机构应在现场驻地和汇总要的分部、分项工程施工现场设置明显的工程质量责任登记表公示牌。</w:t>
      </w:r>
    </w:p>
    <w:p w14:paraId="4DF686DF">
      <w:pPr>
        <w:wordWrap w:val="0"/>
        <w:spacing w:line="360" w:lineRule="auto"/>
        <w:ind w:firstLine="480" w:firstLineChars="200"/>
        <w:rPr>
          <w:rFonts w:hint="eastAsia" w:ascii="宋体" w:hAnsi="宋体"/>
          <w:sz w:val="24"/>
          <w:szCs w:val="24"/>
        </w:rPr>
      </w:pPr>
      <w:bookmarkStart w:id="568" w:name="_Toc234382891"/>
      <w:r>
        <w:rPr>
          <w:rFonts w:hint="eastAsia" w:ascii="宋体" w:hAnsi="宋体"/>
          <w:sz w:val="24"/>
          <w:szCs w:val="24"/>
        </w:rPr>
        <w:t>13．4监理人的质量检查</w:t>
      </w:r>
      <w:bookmarkEnd w:id="568"/>
    </w:p>
    <w:p w14:paraId="04A3A499">
      <w:pPr>
        <w:wordWrap w:val="0"/>
        <w:spacing w:line="360" w:lineRule="auto"/>
        <w:ind w:firstLine="480" w:firstLineChars="200"/>
        <w:rPr>
          <w:rFonts w:hint="eastAsia" w:ascii="宋体" w:hAnsi="宋体"/>
          <w:sz w:val="24"/>
          <w:szCs w:val="24"/>
        </w:rPr>
      </w:pPr>
      <w:r>
        <w:rPr>
          <w:rFonts w:hint="eastAsia" w:ascii="宋体" w:hAnsi="宋体"/>
          <w:sz w:val="24"/>
          <w:szCs w:val="24"/>
        </w:rPr>
        <w:t>本款补充：</w:t>
      </w:r>
    </w:p>
    <w:p w14:paraId="60509E67">
      <w:pPr>
        <w:wordWrap w:val="0"/>
        <w:spacing w:line="360" w:lineRule="auto"/>
        <w:ind w:firstLine="480" w:firstLineChars="200"/>
        <w:rPr>
          <w:rFonts w:hint="eastAsia" w:ascii="宋体" w:hAnsi="宋体"/>
          <w:sz w:val="24"/>
          <w:szCs w:val="24"/>
        </w:rPr>
      </w:pPr>
      <w:r>
        <w:rPr>
          <w:rFonts w:hint="eastAsia" w:ascii="宋体" w:hAnsi="宋体"/>
          <w:sz w:val="24"/>
          <w:szCs w:val="24"/>
        </w:rPr>
        <w:t>监理人及其委派的检验人员，应能进入工程现场，以及材料或工程设备的制造、加工或制配的车间和场所，包括不属于承包人的车间或场所进行检查，承包人应为此提供便利和协助。</w:t>
      </w:r>
    </w:p>
    <w:p w14:paraId="0C786D22">
      <w:pPr>
        <w:wordWrap w:val="0"/>
        <w:spacing w:line="360" w:lineRule="auto"/>
        <w:ind w:firstLine="480" w:firstLineChars="200"/>
        <w:rPr>
          <w:rFonts w:hint="eastAsia" w:ascii="宋体" w:hAnsi="宋体"/>
          <w:sz w:val="24"/>
          <w:szCs w:val="24"/>
        </w:rPr>
      </w:pPr>
      <w:r>
        <w:rPr>
          <w:rFonts w:hint="eastAsia" w:ascii="宋体" w:hAnsi="宋体"/>
          <w:sz w:val="24"/>
          <w:szCs w:val="24"/>
        </w:rPr>
        <w:t>监理人可以将材料或工程设备的检查委托给一家独立的有质量检验认证资格的检验单位。该独立检验单位的检验结果应视为监理人完成的。监理人应将这种委托的通知书不少于7天交给承包人。</w:t>
      </w:r>
    </w:p>
    <w:p w14:paraId="6A4E5720">
      <w:pPr>
        <w:wordWrap w:val="0"/>
        <w:spacing w:line="360" w:lineRule="auto"/>
        <w:ind w:firstLine="480" w:firstLineChars="200"/>
        <w:rPr>
          <w:rFonts w:hint="eastAsia" w:ascii="宋体" w:hAnsi="宋体"/>
          <w:sz w:val="24"/>
          <w:szCs w:val="24"/>
        </w:rPr>
      </w:pPr>
      <w:bookmarkStart w:id="569" w:name="_Toc234382893"/>
      <w:r>
        <w:rPr>
          <w:rFonts w:hint="eastAsia" w:ascii="宋体" w:hAnsi="宋体"/>
          <w:sz w:val="24"/>
          <w:szCs w:val="24"/>
        </w:rPr>
        <w:t>13．6清除不合格工程</w:t>
      </w:r>
      <w:bookmarkEnd w:id="569"/>
    </w:p>
    <w:p w14:paraId="30BA4F48">
      <w:pPr>
        <w:wordWrap w:val="0"/>
        <w:spacing w:line="360" w:lineRule="auto"/>
        <w:ind w:firstLine="480" w:firstLineChars="200"/>
        <w:rPr>
          <w:rFonts w:hint="eastAsia" w:ascii="宋体" w:hAnsi="宋体"/>
          <w:sz w:val="24"/>
          <w:szCs w:val="24"/>
        </w:rPr>
      </w:pPr>
      <w:r>
        <w:rPr>
          <w:rFonts w:hint="eastAsia" w:ascii="宋体" w:hAnsi="宋体"/>
          <w:sz w:val="24"/>
          <w:szCs w:val="24"/>
        </w:rPr>
        <w:t>第13.6.1项细化为：</w:t>
      </w:r>
    </w:p>
    <w:p w14:paraId="61755D91">
      <w:pPr>
        <w:wordWrap w:val="0"/>
        <w:spacing w:line="360" w:lineRule="auto"/>
        <w:ind w:firstLine="480" w:firstLineChars="200"/>
        <w:rPr>
          <w:rFonts w:hint="eastAsia" w:ascii="宋体" w:hAnsi="宋体"/>
          <w:sz w:val="24"/>
          <w:szCs w:val="24"/>
        </w:rPr>
      </w:pPr>
      <w:r>
        <w:rPr>
          <w:rFonts w:hint="eastAsia" w:ascii="宋体" w:hAnsi="宋体"/>
          <w:sz w:val="24"/>
          <w:szCs w:val="24"/>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E578DC4">
      <w:pPr>
        <w:wordWrap w:val="0"/>
        <w:spacing w:line="360" w:lineRule="auto"/>
        <w:ind w:firstLine="480" w:firstLineChars="200"/>
        <w:rPr>
          <w:rFonts w:hint="eastAsia" w:ascii="宋体" w:hAnsi="宋体"/>
          <w:sz w:val="24"/>
          <w:szCs w:val="24"/>
        </w:rPr>
      </w:pPr>
      <w:r>
        <w:rPr>
          <w:rFonts w:hint="eastAsia" w:ascii="宋体" w:hAnsi="宋体"/>
          <w:sz w:val="24"/>
          <w:szCs w:val="24"/>
        </w:rPr>
        <w:t>（2）如果承包人未在规定时间内执行监理人的指示，发包人有权雇用他人执行，由此增加的费用和（或）工期延误由承包人承担。</w:t>
      </w:r>
    </w:p>
    <w:p w14:paraId="37FDA5FD">
      <w:pPr>
        <w:wordWrap w:val="0"/>
        <w:spacing w:line="360" w:lineRule="auto"/>
        <w:ind w:firstLine="480" w:firstLineChars="200"/>
        <w:rPr>
          <w:rFonts w:hint="eastAsia" w:ascii="宋体" w:hAnsi="宋体"/>
          <w:sz w:val="24"/>
          <w:szCs w:val="24"/>
        </w:rPr>
      </w:pPr>
      <w:bookmarkStart w:id="570" w:name="_Toc234382894"/>
      <w:r>
        <w:rPr>
          <w:rFonts w:hint="eastAsia" w:ascii="宋体" w:hAnsi="宋体"/>
          <w:sz w:val="24"/>
          <w:szCs w:val="24"/>
        </w:rPr>
        <w:t>14．试验和检验</w:t>
      </w:r>
      <w:bookmarkEnd w:id="570"/>
    </w:p>
    <w:p w14:paraId="33EB246E">
      <w:pPr>
        <w:wordWrap w:val="0"/>
        <w:spacing w:line="360" w:lineRule="auto"/>
        <w:ind w:firstLine="480" w:firstLineChars="200"/>
        <w:rPr>
          <w:rFonts w:hint="eastAsia" w:ascii="宋体" w:hAnsi="宋体"/>
          <w:sz w:val="24"/>
          <w:szCs w:val="24"/>
        </w:rPr>
      </w:pPr>
      <w:r>
        <w:rPr>
          <w:rFonts w:hint="eastAsia" w:ascii="宋体" w:hAnsi="宋体"/>
          <w:sz w:val="24"/>
          <w:szCs w:val="24"/>
        </w:rPr>
        <w:t>补充第14.4款：</w:t>
      </w:r>
    </w:p>
    <w:p w14:paraId="0641CE82">
      <w:pPr>
        <w:wordWrap w:val="0"/>
        <w:spacing w:line="360" w:lineRule="auto"/>
        <w:ind w:firstLine="480" w:firstLineChars="200"/>
        <w:rPr>
          <w:rFonts w:hint="eastAsia" w:ascii="宋体" w:hAnsi="宋体"/>
          <w:sz w:val="24"/>
          <w:szCs w:val="24"/>
        </w:rPr>
      </w:pPr>
      <w:bookmarkStart w:id="571" w:name="_Toc234382895"/>
      <w:r>
        <w:rPr>
          <w:rFonts w:hint="eastAsia" w:ascii="宋体" w:hAnsi="宋体"/>
          <w:sz w:val="24"/>
          <w:szCs w:val="24"/>
        </w:rPr>
        <w:t>14．4试验和检验费用</w:t>
      </w:r>
      <w:bookmarkEnd w:id="571"/>
    </w:p>
    <w:p w14:paraId="7986E1A5">
      <w:pPr>
        <w:wordWrap w:val="0"/>
        <w:spacing w:line="360" w:lineRule="auto"/>
        <w:ind w:firstLine="480" w:firstLineChars="200"/>
        <w:rPr>
          <w:rFonts w:hint="eastAsia" w:ascii="宋体" w:hAnsi="宋体"/>
          <w:sz w:val="24"/>
          <w:szCs w:val="24"/>
        </w:rPr>
      </w:pPr>
      <w:r>
        <w:rPr>
          <w:rFonts w:hint="eastAsia" w:ascii="宋体" w:hAnsi="宋体"/>
          <w:sz w:val="24"/>
          <w:szCs w:val="24"/>
        </w:rPr>
        <w:t>（1）承包人应负责提供合同和技术规范规定的试验和检验所需的全部样品，并承担其费用。</w:t>
      </w:r>
    </w:p>
    <w:p w14:paraId="6DF44369">
      <w:pPr>
        <w:wordWrap w:val="0"/>
        <w:spacing w:line="360" w:lineRule="auto"/>
        <w:ind w:firstLine="480" w:firstLineChars="200"/>
        <w:rPr>
          <w:rFonts w:hint="eastAsia" w:ascii="宋体" w:hAnsi="宋体"/>
          <w:sz w:val="24"/>
          <w:szCs w:val="24"/>
        </w:rPr>
      </w:pPr>
      <w:r>
        <w:rPr>
          <w:rFonts w:hint="eastAsia" w:ascii="宋体" w:hAnsi="宋体"/>
          <w:sz w:val="24"/>
          <w:szCs w:val="24"/>
        </w:rPr>
        <w:t>（2）在合同中明确规定的试验和检验，包括无须在工程量清单中单独列项和已在工程量清单中单独列项的试验和检验，其试验和检验的费用由承包人承担。</w:t>
      </w:r>
    </w:p>
    <w:p w14:paraId="020DEFD3">
      <w:pPr>
        <w:wordWrap w:val="0"/>
        <w:spacing w:line="360" w:lineRule="auto"/>
        <w:ind w:firstLine="480" w:firstLineChars="200"/>
        <w:rPr>
          <w:rFonts w:hint="eastAsia" w:ascii="宋体" w:hAnsi="宋体"/>
          <w:sz w:val="24"/>
          <w:szCs w:val="24"/>
        </w:rPr>
      </w:pPr>
      <w:r>
        <w:rPr>
          <w:rFonts w:hint="eastAsia" w:ascii="宋体" w:hAnsi="宋体"/>
          <w:sz w:val="24"/>
          <w:szCs w:val="24"/>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14:paraId="11950804">
      <w:pPr>
        <w:wordWrap w:val="0"/>
        <w:spacing w:line="360" w:lineRule="auto"/>
        <w:ind w:firstLine="480" w:firstLineChars="200"/>
        <w:rPr>
          <w:rFonts w:hint="eastAsia" w:ascii="宋体" w:hAnsi="宋体"/>
          <w:sz w:val="24"/>
          <w:szCs w:val="24"/>
        </w:rPr>
      </w:pPr>
      <w:bookmarkStart w:id="572" w:name="_Toc234382896"/>
      <w:r>
        <w:rPr>
          <w:rFonts w:hint="eastAsia" w:ascii="宋体" w:hAnsi="宋体"/>
          <w:sz w:val="24"/>
          <w:szCs w:val="24"/>
        </w:rPr>
        <w:t>15．变更</w:t>
      </w:r>
      <w:bookmarkEnd w:id="572"/>
    </w:p>
    <w:p w14:paraId="6F16FC23">
      <w:pPr>
        <w:wordWrap w:val="0"/>
        <w:spacing w:line="360" w:lineRule="auto"/>
        <w:ind w:firstLine="480" w:firstLineChars="200"/>
        <w:rPr>
          <w:rFonts w:hint="eastAsia" w:ascii="宋体" w:hAnsi="宋体"/>
          <w:sz w:val="24"/>
          <w:szCs w:val="24"/>
        </w:rPr>
      </w:pPr>
      <w:bookmarkStart w:id="573" w:name="_Toc234382897"/>
      <w:r>
        <w:rPr>
          <w:rFonts w:hint="eastAsia" w:ascii="宋体" w:hAnsi="宋体"/>
          <w:sz w:val="24"/>
          <w:szCs w:val="24"/>
        </w:rPr>
        <w:t>15．1变更的范围和内容</w:t>
      </w:r>
      <w:bookmarkEnd w:id="573"/>
    </w:p>
    <w:p w14:paraId="66E2FCFF">
      <w:pPr>
        <w:wordWrap w:val="0"/>
        <w:spacing w:line="360" w:lineRule="auto"/>
        <w:ind w:firstLine="480" w:firstLineChars="200"/>
        <w:rPr>
          <w:rFonts w:hint="eastAsia" w:ascii="宋体" w:hAnsi="宋体"/>
          <w:sz w:val="24"/>
          <w:szCs w:val="24"/>
        </w:rPr>
      </w:pPr>
      <w:r>
        <w:rPr>
          <w:rFonts w:hint="eastAsia" w:ascii="宋体" w:hAnsi="宋体"/>
          <w:sz w:val="24"/>
          <w:szCs w:val="24"/>
        </w:rPr>
        <w:t>本款第（1）项细化为：</w:t>
      </w:r>
    </w:p>
    <w:p w14:paraId="6D26BC4B">
      <w:pPr>
        <w:wordWrap w:val="0"/>
        <w:spacing w:line="360" w:lineRule="auto"/>
        <w:ind w:firstLine="480" w:firstLineChars="200"/>
        <w:rPr>
          <w:rFonts w:hint="eastAsia" w:ascii="宋体" w:hAnsi="宋体"/>
          <w:sz w:val="24"/>
          <w:szCs w:val="24"/>
        </w:rPr>
      </w:pPr>
      <w:r>
        <w:rPr>
          <w:rFonts w:hint="eastAsia" w:ascii="宋体" w:hAnsi="宋体"/>
          <w:sz w:val="24"/>
          <w:szCs w:val="24"/>
        </w:rPr>
        <w:t>（1）取消合同中任何一项工作，但被取消的工作不能转由发包人或其他人实施，由于承包人违约造成的情况除外；</w:t>
      </w:r>
    </w:p>
    <w:p w14:paraId="2BAB42A8">
      <w:pPr>
        <w:wordWrap w:val="0"/>
        <w:spacing w:line="360" w:lineRule="auto"/>
        <w:ind w:firstLine="480" w:firstLineChars="200"/>
        <w:rPr>
          <w:rFonts w:hint="eastAsia" w:ascii="宋体" w:hAnsi="宋体"/>
          <w:sz w:val="24"/>
          <w:szCs w:val="24"/>
        </w:rPr>
      </w:pPr>
      <w:bookmarkStart w:id="574" w:name="_Toc234382898"/>
      <w:r>
        <w:rPr>
          <w:rFonts w:hint="eastAsia" w:ascii="宋体" w:hAnsi="宋体"/>
          <w:sz w:val="24"/>
          <w:szCs w:val="24"/>
        </w:rPr>
        <w:t>15．3变更程序</w:t>
      </w:r>
      <w:bookmarkEnd w:id="574"/>
    </w:p>
    <w:p w14:paraId="3E3F8CAE">
      <w:pPr>
        <w:wordWrap w:val="0"/>
        <w:spacing w:line="360" w:lineRule="auto"/>
        <w:ind w:firstLine="480" w:firstLineChars="200"/>
        <w:rPr>
          <w:rFonts w:hint="eastAsia" w:ascii="宋体" w:hAnsi="宋体"/>
          <w:sz w:val="24"/>
          <w:szCs w:val="24"/>
        </w:rPr>
      </w:pPr>
      <w:r>
        <w:rPr>
          <w:rFonts w:hint="eastAsia" w:ascii="宋体" w:hAnsi="宋体"/>
          <w:sz w:val="24"/>
          <w:szCs w:val="24"/>
        </w:rPr>
        <w:t>本款补充第15.3.4项：</w:t>
      </w:r>
    </w:p>
    <w:p w14:paraId="13491DE0">
      <w:pPr>
        <w:wordWrap w:val="0"/>
        <w:spacing w:line="360" w:lineRule="auto"/>
        <w:ind w:firstLine="480" w:firstLineChars="200"/>
        <w:rPr>
          <w:rFonts w:hint="eastAsia" w:ascii="宋体" w:hAnsi="宋体"/>
          <w:sz w:val="24"/>
          <w:szCs w:val="24"/>
        </w:rPr>
      </w:pPr>
      <w:r>
        <w:rPr>
          <w:rFonts w:hint="eastAsia" w:ascii="宋体" w:hAnsi="宋体"/>
          <w:sz w:val="24"/>
          <w:szCs w:val="24"/>
        </w:rPr>
        <w:t>15.3.4设计变更程序应执行《公路工程设计变更管理办法》的相关规定。</w:t>
      </w:r>
    </w:p>
    <w:p w14:paraId="2B6FF668">
      <w:pPr>
        <w:wordWrap w:val="0"/>
        <w:spacing w:line="360" w:lineRule="auto"/>
        <w:ind w:firstLine="480" w:firstLineChars="200"/>
        <w:rPr>
          <w:rFonts w:hint="eastAsia" w:ascii="宋体" w:hAnsi="宋体"/>
          <w:sz w:val="24"/>
          <w:szCs w:val="24"/>
        </w:rPr>
      </w:pPr>
      <w:bookmarkStart w:id="575" w:name="_Toc234382899"/>
      <w:r>
        <w:rPr>
          <w:rFonts w:hint="eastAsia" w:ascii="宋体" w:hAnsi="宋体"/>
          <w:sz w:val="24"/>
          <w:szCs w:val="24"/>
        </w:rPr>
        <w:t>15．4变更的估价原则</w:t>
      </w:r>
      <w:bookmarkEnd w:id="575"/>
    </w:p>
    <w:p w14:paraId="6D3FBCC9">
      <w:pPr>
        <w:wordWrap w:val="0"/>
        <w:spacing w:line="360" w:lineRule="auto"/>
        <w:ind w:firstLine="480" w:firstLineChars="200"/>
        <w:rPr>
          <w:rFonts w:hint="eastAsia" w:ascii="宋体" w:hAnsi="宋体"/>
          <w:sz w:val="24"/>
          <w:szCs w:val="24"/>
        </w:rPr>
      </w:pPr>
      <w:r>
        <w:rPr>
          <w:rFonts w:hint="eastAsia" w:ascii="宋体" w:hAnsi="宋体"/>
          <w:sz w:val="24"/>
          <w:szCs w:val="24"/>
        </w:rPr>
        <w:t>本款细化为</w:t>
      </w:r>
    </w:p>
    <w:p w14:paraId="49607E98">
      <w:pPr>
        <w:wordWrap w:val="0"/>
        <w:spacing w:line="360" w:lineRule="auto"/>
        <w:ind w:firstLine="480" w:firstLineChars="200"/>
        <w:rPr>
          <w:rFonts w:hint="eastAsia" w:ascii="宋体" w:hAnsi="宋体"/>
          <w:sz w:val="24"/>
          <w:szCs w:val="24"/>
        </w:rPr>
      </w:pPr>
      <w:r>
        <w:rPr>
          <w:rFonts w:hint="eastAsia" w:ascii="宋体" w:hAnsi="宋体"/>
          <w:sz w:val="24"/>
          <w:szCs w:val="24"/>
        </w:rPr>
        <w:t>除项目专用合同条款另有约定外，因变更引起的价格调整按照本款约定处理。</w:t>
      </w:r>
    </w:p>
    <w:p w14:paraId="1D85FF9E">
      <w:pPr>
        <w:wordWrap w:val="0"/>
        <w:spacing w:line="360" w:lineRule="auto"/>
        <w:ind w:firstLine="480" w:firstLineChars="200"/>
        <w:rPr>
          <w:rFonts w:hint="eastAsia" w:ascii="宋体" w:hAnsi="宋体"/>
          <w:sz w:val="24"/>
          <w:szCs w:val="24"/>
        </w:rPr>
      </w:pPr>
      <w:r>
        <w:rPr>
          <w:rFonts w:hint="eastAsia" w:ascii="宋体" w:hAnsi="宋体"/>
          <w:sz w:val="24"/>
          <w:szCs w:val="24"/>
        </w:rPr>
        <w:t>15.4.1如果取消某项工作，则该项工作的总额价不予以支付；</w:t>
      </w:r>
    </w:p>
    <w:p w14:paraId="2C609354">
      <w:pPr>
        <w:wordWrap w:val="0"/>
        <w:spacing w:line="360" w:lineRule="auto"/>
        <w:ind w:firstLine="480" w:firstLineChars="200"/>
        <w:rPr>
          <w:rFonts w:hint="eastAsia" w:ascii="宋体" w:hAnsi="宋体"/>
          <w:sz w:val="24"/>
          <w:szCs w:val="24"/>
        </w:rPr>
      </w:pPr>
      <w:r>
        <w:rPr>
          <w:rFonts w:hint="eastAsia" w:ascii="宋体" w:hAnsi="宋体"/>
          <w:sz w:val="24"/>
          <w:szCs w:val="24"/>
        </w:rPr>
        <w:t>15.4.2已标价工程量清单中有适用于变更工作的子目的，采用该子目的单价。</w:t>
      </w:r>
    </w:p>
    <w:p w14:paraId="66BC9ABE">
      <w:pPr>
        <w:wordWrap w:val="0"/>
        <w:spacing w:line="360" w:lineRule="auto"/>
        <w:ind w:firstLine="480" w:firstLineChars="200"/>
        <w:rPr>
          <w:rFonts w:hint="eastAsia" w:ascii="宋体" w:hAnsi="宋体"/>
          <w:sz w:val="24"/>
          <w:szCs w:val="24"/>
        </w:rPr>
      </w:pPr>
      <w:r>
        <w:rPr>
          <w:rFonts w:hint="eastAsia" w:ascii="宋体" w:hAnsi="宋体"/>
          <w:sz w:val="24"/>
          <w:szCs w:val="24"/>
        </w:rPr>
        <w:t>15.4.3已标价工程量清单中无适用于变更工作的子目，但有类似子目的，可在合理范围内参照类似子目的单价，由监理人按第3.5款商定或确定变更工作的单价。</w:t>
      </w:r>
    </w:p>
    <w:p w14:paraId="0D049962">
      <w:pPr>
        <w:wordWrap w:val="0"/>
        <w:spacing w:line="360" w:lineRule="auto"/>
        <w:ind w:firstLine="480" w:firstLineChars="200"/>
        <w:rPr>
          <w:rFonts w:hint="eastAsia" w:ascii="宋体" w:hAnsi="宋体"/>
          <w:sz w:val="24"/>
          <w:szCs w:val="24"/>
        </w:rPr>
      </w:pPr>
      <w:r>
        <w:rPr>
          <w:rFonts w:hint="eastAsia" w:ascii="宋体" w:hAnsi="宋体"/>
          <w:sz w:val="24"/>
          <w:szCs w:val="24"/>
        </w:rPr>
        <w:t>15.4.4已标价工程量清单中无适用或类似子目的单价，可在综合考虑承包人在投标时所提供的单价分析表的基础上，由监理人按第3.5款商定或确定变更工作的单价。</w:t>
      </w:r>
    </w:p>
    <w:p w14:paraId="522DF141">
      <w:pPr>
        <w:wordWrap w:val="0"/>
        <w:spacing w:line="360" w:lineRule="auto"/>
        <w:ind w:firstLine="480" w:firstLineChars="200"/>
        <w:rPr>
          <w:rFonts w:hint="eastAsia" w:ascii="宋体" w:hAnsi="宋体"/>
          <w:sz w:val="24"/>
          <w:szCs w:val="24"/>
        </w:rPr>
      </w:pPr>
      <w:r>
        <w:rPr>
          <w:rFonts w:hint="eastAsia" w:ascii="宋体" w:hAnsi="宋体"/>
          <w:sz w:val="24"/>
          <w:szCs w:val="24"/>
        </w:rPr>
        <w:t>15.4.5如果本工程的变更指示是因承包人过错、承包人建反合同或承包人责任造成的，则这种违约引起的任何额外费用应由承包人承担。</w:t>
      </w:r>
    </w:p>
    <w:p w14:paraId="7AB4E592">
      <w:pPr>
        <w:wordWrap w:val="0"/>
        <w:spacing w:line="360" w:lineRule="auto"/>
        <w:ind w:firstLine="480" w:firstLineChars="200"/>
        <w:rPr>
          <w:rFonts w:hint="eastAsia" w:ascii="宋体" w:hAnsi="宋体"/>
          <w:sz w:val="24"/>
          <w:szCs w:val="24"/>
        </w:rPr>
      </w:pPr>
      <w:bookmarkStart w:id="576" w:name="_Toc234382900"/>
      <w:r>
        <w:rPr>
          <w:rFonts w:hint="eastAsia" w:ascii="宋体" w:hAnsi="宋体"/>
          <w:sz w:val="24"/>
          <w:szCs w:val="24"/>
        </w:rPr>
        <w:t>15.5承包人的合理化建议</w:t>
      </w:r>
      <w:bookmarkEnd w:id="576"/>
    </w:p>
    <w:p w14:paraId="3D1EDCDC">
      <w:pPr>
        <w:wordWrap w:val="0"/>
        <w:spacing w:line="360" w:lineRule="auto"/>
        <w:ind w:firstLine="480" w:firstLineChars="200"/>
        <w:rPr>
          <w:rFonts w:hint="eastAsia" w:ascii="宋体" w:hAnsi="宋体"/>
          <w:sz w:val="24"/>
          <w:szCs w:val="24"/>
        </w:rPr>
      </w:pPr>
      <w:r>
        <w:rPr>
          <w:rFonts w:hint="eastAsia" w:ascii="宋体" w:hAnsi="宋体"/>
          <w:sz w:val="24"/>
          <w:szCs w:val="24"/>
        </w:rPr>
        <w:t>第15.5.2项约定为：</w:t>
      </w:r>
    </w:p>
    <w:p w14:paraId="1FCD7B27">
      <w:pPr>
        <w:wordWrap w:val="0"/>
        <w:spacing w:line="360" w:lineRule="auto"/>
        <w:ind w:firstLine="480" w:firstLineChars="200"/>
        <w:rPr>
          <w:rFonts w:hint="eastAsia" w:ascii="宋体" w:hAnsi="宋体"/>
          <w:sz w:val="24"/>
          <w:szCs w:val="24"/>
        </w:rPr>
      </w:pPr>
      <w:r>
        <w:rPr>
          <w:rFonts w:hint="eastAsia" w:ascii="宋体" w:hAnsi="宋体"/>
          <w:sz w:val="24"/>
          <w:szCs w:val="24"/>
        </w:rPr>
        <w:t>承包人提出的合理化建议缩短了工期，发包人按第11.6款的规定给予奖励。</w:t>
      </w:r>
    </w:p>
    <w:p w14:paraId="456A4F88">
      <w:pPr>
        <w:wordWrap w:val="0"/>
        <w:spacing w:line="360" w:lineRule="auto"/>
        <w:ind w:firstLine="480" w:firstLineChars="200"/>
        <w:rPr>
          <w:rFonts w:hint="eastAsia" w:ascii="宋体" w:hAnsi="宋体"/>
          <w:sz w:val="24"/>
          <w:szCs w:val="24"/>
        </w:rPr>
      </w:pPr>
      <w:r>
        <w:rPr>
          <w:rFonts w:hint="eastAsia" w:ascii="宋体" w:hAnsi="宋体"/>
          <w:sz w:val="24"/>
          <w:szCs w:val="24"/>
        </w:rPr>
        <w:t>承包人提出的合理化建议降低了合同价格或者提高了工程经济效益的，发包人按项目专用合同条款数据表中规定的金额给予奖励。</w:t>
      </w:r>
    </w:p>
    <w:p w14:paraId="6D5F1737">
      <w:pPr>
        <w:wordWrap w:val="0"/>
        <w:spacing w:line="360" w:lineRule="auto"/>
        <w:ind w:firstLine="480" w:firstLineChars="200"/>
        <w:rPr>
          <w:rFonts w:hint="eastAsia" w:ascii="宋体" w:hAnsi="宋体"/>
          <w:sz w:val="24"/>
          <w:szCs w:val="24"/>
        </w:rPr>
      </w:pPr>
      <w:bookmarkStart w:id="577" w:name="_Toc234382901"/>
      <w:r>
        <w:rPr>
          <w:rFonts w:hint="eastAsia" w:ascii="宋体" w:hAnsi="宋体"/>
          <w:sz w:val="24"/>
          <w:szCs w:val="24"/>
        </w:rPr>
        <w:t>15.6暂列金额</w:t>
      </w:r>
      <w:bookmarkEnd w:id="577"/>
    </w:p>
    <w:p w14:paraId="055CE715">
      <w:pPr>
        <w:wordWrap w:val="0"/>
        <w:spacing w:line="360" w:lineRule="auto"/>
        <w:ind w:firstLine="480" w:firstLineChars="200"/>
        <w:rPr>
          <w:rFonts w:hint="eastAsia" w:ascii="宋体" w:hAnsi="宋体"/>
          <w:sz w:val="24"/>
          <w:szCs w:val="24"/>
        </w:rPr>
      </w:pPr>
      <w:r>
        <w:rPr>
          <w:rFonts w:hint="eastAsia" w:ascii="宋体" w:hAnsi="宋体"/>
          <w:sz w:val="24"/>
          <w:szCs w:val="24"/>
        </w:rPr>
        <w:t>本款细化为：</w:t>
      </w:r>
    </w:p>
    <w:p w14:paraId="0154A852">
      <w:pPr>
        <w:wordWrap w:val="0"/>
        <w:spacing w:line="360" w:lineRule="auto"/>
        <w:ind w:firstLine="480" w:firstLineChars="200"/>
        <w:rPr>
          <w:rFonts w:hint="eastAsia" w:ascii="宋体" w:hAnsi="宋体"/>
          <w:sz w:val="24"/>
          <w:szCs w:val="24"/>
        </w:rPr>
      </w:pPr>
      <w:r>
        <w:rPr>
          <w:rFonts w:hint="eastAsia" w:ascii="宋体" w:hAnsi="宋体"/>
          <w:sz w:val="24"/>
          <w:szCs w:val="24"/>
        </w:rPr>
        <w:t>15.6.l暂列金额应由监理人报发包人批准后指令全部或部分地使用，或者根本不予动用。</w:t>
      </w:r>
    </w:p>
    <w:p w14:paraId="0C4952A7">
      <w:pPr>
        <w:wordWrap w:val="0"/>
        <w:spacing w:line="360" w:lineRule="auto"/>
        <w:ind w:firstLine="480" w:firstLineChars="200"/>
        <w:rPr>
          <w:rFonts w:hint="eastAsia" w:ascii="宋体" w:hAnsi="宋体"/>
          <w:sz w:val="24"/>
          <w:szCs w:val="24"/>
        </w:rPr>
      </w:pPr>
      <w:r>
        <w:rPr>
          <w:rFonts w:hint="eastAsia" w:ascii="宋体" w:hAnsi="宋体"/>
          <w:sz w:val="24"/>
          <w:szCs w:val="24"/>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633A40BD">
      <w:pPr>
        <w:wordWrap w:val="0"/>
        <w:spacing w:line="360" w:lineRule="auto"/>
        <w:ind w:firstLine="480" w:firstLineChars="200"/>
        <w:rPr>
          <w:rFonts w:hint="eastAsia" w:ascii="宋体" w:hAnsi="宋体"/>
          <w:sz w:val="24"/>
          <w:szCs w:val="24"/>
        </w:rPr>
      </w:pPr>
      <w:r>
        <w:rPr>
          <w:rFonts w:hint="eastAsia" w:ascii="宋体" w:hAnsi="宋体"/>
          <w:sz w:val="24"/>
          <w:szCs w:val="24"/>
        </w:rPr>
        <w:t>15.6.3当监理人提出要求时，承包人应提供有关暂列金额支出的所有报价单、发票、凭证和账单或收据，除非该工作是根据已标价工程量清单列明的单价或总额价进行的估价。</w:t>
      </w:r>
    </w:p>
    <w:p w14:paraId="35A48EB1">
      <w:pPr>
        <w:wordWrap w:val="0"/>
        <w:spacing w:line="360" w:lineRule="auto"/>
        <w:ind w:firstLine="480" w:firstLineChars="200"/>
        <w:rPr>
          <w:rFonts w:hint="eastAsia" w:ascii="宋体" w:hAnsi="宋体"/>
          <w:sz w:val="24"/>
          <w:szCs w:val="24"/>
        </w:rPr>
      </w:pPr>
      <w:bookmarkStart w:id="578" w:name="_Toc234382902"/>
      <w:r>
        <w:rPr>
          <w:rFonts w:hint="eastAsia" w:ascii="宋体" w:hAnsi="宋体"/>
          <w:sz w:val="24"/>
          <w:szCs w:val="24"/>
        </w:rPr>
        <w:t>16.价格调整</w:t>
      </w:r>
      <w:bookmarkEnd w:id="578"/>
    </w:p>
    <w:p w14:paraId="3504477B">
      <w:pPr>
        <w:wordWrap w:val="0"/>
        <w:spacing w:line="360" w:lineRule="auto"/>
        <w:ind w:firstLine="480" w:firstLineChars="200"/>
        <w:rPr>
          <w:rFonts w:hint="eastAsia" w:ascii="宋体" w:hAnsi="宋体"/>
          <w:sz w:val="24"/>
          <w:szCs w:val="24"/>
        </w:rPr>
      </w:pPr>
      <w:bookmarkStart w:id="579" w:name="_Toc234382903"/>
      <w:r>
        <w:rPr>
          <w:rFonts w:hint="eastAsia" w:ascii="宋体" w:hAnsi="宋体"/>
          <w:sz w:val="24"/>
          <w:szCs w:val="24"/>
        </w:rPr>
        <w:t>16.1物价波动引起的价格调整</w:t>
      </w:r>
      <w:bookmarkEnd w:id="579"/>
    </w:p>
    <w:p w14:paraId="0F056137">
      <w:pPr>
        <w:wordWrap w:val="0"/>
        <w:spacing w:line="360" w:lineRule="auto"/>
        <w:ind w:firstLine="480" w:firstLineChars="200"/>
        <w:rPr>
          <w:rFonts w:hint="eastAsia" w:ascii="宋体" w:hAnsi="宋体"/>
          <w:sz w:val="24"/>
          <w:szCs w:val="24"/>
        </w:rPr>
      </w:pPr>
      <w:r>
        <w:rPr>
          <w:rFonts w:hint="eastAsia" w:ascii="宋体" w:hAnsi="宋体"/>
          <w:sz w:val="24"/>
          <w:szCs w:val="24"/>
        </w:rPr>
        <w:t>本款约定为：</w:t>
      </w:r>
    </w:p>
    <w:p w14:paraId="6806E7B0">
      <w:pPr>
        <w:wordWrap w:val="0"/>
        <w:spacing w:line="360" w:lineRule="auto"/>
        <w:ind w:firstLine="480" w:firstLineChars="200"/>
        <w:rPr>
          <w:rFonts w:hint="eastAsia" w:ascii="宋体" w:hAnsi="宋体"/>
          <w:sz w:val="24"/>
          <w:szCs w:val="24"/>
        </w:rPr>
      </w:pPr>
      <w:r>
        <w:rPr>
          <w:rFonts w:hint="eastAsia" w:ascii="宋体" w:hAnsi="宋体"/>
          <w:sz w:val="24"/>
          <w:szCs w:val="24"/>
        </w:rPr>
        <w:t>（1）除项目专用合同条款另有约定外，因物价波动引起的价格调整应按项目专用合同条款数据表的规定，按照第16.1.1项或第16.1.2项约定的原则处理；或者</w:t>
      </w:r>
    </w:p>
    <w:p w14:paraId="75DFF489">
      <w:pPr>
        <w:wordWrap w:val="0"/>
        <w:spacing w:line="360" w:lineRule="auto"/>
        <w:ind w:firstLine="480" w:firstLineChars="200"/>
        <w:rPr>
          <w:rFonts w:hint="eastAsia" w:ascii="宋体" w:hAnsi="宋体"/>
          <w:sz w:val="24"/>
          <w:szCs w:val="24"/>
        </w:rPr>
      </w:pPr>
      <w:r>
        <w:rPr>
          <w:rFonts w:hint="eastAsia" w:ascii="宋体" w:hAnsi="宋体"/>
          <w:sz w:val="24"/>
          <w:szCs w:val="24"/>
        </w:rPr>
        <w:t>（2）在合同执行期间（包括工期拖延期间），由于人工、材料和设备价格的上涨而引起工程施工成本增加的风险由承包人自行承担，合同价格不会因此而调整。</w:t>
      </w:r>
    </w:p>
    <w:p w14:paraId="476C8784">
      <w:pPr>
        <w:wordWrap w:val="0"/>
        <w:spacing w:line="360" w:lineRule="auto"/>
        <w:ind w:firstLine="480" w:firstLineChars="200"/>
        <w:rPr>
          <w:rFonts w:hint="eastAsia" w:ascii="宋体" w:hAnsi="宋体"/>
          <w:sz w:val="24"/>
          <w:szCs w:val="24"/>
        </w:rPr>
      </w:pPr>
      <w:r>
        <w:rPr>
          <w:rFonts w:hint="eastAsia" w:ascii="宋体" w:hAnsi="宋体"/>
          <w:sz w:val="24"/>
          <w:szCs w:val="24"/>
        </w:rPr>
        <w:t>16.1.1采用价格指数调整价格差额</w:t>
      </w:r>
    </w:p>
    <w:p w14:paraId="1A4782CB">
      <w:pPr>
        <w:wordWrap w:val="0"/>
        <w:spacing w:line="360" w:lineRule="auto"/>
        <w:ind w:firstLine="480" w:firstLineChars="200"/>
        <w:rPr>
          <w:rFonts w:hint="eastAsia" w:ascii="宋体" w:hAnsi="宋体"/>
          <w:sz w:val="24"/>
          <w:szCs w:val="24"/>
        </w:rPr>
      </w:pPr>
      <w:r>
        <w:rPr>
          <w:rFonts w:hint="eastAsia" w:ascii="宋体" w:hAnsi="宋体"/>
          <w:sz w:val="24"/>
          <w:szCs w:val="24"/>
        </w:rPr>
        <w:t>16.1.1价格调整公式</w:t>
      </w:r>
    </w:p>
    <w:p w14:paraId="1F0A5FC2">
      <w:pPr>
        <w:wordWrap w:val="0"/>
        <w:spacing w:line="360" w:lineRule="auto"/>
        <w:ind w:firstLine="480" w:firstLineChars="200"/>
        <w:rPr>
          <w:rFonts w:hint="eastAsia" w:ascii="宋体" w:hAnsi="宋体"/>
          <w:sz w:val="24"/>
          <w:szCs w:val="24"/>
        </w:rPr>
      </w:pPr>
      <w:r>
        <w:rPr>
          <w:rFonts w:hint="eastAsia" w:ascii="宋体" w:hAnsi="宋体"/>
          <w:sz w:val="24"/>
          <w:szCs w:val="24"/>
        </w:rPr>
        <w:t>价格调整公式后增加备注如下：</w:t>
      </w:r>
    </w:p>
    <w:p w14:paraId="4BFCFE99">
      <w:pPr>
        <w:wordWrap w:val="0"/>
        <w:spacing w:line="360" w:lineRule="auto"/>
        <w:ind w:firstLine="480" w:firstLineChars="200"/>
        <w:rPr>
          <w:rFonts w:hint="eastAsia" w:ascii="宋体" w:hAnsi="宋体"/>
          <w:sz w:val="24"/>
          <w:szCs w:val="24"/>
        </w:rPr>
      </w:pPr>
      <w:r>
        <w:rPr>
          <w:rFonts w:hint="eastAsia" w:ascii="宋体" w:hAnsi="宋体"/>
          <w:sz w:val="24"/>
          <w:szCs w:val="24"/>
        </w:rPr>
        <w:t>式中，</w:t>
      </w:r>
      <w:r>
        <w:rPr>
          <w:rFonts w:hint="eastAsia" w:ascii="宋体" w:hAnsi="宋体"/>
          <w:i/>
          <w:sz w:val="24"/>
          <w:szCs w:val="24"/>
        </w:rPr>
        <w:t>A</w:t>
      </w:r>
      <w:r>
        <w:rPr>
          <w:rFonts w:hint="eastAsia" w:ascii="宋体" w:hAnsi="宋体"/>
          <w:sz w:val="24"/>
          <w:szCs w:val="24"/>
        </w:rPr>
        <w:t xml:space="preserve"> ＝ 1 － （</w:t>
      </w:r>
      <w:r>
        <w:rPr>
          <w:rFonts w:hint="eastAsia" w:ascii="宋体" w:hAnsi="宋体"/>
          <w:i/>
          <w:sz w:val="24"/>
          <w:szCs w:val="24"/>
        </w:rPr>
        <w:t>B</w:t>
      </w:r>
      <w:r>
        <w:rPr>
          <w:rFonts w:hint="eastAsia" w:ascii="宋体" w:hAnsi="宋体"/>
          <w:sz w:val="24"/>
          <w:szCs w:val="24"/>
          <w:vertAlign w:val="subscript"/>
        </w:rPr>
        <w:t xml:space="preserve">1 </w:t>
      </w:r>
      <w:r>
        <w:rPr>
          <w:rFonts w:hint="eastAsia" w:ascii="宋体" w:hAnsi="宋体"/>
          <w:sz w:val="24"/>
          <w:szCs w:val="24"/>
        </w:rPr>
        <w:t xml:space="preserve">＋ </w:t>
      </w:r>
      <w:r>
        <w:rPr>
          <w:rFonts w:hint="eastAsia" w:ascii="宋体" w:hAnsi="宋体"/>
          <w:i/>
          <w:sz w:val="24"/>
          <w:szCs w:val="24"/>
        </w:rPr>
        <w:t>B</w:t>
      </w:r>
      <w:r>
        <w:rPr>
          <w:rFonts w:hint="eastAsia" w:ascii="宋体" w:hAnsi="宋体"/>
          <w:sz w:val="24"/>
          <w:szCs w:val="24"/>
          <w:vertAlign w:val="subscript"/>
        </w:rPr>
        <w:t xml:space="preserve">2 </w:t>
      </w:r>
      <w:r>
        <w:rPr>
          <w:rFonts w:hint="eastAsia" w:ascii="宋体" w:hAnsi="宋体"/>
          <w:sz w:val="24"/>
          <w:szCs w:val="24"/>
        </w:rPr>
        <w:t xml:space="preserve">＋ </w:t>
      </w:r>
      <w:r>
        <w:rPr>
          <w:rFonts w:hint="eastAsia" w:ascii="宋体" w:hAnsi="宋体"/>
          <w:i/>
          <w:sz w:val="24"/>
          <w:szCs w:val="24"/>
        </w:rPr>
        <w:t>B</w:t>
      </w:r>
      <w:r>
        <w:rPr>
          <w:rFonts w:hint="eastAsia" w:ascii="宋体" w:hAnsi="宋体"/>
          <w:sz w:val="24"/>
          <w:szCs w:val="24"/>
          <w:vertAlign w:val="subscript"/>
        </w:rPr>
        <w:t xml:space="preserve">3 </w:t>
      </w:r>
      <w:r>
        <w:rPr>
          <w:rFonts w:hint="eastAsia" w:ascii="宋体" w:hAnsi="宋体"/>
          <w:sz w:val="24"/>
          <w:szCs w:val="24"/>
        </w:rPr>
        <w:t xml:space="preserve">＋ ... ＋ </w:t>
      </w:r>
      <w:r>
        <w:rPr>
          <w:rFonts w:hint="eastAsia" w:ascii="宋体" w:hAnsi="宋体"/>
          <w:i/>
          <w:sz w:val="24"/>
          <w:szCs w:val="24"/>
        </w:rPr>
        <w:t>B</w:t>
      </w:r>
      <w:r>
        <w:rPr>
          <w:rFonts w:hint="eastAsia" w:ascii="宋体" w:hAnsi="宋体"/>
          <w:sz w:val="24"/>
          <w:szCs w:val="24"/>
          <w:vertAlign w:val="subscript"/>
        </w:rPr>
        <w:t xml:space="preserve">n </w:t>
      </w:r>
      <w:r>
        <w:rPr>
          <w:rFonts w:hint="eastAsia" w:ascii="宋体" w:hAnsi="宋体"/>
          <w:sz w:val="24"/>
          <w:szCs w:val="24"/>
        </w:rPr>
        <w:t>）</w:t>
      </w:r>
    </w:p>
    <w:p w14:paraId="3BCD7216">
      <w:pPr>
        <w:wordWrap w:val="0"/>
        <w:spacing w:line="360" w:lineRule="auto"/>
        <w:ind w:firstLine="480" w:firstLineChars="200"/>
        <w:rPr>
          <w:rFonts w:hint="eastAsia" w:ascii="宋体" w:hAnsi="宋体"/>
          <w:sz w:val="24"/>
          <w:szCs w:val="24"/>
        </w:rPr>
      </w:pPr>
      <w:r>
        <w:rPr>
          <w:rFonts w:hint="eastAsia" w:ascii="宋体" w:hAnsi="宋体"/>
          <w:sz w:val="24"/>
          <w:szCs w:val="24"/>
        </w:rPr>
        <w:t>本目最后一段文字细化为：</w:t>
      </w:r>
    </w:p>
    <w:p w14:paraId="30989B43">
      <w:pPr>
        <w:wordWrap w:val="0"/>
        <w:spacing w:line="360" w:lineRule="auto"/>
        <w:ind w:firstLine="480" w:firstLineChars="200"/>
        <w:rPr>
          <w:rFonts w:hint="eastAsia" w:ascii="宋体" w:hAnsi="宋体"/>
          <w:sz w:val="24"/>
          <w:szCs w:val="24"/>
        </w:rPr>
      </w:pPr>
      <w:r>
        <w:rPr>
          <w:rFonts w:hint="eastAsia" w:ascii="宋体" w:hAnsi="宋体"/>
          <w:sz w:val="24"/>
          <w:szCs w:val="24"/>
        </w:rPr>
        <w:t>在采用价格调整公式进行调价时，还应遵守以下规定：</w:t>
      </w:r>
    </w:p>
    <w:p w14:paraId="4C84C996">
      <w:pPr>
        <w:wordWrap w:val="0"/>
        <w:spacing w:line="360" w:lineRule="auto"/>
        <w:ind w:firstLine="480" w:firstLineChars="200"/>
        <w:rPr>
          <w:rFonts w:hint="eastAsia" w:ascii="宋体" w:hAnsi="宋体"/>
          <w:sz w:val="24"/>
          <w:szCs w:val="24"/>
        </w:rPr>
      </w:pPr>
      <w:r>
        <w:rPr>
          <w:rFonts w:hint="eastAsia" w:ascii="宋体" w:hAnsi="宋体"/>
          <w:sz w:val="24"/>
          <w:szCs w:val="24"/>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4E1E6D7C">
      <w:pPr>
        <w:wordWrap w:val="0"/>
        <w:spacing w:line="360" w:lineRule="auto"/>
        <w:ind w:firstLine="480" w:firstLineChars="200"/>
        <w:rPr>
          <w:rFonts w:hint="eastAsia" w:ascii="宋体" w:hAnsi="宋体"/>
          <w:sz w:val="24"/>
          <w:szCs w:val="24"/>
        </w:rPr>
      </w:pPr>
      <w:r>
        <w:rPr>
          <w:rFonts w:hint="eastAsia" w:ascii="宋体" w:hAnsi="宋体"/>
          <w:sz w:val="24"/>
          <w:szCs w:val="24"/>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0CC107BE">
      <w:pPr>
        <w:wordWrap w:val="0"/>
        <w:spacing w:line="360" w:lineRule="auto"/>
        <w:ind w:firstLine="480" w:firstLineChars="200"/>
        <w:rPr>
          <w:rFonts w:hint="eastAsia" w:ascii="宋体" w:hAnsi="宋体"/>
          <w:sz w:val="24"/>
          <w:szCs w:val="24"/>
        </w:rPr>
      </w:pPr>
      <w:bookmarkStart w:id="580" w:name="_Toc234382904"/>
      <w:r>
        <w:rPr>
          <w:rFonts w:hint="eastAsia" w:ascii="宋体" w:hAnsi="宋体"/>
          <w:sz w:val="24"/>
          <w:szCs w:val="24"/>
        </w:rPr>
        <w:t>17.计量与支付</w:t>
      </w:r>
      <w:bookmarkEnd w:id="580"/>
    </w:p>
    <w:p w14:paraId="2C9B7B41">
      <w:pPr>
        <w:wordWrap w:val="0"/>
        <w:spacing w:line="360" w:lineRule="auto"/>
        <w:ind w:firstLine="480" w:firstLineChars="200"/>
        <w:rPr>
          <w:rFonts w:hint="eastAsia" w:ascii="宋体" w:hAnsi="宋体"/>
          <w:sz w:val="24"/>
          <w:szCs w:val="24"/>
        </w:rPr>
      </w:pPr>
      <w:bookmarkStart w:id="581" w:name="_Toc234382905"/>
      <w:r>
        <w:rPr>
          <w:rFonts w:hint="eastAsia" w:ascii="宋体" w:hAnsi="宋体"/>
          <w:sz w:val="24"/>
          <w:szCs w:val="24"/>
        </w:rPr>
        <w:t>17.1计量</w:t>
      </w:r>
      <w:bookmarkEnd w:id="581"/>
    </w:p>
    <w:p w14:paraId="49B02B4A">
      <w:pPr>
        <w:wordWrap w:val="0"/>
        <w:spacing w:line="360" w:lineRule="auto"/>
        <w:ind w:firstLine="480" w:firstLineChars="200"/>
        <w:rPr>
          <w:rFonts w:hint="eastAsia" w:ascii="宋体" w:hAnsi="宋体"/>
          <w:sz w:val="24"/>
          <w:szCs w:val="24"/>
        </w:rPr>
      </w:pPr>
      <w:r>
        <w:rPr>
          <w:rFonts w:hint="eastAsia" w:ascii="宋体" w:hAnsi="宋体"/>
          <w:sz w:val="24"/>
          <w:szCs w:val="24"/>
        </w:rPr>
        <w:t>17.1.2计量方法</w:t>
      </w:r>
    </w:p>
    <w:p w14:paraId="57152B93">
      <w:pPr>
        <w:wordWrap w:val="0"/>
        <w:spacing w:line="360" w:lineRule="auto"/>
        <w:ind w:firstLine="480" w:firstLineChars="200"/>
        <w:rPr>
          <w:rFonts w:hint="eastAsia" w:ascii="宋体" w:hAnsi="宋体"/>
          <w:sz w:val="24"/>
          <w:szCs w:val="24"/>
        </w:rPr>
      </w:pPr>
      <w:r>
        <w:rPr>
          <w:rFonts w:hint="eastAsia" w:ascii="宋体" w:hAnsi="宋体"/>
          <w:sz w:val="24"/>
          <w:szCs w:val="24"/>
        </w:rPr>
        <w:t>本项约定为：</w:t>
      </w:r>
    </w:p>
    <w:p w14:paraId="20B1F19F">
      <w:pPr>
        <w:wordWrap w:val="0"/>
        <w:spacing w:line="360" w:lineRule="auto"/>
        <w:ind w:firstLine="480" w:firstLineChars="200"/>
        <w:rPr>
          <w:rFonts w:hint="eastAsia" w:ascii="宋体" w:hAnsi="宋体"/>
          <w:sz w:val="24"/>
          <w:szCs w:val="24"/>
        </w:rPr>
      </w:pPr>
      <w:r>
        <w:rPr>
          <w:rFonts w:hint="eastAsia" w:ascii="宋体" w:hAnsi="宋体"/>
          <w:sz w:val="24"/>
          <w:szCs w:val="24"/>
        </w:rPr>
        <w:t>工程的计量应以净值为准，除非项目专用合同条款另有约定。工程量清单中各个子目的具体计量方法按本合同文件技术标准中的规定执行。</w:t>
      </w:r>
    </w:p>
    <w:p w14:paraId="1FB33798">
      <w:pPr>
        <w:wordWrap w:val="0"/>
        <w:spacing w:line="360" w:lineRule="auto"/>
        <w:ind w:firstLine="480" w:firstLineChars="200"/>
        <w:rPr>
          <w:rFonts w:hint="eastAsia" w:ascii="宋体" w:hAnsi="宋体"/>
          <w:sz w:val="24"/>
          <w:szCs w:val="24"/>
        </w:rPr>
      </w:pPr>
      <w:r>
        <w:rPr>
          <w:rFonts w:hint="eastAsia" w:ascii="宋体" w:hAnsi="宋体"/>
          <w:sz w:val="24"/>
          <w:szCs w:val="24"/>
        </w:rPr>
        <w:t>17.1.4单价子目的计量</w:t>
      </w:r>
    </w:p>
    <w:p w14:paraId="6A87A358">
      <w:pPr>
        <w:wordWrap w:val="0"/>
        <w:spacing w:line="360" w:lineRule="auto"/>
        <w:ind w:firstLine="480" w:firstLineChars="200"/>
        <w:rPr>
          <w:rFonts w:hint="eastAsia" w:ascii="宋体" w:hAnsi="宋体"/>
          <w:sz w:val="24"/>
          <w:szCs w:val="24"/>
        </w:rPr>
      </w:pPr>
      <w:r>
        <w:rPr>
          <w:rFonts w:hint="eastAsia" w:ascii="宋体" w:hAnsi="宋体"/>
          <w:sz w:val="24"/>
          <w:szCs w:val="24"/>
        </w:rPr>
        <w:t>本项补充：</w:t>
      </w:r>
    </w:p>
    <w:p w14:paraId="2795769B">
      <w:pPr>
        <w:wordWrap w:val="0"/>
        <w:spacing w:line="360" w:lineRule="auto"/>
        <w:ind w:firstLine="480" w:firstLineChars="200"/>
        <w:rPr>
          <w:rFonts w:hint="eastAsia" w:ascii="宋体" w:hAnsi="宋体"/>
          <w:sz w:val="24"/>
          <w:szCs w:val="24"/>
        </w:rPr>
      </w:pPr>
      <w:r>
        <w:rPr>
          <w:rFonts w:hint="eastAsia" w:ascii="宋体" w:hAnsi="宋体"/>
          <w:sz w:val="24"/>
          <w:szCs w:val="24"/>
        </w:rPr>
        <w:t>（7）承包人未在已标价工程量清单中填入单价或总额价的工程子目，将被认为其已包含在本合同的其他子目的单价和总额价中，发包人将不另行支付。</w:t>
      </w:r>
    </w:p>
    <w:p w14:paraId="2CE1CF9C">
      <w:pPr>
        <w:wordWrap w:val="0"/>
        <w:spacing w:line="360" w:lineRule="auto"/>
        <w:ind w:firstLine="480" w:firstLineChars="200"/>
        <w:rPr>
          <w:rFonts w:hint="eastAsia" w:ascii="宋体" w:hAnsi="宋体"/>
          <w:sz w:val="24"/>
          <w:szCs w:val="24"/>
        </w:rPr>
      </w:pPr>
      <w:bookmarkStart w:id="582" w:name="_Toc234382906"/>
      <w:r>
        <w:rPr>
          <w:rFonts w:hint="eastAsia" w:ascii="宋体" w:hAnsi="宋体"/>
          <w:sz w:val="24"/>
          <w:szCs w:val="24"/>
        </w:rPr>
        <w:t>17.2预付款</w:t>
      </w:r>
      <w:bookmarkEnd w:id="582"/>
    </w:p>
    <w:p w14:paraId="55EA876C">
      <w:pPr>
        <w:wordWrap w:val="0"/>
        <w:spacing w:line="360" w:lineRule="auto"/>
        <w:ind w:firstLine="480" w:firstLineChars="200"/>
        <w:rPr>
          <w:rFonts w:hint="eastAsia" w:ascii="宋体" w:hAnsi="宋体"/>
          <w:sz w:val="24"/>
          <w:szCs w:val="24"/>
        </w:rPr>
      </w:pPr>
      <w:r>
        <w:rPr>
          <w:rFonts w:hint="eastAsia" w:ascii="宋体" w:hAnsi="宋体"/>
          <w:sz w:val="24"/>
          <w:szCs w:val="24"/>
        </w:rPr>
        <w:t>17.2.1预付款</w:t>
      </w:r>
    </w:p>
    <w:p w14:paraId="36A989E0">
      <w:pPr>
        <w:wordWrap w:val="0"/>
        <w:spacing w:line="360" w:lineRule="auto"/>
        <w:ind w:firstLine="480" w:firstLineChars="200"/>
        <w:rPr>
          <w:rFonts w:hint="eastAsia" w:ascii="宋体" w:hAnsi="宋体"/>
          <w:sz w:val="24"/>
          <w:szCs w:val="24"/>
        </w:rPr>
      </w:pPr>
      <w:r>
        <w:rPr>
          <w:rFonts w:hint="eastAsia" w:ascii="宋体" w:hAnsi="宋体"/>
          <w:sz w:val="24"/>
          <w:szCs w:val="24"/>
        </w:rPr>
        <w:t>本项目无预付款。</w:t>
      </w:r>
    </w:p>
    <w:p w14:paraId="119E2800">
      <w:pPr>
        <w:wordWrap w:val="0"/>
        <w:spacing w:line="360" w:lineRule="auto"/>
        <w:ind w:firstLine="480" w:firstLineChars="200"/>
        <w:rPr>
          <w:rFonts w:hint="eastAsia" w:ascii="宋体" w:hAnsi="宋体"/>
          <w:sz w:val="24"/>
          <w:szCs w:val="24"/>
        </w:rPr>
      </w:pPr>
      <w:bookmarkStart w:id="583" w:name="_Toc234382907"/>
      <w:r>
        <w:rPr>
          <w:rFonts w:hint="eastAsia" w:ascii="宋体" w:hAnsi="宋体"/>
          <w:sz w:val="24"/>
          <w:szCs w:val="24"/>
        </w:rPr>
        <w:t>17.3工程进度付款</w:t>
      </w:r>
      <w:bookmarkEnd w:id="583"/>
    </w:p>
    <w:p w14:paraId="27D73EAC">
      <w:pPr>
        <w:wordWrap w:val="0"/>
        <w:spacing w:line="360" w:lineRule="auto"/>
        <w:ind w:firstLine="480" w:firstLineChars="200"/>
        <w:rPr>
          <w:rFonts w:hint="eastAsia" w:ascii="宋体" w:hAnsi="宋体"/>
          <w:sz w:val="24"/>
          <w:szCs w:val="24"/>
        </w:rPr>
      </w:pPr>
      <w:r>
        <w:rPr>
          <w:rFonts w:hint="eastAsia" w:ascii="宋体" w:hAnsi="宋体"/>
          <w:sz w:val="24"/>
          <w:szCs w:val="24"/>
        </w:rPr>
        <w:t>17.3.3进度付款证书和支付时间</w:t>
      </w:r>
    </w:p>
    <w:p w14:paraId="7C3CDE6C">
      <w:pPr>
        <w:wordWrap w:val="0"/>
        <w:spacing w:line="360" w:lineRule="auto"/>
        <w:ind w:firstLine="480" w:firstLineChars="200"/>
        <w:rPr>
          <w:rFonts w:hint="eastAsia" w:ascii="宋体" w:hAnsi="宋体"/>
          <w:sz w:val="24"/>
          <w:szCs w:val="24"/>
        </w:rPr>
      </w:pPr>
      <w:r>
        <w:rPr>
          <w:rFonts w:hint="eastAsia" w:ascii="宋体" w:hAnsi="宋体"/>
          <w:sz w:val="24"/>
          <w:szCs w:val="24"/>
        </w:rPr>
        <w:t>本项（1）目补充：</w:t>
      </w:r>
      <w:r>
        <w:rPr>
          <w:rFonts w:hint="eastAsia" w:ascii="宋体" w:hAnsi="宋体"/>
          <w:sz w:val="24"/>
          <w:szCs w:val="24"/>
        </w:rPr>
        <w:tab/>
      </w:r>
    </w:p>
    <w:p w14:paraId="5929AC7D">
      <w:pPr>
        <w:wordWrap w:val="0"/>
        <w:spacing w:line="360" w:lineRule="auto"/>
        <w:ind w:firstLine="480" w:firstLineChars="200"/>
        <w:rPr>
          <w:rFonts w:hint="eastAsia" w:ascii="宋体" w:hAnsi="宋体"/>
          <w:sz w:val="24"/>
          <w:szCs w:val="24"/>
        </w:rPr>
      </w:pPr>
      <w:r>
        <w:rPr>
          <w:rFonts w:hint="eastAsia" w:ascii="宋体" w:hAnsi="宋体"/>
          <w:sz w:val="24"/>
          <w:szCs w:val="24"/>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069AC1FA">
      <w:pPr>
        <w:wordWrap w:val="0"/>
        <w:spacing w:line="360" w:lineRule="auto"/>
        <w:ind w:firstLine="480" w:firstLineChars="200"/>
        <w:rPr>
          <w:rFonts w:hint="eastAsia" w:ascii="宋体" w:hAnsi="宋体"/>
          <w:sz w:val="24"/>
          <w:szCs w:val="24"/>
        </w:rPr>
      </w:pPr>
      <w:r>
        <w:rPr>
          <w:rFonts w:hint="eastAsia" w:ascii="宋体" w:hAnsi="宋体"/>
          <w:sz w:val="24"/>
          <w:szCs w:val="24"/>
        </w:rPr>
        <w:t>本项（2）目约定为：</w:t>
      </w:r>
    </w:p>
    <w:p w14:paraId="1B10FACA">
      <w:pPr>
        <w:wordWrap w:val="0"/>
        <w:spacing w:line="360" w:lineRule="auto"/>
        <w:ind w:firstLine="480" w:firstLineChars="200"/>
        <w:rPr>
          <w:rFonts w:hint="eastAsia" w:ascii="宋体" w:hAnsi="宋体"/>
          <w:sz w:val="24"/>
          <w:szCs w:val="24"/>
        </w:rPr>
      </w:pPr>
      <w:r>
        <w:rPr>
          <w:rFonts w:hint="eastAsia" w:ascii="宋体" w:hAnsi="宋体"/>
          <w:sz w:val="24"/>
          <w:szCs w:val="24"/>
        </w:rPr>
        <w:t>发包人不按期支付的，按项目专用条款数据表中约定的利率向承包人支付逾期付款违约金。违约金计算基数为发包人的全部未付款额，时间从应付而未付该款额之日算起（不计复利）。</w:t>
      </w:r>
    </w:p>
    <w:p w14:paraId="793FA563">
      <w:pPr>
        <w:wordWrap w:val="0"/>
        <w:spacing w:line="360" w:lineRule="auto"/>
        <w:ind w:firstLine="480" w:firstLineChars="200"/>
        <w:rPr>
          <w:rFonts w:hint="eastAsia" w:ascii="宋体" w:hAnsi="宋体"/>
          <w:sz w:val="24"/>
          <w:szCs w:val="24"/>
        </w:rPr>
      </w:pPr>
      <w:bookmarkStart w:id="584" w:name="_Toc234382908"/>
      <w:r>
        <w:rPr>
          <w:rFonts w:hint="eastAsia" w:ascii="宋体" w:hAnsi="宋体"/>
          <w:sz w:val="24"/>
          <w:szCs w:val="24"/>
        </w:rPr>
        <w:t>17.4质量保证金</w:t>
      </w:r>
      <w:bookmarkEnd w:id="584"/>
    </w:p>
    <w:p w14:paraId="00B4463C">
      <w:pPr>
        <w:wordWrap w:val="0"/>
        <w:spacing w:line="360" w:lineRule="auto"/>
        <w:ind w:firstLine="480" w:firstLineChars="200"/>
        <w:rPr>
          <w:rFonts w:hint="eastAsia" w:ascii="宋体" w:hAnsi="宋体"/>
          <w:sz w:val="24"/>
          <w:szCs w:val="24"/>
        </w:rPr>
      </w:pPr>
      <w:r>
        <w:rPr>
          <w:rFonts w:hint="eastAsia" w:ascii="宋体" w:hAnsi="宋体"/>
          <w:sz w:val="24"/>
          <w:szCs w:val="24"/>
        </w:rPr>
        <w:t>第17.4.1项细化为：</w:t>
      </w:r>
    </w:p>
    <w:p w14:paraId="2FF24E8B">
      <w:pPr>
        <w:wordWrap w:val="0"/>
        <w:spacing w:line="360" w:lineRule="auto"/>
        <w:ind w:firstLine="480" w:firstLineChars="200"/>
        <w:rPr>
          <w:rFonts w:hint="eastAsia" w:ascii="宋体" w:hAnsi="宋体"/>
          <w:sz w:val="24"/>
          <w:szCs w:val="24"/>
        </w:rPr>
      </w:pPr>
      <w:r>
        <w:rPr>
          <w:rFonts w:hint="eastAsia" w:ascii="宋体" w:hAnsi="宋体"/>
          <w:sz w:val="24"/>
          <w:szCs w:val="24"/>
        </w:rPr>
        <w:t>监理人应从第一个付款周期开始，在发包人的进度付款中，按项目专用合同条款数据表规定的百分比扣留质量保证金，直至扣留的质量保证金总额达到项目专用合同条款数据表规定的限额为止。质量保证金的计算额度不包括预付款的支付以及扣回的金额。</w:t>
      </w:r>
    </w:p>
    <w:p w14:paraId="2590164F">
      <w:pPr>
        <w:wordWrap w:val="0"/>
        <w:spacing w:line="360" w:lineRule="auto"/>
        <w:ind w:firstLine="480" w:firstLineChars="200"/>
        <w:rPr>
          <w:rFonts w:hint="eastAsia" w:ascii="宋体" w:hAnsi="宋体"/>
          <w:sz w:val="24"/>
          <w:szCs w:val="24"/>
        </w:rPr>
      </w:pPr>
      <w:bookmarkStart w:id="585" w:name="_Toc234382909"/>
      <w:r>
        <w:rPr>
          <w:rFonts w:hint="eastAsia" w:ascii="宋体" w:hAnsi="宋体"/>
          <w:sz w:val="24"/>
          <w:szCs w:val="24"/>
        </w:rPr>
        <w:t>17.5交工结算</w:t>
      </w:r>
      <w:bookmarkEnd w:id="585"/>
    </w:p>
    <w:p w14:paraId="3F6BCE56">
      <w:pPr>
        <w:wordWrap w:val="0"/>
        <w:spacing w:line="360" w:lineRule="auto"/>
        <w:ind w:firstLine="480" w:firstLineChars="200"/>
        <w:rPr>
          <w:rFonts w:hint="eastAsia" w:ascii="宋体" w:hAnsi="宋体"/>
          <w:sz w:val="24"/>
          <w:szCs w:val="24"/>
        </w:rPr>
      </w:pPr>
      <w:r>
        <w:rPr>
          <w:rFonts w:hint="eastAsia" w:ascii="宋体" w:hAnsi="宋体"/>
          <w:sz w:val="24"/>
          <w:szCs w:val="24"/>
        </w:rPr>
        <w:t>17.5.l交工付款申请单</w:t>
      </w:r>
    </w:p>
    <w:p w14:paraId="34611712">
      <w:pPr>
        <w:wordWrap w:val="0"/>
        <w:spacing w:line="360" w:lineRule="auto"/>
        <w:ind w:firstLine="480" w:firstLineChars="200"/>
        <w:rPr>
          <w:rFonts w:hint="eastAsia" w:ascii="宋体" w:hAnsi="宋体"/>
          <w:sz w:val="24"/>
          <w:szCs w:val="24"/>
        </w:rPr>
      </w:pPr>
      <w:r>
        <w:rPr>
          <w:rFonts w:hint="eastAsia" w:ascii="宋体" w:hAnsi="宋体"/>
          <w:sz w:val="24"/>
          <w:szCs w:val="24"/>
        </w:rPr>
        <w:t>本项（l）目约定为：</w:t>
      </w:r>
    </w:p>
    <w:p w14:paraId="6343B87B">
      <w:pPr>
        <w:wordWrap w:val="0"/>
        <w:spacing w:line="360" w:lineRule="auto"/>
        <w:ind w:firstLine="480" w:firstLineChars="200"/>
        <w:rPr>
          <w:rFonts w:hint="eastAsia" w:ascii="宋体" w:hAnsi="宋体"/>
          <w:sz w:val="24"/>
          <w:szCs w:val="24"/>
        </w:rPr>
      </w:pPr>
      <w:r>
        <w:rPr>
          <w:rFonts w:hint="eastAsia" w:ascii="宋体" w:hAnsi="宋体"/>
          <w:sz w:val="24"/>
          <w:szCs w:val="24"/>
        </w:rPr>
        <w:t>承包人向监理人提交交工付款申请单（包括相关证明材料）的份数在项目专用合同条款数据表中约定；期限：交工验收证书签发后42天内。</w:t>
      </w:r>
    </w:p>
    <w:p w14:paraId="7FCC6F34">
      <w:pPr>
        <w:wordWrap w:val="0"/>
        <w:spacing w:line="360" w:lineRule="auto"/>
        <w:ind w:firstLine="480" w:firstLineChars="200"/>
        <w:rPr>
          <w:rFonts w:hint="eastAsia" w:ascii="宋体" w:hAnsi="宋体"/>
          <w:sz w:val="24"/>
          <w:szCs w:val="24"/>
        </w:rPr>
      </w:pPr>
      <w:bookmarkStart w:id="586" w:name="_Toc234382910"/>
      <w:r>
        <w:rPr>
          <w:rFonts w:hint="eastAsia" w:ascii="宋体" w:hAnsi="宋体"/>
          <w:sz w:val="24"/>
          <w:szCs w:val="24"/>
        </w:rPr>
        <w:t>17.6最终结清</w:t>
      </w:r>
      <w:bookmarkEnd w:id="586"/>
    </w:p>
    <w:p w14:paraId="32DDC686">
      <w:pPr>
        <w:wordWrap w:val="0"/>
        <w:spacing w:line="360" w:lineRule="auto"/>
        <w:ind w:firstLine="480" w:firstLineChars="200"/>
        <w:rPr>
          <w:rFonts w:hint="eastAsia" w:ascii="宋体" w:hAnsi="宋体"/>
          <w:sz w:val="24"/>
          <w:szCs w:val="24"/>
        </w:rPr>
      </w:pPr>
      <w:r>
        <w:rPr>
          <w:rFonts w:hint="eastAsia" w:ascii="宋体" w:hAnsi="宋体"/>
          <w:sz w:val="24"/>
          <w:szCs w:val="24"/>
        </w:rPr>
        <w:t>17.6.1最终结清申请单</w:t>
      </w:r>
    </w:p>
    <w:p w14:paraId="4F2C585F">
      <w:pPr>
        <w:wordWrap w:val="0"/>
        <w:spacing w:line="360" w:lineRule="auto"/>
        <w:ind w:firstLine="480" w:firstLineChars="200"/>
        <w:rPr>
          <w:rFonts w:hint="eastAsia" w:ascii="宋体" w:hAnsi="宋体"/>
          <w:sz w:val="24"/>
          <w:szCs w:val="24"/>
        </w:rPr>
      </w:pPr>
      <w:r>
        <w:rPr>
          <w:rFonts w:hint="eastAsia" w:ascii="宋体" w:hAnsi="宋体"/>
          <w:sz w:val="24"/>
          <w:szCs w:val="24"/>
        </w:rPr>
        <w:t>本项（1）目约定为：</w:t>
      </w:r>
    </w:p>
    <w:p w14:paraId="30F899C5">
      <w:pPr>
        <w:wordWrap w:val="0"/>
        <w:spacing w:line="360" w:lineRule="auto"/>
        <w:ind w:firstLine="480" w:firstLineChars="200"/>
        <w:rPr>
          <w:rFonts w:hint="eastAsia" w:ascii="宋体" w:hAnsi="宋体"/>
          <w:sz w:val="24"/>
          <w:szCs w:val="24"/>
        </w:rPr>
      </w:pPr>
      <w:r>
        <w:rPr>
          <w:rFonts w:hint="eastAsia" w:ascii="宋体" w:hAnsi="宋体"/>
          <w:sz w:val="24"/>
          <w:szCs w:val="24"/>
        </w:rPr>
        <w:t>承包人向监理人提交最终结清申请单（包括相关证明材料）的份数在项目专用合同条款数据表中约定；期限：缺陷责任期终止证书签发后28天内。</w:t>
      </w:r>
    </w:p>
    <w:p w14:paraId="4E9264F9">
      <w:pPr>
        <w:wordWrap w:val="0"/>
        <w:spacing w:line="360" w:lineRule="auto"/>
        <w:ind w:firstLine="480" w:firstLineChars="200"/>
        <w:rPr>
          <w:rFonts w:hint="eastAsia" w:ascii="宋体" w:hAnsi="宋体"/>
          <w:sz w:val="24"/>
          <w:szCs w:val="24"/>
        </w:rPr>
      </w:pPr>
      <w:r>
        <w:rPr>
          <w:rFonts w:hint="eastAsia" w:ascii="宋体" w:hAnsi="宋体"/>
          <w:sz w:val="24"/>
          <w:szCs w:val="24"/>
        </w:rPr>
        <w:t>最终结清申请单中的总金额应认为是代表了根据合同规定应付给承包人的全部款项的最后结算。</w:t>
      </w:r>
    </w:p>
    <w:p w14:paraId="119428BE">
      <w:pPr>
        <w:wordWrap w:val="0"/>
        <w:spacing w:line="360" w:lineRule="auto"/>
        <w:ind w:firstLine="480" w:firstLineChars="200"/>
        <w:rPr>
          <w:rFonts w:hint="eastAsia" w:ascii="宋体" w:hAnsi="宋体"/>
          <w:sz w:val="24"/>
          <w:szCs w:val="24"/>
        </w:rPr>
      </w:pPr>
      <w:bookmarkStart w:id="587" w:name="_Toc234382911"/>
      <w:r>
        <w:rPr>
          <w:rFonts w:hint="eastAsia" w:ascii="宋体" w:hAnsi="宋体"/>
          <w:sz w:val="24"/>
          <w:szCs w:val="24"/>
        </w:rPr>
        <w:t>18．交工验收</w:t>
      </w:r>
      <w:bookmarkEnd w:id="587"/>
    </w:p>
    <w:p w14:paraId="7A34693F">
      <w:pPr>
        <w:wordWrap w:val="0"/>
        <w:spacing w:line="360" w:lineRule="auto"/>
        <w:ind w:firstLine="480" w:firstLineChars="200"/>
        <w:rPr>
          <w:rFonts w:hint="eastAsia" w:ascii="宋体" w:hAnsi="宋体"/>
          <w:sz w:val="24"/>
          <w:szCs w:val="24"/>
        </w:rPr>
      </w:pPr>
      <w:bookmarkStart w:id="588" w:name="_Toc234382912"/>
      <w:r>
        <w:rPr>
          <w:rFonts w:hint="eastAsia" w:ascii="宋体" w:hAnsi="宋体"/>
          <w:sz w:val="24"/>
          <w:szCs w:val="24"/>
        </w:rPr>
        <w:t>18.2交工验收申请报告</w:t>
      </w:r>
      <w:bookmarkEnd w:id="588"/>
    </w:p>
    <w:p w14:paraId="1C06573E">
      <w:pPr>
        <w:wordWrap w:val="0"/>
        <w:spacing w:line="360" w:lineRule="auto"/>
        <w:ind w:firstLine="480" w:firstLineChars="200"/>
        <w:rPr>
          <w:rFonts w:hint="eastAsia" w:ascii="宋体" w:hAnsi="宋体"/>
          <w:sz w:val="24"/>
          <w:szCs w:val="24"/>
        </w:rPr>
      </w:pPr>
      <w:r>
        <w:rPr>
          <w:rFonts w:hint="eastAsia" w:ascii="宋体" w:hAnsi="宋体"/>
          <w:sz w:val="24"/>
          <w:szCs w:val="24"/>
        </w:rPr>
        <w:t>本款第（2）项约定为：</w:t>
      </w:r>
    </w:p>
    <w:p w14:paraId="203205B6">
      <w:pPr>
        <w:wordWrap w:val="0"/>
        <w:spacing w:line="360" w:lineRule="auto"/>
        <w:ind w:firstLine="480" w:firstLineChars="200"/>
        <w:rPr>
          <w:rFonts w:hint="eastAsia" w:ascii="宋体" w:hAnsi="宋体"/>
          <w:sz w:val="24"/>
          <w:szCs w:val="24"/>
        </w:rPr>
      </w:pPr>
      <w:r>
        <w:rPr>
          <w:rFonts w:hint="eastAsia" w:ascii="宋体" w:hAnsi="宋体"/>
          <w:sz w:val="24"/>
          <w:szCs w:val="24"/>
        </w:rPr>
        <w:t>竣工资料的内容：承包人应按照《公路工程竣（交）工验收办法》和相关规定编制竣工资料。</w:t>
      </w:r>
    </w:p>
    <w:p w14:paraId="7072AA24">
      <w:pPr>
        <w:wordWrap w:val="0"/>
        <w:spacing w:line="360" w:lineRule="auto"/>
        <w:ind w:firstLine="480" w:firstLineChars="200"/>
        <w:rPr>
          <w:rFonts w:hint="eastAsia" w:ascii="宋体" w:hAnsi="宋体"/>
          <w:sz w:val="24"/>
          <w:szCs w:val="24"/>
        </w:rPr>
      </w:pPr>
      <w:r>
        <w:rPr>
          <w:rFonts w:hint="eastAsia" w:ascii="宋体" w:hAnsi="宋体"/>
          <w:sz w:val="24"/>
          <w:szCs w:val="24"/>
        </w:rPr>
        <w:t>竣工资料的份数在项目专用合同条款数据表中约定。</w:t>
      </w:r>
    </w:p>
    <w:p w14:paraId="19C8B873">
      <w:pPr>
        <w:wordWrap w:val="0"/>
        <w:spacing w:line="360" w:lineRule="auto"/>
        <w:ind w:firstLine="480" w:firstLineChars="200"/>
        <w:rPr>
          <w:rFonts w:hint="eastAsia" w:ascii="宋体" w:hAnsi="宋体"/>
          <w:sz w:val="24"/>
          <w:szCs w:val="24"/>
        </w:rPr>
      </w:pPr>
      <w:bookmarkStart w:id="589" w:name="_Toc234382913"/>
      <w:r>
        <w:rPr>
          <w:rFonts w:hint="eastAsia" w:ascii="宋体" w:hAnsi="宋体"/>
          <w:sz w:val="24"/>
          <w:szCs w:val="24"/>
        </w:rPr>
        <w:t>18.3 验收</w:t>
      </w:r>
      <w:bookmarkEnd w:id="589"/>
    </w:p>
    <w:p w14:paraId="3601406A">
      <w:pPr>
        <w:wordWrap w:val="0"/>
        <w:spacing w:line="360" w:lineRule="auto"/>
        <w:ind w:firstLine="480" w:firstLineChars="200"/>
        <w:rPr>
          <w:rFonts w:hint="eastAsia" w:ascii="宋体" w:hAnsi="宋体"/>
          <w:sz w:val="24"/>
          <w:szCs w:val="24"/>
        </w:rPr>
      </w:pPr>
      <w:r>
        <w:rPr>
          <w:rFonts w:hint="eastAsia" w:ascii="宋体" w:hAnsi="宋体"/>
          <w:sz w:val="24"/>
          <w:szCs w:val="24"/>
        </w:rPr>
        <w:t>第18.3.2项补充：</w:t>
      </w:r>
    </w:p>
    <w:p w14:paraId="23FB56D4">
      <w:pPr>
        <w:wordWrap w:val="0"/>
        <w:spacing w:line="360" w:lineRule="auto"/>
        <w:ind w:firstLine="480" w:firstLineChars="200"/>
        <w:rPr>
          <w:rFonts w:hint="eastAsia" w:ascii="宋体" w:hAnsi="宋体"/>
          <w:sz w:val="24"/>
          <w:szCs w:val="24"/>
        </w:rPr>
      </w:pPr>
      <w:r>
        <w:rPr>
          <w:rFonts w:hint="eastAsia" w:ascii="宋体" w:hAnsi="宋体"/>
          <w:sz w:val="24"/>
          <w:szCs w:val="24"/>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696B7DD6">
      <w:pPr>
        <w:wordWrap w:val="0"/>
        <w:spacing w:line="360" w:lineRule="auto"/>
        <w:ind w:firstLine="480" w:firstLineChars="200"/>
        <w:rPr>
          <w:rFonts w:hint="eastAsia" w:ascii="宋体" w:hAnsi="宋体"/>
          <w:sz w:val="24"/>
          <w:szCs w:val="24"/>
        </w:rPr>
      </w:pPr>
      <w:r>
        <w:rPr>
          <w:rFonts w:hint="eastAsia" w:ascii="宋体" w:hAnsi="宋体"/>
          <w:sz w:val="24"/>
          <w:szCs w:val="24"/>
        </w:rPr>
        <w:t>第18.3.5项约定为：</w:t>
      </w:r>
    </w:p>
    <w:p w14:paraId="6EB8834D">
      <w:pPr>
        <w:wordWrap w:val="0"/>
        <w:spacing w:line="360" w:lineRule="auto"/>
        <w:ind w:firstLine="480" w:firstLineChars="200"/>
        <w:rPr>
          <w:rFonts w:hint="eastAsia" w:ascii="宋体" w:hAnsi="宋体"/>
          <w:sz w:val="24"/>
          <w:szCs w:val="24"/>
        </w:rPr>
      </w:pPr>
      <w:r>
        <w:rPr>
          <w:rFonts w:hint="eastAsia" w:ascii="宋体" w:hAnsi="宋体"/>
          <w:sz w:val="24"/>
          <w:szCs w:val="24"/>
        </w:rPr>
        <w:t>经验收合格工程的实际交工日期，以最终提交交工验收申请报告的日期为准，并在交工验收证书中写明。</w:t>
      </w:r>
    </w:p>
    <w:p w14:paraId="0138DD5C">
      <w:pPr>
        <w:wordWrap w:val="0"/>
        <w:spacing w:line="360" w:lineRule="auto"/>
        <w:ind w:firstLine="480" w:firstLineChars="200"/>
        <w:rPr>
          <w:rFonts w:hint="eastAsia" w:ascii="宋体" w:hAnsi="宋体"/>
          <w:sz w:val="24"/>
          <w:szCs w:val="24"/>
        </w:rPr>
      </w:pPr>
      <w:r>
        <w:rPr>
          <w:rFonts w:hint="eastAsia" w:ascii="宋体" w:hAnsi="宋体"/>
          <w:sz w:val="24"/>
          <w:szCs w:val="24"/>
        </w:rPr>
        <w:t>本款补充第18.3.7项：</w:t>
      </w:r>
    </w:p>
    <w:p w14:paraId="468D0268">
      <w:pPr>
        <w:wordWrap w:val="0"/>
        <w:spacing w:line="360" w:lineRule="auto"/>
        <w:ind w:firstLine="480" w:firstLineChars="200"/>
        <w:rPr>
          <w:rFonts w:hint="eastAsia" w:ascii="宋体" w:hAnsi="宋体"/>
          <w:sz w:val="24"/>
          <w:szCs w:val="24"/>
        </w:rPr>
      </w:pPr>
      <w:r>
        <w:rPr>
          <w:rFonts w:hint="eastAsia" w:ascii="宋体" w:hAnsi="宋体"/>
          <w:sz w:val="24"/>
          <w:szCs w:val="24"/>
        </w:rPr>
        <w:t>组织办理交工验收和签发交工验收证书的费用由发包人承担。但按照第18.3.4项规定达不到合格标准的交工验收费用由承包人承担。</w:t>
      </w:r>
    </w:p>
    <w:p w14:paraId="5F1911DC">
      <w:pPr>
        <w:wordWrap w:val="0"/>
        <w:spacing w:line="360" w:lineRule="auto"/>
        <w:ind w:firstLine="480" w:firstLineChars="200"/>
        <w:rPr>
          <w:rFonts w:hint="eastAsia" w:ascii="宋体" w:hAnsi="宋体"/>
          <w:sz w:val="24"/>
          <w:szCs w:val="24"/>
        </w:rPr>
      </w:pPr>
      <w:r>
        <w:rPr>
          <w:rFonts w:hint="eastAsia" w:ascii="宋体" w:hAnsi="宋体"/>
          <w:sz w:val="24"/>
          <w:szCs w:val="24"/>
        </w:rPr>
        <w:t>本条补充第18.9款：</w:t>
      </w:r>
    </w:p>
    <w:p w14:paraId="484160C4">
      <w:pPr>
        <w:wordWrap w:val="0"/>
        <w:spacing w:line="360" w:lineRule="auto"/>
        <w:ind w:firstLine="480" w:firstLineChars="200"/>
        <w:rPr>
          <w:rFonts w:hint="eastAsia" w:ascii="宋体" w:hAnsi="宋体"/>
          <w:sz w:val="24"/>
          <w:szCs w:val="24"/>
        </w:rPr>
      </w:pPr>
      <w:bookmarkStart w:id="590" w:name="_Toc234382914"/>
      <w:r>
        <w:rPr>
          <w:rFonts w:hint="eastAsia" w:ascii="宋体" w:hAnsi="宋体"/>
          <w:sz w:val="24"/>
          <w:szCs w:val="24"/>
        </w:rPr>
        <w:t>18.9竣工文件</w:t>
      </w:r>
      <w:bookmarkEnd w:id="590"/>
    </w:p>
    <w:p w14:paraId="6D4641FF">
      <w:pPr>
        <w:wordWrap w:val="0"/>
        <w:spacing w:line="360" w:lineRule="auto"/>
        <w:ind w:firstLine="480" w:firstLineChars="200"/>
        <w:rPr>
          <w:rFonts w:hint="eastAsia" w:ascii="宋体" w:hAnsi="宋体"/>
          <w:sz w:val="24"/>
          <w:szCs w:val="24"/>
        </w:rPr>
      </w:pPr>
      <w:r>
        <w:rPr>
          <w:rFonts w:hint="eastAsia" w:ascii="宋体" w:hAnsi="宋体"/>
          <w:sz w:val="24"/>
          <w:szCs w:val="24"/>
        </w:rPr>
        <w:t>承包人应按照《公路工程竣（交）工验收办法》中的相关规定，在缺陷责任期内为竣工验收补充竣工资料，并在签发缺陷责任期终止证书之前提交。</w:t>
      </w:r>
    </w:p>
    <w:p w14:paraId="06816943">
      <w:pPr>
        <w:wordWrap w:val="0"/>
        <w:spacing w:line="360" w:lineRule="auto"/>
        <w:ind w:firstLine="480" w:firstLineChars="200"/>
        <w:rPr>
          <w:rFonts w:hint="eastAsia" w:ascii="宋体" w:hAnsi="宋体"/>
          <w:sz w:val="24"/>
          <w:szCs w:val="24"/>
        </w:rPr>
      </w:pPr>
      <w:bookmarkStart w:id="591" w:name="_Toc234382915"/>
      <w:r>
        <w:rPr>
          <w:rFonts w:hint="eastAsia" w:ascii="宋体" w:hAnsi="宋体"/>
          <w:sz w:val="24"/>
          <w:szCs w:val="24"/>
        </w:rPr>
        <w:t>19．缺陷责任与保修责任</w:t>
      </w:r>
      <w:bookmarkEnd w:id="591"/>
    </w:p>
    <w:p w14:paraId="1119E763">
      <w:pPr>
        <w:wordWrap w:val="0"/>
        <w:spacing w:line="360" w:lineRule="auto"/>
        <w:ind w:firstLine="480" w:firstLineChars="200"/>
        <w:rPr>
          <w:rFonts w:hint="eastAsia" w:ascii="宋体" w:hAnsi="宋体"/>
          <w:sz w:val="24"/>
          <w:szCs w:val="24"/>
        </w:rPr>
      </w:pPr>
      <w:bookmarkStart w:id="592" w:name="_Toc234382916"/>
      <w:r>
        <w:rPr>
          <w:rFonts w:hint="eastAsia" w:ascii="宋体" w:hAnsi="宋体"/>
          <w:sz w:val="24"/>
          <w:szCs w:val="24"/>
        </w:rPr>
        <w:t>19.2缺陷责任</w:t>
      </w:r>
      <w:bookmarkEnd w:id="592"/>
    </w:p>
    <w:p w14:paraId="6B5B604B">
      <w:pPr>
        <w:wordWrap w:val="0"/>
        <w:spacing w:line="360" w:lineRule="auto"/>
        <w:ind w:firstLine="480" w:firstLineChars="200"/>
        <w:rPr>
          <w:rFonts w:hint="eastAsia" w:ascii="宋体" w:hAnsi="宋体"/>
          <w:sz w:val="24"/>
          <w:szCs w:val="24"/>
        </w:rPr>
      </w:pPr>
      <w:r>
        <w:rPr>
          <w:rFonts w:hint="eastAsia" w:ascii="宋体" w:hAnsi="宋体"/>
          <w:sz w:val="24"/>
          <w:szCs w:val="24"/>
        </w:rPr>
        <w:t>第19.2.2项补充：</w:t>
      </w:r>
    </w:p>
    <w:p w14:paraId="707709FE">
      <w:pPr>
        <w:wordWrap w:val="0"/>
        <w:spacing w:line="360" w:lineRule="auto"/>
        <w:ind w:firstLine="480" w:firstLineChars="200"/>
        <w:rPr>
          <w:rFonts w:hint="eastAsia" w:ascii="宋体" w:hAnsi="宋体"/>
          <w:sz w:val="24"/>
          <w:szCs w:val="24"/>
        </w:rPr>
      </w:pPr>
      <w:r>
        <w:rPr>
          <w:rFonts w:hint="eastAsia" w:ascii="宋体" w:hAnsi="宋体"/>
          <w:sz w:val="24"/>
          <w:szCs w:val="24"/>
        </w:rPr>
        <w:t>在缺陷责任期内，承包人应尽快完成在交工验收证书中写明的未完成工作，并完成对本工程缺陷的修复或监理人指令的修补工作。</w:t>
      </w:r>
    </w:p>
    <w:p w14:paraId="112CAF91">
      <w:pPr>
        <w:wordWrap w:val="0"/>
        <w:spacing w:line="360" w:lineRule="auto"/>
        <w:ind w:firstLine="480" w:firstLineChars="200"/>
        <w:rPr>
          <w:rFonts w:hint="eastAsia" w:ascii="宋体" w:hAnsi="宋体"/>
          <w:sz w:val="24"/>
          <w:szCs w:val="24"/>
        </w:rPr>
      </w:pPr>
      <w:bookmarkStart w:id="593" w:name="_Toc234382917"/>
      <w:r>
        <w:rPr>
          <w:rFonts w:hint="eastAsia" w:ascii="宋体" w:hAnsi="宋体"/>
          <w:sz w:val="24"/>
          <w:szCs w:val="24"/>
        </w:rPr>
        <w:t>19.5承包人的进入权</w:t>
      </w:r>
      <w:bookmarkEnd w:id="593"/>
    </w:p>
    <w:p w14:paraId="40082522">
      <w:pPr>
        <w:wordWrap w:val="0"/>
        <w:spacing w:line="360" w:lineRule="auto"/>
        <w:ind w:firstLine="480" w:firstLineChars="200"/>
        <w:rPr>
          <w:rFonts w:hint="eastAsia" w:ascii="宋体" w:hAnsi="宋体"/>
          <w:sz w:val="24"/>
          <w:szCs w:val="24"/>
        </w:rPr>
      </w:pPr>
      <w:r>
        <w:rPr>
          <w:rFonts w:hint="eastAsia" w:ascii="宋体" w:hAnsi="宋体"/>
          <w:sz w:val="24"/>
          <w:szCs w:val="24"/>
        </w:rPr>
        <w:t>本款补充：</w:t>
      </w:r>
    </w:p>
    <w:p w14:paraId="3EAA06B8">
      <w:pPr>
        <w:wordWrap w:val="0"/>
        <w:spacing w:line="360" w:lineRule="auto"/>
        <w:ind w:firstLine="480" w:firstLineChars="200"/>
        <w:rPr>
          <w:rFonts w:hint="eastAsia" w:ascii="宋体" w:hAnsi="宋体"/>
          <w:sz w:val="24"/>
          <w:szCs w:val="24"/>
        </w:rPr>
      </w:pPr>
      <w:r>
        <w:rPr>
          <w:rFonts w:hint="eastAsia" w:ascii="宋体" w:hAnsi="宋体"/>
          <w:sz w:val="24"/>
          <w:szCs w:val="24"/>
        </w:rPr>
        <w:t>承包人在缺陷修复施工过程中，应服从管养单位的有关安全管理规定，由于承包人自身原因造成的人员伤亡、设备和材料的损毁及罚款等责任由承包人自负。</w:t>
      </w:r>
    </w:p>
    <w:p w14:paraId="14A0F787">
      <w:pPr>
        <w:wordWrap w:val="0"/>
        <w:spacing w:line="360" w:lineRule="auto"/>
        <w:ind w:firstLine="480" w:firstLineChars="200"/>
        <w:rPr>
          <w:rFonts w:hint="eastAsia" w:ascii="宋体" w:hAnsi="宋体"/>
          <w:sz w:val="24"/>
          <w:szCs w:val="24"/>
        </w:rPr>
      </w:pPr>
      <w:bookmarkStart w:id="594" w:name="_Toc234382918"/>
      <w:r>
        <w:rPr>
          <w:rFonts w:hint="eastAsia" w:ascii="宋体" w:hAnsi="宋体"/>
          <w:sz w:val="24"/>
          <w:szCs w:val="24"/>
        </w:rPr>
        <w:t>19.7保修责任</w:t>
      </w:r>
      <w:bookmarkEnd w:id="594"/>
    </w:p>
    <w:p w14:paraId="300ED442">
      <w:pPr>
        <w:wordWrap w:val="0"/>
        <w:spacing w:line="360" w:lineRule="auto"/>
        <w:ind w:firstLine="480" w:firstLineChars="200"/>
        <w:rPr>
          <w:rFonts w:hint="eastAsia" w:ascii="宋体" w:hAnsi="宋体"/>
          <w:sz w:val="24"/>
          <w:szCs w:val="24"/>
        </w:rPr>
      </w:pPr>
      <w:r>
        <w:rPr>
          <w:rFonts w:hint="eastAsia" w:ascii="宋体" w:hAnsi="宋体"/>
          <w:sz w:val="24"/>
          <w:szCs w:val="24"/>
        </w:rPr>
        <w:t>本款细化为：</w:t>
      </w:r>
    </w:p>
    <w:p w14:paraId="72765BAB">
      <w:pPr>
        <w:wordWrap w:val="0"/>
        <w:spacing w:line="360" w:lineRule="auto"/>
        <w:ind w:firstLine="480" w:firstLineChars="200"/>
        <w:rPr>
          <w:rFonts w:hint="eastAsia" w:ascii="宋体" w:hAnsi="宋体"/>
          <w:sz w:val="24"/>
          <w:szCs w:val="24"/>
        </w:rPr>
      </w:pPr>
      <w:r>
        <w:rPr>
          <w:rFonts w:hint="eastAsia" w:ascii="宋体" w:hAnsi="宋体"/>
          <w:sz w:val="24"/>
          <w:szCs w:val="24"/>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5F49EE5C">
      <w:pPr>
        <w:wordWrap w:val="0"/>
        <w:spacing w:line="360" w:lineRule="auto"/>
        <w:ind w:firstLine="480" w:firstLineChars="200"/>
        <w:rPr>
          <w:rFonts w:hint="eastAsia" w:ascii="宋体" w:hAnsi="宋体"/>
          <w:sz w:val="24"/>
          <w:szCs w:val="24"/>
        </w:rPr>
      </w:pPr>
      <w:r>
        <w:rPr>
          <w:rFonts w:hint="eastAsia" w:ascii="宋体" w:hAnsi="宋体"/>
          <w:sz w:val="24"/>
          <w:szCs w:val="24"/>
        </w:rPr>
        <w:t>（2）在全部工程交工验收前，已经发包人提前验收的单位工程，其保修期的起算日期相应提前。</w:t>
      </w:r>
    </w:p>
    <w:p w14:paraId="193A230C">
      <w:pPr>
        <w:wordWrap w:val="0"/>
        <w:spacing w:line="360" w:lineRule="auto"/>
        <w:ind w:firstLine="480" w:firstLineChars="200"/>
        <w:rPr>
          <w:rFonts w:hint="eastAsia" w:ascii="宋体" w:hAnsi="宋体"/>
          <w:sz w:val="24"/>
          <w:szCs w:val="24"/>
        </w:rPr>
      </w:pPr>
      <w:r>
        <w:rPr>
          <w:rFonts w:hint="eastAsia" w:ascii="宋体" w:hAnsi="宋体"/>
          <w:sz w:val="24"/>
          <w:szCs w:val="24"/>
        </w:rPr>
        <w:t>（3）工程保修期终止后28天内，监理人签发保修期终止证书。</w:t>
      </w:r>
    </w:p>
    <w:p w14:paraId="11CE8BB0">
      <w:pPr>
        <w:wordWrap w:val="0"/>
        <w:spacing w:line="360" w:lineRule="auto"/>
        <w:ind w:firstLine="480" w:firstLineChars="200"/>
        <w:rPr>
          <w:rFonts w:hint="eastAsia" w:ascii="宋体" w:hAnsi="宋体"/>
          <w:sz w:val="24"/>
          <w:szCs w:val="24"/>
        </w:rPr>
      </w:pPr>
      <w:r>
        <w:rPr>
          <w:rFonts w:hint="eastAsia" w:ascii="宋体" w:hAnsi="宋体"/>
          <w:sz w:val="24"/>
          <w:szCs w:val="24"/>
        </w:rPr>
        <w:t>（4）若承包人不履行保修义务和责任，则承包人应承担由于违约造成的法律后果，并由发包人将其违约行为上报省级交通主管部门，作为不良记录纳入公路建设时常信用信息管理系统。</w:t>
      </w:r>
    </w:p>
    <w:p w14:paraId="0897F6BB">
      <w:pPr>
        <w:wordWrap w:val="0"/>
        <w:spacing w:line="360" w:lineRule="auto"/>
        <w:ind w:firstLine="480" w:firstLineChars="200"/>
        <w:rPr>
          <w:rFonts w:hint="eastAsia" w:ascii="宋体" w:hAnsi="宋体"/>
          <w:sz w:val="24"/>
          <w:szCs w:val="24"/>
        </w:rPr>
      </w:pPr>
      <w:bookmarkStart w:id="595" w:name="_Toc234382919"/>
      <w:r>
        <w:rPr>
          <w:rFonts w:hint="eastAsia" w:ascii="宋体" w:hAnsi="宋体"/>
          <w:sz w:val="24"/>
          <w:szCs w:val="24"/>
        </w:rPr>
        <w:t>20.保险</w:t>
      </w:r>
      <w:bookmarkEnd w:id="595"/>
    </w:p>
    <w:p w14:paraId="6D2E1D97">
      <w:pPr>
        <w:wordWrap w:val="0"/>
        <w:spacing w:line="360" w:lineRule="auto"/>
        <w:ind w:firstLine="480" w:firstLineChars="200"/>
        <w:rPr>
          <w:rFonts w:hint="eastAsia" w:ascii="宋体" w:hAnsi="宋体"/>
          <w:sz w:val="24"/>
          <w:szCs w:val="24"/>
        </w:rPr>
      </w:pPr>
      <w:bookmarkStart w:id="596" w:name="_Toc234382920"/>
      <w:r>
        <w:rPr>
          <w:rFonts w:hint="eastAsia" w:ascii="宋体" w:hAnsi="宋体"/>
          <w:sz w:val="24"/>
          <w:szCs w:val="24"/>
        </w:rPr>
        <w:t>20.1工程保险</w:t>
      </w:r>
      <w:bookmarkEnd w:id="596"/>
    </w:p>
    <w:p w14:paraId="2515C0F5">
      <w:pPr>
        <w:wordWrap w:val="0"/>
        <w:spacing w:line="360" w:lineRule="auto"/>
        <w:ind w:firstLine="480" w:firstLineChars="200"/>
        <w:rPr>
          <w:rFonts w:hint="eastAsia" w:ascii="宋体" w:hAnsi="宋体"/>
          <w:sz w:val="24"/>
          <w:szCs w:val="24"/>
        </w:rPr>
      </w:pPr>
      <w:r>
        <w:rPr>
          <w:rFonts w:hint="eastAsia" w:ascii="宋体" w:hAnsi="宋体"/>
          <w:sz w:val="24"/>
          <w:szCs w:val="24"/>
        </w:rPr>
        <w:t>本款约定为：</w:t>
      </w:r>
    </w:p>
    <w:p w14:paraId="12671142">
      <w:pPr>
        <w:wordWrap w:val="0"/>
        <w:spacing w:line="360" w:lineRule="auto"/>
        <w:ind w:firstLine="480" w:firstLineChars="200"/>
        <w:rPr>
          <w:rFonts w:hint="eastAsia" w:ascii="宋体" w:hAnsi="宋体"/>
          <w:sz w:val="24"/>
          <w:szCs w:val="24"/>
        </w:rPr>
      </w:pPr>
      <w:r>
        <w:rPr>
          <w:rFonts w:hint="eastAsia" w:ascii="宋体" w:hAnsi="宋体"/>
          <w:sz w:val="24"/>
          <w:szCs w:val="24"/>
        </w:rPr>
        <w:t>建筑工程—切险的投保内容：为本合同工程的永久工程、临时工程和设备及已运至施工工地用于永久工程的材料和设备所投的保险。</w:t>
      </w:r>
    </w:p>
    <w:p w14:paraId="0509C58A">
      <w:pPr>
        <w:wordWrap w:val="0"/>
        <w:spacing w:line="360" w:lineRule="auto"/>
        <w:ind w:firstLine="480" w:firstLineChars="200"/>
        <w:rPr>
          <w:rFonts w:hint="eastAsia" w:ascii="宋体" w:hAnsi="宋体"/>
          <w:sz w:val="24"/>
          <w:szCs w:val="24"/>
        </w:rPr>
      </w:pPr>
      <w:r>
        <w:rPr>
          <w:rFonts w:hint="eastAsia" w:ascii="宋体" w:hAnsi="宋体"/>
          <w:sz w:val="24"/>
          <w:szCs w:val="24"/>
        </w:rPr>
        <w:t>保险金额：工程量清单第100章（不含建筑工程一切险及第三者责任险的保险费）至700章的合计金额。</w:t>
      </w:r>
    </w:p>
    <w:p w14:paraId="239073A7">
      <w:pPr>
        <w:wordWrap w:val="0"/>
        <w:spacing w:line="360" w:lineRule="auto"/>
        <w:ind w:firstLine="480" w:firstLineChars="200"/>
        <w:rPr>
          <w:rFonts w:hint="eastAsia" w:ascii="宋体" w:hAnsi="宋体"/>
          <w:sz w:val="24"/>
          <w:szCs w:val="24"/>
        </w:rPr>
      </w:pPr>
      <w:r>
        <w:rPr>
          <w:rFonts w:hint="eastAsia" w:ascii="宋体" w:hAnsi="宋体"/>
          <w:sz w:val="24"/>
          <w:szCs w:val="24"/>
        </w:rPr>
        <w:t>保险费率：在项目专用条款数据表中约定。</w:t>
      </w:r>
    </w:p>
    <w:p w14:paraId="22C7C619">
      <w:pPr>
        <w:wordWrap w:val="0"/>
        <w:spacing w:line="360" w:lineRule="auto"/>
        <w:ind w:firstLine="480" w:firstLineChars="200"/>
        <w:rPr>
          <w:rFonts w:hint="eastAsia" w:ascii="宋体" w:hAnsi="宋体"/>
          <w:sz w:val="24"/>
          <w:szCs w:val="24"/>
        </w:rPr>
      </w:pPr>
      <w:r>
        <w:rPr>
          <w:rFonts w:hint="eastAsia" w:ascii="宋体" w:hAnsi="宋体"/>
          <w:sz w:val="24"/>
          <w:szCs w:val="24"/>
        </w:rPr>
        <w:t>保险期限：开工日起直至本合同工程签发缺陷责任期终止证书止（即合同工期＋缺陷责任期）</w:t>
      </w:r>
    </w:p>
    <w:p w14:paraId="54E921B8">
      <w:pPr>
        <w:wordWrap w:val="0"/>
        <w:spacing w:line="360" w:lineRule="auto"/>
        <w:ind w:firstLine="480" w:firstLineChars="200"/>
        <w:rPr>
          <w:rFonts w:hint="eastAsia" w:ascii="宋体" w:hAnsi="宋体"/>
          <w:sz w:val="24"/>
          <w:szCs w:val="24"/>
        </w:rPr>
      </w:pPr>
      <w:r>
        <w:rPr>
          <w:rFonts w:hint="eastAsia" w:ascii="宋体" w:hAnsi="宋体"/>
          <w:sz w:val="24"/>
          <w:szCs w:val="24"/>
        </w:rPr>
        <w:t>承包人应以发包人和承包人的共同名义投保建筑工程一切险。建筑工程一切险的保险费由承包人报价时列入工程量清单100章内。发包人在接到保险单后，将按照保险单的费用直接向承包人支付。</w:t>
      </w:r>
    </w:p>
    <w:p w14:paraId="64030235">
      <w:pPr>
        <w:wordWrap w:val="0"/>
        <w:spacing w:line="360" w:lineRule="auto"/>
        <w:ind w:firstLine="480" w:firstLineChars="200"/>
        <w:rPr>
          <w:rFonts w:hint="eastAsia" w:ascii="宋体" w:hAnsi="宋体"/>
          <w:sz w:val="24"/>
          <w:szCs w:val="24"/>
        </w:rPr>
      </w:pPr>
      <w:bookmarkStart w:id="597" w:name="_Toc234382921"/>
      <w:r>
        <w:rPr>
          <w:rFonts w:hint="eastAsia" w:ascii="宋体" w:hAnsi="宋体"/>
          <w:sz w:val="24"/>
          <w:szCs w:val="24"/>
        </w:rPr>
        <w:t>20.4第三者责任险</w:t>
      </w:r>
      <w:bookmarkEnd w:id="597"/>
    </w:p>
    <w:p w14:paraId="22BAC8EA">
      <w:pPr>
        <w:wordWrap w:val="0"/>
        <w:spacing w:line="360" w:lineRule="auto"/>
        <w:ind w:firstLine="480" w:firstLineChars="200"/>
        <w:rPr>
          <w:rFonts w:hint="eastAsia" w:ascii="宋体" w:hAnsi="宋体"/>
          <w:sz w:val="24"/>
          <w:szCs w:val="24"/>
        </w:rPr>
      </w:pPr>
      <w:r>
        <w:rPr>
          <w:rFonts w:hint="eastAsia" w:ascii="宋体" w:hAnsi="宋体"/>
          <w:sz w:val="24"/>
          <w:szCs w:val="24"/>
        </w:rPr>
        <w:t>第20.4.2项补充：</w:t>
      </w:r>
    </w:p>
    <w:p w14:paraId="28369E8A">
      <w:pPr>
        <w:wordWrap w:val="0"/>
        <w:spacing w:line="360" w:lineRule="auto"/>
        <w:ind w:firstLine="480" w:firstLineChars="200"/>
        <w:rPr>
          <w:rFonts w:hint="eastAsia" w:ascii="宋体" w:hAnsi="宋体"/>
          <w:sz w:val="24"/>
          <w:szCs w:val="24"/>
        </w:rPr>
      </w:pPr>
      <w:r>
        <w:rPr>
          <w:rFonts w:hint="eastAsia" w:ascii="宋体" w:hAnsi="宋体"/>
          <w:sz w:val="24"/>
          <w:szCs w:val="24"/>
        </w:rPr>
        <w:t>第三者责任险的保险费由承包人报价时列入工程量清单100章内。发包人在接到保险单后，将按照保险单的费用直接向承包人支付。</w:t>
      </w:r>
    </w:p>
    <w:p w14:paraId="449CBE6E">
      <w:pPr>
        <w:wordWrap w:val="0"/>
        <w:spacing w:line="360" w:lineRule="auto"/>
        <w:ind w:firstLine="480" w:firstLineChars="200"/>
        <w:rPr>
          <w:rFonts w:hint="eastAsia" w:ascii="宋体" w:hAnsi="宋体"/>
          <w:sz w:val="24"/>
          <w:szCs w:val="24"/>
        </w:rPr>
      </w:pPr>
      <w:bookmarkStart w:id="598" w:name="_Toc234382922"/>
      <w:r>
        <w:rPr>
          <w:rFonts w:hint="eastAsia" w:ascii="宋体" w:hAnsi="宋体"/>
          <w:sz w:val="24"/>
          <w:szCs w:val="24"/>
        </w:rPr>
        <w:t>20.5其他保险</w:t>
      </w:r>
      <w:bookmarkEnd w:id="598"/>
    </w:p>
    <w:p w14:paraId="3A832A8D">
      <w:pPr>
        <w:wordWrap w:val="0"/>
        <w:spacing w:line="360" w:lineRule="auto"/>
        <w:ind w:firstLine="480" w:firstLineChars="200"/>
        <w:rPr>
          <w:rFonts w:hint="eastAsia" w:ascii="宋体" w:hAnsi="宋体"/>
          <w:sz w:val="24"/>
          <w:szCs w:val="24"/>
        </w:rPr>
      </w:pPr>
      <w:r>
        <w:rPr>
          <w:rFonts w:hint="eastAsia" w:ascii="宋体" w:hAnsi="宋体"/>
          <w:sz w:val="24"/>
          <w:szCs w:val="24"/>
        </w:rPr>
        <w:t>本款约定为：</w:t>
      </w:r>
    </w:p>
    <w:p w14:paraId="5BB545C7">
      <w:pPr>
        <w:wordWrap w:val="0"/>
        <w:spacing w:line="360" w:lineRule="auto"/>
        <w:ind w:firstLine="480" w:firstLineChars="200"/>
        <w:rPr>
          <w:rFonts w:hint="eastAsia" w:ascii="宋体" w:hAnsi="宋体"/>
          <w:sz w:val="24"/>
          <w:szCs w:val="24"/>
        </w:rPr>
      </w:pPr>
      <w:r>
        <w:rPr>
          <w:rFonts w:hint="eastAsia" w:ascii="宋体" w:hAnsi="宋体"/>
          <w:sz w:val="24"/>
          <w:szCs w:val="24"/>
        </w:rPr>
        <w:t>承包人应为其施工设备等办理保险，其投保金额应足以现场重量。办理本款保险的一切费用均由承包人承担，并包括在工程量清单的单价及总额价中，发包人不单独支付。</w:t>
      </w:r>
    </w:p>
    <w:p w14:paraId="08FA9503">
      <w:pPr>
        <w:wordWrap w:val="0"/>
        <w:spacing w:line="360" w:lineRule="auto"/>
        <w:ind w:firstLine="480" w:firstLineChars="200"/>
        <w:rPr>
          <w:rFonts w:hint="eastAsia" w:ascii="宋体" w:hAnsi="宋体"/>
          <w:sz w:val="24"/>
          <w:szCs w:val="24"/>
        </w:rPr>
      </w:pPr>
      <w:bookmarkStart w:id="599" w:name="_Toc234382923"/>
      <w:r>
        <w:rPr>
          <w:rFonts w:hint="eastAsia" w:ascii="宋体" w:hAnsi="宋体"/>
          <w:sz w:val="24"/>
          <w:szCs w:val="24"/>
        </w:rPr>
        <w:t>20.6对各项保险的一般要求</w:t>
      </w:r>
      <w:bookmarkEnd w:id="599"/>
    </w:p>
    <w:p w14:paraId="6CAF5681">
      <w:pPr>
        <w:wordWrap w:val="0"/>
        <w:spacing w:line="360" w:lineRule="auto"/>
        <w:ind w:firstLine="480" w:firstLineChars="200"/>
        <w:rPr>
          <w:rFonts w:hint="eastAsia" w:ascii="宋体" w:hAnsi="宋体"/>
          <w:sz w:val="24"/>
          <w:szCs w:val="24"/>
        </w:rPr>
      </w:pPr>
      <w:r>
        <w:rPr>
          <w:rFonts w:hint="eastAsia" w:ascii="宋体" w:hAnsi="宋体"/>
          <w:sz w:val="24"/>
          <w:szCs w:val="24"/>
        </w:rPr>
        <w:t>20.6.1保险凭证</w:t>
      </w:r>
    </w:p>
    <w:p w14:paraId="74594537">
      <w:pPr>
        <w:wordWrap w:val="0"/>
        <w:spacing w:line="360" w:lineRule="auto"/>
        <w:ind w:firstLine="480" w:firstLineChars="200"/>
        <w:rPr>
          <w:rFonts w:hint="eastAsia" w:ascii="宋体" w:hAnsi="宋体"/>
          <w:sz w:val="24"/>
          <w:szCs w:val="24"/>
        </w:rPr>
      </w:pPr>
      <w:r>
        <w:rPr>
          <w:rFonts w:hint="eastAsia" w:ascii="宋体" w:hAnsi="宋体"/>
          <w:sz w:val="24"/>
          <w:szCs w:val="24"/>
        </w:rPr>
        <w:t>本项约定为：</w:t>
      </w:r>
    </w:p>
    <w:p w14:paraId="2C97812F">
      <w:pPr>
        <w:wordWrap w:val="0"/>
        <w:spacing w:line="360" w:lineRule="auto"/>
        <w:ind w:firstLine="480" w:firstLineChars="200"/>
        <w:rPr>
          <w:rFonts w:hint="eastAsia" w:ascii="宋体" w:hAnsi="宋体"/>
          <w:sz w:val="24"/>
          <w:szCs w:val="24"/>
        </w:rPr>
      </w:pPr>
      <w:r>
        <w:rPr>
          <w:rFonts w:hint="eastAsia" w:ascii="宋体" w:hAnsi="宋体"/>
          <w:sz w:val="24"/>
          <w:szCs w:val="24"/>
        </w:rPr>
        <w:t>承包人向发包人提交各项保险生效的证据和保险单副本的期限：开工后56天内。</w:t>
      </w:r>
    </w:p>
    <w:p w14:paraId="4EFAD92A">
      <w:pPr>
        <w:wordWrap w:val="0"/>
        <w:spacing w:line="360" w:lineRule="auto"/>
        <w:ind w:firstLine="480" w:firstLineChars="200"/>
        <w:rPr>
          <w:rFonts w:hint="eastAsia" w:ascii="宋体" w:hAnsi="宋体"/>
          <w:sz w:val="24"/>
          <w:szCs w:val="24"/>
        </w:rPr>
      </w:pPr>
      <w:r>
        <w:rPr>
          <w:rFonts w:hint="eastAsia" w:ascii="宋体" w:hAnsi="宋体"/>
          <w:sz w:val="24"/>
          <w:szCs w:val="24"/>
        </w:rPr>
        <w:t>20.6.3 持续保险</w:t>
      </w:r>
    </w:p>
    <w:p w14:paraId="3F3A0811">
      <w:pPr>
        <w:wordWrap w:val="0"/>
        <w:spacing w:line="360" w:lineRule="auto"/>
        <w:ind w:firstLine="480" w:firstLineChars="200"/>
        <w:rPr>
          <w:rFonts w:hint="eastAsia" w:ascii="宋体" w:hAnsi="宋体"/>
          <w:sz w:val="24"/>
          <w:szCs w:val="24"/>
        </w:rPr>
      </w:pPr>
      <w:r>
        <w:rPr>
          <w:rFonts w:hint="eastAsia" w:ascii="宋体" w:hAnsi="宋体"/>
          <w:sz w:val="24"/>
          <w:szCs w:val="24"/>
        </w:rPr>
        <w:t>本项补充：</w:t>
      </w:r>
    </w:p>
    <w:p w14:paraId="11DBA39E">
      <w:pPr>
        <w:wordWrap w:val="0"/>
        <w:spacing w:line="360" w:lineRule="auto"/>
        <w:ind w:firstLine="480" w:firstLineChars="200"/>
        <w:rPr>
          <w:rFonts w:hint="eastAsia" w:ascii="宋体" w:hAnsi="宋体"/>
          <w:sz w:val="24"/>
          <w:szCs w:val="24"/>
        </w:rPr>
      </w:pPr>
      <w:r>
        <w:rPr>
          <w:rFonts w:hint="eastAsia" w:ascii="宋体" w:hAnsi="宋体"/>
          <w:sz w:val="24"/>
          <w:szCs w:val="24"/>
        </w:rPr>
        <w:t>在整个合同期内，承包人应按合同条款保证足够的保险额。</w:t>
      </w:r>
    </w:p>
    <w:p w14:paraId="7B96AE0E">
      <w:pPr>
        <w:wordWrap w:val="0"/>
        <w:spacing w:line="360" w:lineRule="auto"/>
        <w:ind w:firstLine="480" w:firstLineChars="200"/>
        <w:rPr>
          <w:rFonts w:hint="eastAsia" w:ascii="宋体" w:hAnsi="宋体"/>
          <w:sz w:val="24"/>
          <w:szCs w:val="24"/>
        </w:rPr>
      </w:pPr>
      <w:r>
        <w:rPr>
          <w:rFonts w:hint="eastAsia" w:ascii="宋体" w:hAnsi="宋体"/>
          <w:sz w:val="24"/>
          <w:szCs w:val="24"/>
        </w:rPr>
        <w:t>20.6.4保险金不足的补偿</w:t>
      </w:r>
    </w:p>
    <w:p w14:paraId="1A9F0905">
      <w:pPr>
        <w:wordWrap w:val="0"/>
        <w:spacing w:line="360" w:lineRule="auto"/>
        <w:ind w:firstLine="480" w:firstLineChars="200"/>
        <w:rPr>
          <w:rFonts w:hint="eastAsia" w:ascii="宋体" w:hAnsi="宋体"/>
          <w:sz w:val="24"/>
          <w:szCs w:val="24"/>
        </w:rPr>
      </w:pPr>
      <w:r>
        <w:rPr>
          <w:rFonts w:hint="eastAsia" w:ascii="宋体" w:hAnsi="宋体"/>
          <w:sz w:val="24"/>
          <w:szCs w:val="24"/>
        </w:rPr>
        <w:t>本项细化为：</w:t>
      </w:r>
    </w:p>
    <w:p w14:paraId="36CC03BB">
      <w:pPr>
        <w:wordWrap w:val="0"/>
        <w:spacing w:line="360" w:lineRule="auto"/>
        <w:ind w:firstLine="480" w:firstLineChars="200"/>
        <w:rPr>
          <w:rFonts w:hint="eastAsia" w:ascii="宋体" w:hAnsi="宋体"/>
          <w:sz w:val="24"/>
          <w:szCs w:val="24"/>
        </w:rPr>
      </w:pPr>
      <w:r>
        <w:rPr>
          <w:rFonts w:hint="eastAsia" w:ascii="宋体" w:hAnsi="宋体"/>
          <w:sz w:val="24"/>
          <w:szCs w:val="24"/>
        </w:rPr>
        <w:t>保险金不足补偿损失的（包括免赔额和超过赔偿限额的部分），应由承包人和（或）发包人按合同约定负责补偿。</w:t>
      </w:r>
    </w:p>
    <w:p w14:paraId="53CB73DE">
      <w:pPr>
        <w:wordWrap w:val="0"/>
        <w:spacing w:line="360" w:lineRule="auto"/>
        <w:ind w:firstLine="480" w:firstLineChars="200"/>
        <w:rPr>
          <w:rFonts w:hint="eastAsia" w:ascii="宋体" w:hAnsi="宋体"/>
          <w:sz w:val="24"/>
          <w:szCs w:val="24"/>
        </w:rPr>
      </w:pPr>
      <w:r>
        <w:rPr>
          <w:rFonts w:hint="eastAsia" w:ascii="宋体" w:hAnsi="宋体"/>
          <w:sz w:val="24"/>
          <w:szCs w:val="24"/>
        </w:rPr>
        <w:t>20.6.5未按约定投保的补救</w:t>
      </w:r>
    </w:p>
    <w:p w14:paraId="4D7E73CC">
      <w:pPr>
        <w:wordWrap w:val="0"/>
        <w:spacing w:line="360" w:lineRule="auto"/>
        <w:ind w:firstLine="480" w:firstLineChars="200"/>
        <w:rPr>
          <w:rFonts w:hint="eastAsia" w:ascii="宋体" w:hAnsi="宋体"/>
          <w:sz w:val="24"/>
          <w:szCs w:val="24"/>
        </w:rPr>
      </w:pPr>
      <w:r>
        <w:rPr>
          <w:rFonts w:hint="eastAsia" w:ascii="宋体" w:hAnsi="宋体"/>
          <w:sz w:val="24"/>
          <w:szCs w:val="24"/>
        </w:rPr>
        <w:t>本项（2）目细化为：</w:t>
      </w:r>
    </w:p>
    <w:p w14:paraId="7EFA57DB">
      <w:pPr>
        <w:wordWrap w:val="0"/>
        <w:spacing w:line="360" w:lineRule="auto"/>
        <w:ind w:firstLine="480" w:firstLineChars="200"/>
        <w:rPr>
          <w:rFonts w:hint="eastAsia" w:ascii="宋体" w:hAnsi="宋体"/>
          <w:sz w:val="24"/>
          <w:szCs w:val="24"/>
        </w:rPr>
      </w:pPr>
      <w:r>
        <w:rPr>
          <w:rFonts w:hint="eastAsia" w:ascii="宋体" w:hAnsi="宋体"/>
          <w:sz w:val="24"/>
          <w:szCs w:val="24"/>
        </w:rPr>
        <w:t>（2）由于负有投保义务的一方当事人未按合同约定办理某项保险，或未按保险单规定的条件和期限及时间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58BCCDEB">
      <w:pPr>
        <w:wordWrap w:val="0"/>
        <w:spacing w:line="360" w:lineRule="auto"/>
        <w:ind w:firstLine="480" w:firstLineChars="200"/>
        <w:rPr>
          <w:rFonts w:hint="eastAsia" w:ascii="宋体" w:hAnsi="宋体"/>
          <w:sz w:val="24"/>
          <w:szCs w:val="24"/>
        </w:rPr>
      </w:pPr>
      <w:bookmarkStart w:id="600" w:name="_Toc234382924"/>
      <w:r>
        <w:rPr>
          <w:rFonts w:hint="eastAsia" w:ascii="宋体" w:hAnsi="宋体"/>
          <w:sz w:val="24"/>
          <w:szCs w:val="24"/>
        </w:rPr>
        <w:t>21．不可抗力</w:t>
      </w:r>
      <w:bookmarkEnd w:id="600"/>
    </w:p>
    <w:p w14:paraId="327C318A">
      <w:pPr>
        <w:wordWrap w:val="0"/>
        <w:spacing w:line="360" w:lineRule="auto"/>
        <w:ind w:firstLine="480" w:firstLineChars="200"/>
        <w:rPr>
          <w:rFonts w:hint="eastAsia" w:ascii="宋体" w:hAnsi="宋体"/>
          <w:sz w:val="24"/>
          <w:szCs w:val="24"/>
        </w:rPr>
      </w:pPr>
      <w:bookmarkStart w:id="601" w:name="_Toc234382925"/>
      <w:r>
        <w:rPr>
          <w:rFonts w:hint="eastAsia" w:ascii="宋体" w:hAnsi="宋体"/>
          <w:sz w:val="24"/>
          <w:szCs w:val="24"/>
        </w:rPr>
        <w:t>21.1不可抗力的确认</w:t>
      </w:r>
      <w:bookmarkEnd w:id="601"/>
    </w:p>
    <w:p w14:paraId="616D965A">
      <w:pPr>
        <w:wordWrap w:val="0"/>
        <w:spacing w:line="360" w:lineRule="auto"/>
        <w:ind w:firstLine="480" w:firstLineChars="200"/>
        <w:rPr>
          <w:rFonts w:hint="eastAsia" w:ascii="宋体" w:hAnsi="宋体"/>
          <w:sz w:val="24"/>
          <w:szCs w:val="24"/>
        </w:rPr>
      </w:pPr>
      <w:r>
        <w:rPr>
          <w:rFonts w:hint="eastAsia" w:ascii="宋体" w:hAnsi="宋体"/>
          <w:sz w:val="24"/>
          <w:szCs w:val="24"/>
        </w:rPr>
        <w:t>21.1.1项细化为：</w:t>
      </w:r>
    </w:p>
    <w:p w14:paraId="42C91F55">
      <w:pPr>
        <w:wordWrap w:val="0"/>
        <w:spacing w:line="360" w:lineRule="auto"/>
        <w:ind w:firstLine="480" w:firstLineChars="200"/>
        <w:rPr>
          <w:rFonts w:hint="eastAsia" w:ascii="宋体" w:hAnsi="宋体"/>
          <w:sz w:val="24"/>
          <w:szCs w:val="24"/>
        </w:rPr>
      </w:pPr>
      <w:r>
        <w:rPr>
          <w:rFonts w:hint="eastAsia" w:ascii="宋体" w:hAnsi="宋体"/>
          <w:sz w:val="24"/>
          <w:szCs w:val="24"/>
        </w:rPr>
        <w:t>不可抗力是指承包人和发包人在订立合同时不可预见，在工程施工过程中不可避免发生并不能克服的自然灾害和社会性突发事件。包括但不限于：</w:t>
      </w:r>
    </w:p>
    <w:p w14:paraId="6A7161B8">
      <w:pPr>
        <w:wordWrap w:val="0"/>
        <w:spacing w:line="360" w:lineRule="auto"/>
        <w:ind w:firstLine="480" w:firstLineChars="200"/>
        <w:rPr>
          <w:rFonts w:hint="eastAsia" w:ascii="宋体" w:hAnsi="宋体"/>
          <w:sz w:val="24"/>
          <w:szCs w:val="24"/>
        </w:rPr>
      </w:pPr>
      <w:r>
        <w:rPr>
          <w:rFonts w:hint="eastAsia" w:ascii="宋体" w:hAnsi="宋体"/>
          <w:sz w:val="24"/>
          <w:szCs w:val="24"/>
        </w:rPr>
        <w:t>（1）地震、海啸、火山爆发、泥石流、暴雨（雪）、台风、龙卷风、水灾等自然灾害；</w:t>
      </w:r>
    </w:p>
    <w:p w14:paraId="7564C293">
      <w:pPr>
        <w:wordWrap w:val="0"/>
        <w:spacing w:line="360" w:lineRule="auto"/>
        <w:ind w:firstLine="480" w:firstLineChars="200"/>
        <w:rPr>
          <w:rFonts w:hint="eastAsia" w:ascii="宋体" w:hAnsi="宋体"/>
          <w:sz w:val="24"/>
          <w:szCs w:val="24"/>
        </w:rPr>
      </w:pPr>
      <w:r>
        <w:rPr>
          <w:rFonts w:hint="eastAsia" w:ascii="宋体" w:hAnsi="宋体"/>
          <w:sz w:val="24"/>
          <w:szCs w:val="24"/>
        </w:rPr>
        <w:t>（2）战争、骚乱、暴动，但纯属承包人或其分包人派遣与雇用的人员由于本合同工程施工原因引起者除外；</w:t>
      </w:r>
    </w:p>
    <w:p w14:paraId="79C5DF1D">
      <w:pPr>
        <w:wordWrap w:val="0"/>
        <w:spacing w:line="360" w:lineRule="auto"/>
        <w:ind w:firstLine="480" w:firstLineChars="200"/>
        <w:rPr>
          <w:rFonts w:hint="eastAsia" w:ascii="宋体" w:hAnsi="宋体"/>
          <w:sz w:val="24"/>
          <w:szCs w:val="24"/>
        </w:rPr>
      </w:pPr>
      <w:r>
        <w:rPr>
          <w:rFonts w:hint="eastAsia" w:ascii="宋体" w:hAnsi="宋体"/>
          <w:sz w:val="24"/>
          <w:szCs w:val="24"/>
        </w:rPr>
        <w:t>（3）核反应、辐射或放射性污染；</w:t>
      </w:r>
    </w:p>
    <w:p w14:paraId="350E5CFD">
      <w:pPr>
        <w:wordWrap w:val="0"/>
        <w:spacing w:line="360" w:lineRule="auto"/>
        <w:ind w:firstLine="480" w:firstLineChars="200"/>
        <w:rPr>
          <w:rFonts w:hint="eastAsia" w:ascii="宋体" w:hAnsi="宋体"/>
          <w:sz w:val="24"/>
          <w:szCs w:val="24"/>
        </w:rPr>
      </w:pPr>
      <w:r>
        <w:rPr>
          <w:rFonts w:hint="eastAsia" w:ascii="宋体" w:hAnsi="宋体"/>
          <w:sz w:val="24"/>
          <w:szCs w:val="24"/>
        </w:rPr>
        <w:t>（4）空中飞行物体附落或非发包人或承包人责任造成的爆炸、火灾；</w:t>
      </w:r>
    </w:p>
    <w:p w14:paraId="090521E9">
      <w:pPr>
        <w:wordWrap w:val="0"/>
        <w:spacing w:line="360" w:lineRule="auto"/>
        <w:ind w:firstLine="480" w:firstLineChars="200"/>
        <w:rPr>
          <w:rFonts w:hint="eastAsia" w:ascii="宋体" w:hAnsi="宋体"/>
          <w:sz w:val="24"/>
          <w:szCs w:val="24"/>
        </w:rPr>
      </w:pPr>
      <w:r>
        <w:rPr>
          <w:rFonts w:hint="eastAsia" w:ascii="宋体" w:hAnsi="宋体"/>
          <w:sz w:val="24"/>
          <w:szCs w:val="24"/>
        </w:rPr>
        <w:t>（5）瘟疫；</w:t>
      </w:r>
    </w:p>
    <w:p w14:paraId="54940AC3">
      <w:pPr>
        <w:wordWrap w:val="0"/>
        <w:spacing w:line="360" w:lineRule="auto"/>
        <w:ind w:firstLine="480" w:firstLineChars="200"/>
        <w:rPr>
          <w:rFonts w:hint="eastAsia" w:ascii="宋体" w:hAnsi="宋体"/>
          <w:sz w:val="24"/>
          <w:szCs w:val="24"/>
        </w:rPr>
      </w:pPr>
      <w:r>
        <w:rPr>
          <w:rFonts w:hint="eastAsia" w:ascii="宋体" w:hAnsi="宋体"/>
          <w:sz w:val="24"/>
          <w:szCs w:val="24"/>
        </w:rPr>
        <w:t>（6）项目专用合同条款约定的其他情形。</w:t>
      </w:r>
    </w:p>
    <w:p w14:paraId="3249AE6C">
      <w:pPr>
        <w:wordWrap w:val="0"/>
        <w:spacing w:line="360" w:lineRule="auto"/>
        <w:ind w:firstLine="480" w:firstLineChars="200"/>
        <w:rPr>
          <w:rFonts w:hint="eastAsia" w:ascii="宋体" w:hAnsi="宋体"/>
          <w:sz w:val="24"/>
          <w:szCs w:val="24"/>
        </w:rPr>
      </w:pPr>
      <w:bookmarkStart w:id="602" w:name="_Toc234382926"/>
      <w:r>
        <w:rPr>
          <w:rFonts w:hint="eastAsia" w:ascii="宋体" w:hAnsi="宋体"/>
          <w:sz w:val="24"/>
          <w:szCs w:val="24"/>
        </w:rPr>
        <w:t>21.3不可抗力后果及其处理</w:t>
      </w:r>
      <w:bookmarkEnd w:id="602"/>
    </w:p>
    <w:p w14:paraId="64BD9054">
      <w:pPr>
        <w:wordWrap w:val="0"/>
        <w:spacing w:line="360" w:lineRule="auto"/>
        <w:ind w:firstLine="480" w:firstLineChars="200"/>
        <w:rPr>
          <w:rFonts w:hint="eastAsia" w:ascii="宋体" w:hAnsi="宋体"/>
          <w:sz w:val="24"/>
          <w:szCs w:val="24"/>
        </w:rPr>
      </w:pPr>
      <w:r>
        <w:rPr>
          <w:rFonts w:hint="eastAsia" w:ascii="宋体" w:hAnsi="宋体"/>
          <w:sz w:val="24"/>
          <w:szCs w:val="24"/>
        </w:rPr>
        <w:t>21.3.4因不可抗力解除合同</w:t>
      </w:r>
    </w:p>
    <w:p w14:paraId="4C5BD6DA">
      <w:pPr>
        <w:wordWrap w:val="0"/>
        <w:spacing w:line="360" w:lineRule="auto"/>
        <w:ind w:firstLine="480" w:firstLineChars="200"/>
        <w:rPr>
          <w:rFonts w:hint="eastAsia" w:ascii="宋体" w:hAnsi="宋体"/>
          <w:sz w:val="24"/>
          <w:szCs w:val="24"/>
        </w:rPr>
      </w:pPr>
      <w:r>
        <w:rPr>
          <w:rFonts w:hint="eastAsia" w:ascii="宋体" w:hAnsi="宋体"/>
          <w:sz w:val="24"/>
          <w:szCs w:val="24"/>
        </w:rPr>
        <w:t>本项细化为：</w:t>
      </w:r>
    </w:p>
    <w:p w14:paraId="0E8D5D7D">
      <w:pPr>
        <w:wordWrap w:val="0"/>
        <w:spacing w:line="360" w:lineRule="auto"/>
        <w:ind w:firstLine="480" w:firstLineChars="200"/>
        <w:rPr>
          <w:rFonts w:hint="eastAsia" w:ascii="宋体" w:hAnsi="宋体"/>
          <w:sz w:val="24"/>
          <w:szCs w:val="24"/>
        </w:rPr>
      </w:pPr>
      <w:r>
        <w:rPr>
          <w:rFonts w:hint="eastAsia" w:ascii="宋体" w:hAnsi="宋体"/>
          <w:sz w:val="24"/>
          <w:szCs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作，由发包人承担，因未有时退货造成的损失由责任方承担。合同解除后的付款，参照第22.2.4 项约定，由监理人按第3.5款商定或确定，但由于解除合同应赔偿的承包人损失不予考虑。</w:t>
      </w:r>
    </w:p>
    <w:p w14:paraId="0967DFA4">
      <w:pPr>
        <w:wordWrap w:val="0"/>
        <w:spacing w:line="360" w:lineRule="auto"/>
        <w:ind w:firstLine="480" w:firstLineChars="200"/>
        <w:rPr>
          <w:rFonts w:hint="eastAsia" w:ascii="宋体" w:hAnsi="宋体"/>
          <w:sz w:val="24"/>
          <w:szCs w:val="24"/>
        </w:rPr>
      </w:pPr>
      <w:bookmarkStart w:id="603" w:name="_Toc234382927"/>
      <w:r>
        <w:rPr>
          <w:rFonts w:hint="eastAsia" w:ascii="宋体" w:hAnsi="宋体"/>
          <w:sz w:val="24"/>
          <w:szCs w:val="24"/>
        </w:rPr>
        <w:t>22．违约</w:t>
      </w:r>
      <w:bookmarkEnd w:id="603"/>
    </w:p>
    <w:p w14:paraId="3BE8DA9D">
      <w:pPr>
        <w:wordWrap w:val="0"/>
        <w:spacing w:line="360" w:lineRule="auto"/>
        <w:ind w:firstLine="480" w:firstLineChars="200"/>
        <w:rPr>
          <w:rFonts w:hint="eastAsia" w:ascii="宋体" w:hAnsi="宋体"/>
          <w:sz w:val="24"/>
          <w:szCs w:val="24"/>
        </w:rPr>
      </w:pPr>
      <w:bookmarkStart w:id="604" w:name="_Toc234382928"/>
      <w:r>
        <w:rPr>
          <w:rFonts w:hint="eastAsia" w:ascii="宋体" w:hAnsi="宋体"/>
          <w:sz w:val="24"/>
          <w:szCs w:val="24"/>
        </w:rPr>
        <w:t>22.1承包人违约</w:t>
      </w:r>
      <w:bookmarkEnd w:id="604"/>
    </w:p>
    <w:p w14:paraId="0A46BDE0">
      <w:pPr>
        <w:wordWrap w:val="0"/>
        <w:spacing w:line="360" w:lineRule="auto"/>
        <w:ind w:firstLine="480" w:firstLineChars="200"/>
        <w:rPr>
          <w:rFonts w:hint="eastAsia" w:ascii="宋体" w:hAnsi="宋体"/>
          <w:sz w:val="24"/>
          <w:szCs w:val="24"/>
        </w:rPr>
      </w:pPr>
      <w:r>
        <w:rPr>
          <w:rFonts w:hint="eastAsia" w:ascii="宋体" w:hAnsi="宋体"/>
          <w:sz w:val="24"/>
          <w:szCs w:val="24"/>
        </w:rPr>
        <w:t>22.1.1承包人违约的情形</w:t>
      </w:r>
    </w:p>
    <w:p w14:paraId="1A619894">
      <w:pPr>
        <w:wordWrap w:val="0"/>
        <w:spacing w:line="360" w:lineRule="auto"/>
        <w:ind w:firstLine="480" w:firstLineChars="200"/>
        <w:rPr>
          <w:rFonts w:hint="eastAsia" w:ascii="宋体" w:hAnsi="宋体"/>
          <w:sz w:val="24"/>
          <w:szCs w:val="24"/>
        </w:rPr>
      </w:pPr>
      <w:r>
        <w:rPr>
          <w:rFonts w:hint="eastAsia" w:ascii="宋体" w:hAnsi="宋体"/>
          <w:sz w:val="24"/>
          <w:szCs w:val="24"/>
        </w:rPr>
        <w:t>本项（2）目细化为：</w:t>
      </w:r>
    </w:p>
    <w:p w14:paraId="68D12537">
      <w:pPr>
        <w:wordWrap w:val="0"/>
        <w:spacing w:line="360" w:lineRule="auto"/>
        <w:ind w:firstLine="480" w:firstLineChars="200"/>
        <w:rPr>
          <w:rFonts w:hint="eastAsia" w:ascii="宋体" w:hAnsi="宋体"/>
          <w:sz w:val="24"/>
          <w:szCs w:val="24"/>
        </w:rPr>
      </w:pPr>
      <w:r>
        <w:rPr>
          <w:rFonts w:hint="eastAsia" w:ascii="宋体" w:hAnsi="宋体"/>
          <w:sz w:val="24"/>
          <w:szCs w:val="24"/>
        </w:rPr>
        <w:t>（2）承包人违反第5.3款或第6.4款的约定，未经监理人批准，私自将已按合同约定进入施工场地的施工设备、临时设施、材料或工程设备撤离施工场地；</w:t>
      </w:r>
    </w:p>
    <w:p w14:paraId="20C04E20">
      <w:pPr>
        <w:wordWrap w:val="0"/>
        <w:spacing w:line="360" w:lineRule="auto"/>
        <w:ind w:firstLine="480" w:firstLineChars="200"/>
        <w:rPr>
          <w:rFonts w:hint="eastAsia" w:ascii="宋体" w:hAnsi="宋体"/>
          <w:sz w:val="24"/>
          <w:szCs w:val="24"/>
        </w:rPr>
      </w:pPr>
      <w:r>
        <w:rPr>
          <w:rFonts w:hint="eastAsia" w:ascii="宋体" w:hAnsi="宋体"/>
          <w:sz w:val="24"/>
          <w:szCs w:val="24"/>
        </w:rPr>
        <w:t>本项（7）目细化为：</w:t>
      </w:r>
    </w:p>
    <w:p w14:paraId="6FB9AF08">
      <w:pPr>
        <w:wordWrap w:val="0"/>
        <w:spacing w:line="360" w:lineRule="auto"/>
        <w:ind w:firstLine="480" w:firstLineChars="200"/>
        <w:rPr>
          <w:rFonts w:hint="eastAsia" w:ascii="宋体" w:hAnsi="宋体"/>
          <w:sz w:val="24"/>
          <w:szCs w:val="24"/>
        </w:rPr>
      </w:pPr>
      <w:r>
        <w:rPr>
          <w:rFonts w:hint="eastAsia" w:ascii="宋体" w:hAnsi="宋体"/>
          <w:sz w:val="24"/>
          <w:szCs w:val="24"/>
        </w:rPr>
        <w:t>（7）承包人未能按期开工；</w:t>
      </w:r>
    </w:p>
    <w:p w14:paraId="3F55C6C9">
      <w:pPr>
        <w:wordWrap w:val="0"/>
        <w:spacing w:line="360" w:lineRule="auto"/>
        <w:ind w:firstLine="480" w:firstLineChars="200"/>
        <w:rPr>
          <w:rFonts w:hint="eastAsia" w:ascii="宋体" w:hAnsi="宋体"/>
          <w:sz w:val="24"/>
          <w:szCs w:val="24"/>
        </w:rPr>
      </w:pPr>
      <w:r>
        <w:rPr>
          <w:rFonts w:hint="eastAsia" w:ascii="宋体" w:hAnsi="宋体"/>
          <w:sz w:val="24"/>
          <w:szCs w:val="24"/>
        </w:rPr>
        <w:t>（8）承包人违反第4.6款或6.3款的规定，未按承诺或未按监理人的要求及时配备称职的主要管理人员、技术骨干或关键施工设备；</w:t>
      </w:r>
    </w:p>
    <w:p w14:paraId="38D25E02">
      <w:pPr>
        <w:wordWrap w:val="0"/>
        <w:spacing w:line="360" w:lineRule="auto"/>
        <w:ind w:firstLine="480" w:firstLineChars="200"/>
        <w:rPr>
          <w:rFonts w:hint="eastAsia" w:ascii="宋体" w:hAnsi="宋体"/>
          <w:sz w:val="24"/>
          <w:szCs w:val="24"/>
        </w:rPr>
      </w:pPr>
      <w:r>
        <w:rPr>
          <w:rFonts w:hint="eastAsia" w:ascii="宋体" w:hAnsi="宋体"/>
          <w:sz w:val="24"/>
          <w:szCs w:val="24"/>
        </w:rPr>
        <w:t>（9）经监理人和发包人检查，发现承包人有安全问题或有违反安全管理规章制度的情况；</w:t>
      </w:r>
    </w:p>
    <w:p w14:paraId="5200B425">
      <w:pPr>
        <w:wordWrap w:val="0"/>
        <w:spacing w:line="360" w:lineRule="auto"/>
        <w:ind w:firstLine="480" w:firstLineChars="200"/>
        <w:rPr>
          <w:rFonts w:hint="eastAsia" w:ascii="宋体" w:hAnsi="宋体"/>
          <w:sz w:val="24"/>
          <w:szCs w:val="24"/>
        </w:rPr>
      </w:pPr>
      <w:r>
        <w:rPr>
          <w:rFonts w:hint="eastAsia" w:ascii="宋体" w:hAnsi="宋体"/>
          <w:sz w:val="24"/>
          <w:szCs w:val="24"/>
        </w:rPr>
        <w:t>（10）承包人不按合同约定履行义务的其他情况。</w:t>
      </w:r>
    </w:p>
    <w:p w14:paraId="1EB37436">
      <w:pPr>
        <w:wordWrap w:val="0"/>
        <w:spacing w:line="360" w:lineRule="auto"/>
        <w:ind w:firstLine="480" w:firstLineChars="200"/>
        <w:rPr>
          <w:rFonts w:hint="eastAsia" w:ascii="宋体" w:hAnsi="宋体"/>
          <w:sz w:val="24"/>
          <w:szCs w:val="24"/>
        </w:rPr>
      </w:pPr>
      <w:r>
        <w:rPr>
          <w:rFonts w:hint="eastAsia" w:ascii="宋体" w:hAnsi="宋体"/>
          <w:sz w:val="24"/>
          <w:szCs w:val="24"/>
        </w:rPr>
        <w:t>22.1.2对承包人违约的处理</w:t>
      </w:r>
    </w:p>
    <w:p w14:paraId="7E1DA1FB">
      <w:pPr>
        <w:wordWrap w:val="0"/>
        <w:spacing w:line="360" w:lineRule="auto"/>
        <w:ind w:firstLine="480" w:firstLineChars="200"/>
        <w:rPr>
          <w:rFonts w:hint="eastAsia" w:ascii="宋体" w:hAnsi="宋体"/>
          <w:sz w:val="24"/>
          <w:szCs w:val="24"/>
        </w:rPr>
      </w:pPr>
      <w:r>
        <w:rPr>
          <w:rFonts w:hint="eastAsia" w:ascii="宋体" w:hAnsi="宋体"/>
          <w:sz w:val="24"/>
          <w:szCs w:val="24"/>
        </w:rPr>
        <w:t>本项补充：</w:t>
      </w:r>
    </w:p>
    <w:p w14:paraId="5E1D5960">
      <w:pPr>
        <w:wordWrap w:val="0"/>
        <w:spacing w:line="360" w:lineRule="auto"/>
        <w:ind w:firstLine="480" w:firstLineChars="200"/>
        <w:rPr>
          <w:rFonts w:hint="eastAsia" w:ascii="宋体" w:hAnsi="宋体"/>
          <w:sz w:val="24"/>
          <w:szCs w:val="24"/>
        </w:rPr>
      </w:pPr>
      <w:r>
        <w:rPr>
          <w:rFonts w:hint="eastAsia" w:ascii="宋体" w:hAnsi="宋体"/>
          <w:sz w:val="24"/>
          <w:szCs w:val="24"/>
        </w:rPr>
        <w:t>（4）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p>
    <w:p w14:paraId="55627D42">
      <w:pPr>
        <w:wordWrap w:val="0"/>
        <w:spacing w:line="360" w:lineRule="auto"/>
        <w:ind w:firstLine="480" w:firstLineChars="200"/>
        <w:rPr>
          <w:rFonts w:hint="eastAsia" w:ascii="宋体" w:hAnsi="宋体"/>
          <w:sz w:val="24"/>
          <w:szCs w:val="24"/>
        </w:rPr>
      </w:pPr>
      <w:bookmarkStart w:id="605" w:name="_Toc234382929"/>
      <w:r>
        <w:rPr>
          <w:rFonts w:hint="eastAsia" w:ascii="宋体" w:hAnsi="宋体"/>
          <w:sz w:val="24"/>
          <w:szCs w:val="24"/>
        </w:rPr>
        <w:t>22.2发包人违约</w:t>
      </w:r>
      <w:bookmarkEnd w:id="605"/>
    </w:p>
    <w:p w14:paraId="5E82D0AC">
      <w:pPr>
        <w:wordWrap w:val="0"/>
        <w:spacing w:line="360" w:lineRule="auto"/>
        <w:ind w:firstLine="480" w:firstLineChars="200"/>
        <w:rPr>
          <w:rFonts w:hint="eastAsia" w:ascii="宋体" w:hAnsi="宋体"/>
          <w:sz w:val="24"/>
          <w:szCs w:val="24"/>
        </w:rPr>
      </w:pPr>
      <w:r>
        <w:rPr>
          <w:rFonts w:hint="eastAsia" w:ascii="宋体" w:hAnsi="宋体"/>
          <w:sz w:val="24"/>
          <w:szCs w:val="24"/>
        </w:rPr>
        <w:t>22.2.4 解除合同后的付款</w:t>
      </w:r>
    </w:p>
    <w:p w14:paraId="623AA08D">
      <w:pPr>
        <w:wordWrap w:val="0"/>
        <w:spacing w:line="360" w:lineRule="auto"/>
        <w:ind w:firstLine="480" w:firstLineChars="200"/>
        <w:rPr>
          <w:rFonts w:hint="eastAsia" w:ascii="宋体" w:hAnsi="宋体"/>
          <w:sz w:val="24"/>
          <w:szCs w:val="24"/>
        </w:rPr>
      </w:pPr>
      <w:r>
        <w:rPr>
          <w:rFonts w:hint="eastAsia" w:ascii="宋体" w:hAnsi="宋体"/>
          <w:sz w:val="24"/>
          <w:szCs w:val="24"/>
        </w:rPr>
        <w:t>本项（2）目细化为：</w:t>
      </w:r>
    </w:p>
    <w:p w14:paraId="02FC927A">
      <w:pPr>
        <w:wordWrap w:val="0"/>
        <w:spacing w:line="360" w:lineRule="auto"/>
        <w:ind w:firstLine="480" w:firstLineChars="200"/>
        <w:rPr>
          <w:rFonts w:hint="eastAsia" w:ascii="宋体" w:hAnsi="宋体"/>
          <w:sz w:val="24"/>
          <w:szCs w:val="24"/>
        </w:rPr>
      </w:pPr>
      <w:r>
        <w:rPr>
          <w:rFonts w:hint="eastAsia" w:ascii="宋体" w:hAnsi="宋体"/>
          <w:sz w:val="24"/>
          <w:szCs w:val="24"/>
        </w:rPr>
        <w:t>（2）承包人为该工程施工订购并已付款的材料、工程设备和其他物品的金额，发包人付款后，该材料、工程设备和其他物品归发包人所有；</w:t>
      </w:r>
    </w:p>
    <w:p w14:paraId="4595D313">
      <w:pPr>
        <w:wordWrap w:val="0"/>
        <w:spacing w:line="360" w:lineRule="auto"/>
        <w:ind w:firstLine="480" w:firstLineChars="200"/>
        <w:rPr>
          <w:rFonts w:hint="eastAsia" w:ascii="宋体" w:hAnsi="宋体"/>
          <w:sz w:val="24"/>
          <w:szCs w:val="24"/>
        </w:rPr>
      </w:pPr>
      <w:bookmarkStart w:id="606" w:name="_Toc234382930"/>
      <w:r>
        <w:rPr>
          <w:rFonts w:hint="eastAsia" w:ascii="宋体" w:hAnsi="宋体"/>
          <w:sz w:val="24"/>
          <w:szCs w:val="24"/>
        </w:rPr>
        <w:t>23.索赔</w:t>
      </w:r>
      <w:bookmarkEnd w:id="606"/>
    </w:p>
    <w:p w14:paraId="6122564A">
      <w:pPr>
        <w:wordWrap w:val="0"/>
        <w:spacing w:line="360" w:lineRule="auto"/>
        <w:ind w:firstLine="480" w:firstLineChars="200"/>
        <w:rPr>
          <w:rFonts w:hint="eastAsia" w:ascii="宋体" w:hAnsi="宋体"/>
          <w:sz w:val="24"/>
          <w:szCs w:val="24"/>
        </w:rPr>
      </w:pPr>
      <w:bookmarkStart w:id="607" w:name="_Toc234382931"/>
      <w:r>
        <w:rPr>
          <w:rFonts w:hint="eastAsia" w:ascii="宋体" w:hAnsi="宋体"/>
          <w:sz w:val="24"/>
          <w:szCs w:val="24"/>
        </w:rPr>
        <w:t>23.1承包人索赔的提出</w:t>
      </w:r>
      <w:bookmarkEnd w:id="607"/>
    </w:p>
    <w:p w14:paraId="2494CDE7">
      <w:pPr>
        <w:wordWrap w:val="0"/>
        <w:spacing w:line="360" w:lineRule="auto"/>
        <w:ind w:firstLine="480" w:firstLineChars="200"/>
        <w:rPr>
          <w:rFonts w:hint="eastAsia" w:ascii="宋体" w:hAnsi="宋体"/>
          <w:sz w:val="24"/>
          <w:szCs w:val="24"/>
        </w:rPr>
      </w:pPr>
      <w:r>
        <w:rPr>
          <w:rFonts w:hint="eastAsia" w:ascii="宋体" w:hAnsi="宋体"/>
          <w:sz w:val="24"/>
          <w:szCs w:val="24"/>
        </w:rPr>
        <w:t>本款第（4）项细化为：</w:t>
      </w:r>
    </w:p>
    <w:p w14:paraId="3B2C132C">
      <w:pPr>
        <w:wordWrap w:val="0"/>
        <w:spacing w:line="360" w:lineRule="auto"/>
        <w:ind w:firstLine="480" w:firstLineChars="200"/>
        <w:rPr>
          <w:rFonts w:hint="eastAsia" w:ascii="宋体" w:hAnsi="宋体"/>
          <w:sz w:val="24"/>
          <w:szCs w:val="24"/>
        </w:rPr>
      </w:pPr>
      <w:r>
        <w:rPr>
          <w:rFonts w:hint="eastAsia" w:ascii="宋体" w:hAnsi="宋体"/>
          <w:sz w:val="24"/>
          <w:szCs w:val="24"/>
        </w:rPr>
        <w:t>（4）在索赔事件影响结束后的28天内，承包人应向监理人递交最终索赔通知书，说明最终要求索赔的追加付款金额和（或）延长的工期，并附必要的记录和证明材料。</w:t>
      </w:r>
    </w:p>
    <w:p w14:paraId="2E090038">
      <w:pPr>
        <w:wordWrap w:val="0"/>
        <w:spacing w:line="360" w:lineRule="auto"/>
        <w:ind w:firstLine="480" w:firstLineChars="200"/>
        <w:rPr>
          <w:rFonts w:hint="eastAsia" w:ascii="宋体" w:hAnsi="宋体"/>
          <w:sz w:val="24"/>
          <w:szCs w:val="24"/>
        </w:rPr>
      </w:pPr>
      <w:bookmarkStart w:id="608" w:name="_Toc234382932"/>
      <w:r>
        <w:rPr>
          <w:rFonts w:hint="eastAsia" w:ascii="宋体" w:hAnsi="宋体"/>
          <w:sz w:val="24"/>
          <w:szCs w:val="24"/>
        </w:rPr>
        <w:t>23.2承包人索赔处理程序</w:t>
      </w:r>
      <w:bookmarkEnd w:id="608"/>
    </w:p>
    <w:p w14:paraId="28601AF2">
      <w:pPr>
        <w:wordWrap w:val="0"/>
        <w:spacing w:line="360" w:lineRule="auto"/>
        <w:ind w:firstLine="480" w:firstLineChars="200"/>
        <w:rPr>
          <w:rFonts w:hint="eastAsia" w:ascii="宋体" w:hAnsi="宋体"/>
          <w:sz w:val="24"/>
          <w:szCs w:val="24"/>
        </w:rPr>
      </w:pPr>
      <w:r>
        <w:rPr>
          <w:rFonts w:hint="eastAsia" w:ascii="宋体" w:hAnsi="宋体"/>
          <w:sz w:val="24"/>
          <w:szCs w:val="24"/>
        </w:rPr>
        <w:t>本款第（2）项细化为：</w:t>
      </w:r>
    </w:p>
    <w:p w14:paraId="283CB93C">
      <w:pPr>
        <w:wordWrap w:val="0"/>
        <w:spacing w:line="360" w:lineRule="auto"/>
        <w:ind w:firstLine="480" w:firstLineChars="200"/>
        <w:rPr>
          <w:rFonts w:hint="eastAsia" w:ascii="宋体" w:hAnsi="宋体"/>
          <w:sz w:val="24"/>
          <w:szCs w:val="24"/>
        </w:rPr>
      </w:pPr>
      <w:r>
        <w:rPr>
          <w:rFonts w:hint="eastAsia" w:ascii="宋体" w:hAnsi="宋体"/>
          <w:sz w:val="24"/>
          <w:szCs w:val="24"/>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规定，则承包人只限于索赔由监理人按当时记当予以核实的那部分款额外负担和（或）工期延长天数。</w:t>
      </w:r>
    </w:p>
    <w:p w14:paraId="76F1BF31">
      <w:pPr>
        <w:wordWrap w:val="0"/>
        <w:spacing w:line="360" w:lineRule="auto"/>
        <w:ind w:firstLine="480" w:firstLineChars="200"/>
        <w:rPr>
          <w:rFonts w:hint="eastAsia" w:ascii="宋体" w:hAnsi="宋体"/>
          <w:sz w:val="24"/>
          <w:szCs w:val="24"/>
        </w:rPr>
      </w:pPr>
      <w:bookmarkStart w:id="609" w:name="_Toc234382933"/>
      <w:r>
        <w:rPr>
          <w:rFonts w:hint="eastAsia" w:ascii="宋体" w:hAnsi="宋体"/>
          <w:sz w:val="24"/>
          <w:szCs w:val="24"/>
        </w:rPr>
        <w:t>24．争议的解决</w:t>
      </w:r>
      <w:bookmarkEnd w:id="609"/>
    </w:p>
    <w:p w14:paraId="62AABB98">
      <w:pPr>
        <w:wordWrap w:val="0"/>
        <w:spacing w:line="360" w:lineRule="auto"/>
        <w:ind w:firstLine="480" w:firstLineChars="200"/>
        <w:rPr>
          <w:rFonts w:hint="eastAsia" w:ascii="宋体" w:hAnsi="宋体"/>
          <w:sz w:val="24"/>
          <w:szCs w:val="24"/>
        </w:rPr>
      </w:pPr>
      <w:bookmarkStart w:id="610" w:name="_Toc234382934"/>
      <w:r>
        <w:rPr>
          <w:rFonts w:hint="eastAsia" w:ascii="宋体" w:hAnsi="宋体"/>
          <w:sz w:val="24"/>
          <w:szCs w:val="24"/>
        </w:rPr>
        <w:t>24.3争议评审</w:t>
      </w:r>
      <w:bookmarkEnd w:id="610"/>
    </w:p>
    <w:p w14:paraId="40FC333D">
      <w:pPr>
        <w:wordWrap w:val="0"/>
        <w:spacing w:line="360" w:lineRule="auto"/>
        <w:ind w:firstLine="480" w:firstLineChars="200"/>
        <w:rPr>
          <w:rFonts w:hint="eastAsia" w:ascii="宋体" w:hAnsi="宋体"/>
          <w:sz w:val="24"/>
          <w:szCs w:val="24"/>
        </w:rPr>
      </w:pPr>
      <w:r>
        <w:rPr>
          <w:rFonts w:hint="eastAsia" w:ascii="宋体" w:hAnsi="宋体"/>
          <w:sz w:val="24"/>
          <w:szCs w:val="24"/>
        </w:rPr>
        <w:t>第24.3.1项补充：</w:t>
      </w:r>
    </w:p>
    <w:p w14:paraId="3B967091">
      <w:pPr>
        <w:wordWrap w:val="0"/>
        <w:spacing w:line="360" w:lineRule="auto"/>
        <w:ind w:firstLine="480" w:firstLineChars="200"/>
        <w:rPr>
          <w:rFonts w:hint="eastAsia" w:ascii="宋体" w:hAnsi="宋体"/>
          <w:sz w:val="24"/>
          <w:szCs w:val="24"/>
        </w:rPr>
      </w:pPr>
      <w:r>
        <w:rPr>
          <w:rFonts w:hint="eastAsia" w:ascii="宋体" w:hAnsi="宋体"/>
          <w:sz w:val="24"/>
          <w:szCs w:val="24"/>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DE6BF98">
      <w:pPr>
        <w:wordWrap w:val="0"/>
        <w:spacing w:line="360" w:lineRule="auto"/>
        <w:ind w:firstLine="480" w:firstLineChars="200"/>
        <w:rPr>
          <w:rFonts w:hint="eastAsia" w:ascii="宋体" w:hAnsi="宋体"/>
          <w:sz w:val="24"/>
          <w:szCs w:val="24"/>
        </w:rPr>
      </w:pPr>
    </w:p>
    <w:p w14:paraId="5607C055">
      <w:pPr>
        <w:wordWrap w:val="0"/>
        <w:spacing w:line="360" w:lineRule="auto"/>
        <w:ind w:firstLine="480" w:firstLineChars="200"/>
        <w:rPr>
          <w:rFonts w:hint="eastAsia" w:ascii="宋体" w:hAnsi="宋体"/>
          <w:sz w:val="24"/>
          <w:szCs w:val="24"/>
        </w:rPr>
      </w:pPr>
      <w:r>
        <w:rPr>
          <w:rFonts w:hint="eastAsia" w:ascii="宋体" w:hAnsi="宋体"/>
          <w:sz w:val="24"/>
          <w:szCs w:val="24"/>
        </w:rPr>
        <w:t>本条补充第24.4、第24.5款（适用于采用仲裁方式最终解决争议的项目）：</w:t>
      </w:r>
    </w:p>
    <w:p w14:paraId="3C14769B">
      <w:pPr>
        <w:wordWrap w:val="0"/>
        <w:spacing w:line="360" w:lineRule="auto"/>
        <w:ind w:firstLine="480" w:firstLineChars="200"/>
        <w:rPr>
          <w:rFonts w:hint="eastAsia" w:ascii="宋体" w:hAnsi="宋体"/>
          <w:sz w:val="24"/>
          <w:szCs w:val="24"/>
        </w:rPr>
      </w:pPr>
      <w:bookmarkStart w:id="611" w:name="_Toc234382935"/>
      <w:r>
        <w:rPr>
          <w:rFonts w:hint="eastAsia" w:ascii="宋体" w:hAnsi="宋体"/>
          <w:sz w:val="24"/>
          <w:szCs w:val="24"/>
        </w:rPr>
        <w:t>24.4仲裁</w:t>
      </w:r>
      <w:bookmarkEnd w:id="611"/>
    </w:p>
    <w:p w14:paraId="18231990">
      <w:pPr>
        <w:wordWrap w:val="0"/>
        <w:spacing w:line="360" w:lineRule="auto"/>
        <w:ind w:firstLine="480" w:firstLineChars="200"/>
        <w:rPr>
          <w:rFonts w:hint="eastAsia" w:ascii="宋体" w:hAnsi="宋体"/>
          <w:sz w:val="24"/>
          <w:szCs w:val="24"/>
        </w:rPr>
      </w:pPr>
      <w:r>
        <w:rPr>
          <w:rFonts w:hint="eastAsia" w:ascii="宋体" w:hAnsi="宋体"/>
          <w:sz w:val="24"/>
          <w:szCs w:val="24"/>
        </w:rPr>
        <w:t>（1）对于未能友好解决或通过争议评审解决的争议，发包人或承包人任一方均有权提交给第24.1款约定的仲裁委员会仲裁。</w:t>
      </w:r>
    </w:p>
    <w:p w14:paraId="6DBE47DF">
      <w:pPr>
        <w:wordWrap w:val="0"/>
        <w:spacing w:line="360" w:lineRule="auto"/>
        <w:ind w:firstLine="480" w:firstLineChars="200"/>
        <w:rPr>
          <w:rFonts w:hint="eastAsia" w:ascii="宋体" w:hAnsi="宋体"/>
          <w:sz w:val="24"/>
          <w:szCs w:val="24"/>
        </w:rPr>
      </w:pPr>
      <w:r>
        <w:rPr>
          <w:rFonts w:hint="eastAsia" w:ascii="宋体" w:hAnsi="宋体"/>
          <w:sz w:val="24"/>
          <w:szCs w:val="24"/>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61D14680">
      <w:pPr>
        <w:wordWrap w:val="0"/>
        <w:spacing w:line="360" w:lineRule="auto"/>
        <w:ind w:firstLine="480" w:firstLineChars="200"/>
        <w:rPr>
          <w:rFonts w:hint="eastAsia" w:ascii="宋体" w:hAnsi="宋体"/>
          <w:sz w:val="24"/>
          <w:szCs w:val="24"/>
        </w:rPr>
      </w:pPr>
      <w:r>
        <w:rPr>
          <w:rFonts w:hint="eastAsia" w:ascii="宋体" w:hAnsi="宋体"/>
          <w:sz w:val="24"/>
          <w:szCs w:val="24"/>
        </w:rPr>
        <w:t>（3）仲裁裁决是终局性的并对发包人和承包人双方具有约束力。</w:t>
      </w:r>
    </w:p>
    <w:p w14:paraId="00EFDDCA">
      <w:pPr>
        <w:wordWrap w:val="0"/>
        <w:spacing w:line="360" w:lineRule="auto"/>
        <w:ind w:firstLine="480" w:firstLineChars="200"/>
        <w:rPr>
          <w:rFonts w:hint="eastAsia" w:ascii="宋体" w:hAnsi="宋体"/>
          <w:sz w:val="24"/>
          <w:szCs w:val="24"/>
        </w:rPr>
      </w:pPr>
      <w:r>
        <w:rPr>
          <w:rFonts w:hint="eastAsia" w:ascii="宋体" w:hAnsi="宋体"/>
          <w:sz w:val="24"/>
          <w:szCs w:val="24"/>
        </w:rPr>
        <w:t>（4）全部仲裁费用应由败诉方承担；或按仲裁员会裁决的比例分担。</w:t>
      </w:r>
    </w:p>
    <w:p w14:paraId="7545A93F">
      <w:pPr>
        <w:wordWrap w:val="0"/>
        <w:spacing w:line="360" w:lineRule="auto"/>
        <w:ind w:firstLine="480" w:firstLineChars="200"/>
        <w:rPr>
          <w:rFonts w:hint="eastAsia" w:ascii="宋体" w:hAnsi="宋体"/>
          <w:sz w:val="24"/>
          <w:szCs w:val="24"/>
        </w:rPr>
      </w:pPr>
      <w:bookmarkStart w:id="612" w:name="_Toc234382936"/>
      <w:r>
        <w:rPr>
          <w:rFonts w:hint="eastAsia" w:ascii="宋体" w:hAnsi="宋体"/>
          <w:sz w:val="24"/>
          <w:szCs w:val="24"/>
        </w:rPr>
        <w:t>24.5仲裁的执行</w:t>
      </w:r>
      <w:bookmarkEnd w:id="612"/>
    </w:p>
    <w:p w14:paraId="4B65CE34">
      <w:pPr>
        <w:wordWrap w:val="0"/>
        <w:spacing w:line="360" w:lineRule="auto"/>
        <w:ind w:firstLine="480" w:firstLineChars="200"/>
        <w:rPr>
          <w:rFonts w:hint="eastAsia" w:ascii="宋体" w:hAnsi="宋体"/>
          <w:sz w:val="24"/>
          <w:szCs w:val="24"/>
        </w:rPr>
      </w:pPr>
      <w:r>
        <w:rPr>
          <w:rFonts w:hint="eastAsia" w:ascii="宋体" w:hAnsi="宋体"/>
          <w:sz w:val="24"/>
          <w:szCs w:val="24"/>
        </w:rPr>
        <w:t>（1）任何一方不履行仲裁机构的裁决的，对方可以向有管辖权的人民法院申请执行。</w:t>
      </w:r>
    </w:p>
    <w:p w14:paraId="3332BFB6">
      <w:pPr>
        <w:wordWrap w:val="0"/>
        <w:spacing w:line="360" w:lineRule="auto"/>
        <w:ind w:firstLine="480" w:firstLineChars="200"/>
        <w:rPr>
          <w:rFonts w:hint="eastAsia" w:ascii="宋体" w:hAnsi="宋体"/>
          <w:sz w:val="24"/>
          <w:szCs w:val="24"/>
        </w:rPr>
      </w:pPr>
      <w:r>
        <w:rPr>
          <w:rFonts w:hint="eastAsia" w:ascii="宋体" w:hAnsi="宋体"/>
          <w:sz w:val="24"/>
          <w:szCs w:val="24"/>
        </w:rPr>
        <w:t>（2）任何一方提出证据证明裁决有《中华人民共和国仲裁法》第五十八条规定情形之一的，可以向仲裁委员会所在地的中级人民法院申请撤销裁决。人民法院认定执行该裁决违背社会公共利益的的，裁定不予执行。仲裁裁决被人民法院裁定不予执行的，当事人可以根据双方达成的书面仲裁协议重新申请仲裁，也可以向人民法院起诉。</w:t>
      </w:r>
    </w:p>
    <w:p w14:paraId="6A5E5465">
      <w:pPr>
        <w:wordWrap w:val="0"/>
        <w:jc w:val="left"/>
        <w:rPr>
          <w:rFonts w:ascii="宋体" w:hAnsi="宋体"/>
          <w:color w:val="auto"/>
          <w:kern w:val="0"/>
          <w:sz w:val="32"/>
          <w:szCs w:val="32"/>
        </w:rPr>
      </w:pPr>
    </w:p>
    <w:p w14:paraId="6B3D76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ascii="sans-serif" w:hAnsi="sans-serif" w:eastAsia="sans-serif" w:cs="sans-serif"/>
          <w:i w:val="0"/>
          <w:iCs w:val="0"/>
          <w:caps w:val="0"/>
          <w:spacing w:val="0"/>
          <w:sz w:val="24"/>
          <w:szCs w:val="24"/>
        </w:rPr>
      </w:pPr>
      <w:r>
        <w:rPr>
          <w:rFonts w:ascii="宋体" w:hAnsi="宋体" w:cs="宋体"/>
          <w:b/>
          <w:bCs/>
          <w:color w:val="auto"/>
          <w:kern w:val="0"/>
          <w:sz w:val="28"/>
          <w:szCs w:val="30"/>
        </w:rPr>
        <w:br w:type="page"/>
      </w:r>
      <w:r>
        <w:rPr>
          <w:rFonts w:hint="eastAsia" w:ascii="宋体" w:hAnsi="宋体" w:cs="宋体"/>
          <w:b/>
          <w:bCs/>
          <w:color w:val="auto"/>
          <w:kern w:val="0"/>
          <w:sz w:val="28"/>
          <w:szCs w:val="30"/>
          <w:lang w:val="en-US" w:eastAsia="zh-CN"/>
        </w:rPr>
        <w:t>B</w:t>
      </w:r>
      <w:r>
        <w:rPr>
          <w:rFonts w:hint="default" w:ascii="sans-serif" w:hAnsi="sans-serif" w:eastAsia="sans-serif" w:cs="sans-serif"/>
          <w:b/>
          <w:bCs/>
          <w:i w:val="0"/>
          <w:iCs w:val="0"/>
          <w:caps w:val="0"/>
          <w:spacing w:val="0"/>
          <w:kern w:val="0"/>
          <w:sz w:val="24"/>
          <w:szCs w:val="24"/>
          <w:shd w:val="clear" w:fill="FFFFFF"/>
          <w:lang w:val="en-US" w:eastAsia="zh-CN" w:bidi="ar"/>
        </w:rPr>
        <w:t>项目专用合同条款</w:t>
      </w:r>
    </w:p>
    <w:p w14:paraId="612B1B1A">
      <w:pPr>
        <w:wordWrap w:val="0"/>
        <w:spacing w:line="319" w:lineRule="auto"/>
        <w:ind w:left="884" w:right="384" w:hanging="660"/>
        <w:rPr>
          <w:rFonts w:hint="default" w:ascii="宋体" w:hAnsi="宋体" w:cs="宋体"/>
          <w:color w:val="auto"/>
          <w:kern w:val="0"/>
          <w:sz w:val="24"/>
          <w:lang w:val="en-US" w:eastAsia="zh-CN"/>
        </w:rPr>
      </w:pPr>
    </w:p>
    <w:p w14:paraId="25D422F2">
      <w:pPr>
        <w:keepNext w:val="0"/>
        <w:keepLines w:val="0"/>
        <w:pageBreakBefore w:val="0"/>
        <w:widowControl w:val="0"/>
        <w:kinsoku/>
        <w:wordWrap w:val="0"/>
        <w:overflowPunct/>
        <w:topLinePunct w:val="0"/>
        <w:autoSpaceDE/>
        <w:autoSpaceDN/>
        <w:bidi w:val="0"/>
        <w:adjustRightInd/>
        <w:snapToGrid/>
        <w:spacing w:line="320" w:lineRule="auto"/>
        <w:ind w:left="227" w:right="386" w:firstLine="480" w:firstLineChars="200"/>
        <w:textAlignment w:val="auto"/>
        <w:rPr>
          <w:rFonts w:hint="default" w:ascii="宋体" w:hAnsi="宋体" w:cs="宋体"/>
          <w:color w:val="auto"/>
          <w:kern w:val="0"/>
          <w:sz w:val="24"/>
        </w:rPr>
      </w:pPr>
      <w:r>
        <w:rPr>
          <w:rFonts w:hint="default" w:ascii="宋体" w:hAnsi="宋体" w:cs="宋体"/>
          <w:color w:val="auto"/>
          <w:kern w:val="0"/>
          <w:sz w:val="24"/>
          <w:lang w:val="en-US" w:eastAsia="zh-CN"/>
        </w:rPr>
        <w:t>说明：</w:t>
      </w:r>
    </w:p>
    <w:p w14:paraId="2BDD45B1">
      <w:pPr>
        <w:keepNext w:val="0"/>
        <w:keepLines w:val="0"/>
        <w:pageBreakBefore w:val="0"/>
        <w:widowControl w:val="0"/>
        <w:kinsoku/>
        <w:wordWrap w:val="0"/>
        <w:overflowPunct/>
        <w:topLinePunct w:val="0"/>
        <w:autoSpaceDE/>
        <w:autoSpaceDN/>
        <w:bidi w:val="0"/>
        <w:adjustRightInd/>
        <w:snapToGrid/>
        <w:spacing w:line="320" w:lineRule="auto"/>
        <w:ind w:left="227" w:right="386" w:firstLine="480" w:firstLineChars="200"/>
        <w:textAlignment w:val="auto"/>
        <w:rPr>
          <w:rFonts w:hint="default" w:ascii="宋体" w:hAnsi="宋体" w:cs="宋体"/>
          <w:color w:val="auto"/>
          <w:kern w:val="0"/>
          <w:sz w:val="24"/>
        </w:rPr>
      </w:pPr>
      <w:r>
        <w:rPr>
          <w:rFonts w:hint="default" w:ascii="宋体" w:hAnsi="宋体" w:cs="宋体"/>
          <w:color w:val="auto"/>
          <w:kern w:val="0"/>
          <w:sz w:val="24"/>
          <w:lang w:val="en-US" w:eastAsia="zh-CN"/>
        </w:rPr>
        <w:t>1.招标人在根据《公路工程标准施工招标文件》编制项目招标文件中的“项目专用合同条款”时，可根据招标项目的具体特点和实际需要，对“通用合同条款”及“公路工程专用合同条款”进行补充和细化，除“通用合同条款”明确“专用合同条款”可做出不同约定以及“公路工程专用合同条款”明确“项目专用合同条款”可做出不同约定外，补充和细化的内容不得与“通用合同条款”及“公路工程专用合同条款”强制性规定相抵触。同时，补充、细化或约定的不同内容，不得违反法律、行政法规的强制性规定和平等、自愿、公平和诚实信用原则。</w:t>
      </w:r>
    </w:p>
    <w:p w14:paraId="1F1BBA70">
      <w:pPr>
        <w:keepNext w:val="0"/>
        <w:keepLines w:val="0"/>
        <w:pageBreakBefore w:val="0"/>
        <w:widowControl w:val="0"/>
        <w:kinsoku/>
        <w:wordWrap w:val="0"/>
        <w:overflowPunct/>
        <w:topLinePunct w:val="0"/>
        <w:autoSpaceDE/>
        <w:autoSpaceDN/>
        <w:bidi w:val="0"/>
        <w:adjustRightInd/>
        <w:snapToGrid/>
        <w:spacing w:line="320" w:lineRule="auto"/>
        <w:ind w:left="227" w:right="386" w:firstLine="480" w:firstLineChars="200"/>
        <w:textAlignment w:val="auto"/>
        <w:rPr>
          <w:rFonts w:hint="default" w:ascii="宋体" w:hAnsi="宋体" w:cs="宋体"/>
          <w:color w:val="auto"/>
          <w:kern w:val="0"/>
          <w:sz w:val="24"/>
        </w:rPr>
      </w:pPr>
      <w:r>
        <w:rPr>
          <w:rFonts w:hint="default" w:ascii="宋体" w:hAnsi="宋体" w:cs="宋体"/>
          <w:color w:val="auto"/>
          <w:kern w:val="0"/>
          <w:sz w:val="24"/>
          <w:lang w:val="en-US" w:eastAsia="zh-CN"/>
        </w:rPr>
        <w:t>2.项目专用合同条款的编号应与通用合同条款和公路工程专用合同条款一致。</w:t>
      </w:r>
    </w:p>
    <w:p w14:paraId="6FE239E8">
      <w:pPr>
        <w:keepNext w:val="0"/>
        <w:keepLines w:val="0"/>
        <w:pageBreakBefore w:val="0"/>
        <w:widowControl w:val="0"/>
        <w:kinsoku/>
        <w:wordWrap w:val="0"/>
        <w:overflowPunct/>
        <w:topLinePunct w:val="0"/>
        <w:autoSpaceDE/>
        <w:autoSpaceDN/>
        <w:bidi w:val="0"/>
        <w:adjustRightInd/>
        <w:snapToGrid/>
        <w:spacing w:line="320" w:lineRule="auto"/>
        <w:ind w:left="227" w:right="386" w:firstLine="480" w:firstLineChars="200"/>
        <w:textAlignment w:val="auto"/>
        <w:rPr>
          <w:rFonts w:hint="default" w:ascii="宋体" w:hAnsi="宋体" w:cs="宋体"/>
          <w:color w:val="auto"/>
          <w:kern w:val="0"/>
          <w:sz w:val="24"/>
        </w:rPr>
      </w:pPr>
      <w:r>
        <w:rPr>
          <w:rFonts w:hint="default" w:ascii="宋体" w:hAnsi="宋体" w:cs="宋体"/>
          <w:color w:val="auto"/>
          <w:kern w:val="0"/>
          <w:sz w:val="24"/>
          <w:lang w:val="en-US" w:eastAsia="zh-CN"/>
        </w:rPr>
        <w:t>3.项目专用合同条款可对下列内容进行补充和细化：</w:t>
      </w:r>
    </w:p>
    <w:p w14:paraId="668C9986">
      <w:pPr>
        <w:keepNext w:val="0"/>
        <w:keepLines w:val="0"/>
        <w:pageBreakBefore w:val="0"/>
        <w:widowControl w:val="0"/>
        <w:kinsoku/>
        <w:wordWrap w:val="0"/>
        <w:overflowPunct/>
        <w:topLinePunct w:val="0"/>
        <w:autoSpaceDE/>
        <w:autoSpaceDN/>
        <w:bidi w:val="0"/>
        <w:adjustRightInd/>
        <w:snapToGrid/>
        <w:spacing w:line="320" w:lineRule="auto"/>
        <w:ind w:left="227" w:right="386" w:firstLine="480" w:firstLineChars="200"/>
        <w:textAlignment w:val="auto"/>
        <w:rPr>
          <w:rFonts w:hint="default" w:ascii="宋体" w:hAnsi="宋体" w:cs="宋体"/>
          <w:color w:val="auto"/>
          <w:kern w:val="0"/>
          <w:sz w:val="24"/>
        </w:rPr>
      </w:pPr>
      <w:r>
        <w:rPr>
          <w:rFonts w:hint="default" w:ascii="宋体" w:hAnsi="宋体" w:cs="宋体"/>
          <w:color w:val="auto"/>
          <w:kern w:val="0"/>
          <w:sz w:val="24"/>
          <w:lang w:val="en-US" w:eastAsia="zh-CN"/>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13B46337">
      <w:pPr>
        <w:keepNext w:val="0"/>
        <w:keepLines w:val="0"/>
        <w:pageBreakBefore w:val="0"/>
        <w:widowControl w:val="0"/>
        <w:kinsoku/>
        <w:wordWrap w:val="0"/>
        <w:overflowPunct/>
        <w:topLinePunct w:val="0"/>
        <w:autoSpaceDE/>
        <w:autoSpaceDN/>
        <w:bidi w:val="0"/>
        <w:adjustRightInd/>
        <w:snapToGrid/>
        <w:spacing w:line="320" w:lineRule="auto"/>
        <w:ind w:left="227" w:right="386" w:firstLine="480" w:firstLineChars="200"/>
        <w:textAlignment w:val="auto"/>
        <w:rPr>
          <w:rFonts w:hint="default" w:ascii="宋体" w:hAnsi="宋体" w:cs="宋体"/>
          <w:color w:val="auto"/>
          <w:kern w:val="0"/>
          <w:sz w:val="24"/>
        </w:rPr>
      </w:pPr>
      <w:r>
        <w:rPr>
          <w:rFonts w:hint="default" w:ascii="宋体" w:hAnsi="宋体" w:cs="宋体"/>
          <w:color w:val="auto"/>
          <w:kern w:val="0"/>
          <w:sz w:val="24"/>
          <w:lang w:val="en-US" w:eastAsia="zh-CN"/>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3A4A246B">
      <w:pPr>
        <w:keepNext w:val="0"/>
        <w:keepLines w:val="0"/>
        <w:pageBreakBefore w:val="0"/>
        <w:widowControl w:val="0"/>
        <w:kinsoku/>
        <w:wordWrap w:val="0"/>
        <w:overflowPunct/>
        <w:topLinePunct w:val="0"/>
        <w:autoSpaceDE/>
        <w:autoSpaceDN/>
        <w:bidi w:val="0"/>
        <w:adjustRightInd/>
        <w:snapToGrid/>
        <w:spacing w:line="320" w:lineRule="auto"/>
        <w:ind w:left="227" w:right="386" w:firstLine="480" w:firstLineChars="200"/>
        <w:textAlignment w:val="auto"/>
        <w:rPr>
          <w:rFonts w:hint="default" w:ascii="宋体" w:hAnsi="宋体" w:cs="宋体"/>
          <w:color w:val="auto"/>
          <w:kern w:val="0"/>
          <w:sz w:val="24"/>
        </w:rPr>
      </w:pPr>
      <w:r>
        <w:rPr>
          <w:rFonts w:hint="default" w:ascii="宋体" w:hAnsi="宋体" w:cs="宋体"/>
          <w:color w:val="auto"/>
          <w:kern w:val="0"/>
          <w:sz w:val="24"/>
          <w:lang w:val="en-US" w:eastAsia="zh-CN"/>
        </w:rPr>
        <w:t>(3）其他需要补充、细化的内容。</w:t>
      </w:r>
    </w:p>
    <w:p w14:paraId="0414D0E0">
      <w:pPr>
        <w:wordWrap w:val="0"/>
        <w:rPr>
          <w:rFonts w:hint="eastAsia" w:ascii="宋体" w:hAnsi="宋体" w:eastAsia="宋体" w:cs="宋体"/>
          <w:b/>
          <w:bCs/>
          <w:color w:val="auto"/>
          <w:kern w:val="0"/>
          <w:sz w:val="28"/>
          <w:szCs w:val="30"/>
          <w:lang w:val="en-US" w:eastAsia="zh-CN"/>
        </w:rPr>
      </w:pPr>
    </w:p>
    <w:p w14:paraId="60D3146C">
      <w:pPr>
        <w:wordWrap w:val="0"/>
        <w:rPr>
          <w:rFonts w:ascii="宋体" w:hAnsi="宋体" w:cs="宋体"/>
          <w:b/>
          <w:bCs/>
          <w:color w:val="auto"/>
          <w:kern w:val="0"/>
          <w:sz w:val="28"/>
          <w:szCs w:val="30"/>
        </w:rPr>
      </w:pPr>
      <w:r>
        <w:rPr>
          <w:rFonts w:ascii="宋体" w:hAnsi="宋体" w:cs="宋体"/>
          <w:b/>
          <w:bCs/>
          <w:color w:val="auto"/>
          <w:kern w:val="0"/>
          <w:sz w:val="28"/>
          <w:szCs w:val="30"/>
        </w:rPr>
        <w:br w:type="page"/>
      </w:r>
    </w:p>
    <w:p w14:paraId="04990D9A">
      <w:pPr>
        <w:widowControl/>
        <w:wordWrap w:val="0"/>
        <w:spacing w:after="200" w:line="276" w:lineRule="auto"/>
        <w:jc w:val="center"/>
        <w:rPr>
          <w:rFonts w:ascii="宋体" w:hAnsi="宋体" w:cs="宋体"/>
          <w:b/>
          <w:bCs/>
          <w:color w:val="auto"/>
          <w:kern w:val="0"/>
          <w:sz w:val="28"/>
          <w:szCs w:val="30"/>
        </w:rPr>
      </w:pPr>
      <w:r>
        <w:rPr>
          <w:rFonts w:ascii="宋体" w:hAnsi="宋体" w:cs="宋体"/>
          <w:b/>
          <w:bCs/>
          <w:color w:val="auto"/>
          <w:kern w:val="0"/>
          <w:sz w:val="28"/>
          <w:szCs w:val="30"/>
        </w:rPr>
        <w:t>项目专用合同条款数据表</w:t>
      </w:r>
    </w:p>
    <w:p w14:paraId="59D8AABD">
      <w:pPr>
        <w:wordWrap w:val="0"/>
        <w:spacing w:line="319" w:lineRule="auto"/>
        <w:ind w:left="884" w:right="384" w:hanging="660"/>
        <w:rPr>
          <w:rFonts w:hint="eastAsia" w:ascii="宋体" w:hAnsi="宋体" w:cs="宋体"/>
          <w:color w:val="auto"/>
          <w:kern w:val="0"/>
          <w:sz w:val="24"/>
        </w:rPr>
      </w:pPr>
      <w:r>
        <w:rPr>
          <w:rFonts w:ascii="宋体" w:hAnsi="宋体" w:cs="黑体"/>
          <w:color w:val="auto"/>
          <w:kern w:val="0"/>
          <w:sz w:val="24"/>
        </w:rPr>
        <w:t>说明：</w:t>
      </w:r>
      <w:r>
        <w:rPr>
          <w:rFonts w:ascii="宋体" w:hAnsi="宋体" w:cs="宋体"/>
          <w:color w:val="auto"/>
          <w:kern w:val="0"/>
          <w:sz w:val="24"/>
        </w:rPr>
        <w:t>本数据表是项目专用合同条款中适用于本项目的信息和数据的归纳与提</w:t>
      </w:r>
      <w:r>
        <w:rPr>
          <w:rFonts w:ascii="宋体" w:hAnsi="宋体" w:cs="宋体"/>
          <w:color w:val="auto"/>
          <w:spacing w:val="2"/>
          <w:kern w:val="0"/>
          <w:sz w:val="24"/>
        </w:rPr>
        <w:t>示，是项目专用合同条款的组成部分。第九章“投标文件格式”的投标函附录中的数据（供投标人确认）与本表所列有重复。编写招标文件的单位应仔细校核，</w:t>
      </w:r>
      <w:r>
        <w:rPr>
          <w:rFonts w:ascii="宋体" w:hAnsi="宋体" w:cs="宋体"/>
          <w:color w:val="auto"/>
          <w:kern w:val="0"/>
          <w:sz w:val="24"/>
        </w:rPr>
        <w:t>不使数据出现差错或不一致。</w:t>
      </w:r>
    </w:p>
    <w:p w14:paraId="59A91888">
      <w:pPr>
        <w:wordWrap w:val="0"/>
        <w:spacing w:line="319" w:lineRule="auto"/>
        <w:ind w:left="884" w:right="384" w:hanging="660"/>
        <w:rPr>
          <w:rFonts w:hint="eastAsia" w:ascii="宋体" w:hAnsi="宋体" w:cs="宋体"/>
          <w:color w:val="auto"/>
          <w:kern w:val="0"/>
          <w:sz w:val="24"/>
        </w:rPr>
      </w:pPr>
    </w:p>
    <w:p w14:paraId="5F51151D">
      <w:pPr>
        <w:wordWrap w:val="0"/>
        <w:spacing w:before="8"/>
        <w:jc w:val="left"/>
        <w:rPr>
          <w:rFonts w:ascii="宋体" w:hAnsi="宋体" w:cs="宋体"/>
          <w:color w:val="auto"/>
          <w:kern w:val="0"/>
          <w:sz w:val="10"/>
          <w:szCs w:val="10"/>
        </w:rPr>
      </w:pPr>
    </w:p>
    <w:tbl>
      <w:tblPr>
        <w:tblStyle w:val="15"/>
        <w:tblW w:w="9045" w:type="dxa"/>
        <w:tblInd w:w="106" w:type="dxa"/>
        <w:tblLayout w:type="fixed"/>
        <w:tblCellMar>
          <w:top w:w="0" w:type="dxa"/>
          <w:left w:w="0" w:type="dxa"/>
          <w:bottom w:w="0" w:type="dxa"/>
          <w:right w:w="0" w:type="dxa"/>
        </w:tblCellMar>
      </w:tblPr>
      <w:tblGrid>
        <w:gridCol w:w="629"/>
        <w:gridCol w:w="1250"/>
        <w:gridCol w:w="7166"/>
      </w:tblGrid>
      <w:tr w14:paraId="536E00BA">
        <w:tblPrEx>
          <w:tblCellMar>
            <w:top w:w="0" w:type="dxa"/>
            <w:left w:w="0" w:type="dxa"/>
            <w:bottom w:w="0" w:type="dxa"/>
            <w:right w:w="0" w:type="dxa"/>
          </w:tblCellMar>
        </w:tblPrEx>
        <w:trPr>
          <w:trHeight w:val="37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41FC8228">
            <w:pPr>
              <w:wordWrap w:val="0"/>
              <w:spacing w:before="55" w:line="276" w:lineRule="auto"/>
              <w:ind w:left="98"/>
              <w:jc w:val="left"/>
              <w:rPr>
                <w:rFonts w:ascii="宋体" w:hAnsi="宋体" w:cs="宋体"/>
                <w:color w:val="auto"/>
                <w:kern w:val="0"/>
                <w:sz w:val="24"/>
                <w:lang w:eastAsia="en-US"/>
              </w:rPr>
            </w:pPr>
            <w:r>
              <w:rPr>
                <w:rFonts w:ascii="宋体" w:hAnsi="宋体" w:cs="宋体"/>
                <w:b/>
                <w:bCs/>
                <w:color w:val="auto"/>
                <w:kern w:val="0"/>
                <w:sz w:val="24"/>
                <w:lang w:eastAsia="en-US"/>
              </w:rPr>
              <w:t>序号</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504F338E">
            <w:pPr>
              <w:wordWrap w:val="0"/>
              <w:spacing w:before="55" w:line="276" w:lineRule="auto"/>
              <w:ind w:left="232"/>
              <w:jc w:val="left"/>
              <w:rPr>
                <w:rFonts w:ascii="宋体" w:hAnsi="宋体" w:cs="宋体"/>
                <w:color w:val="auto"/>
                <w:kern w:val="0"/>
                <w:sz w:val="24"/>
                <w:lang w:eastAsia="en-US"/>
              </w:rPr>
            </w:pPr>
            <w:r>
              <w:rPr>
                <w:rFonts w:ascii="宋体" w:hAnsi="宋体" w:cs="宋体"/>
                <w:b/>
                <w:bCs/>
                <w:color w:val="auto"/>
                <w:kern w:val="0"/>
                <w:sz w:val="24"/>
                <w:lang w:eastAsia="en-US"/>
              </w:rPr>
              <w:t>条目号</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10815CF8">
            <w:pPr>
              <w:wordWrap w:val="0"/>
              <w:spacing w:before="55" w:line="276" w:lineRule="auto"/>
              <w:ind w:left="2"/>
              <w:jc w:val="center"/>
              <w:rPr>
                <w:rFonts w:ascii="宋体" w:hAnsi="宋体" w:cs="宋体"/>
                <w:color w:val="auto"/>
                <w:kern w:val="0"/>
                <w:sz w:val="24"/>
                <w:lang w:eastAsia="en-US"/>
              </w:rPr>
            </w:pPr>
            <w:r>
              <w:rPr>
                <w:rFonts w:ascii="宋体" w:hAnsi="宋体" w:cs="宋体"/>
                <w:b/>
                <w:bCs/>
                <w:color w:val="auto"/>
                <w:kern w:val="0"/>
                <w:sz w:val="24"/>
                <w:lang w:eastAsia="en-US"/>
              </w:rPr>
              <w:t>信息或数据</w:t>
            </w:r>
          </w:p>
        </w:tc>
      </w:tr>
      <w:tr w14:paraId="54D79DB6">
        <w:tblPrEx>
          <w:tblCellMar>
            <w:top w:w="0" w:type="dxa"/>
            <w:left w:w="0" w:type="dxa"/>
            <w:bottom w:w="0" w:type="dxa"/>
            <w:right w:w="0" w:type="dxa"/>
          </w:tblCellMar>
        </w:tblPrEx>
        <w:trPr>
          <w:trHeight w:val="872"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79D06233">
            <w:pPr>
              <w:wordWrap w:val="0"/>
              <w:spacing w:before="6" w:line="276" w:lineRule="auto"/>
              <w:jc w:val="left"/>
              <w:rPr>
                <w:rFonts w:ascii="宋体" w:hAnsi="宋体" w:cs="宋体"/>
                <w:color w:val="auto"/>
                <w:kern w:val="0"/>
                <w:sz w:val="24"/>
                <w:lang w:eastAsia="en-US"/>
              </w:rPr>
            </w:pPr>
          </w:p>
          <w:p w14:paraId="6E6BAFCB">
            <w:pPr>
              <w:wordWrap w:val="0"/>
              <w:spacing w:line="276" w:lineRule="auto"/>
              <w:jc w:val="center"/>
              <w:rPr>
                <w:rFonts w:ascii="宋体" w:hAnsi="宋体"/>
                <w:color w:val="auto"/>
                <w:kern w:val="0"/>
                <w:sz w:val="24"/>
                <w:lang w:eastAsia="en-US"/>
              </w:rPr>
            </w:pPr>
            <w:r>
              <w:rPr>
                <w:rFonts w:ascii="宋体" w:hAnsi="宋体"/>
                <w:color w:val="auto"/>
                <w:kern w:val="0"/>
                <w:sz w:val="24"/>
                <w:lang w:eastAsia="en-US"/>
              </w:rPr>
              <w:t>1</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1BE14BD1">
            <w:pPr>
              <w:wordWrap w:val="0"/>
              <w:spacing w:before="6" w:line="276" w:lineRule="auto"/>
              <w:jc w:val="left"/>
              <w:rPr>
                <w:rFonts w:ascii="宋体" w:hAnsi="宋体" w:cs="宋体"/>
                <w:color w:val="auto"/>
                <w:kern w:val="0"/>
                <w:sz w:val="24"/>
                <w:lang w:eastAsia="en-US"/>
              </w:rPr>
            </w:pPr>
          </w:p>
          <w:p w14:paraId="75EF0CB1">
            <w:pPr>
              <w:wordWrap w:val="0"/>
              <w:spacing w:line="276" w:lineRule="auto"/>
              <w:ind w:left="261"/>
              <w:jc w:val="left"/>
              <w:rPr>
                <w:rFonts w:ascii="宋体" w:hAnsi="宋体"/>
                <w:color w:val="auto"/>
                <w:kern w:val="0"/>
                <w:sz w:val="24"/>
                <w:lang w:eastAsia="en-US"/>
              </w:rPr>
            </w:pPr>
            <w:r>
              <w:rPr>
                <w:rFonts w:ascii="宋体" w:hAnsi="宋体"/>
                <w:color w:val="auto"/>
                <w:kern w:val="0"/>
                <w:sz w:val="24"/>
                <w:lang w:eastAsia="en-US"/>
              </w:rPr>
              <w:t>1.1.2.2</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24812FA7">
            <w:pPr>
              <w:wordWrap w:val="0"/>
              <w:spacing w:before="54" w:line="276" w:lineRule="auto"/>
              <w:ind w:left="343"/>
              <w:jc w:val="left"/>
              <w:rPr>
                <w:rFonts w:ascii="宋体" w:hAnsi="宋体" w:cs="宋体"/>
                <w:color w:val="auto"/>
                <w:kern w:val="0"/>
                <w:sz w:val="24"/>
              </w:rPr>
            </w:pPr>
            <w:r>
              <w:rPr>
                <w:rFonts w:ascii="宋体" w:hAnsi="宋体" w:cs="宋体"/>
                <w:color w:val="auto"/>
                <w:kern w:val="0"/>
                <w:sz w:val="24"/>
              </w:rPr>
              <w:t>发 包人：</w:t>
            </w:r>
          </w:p>
          <w:p w14:paraId="708C595E">
            <w:pPr>
              <w:tabs>
                <w:tab w:val="left" w:pos="974"/>
                <w:tab w:val="left" w:pos="3389"/>
              </w:tabs>
              <w:wordWrap w:val="0"/>
              <w:spacing w:before="85" w:line="276" w:lineRule="auto"/>
              <w:ind w:left="343"/>
              <w:jc w:val="left"/>
              <w:rPr>
                <w:rFonts w:ascii="宋体" w:hAnsi="宋体" w:cs="宋体"/>
                <w:color w:val="auto"/>
                <w:kern w:val="0"/>
                <w:sz w:val="24"/>
              </w:rPr>
            </w:pPr>
            <w:r>
              <w:rPr>
                <w:rFonts w:ascii="宋体" w:hAnsi="宋体" w:cs="宋体"/>
                <w:color w:val="auto"/>
                <w:kern w:val="0"/>
                <w:sz w:val="24"/>
              </w:rPr>
              <w:t>地</w:t>
            </w:r>
            <w:r>
              <w:rPr>
                <w:rFonts w:ascii="宋体" w:hAnsi="宋体" w:cs="宋体"/>
                <w:color w:val="auto"/>
                <w:kern w:val="0"/>
                <w:sz w:val="24"/>
              </w:rPr>
              <w:tab/>
            </w:r>
            <w:r>
              <w:rPr>
                <w:rFonts w:ascii="宋体" w:hAnsi="宋体" w:cs="宋体"/>
                <w:color w:val="auto"/>
                <w:kern w:val="0"/>
                <w:sz w:val="24"/>
              </w:rPr>
              <w:t>址：</w:t>
            </w:r>
            <w:r>
              <w:rPr>
                <w:rFonts w:ascii="宋体" w:hAnsi="宋体" w:cs="宋体"/>
                <w:color w:val="auto"/>
                <w:kern w:val="0"/>
                <w:sz w:val="24"/>
              </w:rPr>
              <w:tab/>
            </w:r>
            <w:r>
              <w:rPr>
                <w:rFonts w:ascii="宋体" w:hAnsi="宋体" w:cs="宋体"/>
                <w:color w:val="auto"/>
                <w:kern w:val="0"/>
                <w:sz w:val="24"/>
              </w:rPr>
              <w:t>邮政编码：</w:t>
            </w:r>
          </w:p>
        </w:tc>
      </w:tr>
      <w:tr w14:paraId="5AF1E126">
        <w:tblPrEx>
          <w:tblCellMar>
            <w:top w:w="0" w:type="dxa"/>
            <w:left w:w="0" w:type="dxa"/>
            <w:bottom w:w="0" w:type="dxa"/>
            <w:right w:w="0" w:type="dxa"/>
          </w:tblCellMar>
        </w:tblPrEx>
        <w:trPr>
          <w:trHeight w:val="944"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78CEE281">
            <w:pPr>
              <w:wordWrap w:val="0"/>
              <w:spacing w:before="8" w:line="276" w:lineRule="auto"/>
              <w:jc w:val="left"/>
              <w:rPr>
                <w:rFonts w:ascii="宋体" w:hAnsi="宋体" w:cs="宋体"/>
                <w:color w:val="auto"/>
                <w:kern w:val="0"/>
                <w:sz w:val="24"/>
              </w:rPr>
            </w:pPr>
          </w:p>
          <w:p w14:paraId="39AC18C4">
            <w:pPr>
              <w:wordWrap w:val="0"/>
              <w:spacing w:line="276" w:lineRule="auto"/>
              <w:jc w:val="center"/>
              <w:rPr>
                <w:rFonts w:ascii="宋体" w:hAnsi="宋体"/>
                <w:color w:val="auto"/>
                <w:kern w:val="0"/>
                <w:sz w:val="24"/>
                <w:lang w:eastAsia="en-US"/>
              </w:rPr>
            </w:pPr>
            <w:r>
              <w:rPr>
                <w:rFonts w:ascii="宋体" w:hAnsi="宋体"/>
                <w:color w:val="auto"/>
                <w:kern w:val="0"/>
                <w:sz w:val="24"/>
                <w:lang w:eastAsia="en-US"/>
              </w:rPr>
              <w:t>2</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4E282E60">
            <w:pPr>
              <w:wordWrap w:val="0"/>
              <w:spacing w:before="8" w:line="276" w:lineRule="auto"/>
              <w:jc w:val="left"/>
              <w:rPr>
                <w:rFonts w:ascii="宋体" w:hAnsi="宋体" w:cs="宋体"/>
                <w:color w:val="auto"/>
                <w:kern w:val="0"/>
                <w:sz w:val="24"/>
                <w:lang w:eastAsia="en-US"/>
              </w:rPr>
            </w:pPr>
          </w:p>
          <w:p w14:paraId="06F43C2D">
            <w:pPr>
              <w:wordWrap w:val="0"/>
              <w:spacing w:line="276" w:lineRule="auto"/>
              <w:ind w:left="261"/>
              <w:jc w:val="left"/>
              <w:rPr>
                <w:rFonts w:ascii="宋体" w:hAnsi="宋体"/>
                <w:color w:val="auto"/>
                <w:kern w:val="0"/>
                <w:sz w:val="24"/>
                <w:lang w:eastAsia="en-US"/>
              </w:rPr>
            </w:pPr>
            <w:r>
              <w:rPr>
                <w:rFonts w:ascii="宋体" w:hAnsi="宋体"/>
                <w:color w:val="auto"/>
                <w:kern w:val="0"/>
                <w:sz w:val="24"/>
                <w:lang w:eastAsia="en-US"/>
              </w:rPr>
              <w:t>1.1.2.6</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6382B7B6">
            <w:pPr>
              <w:wordWrap w:val="0"/>
              <w:spacing w:before="57" w:line="276" w:lineRule="auto"/>
              <w:ind w:left="343"/>
              <w:jc w:val="left"/>
              <w:rPr>
                <w:rFonts w:ascii="宋体" w:hAnsi="宋体" w:cs="宋体"/>
                <w:color w:val="auto"/>
                <w:kern w:val="0"/>
                <w:sz w:val="24"/>
              </w:rPr>
            </w:pPr>
            <w:r>
              <w:rPr>
                <w:rFonts w:ascii="宋体" w:hAnsi="宋体" w:cs="宋体"/>
                <w:color w:val="auto"/>
                <w:kern w:val="0"/>
                <w:sz w:val="24"/>
              </w:rPr>
              <w:t>监 理人：</w:t>
            </w:r>
          </w:p>
          <w:p w14:paraId="3E32BC7C">
            <w:pPr>
              <w:tabs>
                <w:tab w:val="left" w:pos="974"/>
                <w:tab w:val="left" w:pos="3389"/>
              </w:tabs>
              <w:wordWrap w:val="0"/>
              <w:spacing w:before="85" w:line="276" w:lineRule="auto"/>
              <w:ind w:left="343"/>
              <w:jc w:val="left"/>
              <w:rPr>
                <w:rFonts w:ascii="宋体" w:hAnsi="宋体" w:cs="宋体"/>
                <w:color w:val="auto"/>
                <w:kern w:val="0"/>
                <w:sz w:val="24"/>
              </w:rPr>
            </w:pPr>
            <w:r>
              <w:rPr>
                <w:rFonts w:ascii="宋体" w:hAnsi="宋体" w:cs="宋体"/>
                <w:color w:val="auto"/>
                <w:kern w:val="0"/>
                <w:sz w:val="24"/>
              </w:rPr>
              <w:t>地</w:t>
            </w:r>
            <w:r>
              <w:rPr>
                <w:rFonts w:ascii="宋体" w:hAnsi="宋体" w:cs="宋体"/>
                <w:color w:val="auto"/>
                <w:kern w:val="0"/>
                <w:sz w:val="24"/>
              </w:rPr>
              <w:tab/>
            </w:r>
            <w:r>
              <w:rPr>
                <w:rFonts w:ascii="宋体" w:hAnsi="宋体" w:cs="宋体"/>
                <w:color w:val="auto"/>
                <w:kern w:val="0"/>
                <w:sz w:val="24"/>
              </w:rPr>
              <w:t>址：</w:t>
            </w:r>
            <w:r>
              <w:rPr>
                <w:rFonts w:ascii="宋体" w:hAnsi="宋体" w:cs="宋体"/>
                <w:color w:val="auto"/>
                <w:kern w:val="0"/>
                <w:sz w:val="24"/>
              </w:rPr>
              <w:tab/>
            </w:r>
            <w:r>
              <w:rPr>
                <w:rFonts w:ascii="宋体" w:hAnsi="宋体" w:cs="宋体"/>
                <w:color w:val="auto"/>
                <w:kern w:val="0"/>
                <w:sz w:val="24"/>
              </w:rPr>
              <w:t>邮政编码：</w:t>
            </w:r>
          </w:p>
        </w:tc>
      </w:tr>
      <w:tr w14:paraId="245A5089">
        <w:tblPrEx>
          <w:tblCellMar>
            <w:top w:w="0" w:type="dxa"/>
            <w:left w:w="0" w:type="dxa"/>
            <w:bottom w:w="0" w:type="dxa"/>
            <w:right w:w="0" w:type="dxa"/>
          </w:tblCellMar>
        </w:tblPrEx>
        <w:trPr>
          <w:trHeight w:val="466"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4CAA502C">
            <w:pPr>
              <w:wordWrap w:val="0"/>
              <w:spacing w:before="113" w:line="276" w:lineRule="auto"/>
              <w:jc w:val="center"/>
              <w:rPr>
                <w:rFonts w:ascii="宋体" w:hAnsi="宋体"/>
                <w:color w:val="auto"/>
                <w:kern w:val="0"/>
                <w:sz w:val="24"/>
                <w:lang w:eastAsia="en-US"/>
              </w:rPr>
            </w:pPr>
            <w:r>
              <w:rPr>
                <w:rFonts w:ascii="宋体" w:hAnsi="宋体"/>
                <w:color w:val="auto"/>
                <w:kern w:val="0"/>
                <w:sz w:val="24"/>
                <w:lang w:eastAsia="en-US"/>
              </w:rPr>
              <w:t>3</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49BAD21A">
            <w:pPr>
              <w:wordWrap w:val="0"/>
              <w:spacing w:before="113" w:line="276" w:lineRule="auto"/>
              <w:ind w:left="261"/>
              <w:jc w:val="left"/>
              <w:rPr>
                <w:rFonts w:ascii="宋体" w:hAnsi="宋体"/>
                <w:color w:val="auto"/>
                <w:kern w:val="0"/>
                <w:sz w:val="24"/>
                <w:lang w:eastAsia="en-US"/>
              </w:rPr>
            </w:pPr>
            <w:r>
              <w:rPr>
                <w:rFonts w:ascii="宋体" w:hAnsi="宋体"/>
                <w:color w:val="auto"/>
                <w:kern w:val="0"/>
                <w:sz w:val="24"/>
                <w:lang w:eastAsia="en-US"/>
              </w:rPr>
              <w:t>1.1.4.5</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61300295">
            <w:pPr>
              <w:tabs>
                <w:tab w:val="left" w:pos="4020"/>
              </w:tabs>
              <w:wordWrap w:val="0"/>
              <w:spacing w:before="54" w:line="276" w:lineRule="auto"/>
              <w:ind w:left="343"/>
              <w:jc w:val="left"/>
              <w:rPr>
                <w:rFonts w:ascii="宋体" w:hAnsi="宋体" w:cs="宋体"/>
                <w:color w:val="auto"/>
                <w:kern w:val="0"/>
                <w:sz w:val="24"/>
              </w:rPr>
            </w:pPr>
            <w:r>
              <w:rPr>
                <w:rFonts w:ascii="宋体" w:hAnsi="宋体" w:cs="宋体"/>
                <w:color w:val="auto"/>
                <w:spacing w:val="-2"/>
                <w:kern w:val="0"/>
                <w:sz w:val="24"/>
              </w:rPr>
              <w:t>缺陷责任期：自实际交工日期起计算</w:t>
            </w:r>
            <w:r>
              <w:rPr>
                <w:rFonts w:ascii="宋体" w:hAnsi="宋体"/>
                <w:color w:val="auto"/>
                <w:spacing w:val="-2"/>
                <w:kern w:val="0"/>
                <w:sz w:val="24"/>
                <w:u w:val="single" w:color="000000"/>
              </w:rPr>
              <w:tab/>
            </w:r>
            <w:r>
              <w:rPr>
                <w:rFonts w:ascii="宋体" w:hAnsi="宋体" w:cs="宋体"/>
                <w:color w:val="auto"/>
                <w:spacing w:val="-2"/>
                <w:kern w:val="0"/>
                <w:sz w:val="24"/>
              </w:rPr>
              <w:t>年</w:t>
            </w:r>
            <w:r>
              <w:rPr>
                <w:rFonts w:ascii="宋体" w:hAnsi="宋体" w:cs="宋体"/>
                <w:color w:val="auto"/>
                <w:spacing w:val="-2"/>
                <w:kern w:val="0"/>
                <w:position w:val="10"/>
                <w:sz w:val="24"/>
              </w:rPr>
              <w:t>①</w:t>
            </w:r>
          </w:p>
        </w:tc>
      </w:tr>
      <w:tr w14:paraId="4EE69DE9">
        <w:tblPrEx>
          <w:tblCellMar>
            <w:top w:w="0" w:type="dxa"/>
            <w:left w:w="0" w:type="dxa"/>
            <w:bottom w:w="0" w:type="dxa"/>
            <w:right w:w="0" w:type="dxa"/>
          </w:tblCellMar>
        </w:tblPrEx>
        <w:trPr>
          <w:trHeight w:val="856"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14FDF7DB">
            <w:pPr>
              <w:wordWrap w:val="0"/>
              <w:spacing w:before="6" w:line="276" w:lineRule="auto"/>
              <w:jc w:val="left"/>
              <w:rPr>
                <w:rFonts w:ascii="宋体" w:hAnsi="宋体" w:cs="宋体"/>
                <w:color w:val="auto"/>
                <w:kern w:val="0"/>
                <w:sz w:val="24"/>
              </w:rPr>
            </w:pPr>
          </w:p>
          <w:p w14:paraId="08059FD4">
            <w:pPr>
              <w:wordWrap w:val="0"/>
              <w:spacing w:line="276" w:lineRule="auto"/>
              <w:jc w:val="center"/>
              <w:rPr>
                <w:rFonts w:ascii="宋体" w:hAnsi="宋体"/>
                <w:color w:val="auto"/>
                <w:kern w:val="0"/>
                <w:sz w:val="24"/>
                <w:lang w:eastAsia="en-US"/>
              </w:rPr>
            </w:pPr>
            <w:r>
              <w:rPr>
                <w:rFonts w:ascii="宋体" w:hAnsi="宋体"/>
                <w:color w:val="auto"/>
                <w:kern w:val="0"/>
                <w:sz w:val="24"/>
                <w:lang w:eastAsia="en-US"/>
              </w:rPr>
              <w:t>4</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4D0DDED0">
            <w:pPr>
              <w:wordWrap w:val="0"/>
              <w:spacing w:before="6" w:line="276" w:lineRule="auto"/>
              <w:jc w:val="left"/>
              <w:rPr>
                <w:rFonts w:ascii="宋体" w:hAnsi="宋体" w:cs="宋体"/>
                <w:color w:val="auto"/>
                <w:kern w:val="0"/>
                <w:sz w:val="24"/>
                <w:lang w:eastAsia="en-US"/>
              </w:rPr>
            </w:pPr>
          </w:p>
          <w:p w14:paraId="7024E8D9">
            <w:pPr>
              <w:wordWrap w:val="0"/>
              <w:spacing w:line="276" w:lineRule="auto"/>
              <w:ind w:left="340"/>
              <w:jc w:val="left"/>
              <w:rPr>
                <w:rFonts w:ascii="宋体" w:hAnsi="宋体"/>
                <w:color w:val="auto"/>
                <w:kern w:val="0"/>
                <w:sz w:val="24"/>
                <w:lang w:eastAsia="en-US"/>
              </w:rPr>
            </w:pPr>
            <w:r>
              <w:rPr>
                <w:rFonts w:ascii="宋体" w:hAnsi="宋体"/>
                <w:color w:val="auto"/>
                <w:kern w:val="0"/>
                <w:sz w:val="24"/>
                <w:lang w:eastAsia="en-US"/>
              </w:rPr>
              <w:t>1.6.3</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231C7EFB">
            <w:pPr>
              <w:tabs>
                <w:tab w:val="left" w:pos="1889"/>
              </w:tabs>
              <w:wordWrap w:val="0"/>
              <w:spacing w:before="12" w:line="276" w:lineRule="auto"/>
              <w:ind w:left="103" w:right="96" w:firstLine="240"/>
              <w:jc w:val="left"/>
              <w:rPr>
                <w:rFonts w:ascii="宋体" w:hAnsi="宋体" w:cs="宋体"/>
                <w:color w:val="auto"/>
                <w:kern w:val="0"/>
                <w:sz w:val="24"/>
              </w:rPr>
            </w:pPr>
            <w:r>
              <w:rPr>
                <w:rFonts w:ascii="宋体" w:hAnsi="宋体" w:cs="宋体"/>
                <w:color w:val="auto"/>
                <w:spacing w:val="-4"/>
                <w:kern w:val="0"/>
                <w:sz w:val="24"/>
              </w:rPr>
              <w:t>图纸需要修改和补充的，应由监理人取得发包人同意后，在该工程或工程相</w:t>
            </w:r>
            <w:r>
              <w:rPr>
                <w:rFonts w:ascii="宋体" w:hAnsi="宋体" w:cs="宋体"/>
                <w:color w:val="auto"/>
                <w:spacing w:val="-1"/>
                <w:kern w:val="0"/>
                <w:sz w:val="24"/>
              </w:rPr>
              <w:t>应部位施工前</w:t>
            </w:r>
            <w:r>
              <w:rPr>
                <w:rFonts w:ascii="宋体" w:hAnsi="宋体"/>
                <w:color w:val="auto"/>
                <w:spacing w:val="-1"/>
                <w:kern w:val="0"/>
                <w:sz w:val="24"/>
                <w:u w:val="single" w:color="000000"/>
              </w:rPr>
              <w:tab/>
            </w:r>
            <w:r>
              <w:rPr>
                <w:rFonts w:ascii="宋体" w:hAnsi="宋体" w:cs="宋体"/>
                <w:color w:val="auto"/>
                <w:spacing w:val="-2"/>
                <w:kern w:val="0"/>
                <w:sz w:val="24"/>
              </w:rPr>
              <w:t>天签发图纸修改图给承包人</w:t>
            </w:r>
          </w:p>
        </w:tc>
      </w:tr>
      <w:tr w14:paraId="5BB2D1AA">
        <w:tblPrEx>
          <w:tblCellMar>
            <w:top w:w="0" w:type="dxa"/>
            <w:left w:w="0" w:type="dxa"/>
            <w:bottom w:w="0" w:type="dxa"/>
            <w:right w:w="0" w:type="dxa"/>
          </w:tblCellMar>
        </w:tblPrEx>
        <w:trPr>
          <w:trHeight w:val="1271"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4D06D7DF">
            <w:pPr>
              <w:wordWrap w:val="0"/>
              <w:spacing w:line="276" w:lineRule="auto"/>
              <w:jc w:val="left"/>
              <w:rPr>
                <w:rFonts w:ascii="宋体" w:hAnsi="宋体" w:cs="宋体"/>
                <w:color w:val="auto"/>
                <w:kern w:val="0"/>
                <w:sz w:val="24"/>
              </w:rPr>
            </w:pPr>
          </w:p>
          <w:p w14:paraId="0AEE77DA">
            <w:pPr>
              <w:wordWrap w:val="0"/>
              <w:spacing w:before="3" w:line="276" w:lineRule="auto"/>
              <w:jc w:val="left"/>
              <w:rPr>
                <w:rFonts w:ascii="宋体" w:hAnsi="宋体" w:cs="宋体"/>
                <w:color w:val="auto"/>
                <w:kern w:val="0"/>
                <w:sz w:val="24"/>
              </w:rPr>
            </w:pPr>
          </w:p>
          <w:p w14:paraId="06B6D5D5">
            <w:pPr>
              <w:wordWrap w:val="0"/>
              <w:spacing w:line="276" w:lineRule="auto"/>
              <w:jc w:val="center"/>
              <w:rPr>
                <w:rFonts w:ascii="宋体" w:hAnsi="宋体"/>
                <w:color w:val="auto"/>
                <w:kern w:val="0"/>
                <w:sz w:val="24"/>
                <w:lang w:eastAsia="en-US"/>
              </w:rPr>
            </w:pPr>
            <w:r>
              <w:rPr>
                <w:rFonts w:ascii="宋体" w:hAnsi="宋体"/>
                <w:color w:val="auto"/>
                <w:kern w:val="0"/>
                <w:sz w:val="24"/>
                <w:lang w:eastAsia="en-US"/>
              </w:rPr>
              <w:t>5</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7B8B566F">
            <w:pPr>
              <w:wordWrap w:val="0"/>
              <w:spacing w:line="276" w:lineRule="auto"/>
              <w:jc w:val="left"/>
              <w:rPr>
                <w:rFonts w:ascii="宋体" w:hAnsi="宋体" w:cs="宋体"/>
                <w:color w:val="auto"/>
                <w:kern w:val="0"/>
                <w:sz w:val="24"/>
                <w:lang w:eastAsia="en-US"/>
              </w:rPr>
            </w:pPr>
          </w:p>
          <w:p w14:paraId="6839236F">
            <w:pPr>
              <w:wordWrap w:val="0"/>
              <w:spacing w:before="3" w:line="276" w:lineRule="auto"/>
              <w:jc w:val="left"/>
              <w:rPr>
                <w:rFonts w:ascii="宋体" w:hAnsi="宋体" w:cs="宋体"/>
                <w:color w:val="auto"/>
                <w:kern w:val="0"/>
                <w:sz w:val="24"/>
                <w:lang w:eastAsia="en-US"/>
              </w:rPr>
            </w:pPr>
          </w:p>
          <w:p w14:paraId="2314E8CD">
            <w:pPr>
              <w:wordWrap w:val="0"/>
              <w:spacing w:line="276" w:lineRule="auto"/>
              <w:ind w:left="340"/>
              <w:jc w:val="left"/>
              <w:rPr>
                <w:rFonts w:ascii="宋体" w:hAnsi="宋体"/>
                <w:color w:val="auto"/>
                <w:kern w:val="0"/>
                <w:sz w:val="24"/>
                <w:lang w:eastAsia="en-US"/>
              </w:rPr>
            </w:pPr>
            <w:r>
              <w:rPr>
                <w:rFonts w:ascii="宋体" w:hAnsi="宋体"/>
                <w:color w:val="auto"/>
                <w:kern w:val="0"/>
                <w:sz w:val="24"/>
                <w:lang w:eastAsia="en-US"/>
              </w:rPr>
              <w:t>3.1.1</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35358E5F">
            <w:pPr>
              <w:wordWrap w:val="0"/>
              <w:spacing w:before="54" w:line="276" w:lineRule="auto"/>
              <w:ind w:left="343"/>
              <w:jc w:val="left"/>
              <w:rPr>
                <w:rFonts w:ascii="宋体" w:hAnsi="宋体" w:cs="宋体"/>
                <w:color w:val="auto"/>
                <w:kern w:val="0"/>
                <w:sz w:val="24"/>
              </w:rPr>
            </w:pPr>
            <w:r>
              <w:rPr>
                <w:rFonts w:ascii="宋体" w:hAnsi="宋体" w:cs="宋体"/>
                <w:color w:val="auto"/>
                <w:kern w:val="0"/>
                <w:sz w:val="24"/>
              </w:rPr>
              <w:t>监理人在行使下列权力前需要经发包人事先批准：</w:t>
            </w:r>
          </w:p>
          <w:p w14:paraId="2CD31F8C">
            <w:pPr>
              <w:wordWrap w:val="0"/>
              <w:spacing w:before="16" w:line="276" w:lineRule="auto"/>
              <w:ind w:left="103" w:right="87" w:firstLine="225"/>
              <w:jc w:val="left"/>
              <w:rPr>
                <w:rFonts w:ascii="宋体" w:hAnsi="宋体"/>
                <w:color w:val="auto"/>
                <w:kern w:val="0"/>
                <w:sz w:val="24"/>
              </w:rPr>
            </w:pPr>
            <w:r>
              <w:rPr>
                <w:rFonts w:ascii="宋体" w:hAnsi="宋体" w:cs="宋体"/>
                <w:color w:val="auto"/>
                <w:spacing w:val="-12"/>
                <w:kern w:val="0"/>
                <w:sz w:val="24"/>
              </w:rPr>
              <w:t>（</w:t>
            </w:r>
            <w:r>
              <w:rPr>
                <w:rFonts w:ascii="宋体" w:hAnsi="宋体"/>
                <w:color w:val="auto"/>
                <w:spacing w:val="-12"/>
                <w:kern w:val="0"/>
                <w:sz w:val="24"/>
              </w:rPr>
              <w:t>6</w:t>
            </w:r>
            <w:r>
              <w:rPr>
                <w:rFonts w:ascii="宋体" w:hAnsi="宋体" w:cs="宋体"/>
                <w:color w:val="auto"/>
                <w:spacing w:val="-12"/>
                <w:kern w:val="0"/>
                <w:sz w:val="24"/>
              </w:rPr>
              <w:t xml:space="preserve">）根据第 </w:t>
            </w:r>
            <w:r>
              <w:rPr>
                <w:rFonts w:ascii="宋体" w:hAnsi="宋体"/>
                <w:color w:val="auto"/>
                <w:spacing w:val="-6"/>
                <w:kern w:val="0"/>
                <w:sz w:val="24"/>
              </w:rPr>
              <w:t>15.3</w:t>
            </w:r>
            <w:r>
              <w:rPr>
                <w:rFonts w:ascii="宋体" w:hAnsi="宋体" w:cs="宋体"/>
                <w:color w:val="auto"/>
                <w:spacing w:val="-14"/>
                <w:kern w:val="0"/>
                <w:sz w:val="24"/>
              </w:rPr>
              <w:t>款发出的变更指示，其单项工程变更涉及的金额超过了该单项工程签约时合同价的</w:t>
            </w:r>
            <w:r>
              <w:rPr>
                <w:rFonts w:ascii="宋体" w:hAnsi="宋体"/>
                <w:color w:val="auto"/>
                <w:spacing w:val="-14"/>
                <w:kern w:val="0"/>
                <w:sz w:val="24"/>
              </w:rPr>
              <w:t>%</w:t>
            </w:r>
            <w:r>
              <w:rPr>
                <w:rFonts w:ascii="宋体" w:hAnsi="宋体" w:cs="宋体"/>
                <w:color w:val="auto"/>
                <w:spacing w:val="-14"/>
                <w:kern w:val="0"/>
                <w:sz w:val="24"/>
              </w:rPr>
              <w:t>或累计变更超过了签约合同价的</w:t>
            </w:r>
            <w:r>
              <w:rPr>
                <w:rFonts w:ascii="宋体" w:hAnsi="宋体"/>
                <w:color w:val="auto"/>
                <w:kern w:val="0"/>
                <w:sz w:val="24"/>
              </w:rPr>
              <w:t>%</w:t>
            </w:r>
          </w:p>
        </w:tc>
      </w:tr>
      <w:tr w14:paraId="0B512BF1">
        <w:tblPrEx>
          <w:tblCellMar>
            <w:top w:w="0" w:type="dxa"/>
            <w:left w:w="0" w:type="dxa"/>
            <w:bottom w:w="0" w:type="dxa"/>
            <w:right w:w="0" w:type="dxa"/>
          </w:tblCellMar>
        </w:tblPrEx>
        <w:trPr>
          <w:trHeight w:val="844"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72D88858">
            <w:pPr>
              <w:wordWrap w:val="0"/>
              <w:spacing w:before="6" w:line="276" w:lineRule="auto"/>
              <w:jc w:val="left"/>
              <w:rPr>
                <w:rFonts w:ascii="宋体" w:hAnsi="宋体" w:cs="宋体"/>
                <w:color w:val="auto"/>
                <w:kern w:val="0"/>
                <w:sz w:val="24"/>
              </w:rPr>
            </w:pPr>
          </w:p>
          <w:p w14:paraId="39BAB601">
            <w:pPr>
              <w:wordWrap w:val="0"/>
              <w:spacing w:line="276" w:lineRule="auto"/>
              <w:jc w:val="center"/>
              <w:rPr>
                <w:rFonts w:ascii="宋体" w:hAnsi="宋体"/>
                <w:color w:val="auto"/>
                <w:kern w:val="0"/>
                <w:sz w:val="24"/>
                <w:lang w:eastAsia="en-US"/>
              </w:rPr>
            </w:pPr>
            <w:r>
              <w:rPr>
                <w:rFonts w:ascii="宋体" w:hAnsi="宋体"/>
                <w:color w:val="auto"/>
                <w:kern w:val="0"/>
                <w:sz w:val="24"/>
                <w:lang w:eastAsia="en-US"/>
              </w:rPr>
              <w:t>6</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67F4FE1A">
            <w:pPr>
              <w:wordWrap w:val="0"/>
              <w:spacing w:before="6" w:line="276" w:lineRule="auto"/>
              <w:jc w:val="left"/>
              <w:rPr>
                <w:rFonts w:ascii="宋体" w:hAnsi="宋体" w:cs="宋体"/>
                <w:color w:val="auto"/>
                <w:kern w:val="0"/>
                <w:sz w:val="24"/>
                <w:lang w:eastAsia="en-US"/>
              </w:rPr>
            </w:pPr>
          </w:p>
          <w:p w14:paraId="1ADAAD62">
            <w:pPr>
              <w:wordWrap w:val="0"/>
              <w:spacing w:line="276" w:lineRule="auto"/>
              <w:ind w:left="340"/>
              <w:jc w:val="left"/>
              <w:rPr>
                <w:rFonts w:ascii="宋体" w:hAnsi="宋体"/>
                <w:color w:val="auto"/>
                <w:kern w:val="0"/>
                <w:sz w:val="24"/>
                <w:lang w:eastAsia="en-US"/>
              </w:rPr>
            </w:pPr>
            <w:r>
              <w:rPr>
                <w:rFonts w:ascii="宋体" w:hAnsi="宋体"/>
                <w:color w:val="auto"/>
                <w:kern w:val="0"/>
                <w:sz w:val="24"/>
                <w:lang w:eastAsia="en-US"/>
              </w:rPr>
              <w:t>5.2.1</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384E46C7">
            <w:pPr>
              <w:tabs>
                <w:tab w:val="left" w:pos="4488"/>
                <w:tab w:val="left" w:pos="7222"/>
              </w:tabs>
              <w:wordWrap w:val="0"/>
              <w:spacing w:before="12" w:line="276" w:lineRule="auto"/>
              <w:ind w:left="343" w:right="53"/>
              <w:jc w:val="left"/>
              <w:rPr>
                <w:rFonts w:ascii="宋体" w:hAnsi="宋体"/>
                <w:color w:val="auto"/>
                <w:kern w:val="0"/>
                <w:sz w:val="24"/>
              </w:rPr>
            </w:pPr>
            <w:r>
              <w:rPr>
                <w:rFonts w:ascii="宋体" w:hAnsi="宋体" w:cs="宋体"/>
                <w:color w:val="auto"/>
                <w:kern w:val="0"/>
                <w:sz w:val="24"/>
              </w:rPr>
              <w:t>发包人是否提供材料或工程设备：</w:t>
            </w:r>
            <w:r>
              <w:rPr>
                <w:rFonts w:ascii="宋体" w:hAnsi="宋体" w:cs="宋体"/>
                <w:color w:val="auto"/>
                <w:kern w:val="0"/>
                <w:sz w:val="24"/>
                <w:u w:val="single" w:color="000000"/>
              </w:rPr>
              <w:t>是或否</w:t>
            </w:r>
            <w:r>
              <w:rPr>
                <w:rFonts w:ascii="宋体" w:hAnsi="宋体"/>
                <w:color w:val="auto"/>
                <w:kern w:val="0"/>
                <w:sz w:val="24"/>
                <w:u w:val="single" w:color="000000"/>
              </w:rPr>
              <w:tab/>
            </w:r>
            <w:r>
              <w:rPr>
                <w:rFonts w:ascii="宋体" w:hAnsi="宋体" w:cs="宋体"/>
                <w:color w:val="auto"/>
                <w:kern w:val="0"/>
                <w:sz w:val="24"/>
              </w:rPr>
              <w:t>如发包人负责提供部分材料或工程设备，相关规定如下：</w:t>
            </w:r>
            <w:r>
              <w:rPr>
                <w:rFonts w:ascii="宋体" w:hAnsi="宋体"/>
                <w:color w:val="auto"/>
                <w:kern w:val="0"/>
                <w:sz w:val="24"/>
                <w:u w:val="single" w:color="000000"/>
              </w:rPr>
              <w:tab/>
            </w:r>
          </w:p>
        </w:tc>
      </w:tr>
      <w:tr w14:paraId="17052530">
        <w:tblPrEx>
          <w:tblCellMar>
            <w:top w:w="0" w:type="dxa"/>
            <w:left w:w="0" w:type="dxa"/>
            <w:bottom w:w="0" w:type="dxa"/>
            <w:right w:w="0" w:type="dxa"/>
          </w:tblCellMar>
        </w:tblPrEx>
        <w:trPr>
          <w:trHeight w:val="73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1F3FA6FD">
            <w:pPr>
              <w:wordWrap w:val="0"/>
              <w:spacing w:before="6" w:line="276" w:lineRule="auto"/>
              <w:jc w:val="left"/>
              <w:rPr>
                <w:rFonts w:ascii="宋体" w:hAnsi="宋体" w:cs="宋体"/>
                <w:color w:val="auto"/>
                <w:kern w:val="0"/>
                <w:sz w:val="24"/>
              </w:rPr>
            </w:pPr>
          </w:p>
          <w:p w14:paraId="22419B4B">
            <w:pPr>
              <w:wordWrap w:val="0"/>
              <w:spacing w:line="276" w:lineRule="auto"/>
              <w:jc w:val="center"/>
              <w:rPr>
                <w:rFonts w:ascii="宋体" w:hAnsi="宋体"/>
                <w:color w:val="auto"/>
                <w:kern w:val="0"/>
                <w:sz w:val="24"/>
                <w:lang w:eastAsia="en-US"/>
              </w:rPr>
            </w:pPr>
            <w:r>
              <w:rPr>
                <w:rFonts w:ascii="宋体" w:hAnsi="宋体"/>
                <w:color w:val="auto"/>
                <w:kern w:val="0"/>
                <w:sz w:val="24"/>
                <w:lang w:eastAsia="en-US"/>
              </w:rPr>
              <w:t>7</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6CEA6802">
            <w:pPr>
              <w:wordWrap w:val="0"/>
              <w:spacing w:before="6" w:line="276" w:lineRule="auto"/>
              <w:jc w:val="left"/>
              <w:rPr>
                <w:rFonts w:ascii="宋体" w:hAnsi="宋体" w:cs="宋体"/>
                <w:color w:val="auto"/>
                <w:kern w:val="0"/>
                <w:sz w:val="24"/>
                <w:lang w:eastAsia="en-US"/>
              </w:rPr>
            </w:pPr>
          </w:p>
          <w:p w14:paraId="73893550">
            <w:pPr>
              <w:wordWrap w:val="0"/>
              <w:spacing w:line="276" w:lineRule="auto"/>
              <w:ind w:left="2"/>
              <w:jc w:val="center"/>
              <w:rPr>
                <w:rFonts w:ascii="宋体" w:hAnsi="宋体"/>
                <w:color w:val="auto"/>
                <w:kern w:val="0"/>
                <w:sz w:val="24"/>
                <w:lang w:eastAsia="en-US"/>
              </w:rPr>
            </w:pPr>
            <w:r>
              <w:rPr>
                <w:rFonts w:ascii="宋体" w:hAnsi="宋体"/>
                <w:color w:val="auto"/>
                <w:kern w:val="0"/>
                <w:sz w:val="24"/>
                <w:lang w:eastAsia="en-US"/>
              </w:rPr>
              <w:t>6.2</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4940AF58">
            <w:pPr>
              <w:tabs>
                <w:tab w:val="left" w:pos="4908"/>
                <w:tab w:val="left" w:pos="7222"/>
              </w:tabs>
              <w:wordWrap w:val="0"/>
              <w:spacing w:before="12" w:line="276" w:lineRule="auto"/>
              <w:ind w:left="343" w:right="53"/>
              <w:jc w:val="left"/>
              <w:rPr>
                <w:rFonts w:ascii="宋体" w:hAnsi="宋体"/>
                <w:color w:val="auto"/>
                <w:kern w:val="0"/>
                <w:sz w:val="24"/>
              </w:rPr>
            </w:pPr>
            <w:r>
              <w:rPr>
                <w:rFonts w:ascii="宋体" w:hAnsi="宋体" w:cs="宋体"/>
                <w:color w:val="auto"/>
                <w:kern w:val="0"/>
                <w:sz w:val="24"/>
              </w:rPr>
              <w:t>发包人是否提供施工设备和临时设施：</w:t>
            </w:r>
            <w:r>
              <w:rPr>
                <w:rFonts w:ascii="宋体" w:hAnsi="宋体" w:cs="宋体"/>
                <w:color w:val="auto"/>
                <w:kern w:val="0"/>
                <w:sz w:val="24"/>
                <w:u w:val="single" w:color="000000"/>
              </w:rPr>
              <w:t>是或否</w:t>
            </w:r>
            <w:r>
              <w:rPr>
                <w:rFonts w:ascii="宋体" w:hAnsi="宋体"/>
                <w:color w:val="auto"/>
                <w:kern w:val="0"/>
                <w:sz w:val="24"/>
                <w:u w:val="single" w:color="000000"/>
              </w:rPr>
              <w:tab/>
            </w:r>
            <w:r>
              <w:rPr>
                <w:rFonts w:ascii="宋体" w:hAnsi="宋体" w:cs="宋体"/>
                <w:color w:val="auto"/>
                <w:kern w:val="0"/>
                <w:sz w:val="24"/>
              </w:rPr>
              <w:t>如发包人负责提供部分施工设备和临时设施，相关规定如下：</w:t>
            </w:r>
            <w:r>
              <w:rPr>
                <w:rFonts w:ascii="宋体" w:hAnsi="宋体"/>
                <w:color w:val="auto"/>
                <w:kern w:val="0"/>
                <w:sz w:val="24"/>
                <w:u w:val="single" w:color="000000"/>
              </w:rPr>
              <w:tab/>
            </w:r>
          </w:p>
        </w:tc>
      </w:tr>
      <w:tr w14:paraId="4CDBC5D9">
        <w:tblPrEx>
          <w:tblCellMar>
            <w:top w:w="0" w:type="dxa"/>
            <w:left w:w="0" w:type="dxa"/>
            <w:bottom w:w="0" w:type="dxa"/>
            <w:right w:w="0" w:type="dxa"/>
          </w:tblCellMar>
        </w:tblPrEx>
        <w:trPr>
          <w:trHeight w:val="732"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7F007321">
            <w:pPr>
              <w:wordWrap w:val="0"/>
              <w:spacing w:before="8" w:line="276" w:lineRule="auto"/>
              <w:jc w:val="left"/>
              <w:rPr>
                <w:rFonts w:ascii="宋体" w:hAnsi="宋体" w:cs="宋体"/>
                <w:color w:val="auto"/>
                <w:kern w:val="0"/>
                <w:sz w:val="24"/>
              </w:rPr>
            </w:pPr>
          </w:p>
          <w:p w14:paraId="0D49483E">
            <w:pPr>
              <w:wordWrap w:val="0"/>
              <w:spacing w:line="276" w:lineRule="auto"/>
              <w:jc w:val="center"/>
              <w:rPr>
                <w:rFonts w:ascii="宋体" w:hAnsi="宋体"/>
                <w:color w:val="auto"/>
                <w:kern w:val="0"/>
                <w:sz w:val="24"/>
                <w:lang w:eastAsia="en-US"/>
              </w:rPr>
            </w:pPr>
            <w:r>
              <w:rPr>
                <w:rFonts w:ascii="宋体" w:hAnsi="宋体"/>
                <w:color w:val="auto"/>
                <w:kern w:val="0"/>
                <w:sz w:val="24"/>
                <w:lang w:eastAsia="en-US"/>
              </w:rPr>
              <w:t>8</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6A116839">
            <w:pPr>
              <w:wordWrap w:val="0"/>
              <w:spacing w:before="8" w:line="276" w:lineRule="auto"/>
              <w:jc w:val="left"/>
              <w:rPr>
                <w:rFonts w:ascii="宋体" w:hAnsi="宋体" w:cs="宋体"/>
                <w:color w:val="auto"/>
                <w:kern w:val="0"/>
                <w:sz w:val="24"/>
                <w:lang w:eastAsia="en-US"/>
              </w:rPr>
            </w:pPr>
          </w:p>
          <w:p w14:paraId="4614A5B4">
            <w:pPr>
              <w:wordWrap w:val="0"/>
              <w:spacing w:line="276" w:lineRule="auto"/>
              <w:ind w:left="340"/>
              <w:jc w:val="left"/>
              <w:rPr>
                <w:rFonts w:ascii="宋体" w:hAnsi="宋体"/>
                <w:color w:val="auto"/>
                <w:kern w:val="0"/>
                <w:sz w:val="24"/>
                <w:lang w:eastAsia="en-US"/>
              </w:rPr>
            </w:pPr>
            <w:r>
              <w:rPr>
                <w:rFonts w:ascii="宋体" w:hAnsi="宋体"/>
                <w:color w:val="auto"/>
                <w:kern w:val="0"/>
                <w:sz w:val="24"/>
                <w:lang w:eastAsia="en-US"/>
              </w:rPr>
              <w:t>8.1.1</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1CB6E36A">
            <w:pPr>
              <w:tabs>
                <w:tab w:val="left" w:pos="6903"/>
                <w:tab w:val="left" w:pos="7222"/>
              </w:tabs>
              <w:wordWrap w:val="0"/>
              <w:spacing w:before="14" w:line="276" w:lineRule="auto"/>
              <w:ind w:left="343" w:right="53"/>
              <w:jc w:val="left"/>
              <w:rPr>
                <w:rFonts w:ascii="宋体" w:hAnsi="宋体"/>
                <w:color w:val="auto"/>
                <w:kern w:val="0"/>
                <w:sz w:val="24"/>
              </w:rPr>
            </w:pPr>
            <w:r>
              <w:rPr>
                <w:rFonts w:ascii="宋体" w:hAnsi="宋体" w:cs="宋体"/>
                <w:color w:val="auto"/>
                <w:kern w:val="0"/>
                <w:sz w:val="24"/>
              </w:rPr>
              <w:t>发包人提供测量基准点、基准线和水准点及其书面资料的期限：</w:t>
            </w:r>
            <w:r>
              <w:rPr>
                <w:rFonts w:ascii="宋体" w:hAnsi="宋体"/>
                <w:color w:val="auto"/>
                <w:kern w:val="0"/>
                <w:sz w:val="24"/>
                <w:u w:val="single" w:color="000000"/>
              </w:rPr>
              <w:tab/>
            </w:r>
            <w:r>
              <w:rPr>
                <w:rFonts w:ascii="宋体" w:hAnsi="宋体"/>
                <w:color w:val="auto"/>
                <w:kern w:val="0"/>
                <w:sz w:val="24"/>
                <w:u w:val="single" w:color="000000"/>
              </w:rPr>
              <w:tab/>
            </w:r>
            <w:r>
              <w:rPr>
                <w:rFonts w:ascii="宋体" w:hAnsi="宋体" w:cs="宋体"/>
                <w:color w:val="auto"/>
                <w:kern w:val="0"/>
                <w:sz w:val="24"/>
              </w:rPr>
              <w:t>承包人将施工控制网资料报送监理人审批的期限：</w:t>
            </w:r>
            <w:r>
              <w:rPr>
                <w:rFonts w:ascii="宋体" w:hAnsi="宋体"/>
                <w:color w:val="auto"/>
                <w:kern w:val="0"/>
                <w:sz w:val="24"/>
                <w:u w:val="single" w:color="000000"/>
              </w:rPr>
              <w:tab/>
            </w:r>
          </w:p>
        </w:tc>
      </w:tr>
      <w:tr w14:paraId="049E8FEF">
        <w:tblPrEx>
          <w:tblCellMar>
            <w:top w:w="0" w:type="dxa"/>
            <w:left w:w="0" w:type="dxa"/>
            <w:bottom w:w="0" w:type="dxa"/>
            <w:right w:w="0" w:type="dxa"/>
          </w:tblCellMar>
        </w:tblPrEx>
        <w:trPr>
          <w:trHeight w:val="37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138C4EF0">
            <w:pPr>
              <w:wordWrap w:val="0"/>
              <w:spacing w:before="114" w:line="276" w:lineRule="auto"/>
              <w:jc w:val="center"/>
              <w:rPr>
                <w:rFonts w:ascii="宋体" w:hAnsi="宋体"/>
                <w:color w:val="auto"/>
                <w:kern w:val="0"/>
                <w:sz w:val="24"/>
                <w:lang w:eastAsia="en-US"/>
              </w:rPr>
            </w:pPr>
            <w:r>
              <w:rPr>
                <w:rFonts w:ascii="宋体" w:hAnsi="宋体"/>
                <w:color w:val="auto"/>
                <w:kern w:val="0"/>
                <w:sz w:val="24"/>
                <w:lang w:eastAsia="en-US"/>
              </w:rPr>
              <w:t>9</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08D6CD96">
            <w:pPr>
              <w:wordWrap w:val="0"/>
              <w:spacing w:before="55" w:line="276" w:lineRule="auto"/>
              <w:ind w:left="108"/>
              <w:jc w:val="left"/>
              <w:rPr>
                <w:rFonts w:ascii="宋体" w:hAnsi="宋体" w:cs="宋体"/>
                <w:color w:val="auto"/>
                <w:kern w:val="0"/>
                <w:sz w:val="24"/>
                <w:lang w:eastAsia="en-US"/>
              </w:rPr>
            </w:pPr>
            <w:r>
              <w:rPr>
                <w:rFonts w:ascii="宋体" w:hAnsi="宋体"/>
                <w:color w:val="auto"/>
                <w:kern w:val="0"/>
                <w:sz w:val="24"/>
                <w:lang w:eastAsia="en-US"/>
              </w:rPr>
              <w:t>11.5</w:t>
            </w:r>
            <w:r>
              <w:rPr>
                <w:rFonts w:ascii="宋体" w:hAnsi="宋体" w:cs="宋体"/>
                <w:color w:val="auto"/>
                <w:kern w:val="0"/>
                <w:sz w:val="24"/>
                <w:lang w:eastAsia="en-US"/>
              </w:rPr>
              <w:t>（</w:t>
            </w:r>
            <w:r>
              <w:rPr>
                <w:rFonts w:ascii="宋体" w:hAnsi="宋体"/>
                <w:color w:val="auto"/>
                <w:kern w:val="0"/>
                <w:sz w:val="24"/>
                <w:lang w:eastAsia="en-US"/>
              </w:rPr>
              <w:t>3</w:t>
            </w:r>
            <w:r>
              <w:rPr>
                <w:rFonts w:ascii="宋体" w:hAnsi="宋体" w:cs="宋体"/>
                <w:color w:val="auto"/>
                <w:kern w:val="0"/>
                <w:sz w:val="24"/>
                <w:lang w:eastAsia="en-US"/>
              </w:rPr>
              <w:t>）</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4D8570E8">
            <w:pPr>
              <w:tabs>
                <w:tab w:val="left" w:pos="2446"/>
              </w:tabs>
              <w:wordWrap w:val="0"/>
              <w:spacing w:before="55" w:line="276" w:lineRule="auto"/>
              <w:ind w:left="343"/>
              <w:jc w:val="left"/>
              <w:rPr>
                <w:rFonts w:ascii="宋体" w:hAnsi="宋体" w:cs="宋体"/>
                <w:color w:val="auto"/>
                <w:kern w:val="0"/>
                <w:sz w:val="24"/>
              </w:rPr>
            </w:pPr>
            <w:r>
              <w:rPr>
                <w:rFonts w:ascii="宋体" w:hAnsi="宋体" w:cs="宋体"/>
                <w:color w:val="auto"/>
                <w:spacing w:val="-2"/>
                <w:kern w:val="0"/>
                <w:sz w:val="24"/>
              </w:rPr>
              <w:t>逾期交工违约金：</w:t>
            </w:r>
            <w:r>
              <w:rPr>
                <w:rFonts w:ascii="宋体" w:hAnsi="宋体"/>
                <w:color w:val="auto"/>
                <w:spacing w:val="-2"/>
                <w:kern w:val="0"/>
                <w:sz w:val="24"/>
                <w:u w:val="single" w:color="000000"/>
              </w:rPr>
              <w:tab/>
            </w:r>
            <w:r>
              <w:rPr>
                <w:rFonts w:ascii="宋体" w:hAnsi="宋体" w:cs="宋体"/>
                <w:color w:val="auto"/>
                <w:spacing w:val="-2"/>
                <w:kern w:val="0"/>
                <w:sz w:val="24"/>
              </w:rPr>
              <w:t>元</w:t>
            </w:r>
            <w:r>
              <w:rPr>
                <w:rFonts w:ascii="宋体" w:hAnsi="宋体"/>
                <w:color w:val="auto"/>
                <w:spacing w:val="-2"/>
                <w:kern w:val="0"/>
                <w:sz w:val="24"/>
              </w:rPr>
              <w:t>/</w:t>
            </w:r>
            <w:r>
              <w:rPr>
                <w:rFonts w:ascii="宋体" w:hAnsi="宋体" w:cs="宋体"/>
                <w:color w:val="auto"/>
                <w:spacing w:val="-2"/>
                <w:kern w:val="0"/>
                <w:sz w:val="24"/>
              </w:rPr>
              <w:t>天</w:t>
            </w:r>
          </w:p>
        </w:tc>
      </w:tr>
      <w:tr w14:paraId="6CBEB1E2">
        <w:tblPrEx>
          <w:tblCellMar>
            <w:top w:w="0" w:type="dxa"/>
            <w:left w:w="0" w:type="dxa"/>
            <w:bottom w:w="0" w:type="dxa"/>
            <w:right w:w="0" w:type="dxa"/>
          </w:tblCellMar>
        </w:tblPrEx>
        <w:trPr>
          <w:trHeight w:val="515"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451E8FCC">
            <w:pPr>
              <w:wordWrap w:val="0"/>
              <w:spacing w:before="113" w:line="276" w:lineRule="auto"/>
              <w:ind w:left="203"/>
              <w:jc w:val="left"/>
              <w:rPr>
                <w:rFonts w:ascii="宋体" w:hAnsi="宋体"/>
                <w:color w:val="auto"/>
                <w:kern w:val="0"/>
                <w:sz w:val="24"/>
                <w:lang w:eastAsia="en-US"/>
              </w:rPr>
            </w:pPr>
            <w:r>
              <w:rPr>
                <w:rFonts w:ascii="宋体" w:hAnsi="宋体"/>
                <w:color w:val="auto"/>
                <w:kern w:val="0"/>
                <w:sz w:val="24"/>
                <w:lang w:eastAsia="en-US"/>
              </w:rPr>
              <w:t>10</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52409FE5">
            <w:pPr>
              <w:wordWrap w:val="0"/>
              <w:spacing w:before="54" w:line="276" w:lineRule="auto"/>
              <w:ind w:left="108"/>
              <w:jc w:val="left"/>
              <w:rPr>
                <w:rFonts w:ascii="宋体" w:hAnsi="宋体" w:cs="宋体"/>
                <w:color w:val="auto"/>
                <w:kern w:val="0"/>
                <w:sz w:val="24"/>
                <w:lang w:eastAsia="en-US"/>
              </w:rPr>
            </w:pPr>
            <w:r>
              <w:rPr>
                <w:rFonts w:ascii="宋体" w:hAnsi="宋体"/>
                <w:color w:val="auto"/>
                <w:kern w:val="0"/>
                <w:sz w:val="24"/>
                <w:lang w:eastAsia="en-US"/>
              </w:rPr>
              <w:t>11.5</w:t>
            </w:r>
            <w:r>
              <w:rPr>
                <w:rFonts w:ascii="宋体" w:hAnsi="宋体" w:cs="宋体"/>
                <w:color w:val="auto"/>
                <w:kern w:val="0"/>
                <w:sz w:val="24"/>
                <w:lang w:eastAsia="en-US"/>
              </w:rPr>
              <w:t>（</w:t>
            </w:r>
            <w:r>
              <w:rPr>
                <w:rFonts w:ascii="宋体" w:hAnsi="宋体"/>
                <w:color w:val="auto"/>
                <w:kern w:val="0"/>
                <w:sz w:val="24"/>
                <w:lang w:eastAsia="en-US"/>
              </w:rPr>
              <w:t>3</w:t>
            </w:r>
            <w:r>
              <w:rPr>
                <w:rFonts w:ascii="宋体" w:hAnsi="宋体" w:cs="宋体"/>
                <w:color w:val="auto"/>
                <w:kern w:val="0"/>
                <w:sz w:val="24"/>
                <w:lang w:eastAsia="en-US"/>
              </w:rPr>
              <w:t>）</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434514AD">
            <w:pPr>
              <w:tabs>
                <w:tab w:val="left" w:pos="2863"/>
              </w:tabs>
              <w:wordWrap w:val="0"/>
              <w:spacing w:before="54" w:line="276" w:lineRule="auto"/>
              <w:ind w:left="343"/>
              <w:jc w:val="left"/>
              <w:rPr>
                <w:rFonts w:ascii="宋体" w:hAnsi="宋体" w:cs="宋体"/>
                <w:color w:val="auto"/>
                <w:kern w:val="0"/>
                <w:sz w:val="24"/>
              </w:rPr>
            </w:pPr>
            <w:r>
              <w:rPr>
                <w:rFonts w:ascii="宋体" w:hAnsi="宋体" w:cs="宋体"/>
                <w:color w:val="auto"/>
                <w:spacing w:val="-2"/>
                <w:kern w:val="0"/>
                <w:sz w:val="24"/>
              </w:rPr>
              <w:t>逾期交工违约金限额：</w:t>
            </w:r>
            <w:r>
              <w:rPr>
                <w:rFonts w:ascii="宋体" w:hAnsi="宋体"/>
                <w:color w:val="auto"/>
                <w:spacing w:val="-2"/>
                <w:kern w:val="0"/>
                <w:sz w:val="24"/>
                <w:u w:val="single" w:color="000000"/>
              </w:rPr>
              <w:tab/>
            </w:r>
            <w:r>
              <w:rPr>
                <w:rFonts w:ascii="宋体" w:hAnsi="宋体"/>
                <w:color w:val="auto"/>
                <w:spacing w:val="-2"/>
                <w:kern w:val="0"/>
                <w:sz w:val="24"/>
              </w:rPr>
              <w:t>%</w:t>
            </w:r>
            <w:r>
              <w:rPr>
                <w:rFonts w:ascii="宋体" w:hAnsi="宋体" w:cs="宋体"/>
                <w:color w:val="auto"/>
                <w:spacing w:val="-2"/>
                <w:kern w:val="0"/>
                <w:sz w:val="24"/>
              </w:rPr>
              <w:t>签约合同价</w:t>
            </w:r>
            <w:r>
              <w:rPr>
                <w:rFonts w:ascii="宋体" w:hAnsi="宋体" w:cs="宋体"/>
                <w:color w:val="auto"/>
                <w:spacing w:val="-2"/>
                <w:kern w:val="0"/>
                <w:position w:val="10"/>
                <w:sz w:val="24"/>
              </w:rPr>
              <w:t>②</w:t>
            </w:r>
          </w:p>
        </w:tc>
      </w:tr>
      <w:tr w14:paraId="213DDFE9">
        <w:tblPrEx>
          <w:tblCellMar>
            <w:top w:w="0" w:type="dxa"/>
            <w:left w:w="0" w:type="dxa"/>
            <w:bottom w:w="0" w:type="dxa"/>
            <w:right w:w="0" w:type="dxa"/>
          </w:tblCellMar>
        </w:tblPrEx>
        <w:trPr>
          <w:trHeight w:val="519"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4548A645">
            <w:pPr>
              <w:wordWrap w:val="0"/>
              <w:spacing w:before="113" w:line="276" w:lineRule="auto"/>
              <w:ind w:right="2"/>
              <w:jc w:val="center"/>
              <w:rPr>
                <w:rFonts w:ascii="宋体" w:hAnsi="宋体"/>
                <w:color w:val="auto"/>
                <w:kern w:val="0"/>
                <w:sz w:val="24"/>
                <w:lang w:eastAsia="en-US"/>
              </w:rPr>
            </w:pPr>
            <w:r>
              <w:rPr>
                <w:rFonts w:ascii="宋体" w:hAnsi="宋体"/>
                <w:color w:val="auto"/>
                <w:spacing w:val="-8"/>
                <w:kern w:val="0"/>
                <w:sz w:val="24"/>
                <w:lang w:eastAsia="en-US"/>
              </w:rPr>
              <w:t>11</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22C24FBF">
            <w:pPr>
              <w:wordWrap w:val="0"/>
              <w:spacing w:before="113" w:line="276" w:lineRule="auto"/>
              <w:jc w:val="center"/>
              <w:rPr>
                <w:rFonts w:ascii="宋体" w:hAnsi="宋体"/>
                <w:color w:val="auto"/>
                <w:kern w:val="0"/>
                <w:sz w:val="24"/>
                <w:lang w:eastAsia="en-US"/>
              </w:rPr>
            </w:pPr>
            <w:r>
              <w:rPr>
                <w:rFonts w:ascii="宋体" w:hAnsi="宋体"/>
                <w:color w:val="auto"/>
                <w:kern w:val="0"/>
                <w:sz w:val="24"/>
                <w:lang w:eastAsia="en-US"/>
              </w:rPr>
              <w:t>11.6</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66D9E380">
            <w:pPr>
              <w:tabs>
                <w:tab w:val="left" w:pos="2446"/>
              </w:tabs>
              <w:wordWrap w:val="0"/>
              <w:spacing w:before="54" w:line="276" w:lineRule="auto"/>
              <w:ind w:left="343"/>
              <w:jc w:val="left"/>
              <w:rPr>
                <w:rFonts w:ascii="宋体" w:hAnsi="宋体" w:cs="宋体"/>
                <w:color w:val="auto"/>
                <w:kern w:val="0"/>
                <w:sz w:val="24"/>
              </w:rPr>
            </w:pPr>
            <w:r>
              <w:rPr>
                <w:rFonts w:ascii="宋体" w:hAnsi="宋体" w:cs="宋体"/>
                <w:color w:val="auto"/>
                <w:spacing w:val="-2"/>
                <w:kern w:val="0"/>
                <w:sz w:val="24"/>
              </w:rPr>
              <w:t>提前交工的奖金：</w:t>
            </w:r>
            <w:r>
              <w:rPr>
                <w:rFonts w:ascii="宋体" w:hAnsi="宋体"/>
                <w:color w:val="auto"/>
                <w:spacing w:val="-2"/>
                <w:kern w:val="0"/>
                <w:sz w:val="24"/>
                <w:u w:val="single" w:color="000000"/>
              </w:rPr>
              <w:tab/>
            </w:r>
            <w:r>
              <w:rPr>
                <w:rFonts w:ascii="宋体" w:hAnsi="宋体" w:cs="宋体"/>
                <w:color w:val="auto"/>
                <w:spacing w:val="-2"/>
                <w:kern w:val="0"/>
                <w:sz w:val="24"/>
              </w:rPr>
              <w:t>元</w:t>
            </w:r>
            <w:r>
              <w:rPr>
                <w:rFonts w:ascii="宋体" w:hAnsi="宋体"/>
                <w:color w:val="auto"/>
                <w:spacing w:val="-2"/>
                <w:kern w:val="0"/>
                <w:sz w:val="24"/>
              </w:rPr>
              <w:t>/</w:t>
            </w:r>
            <w:r>
              <w:rPr>
                <w:rFonts w:ascii="宋体" w:hAnsi="宋体" w:cs="宋体"/>
                <w:color w:val="auto"/>
                <w:spacing w:val="-2"/>
                <w:kern w:val="0"/>
                <w:sz w:val="24"/>
              </w:rPr>
              <w:t>天</w:t>
            </w:r>
          </w:p>
        </w:tc>
      </w:tr>
      <w:tr w14:paraId="25A0C455">
        <w:tblPrEx>
          <w:tblCellMar>
            <w:top w:w="0" w:type="dxa"/>
            <w:left w:w="0" w:type="dxa"/>
            <w:bottom w:w="0" w:type="dxa"/>
            <w:right w:w="0" w:type="dxa"/>
          </w:tblCellMar>
        </w:tblPrEx>
        <w:trPr>
          <w:trHeight w:val="413"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5EDDB7EB">
            <w:pPr>
              <w:wordWrap w:val="0"/>
              <w:spacing w:before="113" w:line="276" w:lineRule="auto"/>
              <w:ind w:left="203"/>
              <w:jc w:val="left"/>
              <w:rPr>
                <w:rFonts w:ascii="宋体" w:hAnsi="宋体"/>
                <w:color w:val="auto"/>
                <w:kern w:val="0"/>
                <w:sz w:val="24"/>
                <w:lang w:eastAsia="en-US"/>
              </w:rPr>
            </w:pPr>
            <w:r>
              <w:rPr>
                <w:rFonts w:ascii="宋体" w:hAnsi="宋体"/>
                <w:color w:val="auto"/>
                <w:kern w:val="0"/>
                <w:sz w:val="24"/>
                <w:lang w:eastAsia="en-US"/>
              </w:rPr>
              <w:t>12</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06391A23">
            <w:pPr>
              <w:wordWrap w:val="0"/>
              <w:spacing w:before="113" w:line="276" w:lineRule="auto"/>
              <w:jc w:val="center"/>
              <w:rPr>
                <w:rFonts w:ascii="宋体" w:hAnsi="宋体"/>
                <w:color w:val="auto"/>
                <w:kern w:val="0"/>
                <w:sz w:val="24"/>
                <w:lang w:eastAsia="en-US"/>
              </w:rPr>
            </w:pPr>
            <w:r>
              <w:rPr>
                <w:rFonts w:ascii="宋体" w:hAnsi="宋体"/>
                <w:color w:val="auto"/>
                <w:kern w:val="0"/>
                <w:sz w:val="24"/>
                <w:lang w:eastAsia="en-US"/>
              </w:rPr>
              <w:t>11.6</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145BC26D">
            <w:pPr>
              <w:tabs>
                <w:tab w:val="left" w:pos="2863"/>
              </w:tabs>
              <w:wordWrap w:val="0"/>
              <w:spacing w:before="54" w:line="276" w:lineRule="auto"/>
              <w:ind w:left="343"/>
              <w:jc w:val="left"/>
              <w:rPr>
                <w:rFonts w:ascii="宋体" w:hAnsi="宋体" w:cs="宋体"/>
                <w:color w:val="auto"/>
                <w:kern w:val="0"/>
                <w:sz w:val="24"/>
              </w:rPr>
            </w:pPr>
            <w:r>
              <w:rPr>
                <w:rFonts w:ascii="宋体" w:hAnsi="宋体" w:cs="宋体"/>
                <w:color w:val="auto"/>
                <w:spacing w:val="-2"/>
                <w:kern w:val="0"/>
                <w:sz w:val="24"/>
              </w:rPr>
              <w:t>提前交工的奖金限额：</w:t>
            </w:r>
            <w:r>
              <w:rPr>
                <w:rFonts w:ascii="宋体" w:hAnsi="宋体"/>
                <w:color w:val="auto"/>
                <w:spacing w:val="-2"/>
                <w:kern w:val="0"/>
                <w:sz w:val="24"/>
                <w:u w:val="single" w:color="000000"/>
              </w:rPr>
              <w:tab/>
            </w:r>
            <w:r>
              <w:rPr>
                <w:rFonts w:ascii="宋体" w:hAnsi="宋体"/>
                <w:color w:val="auto"/>
                <w:spacing w:val="-2"/>
                <w:kern w:val="0"/>
                <w:sz w:val="24"/>
              </w:rPr>
              <w:t>%</w:t>
            </w:r>
            <w:r>
              <w:rPr>
                <w:rFonts w:ascii="宋体" w:hAnsi="宋体" w:cs="宋体"/>
                <w:color w:val="auto"/>
                <w:spacing w:val="-2"/>
                <w:kern w:val="0"/>
                <w:sz w:val="24"/>
              </w:rPr>
              <w:t>签约合同价</w:t>
            </w:r>
          </w:p>
        </w:tc>
      </w:tr>
      <w:tr w14:paraId="0438442D">
        <w:tblPrEx>
          <w:tblCellMar>
            <w:top w:w="0" w:type="dxa"/>
            <w:left w:w="0" w:type="dxa"/>
            <w:bottom w:w="0" w:type="dxa"/>
            <w:right w:w="0" w:type="dxa"/>
          </w:tblCellMar>
        </w:tblPrEx>
        <w:trPr>
          <w:trHeight w:val="73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69651849">
            <w:pPr>
              <w:wordWrap w:val="0"/>
              <w:spacing w:before="6" w:line="276" w:lineRule="auto"/>
              <w:jc w:val="left"/>
              <w:rPr>
                <w:rFonts w:ascii="宋体" w:hAnsi="宋体" w:cs="宋体"/>
                <w:color w:val="auto"/>
                <w:kern w:val="0"/>
                <w:sz w:val="24"/>
              </w:rPr>
            </w:pPr>
          </w:p>
          <w:p w14:paraId="672AAC96">
            <w:pPr>
              <w:wordWrap w:val="0"/>
              <w:spacing w:line="276" w:lineRule="auto"/>
              <w:ind w:left="203"/>
              <w:jc w:val="left"/>
              <w:rPr>
                <w:rFonts w:ascii="宋体" w:hAnsi="宋体"/>
                <w:color w:val="auto"/>
                <w:kern w:val="0"/>
                <w:sz w:val="24"/>
                <w:lang w:eastAsia="en-US"/>
              </w:rPr>
            </w:pPr>
            <w:r>
              <w:rPr>
                <w:rFonts w:ascii="宋体" w:hAnsi="宋体"/>
                <w:color w:val="auto"/>
                <w:kern w:val="0"/>
                <w:sz w:val="24"/>
                <w:lang w:eastAsia="en-US"/>
              </w:rPr>
              <w:t>13</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5213FFEE">
            <w:pPr>
              <w:wordWrap w:val="0"/>
              <w:spacing w:before="6" w:line="276" w:lineRule="auto"/>
              <w:jc w:val="left"/>
              <w:rPr>
                <w:rFonts w:ascii="宋体" w:hAnsi="宋体" w:cs="宋体"/>
                <w:color w:val="auto"/>
                <w:kern w:val="0"/>
                <w:sz w:val="24"/>
                <w:lang w:eastAsia="en-US"/>
              </w:rPr>
            </w:pPr>
          </w:p>
          <w:p w14:paraId="2492B3BB">
            <w:pPr>
              <w:wordWrap w:val="0"/>
              <w:spacing w:line="276" w:lineRule="auto"/>
              <w:ind w:left="288"/>
              <w:jc w:val="left"/>
              <w:rPr>
                <w:rFonts w:ascii="宋体" w:hAnsi="宋体"/>
                <w:color w:val="auto"/>
                <w:kern w:val="0"/>
                <w:sz w:val="24"/>
                <w:lang w:eastAsia="en-US"/>
              </w:rPr>
            </w:pPr>
            <w:r>
              <w:rPr>
                <w:rFonts w:ascii="宋体" w:hAnsi="宋体"/>
                <w:color w:val="auto"/>
                <w:kern w:val="0"/>
                <w:sz w:val="24"/>
                <w:lang w:eastAsia="en-US"/>
              </w:rPr>
              <w:t>15.5.2</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3DD9928B">
            <w:pPr>
              <w:tabs>
                <w:tab w:val="left" w:pos="2206"/>
                <w:tab w:val="left" w:pos="4061"/>
              </w:tabs>
              <w:wordWrap w:val="0"/>
              <w:spacing w:before="12" w:line="276" w:lineRule="auto"/>
              <w:ind w:left="103" w:right="96" w:firstLine="240"/>
              <w:jc w:val="left"/>
              <w:rPr>
                <w:rFonts w:ascii="宋体" w:hAnsi="宋体" w:cs="宋体"/>
                <w:color w:val="auto"/>
                <w:kern w:val="0"/>
                <w:sz w:val="24"/>
              </w:rPr>
            </w:pPr>
            <w:r>
              <w:rPr>
                <w:rFonts w:ascii="宋体" w:hAnsi="宋体" w:cs="宋体"/>
                <w:color w:val="auto"/>
                <w:spacing w:val="-4"/>
                <w:kern w:val="0"/>
                <w:sz w:val="24"/>
              </w:rPr>
              <w:t>承包人提出的合理化建议降低了合同价格或者提高了工程经济效益的，发包</w:t>
            </w:r>
            <w:r>
              <w:rPr>
                <w:rFonts w:ascii="宋体" w:hAnsi="宋体" w:cs="宋体"/>
                <w:color w:val="auto"/>
                <w:spacing w:val="-1"/>
                <w:kern w:val="0"/>
                <w:sz w:val="24"/>
              </w:rPr>
              <w:t>人按所节约成本的</w:t>
            </w:r>
            <w:r>
              <w:rPr>
                <w:rFonts w:ascii="宋体" w:hAnsi="宋体"/>
                <w:color w:val="auto"/>
                <w:spacing w:val="-1"/>
                <w:kern w:val="0"/>
                <w:sz w:val="24"/>
                <w:u w:val="single" w:color="000000"/>
              </w:rPr>
              <w:tab/>
            </w:r>
            <w:r>
              <w:rPr>
                <w:rFonts w:ascii="宋体" w:hAnsi="宋体"/>
                <w:color w:val="auto"/>
                <w:spacing w:val="-2"/>
                <w:kern w:val="0"/>
                <w:sz w:val="24"/>
              </w:rPr>
              <w:t>%</w:t>
            </w:r>
            <w:r>
              <w:rPr>
                <w:rFonts w:ascii="宋体" w:hAnsi="宋体" w:cs="宋体"/>
                <w:color w:val="auto"/>
                <w:spacing w:val="-2"/>
                <w:kern w:val="0"/>
                <w:sz w:val="24"/>
              </w:rPr>
              <w:t>或增加收益的</w:t>
            </w:r>
            <w:r>
              <w:rPr>
                <w:rFonts w:ascii="宋体" w:hAnsi="宋体"/>
                <w:color w:val="auto"/>
                <w:spacing w:val="-2"/>
                <w:kern w:val="0"/>
                <w:sz w:val="24"/>
                <w:u w:val="single" w:color="000000"/>
              </w:rPr>
              <w:tab/>
            </w:r>
            <w:r>
              <w:rPr>
                <w:rFonts w:ascii="宋体" w:hAnsi="宋体"/>
                <w:color w:val="auto"/>
                <w:spacing w:val="-2"/>
                <w:kern w:val="0"/>
                <w:sz w:val="24"/>
              </w:rPr>
              <w:t>%</w:t>
            </w:r>
            <w:r>
              <w:rPr>
                <w:rFonts w:ascii="宋体" w:hAnsi="宋体" w:cs="宋体"/>
                <w:color w:val="auto"/>
                <w:spacing w:val="-2"/>
                <w:kern w:val="0"/>
                <w:sz w:val="24"/>
              </w:rPr>
              <w:t>给予奖励</w:t>
            </w:r>
          </w:p>
        </w:tc>
      </w:tr>
      <w:tr w14:paraId="4B4D8F8D">
        <w:tblPrEx>
          <w:tblCellMar>
            <w:top w:w="0" w:type="dxa"/>
            <w:left w:w="0" w:type="dxa"/>
            <w:bottom w:w="0" w:type="dxa"/>
            <w:right w:w="0" w:type="dxa"/>
          </w:tblCellMar>
        </w:tblPrEx>
        <w:trPr>
          <w:trHeight w:val="182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205F2984">
            <w:pPr>
              <w:wordWrap w:val="0"/>
              <w:spacing w:line="276" w:lineRule="auto"/>
              <w:jc w:val="left"/>
              <w:rPr>
                <w:rFonts w:ascii="宋体" w:hAnsi="宋体" w:cs="宋体"/>
                <w:color w:val="auto"/>
                <w:kern w:val="0"/>
                <w:sz w:val="24"/>
              </w:rPr>
            </w:pPr>
          </w:p>
          <w:p w14:paraId="67AF009E">
            <w:pPr>
              <w:wordWrap w:val="0"/>
              <w:spacing w:line="276" w:lineRule="auto"/>
              <w:jc w:val="left"/>
              <w:rPr>
                <w:rFonts w:ascii="宋体" w:hAnsi="宋体" w:cs="宋体"/>
                <w:color w:val="auto"/>
                <w:kern w:val="0"/>
                <w:sz w:val="24"/>
              </w:rPr>
            </w:pPr>
          </w:p>
          <w:p w14:paraId="02181B9C">
            <w:pPr>
              <w:wordWrap w:val="0"/>
              <w:spacing w:before="135" w:line="276" w:lineRule="auto"/>
              <w:ind w:left="203"/>
              <w:jc w:val="left"/>
              <w:rPr>
                <w:rFonts w:ascii="宋体" w:hAnsi="宋体"/>
                <w:color w:val="auto"/>
                <w:kern w:val="0"/>
                <w:sz w:val="24"/>
                <w:lang w:eastAsia="en-US"/>
              </w:rPr>
            </w:pPr>
            <w:r>
              <w:rPr>
                <w:rFonts w:ascii="宋体" w:hAnsi="宋体"/>
                <w:color w:val="auto"/>
                <w:kern w:val="0"/>
                <w:sz w:val="24"/>
                <w:lang w:eastAsia="en-US"/>
              </w:rPr>
              <w:t>14</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580348FE">
            <w:pPr>
              <w:wordWrap w:val="0"/>
              <w:spacing w:line="276" w:lineRule="auto"/>
              <w:jc w:val="left"/>
              <w:rPr>
                <w:rFonts w:ascii="宋体" w:hAnsi="宋体" w:cs="宋体"/>
                <w:color w:val="auto"/>
                <w:kern w:val="0"/>
                <w:sz w:val="24"/>
                <w:lang w:eastAsia="en-US"/>
              </w:rPr>
            </w:pPr>
          </w:p>
          <w:p w14:paraId="7E9C5864">
            <w:pPr>
              <w:wordWrap w:val="0"/>
              <w:spacing w:line="276" w:lineRule="auto"/>
              <w:jc w:val="left"/>
              <w:rPr>
                <w:rFonts w:ascii="宋体" w:hAnsi="宋体" w:cs="宋体"/>
                <w:color w:val="auto"/>
                <w:kern w:val="0"/>
                <w:sz w:val="24"/>
                <w:lang w:eastAsia="en-US"/>
              </w:rPr>
            </w:pPr>
          </w:p>
          <w:p w14:paraId="25A97722">
            <w:pPr>
              <w:wordWrap w:val="0"/>
              <w:spacing w:before="135" w:line="276" w:lineRule="auto"/>
              <w:ind w:left="367"/>
              <w:jc w:val="left"/>
              <w:rPr>
                <w:rFonts w:ascii="宋体" w:hAnsi="宋体"/>
                <w:color w:val="auto"/>
                <w:kern w:val="0"/>
                <w:sz w:val="24"/>
                <w:lang w:eastAsia="en-US"/>
              </w:rPr>
            </w:pPr>
            <w:r>
              <w:rPr>
                <w:rFonts w:ascii="宋体" w:hAnsi="宋体"/>
                <w:color w:val="auto"/>
                <w:kern w:val="0"/>
                <w:sz w:val="24"/>
                <w:lang w:eastAsia="en-US"/>
              </w:rPr>
              <w:t>16.1</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12470DAD">
            <w:pPr>
              <w:wordWrap w:val="0"/>
              <w:spacing w:line="276" w:lineRule="auto"/>
              <w:ind w:left="103" w:right="96" w:firstLine="364"/>
              <w:jc w:val="left"/>
              <w:rPr>
                <w:rFonts w:ascii="宋体" w:hAnsi="宋体" w:cs="宋体"/>
                <w:color w:val="auto"/>
                <w:kern w:val="0"/>
                <w:sz w:val="24"/>
              </w:rPr>
            </w:pPr>
            <w:r>
              <w:rPr>
                <w:rFonts w:ascii="宋体" w:hAnsi="宋体"/>
                <w:color w:val="auto"/>
                <w:kern w:val="0"/>
                <w:sz w:val="24"/>
              </w:rPr>
              <w:t>□</w:t>
            </w:r>
            <w:r>
              <w:rPr>
                <w:rFonts w:ascii="宋体" w:hAnsi="宋体" w:cs="宋体"/>
                <w:color w:val="auto"/>
                <w:kern w:val="0"/>
                <w:sz w:val="24"/>
              </w:rPr>
              <w:t>因物价波动引起的价格调整按照</w:t>
            </w:r>
            <w:r>
              <w:rPr>
                <w:rFonts w:ascii="宋体" w:hAnsi="宋体" w:cs="宋体"/>
                <w:color w:val="auto"/>
                <w:kern w:val="0"/>
                <w:sz w:val="24"/>
                <w:u w:val="single" w:color="000000"/>
              </w:rPr>
              <w:t>第</w:t>
            </w:r>
            <w:r>
              <w:rPr>
                <w:rFonts w:ascii="宋体" w:hAnsi="宋体"/>
                <w:color w:val="auto"/>
                <w:kern w:val="0"/>
                <w:sz w:val="24"/>
                <w:u w:val="single" w:color="000000"/>
              </w:rPr>
              <w:t>16.1.1</w:t>
            </w:r>
            <w:r>
              <w:rPr>
                <w:rFonts w:ascii="宋体" w:hAnsi="宋体" w:cs="宋体"/>
                <w:color w:val="auto"/>
                <w:kern w:val="0"/>
                <w:sz w:val="24"/>
                <w:u w:val="single" w:color="000000"/>
              </w:rPr>
              <w:t>项或第</w:t>
            </w:r>
            <w:r>
              <w:rPr>
                <w:rFonts w:ascii="宋体" w:hAnsi="宋体"/>
                <w:color w:val="auto"/>
                <w:kern w:val="0"/>
                <w:sz w:val="24"/>
                <w:u w:val="single" w:color="000000"/>
              </w:rPr>
              <w:t>16.1.2</w:t>
            </w:r>
            <w:r>
              <w:rPr>
                <w:rFonts w:ascii="宋体" w:hAnsi="宋体" w:cs="宋体"/>
                <w:color w:val="auto"/>
                <w:kern w:val="0"/>
                <w:sz w:val="24"/>
                <w:u w:val="single" w:color="000000"/>
              </w:rPr>
              <w:t>项</w:t>
            </w:r>
            <w:r>
              <w:rPr>
                <w:rFonts w:ascii="宋体" w:hAnsi="宋体" w:cs="宋体"/>
                <w:color w:val="auto"/>
                <w:kern w:val="0"/>
                <w:sz w:val="24"/>
              </w:rPr>
              <w:t>约定的原则 处理</w:t>
            </w:r>
          </w:p>
          <w:p w14:paraId="28A93E96">
            <w:pPr>
              <w:wordWrap w:val="0"/>
              <w:spacing w:before="6" w:line="276" w:lineRule="auto"/>
              <w:ind w:left="103" w:right="96" w:firstLine="240"/>
              <w:jc w:val="left"/>
              <w:rPr>
                <w:rFonts w:hint="eastAsia" w:ascii="宋体" w:hAnsi="宋体" w:cs="宋体"/>
                <w:color w:val="auto"/>
                <w:kern w:val="0"/>
                <w:sz w:val="24"/>
              </w:rPr>
            </w:pPr>
            <w:r>
              <w:rPr>
                <w:rFonts w:ascii="宋体" w:hAnsi="宋体" w:cs="宋体"/>
                <w:color w:val="auto"/>
                <w:kern w:val="0"/>
                <w:sz w:val="24"/>
              </w:rPr>
              <w:t xml:space="preserve">若按第 </w:t>
            </w:r>
            <w:r>
              <w:rPr>
                <w:rFonts w:ascii="宋体" w:hAnsi="宋体"/>
                <w:color w:val="auto"/>
                <w:kern w:val="0"/>
                <w:sz w:val="24"/>
              </w:rPr>
              <w:t>16.1.1</w:t>
            </w:r>
            <w:r>
              <w:rPr>
                <w:rFonts w:ascii="宋体" w:hAnsi="宋体" w:cs="宋体"/>
                <w:color w:val="auto"/>
                <w:spacing w:val="-5"/>
                <w:kern w:val="0"/>
                <w:sz w:val="24"/>
              </w:rPr>
              <w:t>项的约定采用价格调整公式进行调价，</w:t>
            </w:r>
            <w:r>
              <w:rPr>
                <w:rFonts w:ascii="宋体" w:hAnsi="宋体" w:cs="宋体"/>
                <w:color w:val="auto"/>
                <w:spacing w:val="-5"/>
                <w:kern w:val="0"/>
                <w:sz w:val="24"/>
                <w:u w:val="single" w:color="000000"/>
              </w:rPr>
              <w:t>每半年或一年</w:t>
            </w:r>
            <w:r>
              <w:rPr>
                <w:rFonts w:ascii="宋体" w:hAnsi="宋体" w:cs="宋体"/>
                <w:color w:val="auto"/>
                <w:spacing w:val="-5"/>
                <w:kern w:val="0"/>
                <w:sz w:val="24"/>
              </w:rPr>
              <w:t>按价格调</w:t>
            </w:r>
            <w:r>
              <w:rPr>
                <w:rFonts w:ascii="宋体" w:hAnsi="宋体" w:cs="宋体"/>
                <w:color w:val="auto"/>
                <w:kern w:val="0"/>
                <w:sz w:val="24"/>
              </w:rPr>
              <w:t xml:space="preserve"> 整公式进行一次调整</w:t>
            </w:r>
          </w:p>
          <w:p w14:paraId="6A72052F">
            <w:pPr>
              <w:wordWrap w:val="0"/>
              <w:spacing w:before="6" w:line="276" w:lineRule="auto"/>
              <w:ind w:left="103" w:right="96" w:firstLine="240"/>
              <w:jc w:val="left"/>
              <w:rPr>
                <w:rFonts w:ascii="宋体" w:hAnsi="宋体" w:cs="宋体"/>
                <w:color w:val="auto"/>
                <w:kern w:val="0"/>
                <w:sz w:val="24"/>
              </w:rPr>
            </w:pPr>
            <w:r>
              <w:rPr>
                <w:rFonts w:ascii="宋体" w:hAnsi="宋体"/>
                <w:color w:val="auto"/>
                <w:spacing w:val="-1"/>
                <w:w w:val="99"/>
                <w:kern w:val="0"/>
                <w:sz w:val="24"/>
              </w:rPr>
              <w:t>□</w:t>
            </w:r>
            <w:r>
              <w:rPr>
                <w:rFonts w:ascii="宋体" w:hAnsi="宋体" w:cs="宋体"/>
                <w:color w:val="auto"/>
                <w:kern w:val="0"/>
                <w:sz w:val="24"/>
              </w:rPr>
              <w:t>合同期</w:t>
            </w:r>
            <w:r>
              <w:rPr>
                <w:rFonts w:ascii="宋体" w:hAnsi="宋体" w:cs="宋体"/>
                <w:color w:val="auto"/>
                <w:spacing w:val="-3"/>
                <w:kern w:val="0"/>
                <w:sz w:val="24"/>
              </w:rPr>
              <w:t>内</w:t>
            </w:r>
            <w:r>
              <w:rPr>
                <w:rFonts w:ascii="宋体" w:hAnsi="宋体" w:cs="宋体"/>
                <w:color w:val="auto"/>
                <w:kern w:val="0"/>
                <w:sz w:val="24"/>
              </w:rPr>
              <w:t>不</w:t>
            </w:r>
            <w:r>
              <w:rPr>
                <w:rFonts w:ascii="宋体" w:hAnsi="宋体" w:cs="宋体"/>
                <w:color w:val="auto"/>
                <w:spacing w:val="-3"/>
                <w:kern w:val="0"/>
                <w:sz w:val="24"/>
              </w:rPr>
              <w:t>调价</w:t>
            </w:r>
            <w:r>
              <w:rPr>
                <w:rFonts w:ascii="宋体" w:hAnsi="宋体" w:cs="宋体"/>
                <w:color w:val="auto"/>
                <w:kern w:val="0"/>
                <w:position w:val="10"/>
                <w:sz w:val="24"/>
              </w:rPr>
              <w:t>①</w:t>
            </w:r>
          </w:p>
        </w:tc>
      </w:tr>
      <w:tr w14:paraId="32170E2C">
        <w:tblPrEx>
          <w:tblCellMar>
            <w:top w:w="0" w:type="dxa"/>
            <w:left w:w="0" w:type="dxa"/>
            <w:bottom w:w="0" w:type="dxa"/>
            <w:right w:w="0" w:type="dxa"/>
          </w:tblCellMar>
        </w:tblPrEx>
        <w:trPr>
          <w:trHeight w:val="505"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3100FEF3">
            <w:pPr>
              <w:wordWrap w:val="0"/>
              <w:spacing w:before="113" w:line="360" w:lineRule="auto"/>
              <w:ind w:left="203"/>
              <w:jc w:val="left"/>
              <w:rPr>
                <w:rFonts w:ascii="宋体" w:hAnsi="宋体"/>
                <w:color w:val="auto"/>
                <w:kern w:val="0"/>
                <w:sz w:val="24"/>
                <w:lang w:eastAsia="en-US"/>
              </w:rPr>
            </w:pPr>
            <w:r>
              <w:rPr>
                <w:rFonts w:ascii="宋体" w:hAnsi="宋体"/>
                <w:color w:val="auto"/>
                <w:kern w:val="0"/>
                <w:sz w:val="24"/>
                <w:lang w:eastAsia="en-US"/>
              </w:rPr>
              <w:t>15</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10E79782">
            <w:pPr>
              <w:wordWrap w:val="0"/>
              <w:spacing w:before="54" w:line="360" w:lineRule="auto"/>
              <w:ind w:left="103" w:right="-5"/>
              <w:jc w:val="left"/>
              <w:rPr>
                <w:rFonts w:ascii="宋体" w:hAnsi="宋体" w:cs="宋体"/>
                <w:color w:val="auto"/>
                <w:kern w:val="0"/>
                <w:sz w:val="24"/>
                <w:lang w:eastAsia="en-US"/>
              </w:rPr>
            </w:pPr>
            <w:r>
              <w:rPr>
                <w:rFonts w:ascii="宋体" w:hAnsi="宋体"/>
                <w:color w:val="auto"/>
                <w:spacing w:val="-6"/>
                <w:kern w:val="0"/>
                <w:sz w:val="24"/>
                <w:lang w:eastAsia="en-US"/>
              </w:rPr>
              <w:t>17.2.1</w:t>
            </w:r>
            <w:r>
              <w:rPr>
                <w:rFonts w:ascii="宋体" w:hAnsi="宋体" w:cs="宋体"/>
                <w:color w:val="auto"/>
                <w:spacing w:val="-6"/>
                <w:kern w:val="0"/>
                <w:sz w:val="24"/>
                <w:lang w:eastAsia="en-US"/>
              </w:rPr>
              <w:t>（</w:t>
            </w:r>
            <w:r>
              <w:rPr>
                <w:rFonts w:ascii="宋体" w:hAnsi="宋体"/>
                <w:color w:val="auto"/>
                <w:spacing w:val="-6"/>
                <w:kern w:val="0"/>
                <w:sz w:val="24"/>
                <w:lang w:eastAsia="en-US"/>
              </w:rPr>
              <w:t>1</w:t>
            </w:r>
            <w:r>
              <w:rPr>
                <w:rFonts w:ascii="宋体" w:hAnsi="宋体" w:cs="宋体"/>
                <w:color w:val="auto"/>
                <w:spacing w:val="-6"/>
                <w:kern w:val="0"/>
                <w:sz w:val="24"/>
                <w:lang w:eastAsia="en-US"/>
              </w:rPr>
              <w:t>）</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65DC314F">
            <w:pPr>
              <w:wordWrap w:val="0"/>
              <w:spacing w:before="54" w:line="360" w:lineRule="auto"/>
              <w:ind w:left="343"/>
              <w:jc w:val="left"/>
              <w:rPr>
                <w:rFonts w:ascii="宋体" w:hAnsi="宋体" w:cs="宋体"/>
                <w:color w:val="auto"/>
                <w:kern w:val="0"/>
                <w:sz w:val="24"/>
              </w:rPr>
            </w:pPr>
            <w:r>
              <w:rPr>
                <w:rFonts w:ascii="宋体" w:hAnsi="宋体" w:cs="宋体"/>
                <w:color w:val="auto"/>
                <w:kern w:val="0"/>
                <w:sz w:val="24"/>
              </w:rPr>
              <w:t>开工预付款金额：</w:t>
            </w:r>
            <w:r>
              <w:rPr>
                <w:rFonts w:ascii="宋体" w:hAnsi="宋体"/>
                <w:color w:val="auto"/>
                <w:kern w:val="0"/>
                <w:sz w:val="24"/>
              </w:rPr>
              <w:t>%</w:t>
            </w:r>
            <w:r>
              <w:rPr>
                <w:rFonts w:ascii="宋体" w:hAnsi="宋体" w:cs="宋体"/>
                <w:color w:val="auto"/>
                <w:kern w:val="0"/>
                <w:sz w:val="24"/>
              </w:rPr>
              <w:t>签约合同价</w:t>
            </w:r>
            <w:r>
              <w:rPr>
                <w:rFonts w:ascii="宋体" w:hAnsi="宋体" w:cs="宋体"/>
                <w:color w:val="auto"/>
                <w:kern w:val="0"/>
                <w:position w:val="10"/>
                <w:sz w:val="24"/>
              </w:rPr>
              <w:t>②</w:t>
            </w:r>
          </w:p>
        </w:tc>
      </w:tr>
      <w:tr w14:paraId="1BBF483A">
        <w:tblPrEx>
          <w:tblCellMar>
            <w:top w:w="0" w:type="dxa"/>
            <w:left w:w="0" w:type="dxa"/>
            <w:bottom w:w="0" w:type="dxa"/>
            <w:right w:w="0" w:type="dxa"/>
          </w:tblCellMar>
        </w:tblPrEx>
        <w:trPr>
          <w:trHeight w:val="681"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4D28B251">
            <w:pPr>
              <w:wordWrap w:val="0"/>
              <w:spacing w:before="116" w:line="360" w:lineRule="auto"/>
              <w:ind w:left="203"/>
              <w:jc w:val="left"/>
              <w:rPr>
                <w:rFonts w:ascii="宋体" w:hAnsi="宋体"/>
                <w:color w:val="auto"/>
                <w:kern w:val="0"/>
                <w:sz w:val="24"/>
                <w:lang w:eastAsia="en-US"/>
              </w:rPr>
            </w:pPr>
            <w:r>
              <w:rPr>
                <w:rFonts w:ascii="宋体" w:hAnsi="宋体"/>
                <w:color w:val="auto"/>
                <w:kern w:val="0"/>
                <w:sz w:val="24"/>
                <w:lang w:eastAsia="en-US"/>
              </w:rPr>
              <w:t>16</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7CDDC2CC">
            <w:pPr>
              <w:wordWrap w:val="0"/>
              <w:spacing w:before="57" w:line="360" w:lineRule="auto"/>
              <w:ind w:left="103" w:right="-5"/>
              <w:jc w:val="left"/>
              <w:rPr>
                <w:rFonts w:ascii="宋体" w:hAnsi="宋体" w:cs="宋体"/>
                <w:color w:val="auto"/>
                <w:kern w:val="0"/>
                <w:sz w:val="24"/>
                <w:lang w:eastAsia="en-US"/>
              </w:rPr>
            </w:pPr>
            <w:r>
              <w:rPr>
                <w:rFonts w:ascii="宋体" w:hAnsi="宋体"/>
                <w:color w:val="auto"/>
                <w:spacing w:val="-6"/>
                <w:kern w:val="0"/>
                <w:sz w:val="24"/>
                <w:lang w:eastAsia="en-US"/>
              </w:rPr>
              <w:t>17.2.1</w:t>
            </w:r>
            <w:r>
              <w:rPr>
                <w:rFonts w:ascii="宋体" w:hAnsi="宋体" w:cs="宋体"/>
                <w:color w:val="auto"/>
                <w:spacing w:val="-6"/>
                <w:kern w:val="0"/>
                <w:sz w:val="24"/>
                <w:lang w:eastAsia="en-US"/>
              </w:rPr>
              <w:t>（</w:t>
            </w:r>
            <w:r>
              <w:rPr>
                <w:rFonts w:ascii="宋体" w:hAnsi="宋体"/>
                <w:color w:val="auto"/>
                <w:spacing w:val="-6"/>
                <w:kern w:val="0"/>
                <w:sz w:val="24"/>
                <w:lang w:eastAsia="en-US"/>
              </w:rPr>
              <w:t>2</w:t>
            </w:r>
            <w:r>
              <w:rPr>
                <w:rFonts w:ascii="宋体" w:hAnsi="宋体" w:cs="宋体"/>
                <w:color w:val="auto"/>
                <w:spacing w:val="-6"/>
                <w:kern w:val="0"/>
                <w:sz w:val="24"/>
                <w:lang w:eastAsia="en-US"/>
              </w:rPr>
              <w:t>）</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344D2144">
            <w:pPr>
              <w:tabs>
                <w:tab w:val="left" w:pos="2969"/>
              </w:tabs>
              <w:wordWrap w:val="0"/>
              <w:spacing w:before="57" w:line="360" w:lineRule="auto"/>
              <w:ind w:left="343"/>
              <w:jc w:val="left"/>
              <w:rPr>
                <w:rFonts w:ascii="宋体" w:hAnsi="宋体" w:cs="宋体"/>
                <w:color w:val="auto"/>
                <w:kern w:val="0"/>
                <w:sz w:val="24"/>
              </w:rPr>
            </w:pPr>
            <w:r>
              <w:rPr>
                <w:rFonts w:ascii="宋体" w:hAnsi="宋体" w:cs="宋体"/>
                <w:color w:val="auto"/>
                <w:spacing w:val="-2"/>
                <w:kern w:val="0"/>
                <w:sz w:val="24"/>
              </w:rPr>
              <w:t>材料、设备预付款比例：</w:t>
            </w:r>
            <w:r>
              <w:rPr>
                <w:rFonts w:ascii="宋体" w:hAnsi="宋体"/>
                <w:color w:val="auto"/>
                <w:spacing w:val="-2"/>
                <w:kern w:val="0"/>
                <w:sz w:val="24"/>
                <w:u w:val="single" w:color="000000"/>
              </w:rPr>
              <w:tab/>
            </w:r>
            <w:r>
              <w:rPr>
                <w:rFonts w:ascii="宋体" w:hAnsi="宋体" w:cs="宋体"/>
                <w:color w:val="auto"/>
                <w:spacing w:val="-2"/>
                <w:kern w:val="0"/>
                <w:sz w:val="24"/>
              </w:rPr>
              <w:t>等主要材料、设备单据所列费用的</w:t>
            </w:r>
            <w:r>
              <w:rPr>
                <w:rFonts w:ascii="宋体" w:hAnsi="宋体"/>
                <w:color w:val="auto"/>
                <w:kern w:val="0"/>
                <w:sz w:val="24"/>
              </w:rPr>
              <w:t>%</w:t>
            </w:r>
            <w:r>
              <w:rPr>
                <w:rFonts w:ascii="宋体" w:hAnsi="宋体" w:cs="宋体"/>
                <w:color w:val="auto"/>
                <w:kern w:val="0"/>
                <w:position w:val="10"/>
                <w:sz w:val="24"/>
              </w:rPr>
              <w:t>③</w:t>
            </w:r>
          </w:p>
        </w:tc>
      </w:tr>
      <w:tr w14:paraId="2E272D8A">
        <w:tblPrEx>
          <w:tblCellMar>
            <w:top w:w="0" w:type="dxa"/>
            <w:left w:w="0" w:type="dxa"/>
            <w:bottom w:w="0" w:type="dxa"/>
            <w:right w:w="0" w:type="dxa"/>
          </w:tblCellMar>
        </w:tblPrEx>
        <w:trPr>
          <w:trHeight w:val="533"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31692A91">
            <w:pPr>
              <w:wordWrap w:val="0"/>
              <w:spacing w:before="113" w:line="360" w:lineRule="auto"/>
              <w:ind w:left="203"/>
              <w:jc w:val="left"/>
              <w:rPr>
                <w:rFonts w:ascii="宋体" w:hAnsi="宋体"/>
                <w:color w:val="auto"/>
                <w:kern w:val="0"/>
                <w:sz w:val="24"/>
                <w:lang w:eastAsia="en-US"/>
              </w:rPr>
            </w:pPr>
            <w:r>
              <w:rPr>
                <w:rFonts w:ascii="宋体" w:hAnsi="宋体"/>
                <w:color w:val="auto"/>
                <w:kern w:val="0"/>
                <w:sz w:val="24"/>
                <w:lang w:eastAsia="en-US"/>
              </w:rPr>
              <w:t>17</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5C451B5C">
            <w:pPr>
              <w:wordWrap w:val="0"/>
              <w:spacing w:before="113" w:line="360" w:lineRule="auto"/>
              <w:ind w:left="288"/>
              <w:jc w:val="left"/>
              <w:rPr>
                <w:rFonts w:ascii="宋体" w:hAnsi="宋体"/>
                <w:color w:val="auto"/>
                <w:kern w:val="0"/>
                <w:sz w:val="24"/>
                <w:lang w:eastAsia="en-US"/>
              </w:rPr>
            </w:pPr>
            <w:r>
              <w:rPr>
                <w:rFonts w:ascii="宋体" w:hAnsi="宋体"/>
                <w:color w:val="auto"/>
                <w:kern w:val="0"/>
                <w:sz w:val="24"/>
                <w:lang w:eastAsia="en-US"/>
              </w:rPr>
              <w:t>17.3.2</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5AAC268F">
            <w:pPr>
              <w:wordWrap w:val="0"/>
              <w:spacing w:before="54" w:line="360" w:lineRule="auto"/>
              <w:ind w:left="338"/>
              <w:jc w:val="left"/>
              <w:rPr>
                <w:rFonts w:ascii="宋体" w:hAnsi="宋体" w:cs="宋体"/>
                <w:color w:val="auto"/>
                <w:kern w:val="0"/>
                <w:sz w:val="24"/>
              </w:rPr>
            </w:pPr>
            <w:r>
              <w:rPr>
                <w:rFonts w:ascii="宋体" w:hAnsi="宋体" w:cs="宋体"/>
                <w:color w:val="auto"/>
                <w:spacing w:val="-6"/>
                <w:kern w:val="0"/>
                <w:sz w:val="24"/>
              </w:rPr>
              <w:t>承包人在每个付款周期末向监理人提交进度付款申请单的份数：</w:t>
            </w:r>
            <w:r>
              <w:rPr>
                <w:rFonts w:hint="eastAsia" w:ascii="宋体" w:hAnsi="宋体" w:cs="宋体"/>
                <w:color w:val="auto"/>
                <w:spacing w:val="-6"/>
                <w:kern w:val="0"/>
                <w:sz w:val="24"/>
                <w:lang w:val="en-US" w:eastAsia="zh-CN"/>
              </w:rPr>
              <w:t xml:space="preserve"> </w:t>
            </w:r>
            <w:r>
              <w:rPr>
                <w:rFonts w:ascii="宋体" w:hAnsi="宋体" w:cs="宋体"/>
                <w:color w:val="auto"/>
                <w:kern w:val="0"/>
                <w:sz w:val="24"/>
              </w:rPr>
              <w:t>份</w:t>
            </w:r>
          </w:p>
        </w:tc>
      </w:tr>
      <w:tr w14:paraId="24F081A2">
        <w:tblPrEx>
          <w:tblCellMar>
            <w:top w:w="0" w:type="dxa"/>
            <w:left w:w="0" w:type="dxa"/>
            <w:bottom w:w="0" w:type="dxa"/>
            <w:right w:w="0" w:type="dxa"/>
          </w:tblCellMar>
        </w:tblPrEx>
        <w:trPr>
          <w:trHeight w:val="511"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11797A46">
            <w:pPr>
              <w:wordWrap w:val="0"/>
              <w:spacing w:before="113" w:line="360" w:lineRule="auto"/>
              <w:ind w:left="203"/>
              <w:jc w:val="left"/>
              <w:rPr>
                <w:rFonts w:ascii="宋体" w:hAnsi="宋体"/>
                <w:color w:val="auto"/>
                <w:kern w:val="0"/>
                <w:sz w:val="24"/>
                <w:lang w:eastAsia="en-US"/>
              </w:rPr>
            </w:pPr>
            <w:r>
              <w:rPr>
                <w:rFonts w:ascii="宋体" w:hAnsi="宋体"/>
                <w:color w:val="auto"/>
                <w:kern w:val="0"/>
                <w:sz w:val="24"/>
                <w:lang w:eastAsia="en-US"/>
              </w:rPr>
              <w:t>18</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08A4BAD3">
            <w:pPr>
              <w:wordWrap w:val="0"/>
              <w:spacing w:before="54" w:line="360" w:lineRule="auto"/>
              <w:ind w:left="103" w:right="-5"/>
              <w:jc w:val="left"/>
              <w:rPr>
                <w:rFonts w:ascii="宋体" w:hAnsi="宋体" w:cs="宋体"/>
                <w:color w:val="auto"/>
                <w:kern w:val="0"/>
                <w:sz w:val="24"/>
                <w:lang w:eastAsia="en-US"/>
              </w:rPr>
            </w:pPr>
            <w:r>
              <w:rPr>
                <w:rFonts w:ascii="宋体" w:hAnsi="宋体"/>
                <w:color w:val="auto"/>
                <w:spacing w:val="-6"/>
                <w:kern w:val="0"/>
                <w:sz w:val="24"/>
                <w:lang w:eastAsia="en-US"/>
              </w:rPr>
              <w:t>17.3.3</w:t>
            </w:r>
            <w:r>
              <w:rPr>
                <w:rFonts w:ascii="宋体" w:hAnsi="宋体" w:cs="宋体"/>
                <w:color w:val="auto"/>
                <w:spacing w:val="-6"/>
                <w:kern w:val="0"/>
                <w:sz w:val="24"/>
                <w:lang w:eastAsia="en-US"/>
              </w:rPr>
              <w:t>（</w:t>
            </w:r>
            <w:r>
              <w:rPr>
                <w:rFonts w:ascii="宋体" w:hAnsi="宋体"/>
                <w:color w:val="auto"/>
                <w:spacing w:val="-6"/>
                <w:kern w:val="0"/>
                <w:sz w:val="24"/>
                <w:lang w:eastAsia="en-US"/>
              </w:rPr>
              <w:t>1</w:t>
            </w:r>
            <w:r>
              <w:rPr>
                <w:rFonts w:ascii="宋体" w:hAnsi="宋体" w:cs="宋体"/>
                <w:color w:val="auto"/>
                <w:spacing w:val="-6"/>
                <w:kern w:val="0"/>
                <w:sz w:val="24"/>
                <w:lang w:eastAsia="en-US"/>
              </w:rPr>
              <w:t>）</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78E1443E">
            <w:pPr>
              <w:tabs>
                <w:tab w:val="left" w:pos="3075"/>
                <w:tab w:val="left" w:pos="4930"/>
              </w:tabs>
              <w:wordWrap w:val="0"/>
              <w:spacing w:before="54" w:line="360" w:lineRule="auto"/>
              <w:ind w:left="343"/>
              <w:jc w:val="left"/>
              <w:rPr>
                <w:rFonts w:ascii="宋体" w:hAnsi="宋体" w:cs="宋体"/>
                <w:color w:val="auto"/>
                <w:kern w:val="0"/>
                <w:sz w:val="24"/>
              </w:rPr>
            </w:pPr>
            <w:r>
              <w:rPr>
                <w:rFonts w:ascii="宋体" w:hAnsi="宋体" w:cs="宋体"/>
                <w:color w:val="auto"/>
                <w:spacing w:val="-2"/>
                <w:kern w:val="0"/>
                <w:sz w:val="24"/>
              </w:rPr>
              <w:t>进度付款证书最低限额：</w:t>
            </w:r>
            <w:r>
              <w:rPr>
                <w:rFonts w:ascii="宋体" w:hAnsi="宋体"/>
                <w:color w:val="auto"/>
                <w:spacing w:val="-2"/>
                <w:kern w:val="0"/>
                <w:sz w:val="24"/>
                <w:u w:val="single" w:color="000000"/>
              </w:rPr>
              <w:tab/>
            </w:r>
            <w:r>
              <w:rPr>
                <w:rFonts w:ascii="宋体" w:hAnsi="宋体"/>
                <w:color w:val="auto"/>
                <w:spacing w:val="-2"/>
                <w:kern w:val="0"/>
                <w:sz w:val="24"/>
              </w:rPr>
              <w:t>%</w:t>
            </w:r>
            <w:r>
              <w:rPr>
                <w:rFonts w:ascii="宋体" w:hAnsi="宋体" w:cs="宋体"/>
                <w:color w:val="auto"/>
                <w:spacing w:val="-2"/>
                <w:kern w:val="0"/>
                <w:sz w:val="24"/>
              </w:rPr>
              <w:t>签约合同价或</w:t>
            </w:r>
            <w:r>
              <w:rPr>
                <w:rFonts w:ascii="宋体" w:hAnsi="宋体"/>
                <w:color w:val="auto"/>
                <w:spacing w:val="-2"/>
                <w:kern w:val="0"/>
                <w:sz w:val="24"/>
                <w:u w:val="single" w:color="000000"/>
              </w:rPr>
              <w:tab/>
            </w:r>
            <w:r>
              <w:rPr>
                <w:rFonts w:ascii="宋体" w:hAnsi="宋体" w:cs="宋体"/>
                <w:color w:val="auto"/>
                <w:spacing w:val="-1"/>
                <w:kern w:val="0"/>
                <w:sz w:val="24"/>
              </w:rPr>
              <w:t>万元</w:t>
            </w:r>
            <w:r>
              <w:rPr>
                <w:rFonts w:ascii="宋体" w:hAnsi="宋体" w:cs="宋体"/>
                <w:color w:val="auto"/>
                <w:spacing w:val="-1"/>
                <w:kern w:val="0"/>
                <w:position w:val="10"/>
                <w:sz w:val="24"/>
              </w:rPr>
              <w:t>④</w:t>
            </w:r>
          </w:p>
        </w:tc>
      </w:tr>
      <w:tr w14:paraId="01ECBB78">
        <w:tblPrEx>
          <w:tblCellMar>
            <w:top w:w="0" w:type="dxa"/>
            <w:left w:w="0" w:type="dxa"/>
            <w:bottom w:w="0" w:type="dxa"/>
            <w:right w:w="0" w:type="dxa"/>
          </w:tblCellMar>
        </w:tblPrEx>
        <w:trPr>
          <w:trHeight w:val="631"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098CA89A">
            <w:pPr>
              <w:wordWrap w:val="0"/>
              <w:spacing w:before="113" w:line="360" w:lineRule="auto"/>
              <w:ind w:left="203"/>
              <w:jc w:val="left"/>
              <w:rPr>
                <w:rFonts w:ascii="宋体" w:hAnsi="宋体"/>
                <w:color w:val="auto"/>
                <w:kern w:val="0"/>
                <w:sz w:val="24"/>
                <w:lang w:eastAsia="en-US"/>
              </w:rPr>
            </w:pPr>
            <w:r>
              <w:rPr>
                <w:rFonts w:ascii="宋体" w:hAnsi="宋体"/>
                <w:color w:val="auto"/>
                <w:kern w:val="0"/>
                <w:sz w:val="24"/>
                <w:lang w:eastAsia="en-US"/>
              </w:rPr>
              <w:t>19</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5DDA4244">
            <w:pPr>
              <w:wordWrap w:val="0"/>
              <w:spacing w:before="54" w:line="360" w:lineRule="auto"/>
              <w:ind w:left="103" w:right="-5"/>
              <w:jc w:val="left"/>
              <w:rPr>
                <w:rFonts w:ascii="宋体" w:hAnsi="宋体" w:cs="宋体"/>
                <w:color w:val="auto"/>
                <w:kern w:val="0"/>
                <w:sz w:val="24"/>
                <w:lang w:eastAsia="en-US"/>
              </w:rPr>
            </w:pPr>
            <w:r>
              <w:rPr>
                <w:rFonts w:ascii="宋体" w:hAnsi="宋体"/>
                <w:color w:val="auto"/>
                <w:spacing w:val="-6"/>
                <w:kern w:val="0"/>
                <w:sz w:val="24"/>
                <w:lang w:eastAsia="en-US"/>
              </w:rPr>
              <w:t>17.3.3</w:t>
            </w:r>
            <w:r>
              <w:rPr>
                <w:rFonts w:ascii="宋体" w:hAnsi="宋体" w:cs="宋体"/>
                <w:color w:val="auto"/>
                <w:spacing w:val="-6"/>
                <w:kern w:val="0"/>
                <w:sz w:val="24"/>
                <w:lang w:eastAsia="en-US"/>
              </w:rPr>
              <w:t>（</w:t>
            </w:r>
            <w:r>
              <w:rPr>
                <w:rFonts w:ascii="宋体" w:hAnsi="宋体"/>
                <w:color w:val="auto"/>
                <w:spacing w:val="-6"/>
                <w:kern w:val="0"/>
                <w:sz w:val="24"/>
                <w:lang w:eastAsia="en-US"/>
              </w:rPr>
              <w:t>2</w:t>
            </w:r>
            <w:r>
              <w:rPr>
                <w:rFonts w:ascii="宋体" w:hAnsi="宋体" w:cs="宋体"/>
                <w:color w:val="auto"/>
                <w:spacing w:val="-6"/>
                <w:kern w:val="0"/>
                <w:sz w:val="24"/>
                <w:lang w:eastAsia="en-US"/>
              </w:rPr>
              <w:t>）</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22552513">
            <w:pPr>
              <w:tabs>
                <w:tab w:val="left" w:pos="3180"/>
              </w:tabs>
              <w:wordWrap w:val="0"/>
              <w:spacing w:before="54" w:line="360" w:lineRule="auto"/>
              <w:ind w:left="343"/>
              <w:jc w:val="left"/>
              <w:rPr>
                <w:rFonts w:ascii="宋体" w:hAnsi="宋体" w:cs="宋体"/>
                <w:color w:val="auto"/>
                <w:kern w:val="0"/>
                <w:sz w:val="24"/>
              </w:rPr>
            </w:pPr>
            <w:r>
              <w:rPr>
                <w:rFonts w:ascii="宋体" w:hAnsi="宋体" w:cs="宋体"/>
                <w:color w:val="auto"/>
                <w:spacing w:val="-2"/>
                <w:kern w:val="0"/>
                <w:sz w:val="24"/>
              </w:rPr>
              <w:t>逾期付款违约金的利率：</w:t>
            </w:r>
            <w:r>
              <w:rPr>
                <w:rFonts w:ascii="宋体" w:hAnsi="宋体"/>
                <w:color w:val="auto"/>
                <w:spacing w:val="-2"/>
                <w:kern w:val="0"/>
                <w:sz w:val="24"/>
                <w:u w:val="single"/>
              </w:rPr>
              <w:tab/>
            </w:r>
            <w:r>
              <w:rPr>
                <w:rFonts w:ascii="宋体" w:hAnsi="宋体"/>
                <w:color w:val="auto"/>
                <w:spacing w:val="-2"/>
                <w:kern w:val="0"/>
                <w:sz w:val="24"/>
              </w:rPr>
              <w:t>‰/</w:t>
            </w:r>
            <w:r>
              <w:rPr>
                <w:rFonts w:ascii="宋体" w:hAnsi="宋体" w:cs="宋体"/>
                <w:color w:val="auto"/>
                <w:spacing w:val="-2"/>
                <w:kern w:val="0"/>
                <w:sz w:val="24"/>
              </w:rPr>
              <w:t>天</w:t>
            </w:r>
            <w:r>
              <w:rPr>
                <w:rFonts w:ascii="宋体" w:hAnsi="宋体" w:cs="宋体"/>
                <w:color w:val="auto"/>
                <w:spacing w:val="-2"/>
                <w:kern w:val="0"/>
                <w:position w:val="10"/>
                <w:sz w:val="24"/>
              </w:rPr>
              <w:t>⑤</w:t>
            </w:r>
          </w:p>
        </w:tc>
      </w:tr>
      <w:tr w14:paraId="7EF50640">
        <w:tblPrEx>
          <w:tblCellMar>
            <w:top w:w="0" w:type="dxa"/>
            <w:left w:w="0" w:type="dxa"/>
            <w:bottom w:w="0" w:type="dxa"/>
            <w:right w:w="0" w:type="dxa"/>
          </w:tblCellMar>
        </w:tblPrEx>
        <w:trPr>
          <w:trHeight w:val="2977"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07C9C94A">
            <w:pPr>
              <w:wordWrap w:val="0"/>
              <w:spacing w:line="360" w:lineRule="auto"/>
              <w:jc w:val="left"/>
              <w:rPr>
                <w:rFonts w:ascii="宋体" w:hAnsi="宋体" w:cs="宋体"/>
                <w:color w:val="auto"/>
                <w:kern w:val="0"/>
                <w:sz w:val="24"/>
              </w:rPr>
            </w:pPr>
          </w:p>
          <w:p w14:paraId="5CD47A8A">
            <w:pPr>
              <w:wordWrap w:val="0"/>
              <w:spacing w:line="360" w:lineRule="auto"/>
              <w:jc w:val="left"/>
              <w:rPr>
                <w:rFonts w:ascii="宋体" w:hAnsi="宋体" w:cs="宋体"/>
                <w:color w:val="auto"/>
                <w:kern w:val="0"/>
                <w:sz w:val="24"/>
              </w:rPr>
            </w:pPr>
          </w:p>
          <w:p w14:paraId="421705E0">
            <w:pPr>
              <w:wordWrap w:val="0"/>
              <w:spacing w:line="360" w:lineRule="auto"/>
              <w:jc w:val="left"/>
              <w:rPr>
                <w:rFonts w:ascii="宋体" w:hAnsi="宋体" w:cs="宋体"/>
                <w:color w:val="auto"/>
                <w:kern w:val="0"/>
                <w:sz w:val="24"/>
              </w:rPr>
            </w:pPr>
          </w:p>
          <w:p w14:paraId="28C368C6">
            <w:pPr>
              <w:wordWrap w:val="0"/>
              <w:spacing w:before="3" w:line="360" w:lineRule="auto"/>
              <w:jc w:val="left"/>
              <w:rPr>
                <w:rFonts w:ascii="宋体" w:hAnsi="宋体" w:cs="宋体"/>
                <w:color w:val="auto"/>
                <w:kern w:val="0"/>
                <w:sz w:val="24"/>
              </w:rPr>
            </w:pPr>
          </w:p>
          <w:p w14:paraId="700875F6">
            <w:pPr>
              <w:wordWrap w:val="0"/>
              <w:spacing w:line="360" w:lineRule="auto"/>
              <w:ind w:left="203"/>
              <w:jc w:val="left"/>
              <w:rPr>
                <w:rFonts w:ascii="宋体" w:hAnsi="宋体"/>
                <w:color w:val="auto"/>
                <w:kern w:val="0"/>
                <w:sz w:val="24"/>
                <w:lang w:eastAsia="en-US"/>
              </w:rPr>
            </w:pPr>
            <w:r>
              <w:rPr>
                <w:rFonts w:ascii="宋体" w:hAnsi="宋体"/>
                <w:color w:val="auto"/>
                <w:kern w:val="0"/>
                <w:sz w:val="24"/>
                <w:lang w:eastAsia="en-US"/>
              </w:rPr>
              <w:t>20</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2A2558C8">
            <w:pPr>
              <w:wordWrap w:val="0"/>
              <w:spacing w:line="360" w:lineRule="auto"/>
              <w:jc w:val="left"/>
              <w:rPr>
                <w:rFonts w:ascii="宋体" w:hAnsi="宋体" w:cs="宋体"/>
                <w:color w:val="auto"/>
                <w:kern w:val="0"/>
                <w:sz w:val="24"/>
                <w:lang w:eastAsia="en-US"/>
              </w:rPr>
            </w:pPr>
          </w:p>
          <w:p w14:paraId="2037DEB9">
            <w:pPr>
              <w:wordWrap w:val="0"/>
              <w:spacing w:line="360" w:lineRule="auto"/>
              <w:jc w:val="left"/>
              <w:rPr>
                <w:rFonts w:ascii="宋体" w:hAnsi="宋体" w:cs="宋体"/>
                <w:color w:val="auto"/>
                <w:kern w:val="0"/>
                <w:sz w:val="24"/>
                <w:lang w:eastAsia="en-US"/>
              </w:rPr>
            </w:pPr>
          </w:p>
          <w:p w14:paraId="720876CD">
            <w:pPr>
              <w:wordWrap w:val="0"/>
              <w:spacing w:line="360" w:lineRule="auto"/>
              <w:jc w:val="left"/>
              <w:rPr>
                <w:rFonts w:ascii="宋体" w:hAnsi="宋体" w:cs="宋体"/>
                <w:color w:val="auto"/>
                <w:kern w:val="0"/>
                <w:sz w:val="24"/>
                <w:lang w:eastAsia="en-US"/>
              </w:rPr>
            </w:pPr>
          </w:p>
          <w:p w14:paraId="60DAA7D8">
            <w:pPr>
              <w:wordWrap w:val="0"/>
              <w:spacing w:before="3" w:line="360" w:lineRule="auto"/>
              <w:jc w:val="left"/>
              <w:rPr>
                <w:rFonts w:ascii="宋体" w:hAnsi="宋体" w:cs="宋体"/>
                <w:color w:val="auto"/>
                <w:kern w:val="0"/>
                <w:sz w:val="24"/>
                <w:lang w:eastAsia="en-US"/>
              </w:rPr>
            </w:pPr>
          </w:p>
          <w:p w14:paraId="28CA5D09">
            <w:pPr>
              <w:wordWrap w:val="0"/>
              <w:spacing w:line="360" w:lineRule="auto"/>
              <w:ind w:left="288"/>
              <w:jc w:val="left"/>
              <w:rPr>
                <w:rFonts w:ascii="宋体" w:hAnsi="宋体"/>
                <w:color w:val="auto"/>
                <w:kern w:val="0"/>
                <w:sz w:val="24"/>
                <w:lang w:eastAsia="en-US"/>
              </w:rPr>
            </w:pPr>
            <w:r>
              <w:rPr>
                <w:rFonts w:ascii="宋体" w:hAnsi="宋体"/>
                <w:color w:val="auto"/>
                <w:kern w:val="0"/>
                <w:sz w:val="24"/>
                <w:lang w:eastAsia="en-US"/>
              </w:rPr>
              <w:t>17.4.1</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3A73845D">
            <w:pPr>
              <w:wordWrap w:val="0"/>
              <w:spacing w:before="54" w:line="360" w:lineRule="auto"/>
              <w:ind w:left="103" w:right="96" w:firstLine="240"/>
              <w:rPr>
                <w:rFonts w:ascii="宋体" w:hAnsi="宋体" w:cs="宋体"/>
                <w:color w:val="auto"/>
                <w:kern w:val="0"/>
                <w:sz w:val="24"/>
              </w:rPr>
            </w:pPr>
            <w:r>
              <w:rPr>
                <w:rFonts w:ascii="宋体" w:hAnsi="宋体" w:cs="宋体"/>
                <w:color w:val="auto"/>
                <w:spacing w:val="-5"/>
                <w:kern w:val="0"/>
                <w:sz w:val="24"/>
              </w:rPr>
              <w:t>质量保证金金额：</w:t>
            </w:r>
            <w:r>
              <w:rPr>
                <w:rFonts w:ascii="宋体" w:hAnsi="宋体"/>
                <w:color w:val="auto"/>
                <w:spacing w:val="-3"/>
                <w:kern w:val="0"/>
                <w:sz w:val="24"/>
              </w:rPr>
              <w:t>%</w:t>
            </w:r>
            <w:r>
              <w:rPr>
                <w:rFonts w:ascii="宋体" w:hAnsi="宋体" w:cs="宋体"/>
                <w:color w:val="auto"/>
                <w:spacing w:val="-3"/>
                <w:kern w:val="0"/>
                <w:sz w:val="24"/>
              </w:rPr>
              <w:t>合同价格</w:t>
            </w:r>
            <w:r>
              <w:rPr>
                <w:rFonts w:ascii="宋体" w:hAnsi="宋体" w:cs="宋体"/>
                <w:color w:val="auto"/>
                <w:spacing w:val="-3"/>
                <w:kern w:val="0"/>
                <w:position w:val="10"/>
                <w:sz w:val="24"/>
              </w:rPr>
              <w:t>⑥</w:t>
            </w:r>
            <w:r>
              <w:rPr>
                <w:rFonts w:ascii="宋体" w:hAnsi="宋体" w:cs="宋体"/>
                <w:color w:val="auto"/>
                <w:spacing w:val="-3"/>
                <w:kern w:val="0"/>
                <w:sz w:val="24"/>
              </w:rPr>
              <w:t>，若交工验收时承包人具备被招标项目</w:t>
            </w:r>
            <w:r>
              <w:rPr>
                <w:rFonts w:ascii="宋体" w:hAnsi="宋体" w:cs="宋体"/>
                <w:color w:val="auto"/>
                <w:kern w:val="0"/>
                <w:sz w:val="24"/>
              </w:rPr>
              <w:t>所在地省级交通运输主管部门评定的最高信用等级，发包人给予</w:t>
            </w:r>
            <w:r>
              <w:rPr>
                <w:rFonts w:ascii="宋体" w:hAnsi="宋体"/>
                <w:color w:val="auto"/>
                <w:kern w:val="0"/>
                <w:sz w:val="24"/>
              </w:rPr>
              <w:t>%</w:t>
            </w:r>
            <w:r>
              <w:rPr>
                <w:rFonts w:ascii="宋体" w:hAnsi="宋体" w:cs="宋体"/>
                <w:color w:val="auto"/>
                <w:kern w:val="0"/>
                <w:sz w:val="24"/>
              </w:rPr>
              <w:t>合同价格质量保证金的优惠。</w:t>
            </w:r>
            <w:r>
              <w:rPr>
                <w:rFonts w:ascii="宋体" w:hAnsi="宋体" w:cs="宋体"/>
                <w:color w:val="auto"/>
                <w:kern w:val="0"/>
                <w:position w:val="10"/>
                <w:sz w:val="24"/>
              </w:rPr>
              <w:t>⑦</w:t>
            </w:r>
          </w:p>
          <w:p w14:paraId="1C42D891">
            <w:pPr>
              <w:wordWrap w:val="0"/>
              <w:spacing w:before="31" w:line="360" w:lineRule="auto"/>
              <w:ind w:left="343"/>
              <w:jc w:val="left"/>
              <w:rPr>
                <w:rFonts w:ascii="宋体" w:hAnsi="宋体" w:cs="宋体"/>
                <w:color w:val="auto"/>
                <w:kern w:val="0"/>
                <w:sz w:val="24"/>
              </w:rPr>
            </w:pPr>
            <w:r>
              <w:rPr>
                <w:rFonts w:ascii="宋体" w:hAnsi="宋体" w:cs="宋体"/>
                <w:color w:val="auto"/>
                <w:kern w:val="0"/>
                <w:sz w:val="24"/>
              </w:rPr>
              <w:t xml:space="preserve">质量保证金是否计付利息：  </w:t>
            </w:r>
          </w:p>
          <w:p w14:paraId="1FFB8B9A">
            <w:pPr>
              <w:wordWrap w:val="0"/>
              <w:spacing w:before="22" w:line="360" w:lineRule="auto"/>
              <w:ind w:left="468"/>
              <w:jc w:val="left"/>
              <w:rPr>
                <w:rFonts w:ascii="宋体" w:hAnsi="宋体" w:cs="宋体"/>
                <w:color w:val="auto"/>
                <w:kern w:val="0"/>
                <w:sz w:val="24"/>
              </w:rPr>
            </w:pPr>
            <w:r>
              <w:rPr>
                <w:rFonts w:ascii="宋体" w:hAnsi="宋体"/>
                <w:color w:val="auto"/>
                <w:kern w:val="0"/>
                <w:sz w:val="24"/>
              </w:rPr>
              <w:t>□</w:t>
            </w:r>
            <w:r>
              <w:rPr>
                <w:rFonts w:ascii="宋体" w:hAnsi="宋体" w:cs="宋体"/>
                <w:color w:val="auto"/>
                <w:kern w:val="0"/>
                <w:sz w:val="24"/>
              </w:rPr>
              <w:t>是，利息的计算方式：</w:t>
            </w:r>
          </w:p>
          <w:p w14:paraId="3B6374AE">
            <w:pPr>
              <w:wordWrap w:val="0"/>
              <w:spacing w:before="1" w:line="360" w:lineRule="auto"/>
              <w:ind w:left="468"/>
              <w:jc w:val="left"/>
              <w:rPr>
                <w:rFonts w:ascii="宋体" w:hAnsi="宋体" w:cs="宋体"/>
                <w:color w:val="auto"/>
                <w:kern w:val="0"/>
                <w:sz w:val="24"/>
                <w:lang w:eastAsia="en-US"/>
              </w:rPr>
            </w:pPr>
            <w:r>
              <w:rPr>
                <w:rFonts w:ascii="宋体" w:hAnsi="宋体"/>
                <w:color w:val="auto"/>
                <w:kern w:val="0"/>
                <w:sz w:val="24"/>
                <w:lang w:eastAsia="en-US"/>
              </w:rPr>
              <w:t>□</w:t>
            </w:r>
            <w:r>
              <w:rPr>
                <w:rFonts w:ascii="宋体" w:hAnsi="宋体" w:cs="宋体"/>
                <w:color w:val="auto"/>
                <w:kern w:val="0"/>
                <w:sz w:val="24"/>
                <w:lang w:eastAsia="en-US"/>
              </w:rPr>
              <w:t>否</w:t>
            </w:r>
          </w:p>
        </w:tc>
      </w:tr>
      <w:tr w14:paraId="0E1868F8">
        <w:tblPrEx>
          <w:tblCellMar>
            <w:top w:w="0" w:type="dxa"/>
            <w:left w:w="0" w:type="dxa"/>
            <w:bottom w:w="0" w:type="dxa"/>
            <w:right w:w="0" w:type="dxa"/>
          </w:tblCellMar>
        </w:tblPrEx>
        <w:trPr>
          <w:trHeight w:val="94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5CE756D5">
            <w:pPr>
              <w:wordWrap w:val="0"/>
              <w:spacing w:before="6" w:line="360" w:lineRule="auto"/>
              <w:jc w:val="left"/>
              <w:rPr>
                <w:rFonts w:ascii="宋体" w:hAnsi="宋体" w:cs="宋体"/>
                <w:color w:val="auto"/>
                <w:kern w:val="0"/>
                <w:sz w:val="24"/>
                <w:lang w:eastAsia="en-US"/>
              </w:rPr>
            </w:pPr>
          </w:p>
          <w:p w14:paraId="1EE8EF76">
            <w:pPr>
              <w:wordWrap w:val="0"/>
              <w:spacing w:line="360" w:lineRule="auto"/>
              <w:ind w:left="203"/>
              <w:jc w:val="left"/>
              <w:rPr>
                <w:rFonts w:ascii="宋体" w:hAnsi="宋体"/>
                <w:color w:val="auto"/>
                <w:kern w:val="0"/>
                <w:sz w:val="24"/>
                <w:lang w:eastAsia="en-US"/>
              </w:rPr>
            </w:pPr>
            <w:r>
              <w:rPr>
                <w:rFonts w:ascii="宋体" w:hAnsi="宋体"/>
                <w:color w:val="auto"/>
                <w:kern w:val="0"/>
                <w:sz w:val="24"/>
                <w:lang w:eastAsia="en-US"/>
              </w:rPr>
              <w:t>21</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7F07D113">
            <w:pPr>
              <w:wordWrap w:val="0"/>
              <w:spacing w:before="12" w:line="360" w:lineRule="auto"/>
              <w:jc w:val="left"/>
              <w:rPr>
                <w:rFonts w:ascii="宋体" w:hAnsi="宋体" w:cs="宋体"/>
                <w:color w:val="auto"/>
                <w:kern w:val="0"/>
                <w:sz w:val="24"/>
                <w:lang w:eastAsia="en-US"/>
              </w:rPr>
            </w:pPr>
          </w:p>
          <w:p w14:paraId="6E51AE22">
            <w:pPr>
              <w:wordWrap w:val="0"/>
              <w:spacing w:line="360" w:lineRule="auto"/>
              <w:ind w:left="103" w:right="-5"/>
              <w:jc w:val="left"/>
              <w:rPr>
                <w:rFonts w:ascii="宋体" w:hAnsi="宋体" w:cs="宋体"/>
                <w:color w:val="auto"/>
                <w:kern w:val="0"/>
                <w:sz w:val="24"/>
                <w:lang w:eastAsia="en-US"/>
              </w:rPr>
            </w:pPr>
            <w:r>
              <w:rPr>
                <w:rFonts w:ascii="宋体" w:hAnsi="宋体"/>
                <w:color w:val="auto"/>
                <w:spacing w:val="-6"/>
                <w:kern w:val="0"/>
                <w:sz w:val="24"/>
                <w:lang w:eastAsia="en-US"/>
              </w:rPr>
              <w:t>17.5.1</w:t>
            </w:r>
            <w:r>
              <w:rPr>
                <w:rFonts w:ascii="宋体" w:hAnsi="宋体" w:cs="宋体"/>
                <w:color w:val="auto"/>
                <w:spacing w:val="-6"/>
                <w:kern w:val="0"/>
                <w:sz w:val="24"/>
                <w:lang w:eastAsia="en-US"/>
              </w:rPr>
              <w:t>（</w:t>
            </w:r>
            <w:r>
              <w:rPr>
                <w:rFonts w:ascii="宋体" w:hAnsi="宋体"/>
                <w:color w:val="auto"/>
                <w:spacing w:val="-6"/>
                <w:kern w:val="0"/>
                <w:sz w:val="24"/>
                <w:lang w:eastAsia="en-US"/>
              </w:rPr>
              <w:t>1</w:t>
            </w:r>
            <w:r>
              <w:rPr>
                <w:rFonts w:ascii="宋体" w:hAnsi="宋体" w:cs="宋体"/>
                <w:color w:val="auto"/>
                <w:spacing w:val="-6"/>
                <w:kern w:val="0"/>
                <w:sz w:val="24"/>
                <w:lang w:eastAsia="en-US"/>
              </w:rPr>
              <w:t>）</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63607D9D">
            <w:pPr>
              <w:wordWrap w:val="0"/>
              <w:spacing w:before="54" w:line="360" w:lineRule="auto"/>
              <w:ind w:left="343"/>
              <w:jc w:val="left"/>
              <w:rPr>
                <w:rFonts w:ascii="宋体" w:hAnsi="宋体" w:cs="宋体"/>
                <w:color w:val="auto"/>
                <w:kern w:val="0"/>
                <w:sz w:val="24"/>
              </w:rPr>
            </w:pPr>
            <w:r>
              <w:rPr>
                <w:rFonts w:ascii="宋体" w:hAnsi="宋体" w:cs="宋体"/>
                <w:color w:val="auto"/>
                <w:kern w:val="0"/>
                <w:sz w:val="24"/>
              </w:rPr>
              <w:t>承包人向监理人提交交工付款申请单（包括相关证明材料）的份数：</w:t>
            </w:r>
          </w:p>
          <w:p w14:paraId="7A4FA7FF">
            <w:pPr>
              <w:tabs>
                <w:tab w:val="left" w:pos="766"/>
              </w:tabs>
              <w:wordWrap w:val="0"/>
              <w:spacing w:before="85" w:line="360" w:lineRule="auto"/>
              <w:ind w:left="343"/>
              <w:jc w:val="left"/>
              <w:rPr>
                <w:rFonts w:ascii="宋体" w:hAnsi="宋体" w:cs="宋体"/>
                <w:color w:val="auto"/>
                <w:kern w:val="0"/>
                <w:sz w:val="24"/>
                <w:lang w:eastAsia="en-US"/>
              </w:rPr>
            </w:pPr>
            <w:r>
              <w:rPr>
                <w:rFonts w:ascii="宋体" w:hAnsi="宋体"/>
                <w:color w:val="auto"/>
                <w:kern w:val="0"/>
                <w:sz w:val="24"/>
                <w:u w:val="single" w:color="000000"/>
              </w:rPr>
              <w:tab/>
            </w:r>
            <w:r>
              <w:rPr>
                <w:rFonts w:ascii="宋体" w:hAnsi="宋体" w:cs="宋体"/>
                <w:color w:val="auto"/>
                <w:kern w:val="0"/>
                <w:sz w:val="24"/>
                <w:lang w:eastAsia="en-US"/>
              </w:rPr>
              <w:t>份</w:t>
            </w:r>
          </w:p>
        </w:tc>
      </w:tr>
      <w:tr w14:paraId="0EE05091">
        <w:tblPrEx>
          <w:tblCellMar>
            <w:top w:w="0" w:type="dxa"/>
            <w:left w:w="0" w:type="dxa"/>
            <w:bottom w:w="0" w:type="dxa"/>
            <w:right w:w="0" w:type="dxa"/>
          </w:tblCellMar>
        </w:tblPrEx>
        <w:trPr>
          <w:trHeight w:val="1255"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5412CE8B">
            <w:pPr>
              <w:wordWrap w:val="0"/>
              <w:spacing w:before="6" w:line="360" w:lineRule="auto"/>
              <w:jc w:val="left"/>
              <w:rPr>
                <w:rFonts w:ascii="宋体" w:hAnsi="宋体" w:cs="宋体"/>
                <w:color w:val="auto"/>
                <w:kern w:val="0"/>
                <w:sz w:val="24"/>
                <w:lang w:eastAsia="en-US"/>
              </w:rPr>
            </w:pPr>
          </w:p>
          <w:p w14:paraId="6468B478">
            <w:pPr>
              <w:wordWrap w:val="0"/>
              <w:spacing w:line="360" w:lineRule="auto"/>
              <w:ind w:left="203"/>
              <w:jc w:val="left"/>
              <w:rPr>
                <w:rFonts w:ascii="宋体" w:hAnsi="宋体"/>
                <w:color w:val="auto"/>
                <w:kern w:val="0"/>
                <w:sz w:val="24"/>
                <w:lang w:eastAsia="en-US"/>
              </w:rPr>
            </w:pPr>
            <w:r>
              <w:rPr>
                <w:rFonts w:ascii="宋体" w:hAnsi="宋体"/>
                <w:color w:val="auto"/>
                <w:kern w:val="0"/>
                <w:sz w:val="24"/>
                <w:lang w:eastAsia="en-US"/>
              </w:rPr>
              <w:t>22</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15903730">
            <w:pPr>
              <w:wordWrap w:val="0"/>
              <w:spacing w:before="12" w:line="360" w:lineRule="auto"/>
              <w:jc w:val="left"/>
              <w:rPr>
                <w:rFonts w:ascii="宋体" w:hAnsi="宋体" w:cs="宋体"/>
                <w:color w:val="auto"/>
                <w:kern w:val="0"/>
                <w:sz w:val="24"/>
                <w:lang w:eastAsia="en-US"/>
              </w:rPr>
            </w:pPr>
          </w:p>
          <w:p w14:paraId="0FA54745">
            <w:pPr>
              <w:wordWrap w:val="0"/>
              <w:spacing w:line="360" w:lineRule="auto"/>
              <w:ind w:left="103" w:right="-5"/>
              <w:jc w:val="left"/>
              <w:rPr>
                <w:rFonts w:ascii="宋体" w:hAnsi="宋体" w:cs="宋体"/>
                <w:color w:val="auto"/>
                <w:kern w:val="0"/>
                <w:sz w:val="24"/>
                <w:lang w:eastAsia="en-US"/>
              </w:rPr>
            </w:pPr>
            <w:r>
              <w:rPr>
                <w:rFonts w:ascii="宋体" w:hAnsi="宋体"/>
                <w:color w:val="auto"/>
                <w:spacing w:val="-6"/>
                <w:kern w:val="0"/>
                <w:sz w:val="24"/>
                <w:lang w:eastAsia="en-US"/>
              </w:rPr>
              <w:t>17.6.1</w:t>
            </w:r>
            <w:r>
              <w:rPr>
                <w:rFonts w:ascii="宋体" w:hAnsi="宋体" w:cs="宋体"/>
                <w:color w:val="auto"/>
                <w:spacing w:val="-6"/>
                <w:kern w:val="0"/>
                <w:sz w:val="24"/>
                <w:lang w:eastAsia="en-US"/>
              </w:rPr>
              <w:t>（</w:t>
            </w:r>
            <w:r>
              <w:rPr>
                <w:rFonts w:ascii="宋体" w:hAnsi="宋体"/>
                <w:color w:val="auto"/>
                <w:spacing w:val="-6"/>
                <w:kern w:val="0"/>
                <w:sz w:val="24"/>
                <w:lang w:eastAsia="en-US"/>
              </w:rPr>
              <w:t>1</w:t>
            </w:r>
            <w:r>
              <w:rPr>
                <w:rFonts w:ascii="宋体" w:hAnsi="宋体" w:cs="宋体"/>
                <w:color w:val="auto"/>
                <w:spacing w:val="-6"/>
                <w:kern w:val="0"/>
                <w:sz w:val="24"/>
                <w:lang w:eastAsia="en-US"/>
              </w:rPr>
              <w:t>）</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71AFEBF8">
            <w:pPr>
              <w:wordWrap w:val="0"/>
              <w:spacing w:before="54" w:line="360" w:lineRule="auto"/>
              <w:ind w:left="343"/>
              <w:jc w:val="left"/>
              <w:rPr>
                <w:rFonts w:ascii="宋体" w:hAnsi="宋体" w:cs="宋体"/>
                <w:color w:val="auto"/>
                <w:kern w:val="0"/>
                <w:sz w:val="24"/>
                <w:lang w:eastAsia="en-US"/>
              </w:rPr>
            </w:pPr>
            <w:r>
              <w:rPr>
                <w:rFonts w:ascii="宋体" w:hAnsi="宋体" w:cs="宋体"/>
                <w:color w:val="auto"/>
                <w:kern w:val="0"/>
                <w:sz w:val="24"/>
              </w:rPr>
              <w:t>承包人向监理人提交最终结清申请单（包括相关证明材料）的份数：</w:t>
            </w:r>
            <w:r>
              <w:rPr>
                <w:rFonts w:ascii="宋体" w:hAnsi="宋体"/>
                <w:color w:val="auto"/>
                <w:kern w:val="0"/>
                <w:sz w:val="24"/>
                <w:u w:val="single" w:color="000000"/>
              </w:rPr>
              <w:tab/>
            </w:r>
            <w:r>
              <w:rPr>
                <w:rFonts w:hint="eastAsia" w:ascii="宋体" w:hAnsi="宋体"/>
                <w:color w:val="auto"/>
                <w:kern w:val="0"/>
                <w:sz w:val="24"/>
                <w:u w:val="single" w:color="000000"/>
                <w:lang w:val="en-US" w:eastAsia="zh-CN"/>
              </w:rPr>
              <w:t xml:space="preserve">     </w:t>
            </w:r>
            <w:r>
              <w:rPr>
                <w:rFonts w:ascii="宋体" w:hAnsi="宋体" w:cs="宋体"/>
                <w:color w:val="auto"/>
                <w:kern w:val="0"/>
                <w:sz w:val="24"/>
                <w:lang w:eastAsia="en-US"/>
              </w:rPr>
              <w:t>份</w:t>
            </w:r>
          </w:p>
        </w:tc>
      </w:tr>
      <w:tr w14:paraId="6AC829C3">
        <w:tblPrEx>
          <w:tblCellMar>
            <w:top w:w="0" w:type="dxa"/>
            <w:left w:w="0" w:type="dxa"/>
            <w:bottom w:w="0" w:type="dxa"/>
            <w:right w:w="0" w:type="dxa"/>
          </w:tblCellMar>
        </w:tblPrEx>
        <w:trPr>
          <w:trHeight w:val="711"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1A53982C">
            <w:pPr>
              <w:wordWrap w:val="0"/>
              <w:spacing w:before="113" w:line="360" w:lineRule="auto"/>
              <w:ind w:left="203"/>
              <w:jc w:val="left"/>
              <w:rPr>
                <w:rFonts w:ascii="宋体" w:hAnsi="宋体"/>
                <w:color w:val="auto"/>
                <w:kern w:val="0"/>
                <w:sz w:val="24"/>
                <w:lang w:eastAsia="en-US"/>
              </w:rPr>
            </w:pPr>
            <w:r>
              <w:rPr>
                <w:rFonts w:ascii="宋体" w:hAnsi="宋体"/>
                <w:color w:val="auto"/>
                <w:kern w:val="0"/>
                <w:sz w:val="24"/>
                <w:lang w:eastAsia="en-US"/>
              </w:rPr>
              <w:t>23</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50D0012F">
            <w:pPr>
              <w:wordWrap w:val="0"/>
              <w:spacing w:before="54" w:line="360" w:lineRule="auto"/>
              <w:ind w:left="103"/>
              <w:jc w:val="left"/>
              <w:rPr>
                <w:rFonts w:ascii="宋体" w:hAnsi="宋体" w:cs="宋体"/>
                <w:color w:val="auto"/>
                <w:kern w:val="0"/>
                <w:sz w:val="24"/>
                <w:lang w:eastAsia="en-US"/>
              </w:rPr>
            </w:pPr>
            <w:r>
              <w:rPr>
                <w:rFonts w:ascii="宋体" w:hAnsi="宋体"/>
                <w:color w:val="auto"/>
                <w:kern w:val="0"/>
                <w:sz w:val="24"/>
                <w:lang w:eastAsia="en-US"/>
              </w:rPr>
              <w:t>18.2</w:t>
            </w:r>
            <w:r>
              <w:rPr>
                <w:rFonts w:ascii="宋体" w:hAnsi="宋体" w:cs="宋体"/>
                <w:color w:val="auto"/>
                <w:kern w:val="0"/>
                <w:sz w:val="24"/>
                <w:lang w:eastAsia="en-US"/>
              </w:rPr>
              <w:t>（</w:t>
            </w:r>
            <w:r>
              <w:rPr>
                <w:rFonts w:ascii="宋体" w:hAnsi="宋体"/>
                <w:color w:val="auto"/>
                <w:kern w:val="0"/>
                <w:sz w:val="24"/>
                <w:lang w:eastAsia="en-US"/>
              </w:rPr>
              <w:t>2</w:t>
            </w:r>
            <w:r>
              <w:rPr>
                <w:rFonts w:ascii="宋体" w:hAnsi="宋体" w:cs="宋体"/>
                <w:color w:val="auto"/>
                <w:kern w:val="0"/>
                <w:sz w:val="24"/>
                <w:lang w:eastAsia="en-US"/>
              </w:rPr>
              <w:t>）</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0D61C246">
            <w:pPr>
              <w:tabs>
                <w:tab w:val="left" w:pos="2654"/>
              </w:tabs>
              <w:wordWrap w:val="0"/>
              <w:spacing w:before="54" w:line="360" w:lineRule="auto"/>
              <w:ind w:left="343"/>
              <w:jc w:val="left"/>
              <w:rPr>
                <w:rFonts w:ascii="宋体" w:hAnsi="宋体" w:cs="宋体"/>
                <w:color w:val="auto"/>
                <w:kern w:val="0"/>
                <w:sz w:val="24"/>
                <w:lang w:eastAsia="en-US"/>
              </w:rPr>
            </w:pPr>
            <w:r>
              <w:rPr>
                <w:rFonts w:ascii="宋体" w:hAnsi="宋体" w:cs="宋体"/>
                <w:color w:val="auto"/>
                <w:spacing w:val="-2"/>
                <w:kern w:val="0"/>
                <w:sz w:val="24"/>
                <w:lang w:eastAsia="en-US"/>
              </w:rPr>
              <w:t>竣工资料的份数：</w:t>
            </w:r>
            <w:r>
              <w:rPr>
                <w:rFonts w:ascii="宋体" w:hAnsi="宋体"/>
                <w:color w:val="auto"/>
                <w:spacing w:val="-2"/>
                <w:kern w:val="0"/>
                <w:sz w:val="24"/>
                <w:u w:val="single" w:color="000000"/>
                <w:lang w:eastAsia="en-US"/>
              </w:rPr>
              <w:tab/>
            </w:r>
            <w:r>
              <w:rPr>
                <w:rFonts w:ascii="宋体" w:hAnsi="宋体" w:cs="宋体"/>
                <w:color w:val="auto"/>
                <w:kern w:val="0"/>
                <w:sz w:val="24"/>
                <w:lang w:eastAsia="en-US"/>
              </w:rPr>
              <w:t>份</w:t>
            </w:r>
          </w:p>
        </w:tc>
      </w:tr>
      <w:tr w14:paraId="586D5657">
        <w:tblPrEx>
          <w:tblCellMar>
            <w:top w:w="0" w:type="dxa"/>
            <w:left w:w="0" w:type="dxa"/>
            <w:bottom w:w="0" w:type="dxa"/>
            <w:right w:w="0" w:type="dxa"/>
          </w:tblCellMar>
        </w:tblPrEx>
        <w:trPr>
          <w:trHeight w:val="1705"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1D5B02ED">
            <w:pPr>
              <w:wordWrap w:val="0"/>
              <w:spacing w:line="360" w:lineRule="auto"/>
              <w:jc w:val="left"/>
              <w:rPr>
                <w:rFonts w:ascii="宋体" w:hAnsi="宋体" w:cs="宋体"/>
                <w:color w:val="auto"/>
                <w:kern w:val="0"/>
                <w:sz w:val="24"/>
                <w:lang w:eastAsia="en-US"/>
              </w:rPr>
            </w:pPr>
          </w:p>
          <w:p w14:paraId="71099148">
            <w:pPr>
              <w:wordWrap w:val="0"/>
              <w:spacing w:before="5" w:line="360" w:lineRule="auto"/>
              <w:jc w:val="left"/>
              <w:rPr>
                <w:rFonts w:ascii="宋体" w:hAnsi="宋体" w:cs="宋体"/>
                <w:color w:val="auto"/>
                <w:kern w:val="0"/>
                <w:sz w:val="24"/>
                <w:lang w:eastAsia="en-US"/>
              </w:rPr>
            </w:pPr>
          </w:p>
          <w:p w14:paraId="79E17E86">
            <w:pPr>
              <w:wordWrap w:val="0"/>
              <w:spacing w:line="360" w:lineRule="auto"/>
              <w:ind w:left="203"/>
              <w:jc w:val="left"/>
              <w:rPr>
                <w:rFonts w:ascii="宋体" w:hAnsi="宋体"/>
                <w:color w:val="auto"/>
                <w:kern w:val="0"/>
                <w:sz w:val="24"/>
                <w:lang w:eastAsia="en-US"/>
              </w:rPr>
            </w:pPr>
            <w:r>
              <w:rPr>
                <w:rFonts w:ascii="宋体" w:hAnsi="宋体"/>
                <w:color w:val="auto"/>
                <w:kern w:val="0"/>
                <w:sz w:val="24"/>
                <w:lang w:eastAsia="en-US"/>
              </w:rPr>
              <w:t>24</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1C5C0C75">
            <w:pPr>
              <w:wordWrap w:val="0"/>
              <w:spacing w:line="360" w:lineRule="auto"/>
              <w:jc w:val="left"/>
              <w:rPr>
                <w:rFonts w:ascii="宋体" w:hAnsi="宋体" w:cs="宋体"/>
                <w:color w:val="auto"/>
                <w:kern w:val="0"/>
                <w:sz w:val="24"/>
                <w:lang w:eastAsia="en-US"/>
              </w:rPr>
            </w:pPr>
          </w:p>
          <w:p w14:paraId="35BA3B48">
            <w:pPr>
              <w:wordWrap w:val="0"/>
              <w:spacing w:before="5" w:line="360" w:lineRule="auto"/>
              <w:jc w:val="left"/>
              <w:rPr>
                <w:rFonts w:ascii="宋体" w:hAnsi="宋体" w:cs="宋体"/>
                <w:color w:val="auto"/>
                <w:kern w:val="0"/>
                <w:sz w:val="24"/>
                <w:lang w:eastAsia="en-US"/>
              </w:rPr>
            </w:pPr>
          </w:p>
          <w:p w14:paraId="39CE3F7B">
            <w:pPr>
              <w:wordWrap w:val="0"/>
              <w:spacing w:line="360" w:lineRule="auto"/>
              <w:ind w:left="288"/>
              <w:jc w:val="left"/>
              <w:rPr>
                <w:rFonts w:ascii="宋体" w:hAnsi="宋体"/>
                <w:color w:val="auto"/>
                <w:kern w:val="0"/>
                <w:sz w:val="24"/>
                <w:lang w:eastAsia="en-US"/>
              </w:rPr>
            </w:pPr>
            <w:r>
              <w:rPr>
                <w:rFonts w:ascii="宋体" w:hAnsi="宋体"/>
                <w:color w:val="auto"/>
                <w:kern w:val="0"/>
                <w:sz w:val="24"/>
                <w:lang w:eastAsia="en-US"/>
              </w:rPr>
              <w:t>18.5.1</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45965FA8">
            <w:pPr>
              <w:tabs>
                <w:tab w:val="left" w:pos="5431"/>
              </w:tabs>
              <w:wordWrap w:val="0"/>
              <w:spacing w:before="57" w:line="360" w:lineRule="auto"/>
              <w:ind w:left="343" w:right="98"/>
              <w:jc w:val="left"/>
              <w:rPr>
                <w:rFonts w:ascii="宋体" w:hAnsi="宋体" w:cs="宋体"/>
                <w:color w:val="auto"/>
                <w:kern w:val="0"/>
                <w:sz w:val="24"/>
              </w:rPr>
            </w:pPr>
            <w:r>
              <w:rPr>
                <w:rFonts w:ascii="宋体" w:hAnsi="宋体" w:cs="宋体"/>
                <w:color w:val="auto"/>
                <w:kern w:val="0"/>
                <w:sz w:val="24"/>
              </w:rPr>
              <w:t>单位工程或工程设备是否需投入施工期运行：</w:t>
            </w:r>
            <w:r>
              <w:rPr>
                <w:rFonts w:ascii="宋体" w:hAnsi="宋体" w:cs="宋体"/>
                <w:color w:val="auto"/>
                <w:spacing w:val="-3"/>
                <w:kern w:val="0"/>
                <w:sz w:val="24"/>
                <w:u w:val="single" w:color="000000"/>
              </w:rPr>
              <w:t>是或否</w:t>
            </w:r>
            <w:r>
              <w:rPr>
                <w:rFonts w:ascii="宋体" w:hAnsi="宋体"/>
                <w:color w:val="auto"/>
                <w:kern w:val="0"/>
                <w:sz w:val="24"/>
                <w:u w:val="single" w:color="000000"/>
              </w:rPr>
              <w:tab/>
            </w:r>
            <w:r>
              <w:rPr>
                <w:rFonts w:ascii="宋体" w:hAnsi="宋体" w:cs="宋体"/>
                <w:color w:val="auto"/>
                <w:spacing w:val="-4"/>
                <w:kern w:val="0"/>
                <w:sz w:val="24"/>
              </w:rPr>
              <w:t>如单位工程或工程设备需要进行施工期运行，需要施工期运行的单位工程或</w:t>
            </w:r>
          </w:p>
          <w:p w14:paraId="57641E0A">
            <w:pPr>
              <w:tabs>
                <w:tab w:val="left" w:pos="4457"/>
              </w:tabs>
              <w:wordWrap w:val="0"/>
              <w:spacing w:before="20" w:line="360" w:lineRule="auto"/>
              <w:ind w:left="103"/>
              <w:jc w:val="left"/>
              <w:rPr>
                <w:rFonts w:ascii="宋体" w:hAnsi="宋体"/>
                <w:color w:val="auto"/>
                <w:kern w:val="0"/>
                <w:sz w:val="24"/>
                <w:lang w:eastAsia="en-US"/>
              </w:rPr>
            </w:pPr>
            <w:r>
              <w:rPr>
                <w:rFonts w:ascii="宋体" w:hAnsi="宋体" w:cs="宋体"/>
                <w:color w:val="auto"/>
                <w:kern w:val="0"/>
                <w:sz w:val="24"/>
                <w:lang w:eastAsia="en-US"/>
              </w:rPr>
              <w:t>工程设备规定如下：</w:t>
            </w:r>
            <w:r>
              <w:rPr>
                <w:rFonts w:ascii="宋体" w:hAnsi="宋体"/>
                <w:color w:val="auto"/>
                <w:kern w:val="0"/>
                <w:sz w:val="24"/>
                <w:u w:val="single" w:color="000000"/>
                <w:lang w:eastAsia="en-US"/>
              </w:rPr>
              <w:tab/>
            </w:r>
          </w:p>
        </w:tc>
      </w:tr>
      <w:tr w14:paraId="44066D99">
        <w:tblPrEx>
          <w:tblCellMar>
            <w:top w:w="0" w:type="dxa"/>
            <w:left w:w="0" w:type="dxa"/>
            <w:bottom w:w="0" w:type="dxa"/>
            <w:right w:w="0" w:type="dxa"/>
          </w:tblCellMar>
        </w:tblPrEx>
        <w:trPr>
          <w:trHeight w:val="1147"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3FC44A4C">
            <w:pPr>
              <w:wordWrap w:val="0"/>
              <w:spacing w:before="6" w:line="360" w:lineRule="auto"/>
              <w:jc w:val="left"/>
              <w:rPr>
                <w:rFonts w:ascii="宋体" w:hAnsi="宋体" w:cs="宋体"/>
                <w:color w:val="auto"/>
                <w:kern w:val="0"/>
                <w:sz w:val="24"/>
                <w:lang w:eastAsia="en-US"/>
              </w:rPr>
            </w:pPr>
          </w:p>
          <w:p w14:paraId="388ADD69">
            <w:pPr>
              <w:wordWrap w:val="0"/>
              <w:spacing w:line="360" w:lineRule="auto"/>
              <w:ind w:left="203"/>
              <w:jc w:val="left"/>
              <w:rPr>
                <w:rFonts w:ascii="宋体" w:hAnsi="宋体"/>
                <w:color w:val="auto"/>
                <w:kern w:val="0"/>
                <w:sz w:val="24"/>
                <w:lang w:eastAsia="en-US"/>
              </w:rPr>
            </w:pPr>
            <w:r>
              <w:rPr>
                <w:rFonts w:ascii="宋体" w:hAnsi="宋体"/>
                <w:color w:val="auto"/>
                <w:kern w:val="0"/>
                <w:sz w:val="24"/>
                <w:lang w:eastAsia="en-US"/>
              </w:rPr>
              <w:t>25</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36C12A36">
            <w:pPr>
              <w:wordWrap w:val="0"/>
              <w:spacing w:before="6" w:line="360" w:lineRule="auto"/>
              <w:jc w:val="left"/>
              <w:rPr>
                <w:rFonts w:ascii="宋体" w:hAnsi="宋体" w:cs="宋体"/>
                <w:color w:val="auto"/>
                <w:kern w:val="0"/>
                <w:sz w:val="24"/>
                <w:lang w:eastAsia="en-US"/>
              </w:rPr>
            </w:pPr>
          </w:p>
          <w:p w14:paraId="66CD4A18">
            <w:pPr>
              <w:wordWrap w:val="0"/>
              <w:spacing w:line="360" w:lineRule="auto"/>
              <w:ind w:left="288"/>
              <w:jc w:val="left"/>
              <w:rPr>
                <w:rFonts w:ascii="宋体" w:hAnsi="宋体"/>
                <w:color w:val="auto"/>
                <w:kern w:val="0"/>
                <w:sz w:val="24"/>
                <w:lang w:eastAsia="en-US"/>
              </w:rPr>
            </w:pPr>
            <w:r>
              <w:rPr>
                <w:rFonts w:ascii="宋体" w:hAnsi="宋体"/>
                <w:color w:val="auto"/>
                <w:kern w:val="0"/>
                <w:sz w:val="24"/>
                <w:lang w:eastAsia="en-US"/>
              </w:rPr>
              <w:t>18.6.1</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72673F2B">
            <w:pPr>
              <w:tabs>
                <w:tab w:val="left" w:pos="7222"/>
              </w:tabs>
              <w:wordWrap w:val="0"/>
              <w:spacing w:before="12" w:line="360" w:lineRule="auto"/>
              <w:ind w:left="343" w:right="53"/>
              <w:jc w:val="left"/>
              <w:rPr>
                <w:rFonts w:ascii="宋体" w:hAnsi="宋体"/>
                <w:color w:val="auto"/>
                <w:kern w:val="0"/>
                <w:sz w:val="24"/>
              </w:rPr>
            </w:pPr>
            <w:r>
              <w:rPr>
                <w:rFonts w:ascii="宋体" w:hAnsi="宋体" w:cs="宋体"/>
                <w:color w:val="auto"/>
                <w:kern w:val="0"/>
                <w:sz w:val="24"/>
              </w:rPr>
              <w:t xml:space="preserve">本工程及工程设备是否进行试运行： </w:t>
            </w:r>
            <w:r>
              <w:rPr>
                <w:rFonts w:ascii="宋体" w:hAnsi="宋体" w:cs="宋体"/>
                <w:color w:val="auto"/>
                <w:kern w:val="0"/>
                <w:sz w:val="24"/>
                <w:u w:val="single" w:color="000000"/>
              </w:rPr>
              <w:t>是或否</w:t>
            </w:r>
            <w:r>
              <w:rPr>
                <w:rFonts w:ascii="宋体" w:hAnsi="宋体" w:cs="宋体"/>
                <w:color w:val="auto"/>
                <w:kern w:val="0"/>
                <w:sz w:val="24"/>
              </w:rPr>
              <w:t xml:space="preserve"> 如本工程及工程设备需要进行试运行，试运行的具体规定如下：</w:t>
            </w:r>
            <w:r>
              <w:rPr>
                <w:rFonts w:ascii="宋体" w:hAnsi="宋体"/>
                <w:color w:val="auto"/>
                <w:kern w:val="0"/>
                <w:sz w:val="24"/>
                <w:u w:val="single" w:color="000000"/>
              </w:rPr>
              <w:tab/>
            </w:r>
          </w:p>
        </w:tc>
      </w:tr>
      <w:tr w14:paraId="32ED8B49">
        <w:tblPrEx>
          <w:tblCellMar>
            <w:top w:w="0" w:type="dxa"/>
            <w:left w:w="0" w:type="dxa"/>
            <w:bottom w:w="0" w:type="dxa"/>
            <w:right w:w="0" w:type="dxa"/>
          </w:tblCellMar>
        </w:tblPrEx>
        <w:trPr>
          <w:trHeight w:val="71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78ABC25C">
            <w:pPr>
              <w:wordWrap w:val="0"/>
              <w:spacing w:before="113" w:line="360" w:lineRule="auto"/>
              <w:ind w:left="203"/>
              <w:jc w:val="left"/>
              <w:rPr>
                <w:rFonts w:ascii="宋体" w:hAnsi="宋体"/>
                <w:color w:val="auto"/>
                <w:kern w:val="0"/>
                <w:sz w:val="24"/>
                <w:lang w:eastAsia="en-US"/>
              </w:rPr>
            </w:pPr>
            <w:r>
              <w:rPr>
                <w:rFonts w:ascii="宋体" w:hAnsi="宋体"/>
                <w:color w:val="auto"/>
                <w:kern w:val="0"/>
                <w:sz w:val="24"/>
                <w:lang w:eastAsia="en-US"/>
              </w:rPr>
              <w:t>26</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76FF26AB">
            <w:pPr>
              <w:wordWrap w:val="0"/>
              <w:spacing w:before="54" w:line="360" w:lineRule="auto"/>
              <w:ind w:left="103"/>
              <w:jc w:val="left"/>
              <w:rPr>
                <w:rFonts w:ascii="宋体" w:hAnsi="宋体" w:cs="宋体"/>
                <w:color w:val="auto"/>
                <w:kern w:val="0"/>
                <w:sz w:val="24"/>
                <w:lang w:eastAsia="en-US"/>
              </w:rPr>
            </w:pPr>
            <w:r>
              <w:rPr>
                <w:rFonts w:ascii="宋体" w:hAnsi="宋体"/>
                <w:color w:val="auto"/>
                <w:kern w:val="0"/>
                <w:sz w:val="24"/>
                <w:lang w:eastAsia="en-US"/>
              </w:rPr>
              <w:t>19.7</w:t>
            </w:r>
            <w:r>
              <w:rPr>
                <w:rFonts w:ascii="宋体" w:hAnsi="宋体" w:cs="宋体"/>
                <w:color w:val="auto"/>
                <w:kern w:val="0"/>
                <w:sz w:val="24"/>
                <w:lang w:eastAsia="en-US"/>
              </w:rPr>
              <w:t>（</w:t>
            </w:r>
            <w:r>
              <w:rPr>
                <w:rFonts w:ascii="宋体" w:hAnsi="宋体"/>
                <w:color w:val="auto"/>
                <w:kern w:val="0"/>
                <w:sz w:val="24"/>
                <w:lang w:eastAsia="en-US"/>
              </w:rPr>
              <w:t>1</w:t>
            </w:r>
            <w:r>
              <w:rPr>
                <w:rFonts w:ascii="宋体" w:hAnsi="宋体" w:cs="宋体"/>
                <w:color w:val="auto"/>
                <w:kern w:val="0"/>
                <w:sz w:val="24"/>
                <w:lang w:eastAsia="en-US"/>
              </w:rPr>
              <w:t>）</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549D1F01">
            <w:pPr>
              <w:tabs>
                <w:tab w:val="left" w:pos="3812"/>
              </w:tabs>
              <w:wordWrap w:val="0"/>
              <w:spacing w:before="54" w:line="360" w:lineRule="auto"/>
              <w:ind w:left="343"/>
              <w:jc w:val="left"/>
              <w:rPr>
                <w:rFonts w:ascii="宋体" w:hAnsi="宋体" w:cs="宋体"/>
                <w:color w:val="auto"/>
                <w:kern w:val="0"/>
                <w:sz w:val="24"/>
              </w:rPr>
            </w:pPr>
            <w:r>
              <w:rPr>
                <w:rFonts w:ascii="宋体" w:hAnsi="宋体" w:cs="宋体"/>
                <w:color w:val="auto"/>
                <w:spacing w:val="-2"/>
                <w:kern w:val="0"/>
                <w:sz w:val="24"/>
              </w:rPr>
              <w:t>保修期：自实际交工日期起计算</w:t>
            </w:r>
            <w:r>
              <w:rPr>
                <w:rFonts w:ascii="宋体" w:hAnsi="宋体"/>
                <w:color w:val="auto"/>
                <w:spacing w:val="-2"/>
                <w:kern w:val="0"/>
                <w:sz w:val="24"/>
                <w:u w:val="single" w:color="000000"/>
              </w:rPr>
              <w:tab/>
            </w:r>
            <w:r>
              <w:rPr>
                <w:rFonts w:ascii="宋体" w:hAnsi="宋体" w:cs="宋体"/>
                <w:color w:val="auto"/>
                <w:spacing w:val="-2"/>
                <w:kern w:val="0"/>
                <w:sz w:val="24"/>
              </w:rPr>
              <w:t>年</w:t>
            </w:r>
            <w:r>
              <w:rPr>
                <w:rFonts w:ascii="宋体" w:hAnsi="宋体" w:cs="宋体"/>
                <w:color w:val="auto"/>
                <w:spacing w:val="-2"/>
                <w:kern w:val="0"/>
                <w:position w:val="10"/>
                <w:sz w:val="24"/>
              </w:rPr>
              <w:t>⑧</w:t>
            </w:r>
          </w:p>
        </w:tc>
      </w:tr>
      <w:tr w14:paraId="44C4E28D">
        <w:tblPrEx>
          <w:tblCellMar>
            <w:top w:w="0" w:type="dxa"/>
            <w:left w:w="0" w:type="dxa"/>
            <w:bottom w:w="0" w:type="dxa"/>
            <w:right w:w="0" w:type="dxa"/>
          </w:tblCellMar>
        </w:tblPrEx>
        <w:trPr>
          <w:trHeight w:val="834"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68502139">
            <w:pPr>
              <w:wordWrap w:val="0"/>
              <w:spacing w:before="113" w:line="360" w:lineRule="auto"/>
              <w:ind w:left="203"/>
              <w:jc w:val="left"/>
              <w:rPr>
                <w:rFonts w:ascii="宋体" w:hAnsi="宋体"/>
                <w:color w:val="auto"/>
                <w:kern w:val="0"/>
                <w:sz w:val="24"/>
                <w:lang w:eastAsia="en-US"/>
              </w:rPr>
            </w:pPr>
            <w:r>
              <w:rPr>
                <w:rFonts w:ascii="宋体" w:hAnsi="宋体"/>
                <w:color w:val="auto"/>
                <w:kern w:val="0"/>
                <w:sz w:val="24"/>
                <w:lang w:eastAsia="en-US"/>
              </w:rPr>
              <w:t>27</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28EAE005">
            <w:pPr>
              <w:wordWrap w:val="0"/>
              <w:spacing w:before="113" w:line="360" w:lineRule="auto"/>
              <w:ind w:left="367"/>
              <w:jc w:val="left"/>
              <w:rPr>
                <w:rFonts w:ascii="宋体" w:hAnsi="宋体"/>
                <w:color w:val="auto"/>
                <w:kern w:val="0"/>
                <w:sz w:val="24"/>
                <w:lang w:eastAsia="en-US"/>
              </w:rPr>
            </w:pPr>
            <w:r>
              <w:rPr>
                <w:rFonts w:ascii="宋体" w:hAnsi="宋体"/>
                <w:color w:val="auto"/>
                <w:kern w:val="0"/>
                <w:sz w:val="24"/>
                <w:lang w:eastAsia="en-US"/>
              </w:rPr>
              <w:t>20.1</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37B8D249">
            <w:pPr>
              <w:tabs>
                <w:tab w:val="left" w:pos="3497"/>
              </w:tabs>
              <w:wordWrap w:val="0"/>
              <w:spacing w:before="54" w:line="360" w:lineRule="auto"/>
              <w:ind w:left="343"/>
              <w:jc w:val="left"/>
              <w:rPr>
                <w:rFonts w:ascii="宋体" w:hAnsi="宋体"/>
                <w:color w:val="auto"/>
                <w:kern w:val="0"/>
                <w:sz w:val="24"/>
              </w:rPr>
            </w:pPr>
            <w:r>
              <w:rPr>
                <w:rFonts w:ascii="宋体" w:hAnsi="宋体" w:cs="宋体"/>
                <w:color w:val="auto"/>
                <w:spacing w:val="-2"/>
                <w:kern w:val="0"/>
                <w:sz w:val="24"/>
              </w:rPr>
              <w:t>建筑工程一切险的保险费率：</w:t>
            </w:r>
            <w:r>
              <w:rPr>
                <w:rFonts w:ascii="宋体" w:hAnsi="宋体"/>
                <w:color w:val="auto"/>
                <w:spacing w:val="-2"/>
                <w:kern w:val="0"/>
                <w:sz w:val="24"/>
                <w:u w:val="single"/>
              </w:rPr>
              <w:tab/>
            </w:r>
            <w:r>
              <w:rPr>
                <w:rFonts w:ascii="宋体" w:hAnsi="宋体"/>
                <w:color w:val="auto"/>
                <w:kern w:val="0"/>
                <w:sz w:val="24"/>
              </w:rPr>
              <w:t>‰</w:t>
            </w:r>
          </w:p>
        </w:tc>
      </w:tr>
      <w:tr w14:paraId="2221E878">
        <w:tblPrEx>
          <w:tblCellMar>
            <w:top w:w="0" w:type="dxa"/>
            <w:left w:w="0" w:type="dxa"/>
            <w:bottom w:w="0" w:type="dxa"/>
            <w:right w:w="0" w:type="dxa"/>
          </w:tblCellMar>
        </w:tblPrEx>
        <w:trPr>
          <w:trHeight w:val="85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63B9DD2A">
            <w:pPr>
              <w:wordWrap w:val="0"/>
              <w:spacing w:before="6" w:line="360" w:lineRule="auto"/>
              <w:jc w:val="left"/>
              <w:rPr>
                <w:rFonts w:ascii="宋体" w:hAnsi="宋体" w:cs="宋体"/>
                <w:color w:val="auto"/>
                <w:kern w:val="0"/>
                <w:sz w:val="24"/>
              </w:rPr>
            </w:pPr>
          </w:p>
          <w:p w14:paraId="263AC1A6">
            <w:pPr>
              <w:wordWrap w:val="0"/>
              <w:spacing w:line="360" w:lineRule="auto"/>
              <w:ind w:left="203"/>
              <w:jc w:val="left"/>
              <w:rPr>
                <w:rFonts w:ascii="宋体" w:hAnsi="宋体"/>
                <w:color w:val="auto"/>
                <w:kern w:val="0"/>
                <w:sz w:val="24"/>
                <w:lang w:eastAsia="en-US"/>
              </w:rPr>
            </w:pPr>
            <w:r>
              <w:rPr>
                <w:rFonts w:ascii="宋体" w:hAnsi="宋体"/>
                <w:color w:val="auto"/>
                <w:kern w:val="0"/>
                <w:sz w:val="24"/>
                <w:lang w:eastAsia="en-US"/>
              </w:rPr>
              <w:t>28</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0D8249E3">
            <w:pPr>
              <w:wordWrap w:val="0"/>
              <w:spacing w:before="6" w:line="360" w:lineRule="auto"/>
              <w:jc w:val="left"/>
              <w:rPr>
                <w:rFonts w:ascii="宋体" w:hAnsi="宋体" w:cs="宋体"/>
                <w:color w:val="auto"/>
                <w:kern w:val="0"/>
                <w:sz w:val="24"/>
                <w:lang w:eastAsia="en-US"/>
              </w:rPr>
            </w:pPr>
          </w:p>
          <w:p w14:paraId="0EB1FD1C">
            <w:pPr>
              <w:wordWrap w:val="0"/>
              <w:spacing w:line="360" w:lineRule="auto"/>
              <w:ind w:left="288"/>
              <w:jc w:val="left"/>
              <w:rPr>
                <w:rFonts w:ascii="宋体" w:hAnsi="宋体"/>
                <w:color w:val="auto"/>
                <w:kern w:val="0"/>
                <w:sz w:val="24"/>
                <w:lang w:eastAsia="en-US"/>
              </w:rPr>
            </w:pPr>
            <w:r>
              <w:rPr>
                <w:rFonts w:ascii="宋体" w:hAnsi="宋体"/>
                <w:color w:val="auto"/>
                <w:kern w:val="0"/>
                <w:sz w:val="24"/>
                <w:lang w:eastAsia="en-US"/>
              </w:rPr>
              <w:t>20.4.2</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0B6E9BF8">
            <w:pPr>
              <w:tabs>
                <w:tab w:val="left" w:pos="1812"/>
                <w:tab w:val="left" w:pos="3809"/>
              </w:tabs>
              <w:wordWrap w:val="0"/>
              <w:spacing w:before="12" w:line="360" w:lineRule="auto"/>
              <w:ind w:left="340" w:right="122"/>
              <w:jc w:val="left"/>
              <w:rPr>
                <w:rFonts w:ascii="宋体" w:hAnsi="宋体"/>
                <w:color w:val="auto"/>
                <w:kern w:val="0"/>
                <w:sz w:val="24"/>
              </w:rPr>
            </w:pPr>
            <w:r>
              <w:rPr>
                <w:rFonts w:ascii="宋体" w:hAnsi="宋体" w:cs="宋体"/>
                <w:color w:val="auto"/>
                <w:spacing w:val="-2"/>
                <w:kern w:val="0"/>
                <w:sz w:val="24"/>
              </w:rPr>
              <w:t>第三者责任险的最低投保金额：</w:t>
            </w:r>
            <w:r>
              <w:rPr>
                <w:rFonts w:ascii="宋体" w:hAnsi="宋体"/>
                <w:color w:val="auto"/>
                <w:spacing w:val="-2"/>
                <w:kern w:val="0"/>
                <w:sz w:val="24"/>
                <w:u w:val="single" w:color="000000"/>
              </w:rPr>
              <w:tab/>
            </w:r>
            <w:r>
              <w:rPr>
                <w:rFonts w:ascii="宋体" w:hAnsi="宋体" w:cs="宋体"/>
                <w:color w:val="auto"/>
                <w:spacing w:val="-2"/>
                <w:kern w:val="0"/>
                <w:sz w:val="24"/>
              </w:rPr>
              <w:t>万元，事故次数不限（不计免赔额）</w:t>
            </w:r>
            <w:r>
              <w:rPr>
                <w:rFonts w:ascii="宋体" w:hAnsi="宋体" w:cs="宋体"/>
                <w:color w:val="auto"/>
                <w:spacing w:val="-1"/>
                <w:kern w:val="0"/>
                <w:sz w:val="24"/>
              </w:rPr>
              <w:t>保险费率：</w:t>
            </w:r>
            <w:r>
              <w:rPr>
                <w:rFonts w:ascii="宋体" w:hAnsi="宋体"/>
                <w:color w:val="auto"/>
                <w:spacing w:val="-1"/>
                <w:kern w:val="0"/>
                <w:sz w:val="24"/>
                <w:u w:val="single"/>
              </w:rPr>
              <w:tab/>
            </w:r>
            <w:r>
              <w:rPr>
                <w:rFonts w:ascii="宋体" w:hAnsi="宋体"/>
                <w:color w:val="auto"/>
                <w:kern w:val="0"/>
                <w:sz w:val="24"/>
              </w:rPr>
              <w:t>‰</w:t>
            </w:r>
          </w:p>
        </w:tc>
      </w:tr>
      <w:tr w14:paraId="0A0C3818">
        <w:tblPrEx>
          <w:tblCellMar>
            <w:top w:w="0" w:type="dxa"/>
            <w:left w:w="0" w:type="dxa"/>
            <w:bottom w:w="0" w:type="dxa"/>
            <w:right w:w="0" w:type="dxa"/>
          </w:tblCellMar>
        </w:tblPrEx>
        <w:trPr>
          <w:trHeight w:val="99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34FAD35F">
            <w:pPr>
              <w:wordWrap w:val="0"/>
              <w:spacing w:before="6" w:line="360" w:lineRule="auto"/>
              <w:jc w:val="left"/>
              <w:rPr>
                <w:rFonts w:ascii="宋体" w:hAnsi="宋体" w:cs="宋体"/>
                <w:color w:val="auto"/>
                <w:kern w:val="0"/>
                <w:sz w:val="24"/>
              </w:rPr>
            </w:pPr>
          </w:p>
          <w:p w14:paraId="0D4D5359">
            <w:pPr>
              <w:wordWrap w:val="0"/>
              <w:spacing w:line="360" w:lineRule="auto"/>
              <w:ind w:left="203"/>
              <w:jc w:val="left"/>
              <w:rPr>
                <w:rFonts w:ascii="宋体" w:hAnsi="宋体"/>
                <w:color w:val="auto"/>
                <w:kern w:val="0"/>
                <w:sz w:val="24"/>
                <w:lang w:eastAsia="en-US"/>
              </w:rPr>
            </w:pPr>
            <w:r>
              <w:rPr>
                <w:rFonts w:ascii="宋体" w:hAnsi="宋体"/>
                <w:color w:val="auto"/>
                <w:kern w:val="0"/>
                <w:sz w:val="24"/>
                <w:lang w:eastAsia="en-US"/>
              </w:rPr>
              <w:t>29</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0F1D157E">
            <w:pPr>
              <w:wordWrap w:val="0"/>
              <w:spacing w:before="6" w:line="360" w:lineRule="auto"/>
              <w:jc w:val="left"/>
              <w:rPr>
                <w:rFonts w:ascii="宋体" w:hAnsi="宋体" w:cs="宋体"/>
                <w:color w:val="auto"/>
                <w:kern w:val="0"/>
                <w:sz w:val="24"/>
                <w:lang w:eastAsia="en-US"/>
              </w:rPr>
            </w:pPr>
          </w:p>
          <w:p w14:paraId="6EB61A0F">
            <w:pPr>
              <w:wordWrap w:val="0"/>
              <w:spacing w:line="360" w:lineRule="auto"/>
              <w:ind w:left="367"/>
              <w:jc w:val="left"/>
              <w:rPr>
                <w:rFonts w:ascii="宋体" w:hAnsi="宋体"/>
                <w:color w:val="auto"/>
                <w:kern w:val="0"/>
                <w:sz w:val="24"/>
                <w:lang w:eastAsia="en-US"/>
              </w:rPr>
            </w:pPr>
            <w:r>
              <w:rPr>
                <w:rFonts w:ascii="宋体" w:hAnsi="宋体"/>
                <w:color w:val="auto"/>
                <w:kern w:val="0"/>
                <w:sz w:val="24"/>
                <w:lang w:eastAsia="en-US"/>
              </w:rPr>
              <w:t>24.1</w:t>
            </w:r>
          </w:p>
        </w:tc>
        <w:tc>
          <w:tcPr>
            <w:tcW w:w="7166" w:type="dxa"/>
            <w:tcBorders>
              <w:top w:val="single" w:color="000000" w:sz="4" w:space="0"/>
              <w:left w:val="single" w:color="000000" w:sz="4" w:space="0"/>
              <w:bottom w:val="single" w:color="000000" w:sz="4" w:space="0"/>
              <w:right w:val="single" w:color="000000" w:sz="4" w:space="0"/>
            </w:tcBorders>
            <w:noWrap w:val="0"/>
            <w:vAlign w:val="top"/>
          </w:tcPr>
          <w:p w14:paraId="3F48724B">
            <w:pPr>
              <w:tabs>
                <w:tab w:val="left" w:pos="3944"/>
                <w:tab w:val="left" w:pos="6149"/>
              </w:tabs>
              <w:wordWrap w:val="0"/>
              <w:spacing w:before="12" w:line="360" w:lineRule="auto"/>
              <w:ind w:left="340" w:right="1126" w:hanging="17"/>
              <w:jc w:val="left"/>
              <w:rPr>
                <w:rFonts w:ascii="宋体" w:hAnsi="宋体"/>
                <w:color w:val="auto"/>
                <w:kern w:val="0"/>
                <w:sz w:val="24"/>
              </w:rPr>
            </w:pPr>
            <w:r>
              <w:rPr>
                <w:rFonts w:ascii="宋体" w:hAnsi="宋体" w:cs="宋体"/>
                <w:color w:val="auto"/>
                <w:kern w:val="0"/>
                <w:sz w:val="24"/>
              </w:rPr>
              <w:t>争议的最终解决方式：</w:t>
            </w:r>
            <w:r>
              <w:rPr>
                <w:rFonts w:ascii="宋体" w:hAnsi="宋体" w:cs="宋体"/>
                <w:color w:val="auto"/>
                <w:kern w:val="0"/>
                <w:sz w:val="24"/>
                <w:u w:val="single" w:color="000000"/>
              </w:rPr>
              <w:t>仲裁或诉讼</w:t>
            </w:r>
            <w:r>
              <w:rPr>
                <w:rFonts w:ascii="宋体" w:hAnsi="宋体"/>
                <w:color w:val="auto"/>
                <w:kern w:val="0"/>
                <w:sz w:val="24"/>
                <w:u w:val="single" w:color="000000"/>
              </w:rPr>
              <w:tab/>
            </w:r>
          </w:p>
          <w:p w14:paraId="526150DD">
            <w:pPr>
              <w:tabs>
                <w:tab w:val="left" w:pos="3944"/>
                <w:tab w:val="left" w:pos="6149"/>
              </w:tabs>
              <w:wordWrap w:val="0"/>
              <w:spacing w:before="12" w:line="360" w:lineRule="auto"/>
              <w:ind w:left="340" w:right="1126" w:hanging="17"/>
              <w:jc w:val="left"/>
              <w:rPr>
                <w:rFonts w:ascii="宋体" w:hAnsi="宋体"/>
                <w:color w:val="auto"/>
                <w:kern w:val="0"/>
                <w:sz w:val="24"/>
              </w:rPr>
            </w:pPr>
            <w:r>
              <w:rPr>
                <w:rFonts w:ascii="宋体" w:hAnsi="宋体" w:cs="宋体"/>
                <w:color w:val="auto"/>
                <w:kern w:val="0"/>
                <w:sz w:val="24"/>
              </w:rPr>
              <w:t>如采用仲裁，仲裁委员会名称：</w:t>
            </w:r>
            <w:r>
              <w:rPr>
                <w:rFonts w:ascii="宋体" w:hAnsi="宋体"/>
                <w:color w:val="auto"/>
                <w:kern w:val="0"/>
                <w:sz w:val="24"/>
                <w:u w:val="single" w:color="000000"/>
              </w:rPr>
              <w:tab/>
            </w:r>
            <w:r>
              <w:rPr>
                <w:rFonts w:ascii="宋体" w:hAnsi="宋体"/>
                <w:color w:val="auto"/>
                <w:kern w:val="0"/>
                <w:sz w:val="24"/>
                <w:u w:val="single" w:color="000000"/>
              </w:rPr>
              <w:tab/>
            </w:r>
          </w:p>
        </w:tc>
      </w:tr>
    </w:tbl>
    <w:p w14:paraId="0F23E0F5">
      <w:pPr>
        <w:wordWrap w:val="0"/>
        <w:ind w:left="1910" w:right="1894"/>
        <w:jc w:val="center"/>
        <w:rPr>
          <w:rFonts w:ascii="黑体" w:hAnsi="黑体" w:eastAsia="黑体"/>
          <w:color w:val="auto"/>
          <w:kern w:val="0"/>
          <w:sz w:val="32"/>
          <w:szCs w:val="32"/>
        </w:rPr>
      </w:pPr>
    </w:p>
    <w:p w14:paraId="03D2A80A">
      <w:pPr>
        <w:wordWrap w:val="0"/>
        <w:rPr>
          <w:rFonts w:ascii="宋体" w:hAnsi="宋体" w:cs="宋体"/>
          <w:b/>
          <w:bCs/>
          <w:color w:val="auto"/>
          <w:kern w:val="0"/>
          <w:sz w:val="28"/>
          <w:szCs w:val="30"/>
        </w:rPr>
      </w:pPr>
      <w:r>
        <w:rPr>
          <w:rFonts w:ascii="宋体" w:hAnsi="宋体" w:cs="宋体"/>
          <w:b/>
          <w:bCs/>
          <w:color w:val="auto"/>
          <w:kern w:val="0"/>
          <w:sz w:val="28"/>
          <w:szCs w:val="30"/>
        </w:rPr>
        <w:br w:type="page"/>
      </w:r>
    </w:p>
    <w:p w14:paraId="3E2F64A7">
      <w:pPr>
        <w:widowControl/>
        <w:wordWrap w:val="0"/>
        <w:spacing w:after="200" w:line="276" w:lineRule="auto"/>
        <w:jc w:val="center"/>
        <w:rPr>
          <w:rFonts w:ascii="宋体" w:hAnsi="宋体" w:cs="宋体"/>
          <w:b/>
          <w:bCs/>
          <w:color w:val="auto"/>
          <w:kern w:val="0"/>
          <w:sz w:val="28"/>
          <w:szCs w:val="30"/>
        </w:rPr>
      </w:pPr>
      <w:r>
        <w:rPr>
          <w:rFonts w:ascii="宋体" w:hAnsi="宋体" w:cs="宋体"/>
          <w:b/>
          <w:bCs/>
          <w:color w:val="auto"/>
          <w:kern w:val="0"/>
          <w:sz w:val="28"/>
          <w:szCs w:val="30"/>
        </w:rPr>
        <w:t>项目专用合同条款</w:t>
      </w:r>
    </w:p>
    <w:p w14:paraId="44CD9B61">
      <w:pPr>
        <w:wordWrap w:val="0"/>
        <w:spacing w:line="319" w:lineRule="auto"/>
        <w:ind w:left="804" w:right="129" w:hanging="660"/>
        <w:rPr>
          <w:rFonts w:ascii="宋体" w:hAnsi="宋体" w:cs="宋体"/>
          <w:color w:val="auto"/>
          <w:kern w:val="0"/>
          <w:sz w:val="24"/>
        </w:rPr>
      </w:pPr>
      <w:r>
        <w:rPr>
          <w:rFonts w:ascii="宋体" w:hAnsi="宋体" w:cs="黑体"/>
          <w:color w:val="auto"/>
          <w:spacing w:val="2"/>
          <w:kern w:val="0"/>
          <w:sz w:val="24"/>
        </w:rPr>
        <w:t>说明：</w:t>
      </w:r>
      <w:r>
        <w:rPr>
          <w:rFonts w:ascii="宋体" w:hAnsi="宋体" w:cs="宋体"/>
          <w:color w:val="auto"/>
          <w:spacing w:val="4"/>
          <w:kern w:val="0"/>
          <w:sz w:val="24"/>
        </w:rPr>
        <w:t>本</w:t>
      </w:r>
      <w:r>
        <w:rPr>
          <w:rFonts w:ascii="宋体" w:hAnsi="宋体" w:cs="宋体"/>
          <w:color w:val="auto"/>
          <w:spacing w:val="2"/>
          <w:kern w:val="0"/>
          <w:sz w:val="24"/>
        </w:rPr>
        <w:t>部分</w:t>
      </w:r>
      <w:r>
        <w:rPr>
          <w:rFonts w:ascii="宋体" w:hAnsi="宋体" w:cs="宋体"/>
          <w:color w:val="auto"/>
          <w:spacing w:val="4"/>
          <w:kern w:val="0"/>
          <w:sz w:val="24"/>
        </w:rPr>
        <w:t>所</w:t>
      </w:r>
      <w:r>
        <w:rPr>
          <w:rFonts w:ascii="宋体" w:hAnsi="宋体" w:cs="宋体"/>
          <w:color w:val="auto"/>
          <w:spacing w:val="2"/>
          <w:kern w:val="0"/>
          <w:sz w:val="24"/>
        </w:rPr>
        <w:t>列的</w:t>
      </w:r>
      <w:r>
        <w:rPr>
          <w:rFonts w:ascii="宋体" w:hAnsi="宋体" w:cs="宋体"/>
          <w:color w:val="auto"/>
          <w:spacing w:val="4"/>
          <w:kern w:val="0"/>
          <w:sz w:val="24"/>
        </w:rPr>
        <w:t>项</w:t>
      </w:r>
      <w:r>
        <w:rPr>
          <w:rFonts w:ascii="宋体" w:hAnsi="宋体" w:cs="宋体"/>
          <w:color w:val="auto"/>
          <w:spacing w:val="2"/>
          <w:kern w:val="0"/>
          <w:sz w:val="24"/>
        </w:rPr>
        <w:t>目专用</w:t>
      </w:r>
      <w:r>
        <w:rPr>
          <w:rFonts w:ascii="宋体" w:hAnsi="宋体" w:cs="宋体"/>
          <w:color w:val="auto"/>
          <w:spacing w:val="4"/>
          <w:kern w:val="0"/>
          <w:sz w:val="24"/>
        </w:rPr>
        <w:t>合</w:t>
      </w:r>
      <w:r>
        <w:rPr>
          <w:rFonts w:ascii="宋体" w:hAnsi="宋体" w:cs="宋体"/>
          <w:color w:val="auto"/>
          <w:spacing w:val="2"/>
          <w:kern w:val="0"/>
          <w:sz w:val="24"/>
        </w:rPr>
        <w:t>同条</w:t>
      </w:r>
      <w:r>
        <w:rPr>
          <w:rFonts w:ascii="宋体" w:hAnsi="宋体" w:cs="宋体"/>
          <w:color w:val="auto"/>
          <w:spacing w:val="4"/>
          <w:kern w:val="0"/>
          <w:sz w:val="24"/>
        </w:rPr>
        <w:t>款</w:t>
      </w:r>
      <w:r>
        <w:rPr>
          <w:rFonts w:ascii="宋体" w:hAnsi="宋体" w:cs="宋体"/>
          <w:color w:val="auto"/>
          <w:spacing w:val="2"/>
          <w:kern w:val="0"/>
          <w:sz w:val="24"/>
        </w:rPr>
        <w:t>是</w:t>
      </w:r>
      <w:r>
        <w:rPr>
          <w:rFonts w:ascii="宋体" w:hAnsi="宋体" w:cs="宋体"/>
          <w:color w:val="auto"/>
          <w:spacing w:val="4"/>
          <w:kern w:val="0"/>
          <w:sz w:val="24"/>
        </w:rPr>
        <w:t>对</w:t>
      </w:r>
      <w:r>
        <w:rPr>
          <w:rFonts w:hint="eastAsia" w:ascii="宋体" w:hAnsi="宋体" w:cs="宋体"/>
          <w:color w:val="auto"/>
          <w:spacing w:val="4"/>
          <w:kern w:val="0"/>
          <w:sz w:val="24"/>
        </w:rPr>
        <w:t>“</w:t>
      </w:r>
      <w:r>
        <w:rPr>
          <w:rFonts w:ascii="宋体" w:hAnsi="宋体" w:cs="宋体"/>
          <w:color w:val="auto"/>
          <w:spacing w:val="2"/>
          <w:kern w:val="0"/>
          <w:sz w:val="24"/>
        </w:rPr>
        <w:t>公路工</w:t>
      </w:r>
      <w:r>
        <w:rPr>
          <w:rFonts w:ascii="宋体" w:hAnsi="宋体" w:cs="宋体"/>
          <w:color w:val="auto"/>
          <w:spacing w:val="4"/>
          <w:kern w:val="0"/>
          <w:sz w:val="24"/>
        </w:rPr>
        <w:t>程</w:t>
      </w:r>
      <w:r>
        <w:rPr>
          <w:rFonts w:ascii="宋体" w:hAnsi="宋体" w:cs="宋体"/>
          <w:color w:val="auto"/>
          <w:spacing w:val="2"/>
          <w:kern w:val="0"/>
          <w:sz w:val="24"/>
        </w:rPr>
        <w:t>专用</w:t>
      </w:r>
      <w:r>
        <w:rPr>
          <w:rFonts w:ascii="宋体" w:hAnsi="宋体" w:cs="宋体"/>
          <w:color w:val="auto"/>
          <w:spacing w:val="4"/>
          <w:kern w:val="0"/>
          <w:sz w:val="24"/>
        </w:rPr>
        <w:t>合</w:t>
      </w:r>
      <w:r>
        <w:rPr>
          <w:rFonts w:ascii="宋体" w:hAnsi="宋体" w:cs="宋体"/>
          <w:color w:val="auto"/>
          <w:spacing w:val="2"/>
          <w:kern w:val="0"/>
          <w:sz w:val="24"/>
        </w:rPr>
        <w:t>同条</w:t>
      </w:r>
      <w:r>
        <w:rPr>
          <w:rFonts w:ascii="宋体" w:hAnsi="宋体" w:cs="宋体"/>
          <w:color w:val="auto"/>
          <w:spacing w:val="6"/>
          <w:kern w:val="0"/>
          <w:sz w:val="24"/>
        </w:rPr>
        <w:t>款</w:t>
      </w:r>
      <w:r>
        <w:rPr>
          <w:rFonts w:hint="eastAsia" w:ascii="宋体" w:hAnsi="宋体" w:cs="宋体"/>
          <w:color w:val="auto"/>
          <w:spacing w:val="4"/>
          <w:kern w:val="0"/>
          <w:sz w:val="24"/>
        </w:rPr>
        <w:t>”</w:t>
      </w:r>
      <w:r>
        <w:rPr>
          <w:rFonts w:ascii="宋体" w:hAnsi="宋体" w:cs="宋体"/>
          <w:color w:val="auto"/>
          <w:spacing w:val="2"/>
          <w:kern w:val="0"/>
          <w:sz w:val="24"/>
        </w:rPr>
        <w:t>中</w:t>
      </w:r>
      <w:r>
        <w:rPr>
          <w:rFonts w:ascii="宋体" w:hAnsi="宋体" w:cs="宋体"/>
          <w:color w:val="auto"/>
          <w:spacing w:val="4"/>
          <w:kern w:val="0"/>
          <w:sz w:val="24"/>
        </w:rPr>
        <w:t>规</w:t>
      </w:r>
      <w:r>
        <w:rPr>
          <w:rFonts w:ascii="宋体" w:hAnsi="宋体" w:cs="宋体"/>
          <w:color w:val="auto"/>
          <w:spacing w:val="2"/>
          <w:kern w:val="0"/>
          <w:sz w:val="24"/>
        </w:rPr>
        <w:t>定必须</w:t>
      </w:r>
      <w:r>
        <w:rPr>
          <w:rFonts w:ascii="宋体" w:hAnsi="宋体" w:cs="宋体"/>
          <w:color w:val="auto"/>
          <w:kern w:val="0"/>
          <w:sz w:val="24"/>
        </w:rPr>
        <w:t>在</w:t>
      </w:r>
      <w:r>
        <w:rPr>
          <w:rFonts w:ascii="宋体" w:hAnsi="宋体" w:cs="宋体"/>
          <w:color w:val="auto"/>
          <w:spacing w:val="4"/>
          <w:kern w:val="0"/>
          <w:sz w:val="24"/>
        </w:rPr>
        <w:t>项目专用合</w:t>
      </w:r>
      <w:r>
        <w:rPr>
          <w:rFonts w:ascii="宋体" w:hAnsi="宋体" w:cs="宋体"/>
          <w:color w:val="auto"/>
          <w:spacing w:val="6"/>
          <w:kern w:val="0"/>
          <w:sz w:val="24"/>
        </w:rPr>
        <w:t>同</w:t>
      </w:r>
      <w:r>
        <w:rPr>
          <w:rFonts w:ascii="宋体" w:hAnsi="宋体" w:cs="宋体"/>
          <w:color w:val="auto"/>
          <w:spacing w:val="4"/>
          <w:kern w:val="0"/>
          <w:sz w:val="24"/>
        </w:rPr>
        <w:t>条款中</w:t>
      </w:r>
      <w:r>
        <w:rPr>
          <w:rFonts w:ascii="宋体" w:hAnsi="宋体" w:cs="宋体"/>
          <w:color w:val="auto"/>
          <w:spacing w:val="6"/>
          <w:kern w:val="0"/>
          <w:sz w:val="24"/>
        </w:rPr>
        <w:t>明</w:t>
      </w:r>
      <w:r>
        <w:rPr>
          <w:rFonts w:ascii="宋体" w:hAnsi="宋体" w:cs="宋体"/>
          <w:color w:val="auto"/>
          <w:spacing w:val="4"/>
          <w:kern w:val="0"/>
          <w:sz w:val="24"/>
        </w:rPr>
        <w:t>确的内容的</w:t>
      </w:r>
      <w:r>
        <w:rPr>
          <w:rFonts w:ascii="宋体" w:hAnsi="宋体" w:cs="宋体"/>
          <w:color w:val="auto"/>
          <w:spacing w:val="6"/>
          <w:kern w:val="0"/>
          <w:sz w:val="24"/>
        </w:rPr>
        <w:t>集</w:t>
      </w:r>
      <w:r>
        <w:rPr>
          <w:rFonts w:ascii="宋体" w:hAnsi="宋体" w:cs="宋体"/>
          <w:color w:val="auto"/>
          <w:spacing w:val="4"/>
          <w:kern w:val="0"/>
          <w:sz w:val="24"/>
        </w:rPr>
        <w:t>中，招</w:t>
      </w:r>
      <w:r>
        <w:rPr>
          <w:rFonts w:ascii="宋体" w:hAnsi="宋体" w:cs="宋体"/>
          <w:color w:val="auto"/>
          <w:spacing w:val="6"/>
          <w:kern w:val="0"/>
          <w:sz w:val="24"/>
        </w:rPr>
        <w:t>标</w:t>
      </w:r>
      <w:r>
        <w:rPr>
          <w:rFonts w:ascii="宋体" w:hAnsi="宋体" w:cs="宋体"/>
          <w:color w:val="auto"/>
          <w:spacing w:val="4"/>
          <w:kern w:val="0"/>
          <w:sz w:val="24"/>
        </w:rPr>
        <w:t>人编制的</w:t>
      </w:r>
      <w:r>
        <w:rPr>
          <w:rFonts w:hint="eastAsia" w:ascii="宋体" w:hAnsi="宋体" w:cs="宋体"/>
          <w:color w:val="auto"/>
          <w:spacing w:val="4"/>
          <w:kern w:val="0"/>
          <w:sz w:val="24"/>
        </w:rPr>
        <w:t>“</w:t>
      </w:r>
      <w:r>
        <w:rPr>
          <w:rFonts w:ascii="宋体" w:hAnsi="宋体" w:cs="宋体"/>
          <w:color w:val="auto"/>
          <w:spacing w:val="4"/>
          <w:kern w:val="0"/>
          <w:sz w:val="24"/>
        </w:rPr>
        <w:t>项目专用</w:t>
      </w:r>
      <w:r>
        <w:rPr>
          <w:rFonts w:ascii="宋体" w:hAnsi="宋体" w:cs="宋体"/>
          <w:color w:val="auto"/>
          <w:spacing w:val="6"/>
          <w:kern w:val="0"/>
          <w:sz w:val="24"/>
        </w:rPr>
        <w:t>合</w:t>
      </w:r>
      <w:r>
        <w:rPr>
          <w:rFonts w:ascii="宋体" w:hAnsi="宋体" w:cs="宋体"/>
          <w:color w:val="auto"/>
          <w:spacing w:val="4"/>
          <w:kern w:val="0"/>
          <w:sz w:val="24"/>
        </w:rPr>
        <w:t>同条款</w:t>
      </w:r>
      <w:r>
        <w:rPr>
          <w:rFonts w:hint="eastAsia" w:ascii="宋体" w:hAnsi="宋体" w:cs="宋体"/>
          <w:color w:val="auto"/>
          <w:spacing w:val="4"/>
          <w:kern w:val="0"/>
          <w:sz w:val="24"/>
        </w:rPr>
        <w:t>”</w:t>
      </w:r>
      <w:r>
        <w:rPr>
          <w:rFonts w:ascii="宋体" w:hAnsi="宋体" w:cs="宋体"/>
          <w:color w:val="auto"/>
          <w:kern w:val="0"/>
          <w:sz w:val="24"/>
        </w:rPr>
        <w:t>不限于本部分所列内容。</w:t>
      </w:r>
    </w:p>
    <w:p w14:paraId="1EEF9F91">
      <w:pPr>
        <w:wordWrap w:val="0"/>
        <w:spacing w:before="8"/>
        <w:jc w:val="left"/>
        <w:rPr>
          <w:rFonts w:ascii="宋体" w:hAnsi="宋体" w:cs="宋体"/>
          <w:color w:val="auto"/>
          <w:kern w:val="0"/>
          <w:sz w:val="24"/>
        </w:rPr>
      </w:pPr>
    </w:p>
    <w:p w14:paraId="0CE64FF3">
      <w:pPr>
        <w:wordWrap w:val="0"/>
        <w:ind w:left="144"/>
        <w:jc w:val="left"/>
        <w:rPr>
          <w:rFonts w:ascii="宋体" w:hAnsi="宋体" w:cs="黑体"/>
          <w:color w:val="auto"/>
          <w:kern w:val="0"/>
          <w:sz w:val="24"/>
        </w:rPr>
      </w:pPr>
      <w:bookmarkStart w:id="613" w:name="_bookmark260"/>
      <w:bookmarkEnd w:id="613"/>
      <w:r>
        <w:rPr>
          <w:rFonts w:ascii="宋体" w:hAnsi="宋体"/>
          <w:color w:val="auto"/>
          <w:kern w:val="0"/>
          <w:sz w:val="24"/>
        </w:rPr>
        <w:t>4.1</w:t>
      </w:r>
      <w:r>
        <w:rPr>
          <w:rFonts w:ascii="宋体" w:hAnsi="宋体" w:cs="黑体"/>
          <w:color w:val="auto"/>
          <w:kern w:val="0"/>
          <w:sz w:val="24"/>
        </w:rPr>
        <w:t>承包人的一般义务</w:t>
      </w:r>
    </w:p>
    <w:p w14:paraId="58326817">
      <w:pPr>
        <w:wordWrap w:val="0"/>
        <w:spacing w:before="8"/>
        <w:jc w:val="left"/>
        <w:rPr>
          <w:rFonts w:ascii="宋体" w:hAnsi="宋体" w:cs="黑体"/>
          <w:color w:val="auto"/>
          <w:kern w:val="0"/>
          <w:sz w:val="24"/>
        </w:rPr>
      </w:pPr>
    </w:p>
    <w:p w14:paraId="1900ADBB">
      <w:pPr>
        <w:wordWrap w:val="0"/>
        <w:ind w:left="614"/>
        <w:jc w:val="left"/>
        <w:rPr>
          <w:rFonts w:ascii="宋体" w:hAnsi="宋体" w:cs="黑体"/>
          <w:color w:val="auto"/>
          <w:kern w:val="0"/>
          <w:sz w:val="24"/>
        </w:rPr>
      </w:pPr>
      <w:r>
        <w:rPr>
          <w:rFonts w:ascii="宋体" w:hAnsi="宋体"/>
          <w:color w:val="auto"/>
          <w:kern w:val="0"/>
          <w:sz w:val="24"/>
        </w:rPr>
        <w:t xml:space="preserve">4.1.10  </w:t>
      </w:r>
      <w:r>
        <w:rPr>
          <w:rFonts w:ascii="宋体" w:hAnsi="宋体" w:cs="黑体"/>
          <w:color w:val="auto"/>
          <w:kern w:val="0"/>
          <w:sz w:val="24"/>
        </w:rPr>
        <w:t>其他义务</w:t>
      </w:r>
    </w:p>
    <w:p w14:paraId="51651F1B">
      <w:pPr>
        <w:tabs>
          <w:tab w:val="left" w:pos="6831"/>
        </w:tabs>
        <w:wordWrap w:val="0"/>
        <w:spacing w:before="66"/>
        <w:ind w:left="535"/>
        <w:jc w:val="left"/>
        <w:rPr>
          <w:rFonts w:ascii="宋体" w:hAnsi="宋体"/>
          <w:color w:val="auto"/>
          <w:kern w:val="0"/>
          <w:sz w:val="24"/>
        </w:rPr>
      </w:pPr>
      <w:r>
        <w:rPr>
          <w:rFonts w:ascii="宋体" w:hAnsi="宋体"/>
          <w:color w:val="auto"/>
          <w:kern w:val="0"/>
          <w:sz w:val="24"/>
        </w:rPr>
        <w:t>（4）承包人应履行的其他义务：</w:t>
      </w:r>
      <w:r>
        <w:rPr>
          <w:rFonts w:ascii="宋体" w:hAnsi="宋体"/>
          <w:color w:val="auto"/>
          <w:kern w:val="0"/>
          <w:sz w:val="24"/>
          <w:u w:val="single" w:color="000000"/>
        </w:rPr>
        <w:tab/>
      </w:r>
    </w:p>
    <w:p w14:paraId="6CD211BA">
      <w:pPr>
        <w:wordWrap w:val="0"/>
        <w:spacing w:before="10"/>
        <w:jc w:val="left"/>
        <w:rPr>
          <w:rFonts w:ascii="宋体" w:hAnsi="宋体"/>
          <w:color w:val="auto"/>
          <w:kern w:val="0"/>
          <w:sz w:val="24"/>
        </w:rPr>
      </w:pPr>
    </w:p>
    <w:p w14:paraId="31F2F3BF">
      <w:pPr>
        <w:wordWrap w:val="0"/>
        <w:spacing w:before="26"/>
        <w:ind w:left="144"/>
        <w:jc w:val="left"/>
        <w:rPr>
          <w:rFonts w:ascii="宋体" w:hAnsi="宋体" w:cs="黑体"/>
          <w:color w:val="auto"/>
          <w:kern w:val="0"/>
          <w:sz w:val="24"/>
        </w:rPr>
      </w:pPr>
      <w:bookmarkStart w:id="614" w:name="_bookmark261"/>
      <w:bookmarkEnd w:id="614"/>
      <w:r>
        <w:rPr>
          <w:rFonts w:ascii="宋体" w:hAnsi="宋体"/>
          <w:color w:val="auto"/>
          <w:kern w:val="0"/>
          <w:sz w:val="24"/>
        </w:rPr>
        <w:t>4.11</w:t>
      </w:r>
      <w:r>
        <w:rPr>
          <w:rFonts w:ascii="宋体" w:hAnsi="宋体" w:cs="黑体"/>
          <w:color w:val="auto"/>
          <w:kern w:val="0"/>
          <w:sz w:val="24"/>
        </w:rPr>
        <w:t>不利物质条件</w:t>
      </w:r>
    </w:p>
    <w:p w14:paraId="396CEF38">
      <w:pPr>
        <w:wordWrap w:val="0"/>
        <w:spacing w:before="12"/>
        <w:jc w:val="left"/>
        <w:rPr>
          <w:rFonts w:ascii="宋体" w:hAnsi="宋体" w:cs="黑体"/>
          <w:color w:val="auto"/>
          <w:kern w:val="0"/>
          <w:sz w:val="24"/>
        </w:rPr>
      </w:pPr>
    </w:p>
    <w:p w14:paraId="59F4B9B4">
      <w:pPr>
        <w:tabs>
          <w:tab w:val="left" w:pos="6915"/>
        </w:tabs>
        <w:wordWrap w:val="0"/>
        <w:ind w:left="624"/>
        <w:jc w:val="left"/>
        <w:rPr>
          <w:rFonts w:ascii="宋体" w:hAnsi="宋体"/>
          <w:color w:val="auto"/>
          <w:kern w:val="0"/>
          <w:sz w:val="24"/>
        </w:rPr>
      </w:pPr>
      <w:r>
        <w:rPr>
          <w:rFonts w:ascii="宋体" w:hAnsi="宋体"/>
          <w:color w:val="auto"/>
          <w:kern w:val="0"/>
          <w:sz w:val="24"/>
        </w:rPr>
        <w:t>4.11.1不利物质条件的范围：</w:t>
      </w:r>
      <w:r>
        <w:rPr>
          <w:rFonts w:ascii="宋体" w:hAnsi="宋体"/>
          <w:color w:val="auto"/>
          <w:kern w:val="0"/>
          <w:sz w:val="24"/>
          <w:u w:val="single" w:color="000000"/>
        </w:rPr>
        <w:tab/>
      </w:r>
    </w:p>
    <w:p w14:paraId="1EC4D27F">
      <w:pPr>
        <w:wordWrap w:val="0"/>
        <w:spacing w:before="11"/>
        <w:jc w:val="left"/>
        <w:rPr>
          <w:rFonts w:ascii="宋体" w:hAnsi="宋体"/>
          <w:color w:val="auto"/>
          <w:kern w:val="0"/>
          <w:sz w:val="24"/>
        </w:rPr>
      </w:pPr>
    </w:p>
    <w:p w14:paraId="34204C37">
      <w:pPr>
        <w:wordWrap w:val="0"/>
        <w:spacing w:before="26"/>
        <w:ind w:left="144"/>
        <w:jc w:val="left"/>
        <w:rPr>
          <w:rFonts w:ascii="宋体" w:hAnsi="宋体" w:cs="黑体"/>
          <w:color w:val="auto"/>
          <w:kern w:val="0"/>
          <w:sz w:val="24"/>
        </w:rPr>
      </w:pPr>
      <w:bookmarkStart w:id="615" w:name="_bookmark262"/>
      <w:bookmarkEnd w:id="615"/>
      <w:r>
        <w:rPr>
          <w:rFonts w:ascii="宋体" w:hAnsi="宋体"/>
          <w:color w:val="auto"/>
          <w:kern w:val="0"/>
          <w:sz w:val="24"/>
        </w:rPr>
        <w:t>10.1</w:t>
      </w:r>
      <w:r>
        <w:rPr>
          <w:rFonts w:ascii="宋体" w:hAnsi="宋体" w:cs="黑体"/>
          <w:color w:val="auto"/>
          <w:kern w:val="0"/>
          <w:sz w:val="24"/>
        </w:rPr>
        <w:t>合同进度计划</w:t>
      </w:r>
    </w:p>
    <w:p w14:paraId="71A53FFB">
      <w:pPr>
        <w:wordWrap w:val="0"/>
        <w:spacing w:before="12"/>
        <w:jc w:val="left"/>
        <w:rPr>
          <w:rFonts w:ascii="宋体" w:hAnsi="宋体" w:cs="黑体"/>
          <w:color w:val="auto"/>
          <w:kern w:val="0"/>
          <w:sz w:val="24"/>
        </w:rPr>
      </w:pPr>
    </w:p>
    <w:p w14:paraId="037BF19C">
      <w:pPr>
        <w:tabs>
          <w:tab w:val="left" w:pos="6915"/>
        </w:tabs>
        <w:wordWrap w:val="0"/>
        <w:ind w:left="624"/>
        <w:jc w:val="left"/>
        <w:rPr>
          <w:rFonts w:ascii="宋体" w:hAnsi="宋体"/>
          <w:color w:val="auto"/>
          <w:kern w:val="0"/>
          <w:sz w:val="24"/>
        </w:rPr>
      </w:pPr>
      <w:r>
        <w:rPr>
          <w:rFonts w:ascii="宋体" w:hAnsi="宋体"/>
          <w:color w:val="auto"/>
          <w:kern w:val="0"/>
          <w:sz w:val="24"/>
        </w:rPr>
        <w:t>承包人编制施工方案的内容：</w:t>
      </w:r>
      <w:r>
        <w:rPr>
          <w:rFonts w:hint="eastAsia" w:ascii="宋体" w:hAnsi="宋体"/>
          <w:color w:val="auto"/>
          <w:kern w:val="0"/>
          <w:sz w:val="24"/>
        </w:rPr>
        <w:t xml:space="preserve"> </w:t>
      </w:r>
      <w:r>
        <w:rPr>
          <w:rFonts w:ascii="宋体" w:hAnsi="宋体"/>
          <w:color w:val="auto"/>
          <w:kern w:val="0"/>
          <w:sz w:val="24"/>
          <w:u w:val="single" w:color="000000"/>
        </w:rPr>
        <w:tab/>
      </w:r>
    </w:p>
    <w:p w14:paraId="1E261EB6">
      <w:pPr>
        <w:wordWrap w:val="0"/>
        <w:spacing w:before="3"/>
        <w:jc w:val="left"/>
        <w:rPr>
          <w:rFonts w:ascii="宋体" w:hAnsi="宋体"/>
          <w:color w:val="auto"/>
          <w:kern w:val="0"/>
          <w:sz w:val="24"/>
        </w:rPr>
      </w:pPr>
    </w:p>
    <w:p w14:paraId="0793C7B2">
      <w:pPr>
        <w:wordWrap w:val="0"/>
        <w:spacing w:before="26"/>
        <w:ind w:left="144"/>
        <w:jc w:val="left"/>
        <w:rPr>
          <w:rFonts w:ascii="宋体" w:hAnsi="宋体" w:cs="黑体"/>
          <w:color w:val="auto"/>
          <w:kern w:val="0"/>
          <w:sz w:val="24"/>
        </w:rPr>
      </w:pPr>
      <w:bookmarkStart w:id="616" w:name="_bookmark263"/>
      <w:bookmarkEnd w:id="616"/>
      <w:r>
        <w:rPr>
          <w:rFonts w:ascii="宋体" w:hAnsi="宋体"/>
          <w:color w:val="auto"/>
          <w:kern w:val="0"/>
          <w:sz w:val="24"/>
        </w:rPr>
        <w:t>11.4</w:t>
      </w:r>
      <w:r>
        <w:rPr>
          <w:rFonts w:ascii="宋体" w:hAnsi="宋体" w:cs="黑体"/>
          <w:color w:val="auto"/>
          <w:kern w:val="0"/>
          <w:sz w:val="24"/>
        </w:rPr>
        <w:t>异常恶劣的气候条件</w:t>
      </w:r>
    </w:p>
    <w:p w14:paraId="068F742F">
      <w:pPr>
        <w:wordWrap w:val="0"/>
        <w:spacing w:before="8"/>
        <w:jc w:val="left"/>
        <w:rPr>
          <w:rFonts w:ascii="宋体" w:hAnsi="宋体" w:cs="黑体"/>
          <w:color w:val="auto"/>
          <w:kern w:val="0"/>
          <w:sz w:val="24"/>
        </w:rPr>
      </w:pPr>
    </w:p>
    <w:p w14:paraId="2EFE8B4D">
      <w:pPr>
        <w:tabs>
          <w:tab w:val="left" w:pos="6915"/>
        </w:tabs>
        <w:wordWrap w:val="0"/>
        <w:ind w:left="624"/>
        <w:jc w:val="left"/>
        <w:rPr>
          <w:rFonts w:ascii="宋体" w:hAnsi="宋体"/>
          <w:color w:val="auto"/>
          <w:kern w:val="0"/>
          <w:sz w:val="24"/>
        </w:rPr>
      </w:pPr>
      <w:r>
        <w:rPr>
          <w:rFonts w:ascii="宋体" w:hAnsi="宋体"/>
          <w:color w:val="auto"/>
          <w:kern w:val="0"/>
          <w:sz w:val="24"/>
        </w:rPr>
        <w:t>异常恶劣的气候条件的范围：</w:t>
      </w:r>
      <w:r>
        <w:rPr>
          <w:rFonts w:ascii="宋体" w:hAnsi="宋体"/>
          <w:color w:val="auto"/>
          <w:kern w:val="0"/>
          <w:sz w:val="24"/>
          <w:u w:val="single" w:color="000000"/>
        </w:rPr>
        <w:tab/>
      </w:r>
    </w:p>
    <w:p w14:paraId="476ABB88">
      <w:pPr>
        <w:wordWrap w:val="0"/>
        <w:spacing w:before="3"/>
        <w:jc w:val="left"/>
        <w:rPr>
          <w:rFonts w:ascii="宋体" w:hAnsi="宋体"/>
          <w:color w:val="auto"/>
          <w:kern w:val="0"/>
          <w:sz w:val="24"/>
        </w:rPr>
      </w:pPr>
    </w:p>
    <w:p w14:paraId="26D19604">
      <w:pPr>
        <w:wordWrap w:val="0"/>
        <w:spacing w:before="26"/>
        <w:ind w:left="144"/>
        <w:jc w:val="left"/>
        <w:rPr>
          <w:rFonts w:ascii="宋体" w:hAnsi="宋体" w:cs="黑体"/>
          <w:color w:val="auto"/>
          <w:kern w:val="0"/>
          <w:sz w:val="24"/>
        </w:rPr>
      </w:pPr>
      <w:bookmarkStart w:id="617" w:name="_bookmark264"/>
      <w:bookmarkEnd w:id="617"/>
      <w:r>
        <w:rPr>
          <w:rFonts w:ascii="宋体" w:hAnsi="宋体"/>
          <w:color w:val="auto"/>
          <w:kern w:val="0"/>
          <w:sz w:val="24"/>
        </w:rPr>
        <w:t>12.1</w:t>
      </w:r>
      <w:r>
        <w:rPr>
          <w:rFonts w:ascii="宋体" w:hAnsi="宋体" w:cs="黑体"/>
          <w:color w:val="auto"/>
          <w:kern w:val="0"/>
          <w:sz w:val="24"/>
        </w:rPr>
        <w:t>承包人暂停施工的责任</w:t>
      </w:r>
    </w:p>
    <w:p w14:paraId="050A42C8">
      <w:pPr>
        <w:wordWrap w:val="0"/>
        <w:spacing w:before="8"/>
        <w:jc w:val="left"/>
        <w:rPr>
          <w:rFonts w:ascii="宋体" w:hAnsi="宋体" w:cs="黑体"/>
          <w:color w:val="auto"/>
          <w:kern w:val="0"/>
          <w:sz w:val="24"/>
        </w:rPr>
      </w:pPr>
    </w:p>
    <w:p w14:paraId="332CA929">
      <w:pPr>
        <w:tabs>
          <w:tab w:val="left" w:pos="8775"/>
        </w:tabs>
        <w:wordWrap w:val="0"/>
        <w:ind w:left="624"/>
        <w:jc w:val="left"/>
        <w:rPr>
          <w:rFonts w:ascii="宋体" w:hAnsi="宋体"/>
          <w:color w:val="auto"/>
          <w:kern w:val="0"/>
          <w:sz w:val="24"/>
        </w:rPr>
      </w:pPr>
      <w:r>
        <w:rPr>
          <w:rFonts w:ascii="宋体" w:hAnsi="宋体"/>
          <w:color w:val="auto"/>
          <w:kern w:val="0"/>
          <w:sz w:val="24"/>
        </w:rPr>
        <w:t>12.1 （6）由承包人承担的其他暂停施工：</w:t>
      </w:r>
      <w:r>
        <w:rPr>
          <w:rFonts w:ascii="宋体" w:hAnsi="宋体"/>
          <w:color w:val="auto"/>
          <w:kern w:val="0"/>
          <w:sz w:val="24"/>
          <w:u w:val="single" w:color="000000"/>
        </w:rPr>
        <w:tab/>
      </w:r>
    </w:p>
    <w:p w14:paraId="68226679">
      <w:pPr>
        <w:wordWrap w:val="0"/>
        <w:spacing w:before="8"/>
        <w:jc w:val="left"/>
        <w:rPr>
          <w:rFonts w:ascii="宋体" w:hAnsi="宋体"/>
          <w:color w:val="auto"/>
          <w:kern w:val="0"/>
          <w:sz w:val="24"/>
        </w:rPr>
      </w:pPr>
    </w:p>
    <w:p w14:paraId="1ED96D42">
      <w:pPr>
        <w:wordWrap w:val="0"/>
        <w:spacing w:before="26"/>
        <w:ind w:left="144"/>
        <w:jc w:val="left"/>
        <w:rPr>
          <w:rFonts w:ascii="宋体" w:hAnsi="宋体" w:cs="黑体"/>
          <w:color w:val="auto"/>
          <w:kern w:val="0"/>
          <w:sz w:val="24"/>
        </w:rPr>
      </w:pPr>
      <w:r>
        <w:rPr>
          <w:rFonts w:ascii="宋体" w:hAnsi="宋体"/>
          <w:color w:val="auto"/>
          <w:kern w:val="0"/>
          <w:sz w:val="24"/>
        </w:rPr>
        <w:t>17.1</w:t>
      </w:r>
      <w:r>
        <w:rPr>
          <w:rFonts w:ascii="宋体" w:hAnsi="宋体" w:cs="黑体"/>
          <w:color w:val="auto"/>
          <w:kern w:val="0"/>
          <w:sz w:val="24"/>
        </w:rPr>
        <w:t>计量</w:t>
      </w:r>
    </w:p>
    <w:p w14:paraId="7C6E271D">
      <w:pPr>
        <w:wordWrap w:val="0"/>
        <w:spacing w:before="8"/>
        <w:jc w:val="left"/>
        <w:rPr>
          <w:rFonts w:ascii="宋体" w:hAnsi="宋体" w:cs="黑体"/>
          <w:color w:val="auto"/>
          <w:kern w:val="0"/>
          <w:sz w:val="24"/>
        </w:rPr>
      </w:pPr>
    </w:p>
    <w:p w14:paraId="39793F33">
      <w:pPr>
        <w:tabs>
          <w:tab w:val="left" w:pos="8840"/>
        </w:tabs>
        <w:wordWrap w:val="0"/>
        <w:ind w:left="624"/>
        <w:jc w:val="left"/>
        <w:rPr>
          <w:rFonts w:ascii="宋体" w:hAnsi="宋体"/>
          <w:color w:val="auto"/>
          <w:kern w:val="0"/>
          <w:sz w:val="24"/>
        </w:rPr>
      </w:pPr>
      <w:r>
        <w:rPr>
          <w:rFonts w:ascii="宋体" w:hAnsi="宋体"/>
          <w:color w:val="auto"/>
          <w:kern w:val="0"/>
          <w:sz w:val="24"/>
        </w:rPr>
        <w:t>17.1.5  本项目工程量清单中总额价子目的支付原则和支付进度：</w:t>
      </w:r>
      <w:r>
        <w:rPr>
          <w:rFonts w:ascii="宋体" w:hAnsi="宋体"/>
          <w:color w:val="auto"/>
          <w:kern w:val="0"/>
          <w:sz w:val="24"/>
          <w:u w:val="single" w:color="000000"/>
        </w:rPr>
        <w:tab/>
      </w:r>
    </w:p>
    <w:p w14:paraId="7CD17E18">
      <w:pPr>
        <w:wordWrap w:val="0"/>
        <w:spacing w:before="8"/>
        <w:jc w:val="left"/>
        <w:rPr>
          <w:rFonts w:ascii="宋体" w:hAnsi="宋体"/>
          <w:color w:val="auto"/>
          <w:kern w:val="0"/>
          <w:sz w:val="24"/>
        </w:rPr>
      </w:pPr>
    </w:p>
    <w:p w14:paraId="2B3D84D1">
      <w:pPr>
        <w:wordWrap w:val="0"/>
        <w:spacing w:before="26"/>
        <w:ind w:left="144"/>
        <w:jc w:val="left"/>
        <w:rPr>
          <w:rFonts w:ascii="宋体" w:hAnsi="宋体" w:cs="黑体"/>
          <w:color w:val="auto"/>
          <w:kern w:val="0"/>
          <w:sz w:val="24"/>
        </w:rPr>
      </w:pPr>
      <w:bookmarkStart w:id="618" w:name="_bookmark265"/>
      <w:bookmarkEnd w:id="618"/>
      <w:r>
        <w:rPr>
          <w:rFonts w:ascii="宋体" w:hAnsi="宋体"/>
          <w:color w:val="auto"/>
          <w:kern w:val="0"/>
          <w:sz w:val="24"/>
        </w:rPr>
        <w:t>17.3</w:t>
      </w:r>
      <w:r>
        <w:rPr>
          <w:rFonts w:ascii="宋体" w:hAnsi="宋体" w:cs="黑体"/>
          <w:color w:val="auto"/>
          <w:kern w:val="0"/>
          <w:sz w:val="24"/>
        </w:rPr>
        <w:t>工程进度付款</w:t>
      </w:r>
    </w:p>
    <w:p w14:paraId="2A76E917">
      <w:pPr>
        <w:wordWrap w:val="0"/>
        <w:spacing w:before="3"/>
        <w:jc w:val="left"/>
        <w:rPr>
          <w:rFonts w:ascii="宋体" w:hAnsi="宋体" w:cs="黑体"/>
          <w:color w:val="auto"/>
          <w:kern w:val="0"/>
          <w:sz w:val="24"/>
        </w:rPr>
      </w:pPr>
    </w:p>
    <w:p w14:paraId="3B6A4FAB">
      <w:pPr>
        <w:tabs>
          <w:tab w:val="left" w:pos="6790"/>
          <w:tab w:val="left" w:pos="7493"/>
        </w:tabs>
        <w:wordWrap w:val="0"/>
        <w:spacing w:line="314" w:lineRule="auto"/>
        <w:ind w:left="614" w:right="1433"/>
        <w:jc w:val="left"/>
        <w:rPr>
          <w:rFonts w:hint="eastAsia" w:ascii="宋体" w:hAnsi="宋体"/>
          <w:color w:val="auto"/>
          <w:kern w:val="0"/>
          <w:sz w:val="24"/>
          <w:u w:val="single" w:color="000000"/>
        </w:rPr>
      </w:pPr>
      <w:r>
        <w:rPr>
          <w:rFonts w:ascii="宋体" w:hAnsi="宋体"/>
          <w:color w:val="auto"/>
          <w:kern w:val="0"/>
          <w:sz w:val="24"/>
        </w:rPr>
        <w:t>17.3.5 农民工工资保证金的缴存时间：</w:t>
      </w:r>
      <w:r>
        <w:rPr>
          <w:rFonts w:ascii="宋体" w:hAnsi="宋体"/>
          <w:color w:val="auto"/>
          <w:kern w:val="0"/>
          <w:sz w:val="24"/>
          <w:u w:val="single" w:color="000000"/>
        </w:rPr>
        <w:tab/>
      </w:r>
      <w:r>
        <w:rPr>
          <w:rFonts w:ascii="宋体" w:hAnsi="宋体"/>
          <w:color w:val="auto"/>
          <w:kern w:val="0"/>
          <w:sz w:val="24"/>
          <w:u w:val="single" w:color="000000"/>
        </w:rPr>
        <w:tab/>
      </w:r>
    </w:p>
    <w:p w14:paraId="41A0621C">
      <w:pPr>
        <w:tabs>
          <w:tab w:val="left" w:pos="7515"/>
        </w:tabs>
        <w:wordWrap w:val="0"/>
        <w:spacing w:line="314" w:lineRule="auto"/>
        <w:ind w:left="614" w:right="1433"/>
        <w:jc w:val="left"/>
        <w:rPr>
          <w:rFonts w:ascii="宋体" w:hAnsi="宋体"/>
          <w:color w:val="auto"/>
          <w:kern w:val="0"/>
          <w:sz w:val="24"/>
        </w:rPr>
      </w:pPr>
      <w:r>
        <w:rPr>
          <w:rFonts w:ascii="宋体" w:hAnsi="宋体"/>
          <w:color w:val="auto"/>
          <w:kern w:val="0"/>
          <w:sz w:val="24"/>
        </w:rPr>
        <w:t>农民工工资保证金的缴存金额：</w:t>
      </w:r>
      <w:r>
        <w:rPr>
          <w:rFonts w:ascii="宋体" w:hAnsi="宋体"/>
          <w:color w:val="auto"/>
          <w:kern w:val="0"/>
          <w:sz w:val="24"/>
          <w:u w:val="single" w:color="000000"/>
        </w:rPr>
        <w:tab/>
      </w:r>
    </w:p>
    <w:p w14:paraId="1FA686BC">
      <w:pPr>
        <w:tabs>
          <w:tab w:val="left" w:pos="7515"/>
        </w:tabs>
        <w:wordWrap w:val="0"/>
        <w:spacing w:line="314" w:lineRule="auto"/>
        <w:ind w:left="614" w:right="1433"/>
        <w:jc w:val="left"/>
        <w:rPr>
          <w:rFonts w:ascii="宋体" w:hAnsi="宋体"/>
          <w:color w:val="auto"/>
          <w:kern w:val="0"/>
          <w:sz w:val="24"/>
        </w:rPr>
      </w:pPr>
      <w:r>
        <w:rPr>
          <w:rFonts w:ascii="宋体" w:hAnsi="宋体"/>
          <w:color w:val="auto"/>
          <w:kern w:val="0"/>
          <w:sz w:val="24"/>
        </w:rPr>
        <w:t>农民工工资保证金的扣留条件：</w:t>
      </w:r>
      <w:r>
        <w:rPr>
          <w:rFonts w:ascii="宋体" w:hAnsi="宋体"/>
          <w:color w:val="auto"/>
          <w:kern w:val="0"/>
          <w:sz w:val="24"/>
          <w:u w:val="single" w:color="000000"/>
        </w:rPr>
        <w:tab/>
      </w:r>
    </w:p>
    <w:p w14:paraId="2483038A">
      <w:pPr>
        <w:tabs>
          <w:tab w:val="left" w:pos="7515"/>
        </w:tabs>
        <w:wordWrap w:val="0"/>
        <w:spacing w:line="314" w:lineRule="auto"/>
        <w:ind w:left="614" w:right="1433"/>
        <w:jc w:val="left"/>
        <w:rPr>
          <w:rFonts w:ascii="宋体" w:hAnsi="宋体"/>
          <w:color w:val="auto"/>
          <w:kern w:val="0"/>
          <w:sz w:val="24"/>
        </w:rPr>
      </w:pPr>
      <w:r>
        <w:rPr>
          <w:rFonts w:ascii="宋体" w:hAnsi="宋体"/>
          <w:color w:val="auto"/>
          <w:kern w:val="0"/>
          <w:sz w:val="24"/>
        </w:rPr>
        <w:t>农民工工资保证金的返还时间：</w:t>
      </w:r>
      <w:r>
        <w:rPr>
          <w:rFonts w:ascii="宋体" w:hAnsi="宋体"/>
          <w:color w:val="auto"/>
          <w:kern w:val="0"/>
          <w:sz w:val="24"/>
          <w:u w:val="single" w:color="000000"/>
        </w:rPr>
        <w:tab/>
      </w:r>
    </w:p>
    <w:p w14:paraId="6A162555">
      <w:pPr>
        <w:wordWrap w:val="0"/>
        <w:jc w:val="left"/>
        <w:rPr>
          <w:rFonts w:ascii="宋体" w:hAnsi="宋体"/>
          <w:color w:val="auto"/>
          <w:kern w:val="0"/>
          <w:sz w:val="24"/>
        </w:rPr>
      </w:pPr>
    </w:p>
    <w:p w14:paraId="24565333">
      <w:pPr>
        <w:wordWrap w:val="0"/>
        <w:spacing w:before="26"/>
        <w:ind w:left="144" w:right="163"/>
        <w:jc w:val="left"/>
        <w:rPr>
          <w:rFonts w:ascii="宋体" w:hAnsi="宋体" w:cs="黑体"/>
          <w:color w:val="auto"/>
          <w:kern w:val="0"/>
          <w:sz w:val="24"/>
        </w:rPr>
      </w:pPr>
      <w:bookmarkStart w:id="619" w:name="_bookmark266"/>
      <w:bookmarkEnd w:id="619"/>
      <w:r>
        <w:rPr>
          <w:rFonts w:ascii="宋体" w:hAnsi="宋体"/>
          <w:color w:val="auto"/>
          <w:kern w:val="0"/>
          <w:sz w:val="24"/>
        </w:rPr>
        <w:t>21.1</w:t>
      </w:r>
      <w:r>
        <w:rPr>
          <w:rFonts w:ascii="宋体" w:hAnsi="宋体" w:cs="黑体"/>
          <w:color w:val="auto"/>
          <w:kern w:val="0"/>
          <w:sz w:val="24"/>
        </w:rPr>
        <w:t>不可抗力的确认</w:t>
      </w:r>
    </w:p>
    <w:p w14:paraId="748A33A5">
      <w:pPr>
        <w:wordWrap w:val="0"/>
        <w:spacing w:before="5"/>
        <w:jc w:val="left"/>
        <w:rPr>
          <w:rFonts w:ascii="宋体" w:hAnsi="宋体" w:cs="黑体"/>
          <w:color w:val="auto"/>
          <w:kern w:val="0"/>
          <w:sz w:val="24"/>
        </w:rPr>
      </w:pPr>
    </w:p>
    <w:p w14:paraId="13E102C6">
      <w:pPr>
        <w:tabs>
          <w:tab w:val="left" w:pos="7760"/>
        </w:tabs>
        <w:wordWrap w:val="0"/>
        <w:ind w:left="624" w:right="163"/>
        <w:jc w:val="left"/>
        <w:rPr>
          <w:rFonts w:ascii="宋体" w:hAnsi="宋体"/>
          <w:color w:val="auto"/>
          <w:kern w:val="0"/>
          <w:sz w:val="24"/>
        </w:rPr>
      </w:pPr>
      <w:r>
        <w:rPr>
          <w:rFonts w:ascii="宋体" w:hAnsi="宋体"/>
          <w:color w:val="auto"/>
          <w:kern w:val="0"/>
          <w:sz w:val="24"/>
        </w:rPr>
        <w:t>21.1.1  （6）不可抗力的其他情形：</w:t>
      </w:r>
      <w:r>
        <w:rPr>
          <w:rFonts w:ascii="宋体" w:hAnsi="宋体"/>
          <w:color w:val="auto"/>
          <w:kern w:val="0"/>
          <w:sz w:val="24"/>
          <w:u w:val="single" w:color="000000"/>
        </w:rPr>
        <w:tab/>
      </w:r>
    </w:p>
    <w:p w14:paraId="68A4AFEA">
      <w:pPr>
        <w:wordWrap w:val="0"/>
        <w:spacing w:before="10"/>
        <w:jc w:val="left"/>
        <w:rPr>
          <w:rFonts w:ascii="宋体" w:hAnsi="宋体"/>
          <w:color w:val="auto"/>
          <w:kern w:val="0"/>
          <w:sz w:val="24"/>
        </w:rPr>
      </w:pPr>
    </w:p>
    <w:p w14:paraId="3EED266D">
      <w:pPr>
        <w:wordWrap w:val="0"/>
        <w:spacing w:before="26"/>
        <w:ind w:left="144" w:right="163"/>
        <w:jc w:val="left"/>
        <w:rPr>
          <w:rFonts w:ascii="宋体" w:hAnsi="宋体" w:cs="黑体"/>
          <w:color w:val="auto"/>
          <w:kern w:val="0"/>
          <w:sz w:val="24"/>
        </w:rPr>
      </w:pPr>
      <w:bookmarkStart w:id="620" w:name="_bookmark267"/>
      <w:bookmarkEnd w:id="620"/>
      <w:r>
        <w:rPr>
          <w:rFonts w:ascii="宋体" w:hAnsi="宋体"/>
          <w:color w:val="auto"/>
          <w:kern w:val="0"/>
          <w:sz w:val="24"/>
        </w:rPr>
        <w:t>22.1</w:t>
      </w:r>
      <w:r>
        <w:rPr>
          <w:rFonts w:ascii="宋体" w:hAnsi="宋体" w:cs="黑体"/>
          <w:color w:val="auto"/>
          <w:kern w:val="0"/>
          <w:sz w:val="24"/>
        </w:rPr>
        <w:t>承包人违约</w:t>
      </w:r>
    </w:p>
    <w:p w14:paraId="207C221E">
      <w:pPr>
        <w:wordWrap w:val="0"/>
        <w:spacing w:before="5"/>
        <w:jc w:val="left"/>
        <w:rPr>
          <w:rFonts w:ascii="宋体" w:hAnsi="宋体" w:cs="黑体"/>
          <w:color w:val="auto"/>
          <w:kern w:val="0"/>
          <w:sz w:val="24"/>
        </w:rPr>
      </w:pPr>
    </w:p>
    <w:p w14:paraId="3C4117DA">
      <w:pPr>
        <w:tabs>
          <w:tab w:val="left" w:pos="6560"/>
        </w:tabs>
        <w:wordWrap w:val="0"/>
        <w:spacing w:line="290" w:lineRule="auto"/>
        <w:ind w:left="144" w:right="163" w:firstLine="479"/>
        <w:jc w:val="left"/>
        <w:rPr>
          <w:rFonts w:ascii="宋体" w:hAnsi="宋体"/>
          <w:color w:val="auto"/>
          <w:kern w:val="0"/>
          <w:sz w:val="24"/>
        </w:rPr>
      </w:pPr>
      <w:r>
        <w:rPr>
          <w:rFonts w:ascii="宋体" w:hAnsi="宋体"/>
          <w:color w:val="auto"/>
          <w:kern w:val="0"/>
          <w:sz w:val="24"/>
        </w:rPr>
        <w:t>22.1.2 当承包人发生第 22.1.1项约定的违约情况时，发包人有权向承包人课以违约金，具体约定如下：</w:t>
      </w:r>
      <w:r>
        <w:rPr>
          <w:rFonts w:ascii="宋体" w:hAnsi="宋体"/>
          <w:color w:val="auto"/>
          <w:kern w:val="0"/>
          <w:sz w:val="24"/>
          <w:u w:val="single" w:color="000000"/>
        </w:rPr>
        <w:tab/>
      </w:r>
    </w:p>
    <w:p w14:paraId="44661531">
      <w:pPr>
        <w:wordWrap w:val="0"/>
        <w:spacing w:before="11"/>
        <w:jc w:val="left"/>
        <w:rPr>
          <w:rFonts w:ascii="宋体" w:hAnsi="宋体"/>
          <w:color w:val="auto"/>
          <w:kern w:val="0"/>
          <w:sz w:val="24"/>
        </w:rPr>
      </w:pPr>
    </w:p>
    <w:p w14:paraId="495B71EF">
      <w:pPr>
        <w:wordWrap w:val="0"/>
        <w:spacing w:before="26"/>
        <w:ind w:left="126" w:right="6917"/>
        <w:jc w:val="center"/>
        <w:rPr>
          <w:rFonts w:ascii="宋体" w:hAnsi="宋体" w:cs="黑体"/>
          <w:color w:val="auto"/>
          <w:kern w:val="0"/>
          <w:sz w:val="24"/>
        </w:rPr>
      </w:pPr>
      <w:bookmarkStart w:id="621" w:name="_bookmark268"/>
      <w:bookmarkEnd w:id="621"/>
      <w:r>
        <w:rPr>
          <w:rFonts w:ascii="宋体" w:hAnsi="宋体"/>
          <w:color w:val="auto"/>
          <w:kern w:val="0"/>
          <w:sz w:val="24"/>
        </w:rPr>
        <w:t>22.2</w:t>
      </w:r>
      <w:r>
        <w:rPr>
          <w:rFonts w:ascii="宋体" w:hAnsi="宋体" w:cs="黑体"/>
          <w:color w:val="auto"/>
          <w:kern w:val="0"/>
          <w:sz w:val="24"/>
        </w:rPr>
        <w:t>发包人违约</w:t>
      </w:r>
    </w:p>
    <w:p w14:paraId="3EFE4B45">
      <w:pPr>
        <w:wordWrap w:val="0"/>
        <w:spacing w:before="8"/>
        <w:jc w:val="left"/>
        <w:rPr>
          <w:rFonts w:ascii="宋体" w:hAnsi="宋体" w:cs="黑体"/>
          <w:color w:val="auto"/>
          <w:kern w:val="0"/>
          <w:sz w:val="24"/>
        </w:rPr>
      </w:pPr>
    </w:p>
    <w:p w14:paraId="63A899A1">
      <w:pPr>
        <w:tabs>
          <w:tab w:val="left" w:pos="8859"/>
        </w:tabs>
        <w:wordWrap w:val="0"/>
        <w:spacing w:line="288" w:lineRule="auto"/>
        <w:ind w:left="144" w:right="107" w:firstLine="479"/>
        <w:jc w:val="left"/>
        <w:rPr>
          <w:rFonts w:ascii="宋体" w:hAnsi="宋体"/>
          <w:color w:val="auto"/>
          <w:kern w:val="0"/>
          <w:sz w:val="24"/>
        </w:rPr>
      </w:pPr>
      <w:r>
        <w:rPr>
          <w:rFonts w:ascii="宋体" w:hAnsi="宋体"/>
          <w:color w:val="auto"/>
          <w:kern w:val="0"/>
          <w:sz w:val="24"/>
        </w:rPr>
        <w:t>22.2.2发包人无正当理由不按时返还履约保证金、质量保证金或农民工工资保证金的，发包人应向承包人支付的违约金如下：</w:t>
      </w:r>
      <w:r>
        <w:rPr>
          <w:rFonts w:ascii="宋体" w:hAnsi="宋体"/>
          <w:color w:val="auto"/>
          <w:kern w:val="0"/>
          <w:sz w:val="24"/>
          <w:u w:val="single" w:color="000000"/>
        </w:rPr>
        <w:tab/>
      </w:r>
    </w:p>
    <w:p w14:paraId="687E9816">
      <w:pPr>
        <w:widowControl/>
        <w:tabs>
          <w:tab w:val="left" w:pos="3193"/>
        </w:tabs>
        <w:wordWrap w:val="0"/>
        <w:spacing w:after="200" w:line="400" w:lineRule="exact"/>
        <w:ind w:firstLine="480" w:firstLineChars="200"/>
        <w:jc w:val="left"/>
        <w:rPr>
          <w:rFonts w:ascii="宋体" w:hAnsi="宋体"/>
          <w:color w:val="auto"/>
          <w:kern w:val="0"/>
          <w:sz w:val="24"/>
        </w:rPr>
      </w:pPr>
      <w:r>
        <w:rPr>
          <w:rFonts w:ascii="宋体" w:hAnsi="宋体"/>
          <w:color w:val="auto"/>
          <w:kern w:val="0"/>
          <w:sz w:val="24"/>
        </w:rPr>
        <w:t>………</w:t>
      </w:r>
    </w:p>
    <w:p w14:paraId="27780FB6">
      <w:pPr>
        <w:widowControl/>
        <w:wordWrap w:val="0"/>
        <w:jc w:val="center"/>
        <w:rPr>
          <w:rFonts w:ascii="宋体" w:hAnsi="宋体"/>
          <w:b/>
          <w:color w:val="auto"/>
          <w:kern w:val="0"/>
          <w:sz w:val="36"/>
          <w:szCs w:val="36"/>
        </w:rPr>
      </w:pPr>
      <w:r>
        <w:rPr>
          <w:rFonts w:ascii="宋体" w:hAnsi="宋体"/>
          <w:color w:val="auto"/>
          <w:kern w:val="0"/>
          <w:sz w:val="24"/>
        </w:rPr>
        <w:br w:type="page"/>
      </w:r>
      <w:r>
        <w:rPr>
          <w:rFonts w:hint="eastAsia" w:ascii="宋体" w:hAnsi="宋体"/>
          <w:b/>
          <w:color w:val="auto"/>
          <w:kern w:val="0"/>
          <w:sz w:val="36"/>
          <w:szCs w:val="36"/>
        </w:rPr>
        <w:t>第三节 合同附件格式</w:t>
      </w:r>
    </w:p>
    <w:p w14:paraId="5D2BD330">
      <w:pPr>
        <w:widowControl/>
        <w:wordWrap w:val="0"/>
        <w:spacing w:line="360" w:lineRule="auto"/>
        <w:jc w:val="left"/>
        <w:rPr>
          <w:rFonts w:hint="eastAsia" w:ascii="宋体" w:hAnsi="宋体"/>
          <w:b/>
          <w:bCs/>
          <w:color w:val="auto"/>
          <w:kern w:val="44"/>
          <w:sz w:val="24"/>
        </w:rPr>
      </w:pPr>
    </w:p>
    <w:p w14:paraId="46C5E059">
      <w:pPr>
        <w:widowControl/>
        <w:wordWrap w:val="0"/>
        <w:spacing w:line="360" w:lineRule="auto"/>
        <w:jc w:val="left"/>
        <w:rPr>
          <w:rFonts w:ascii="宋体" w:hAnsi="宋体"/>
          <w:b/>
          <w:bCs/>
          <w:color w:val="auto"/>
          <w:kern w:val="44"/>
          <w:sz w:val="24"/>
        </w:rPr>
      </w:pPr>
      <w:r>
        <w:rPr>
          <w:rFonts w:hint="eastAsia" w:ascii="宋体" w:hAnsi="宋体"/>
          <w:b/>
          <w:bCs/>
          <w:color w:val="auto"/>
          <w:kern w:val="44"/>
          <w:sz w:val="24"/>
        </w:rPr>
        <w:t>附件一：合同协议书</w:t>
      </w:r>
    </w:p>
    <w:p w14:paraId="6D28AB36">
      <w:pPr>
        <w:widowControl/>
        <w:wordWrap w:val="0"/>
        <w:spacing w:after="200" w:line="360" w:lineRule="auto"/>
        <w:jc w:val="center"/>
        <w:rPr>
          <w:rFonts w:ascii="宋体" w:hAnsi="宋体"/>
          <w:b/>
          <w:color w:val="auto"/>
          <w:kern w:val="0"/>
          <w:sz w:val="32"/>
          <w:szCs w:val="32"/>
        </w:rPr>
      </w:pPr>
      <w:r>
        <w:rPr>
          <w:rFonts w:hint="eastAsia" w:ascii="宋体" w:hAnsi="宋体"/>
          <w:b/>
          <w:color w:val="auto"/>
          <w:kern w:val="0"/>
          <w:sz w:val="32"/>
          <w:szCs w:val="32"/>
        </w:rPr>
        <w:t>合同协议书</w:t>
      </w:r>
    </w:p>
    <w:p w14:paraId="62E0DF1C">
      <w:pPr>
        <w:widowControl/>
        <w:wordWrap w:val="0"/>
        <w:spacing w:after="200" w:line="360" w:lineRule="auto"/>
        <w:ind w:firstLine="480" w:firstLineChars="200"/>
        <w:jc w:val="left"/>
        <w:rPr>
          <w:rFonts w:ascii="宋体" w:hAnsi="宋体"/>
          <w:color w:val="auto"/>
          <w:kern w:val="0"/>
          <w:sz w:val="24"/>
        </w:rPr>
      </w:pPr>
      <w:r>
        <w:rPr>
          <w:rFonts w:ascii="宋体" w:hAnsi="宋体"/>
          <w:color w:val="auto"/>
          <w:kern w:val="0"/>
          <w:sz w:val="24"/>
        </w:rPr>
        <w:t>（发包人名称，以下简称“发包人”）为实施（项目名称），已接受（承包人名称，以下简称“承包人”）对该项目施工的投标。 发包人和承包人共同达成如下协议。</w:t>
      </w:r>
    </w:p>
    <w:p w14:paraId="08CF1705">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1．第标段由K+至K+，长约km，公路等级为，设计时速为，路面，有立交处；特大桥座，计长m；大中桥座，计长m；隧道座，计长m以及其他构造物工程等。</w:t>
      </w:r>
    </w:p>
    <w:p w14:paraId="145B3BAE">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2</w:t>
      </w:r>
      <w:r>
        <w:rPr>
          <w:rFonts w:ascii="宋体" w:hAnsi="宋体"/>
          <w:color w:val="auto"/>
          <w:kern w:val="0"/>
          <w:sz w:val="24"/>
        </w:rPr>
        <w:t xml:space="preserve">. </w:t>
      </w:r>
      <w:r>
        <w:rPr>
          <w:rFonts w:hint="eastAsia" w:ascii="宋体" w:hAnsi="宋体"/>
          <w:color w:val="auto"/>
          <w:kern w:val="0"/>
          <w:sz w:val="24"/>
        </w:rPr>
        <w:t>下列文件应视为构成合同文件的组成部分</w:t>
      </w:r>
      <w:r>
        <w:rPr>
          <w:rFonts w:ascii="宋体" w:hAnsi="宋体"/>
          <w:color w:val="auto"/>
          <w:kern w:val="0"/>
          <w:sz w:val="24"/>
        </w:rPr>
        <w:t>：</w:t>
      </w:r>
    </w:p>
    <w:p w14:paraId="49710D05">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（1）本协议书及各种合同附件（含评标期间和合同谈判过程中的澄清文件和补充资料）；</w:t>
      </w:r>
    </w:p>
    <w:p w14:paraId="5055A2FA">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（2）中标通知书；</w:t>
      </w:r>
    </w:p>
    <w:p w14:paraId="3E6A5C7C">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（3）补遗书；</w:t>
      </w:r>
    </w:p>
    <w:p w14:paraId="7C4B55D1">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（4）投标函及投标函附录；</w:t>
      </w:r>
    </w:p>
    <w:p w14:paraId="2D738BD7">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（5）项目专用合同条款；</w:t>
      </w:r>
    </w:p>
    <w:p w14:paraId="6FF05FDC">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（6）公路工程专用合同条款；</w:t>
      </w:r>
    </w:p>
    <w:p w14:paraId="24748290">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（7）通用合同条款；</w:t>
      </w:r>
    </w:p>
    <w:p w14:paraId="1B1F3DF7">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（8）技术规范；</w:t>
      </w:r>
    </w:p>
    <w:p w14:paraId="70A5AB37">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（9）图纸；</w:t>
      </w:r>
    </w:p>
    <w:p w14:paraId="21EE73C8">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（10）已标价工程量清单；</w:t>
      </w:r>
    </w:p>
    <w:p w14:paraId="6B51C0FD">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（11）承包人有关人员、设备投入的承诺及投标文件中的施工组织设计；</w:t>
      </w:r>
    </w:p>
    <w:p w14:paraId="0FC131B4">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（12）其他合同文件。</w:t>
      </w:r>
    </w:p>
    <w:p w14:paraId="613380B3">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3</w:t>
      </w:r>
      <w:r>
        <w:rPr>
          <w:rFonts w:ascii="宋体" w:hAnsi="宋体"/>
          <w:color w:val="auto"/>
          <w:kern w:val="0"/>
          <w:sz w:val="24"/>
        </w:rPr>
        <w:t>. 上述文件互相补充和解释，如有不明确或不一致之处，以合同约定次序在先者为准。</w:t>
      </w:r>
    </w:p>
    <w:p w14:paraId="36948447">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4</w:t>
      </w:r>
      <w:r>
        <w:rPr>
          <w:rFonts w:ascii="宋体" w:hAnsi="宋体"/>
          <w:color w:val="auto"/>
          <w:kern w:val="0"/>
          <w:sz w:val="24"/>
        </w:rPr>
        <w:t xml:space="preserve">. </w:t>
      </w:r>
      <w:r>
        <w:rPr>
          <w:rFonts w:hint="eastAsia" w:ascii="宋体" w:hAnsi="宋体"/>
          <w:color w:val="auto"/>
          <w:kern w:val="0"/>
          <w:sz w:val="24"/>
        </w:rPr>
        <w:t>根据工程量清单所列的预计数量和单价或总额价计算的签约</w:t>
      </w:r>
      <w:r>
        <w:rPr>
          <w:rFonts w:ascii="宋体" w:hAnsi="宋体"/>
          <w:color w:val="auto"/>
          <w:kern w:val="0"/>
          <w:sz w:val="24"/>
        </w:rPr>
        <w:t>合同价：人民币（大写）元（¥）。</w:t>
      </w:r>
    </w:p>
    <w:p w14:paraId="3034BA79">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5.合同价格形式：</w:t>
      </w:r>
      <w:r>
        <w:rPr>
          <w:rFonts w:hint="eastAsia" w:ascii="宋体" w:hAnsi="宋体"/>
          <w:color w:val="auto"/>
          <w:kern w:val="0"/>
          <w:sz w:val="24"/>
          <w:u w:val="single"/>
        </w:rPr>
        <w:t>固定单价合同。</w:t>
      </w:r>
    </w:p>
    <w:p w14:paraId="5A49123E">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 承包人施工负责人：。</w:t>
      </w:r>
      <w:r>
        <w:rPr>
          <w:rFonts w:hint="eastAsia" w:ascii="宋体" w:hAnsi="宋体"/>
          <w:color w:val="auto"/>
          <w:kern w:val="0"/>
          <w:sz w:val="24"/>
        </w:rPr>
        <w:t>承包人施工技术负责人：。</w:t>
      </w:r>
    </w:p>
    <w:p w14:paraId="12ECAC18">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7. 工程质量符合标准。</w:t>
      </w:r>
    </w:p>
    <w:p w14:paraId="176A4685">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8. 承包人承诺按合同约定承担工程的实施、完成及缺陷修复。</w:t>
      </w:r>
    </w:p>
    <w:p w14:paraId="12006CA5">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9. 发包人承诺按合同约定的条件、时间和方式向承包人支付合同价款。</w:t>
      </w:r>
    </w:p>
    <w:p w14:paraId="307FA668">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10. 承包人应按照监理人指示开工，工期为日历天。</w:t>
      </w:r>
    </w:p>
    <w:p w14:paraId="2B528649">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11. 本协议书由双方法定代表人或其委托代理人签署并加盖单位章后生效。全部工程完工后经竣交工验收合格、缺陷责任期满签发缺陷责任终止证书后生效。</w:t>
      </w:r>
    </w:p>
    <w:p w14:paraId="570345AA">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12．本协议书正本二份、副本份，合同双方各执正本一份，副本份，当正本与副本的内容不一致时，以正本为准。</w:t>
      </w:r>
    </w:p>
    <w:p w14:paraId="425BE7FA">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rPr>
        <w:t>13.合同未尽事宜，双方另行签订补充协议。补充协议是合同的组成部分。</w:t>
      </w:r>
    </w:p>
    <w:p w14:paraId="72B86200">
      <w:pPr>
        <w:widowControl/>
        <w:wordWrap w:val="0"/>
        <w:spacing w:after="200" w:line="360" w:lineRule="auto"/>
        <w:ind w:firstLine="480" w:firstLineChars="200"/>
        <w:jc w:val="left"/>
        <w:rPr>
          <w:rFonts w:ascii="宋体" w:hAnsi="宋体"/>
          <w:color w:val="auto"/>
          <w:kern w:val="0"/>
          <w:sz w:val="24"/>
        </w:rPr>
      </w:pPr>
    </w:p>
    <w:p w14:paraId="399C90B1">
      <w:pPr>
        <w:widowControl/>
        <w:wordWrap w:val="0"/>
        <w:spacing w:after="200" w:line="360" w:lineRule="auto"/>
        <w:jc w:val="left"/>
        <w:rPr>
          <w:rFonts w:ascii="宋体" w:hAnsi="宋体"/>
          <w:color w:val="auto"/>
          <w:kern w:val="0"/>
          <w:sz w:val="24"/>
        </w:rPr>
      </w:pPr>
    </w:p>
    <w:p w14:paraId="553A1EF8">
      <w:pPr>
        <w:widowControl/>
        <w:wordWrap w:val="0"/>
        <w:spacing w:after="200" w:line="400" w:lineRule="exact"/>
        <w:jc w:val="left"/>
        <w:rPr>
          <w:rFonts w:ascii="宋体" w:hAnsi="宋体"/>
          <w:color w:val="auto"/>
          <w:kern w:val="0"/>
          <w:sz w:val="24"/>
          <w:szCs w:val="22"/>
        </w:rPr>
      </w:pPr>
      <w:r>
        <w:rPr>
          <w:rFonts w:ascii="宋体" w:hAnsi="宋体"/>
          <w:color w:val="auto"/>
          <w:kern w:val="0"/>
          <w:sz w:val="24"/>
          <w:szCs w:val="22"/>
        </w:rPr>
        <w:t>发包人：</w:t>
      </w:r>
      <w:r>
        <w:rPr>
          <w:rFonts w:hint="eastAsia" w:ascii="宋体" w:hAnsi="宋体"/>
          <w:color w:val="auto"/>
          <w:kern w:val="0"/>
          <w:sz w:val="24"/>
          <w:szCs w:val="22"/>
          <w:u w:val="single"/>
        </w:rPr>
        <w:t xml:space="preserve">              </w:t>
      </w:r>
      <w:r>
        <w:rPr>
          <w:rFonts w:ascii="宋体" w:hAnsi="宋体"/>
          <w:color w:val="auto"/>
          <w:kern w:val="0"/>
          <w:sz w:val="24"/>
          <w:szCs w:val="22"/>
        </w:rPr>
        <w:t>（盖单位章）</w:t>
      </w:r>
      <w:r>
        <w:rPr>
          <w:rFonts w:hint="eastAsia" w:ascii="宋体" w:hAnsi="宋体"/>
          <w:color w:val="auto"/>
          <w:kern w:val="0"/>
          <w:sz w:val="24"/>
          <w:szCs w:val="22"/>
        </w:rPr>
        <w:t xml:space="preserve">   </w:t>
      </w:r>
      <w:r>
        <w:rPr>
          <w:rFonts w:ascii="宋体" w:hAnsi="宋体"/>
          <w:color w:val="auto"/>
          <w:kern w:val="0"/>
          <w:sz w:val="24"/>
          <w:szCs w:val="22"/>
        </w:rPr>
        <w:t>承包人：</w:t>
      </w:r>
      <w:r>
        <w:rPr>
          <w:rFonts w:hint="eastAsia" w:ascii="宋体" w:hAnsi="宋体"/>
          <w:color w:val="auto"/>
          <w:kern w:val="0"/>
          <w:sz w:val="24"/>
          <w:szCs w:val="22"/>
          <w:u w:val="single"/>
        </w:rPr>
        <w:t xml:space="preserve">               </w:t>
      </w:r>
      <w:r>
        <w:rPr>
          <w:rFonts w:ascii="宋体" w:hAnsi="宋体"/>
          <w:color w:val="auto"/>
          <w:kern w:val="0"/>
          <w:sz w:val="24"/>
          <w:szCs w:val="22"/>
        </w:rPr>
        <w:t xml:space="preserve">（盖单位章） </w:t>
      </w:r>
    </w:p>
    <w:p w14:paraId="4197B308">
      <w:pPr>
        <w:widowControl/>
        <w:wordWrap w:val="0"/>
        <w:spacing w:after="200" w:line="400" w:lineRule="exact"/>
        <w:jc w:val="left"/>
        <w:rPr>
          <w:rFonts w:ascii="宋体" w:hAnsi="宋体"/>
          <w:color w:val="auto"/>
          <w:kern w:val="0"/>
          <w:sz w:val="24"/>
          <w:szCs w:val="22"/>
        </w:rPr>
      </w:pPr>
      <w:r>
        <w:rPr>
          <w:rFonts w:ascii="宋体" w:hAnsi="宋体"/>
          <w:color w:val="auto"/>
          <w:kern w:val="0"/>
          <w:sz w:val="24"/>
          <w:szCs w:val="22"/>
        </w:rPr>
        <w:t>法定代表人或其委托代理人：</w:t>
      </w:r>
      <w:r>
        <w:rPr>
          <w:rFonts w:hint="eastAsia" w:ascii="宋体" w:hAnsi="宋体"/>
          <w:color w:val="auto"/>
          <w:kern w:val="0"/>
          <w:sz w:val="24"/>
          <w:szCs w:val="22"/>
          <w:u w:val="single"/>
        </w:rPr>
        <w:t xml:space="preserve">  </w:t>
      </w:r>
      <w:r>
        <w:rPr>
          <w:rFonts w:hint="eastAsia" w:ascii="宋体" w:hAnsi="宋体"/>
          <w:color w:val="auto"/>
          <w:kern w:val="0"/>
          <w:sz w:val="24"/>
          <w:szCs w:val="22"/>
        </w:rPr>
        <w:t>（</w:t>
      </w:r>
      <w:r>
        <w:rPr>
          <w:rFonts w:ascii="宋体" w:hAnsi="宋体"/>
          <w:color w:val="auto"/>
          <w:kern w:val="0"/>
          <w:sz w:val="24"/>
          <w:szCs w:val="22"/>
        </w:rPr>
        <w:t>签字）</w:t>
      </w:r>
      <w:r>
        <w:rPr>
          <w:rFonts w:hint="eastAsia" w:ascii="宋体" w:hAnsi="宋体"/>
          <w:color w:val="auto"/>
          <w:kern w:val="0"/>
          <w:sz w:val="24"/>
          <w:szCs w:val="22"/>
        </w:rPr>
        <w:t xml:space="preserve">  </w:t>
      </w:r>
      <w:r>
        <w:rPr>
          <w:rFonts w:ascii="宋体" w:hAnsi="宋体"/>
          <w:color w:val="auto"/>
          <w:kern w:val="0"/>
          <w:sz w:val="24"/>
          <w:szCs w:val="22"/>
        </w:rPr>
        <w:t>法定代表人或其委托代理人：</w:t>
      </w:r>
      <w:r>
        <w:rPr>
          <w:rFonts w:hint="eastAsia" w:ascii="宋体" w:hAnsi="宋体"/>
          <w:color w:val="auto"/>
          <w:kern w:val="0"/>
          <w:sz w:val="24"/>
          <w:szCs w:val="22"/>
          <w:u w:val="single"/>
        </w:rPr>
        <w:t xml:space="preserve">  </w:t>
      </w:r>
      <w:r>
        <w:rPr>
          <w:rFonts w:ascii="宋体" w:hAnsi="宋体"/>
          <w:color w:val="auto"/>
          <w:kern w:val="0"/>
          <w:sz w:val="24"/>
          <w:szCs w:val="22"/>
        </w:rPr>
        <w:t>（签字）</w:t>
      </w:r>
    </w:p>
    <w:p w14:paraId="6EC0E61E">
      <w:pPr>
        <w:widowControl/>
        <w:wordWrap w:val="0"/>
        <w:spacing w:after="200" w:line="400" w:lineRule="exact"/>
        <w:ind w:firstLine="840"/>
        <w:jc w:val="left"/>
        <w:rPr>
          <w:rFonts w:ascii="宋体" w:hAnsi="宋体"/>
          <w:color w:val="auto"/>
          <w:kern w:val="0"/>
          <w:sz w:val="24"/>
          <w:szCs w:val="22"/>
          <w:lang w:eastAsia="en-US"/>
        </w:rPr>
      </w:pPr>
      <w:r>
        <w:rPr>
          <w:rFonts w:hint="eastAsia" w:ascii="宋体" w:hAnsi="宋体"/>
          <w:color w:val="auto"/>
          <w:kern w:val="0"/>
          <w:sz w:val="24"/>
          <w:szCs w:val="22"/>
        </w:rPr>
        <w:t xml:space="preserve">   </w:t>
      </w:r>
      <w:r>
        <w:rPr>
          <w:rFonts w:hint="eastAsia" w:ascii="宋体" w:hAnsi="宋体"/>
          <w:color w:val="auto"/>
          <w:kern w:val="0"/>
          <w:sz w:val="24"/>
          <w:szCs w:val="22"/>
          <w:u w:val="single"/>
        </w:rPr>
        <w:t xml:space="preserve">      </w:t>
      </w:r>
      <w:r>
        <w:rPr>
          <w:rFonts w:ascii="宋体" w:hAnsi="宋体"/>
          <w:color w:val="auto"/>
          <w:kern w:val="0"/>
          <w:sz w:val="24"/>
          <w:szCs w:val="22"/>
          <w:lang w:eastAsia="en-US"/>
        </w:rPr>
        <w:t>年</w:t>
      </w:r>
      <w:r>
        <w:rPr>
          <w:rFonts w:hint="eastAsia" w:ascii="宋体" w:hAnsi="宋体"/>
          <w:color w:val="auto"/>
          <w:kern w:val="0"/>
          <w:sz w:val="24"/>
          <w:szCs w:val="22"/>
          <w:u w:val="single"/>
          <w:lang w:eastAsia="en-US"/>
        </w:rPr>
        <w:t xml:space="preserve">    </w:t>
      </w:r>
      <w:r>
        <w:rPr>
          <w:rFonts w:ascii="宋体" w:hAnsi="宋体"/>
          <w:color w:val="auto"/>
          <w:kern w:val="0"/>
          <w:sz w:val="24"/>
          <w:szCs w:val="22"/>
          <w:lang w:eastAsia="en-US"/>
        </w:rPr>
        <w:t>月</w:t>
      </w:r>
      <w:r>
        <w:rPr>
          <w:rFonts w:hint="eastAsia" w:ascii="宋体" w:hAnsi="宋体"/>
          <w:color w:val="auto"/>
          <w:kern w:val="0"/>
          <w:sz w:val="24"/>
          <w:szCs w:val="22"/>
          <w:u w:val="single"/>
          <w:lang w:eastAsia="en-US"/>
        </w:rPr>
        <w:t xml:space="preserve">    </w:t>
      </w:r>
      <w:r>
        <w:rPr>
          <w:rFonts w:ascii="宋体" w:hAnsi="宋体"/>
          <w:color w:val="auto"/>
          <w:kern w:val="0"/>
          <w:sz w:val="24"/>
          <w:szCs w:val="22"/>
          <w:lang w:eastAsia="en-US"/>
        </w:rPr>
        <w:t>日</w:t>
      </w:r>
      <w:r>
        <w:rPr>
          <w:rFonts w:hint="eastAsia" w:ascii="宋体" w:hAnsi="宋体"/>
          <w:color w:val="auto"/>
          <w:kern w:val="0"/>
          <w:sz w:val="24"/>
          <w:szCs w:val="22"/>
          <w:lang w:eastAsia="en-US"/>
        </w:rPr>
        <w:t xml:space="preserve">                    </w:t>
      </w:r>
      <w:r>
        <w:rPr>
          <w:rFonts w:hint="eastAsia" w:ascii="宋体" w:hAnsi="宋体"/>
          <w:color w:val="auto"/>
          <w:kern w:val="0"/>
          <w:sz w:val="24"/>
          <w:szCs w:val="22"/>
          <w:u w:val="single"/>
          <w:lang w:eastAsia="en-US"/>
        </w:rPr>
        <w:t xml:space="preserve">      </w:t>
      </w:r>
      <w:r>
        <w:rPr>
          <w:rFonts w:ascii="宋体" w:hAnsi="宋体"/>
          <w:color w:val="auto"/>
          <w:kern w:val="0"/>
          <w:sz w:val="24"/>
          <w:szCs w:val="22"/>
          <w:lang w:eastAsia="en-US"/>
        </w:rPr>
        <w:t>年</w:t>
      </w:r>
      <w:r>
        <w:rPr>
          <w:rFonts w:hint="eastAsia" w:ascii="宋体" w:hAnsi="宋体"/>
          <w:color w:val="auto"/>
          <w:kern w:val="0"/>
          <w:sz w:val="24"/>
          <w:szCs w:val="22"/>
          <w:u w:val="single"/>
          <w:lang w:eastAsia="en-US"/>
        </w:rPr>
        <w:t xml:space="preserve">    </w:t>
      </w:r>
      <w:r>
        <w:rPr>
          <w:rFonts w:ascii="宋体" w:hAnsi="宋体"/>
          <w:color w:val="auto"/>
          <w:kern w:val="0"/>
          <w:sz w:val="24"/>
          <w:szCs w:val="22"/>
          <w:lang w:eastAsia="en-US"/>
        </w:rPr>
        <w:t>月</w:t>
      </w:r>
      <w:r>
        <w:rPr>
          <w:rFonts w:hint="eastAsia" w:ascii="宋体" w:hAnsi="宋体"/>
          <w:color w:val="auto"/>
          <w:kern w:val="0"/>
          <w:sz w:val="24"/>
          <w:szCs w:val="22"/>
          <w:u w:val="single"/>
          <w:lang w:eastAsia="en-US"/>
        </w:rPr>
        <w:t xml:space="preserve">    </w:t>
      </w:r>
      <w:r>
        <w:rPr>
          <w:rFonts w:ascii="宋体" w:hAnsi="宋体"/>
          <w:color w:val="auto"/>
          <w:kern w:val="0"/>
          <w:sz w:val="24"/>
          <w:szCs w:val="22"/>
          <w:lang w:eastAsia="en-US"/>
        </w:rPr>
        <w:t>日</w:t>
      </w:r>
    </w:p>
    <w:p w14:paraId="0F392B5D">
      <w:pPr>
        <w:widowControl/>
        <w:wordWrap w:val="0"/>
        <w:jc w:val="left"/>
        <w:rPr>
          <w:rFonts w:ascii="宋体" w:hAnsi="宋体"/>
          <w:b/>
          <w:bCs/>
          <w:color w:val="auto"/>
          <w:kern w:val="44"/>
          <w:sz w:val="24"/>
        </w:rPr>
      </w:pPr>
      <w:r>
        <w:rPr>
          <w:rFonts w:ascii="宋体" w:hAnsi="宋体"/>
          <w:bCs/>
          <w:color w:val="auto"/>
          <w:kern w:val="44"/>
          <w:sz w:val="24"/>
        </w:rPr>
        <w:br w:type="page"/>
      </w:r>
      <w:bookmarkStart w:id="622" w:name="_Toc25566"/>
      <w:bookmarkStart w:id="623" w:name="_Toc512689763"/>
      <w:bookmarkStart w:id="624" w:name="_Toc513132396"/>
      <w:bookmarkStart w:id="625" w:name="_Toc16423"/>
      <w:bookmarkStart w:id="626" w:name="_Toc234382945"/>
      <w:bookmarkStart w:id="627" w:name="_Toc513214480"/>
      <w:bookmarkStart w:id="628" w:name="_Toc38436402"/>
      <w:r>
        <w:rPr>
          <w:rFonts w:hint="eastAsia" w:ascii="宋体" w:hAnsi="宋体"/>
          <w:b/>
          <w:bCs/>
          <w:color w:val="auto"/>
          <w:kern w:val="44"/>
          <w:sz w:val="24"/>
        </w:rPr>
        <w:t>附件二   廉政合同</w:t>
      </w:r>
      <w:bookmarkEnd w:id="622"/>
      <w:bookmarkEnd w:id="623"/>
      <w:bookmarkEnd w:id="624"/>
      <w:bookmarkEnd w:id="625"/>
      <w:bookmarkEnd w:id="626"/>
      <w:bookmarkEnd w:id="627"/>
      <w:bookmarkEnd w:id="628"/>
    </w:p>
    <w:p w14:paraId="50419D32">
      <w:pPr>
        <w:widowControl/>
        <w:wordWrap w:val="0"/>
        <w:spacing w:after="200" w:line="360" w:lineRule="auto"/>
        <w:jc w:val="center"/>
        <w:rPr>
          <w:rFonts w:ascii="宋体" w:hAnsi="宋体"/>
          <w:b/>
          <w:color w:val="auto"/>
          <w:kern w:val="0"/>
          <w:sz w:val="32"/>
          <w:szCs w:val="32"/>
        </w:rPr>
      </w:pPr>
      <w:r>
        <w:rPr>
          <w:rFonts w:hint="eastAsia" w:ascii="宋体" w:hAnsi="宋体"/>
          <w:b/>
          <w:color w:val="auto"/>
          <w:kern w:val="0"/>
          <w:sz w:val="32"/>
          <w:szCs w:val="32"/>
        </w:rPr>
        <w:t>廉政合同</w:t>
      </w:r>
    </w:p>
    <w:p w14:paraId="5B7B4182">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olor w:val="auto"/>
          <w:kern w:val="0"/>
          <w:sz w:val="24"/>
          <w:szCs w:val="22"/>
          <w:u w:val="single"/>
        </w:rPr>
        <w:t xml:space="preserve">     </w:t>
      </w:r>
      <w:r>
        <w:rPr>
          <w:rFonts w:hint="eastAsia" w:ascii="宋体" w:hAnsi="宋体"/>
          <w:color w:val="auto"/>
          <w:kern w:val="0"/>
          <w:sz w:val="24"/>
          <w:szCs w:val="22"/>
        </w:rPr>
        <w:t>（项目名称）项目法人</w:t>
      </w:r>
      <w:r>
        <w:rPr>
          <w:rFonts w:hint="eastAsia" w:ascii="宋体" w:hAnsi="宋体"/>
          <w:color w:val="auto"/>
          <w:kern w:val="0"/>
          <w:sz w:val="24"/>
          <w:szCs w:val="22"/>
          <w:u w:val="single"/>
        </w:rPr>
        <w:t xml:space="preserve">          </w:t>
      </w:r>
      <w:r>
        <w:rPr>
          <w:rFonts w:hint="eastAsia" w:ascii="宋体" w:hAnsi="宋体"/>
          <w:color w:val="auto"/>
          <w:kern w:val="0"/>
          <w:sz w:val="24"/>
          <w:szCs w:val="22"/>
        </w:rPr>
        <w:t xml:space="preserve"> （项目法人名称，以下简称“发包人”）与该项目</w:t>
      </w:r>
      <w:r>
        <w:rPr>
          <w:rFonts w:hint="eastAsia" w:ascii="宋体" w:hAnsi="宋体"/>
          <w:color w:val="auto"/>
          <w:kern w:val="0"/>
          <w:sz w:val="24"/>
          <w:szCs w:val="22"/>
          <w:u w:val="single"/>
        </w:rPr>
        <w:t xml:space="preserve">    </w:t>
      </w:r>
      <w:r>
        <w:rPr>
          <w:rFonts w:hint="eastAsia" w:ascii="宋体" w:hAnsi="宋体"/>
          <w:color w:val="auto"/>
          <w:kern w:val="0"/>
          <w:sz w:val="24"/>
          <w:szCs w:val="22"/>
        </w:rPr>
        <w:t>标段的施工单位</w:t>
      </w:r>
      <w:r>
        <w:rPr>
          <w:rFonts w:hint="eastAsia" w:ascii="宋体" w:hAnsi="宋体"/>
          <w:color w:val="auto"/>
          <w:kern w:val="0"/>
          <w:sz w:val="24"/>
          <w:szCs w:val="22"/>
          <w:u w:val="single"/>
        </w:rPr>
        <w:t xml:space="preserve">      </w:t>
      </w:r>
      <w:r>
        <w:rPr>
          <w:rFonts w:hint="eastAsia" w:ascii="宋体" w:hAnsi="宋体"/>
          <w:color w:val="auto"/>
          <w:kern w:val="0"/>
          <w:sz w:val="24"/>
          <w:szCs w:val="22"/>
        </w:rPr>
        <w:t>（施工单位名称，以下简称“承包人”），特订立如下合同。</w:t>
      </w:r>
    </w:p>
    <w:p w14:paraId="02A3CD1C">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1．发包人和承包人双方的权利和义务</w:t>
      </w:r>
    </w:p>
    <w:p w14:paraId="6FE388FD">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（1）严格遵守党的政策规定和国家有关法律法规及交通运输部的有关规定。</w:t>
      </w:r>
    </w:p>
    <w:p w14:paraId="01B3D578">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（2）严格执行</w:t>
      </w:r>
      <w:r>
        <w:rPr>
          <w:rFonts w:hint="eastAsia" w:ascii="宋体" w:hAnsi="宋体"/>
          <w:color w:val="auto"/>
          <w:kern w:val="0"/>
          <w:sz w:val="24"/>
          <w:szCs w:val="22"/>
          <w:u w:val="single"/>
        </w:rPr>
        <w:t xml:space="preserve">     </w:t>
      </w:r>
      <w:r>
        <w:rPr>
          <w:rFonts w:hint="eastAsia" w:ascii="宋体" w:hAnsi="宋体"/>
          <w:color w:val="auto"/>
          <w:kern w:val="0"/>
          <w:sz w:val="24"/>
          <w:szCs w:val="22"/>
        </w:rPr>
        <w:t>（项目名称）</w:t>
      </w:r>
      <w:r>
        <w:rPr>
          <w:rFonts w:hint="eastAsia" w:ascii="宋体" w:hAnsi="宋体"/>
          <w:color w:val="auto"/>
          <w:kern w:val="0"/>
          <w:sz w:val="24"/>
          <w:szCs w:val="22"/>
          <w:u w:val="single"/>
        </w:rPr>
        <w:t xml:space="preserve">      </w:t>
      </w:r>
      <w:r>
        <w:rPr>
          <w:rFonts w:hint="eastAsia" w:ascii="宋体" w:hAnsi="宋体"/>
          <w:color w:val="auto"/>
          <w:kern w:val="0"/>
          <w:sz w:val="24"/>
          <w:szCs w:val="22"/>
        </w:rPr>
        <w:t>标段施工合同文件，自觉按合同办事。</w:t>
      </w:r>
    </w:p>
    <w:p w14:paraId="6BD8929E">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（3）双方的业务活动坚持公开、公正、诚信、透明的原则（法律认定的商业秘密和合同文件另有规定除外），不得损害国家和集体利益，不得违反工程建设管理规章制度。</w:t>
      </w:r>
    </w:p>
    <w:p w14:paraId="7122D7DF">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（4）建立健全廉政制度，开展廉政教育，设立廉政告示牌，公布举报电话，监督并认真查处违法违纪行为。</w:t>
      </w:r>
    </w:p>
    <w:p w14:paraId="6733FC20">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（5）发现对方在业务活动中有违反廉政规定的行为，有及时提醒对方纠正的权利和义务。</w:t>
      </w:r>
    </w:p>
    <w:p w14:paraId="0BFC1CA3">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（6）发现对方严重违反本合同义务条款的行为，有向其上级有关部门举报、建议给予处理并要求告知处理结果的权利。</w:t>
      </w:r>
    </w:p>
    <w:p w14:paraId="2B37E0C9">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2．发包人的义务</w:t>
      </w:r>
    </w:p>
    <w:p w14:paraId="6619B44E">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（1）发包人及其工作人员不得索要或接受承包人的礼金、有价证券和贵重物品，不得让承包人报销任何应由发包人或发包人工作人员个人支付的费用等。</w:t>
      </w:r>
    </w:p>
    <w:p w14:paraId="64523B5A">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（2）发包人工作人员不得参加承包人安排的超标准宴请和娱乐活动；不得接受承包人提供的通讯工具、交通工具和高档办公用品等。</w:t>
      </w:r>
    </w:p>
    <w:p w14:paraId="0ADC5A08">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（3）发包人及其工作人员不利要求或者接受承包人为其住房装修、婚丧嫁娶活动、配偶子女的工作安排以及出国出境、旅游等提供方便等。</w:t>
      </w:r>
    </w:p>
    <w:p w14:paraId="201F6293">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（4）发包人工作人员及其配偶、子女不得从事与发包人工作有关的材料设备供应、工程分包、劳务等经济活动等。</w:t>
      </w:r>
    </w:p>
    <w:p w14:paraId="738B1C62">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（5）发包人及期工作人员不得以任何理由向承包人推荐分包单位或推销材料，不得要求承包人购买合同规定外的材料和设备。</w:t>
      </w:r>
    </w:p>
    <w:p w14:paraId="7357F325">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（6）发包人工作人员要秉公办事，不准营私舞弊，不准利用职权从事各种个人有偿中介活动和安排个人施工队伍。</w:t>
      </w:r>
    </w:p>
    <w:p w14:paraId="62D4E762">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3．承包人的义务</w:t>
      </w:r>
    </w:p>
    <w:p w14:paraId="500E354C">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（1）承包人不得以任何理由向发包人及其工作人员行贿或馈赠礼金、有价证券、贵重礼品。</w:t>
      </w:r>
    </w:p>
    <w:p w14:paraId="4CD1E665">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（2）承包人不得以任何名义为发包人及其工作人员报销应由发包人单位或个人支付的任何费用。</w:t>
      </w:r>
    </w:p>
    <w:p w14:paraId="11D0A705">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（3）承包人不得以任何理由安排发包人工作人员参加超标准宴请及娱乐活动。</w:t>
      </w:r>
    </w:p>
    <w:p w14:paraId="751D1AC5">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（4）承包人不得为发包人单位和个人购置或提供通讯工具、交通工具和高档办公用品等。</w:t>
      </w:r>
    </w:p>
    <w:p w14:paraId="22DF693E">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4．违约责任</w:t>
      </w:r>
    </w:p>
    <w:p w14:paraId="681A7791">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（1）发包人及其工作人员违反本合同第1、2条，按管理权限，依据有关规定给予党纪、政纪或组织处理；涉嫌犯罪的，移交司法机关追究刑事责任；给承包人单位造成经济损失的，应予以赔偿。</w:t>
      </w:r>
    </w:p>
    <w:p w14:paraId="6B4583C0">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74961C68">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08B075B3">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6.本合同有效期为发包人和承包人签署之日起至该工程项目竣工验收后止。</w:t>
      </w:r>
    </w:p>
    <w:p w14:paraId="07B7256A">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7．本合同作为</w:t>
      </w:r>
      <w:r>
        <w:rPr>
          <w:rFonts w:hint="eastAsia" w:ascii="宋体" w:hAnsi="宋体"/>
          <w:color w:val="auto"/>
          <w:kern w:val="0"/>
          <w:sz w:val="24"/>
          <w:szCs w:val="22"/>
          <w:u w:val="single"/>
        </w:rPr>
        <w:t xml:space="preserve">   </w:t>
      </w:r>
      <w:r>
        <w:rPr>
          <w:rFonts w:hint="eastAsia" w:ascii="宋体" w:hAnsi="宋体"/>
          <w:color w:val="auto"/>
          <w:kern w:val="0"/>
          <w:sz w:val="24"/>
          <w:szCs w:val="22"/>
        </w:rPr>
        <w:t>（项目名称）</w:t>
      </w:r>
      <w:r>
        <w:rPr>
          <w:rFonts w:hint="eastAsia" w:ascii="宋体" w:hAnsi="宋体"/>
          <w:color w:val="auto"/>
          <w:kern w:val="0"/>
          <w:sz w:val="24"/>
          <w:szCs w:val="22"/>
          <w:u w:val="single"/>
        </w:rPr>
        <w:t xml:space="preserve">    </w:t>
      </w:r>
      <w:r>
        <w:rPr>
          <w:rFonts w:hint="eastAsia" w:ascii="宋体" w:hAnsi="宋体"/>
          <w:color w:val="auto"/>
          <w:kern w:val="0"/>
          <w:sz w:val="24"/>
          <w:szCs w:val="22"/>
        </w:rPr>
        <w:t>标段施工合同的附件，与工程施工合同具有同等的法律效力，经合同双方签署后立即生效。</w:t>
      </w:r>
    </w:p>
    <w:p w14:paraId="1CF2C369">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8．本合同一式四份，由发包人和承包人各执—份，送交发包人和承包人的监督单位各一份</w:t>
      </w:r>
    </w:p>
    <w:p w14:paraId="467E9D41">
      <w:pPr>
        <w:widowControl/>
        <w:wordWrap w:val="0"/>
        <w:spacing w:after="200" w:line="400" w:lineRule="exact"/>
        <w:jc w:val="left"/>
        <w:rPr>
          <w:rFonts w:hint="eastAsia" w:ascii="宋体" w:hAnsi="宋体"/>
          <w:color w:val="auto"/>
          <w:kern w:val="0"/>
          <w:sz w:val="24"/>
          <w:szCs w:val="22"/>
        </w:rPr>
      </w:pPr>
    </w:p>
    <w:p w14:paraId="4E1FE268">
      <w:pPr>
        <w:widowControl/>
        <w:wordWrap w:val="0"/>
        <w:spacing w:after="200" w:line="400" w:lineRule="exact"/>
        <w:jc w:val="left"/>
        <w:rPr>
          <w:rFonts w:ascii="宋体" w:hAnsi="宋体"/>
          <w:color w:val="auto"/>
          <w:kern w:val="0"/>
          <w:sz w:val="24"/>
          <w:szCs w:val="22"/>
        </w:rPr>
      </w:pPr>
    </w:p>
    <w:p w14:paraId="13EC6CCD">
      <w:pPr>
        <w:widowControl/>
        <w:wordWrap w:val="0"/>
        <w:spacing w:after="200" w:line="400" w:lineRule="exact"/>
        <w:jc w:val="left"/>
        <w:rPr>
          <w:rFonts w:ascii="宋体" w:hAnsi="宋体"/>
          <w:color w:val="auto"/>
          <w:kern w:val="0"/>
          <w:sz w:val="24"/>
          <w:szCs w:val="22"/>
        </w:rPr>
      </w:pPr>
      <w:r>
        <w:rPr>
          <w:rFonts w:ascii="宋体" w:hAnsi="宋体"/>
          <w:color w:val="auto"/>
          <w:kern w:val="0"/>
          <w:sz w:val="24"/>
          <w:szCs w:val="22"/>
        </w:rPr>
        <w:t>发包人：</w:t>
      </w:r>
      <w:r>
        <w:rPr>
          <w:rFonts w:hint="eastAsia" w:ascii="宋体" w:hAnsi="宋体"/>
          <w:color w:val="auto"/>
          <w:kern w:val="0"/>
          <w:sz w:val="24"/>
          <w:szCs w:val="22"/>
          <w:u w:val="single"/>
        </w:rPr>
        <w:t xml:space="preserve">                </w:t>
      </w:r>
      <w:r>
        <w:rPr>
          <w:rFonts w:ascii="宋体" w:hAnsi="宋体"/>
          <w:color w:val="auto"/>
          <w:kern w:val="0"/>
          <w:sz w:val="24"/>
          <w:szCs w:val="22"/>
        </w:rPr>
        <w:t>（盖单位章）</w:t>
      </w:r>
      <w:r>
        <w:rPr>
          <w:rFonts w:hint="eastAsia" w:ascii="宋体" w:hAnsi="宋体"/>
          <w:color w:val="auto"/>
          <w:kern w:val="0"/>
          <w:sz w:val="24"/>
          <w:szCs w:val="22"/>
        </w:rPr>
        <w:t xml:space="preserve">  </w:t>
      </w:r>
      <w:r>
        <w:rPr>
          <w:rFonts w:ascii="宋体" w:hAnsi="宋体"/>
          <w:color w:val="auto"/>
          <w:kern w:val="0"/>
          <w:sz w:val="24"/>
          <w:szCs w:val="22"/>
        </w:rPr>
        <w:t>承包人：</w:t>
      </w:r>
      <w:r>
        <w:rPr>
          <w:rFonts w:hint="eastAsia" w:ascii="宋体" w:hAnsi="宋体"/>
          <w:color w:val="auto"/>
          <w:kern w:val="0"/>
          <w:sz w:val="24"/>
          <w:szCs w:val="22"/>
          <w:u w:val="single"/>
        </w:rPr>
        <w:t xml:space="preserve">               </w:t>
      </w:r>
      <w:r>
        <w:rPr>
          <w:rFonts w:ascii="宋体" w:hAnsi="宋体"/>
          <w:color w:val="auto"/>
          <w:kern w:val="0"/>
          <w:sz w:val="24"/>
          <w:szCs w:val="22"/>
        </w:rPr>
        <w:t xml:space="preserve">（盖单位章） </w:t>
      </w:r>
    </w:p>
    <w:p w14:paraId="521D0654">
      <w:pPr>
        <w:widowControl/>
        <w:wordWrap w:val="0"/>
        <w:spacing w:after="200" w:line="400" w:lineRule="exact"/>
        <w:jc w:val="left"/>
        <w:rPr>
          <w:rFonts w:ascii="宋体" w:hAnsi="宋体"/>
          <w:color w:val="auto"/>
          <w:kern w:val="0"/>
          <w:sz w:val="24"/>
          <w:szCs w:val="22"/>
        </w:rPr>
      </w:pPr>
      <w:r>
        <w:rPr>
          <w:rFonts w:ascii="宋体" w:hAnsi="宋体"/>
          <w:color w:val="auto"/>
          <w:kern w:val="0"/>
          <w:sz w:val="24"/>
          <w:szCs w:val="22"/>
        </w:rPr>
        <w:t>法定代表人或其委托代理人：</w:t>
      </w:r>
      <w:r>
        <w:rPr>
          <w:rFonts w:hint="eastAsia" w:ascii="宋体" w:hAnsi="宋体"/>
          <w:color w:val="auto"/>
          <w:kern w:val="0"/>
          <w:sz w:val="24"/>
          <w:szCs w:val="22"/>
          <w:u w:val="single"/>
        </w:rPr>
        <w:t xml:space="preserve">  </w:t>
      </w:r>
      <w:r>
        <w:rPr>
          <w:rFonts w:hint="eastAsia" w:ascii="宋体" w:hAnsi="宋体"/>
          <w:color w:val="auto"/>
          <w:kern w:val="0"/>
          <w:sz w:val="24"/>
          <w:szCs w:val="22"/>
        </w:rPr>
        <w:t>（</w:t>
      </w:r>
      <w:r>
        <w:rPr>
          <w:rFonts w:ascii="宋体" w:hAnsi="宋体"/>
          <w:color w:val="auto"/>
          <w:kern w:val="0"/>
          <w:sz w:val="24"/>
          <w:szCs w:val="22"/>
        </w:rPr>
        <w:t>签字）</w:t>
      </w:r>
      <w:r>
        <w:rPr>
          <w:rFonts w:hint="eastAsia" w:ascii="宋体" w:hAnsi="宋体"/>
          <w:color w:val="auto"/>
          <w:kern w:val="0"/>
          <w:sz w:val="24"/>
          <w:szCs w:val="22"/>
        </w:rPr>
        <w:t xml:space="preserve">  </w:t>
      </w:r>
      <w:r>
        <w:rPr>
          <w:rFonts w:ascii="宋体" w:hAnsi="宋体"/>
          <w:color w:val="auto"/>
          <w:kern w:val="0"/>
          <w:sz w:val="24"/>
          <w:szCs w:val="22"/>
        </w:rPr>
        <w:t>法定代表人或其委托代理人：</w:t>
      </w:r>
      <w:r>
        <w:rPr>
          <w:rFonts w:hint="eastAsia" w:ascii="宋体" w:hAnsi="宋体"/>
          <w:color w:val="auto"/>
          <w:kern w:val="0"/>
          <w:sz w:val="24"/>
          <w:szCs w:val="22"/>
          <w:u w:val="single"/>
        </w:rPr>
        <w:t xml:space="preserve">  </w:t>
      </w:r>
      <w:r>
        <w:rPr>
          <w:rFonts w:ascii="宋体" w:hAnsi="宋体"/>
          <w:color w:val="auto"/>
          <w:kern w:val="0"/>
          <w:sz w:val="24"/>
          <w:szCs w:val="22"/>
        </w:rPr>
        <w:t>（签字）</w:t>
      </w:r>
    </w:p>
    <w:p w14:paraId="71C01091">
      <w:pPr>
        <w:widowControl/>
        <w:wordWrap w:val="0"/>
        <w:spacing w:after="200" w:line="400" w:lineRule="exact"/>
        <w:ind w:firstLine="840"/>
        <w:jc w:val="left"/>
        <w:rPr>
          <w:rFonts w:ascii="宋体" w:hAnsi="宋体"/>
          <w:color w:val="auto"/>
          <w:kern w:val="0"/>
          <w:sz w:val="24"/>
          <w:szCs w:val="22"/>
        </w:rPr>
      </w:pPr>
      <w:r>
        <w:rPr>
          <w:rFonts w:hint="eastAsia" w:ascii="宋体" w:hAnsi="宋体"/>
          <w:color w:val="auto"/>
          <w:kern w:val="0"/>
          <w:sz w:val="24"/>
          <w:szCs w:val="22"/>
        </w:rPr>
        <w:t xml:space="preserve">   </w:t>
      </w:r>
      <w:r>
        <w:rPr>
          <w:rFonts w:hint="eastAsia" w:ascii="宋体" w:hAnsi="宋体"/>
          <w:color w:val="auto"/>
          <w:kern w:val="0"/>
          <w:sz w:val="24"/>
          <w:szCs w:val="22"/>
          <w:u w:val="single"/>
        </w:rPr>
        <w:t xml:space="preserve">      </w:t>
      </w:r>
      <w:r>
        <w:rPr>
          <w:rFonts w:ascii="宋体" w:hAnsi="宋体"/>
          <w:color w:val="auto"/>
          <w:kern w:val="0"/>
          <w:sz w:val="24"/>
          <w:szCs w:val="22"/>
        </w:rPr>
        <w:t>年</w:t>
      </w:r>
      <w:r>
        <w:rPr>
          <w:rFonts w:hint="eastAsia" w:ascii="宋体" w:hAnsi="宋体"/>
          <w:color w:val="auto"/>
          <w:kern w:val="0"/>
          <w:sz w:val="24"/>
          <w:szCs w:val="22"/>
          <w:u w:val="single"/>
        </w:rPr>
        <w:t xml:space="preserve">    </w:t>
      </w:r>
      <w:r>
        <w:rPr>
          <w:rFonts w:ascii="宋体" w:hAnsi="宋体"/>
          <w:color w:val="auto"/>
          <w:kern w:val="0"/>
          <w:sz w:val="24"/>
          <w:szCs w:val="22"/>
        </w:rPr>
        <w:t>月</w:t>
      </w:r>
      <w:r>
        <w:rPr>
          <w:rFonts w:hint="eastAsia" w:ascii="宋体" w:hAnsi="宋体"/>
          <w:color w:val="auto"/>
          <w:kern w:val="0"/>
          <w:sz w:val="24"/>
          <w:szCs w:val="22"/>
          <w:u w:val="single"/>
        </w:rPr>
        <w:t xml:space="preserve">    </w:t>
      </w:r>
      <w:r>
        <w:rPr>
          <w:rFonts w:ascii="宋体" w:hAnsi="宋体"/>
          <w:color w:val="auto"/>
          <w:kern w:val="0"/>
          <w:sz w:val="24"/>
          <w:szCs w:val="22"/>
        </w:rPr>
        <w:t>日</w:t>
      </w:r>
      <w:r>
        <w:rPr>
          <w:rFonts w:hint="eastAsia" w:ascii="宋体" w:hAnsi="宋体"/>
          <w:color w:val="auto"/>
          <w:kern w:val="0"/>
          <w:sz w:val="24"/>
          <w:szCs w:val="22"/>
        </w:rPr>
        <w:t xml:space="preserve">                    </w:t>
      </w:r>
      <w:r>
        <w:rPr>
          <w:rFonts w:hint="eastAsia" w:ascii="宋体" w:hAnsi="宋体"/>
          <w:color w:val="auto"/>
          <w:kern w:val="0"/>
          <w:sz w:val="24"/>
          <w:szCs w:val="22"/>
          <w:u w:val="single"/>
        </w:rPr>
        <w:t xml:space="preserve">      </w:t>
      </w:r>
      <w:r>
        <w:rPr>
          <w:rFonts w:ascii="宋体" w:hAnsi="宋体"/>
          <w:color w:val="auto"/>
          <w:kern w:val="0"/>
          <w:sz w:val="24"/>
          <w:szCs w:val="22"/>
        </w:rPr>
        <w:t>年</w:t>
      </w:r>
      <w:r>
        <w:rPr>
          <w:rFonts w:hint="eastAsia" w:ascii="宋体" w:hAnsi="宋体"/>
          <w:color w:val="auto"/>
          <w:kern w:val="0"/>
          <w:sz w:val="24"/>
          <w:szCs w:val="22"/>
          <w:u w:val="single"/>
        </w:rPr>
        <w:t xml:space="preserve">    </w:t>
      </w:r>
      <w:r>
        <w:rPr>
          <w:rFonts w:ascii="宋体" w:hAnsi="宋体"/>
          <w:color w:val="auto"/>
          <w:kern w:val="0"/>
          <w:sz w:val="24"/>
          <w:szCs w:val="22"/>
        </w:rPr>
        <w:t>月</w:t>
      </w:r>
      <w:r>
        <w:rPr>
          <w:rFonts w:hint="eastAsia" w:ascii="宋体" w:hAnsi="宋体"/>
          <w:color w:val="auto"/>
          <w:kern w:val="0"/>
          <w:sz w:val="24"/>
          <w:szCs w:val="22"/>
          <w:u w:val="single"/>
        </w:rPr>
        <w:t xml:space="preserve">    </w:t>
      </w:r>
      <w:r>
        <w:rPr>
          <w:rFonts w:ascii="宋体" w:hAnsi="宋体"/>
          <w:color w:val="auto"/>
          <w:kern w:val="0"/>
          <w:sz w:val="24"/>
          <w:szCs w:val="22"/>
        </w:rPr>
        <w:t>日</w:t>
      </w:r>
    </w:p>
    <w:p w14:paraId="66A9D192">
      <w:pPr>
        <w:widowControl/>
        <w:wordWrap w:val="0"/>
        <w:spacing w:after="200" w:line="400" w:lineRule="exact"/>
        <w:jc w:val="left"/>
        <w:rPr>
          <w:rFonts w:ascii="宋体" w:hAnsi="宋体"/>
          <w:color w:val="auto"/>
          <w:kern w:val="0"/>
          <w:sz w:val="24"/>
          <w:szCs w:val="22"/>
        </w:rPr>
      </w:pPr>
      <w:r>
        <w:rPr>
          <w:rFonts w:hint="eastAsia" w:ascii="宋体" w:hAnsi="宋体"/>
          <w:color w:val="auto"/>
          <w:kern w:val="0"/>
          <w:sz w:val="24"/>
          <w:szCs w:val="22"/>
        </w:rPr>
        <w:t>发包人监督单位：</w:t>
      </w:r>
      <w:r>
        <w:rPr>
          <w:rFonts w:hint="eastAsia" w:ascii="宋体" w:hAnsi="宋体"/>
          <w:color w:val="auto"/>
          <w:kern w:val="0"/>
          <w:sz w:val="24"/>
          <w:szCs w:val="22"/>
          <w:u w:val="single"/>
        </w:rPr>
        <w:t>（全称）（盖单位章）</w:t>
      </w:r>
      <w:r>
        <w:rPr>
          <w:rFonts w:hint="eastAsia" w:ascii="宋体" w:hAnsi="宋体"/>
          <w:color w:val="auto"/>
          <w:kern w:val="0"/>
          <w:sz w:val="24"/>
          <w:szCs w:val="22"/>
        </w:rPr>
        <w:t xml:space="preserve"> 承包人监督单位：</w:t>
      </w:r>
      <w:r>
        <w:rPr>
          <w:rFonts w:hint="eastAsia" w:ascii="宋体" w:hAnsi="宋体"/>
          <w:color w:val="auto"/>
          <w:kern w:val="0"/>
          <w:sz w:val="24"/>
          <w:szCs w:val="22"/>
          <w:u w:val="single"/>
        </w:rPr>
        <w:t>（全称）（盖单位章）</w:t>
      </w:r>
    </w:p>
    <w:p w14:paraId="435825F5">
      <w:pPr>
        <w:widowControl/>
        <w:wordWrap w:val="0"/>
        <w:jc w:val="left"/>
        <w:rPr>
          <w:rFonts w:ascii="宋体" w:hAnsi="宋体"/>
          <w:b/>
          <w:color w:val="auto"/>
          <w:kern w:val="0"/>
          <w:sz w:val="24"/>
        </w:rPr>
      </w:pPr>
      <w:r>
        <w:rPr>
          <w:rFonts w:ascii="宋体" w:hAnsi="宋体"/>
          <w:bCs/>
          <w:color w:val="auto"/>
          <w:kern w:val="44"/>
          <w:sz w:val="24"/>
        </w:rPr>
        <w:br w:type="page"/>
      </w:r>
      <w:bookmarkStart w:id="629" w:name="_Toc234382946"/>
      <w:bookmarkStart w:id="630" w:name="_Toc513132397"/>
      <w:bookmarkStart w:id="631" w:name="_Toc513214481"/>
      <w:bookmarkStart w:id="632" w:name="_Toc512689764"/>
      <w:r>
        <w:rPr>
          <w:rFonts w:hint="eastAsia" w:ascii="宋体" w:hAnsi="宋体"/>
          <w:b/>
          <w:color w:val="auto"/>
          <w:kern w:val="0"/>
          <w:sz w:val="24"/>
        </w:rPr>
        <w:t>附件三   安全生产合同</w:t>
      </w:r>
      <w:bookmarkEnd w:id="629"/>
      <w:bookmarkEnd w:id="630"/>
      <w:bookmarkEnd w:id="631"/>
      <w:bookmarkEnd w:id="632"/>
    </w:p>
    <w:p w14:paraId="214A07CF">
      <w:pPr>
        <w:widowControl/>
        <w:wordWrap w:val="0"/>
        <w:spacing w:after="200" w:line="360" w:lineRule="auto"/>
        <w:jc w:val="center"/>
        <w:rPr>
          <w:rFonts w:ascii="宋体" w:hAnsi="宋体"/>
          <w:b/>
          <w:color w:val="auto"/>
          <w:kern w:val="0"/>
          <w:sz w:val="32"/>
          <w:szCs w:val="32"/>
        </w:rPr>
      </w:pPr>
      <w:r>
        <w:rPr>
          <w:rFonts w:hint="eastAsia" w:ascii="宋体" w:hAnsi="宋体"/>
          <w:b/>
          <w:color w:val="auto"/>
          <w:kern w:val="0"/>
          <w:sz w:val="32"/>
          <w:szCs w:val="32"/>
        </w:rPr>
        <w:t>安全生产合同</w:t>
      </w:r>
    </w:p>
    <w:p w14:paraId="18CB2079">
      <w:pPr>
        <w:widowControl/>
        <w:wordWrap w:val="0"/>
        <w:spacing w:after="200" w:line="360" w:lineRule="auto"/>
        <w:ind w:firstLine="480" w:firstLineChars="200"/>
        <w:jc w:val="left"/>
        <w:rPr>
          <w:rFonts w:ascii="宋体" w:hAnsi="宋体"/>
          <w:color w:val="auto"/>
          <w:kern w:val="0"/>
          <w:sz w:val="24"/>
          <w:szCs w:val="22"/>
        </w:rPr>
      </w:pPr>
      <w:bookmarkStart w:id="633" w:name="_Toc512689765"/>
      <w:bookmarkStart w:id="634" w:name="_Toc513214482"/>
      <w:bookmarkStart w:id="635" w:name="_Toc513132398"/>
      <w:bookmarkStart w:id="636" w:name="_Toc234382949"/>
      <w:r>
        <w:rPr>
          <w:rFonts w:hint="eastAsia" w:ascii="宋体" w:hAnsi="宋体"/>
          <w:color w:val="auto"/>
          <w:kern w:val="0"/>
          <w:sz w:val="24"/>
          <w:szCs w:val="22"/>
        </w:rPr>
        <w:t>为在</w:t>
      </w:r>
      <w:r>
        <w:rPr>
          <w:rFonts w:hint="eastAsia" w:ascii="宋体" w:hAnsi="宋体"/>
          <w:color w:val="auto"/>
          <w:kern w:val="0"/>
          <w:sz w:val="24"/>
          <w:szCs w:val="22"/>
          <w:u w:val="single"/>
        </w:rPr>
        <w:t xml:space="preserve">      </w:t>
      </w:r>
      <w:r>
        <w:rPr>
          <w:rFonts w:hint="eastAsia" w:ascii="宋体" w:hAnsi="宋体"/>
          <w:color w:val="auto"/>
          <w:kern w:val="0"/>
          <w:sz w:val="24"/>
          <w:szCs w:val="22"/>
        </w:rPr>
        <w:t>（项目名称）</w:t>
      </w:r>
      <w:r>
        <w:rPr>
          <w:rFonts w:hint="eastAsia" w:ascii="宋体" w:hAnsi="宋体"/>
          <w:color w:val="auto"/>
          <w:kern w:val="0"/>
          <w:sz w:val="24"/>
          <w:szCs w:val="22"/>
          <w:u w:val="single"/>
        </w:rPr>
        <w:t xml:space="preserve">    </w:t>
      </w:r>
      <w:r>
        <w:rPr>
          <w:rFonts w:hint="eastAsia" w:ascii="宋体" w:hAnsi="宋体"/>
          <w:color w:val="auto"/>
          <w:kern w:val="0"/>
          <w:sz w:val="24"/>
          <w:szCs w:val="22"/>
        </w:rPr>
        <w:t>（标段）施工合同的实施过程中创造安全、高效的施工环境，切实搞好本项目的安全管理工作，本项目发包人</w:t>
      </w:r>
      <w:r>
        <w:rPr>
          <w:rFonts w:hint="eastAsia" w:ascii="宋体" w:hAnsi="宋体"/>
          <w:color w:val="auto"/>
          <w:kern w:val="0"/>
          <w:sz w:val="24"/>
          <w:szCs w:val="22"/>
          <w:u w:val="single"/>
        </w:rPr>
        <w:t xml:space="preserve">    </w:t>
      </w:r>
      <w:r>
        <w:rPr>
          <w:rFonts w:hint="eastAsia" w:ascii="宋体" w:hAnsi="宋体"/>
          <w:color w:val="auto"/>
          <w:kern w:val="0"/>
          <w:sz w:val="24"/>
          <w:szCs w:val="22"/>
        </w:rPr>
        <w:t>（发包人名称，以下简称“发包人”）与承包人</w:t>
      </w:r>
      <w:r>
        <w:rPr>
          <w:rFonts w:hint="eastAsia" w:ascii="宋体" w:hAnsi="宋体"/>
          <w:color w:val="auto"/>
          <w:kern w:val="0"/>
          <w:sz w:val="24"/>
          <w:szCs w:val="22"/>
          <w:u w:val="single"/>
        </w:rPr>
        <w:t xml:space="preserve">    </w:t>
      </w:r>
      <w:r>
        <w:rPr>
          <w:rFonts w:hint="eastAsia" w:ascii="宋体" w:hAnsi="宋体"/>
          <w:color w:val="auto"/>
          <w:kern w:val="0"/>
          <w:sz w:val="24"/>
          <w:szCs w:val="22"/>
        </w:rPr>
        <w:t>（承包人名称，以下简称“承包人”）特此签订安全生产合同：</w:t>
      </w:r>
    </w:p>
    <w:p w14:paraId="17E4FF69">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1.发包人职责</w:t>
      </w:r>
    </w:p>
    <w:p w14:paraId="3C97D4F7">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（1）严格遵守国家有关安全生产的法律法规，认真执行工程承包合同中的有关安全要求。</w:t>
      </w:r>
    </w:p>
    <w:p w14:paraId="7AD555BF">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（2）按照“安全第一、预防为主”和坚持“管生产必须管安全”的原则进行安全生产管理，做到生产与安全工作同时计划、布置、检查、总结和评比。</w:t>
      </w:r>
    </w:p>
    <w:p w14:paraId="74A1286C">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（3）重要的安全设施必须坚持与主体工程“三同时”的原则，即：同时设计、审批，同时施工，同时验收，投入使用。</w:t>
      </w:r>
    </w:p>
    <w:p w14:paraId="52C7690A">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（4）定期召开安全生产调度会，及时传达中央及地方有关安全生产的精神。</w:t>
      </w:r>
    </w:p>
    <w:p w14:paraId="7B97DC4C">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（5）组织对承包人施工现场安全生产检查，监督承包人及时处理发现的各种安全隐患。</w:t>
      </w:r>
    </w:p>
    <w:p w14:paraId="050B02D5">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2.承包人职责</w:t>
      </w:r>
    </w:p>
    <w:p w14:paraId="67109103">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132298E3">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77B233B">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3）建立健全安全生产责任制。从派往项目实施的施工负责人到生产工人（包括临时雇请的民工）的安全生产管理系统必须做到纵向到底，—环不漏；各职能部门、人员的安全生产责任制做到横向到边，人人有责。施工负责人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B00BB8E">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（4）承包人在任何时候都应采取各种合理的预防措施，防止其员工发生任何违法、违禁、暴力或妨碍治安的行为。</w:t>
      </w:r>
    </w:p>
    <w:p w14:paraId="72C22FBC">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5）对于从事电气、起重、建筑登高架设作业、锅炉、压力容器、焊接、机动车船艇驾驶、爆破、潜水、瓦斯检验等特殊工种的人员，经过专业培训，获得《安全操作合格证》后，方准持证上岗。施工现场如出现特种作业无证操作现象时，施工负责人必须承担管理责任。</w:t>
      </w:r>
    </w:p>
    <w:p w14:paraId="5E1B639C">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1D402212">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（7）操作人员上岗，必须按规定穿戴防护用品。施工负责人和安全检查员应随时检查劳动防护用品的穿戴情况，不按规定穿戴防护用品的人员不得上岗。</w:t>
      </w:r>
    </w:p>
    <w:p w14:paraId="35539243">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（8）所有施工机具设备和高空作业的设备均应定期检查，并有安全员的签字记录，保证其经常处于完好状态；不合格的机具、设备和劳动保护用品严禁使用：</w:t>
      </w:r>
    </w:p>
    <w:p w14:paraId="3F7919E9">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（9）施工中采用新技术、新工艺、新设备、新材料时，必须制定相应的安全技术措施，施工现场必须具有相关的安全标志牌。</w:t>
      </w:r>
    </w:p>
    <w:p w14:paraId="48F864D6">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708B97B">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（11）安全生产费用按照《公路水运工程安全生产监督管理办法》的相关规定使用和管理。</w:t>
      </w:r>
    </w:p>
    <w:p w14:paraId="0479AB0C">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3.违约责任</w:t>
      </w:r>
    </w:p>
    <w:p w14:paraId="234E738E">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如因发包人或承包人违约造成安全事故，将依法追究责任。</w:t>
      </w:r>
    </w:p>
    <w:p w14:paraId="0F18C7C3">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4.本合同由双方法定代表人或其授权的代理人签署并加盖单位章后生效，全部工程竣工验收后失效。</w:t>
      </w:r>
    </w:p>
    <w:p w14:paraId="6003CD72">
      <w:pPr>
        <w:widowControl/>
        <w:wordWrap w:val="0"/>
        <w:spacing w:after="200" w:line="360" w:lineRule="auto"/>
        <w:ind w:firstLine="480" w:firstLineChars="200"/>
        <w:jc w:val="left"/>
        <w:rPr>
          <w:rFonts w:ascii="宋体" w:hAnsi="宋体"/>
          <w:color w:val="auto"/>
          <w:kern w:val="0"/>
          <w:sz w:val="24"/>
          <w:szCs w:val="22"/>
        </w:rPr>
      </w:pPr>
      <w:r>
        <w:rPr>
          <w:rFonts w:hint="eastAsia" w:ascii="宋体" w:hAnsi="宋体"/>
          <w:color w:val="auto"/>
          <w:kern w:val="0"/>
          <w:sz w:val="24"/>
          <w:szCs w:val="22"/>
        </w:rPr>
        <w:t>5.本合同正本—式二份，副本</w:t>
      </w:r>
      <w:r>
        <w:rPr>
          <w:rFonts w:hint="eastAsia" w:ascii="宋体" w:hAnsi="宋体"/>
          <w:color w:val="auto"/>
          <w:kern w:val="0"/>
          <w:sz w:val="24"/>
          <w:szCs w:val="22"/>
          <w:u w:val="single"/>
        </w:rPr>
        <w:t xml:space="preserve">  </w:t>
      </w:r>
      <w:r>
        <w:rPr>
          <w:rFonts w:hint="eastAsia" w:ascii="宋体" w:hAnsi="宋体"/>
          <w:color w:val="auto"/>
          <w:kern w:val="0"/>
          <w:sz w:val="24"/>
          <w:szCs w:val="22"/>
        </w:rPr>
        <w:t>份，合同双方各执正本—份，副本</w:t>
      </w:r>
      <w:r>
        <w:rPr>
          <w:rFonts w:hint="eastAsia" w:ascii="宋体" w:hAnsi="宋体"/>
          <w:color w:val="auto"/>
          <w:kern w:val="0"/>
          <w:sz w:val="24"/>
          <w:szCs w:val="22"/>
          <w:u w:val="single"/>
        </w:rPr>
        <w:t xml:space="preserve">  </w:t>
      </w:r>
      <w:r>
        <w:rPr>
          <w:rFonts w:hint="eastAsia" w:ascii="宋体" w:hAnsi="宋体"/>
          <w:color w:val="auto"/>
          <w:kern w:val="0"/>
          <w:sz w:val="24"/>
          <w:szCs w:val="22"/>
        </w:rPr>
        <w:t>份，当正本与副本的内容不一致时，以正本为准。</w:t>
      </w:r>
    </w:p>
    <w:p w14:paraId="380B5BCF">
      <w:pPr>
        <w:widowControl/>
        <w:wordWrap w:val="0"/>
        <w:spacing w:after="200" w:line="360" w:lineRule="auto"/>
        <w:jc w:val="left"/>
        <w:rPr>
          <w:rFonts w:hint="eastAsia" w:ascii="宋体" w:hAnsi="宋体"/>
          <w:color w:val="auto"/>
          <w:kern w:val="0"/>
          <w:sz w:val="24"/>
          <w:szCs w:val="22"/>
        </w:rPr>
      </w:pPr>
    </w:p>
    <w:p w14:paraId="62CF2861">
      <w:pPr>
        <w:widowControl/>
        <w:wordWrap w:val="0"/>
        <w:spacing w:after="200" w:line="360" w:lineRule="auto"/>
        <w:jc w:val="left"/>
        <w:rPr>
          <w:rFonts w:hint="eastAsia" w:ascii="宋体" w:hAnsi="宋体"/>
          <w:color w:val="auto"/>
          <w:kern w:val="0"/>
          <w:sz w:val="24"/>
          <w:szCs w:val="22"/>
        </w:rPr>
      </w:pPr>
    </w:p>
    <w:p w14:paraId="20593629">
      <w:pPr>
        <w:widowControl/>
        <w:wordWrap w:val="0"/>
        <w:spacing w:after="200" w:line="360" w:lineRule="auto"/>
        <w:jc w:val="left"/>
        <w:rPr>
          <w:rFonts w:hint="eastAsia" w:ascii="宋体" w:hAnsi="宋体"/>
          <w:color w:val="auto"/>
          <w:kern w:val="0"/>
          <w:sz w:val="24"/>
          <w:szCs w:val="22"/>
        </w:rPr>
      </w:pPr>
    </w:p>
    <w:p w14:paraId="3A5151C6">
      <w:pPr>
        <w:widowControl/>
        <w:wordWrap w:val="0"/>
        <w:spacing w:after="200" w:line="360" w:lineRule="auto"/>
        <w:jc w:val="left"/>
        <w:rPr>
          <w:rFonts w:ascii="宋体" w:hAnsi="宋体"/>
          <w:color w:val="auto"/>
          <w:kern w:val="0"/>
          <w:sz w:val="24"/>
          <w:szCs w:val="22"/>
        </w:rPr>
      </w:pPr>
      <w:r>
        <w:rPr>
          <w:rFonts w:ascii="宋体" w:hAnsi="宋体"/>
          <w:color w:val="auto"/>
          <w:kern w:val="0"/>
          <w:sz w:val="24"/>
          <w:szCs w:val="22"/>
        </w:rPr>
        <w:t>发包人：</w:t>
      </w:r>
      <w:r>
        <w:rPr>
          <w:rFonts w:hint="eastAsia" w:ascii="宋体" w:hAnsi="宋体"/>
          <w:color w:val="auto"/>
          <w:kern w:val="0"/>
          <w:sz w:val="24"/>
          <w:szCs w:val="22"/>
          <w:u w:val="single"/>
        </w:rPr>
        <w:t xml:space="preserve">                </w:t>
      </w:r>
      <w:r>
        <w:rPr>
          <w:rFonts w:ascii="宋体" w:hAnsi="宋体"/>
          <w:color w:val="auto"/>
          <w:kern w:val="0"/>
          <w:sz w:val="24"/>
          <w:szCs w:val="22"/>
        </w:rPr>
        <w:t>（盖单位章）</w:t>
      </w:r>
      <w:r>
        <w:rPr>
          <w:rFonts w:hint="eastAsia" w:ascii="宋体" w:hAnsi="宋体"/>
          <w:color w:val="auto"/>
          <w:kern w:val="0"/>
          <w:sz w:val="24"/>
          <w:szCs w:val="22"/>
        </w:rPr>
        <w:t xml:space="preserve">  </w:t>
      </w:r>
      <w:r>
        <w:rPr>
          <w:rFonts w:ascii="宋体" w:hAnsi="宋体"/>
          <w:color w:val="auto"/>
          <w:kern w:val="0"/>
          <w:sz w:val="24"/>
          <w:szCs w:val="22"/>
        </w:rPr>
        <w:t>承包人：</w:t>
      </w:r>
      <w:r>
        <w:rPr>
          <w:rFonts w:hint="eastAsia" w:ascii="宋体" w:hAnsi="宋体"/>
          <w:color w:val="auto"/>
          <w:kern w:val="0"/>
          <w:sz w:val="24"/>
          <w:szCs w:val="22"/>
          <w:u w:val="single"/>
        </w:rPr>
        <w:t xml:space="preserve">               </w:t>
      </w:r>
      <w:r>
        <w:rPr>
          <w:rFonts w:ascii="宋体" w:hAnsi="宋体"/>
          <w:color w:val="auto"/>
          <w:kern w:val="0"/>
          <w:sz w:val="24"/>
          <w:szCs w:val="22"/>
        </w:rPr>
        <w:t xml:space="preserve">（盖单位章） </w:t>
      </w:r>
    </w:p>
    <w:p w14:paraId="181ED3A7">
      <w:pPr>
        <w:widowControl/>
        <w:wordWrap w:val="0"/>
        <w:spacing w:after="200" w:line="360" w:lineRule="auto"/>
        <w:jc w:val="left"/>
        <w:rPr>
          <w:rFonts w:ascii="宋体" w:hAnsi="宋体"/>
          <w:color w:val="auto"/>
          <w:kern w:val="0"/>
          <w:sz w:val="24"/>
          <w:szCs w:val="22"/>
        </w:rPr>
      </w:pPr>
      <w:r>
        <w:rPr>
          <w:rFonts w:ascii="宋体" w:hAnsi="宋体"/>
          <w:color w:val="auto"/>
          <w:kern w:val="0"/>
          <w:sz w:val="24"/>
          <w:szCs w:val="22"/>
        </w:rPr>
        <w:t>法定代表人或其委托代理人：</w:t>
      </w:r>
      <w:r>
        <w:rPr>
          <w:rFonts w:hint="eastAsia" w:ascii="宋体" w:hAnsi="宋体"/>
          <w:color w:val="auto"/>
          <w:kern w:val="0"/>
          <w:sz w:val="24"/>
          <w:szCs w:val="22"/>
          <w:u w:val="single"/>
        </w:rPr>
        <w:t xml:space="preserve">  </w:t>
      </w:r>
      <w:r>
        <w:rPr>
          <w:rFonts w:hint="eastAsia" w:ascii="宋体" w:hAnsi="宋体"/>
          <w:color w:val="auto"/>
          <w:kern w:val="0"/>
          <w:sz w:val="24"/>
          <w:szCs w:val="22"/>
        </w:rPr>
        <w:t>（</w:t>
      </w:r>
      <w:r>
        <w:rPr>
          <w:rFonts w:ascii="宋体" w:hAnsi="宋体"/>
          <w:color w:val="auto"/>
          <w:kern w:val="0"/>
          <w:sz w:val="24"/>
          <w:szCs w:val="22"/>
        </w:rPr>
        <w:t>签字）</w:t>
      </w:r>
      <w:r>
        <w:rPr>
          <w:rFonts w:hint="eastAsia" w:ascii="宋体" w:hAnsi="宋体"/>
          <w:color w:val="auto"/>
          <w:kern w:val="0"/>
          <w:sz w:val="24"/>
          <w:szCs w:val="22"/>
        </w:rPr>
        <w:t xml:space="preserve">  </w:t>
      </w:r>
      <w:r>
        <w:rPr>
          <w:rFonts w:ascii="宋体" w:hAnsi="宋体"/>
          <w:color w:val="auto"/>
          <w:kern w:val="0"/>
          <w:sz w:val="24"/>
          <w:szCs w:val="22"/>
        </w:rPr>
        <w:t>法定代表人或其委托代理人：</w:t>
      </w:r>
      <w:r>
        <w:rPr>
          <w:rFonts w:hint="eastAsia" w:ascii="宋体" w:hAnsi="宋体"/>
          <w:color w:val="auto"/>
          <w:kern w:val="0"/>
          <w:sz w:val="24"/>
          <w:szCs w:val="22"/>
          <w:u w:val="single"/>
        </w:rPr>
        <w:t xml:space="preserve">  </w:t>
      </w:r>
      <w:r>
        <w:rPr>
          <w:rFonts w:ascii="宋体" w:hAnsi="宋体"/>
          <w:color w:val="auto"/>
          <w:kern w:val="0"/>
          <w:sz w:val="24"/>
          <w:szCs w:val="22"/>
        </w:rPr>
        <w:t>（签字）</w:t>
      </w:r>
    </w:p>
    <w:p w14:paraId="3EE504B8">
      <w:pPr>
        <w:widowControl/>
        <w:wordWrap w:val="0"/>
        <w:spacing w:after="200" w:line="360" w:lineRule="auto"/>
        <w:ind w:firstLine="840"/>
        <w:jc w:val="left"/>
        <w:rPr>
          <w:rFonts w:ascii="宋体" w:hAnsi="宋体"/>
          <w:color w:val="auto"/>
          <w:kern w:val="0"/>
          <w:sz w:val="24"/>
          <w:szCs w:val="22"/>
        </w:rPr>
      </w:pPr>
      <w:r>
        <w:rPr>
          <w:rFonts w:hint="eastAsia" w:ascii="宋体" w:hAnsi="宋体"/>
          <w:color w:val="auto"/>
          <w:kern w:val="0"/>
          <w:sz w:val="24"/>
          <w:szCs w:val="22"/>
        </w:rPr>
        <w:t xml:space="preserve">   </w:t>
      </w:r>
      <w:r>
        <w:rPr>
          <w:rFonts w:hint="eastAsia" w:ascii="宋体" w:hAnsi="宋体"/>
          <w:color w:val="auto"/>
          <w:kern w:val="0"/>
          <w:sz w:val="24"/>
          <w:szCs w:val="22"/>
          <w:u w:val="single"/>
        </w:rPr>
        <w:t xml:space="preserve">      </w:t>
      </w:r>
      <w:r>
        <w:rPr>
          <w:rFonts w:ascii="宋体" w:hAnsi="宋体"/>
          <w:color w:val="auto"/>
          <w:kern w:val="0"/>
          <w:sz w:val="24"/>
          <w:szCs w:val="22"/>
        </w:rPr>
        <w:t>年</w:t>
      </w:r>
      <w:r>
        <w:rPr>
          <w:rFonts w:hint="eastAsia" w:ascii="宋体" w:hAnsi="宋体"/>
          <w:color w:val="auto"/>
          <w:kern w:val="0"/>
          <w:sz w:val="24"/>
          <w:szCs w:val="22"/>
          <w:u w:val="single"/>
        </w:rPr>
        <w:t xml:space="preserve">    </w:t>
      </w:r>
      <w:r>
        <w:rPr>
          <w:rFonts w:ascii="宋体" w:hAnsi="宋体"/>
          <w:color w:val="auto"/>
          <w:kern w:val="0"/>
          <w:sz w:val="24"/>
          <w:szCs w:val="22"/>
        </w:rPr>
        <w:t>月</w:t>
      </w:r>
      <w:r>
        <w:rPr>
          <w:rFonts w:hint="eastAsia" w:ascii="宋体" w:hAnsi="宋体"/>
          <w:color w:val="auto"/>
          <w:kern w:val="0"/>
          <w:sz w:val="24"/>
          <w:szCs w:val="22"/>
          <w:u w:val="single"/>
        </w:rPr>
        <w:t xml:space="preserve">    </w:t>
      </w:r>
      <w:r>
        <w:rPr>
          <w:rFonts w:ascii="宋体" w:hAnsi="宋体"/>
          <w:color w:val="auto"/>
          <w:kern w:val="0"/>
          <w:sz w:val="24"/>
          <w:szCs w:val="22"/>
        </w:rPr>
        <w:t>日</w:t>
      </w:r>
      <w:r>
        <w:rPr>
          <w:rFonts w:hint="eastAsia" w:ascii="宋体" w:hAnsi="宋体"/>
          <w:color w:val="auto"/>
          <w:kern w:val="0"/>
          <w:sz w:val="24"/>
          <w:szCs w:val="22"/>
        </w:rPr>
        <w:t xml:space="preserve">                    </w:t>
      </w:r>
      <w:r>
        <w:rPr>
          <w:rFonts w:hint="eastAsia" w:ascii="宋体" w:hAnsi="宋体"/>
          <w:color w:val="auto"/>
          <w:kern w:val="0"/>
          <w:sz w:val="24"/>
          <w:szCs w:val="22"/>
          <w:u w:val="single"/>
        </w:rPr>
        <w:t xml:space="preserve">      </w:t>
      </w:r>
      <w:r>
        <w:rPr>
          <w:rFonts w:ascii="宋体" w:hAnsi="宋体"/>
          <w:color w:val="auto"/>
          <w:kern w:val="0"/>
          <w:sz w:val="24"/>
          <w:szCs w:val="22"/>
        </w:rPr>
        <w:t>年</w:t>
      </w:r>
      <w:r>
        <w:rPr>
          <w:rFonts w:hint="eastAsia" w:ascii="宋体" w:hAnsi="宋体"/>
          <w:color w:val="auto"/>
          <w:kern w:val="0"/>
          <w:sz w:val="24"/>
          <w:szCs w:val="22"/>
          <w:u w:val="single"/>
        </w:rPr>
        <w:t xml:space="preserve">    </w:t>
      </w:r>
      <w:r>
        <w:rPr>
          <w:rFonts w:ascii="宋体" w:hAnsi="宋体"/>
          <w:color w:val="auto"/>
          <w:kern w:val="0"/>
          <w:sz w:val="24"/>
          <w:szCs w:val="22"/>
        </w:rPr>
        <w:t>月</w:t>
      </w:r>
      <w:r>
        <w:rPr>
          <w:rFonts w:hint="eastAsia" w:ascii="宋体" w:hAnsi="宋体"/>
          <w:color w:val="auto"/>
          <w:kern w:val="0"/>
          <w:sz w:val="24"/>
          <w:szCs w:val="22"/>
          <w:u w:val="single"/>
        </w:rPr>
        <w:t xml:space="preserve">    </w:t>
      </w:r>
      <w:r>
        <w:rPr>
          <w:rFonts w:ascii="宋体" w:hAnsi="宋体"/>
          <w:color w:val="auto"/>
          <w:kern w:val="0"/>
          <w:sz w:val="24"/>
          <w:szCs w:val="22"/>
        </w:rPr>
        <w:t>日</w:t>
      </w:r>
    </w:p>
    <w:p w14:paraId="0AB67F74">
      <w:pPr>
        <w:widowControl/>
        <w:wordWrap w:val="0"/>
        <w:spacing w:after="200" w:line="360" w:lineRule="auto"/>
        <w:jc w:val="left"/>
        <w:rPr>
          <w:rFonts w:ascii="宋体" w:hAnsi="宋体"/>
          <w:b/>
          <w:color w:val="auto"/>
          <w:kern w:val="0"/>
          <w:sz w:val="24"/>
        </w:rPr>
      </w:pPr>
      <w:r>
        <w:rPr>
          <w:rFonts w:ascii="宋体" w:hAnsi="宋体"/>
          <w:color w:val="auto"/>
          <w:kern w:val="0"/>
          <w:sz w:val="24"/>
        </w:rPr>
        <w:br w:type="page"/>
      </w:r>
      <w:r>
        <w:rPr>
          <w:rFonts w:hint="eastAsia" w:ascii="宋体" w:hAnsi="宋体"/>
          <w:b/>
          <w:color w:val="auto"/>
          <w:kern w:val="0"/>
          <w:sz w:val="24"/>
        </w:rPr>
        <w:t>附件四   施工负责人委托书</w:t>
      </w:r>
      <w:bookmarkEnd w:id="633"/>
      <w:bookmarkEnd w:id="634"/>
      <w:bookmarkEnd w:id="635"/>
      <w:bookmarkEnd w:id="636"/>
    </w:p>
    <w:p w14:paraId="2A68FA03">
      <w:pPr>
        <w:widowControl/>
        <w:wordWrap w:val="0"/>
        <w:spacing w:after="200" w:line="360" w:lineRule="auto"/>
        <w:jc w:val="center"/>
        <w:rPr>
          <w:rFonts w:hint="eastAsia" w:ascii="宋体" w:hAnsi="宋体"/>
          <w:color w:val="auto"/>
          <w:kern w:val="0"/>
          <w:sz w:val="24"/>
          <w:u w:val="single"/>
        </w:rPr>
      </w:pPr>
    </w:p>
    <w:p w14:paraId="2C95E5FD">
      <w:pPr>
        <w:widowControl/>
        <w:wordWrap w:val="0"/>
        <w:spacing w:after="200" w:line="360" w:lineRule="auto"/>
        <w:jc w:val="center"/>
        <w:rPr>
          <w:rFonts w:ascii="宋体" w:hAnsi="宋体"/>
          <w:color w:val="auto"/>
          <w:kern w:val="0"/>
          <w:sz w:val="24"/>
          <w:u w:val="single"/>
        </w:rPr>
      </w:pPr>
      <w:r>
        <w:rPr>
          <w:rFonts w:hint="eastAsia" w:ascii="宋体" w:hAnsi="宋体"/>
          <w:color w:val="auto"/>
          <w:kern w:val="0"/>
          <w:sz w:val="24"/>
          <w:u w:val="single"/>
        </w:rPr>
        <w:t>（承包人全称）</w:t>
      </w:r>
    </w:p>
    <w:p w14:paraId="51BF78C6">
      <w:pPr>
        <w:widowControl/>
        <w:wordWrap w:val="0"/>
        <w:spacing w:after="200" w:line="360" w:lineRule="auto"/>
        <w:jc w:val="center"/>
        <w:rPr>
          <w:rFonts w:ascii="宋体" w:hAnsi="宋体"/>
          <w:color w:val="auto"/>
          <w:kern w:val="0"/>
          <w:sz w:val="24"/>
          <w:u w:val="single"/>
        </w:rPr>
      </w:pPr>
      <w:r>
        <w:rPr>
          <w:rFonts w:hint="eastAsia" w:ascii="宋体" w:hAnsi="宋体"/>
          <w:color w:val="auto"/>
          <w:kern w:val="0"/>
          <w:sz w:val="24"/>
          <w:u w:val="single"/>
        </w:rPr>
        <w:t>（合同工程名称）施工负责人委任书</w:t>
      </w:r>
    </w:p>
    <w:p w14:paraId="1240F3D8">
      <w:pPr>
        <w:widowControl/>
        <w:wordWrap w:val="0"/>
        <w:spacing w:after="200" w:line="360" w:lineRule="auto"/>
        <w:jc w:val="left"/>
        <w:rPr>
          <w:rFonts w:ascii="宋体" w:hAnsi="宋体"/>
          <w:color w:val="auto"/>
          <w:kern w:val="0"/>
          <w:sz w:val="24"/>
        </w:rPr>
      </w:pPr>
      <w:r>
        <w:rPr>
          <w:rFonts w:hint="eastAsia" w:ascii="宋体" w:hAnsi="宋体"/>
          <w:color w:val="auto"/>
          <w:kern w:val="0"/>
          <w:sz w:val="24"/>
        </w:rPr>
        <w:t>致：</w:t>
      </w:r>
      <w:r>
        <w:rPr>
          <w:rFonts w:hint="eastAsia" w:ascii="宋体" w:hAnsi="宋体"/>
          <w:color w:val="auto"/>
          <w:kern w:val="0"/>
          <w:sz w:val="24"/>
          <w:u w:val="single"/>
        </w:rPr>
        <w:t>（发包人全称</w:t>
      </w:r>
      <w:r>
        <w:rPr>
          <w:rFonts w:hint="eastAsia" w:ascii="宋体" w:hAnsi="宋体"/>
          <w:color w:val="auto"/>
          <w:kern w:val="0"/>
          <w:sz w:val="24"/>
        </w:rPr>
        <w:t>）</w:t>
      </w:r>
    </w:p>
    <w:p w14:paraId="7C8E8C7B">
      <w:pPr>
        <w:widowControl/>
        <w:wordWrap w:val="0"/>
        <w:spacing w:after="200" w:line="360" w:lineRule="auto"/>
        <w:ind w:firstLine="480" w:firstLineChars="200"/>
        <w:jc w:val="left"/>
        <w:rPr>
          <w:rFonts w:ascii="宋体" w:hAnsi="宋体"/>
          <w:color w:val="auto"/>
          <w:kern w:val="0"/>
          <w:sz w:val="24"/>
        </w:rPr>
      </w:pPr>
      <w:r>
        <w:rPr>
          <w:rFonts w:hint="eastAsia" w:ascii="宋体" w:hAnsi="宋体"/>
          <w:color w:val="auto"/>
          <w:kern w:val="0"/>
          <w:sz w:val="24"/>
          <w:u w:val="single"/>
        </w:rPr>
        <w:t>（承包人全称）</w:t>
      </w:r>
      <w:r>
        <w:rPr>
          <w:rFonts w:hint="eastAsia" w:ascii="宋体" w:hAnsi="宋体"/>
          <w:color w:val="auto"/>
          <w:kern w:val="0"/>
          <w:sz w:val="24"/>
        </w:rPr>
        <w:t xml:space="preserve"> 法定代表人</w:t>
      </w:r>
      <w:r>
        <w:rPr>
          <w:rFonts w:hint="eastAsia" w:ascii="宋体" w:hAnsi="宋体"/>
          <w:color w:val="auto"/>
          <w:kern w:val="0"/>
          <w:sz w:val="24"/>
          <w:u w:val="single"/>
        </w:rPr>
        <w:t xml:space="preserve"> （职务、姓名）</w:t>
      </w:r>
      <w:r>
        <w:rPr>
          <w:rFonts w:hint="eastAsia" w:ascii="宋体" w:hAnsi="宋体"/>
          <w:color w:val="auto"/>
          <w:kern w:val="0"/>
          <w:sz w:val="24"/>
        </w:rPr>
        <w:t xml:space="preserve"> 代表本单位委任 </w:t>
      </w:r>
      <w:r>
        <w:rPr>
          <w:rFonts w:hint="eastAsia" w:ascii="宋体" w:hAnsi="宋体"/>
          <w:color w:val="auto"/>
          <w:kern w:val="0"/>
          <w:sz w:val="24"/>
          <w:u w:val="single"/>
        </w:rPr>
        <w:t>（职务、姓名）</w:t>
      </w:r>
      <w:r>
        <w:rPr>
          <w:rFonts w:hint="eastAsia" w:ascii="宋体" w:hAnsi="宋体"/>
          <w:color w:val="auto"/>
          <w:kern w:val="0"/>
          <w:sz w:val="24"/>
        </w:rPr>
        <w:t xml:space="preserve"> 为</w:t>
      </w:r>
      <w:r>
        <w:rPr>
          <w:rFonts w:hint="eastAsia" w:ascii="宋体" w:hAnsi="宋体"/>
          <w:color w:val="auto"/>
          <w:kern w:val="0"/>
          <w:sz w:val="24"/>
          <w:u w:val="single"/>
        </w:rPr>
        <w:t>（合同工程名称）</w:t>
      </w:r>
      <w:r>
        <w:rPr>
          <w:rFonts w:hint="eastAsia" w:ascii="宋体" w:hAnsi="宋体"/>
          <w:color w:val="auto"/>
          <w:kern w:val="0"/>
          <w:sz w:val="24"/>
        </w:rPr>
        <w:t>的施工负责人。凡本合同执行中的有关技术、工程进度、现场管理、质量检验、结算与支付等方面工作，由</w:t>
      </w:r>
      <w:r>
        <w:rPr>
          <w:rFonts w:hint="eastAsia" w:ascii="宋体" w:hAnsi="宋体"/>
          <w:color w:val="auto"/>
          <w:kern w:val="0"/>
          <w:sz w:val="24"/>
          <w:u w:val="single"/>
        </w:rPr>
        <w:t xml:space="preserve"> （姓名） </w:t>
      </w:r>
      <w:r>
        <w:rPr>
          <w:rFonts w:hint="eastAsia" w:ascii="宋体" w:hAnsi="宋体"/>
          <w:color w:val="auto"/>
          <w:kern w:val="0"/>
          <w:sz w:val="24"/>
        </w:rPr>
        <w:t>代表本单位全面负责。</w:t>
      </w:r>
    </w:p>
    <w:p w14:paraId="776BC25E">
      <w:pPr>
        <w:widowControl/>
        <w:wordWrap w:val="0"/>
        <w:spacing w:after="200" w:line="400" w:lineRule="exact"/>
        <w:jc w:val="left"/>
        <w:rPr>
          <w:rFonts w:ascii="宋体" w:hAnsi="宋体"/>
          <w:color w:val="auto"/>
          <w:kern w:val="0"/>
          <w:sz w:val="24"/>
        </w:rPr>
      </w:pPr>
    </w:p>
    <w:p w14:paraId="04499B37">
      <w:pPr>
        <w:widowControl/>
        <w:wordWrap w:val="0"/>
        <w:spacing w:after="200" w:line="400" w:lineRule="exact"/>
        <w:jc w:val="right"/>
        <w:rPr>
          <w:rFonts w:ascii="宋体" w:hAnsi="宋体"/>
          <w:color w:val="auto"/>
          <w:kern w:val="0"/>
          <w:sz w:val="24"/>
          <w:szCs w:val="22"/>
        </w:rPr>
      </w:pPr>
      <w:r>
        <w:rPr>
          <w:rFonts w:hint="eastAsia" w:ascii="宋体" w:hAnsi="宋体"/>
          <w:color w:val="auto"/>
          <w:kern w:val="0"/>
          <w:sz w:val="24"/>
          <w:szCs w:val="22"/>
        </w:rPr>
        <w:t>承包人：</w:t>
      </w:r>
      <w:r>
        <w:rPr>
          <w:rFonts w:hint="eastAsia" w:ascii="宋体" w:hAnsi="宋体"/>
          <w:color w:val="auto"/>
          <w:kern w:val="0"/>
          <w:sz w:val="24"/>
          <w:szCs w:val="22"/>
          <w:u w:val="single"/>
        </w:rPr>
        <w:t xml:space="preserve">            </w:t>
      </w:r>
      <w:r>
        <w:rPr>
          <w:rFonts w:hint="eastAsia" w:ascii="宋体" w:hAnsi="宋体"/>
          <w:color w:val="auto"/>
          <w:kern w:val="0"/>
          <w:sz w:val="24"/>
          <w:szCs w:val="22"/>
        </w:rPr>
        <w:t>（盖单位章）</w:t>
      </w:r>
    </w:p>
    <w:p w14:paraId="6AA4710B">
      <w:pPr>
        <w:widowControl/>
        <w:wordWrap w:val="0"/>
        <w:spacing w:after="200" w:line="400" w:lineRule="exact"/>
        <w:jc w:val="right"/>
        <w:rPr>
          <w:rFonts w:ascii="宋体" w:hAnsi="宋体"/>
          <w:color w:val="auto"/>
          <w:kern w:val="0"/>
          <w:sz w:val="24"/>
          <w:szCs w:val="22"/>
          <w:u w:val="single"/>
        </w:rPr>
      </w:pPr>
      <w:r>
        <w:rPr>
          <w:rFonts w:hint="eastAsia" w:ascii="宋体" w:hAnsi="宋体"/>
          <w:color w:val="auto"/>
          <w:kern w:val="0"/>
          <w:sz w:val="24"/>
          <w:szCs w:val="22"/>
        </w:rPr>
        <w:t>法定代表人：</w:t>
      </w:r>
      <w:r>
        <w:rPr>
          <w:rFonts w:hint="eastAsia" w:ascii="宋体" w:hAnsi="宋体"/>
          <w:color w:val="auto"/>
          <w:kern w:val="0"/>
          <w:sz w:val="24"/>
          <w:szCs w:val="22"/>
          <w:u w:val="single"/>
        </w:rPr>
        <w:t xml:space="preserve">  （职务） </w:t>
      </w:r>
    </w:p>
    <w:p w14:paraId="155494D1">
      <w:pPr>
        <w:widowControl/>
        <w:wordWrap w:val="0"/>
        <w:spacing w:after="200" w:line="400" w:lineRule="exact"/>
        <w:ind w:firstLine="1800" w:firstLineChars="750"/>
        <w:jc w:val="right"/>
        <w:rPr>
          <w:rFonts w:ascii="宋体" w:hAnsi="宋体"/>
          <w:color w:val="auto"/>
          <w:kern w:val="0"/>
          <w:sz w:val="24"/>
          <w:szCs w:val="22"/>
          <w:u w:val="single"/>
        </w:rPr>
      </w:pPr>
      <w:r>
        <w:rPr>
          <w:rFonts w:hint="eastAsia" w:ascii="宋体" w:hAnsi="宋体"/>
          <w:color w:val="auto"/>
          <w:kern w:val="0"/>
          <w:sz w:val="24"/>
          <w:szCs w:val="22"/>
          <w:u w:val="single"/>
        </w:rPr>
        <w:t xml:space="preserve">  （姓名） </w:t>
      </w:r>
    </w:p>
    <w:p w14:paraId="50C4BA95">
      <w:pPr>
        <w:widowControl/>
        <w:wordWrap w:val="0"/>
        <w:spacing w:after="200" w:line="400" w:lineRule="exact"/>
        <w:ind w:firstLine="1800" w:firstLineChars="750"/>
        <w:jc w:val="right"/>
        <w:rPr>
          <w:rFonts w:ascii="宋体" w:hAnsi="宋体"/>
          <w:color w:val="auto"/>
          <w:kern w:val="0"/>
          <w:sz w:val="24"/>
          <w:szCs w:val="22"/>
          <w:u w:val="single"/>
        </w:rPr>
      </w:pPr>
      <w:r>
        <w:rPr>
          <w:rFonts w:hint="eastAsia" w:ascii="宋体" w:hAnsi="宋体"/>
          <w:color w:val="auto"/>
          <w:kern w:val="0"/>
          <w:sz w:val="24"/>
          <w:szCs w:val="22"/>
          <w:u w:val="single"/>
        </w:rPr>
        <w:t xml:space="preserve">  （签字） </w:t>
      </w:r>
    </w:p>
    <w:p w14:paraId="6350D477">
      <w:pPr>
        <w:widowControl/>
        <w:wordWrap w:val="0"/>
        <w:spacing w:after="200" w:line="400" w:lineRule="exact"/>
        <w:jc w:val="left"/>
        <w:rPr>
          <w:rFonts w:ascii="宋体" w:hAnsi="宋体"/>
          <w:color w:val="auto"/>
          <w:kern w:val="0"/>
          <w:sz w:val="24"/>
          <w:szCs w:val="22"/>
        </w:rPr>
      </w:pPr>
    </w:p>
    <w:p w14:paraId="62FCC467">
      <w:pPr>
        <w:widowControl/>
        <w:wordWrap w:val="0"/>
        <w:spacing w:after="200" w:line="400" w:lineRule="exact"/>
        <w:ind w:right="240"/>
        <w:jc w:val="right"/>
        <w:rPr>
          <w:rFonts w:ascii="宋体" w:hAnsi="宋体"/>
          <w:color w:val="auto"/>
          <w:kern w:val="0"/>
          <w:sz w:val="24"/>
          <w:szCs w:val="22"/>
        </w:rPr>
      </w:pPr>
      <w:r>
        <w:rPr>
          <w:rFonts w:hint="eastAsia" w:ascii="宋体" w:hAnsi="宋体"/>
          <w:color w:val="auto"/>
          <w:kern w:val="0"/>
          <w:sz w:val="24"/>
          <w:szCs w:val="22"/>
          <w:u w:val="single"/>
        </w:rPr>
        <w:t xml:space="preserve">     </w:t>
      </w:r>
      <w:r>
        <w:rPr>
          <w:rFonts w:hint="eastAsia" w:ascii="宋体" w:hAnsi="宋体"/>
          <w:color w:val="auto"/>
          <w:kern w:val="0"/>
          <w:sz w:val="24"/>
          <w:szCs w:val="22"/>
        </w:rPr>
        <w:t>年</w:t>
      </w:r>
      <w:r>
        <w:rPr>
          <w:rFonts w:hint="eastAsia" w:ascii="宋体" w:hAnsi="宋体"/>
          <w:color w:val="auto"/>
          <w:kern w:val="0"/>
          <w:sz w:val="24"/>
          <w:szCs w:val="22"/>
          <w:u w:val="single"/>
        </w:rPr>
        <w:t xml:space="preserve">    </w:t>
      </w:r>
      <w:r>
        <w:rPr>
          <w:rFonts w:hint="eastAsia" w:ascii="宋体" w:hAnsi="宋体"/>
          <w:color w:val="auto"/>
          <w:kern w:val="0"/>
          <w:sz w:val="24"/>
          <w:szCs w:val="22"/>
        </w:rPr>
        <w:t>月</w:t>
      </w:r>
      <w:r>
        <w:rPr>
          <w:rFonts w:hint="eastAsia" w:ascii="宋体" w:hAnsi="宋体"/>
          <w:color w:val="auto"/>
          <w:kern w:val="0"/>
          <w:sz w:val="24"/>
          <w:szCs w:val="22"/>
          <w:u w:val="single"/>
        </w:rPr>
        <w:t xml:space="preserve">     </w:t>
      </w:r>
      <w:r>
        <w:rPr>
          <w:rFonts w:hint="eastAsia" w:ascii="宋体" w:hAnsi="宋体"/>
          <w:color w:val="auto"/>
          <w:kern w:val="0"/>
          <w:sz w:val="24"/>
          <w:szCs w:val="22"/>
        </w:rPr>
        <w:t xml:space="preserve"> 日</w:t>
      </w:r>
    </w:p>
    <w:p w14:paraId="27822031">
      <w:pPr>
        <w:widowControl/>
        <w:wordWrap w:val="0"/>
        <w:spacing w:after="200" w:line="400" w:lineRule="exact"/>
        <w:jc w:val="left"/>
        <w:rPr>
          <w:rFonts w:ascii="宋体" w:hAnsi="宋体"/>
          <w:color w:val="auto"/>
          <w:kern w:val="0"/>
          <w:sz w:val="24"/>
          <w:szCs w:val="22"/>
        </w:rPr>
      </w:pPr>
    </w:p>
    <w:p w14:paraId="1ECD1576">
      <w:pPr>
        <w:wordWrap w:val="0"/>
        <w:spacing w:line="480" w:lineRule="auto"/>
        <w:ind w:firstLine="480" w:firstLineChars="200"/>
        <w:rPr>
          <w:rFonts w:ascii="宋体" w:hAnsi="宋体"/>
          <w:b/>
          <w:color w:val="auto"/>
          <w:sz w:val="72"/>
          <w:szCs w:val="72"/>
        </w:rPr>
      </w:pPr>
      <w:r>
        <w:rPr>
          <w:rFonts w:hint="eastAsia" w:ascii="宋体" w:hAnsi="宋体"/>
          <w:color w:val="auto"/>
          <w:kern w:val="0"/>
          <w:sz w:val="24"/>
          <w:szCs w:val="18"/>
        </w:rPr>
        <w:t>抄送：</w:t>
      </w:r>
      <w:r>
        <w:rPr>
          <w:rFonts w:hint="eastAsia" w:ascii="宋体" w:hAnsi="宋体"/>
          <w:color w:val="auto"/>
          <w:kern w:val="0"/>
          <w:sz w:val="24"/>
          <w:szCs w:val="18"/>
          <w:u w:val="single"/>
        </w:rPr>
        <w:t xml:space="preserve">  （监理人）</w:t>
      </w:r>
    </w:p>
    <w:p w14:paraId="2F46F8E2">
      <w:pPr>
        <w:wordWrap w:val="0"/>
        <w:rPr>
          <w:rFonts w:ascii="宋体" w:hAnsi="宋体"/>
          <w:b/>
          <w:color w:val="auto"/>
          <w:sz w:val="28"/>
          <w:szCs w:val="28"/>
        </w:rPr>
      </w:pPr>
    </w:p>
    <w:p w14:paraId="00BBC803">
      <w:pPr>
        <w:wordWrap w:val="0"/>
        <w:jc w:val="left"/>
        <w:rPr>
          <w:rFonts w:hint="default" w:ascii="宋体" w:hAnsi="宋体" w:eastAsia="宋体"/>
          <w:color w:val="auto"/>
          <w:kern w:val="0"/>
          <w:sz w:val="24"/>
          <w:lang w:val="en-US" w:eastAsia="zh-CN"/>
        </w:rPr>
      </w:pPr>
      <w:r>
        <w:rPr>
          <w:rFonts w:ascii="宋体" w:hAnsi="宋体" w:cs="宋体"/>
          <w:bCs w:val="0"/>
          <w:color w:val="auto"/>
          <w:kern w:val="0"/>
          <w:sz w:val="30"/>
          <w:szCs w:val="30"/>
        </w:rPr>
        <w:br w:type="page"/>
      </w:r>
      <w:bookmarkStart w:id="637" w:name="_Toc180485654"/>
      <w:r>
        <w:rPr>
          <w:rFonts w:hint="default" w:ascii="宋体" w:hAnsi="宋体" w:eastAsia="宋体"/>
          <w:b/>
          <w:color w:val="auto"/>
          <w:kern w:val="0"/>
          <w:sz w:val="24"/>
          <w:lang w:val="en-US" w:eastAsia="zh-CN"/>
        </w:rPr>
        <w:t>附件五：履约保证金格式</w:t>
      </w:r>
    </w:p>
    <w:p w14:paraId="3A3F113A">
      <w:pPr>
        <w:wordWrap w:val="0"/>
        <w:ind w:firstLine="480" w:firstLineChars="200"/>
        <w:rPr>
          <w:rFonts w:hint="default" w:ascii="宋体" w:hAnsi="宋体" w:eastAsia="宋体"/>
          <w:color w:val="auto"/>
          <w:kern w:val="0"/>
          <w:sz w:val="24"/>
          <w:lang w:val="en-US" w:eastAsia="zh-CN"/>
        </w:rPr>
      </w:pPr>
      <w:r>
        <w:rPr>
          <w:rFonts w:hint="default" w:ascii="宋体" w:hAnsi="宋体" w:eastAsia="宋体"/>
          <w:color w:val="auto"/>
          <w:kern w:val="0"/>
          <w:sz w:val="24"/>
          <w:lang w:val="en-US" w:eastAsia="zh-CN"/>
        </w:rPr>
        <w:t>如采用银行保函，格式如下。</w:t>
      </w:r>
    </w:p>
    <w:p w14:paraId="146DA383">
      <w:pPr>
        <w:wordWrap w:val="0"/>
        <w:ind w:firstLine="480" w:firstLineChars="200"/>
        <w:rPr>
          <w:rFonts w:hint="default" w:ascii="宋体" w:hAnsi="宋体" w:eastAsia="宋体"/>
          <w:color w:val="auto"/>
          <w:kern w:val="0"/>
          <w:sz w:val="24"/>
          <w:lang w:val="en-US" w:eastAsia="zh-CN"/>
        </w:rPr>
      </w:pPr>
      <w:r>
        <w:rPr>
          <w:rFonts w:hint="default" w:ascii="宋体" w:hAnsi="宋体" w:eastAsia="宋体"/>
          <w:color w:val="auto"/>
          <w:kern w:val="0"/>
          <w:sz w:val="24"/>
          <w:lang w:val="en-US" w:eastAsia="zh-CN"/>
        </w:rPr>
        <w:t>履约保证金</w:t>
      </w:r>
    </w:p>
    <w:p w14:paraId="52F3DAC6">
      <w:pPr>
        <w:wordWrap w:val="0"/>
        <w:ind w:firstLine="480" w:firstLineChars="200"/>
        <w:rPr>
          <w:rFonts w:hint="default" w:ascii="宋体" w:hAnsi="宋体" w:eastAsia="宋体"/>
          <w:color w:val="auto"/>
          <w:kern w:val="0"/>
          <w:sz w:val="24"/>
          <w:lang w:val="en-US" w:eastAsia="zh-CN"/>
        </w:rPr>
      </w:pPr>
      <w:r>
        <w:rPr>
          <w:rFonts w:hint="default" w:ascii="宋体" w:hAnsi="宋体" w:eastAsia="宋体"/>
          <w:color w:val="auto"/>
          <w:kern w:val="0"/>
          <w:sz w:val="24"/>
          <w:lang w:val="en-US" w:eastAsia="zh-CN"/>
        </w:rPr>
        <w:t>（发包人名称）</w:t>
      </w:r>
      <w:r>
        <w:rPr>
          <w:rFonts w:hint="eastAsia" w:ascii="宋体" w:hAnsi="宋体" w:eastAsia="宋体"/>
          <w:color w:val="auto"/>
          <w:kern w:val="0"/>
          <w:sz w:val="24"/>
          <w:lang w:val="en-US" w:eastAsia="zh-CN"/>
        </w:rPr>
        <w:t xml:space="preserve">        </w:t>
      </w:r>
      <w:r>
        <w:rPr>
          <w:rFonts w:hint="default" w:ascii="宋体" w:hAnsi="宋体" w:eastAsia="宋体"/>
          <w:color w:val="auto"/>
          <w:kern w:val="0"/>
          <w:sz w:val="24"/>
          <w:lang w:val="en-US" w:eastAsia="zh-CN"/>
        </w:rPr>
        <w:t>：</w:t>
      </w:r>
    </w:p>
    <w:p w14:paraId="26FFFC23">
      <w:pPr>
        <w:wordWrap w:val="0"/>
        <w:ind w:firstLine="480" w:firstLineChars="200"/>
        <w:rPr>
          <w:rFonts w:hint="default" w:ascii="宋体" w:hAnsi="宋体" w:eastAsia="宋体"/>
          <w:color w:val="auto"/>
          <w:kern w:val="0"/>
          <w:sz w:val="24"/>
          <w:lang w:val="en-US" w:eastAsia="zh-CN"/>
        </w:rPr>
      </w:pPr>
      <w:r>
        <w:rPr>
          <w:rFonts w:hint="default" w:ascii="宋体" w:hAnsi="宋体" w:eastAsia="宋体"/>
          <w:color w:val="auto"/>
          <w:kern w:val="0"/>
          <w:sz w:val="24"/>
          <w:lang w:val="en-US" w:eastAsia="zh-CN"/>
        </w:rPr>
        <w:t>鉴于</w:t>
      </w:r>
      <w:r>
        <w:rPr>
          <w:rFonts w:hint="eastAsia" w:ascii="宋体" w:hAnsi="宋体" w:eastAsia="宋体"/>
          <w:color w:val="auto"/>
          <w:kern w:val="0"/>
          <w:sz w:val="24"/>
          <w:lang w:val="en-US" w:eastAsia="zh-CN"/>
        </w:rPr>
        <w:t xml:space="preserve">          </w:t>
      </w:r>
      <w:r>
        <w:rPr>
          <w:rFonts w:hint="default" w:ascii="宋体" w:hAnsi="宋体" w:eastAsia="宋体"/>
          <w:color w:val="auto"/>
          <w:kern w:val="0"/>
          <w:sz w:val="24"/>
          <w:lang w:val="en-US" w:eastAsia="zh-CN"/>
        </w:rPr>
        <w:t>（发包人名称，以下简称“发包人”）接受（承包人名称，以下简称“承包人”）</w:t>
      </w:r>
      <w:r>
        <w:rPr>
          <w:rFonts w:hint="eastAsia" w:ascii="宋体" w:hAnsi="宋体" w:eastAsia="宋体"/>
          <w:color w:val="auto"/>
          <w:kern w:val="0"/>
          <w:sz w:val="24"/>
          <w:lang w:val="en-US" w:eastAsia="zh-CN"/>
        </w:rPr>
        <w:t xml:space="preserve">              </w:t>
      </w:r>
      <w:r>
        <w:rPr>
          <w:rFonts w:hint="default" w:ascii="宋体" w:hAnsi="宋体" w:eastAsia="宋体"/>
          <w:color w:val="auto"/>
          <w:kern w:val="0"/>
          <w:sz w:val="24"/>
          <w:lang w:val="en-US" w:eastAsia="zh-CN"/>
        </w:rPr>
        <w:t>于</w:t>
      </w:r>
      <w:r>
        <w:rPr>
          <w:rFonts w:hint="eastAsia" w:ascii="宋体" w:hAnsi="宋体" w:eastAsia="宋体"/>
          <w:color w:val="auto"/>
          <w:kern w:val="0"/>
          <w:sz w:val="24"/>
          <w:lang w:val="en-US" w:eastAsia="zh-CN"/>
        </w:rPr>
        <w:t xml:space="preserve">    </w:t>
      </w:r>
      <w:r>
        <w:rPr>
          <w:rFonts w:hint="default" w:ascii="宋体" w:hAnsi="宋体" w:eastAsia="宋体"/>
          <w:color w:val="auto"/>
          <w:kern w:val="0"/>
          <w:sz w:val="24"/>
          <w:lang w:val="en-US" w:eastAsia="zh-CN"/>
        </w:rPr>
        <w:t>年</w:t>
      </w:r>
      <w:r>
        <w:rPr>
          <w:rFonts w:hint="eastAsia" w:ascii="宋体" w:hAnsi="宋体" w:eastAsia="宋体"/>
          <w:color w:val="auto"/>
          <w:kern w:val="0"/>
          <w:sz w:val="24"/>
          <w:lang w:val="en-US" w:eastAsia="zh-CN"/>
        </w:rPr>
        <w:t xml:space="preserve">    </w:t>
      </w:r>
      <w:r>
        <w:rPr>
          <w:rFonts w:hint="default" w:ascii="宋体" w:hAnsi="宋体" w:eastAsia="宋体"/>
          <w:color w:val="auto"/>
          <w:kern w:val="0"/>
          <w:sz w:val="24"/>
          <w:lang w:val="en-US" w:eastAsia="zh-CN"/>
        </w:rPr>
        <w:t>月</w:t>
      </w:r>
      <w:r>
        <w:rPr>
          <w:rFonts w:hint="eastAsia" w:ascii="宋体" w:hAnsi="宋体" w:eastAsia="宋体"/>
          <w:color w:val="auto"/>
          <w:kern w:val="0"/>
          <w:sz w:val="24"/>
          <w:lang w:val="en-US" w:eastAsia="zh-CN"/>
        </w:rPr>
        <w:t xml:space="preserve">   </w:t>
      </w:r>
      <w:r>
        <w:rPr>
          <w:rFonts w:hint="default" w:ascii="宋体" w:hAnsi="宋体" w:eastAsia="宋体"/>
          <w:color w:val="auto"/>
          <w:kern w:val="0"/>
          <w:sz w:val="24"/>
          <w:lang w:val="en-US" w:eastAsia="zh-CN"/>
        </w:rPr>
        <w:t>日参加（项目名称）</w:t>
      </w:r>
      <w:r>
        <w:rPr>
          <w:rFonts w:hint="eastAsia" w:ascii="宋体" w:hAnsi="宋体" w:eastAsia="宋体"/>
          <w:color w:val="auto"/>
          <w:kern w:val="0"/>
          <w:sz w:val="24"/>
          <w:lang w:val="en-US" w:eastAsia="zh-CN"/>
        </w:rPr>
        <w:t xml:space="preserve">             </w:t>
      </w:r>
      <w:r>
        <w:rPr>
          <w:rFonts w:hint="default" w:ascii="宋体" w:hAnsi="宋体" w:eastAsia="宋体"/>
          <w:color w:val="auto"/>
          <w:kern w:val="0"/>
          <w:sz w:val="24"/>
          <w:lang w:val="en-US" w:eastAsia="zh-CN"/>
        </w:rPr>
        <w:t>标段施工的投标。我方愿意无条件地、不可撤销地就承包人履行与你方订立的合同，向你方提供担保。</w:t>
      </w:r>
    </w:p>
    <w:p w14:paraId="3310B191">
      <w:pPr>
        <w:wordWrap w:val="0"/>
        <w:ind w:firstLine="480" w:firstLineChars="200"/>
        <w:rPr>
          <w:rFonts w:hint="default" w:ascii="宋体" w:hAnsi="宋体" w:eastAsia="宋体"/>
          <w:color w:val="auto"/>
          <w:kern w:val="0"/>
          <w:sz w:val="24"/>
          <w:lang w:val="en-US" w:eastAsia="zh-CN"/>
        </w:rPr>
      </w:pPr>
      <w:r>
        <w:rPr>
          <w:rFonts w:hint="default" w:ascii="宋体" w:hAnsi="宋体" w:eastAsia="宋体"/>
          <w:color w:val="auto"/>
          <w:kern w:val="0"/>
          <w:sz w:val="24"/>
          <w:lang w:val="en-US" w:eastAsia="zh-CN"/>
        </w:rPr>
        <w:t>1. 担保金额人民币（大写）</w:t>
      </w:r>
      <w:r>
        <w:rPr>
          <w:rFonts w:hint="eastAsia" w:ascii="宋体" w:hAnsi="宋体" w:eastAsia="宋体"/>
          <w:color w:val="auto"/>
          <w:kern w:val="0"/>
          <w:sz w:val="24"/>
          <w:lang w:val="en-US" w:eastAsia="zh-CN"/>
        </w:rPr>
        <w:t xml:space="preserve">          </w:t>
      </w:r>
      <w:r>
        <w:rPr>
          <w:rFonts w:hint="default" w:ascii="宋体" w:hAnsi="宋体" w:eastAsia="宋体"/>
          <w:color w:val="auto"/>
          <w:kern w:val="0"/>
          <w:sz w:val="24"/>
          <w:lang w:val="en-US" w:eastAsia="zh-CN"/>
        </w:rPr>
        <w:t>元（￥</w:t>
      </w:r>
      <w:r>
        <w:rPr>
          <w:rFonts w:hint="eastAsia" w:ascii="宋体" w:hAnsi="宋体" w:eastAsia="宋体"/>
          <w:color w:val="auto"/>
          <w:kern w:val="0"/>
          <w:sz w:val="24"/>
          <w:lang w:val="en-US" w:eastAsia="zh-CN"/>
        </w:rPr>
        <w:t xml:space="preserve">         </w:t>
      </w:r>
      <w:r>
        <w:rPr>
          <w:rFonts w:hint="default" w:ascii="宋体" w:hAnsi="宋体" w:eastAsia="宋体"/>
          <w:color w:val="auto"/>
          <w:kern w:val="0"/>
          <w:sz w:val="24"/>
          <w:lang w:val="en-US" w:eastAsia="zh-CN"/>
        </w:rPr>
        <w:t>）。</w:t>
      </w:r>
    </w:p>
    <w:p w14:paraId="20E00FCC">
      <w:pPr>
        <w:wordWrap w:val="0"/>
        <w:ind w:firstLine="480" w:firstLineChars="200"/>
        <w:rPr>
          <w:rFonts w:hint="default" w:ascii="宋体" w:hAnsi="宋体" w:eastAsia="宋体"/>
          <w:color w:val="auto"/>
          <w:kern w:val="0"/>
          <w:sz w:val="24"/>
          <w:lang w:val="en-US" w:eastAsia="zh-CN"/>
        </w:rPr>
      </w:pPr>
      <w:r>
        <w:rPr>
          <w:rFonts w:hint="default" w:ascii="宋体" w:hAnsi="宋体" w:eastAsia="宋体"/>
          <w:color w:val="auto"/>
          <w:kern w:val="0"/>
          <w:sz w:val="24"/>
          <w:lang w:val="en-US" w:eastAsia="zh-CN"/>
        </w:rPr>
        <w:t>2. 担保有效期自发包人与承包人签订的合同生效之日起至发包人签发交工验收证书且承包人按照合同约定缴纳质量保证金之日止。</w:t>
      </w:r>
    </w:p>
    <w:p w14:paraId="63A84F55">
      <w:pPr>
        <w:wordWrap w:val="0"/>
        <w:ind w:firstLine="480" w:firstLineChars="200"/>
        <w:rPr>
          <w:rFonts w:hint="default" w:ascii="宋体" w:hAnsi="宋体" w:eastAsia="宋体"/>
          <w:color w:val="auto"/>
          <w:kern w:val="0"/>
          <w:sz w:val="24"/>
          <w:lang w:val="en-US" w:eastAsia="zh-CN"/>
        </w:rPr>
      </w:pPr>
      <w:r>
        <w:rPr>
          <w:rFonts w:hint="default" w:ascii="宋体" w:hAnsi="宋体" w:eastAsia="宋体"/>
          <w:color w:val="auto"/>
          <w:kern w:val="0"/>
          <w:sz w:val="24"/>
          <w:lang w:val="en-US" w:eastAsia="zh-CN"/>
        </w:rPr>
        <w:t>3. 在本担保有效期内，因承包人违反合同约定的义务给你方造成经济损失时，我方在收到你方以书面形式提出的在担保金额内的赔偿要求后，在7 日内无条件支付，无须你方出具证明或陈述理由。</w:t>
      </w:r>
    </w:p>
    <w:p w14:paraId="389EB1DB">
      <w:pPr>
        <w:wordWrap w:val="0"/>
        <w:ind w:firstLine="480" w:firstLineChars="200"/>
        <w:rPr>
          <w:rFonts w:hint="default" w:ascii="宋体" w:hAnsi="宋体" w:eastAsia="宋体"/>
          <w:color w:val="auto"/>
          <w:kern w:val="0"/>
          <w:sz w:val="24"/>
          <w:lang w:val="en-US" w:eastAsia="zh-CN"/>
        </w:rPr>
      </w:pPr>
      <w:r>
        <w:rPr>
          <w:rFonts w:hint="default" w:ascii="宋体" w:hAnsi="宋体" w:eastAsia="宋体"/>
          <w:color w:val="auto"/>
          <w:kern w:val="0"/>
          <w:sz w:val="24"/>
          <w:lang w:val="en-US" w:eastAsia="zh-CN"/>
        </w:rPr>
        <w:t>4. 发包人和承包人按合同条款第15 条变更合同时，无论我方是否收到该变更，我方承担本担保规定的义务不变。</w:t>
      </w:r>
    </w:p>
    <w:p w14:paraId="3C5E2C0B">
      <w:pPr>
        <w:wordWrap w:val="0"/>
        <w:ind w:firstLine="480" w:firstLineChars="200"/>
        <w:rPr>
          <w:rFonts w:hint="default" w:ascii="宋体" w:hAnsi="宋体" w:eastAsia="宋体"/>
          <w:color w:val="auto"/>
          <w:kern w:val="0"/>
          <w:sz w:val="24"/>
          <w:lang w:val="en-US" w:eastAsia="zh-CN"/>
        </w:rPr>
      </w:pPr>
    </w:p>
    <w:p w14:paraId="2815C81B">
      <w:pPr>
        <w:wordWrap w:val="0"/>
        <w:ind w:firstLine="480" w:firstLineChars="200"/>
        <w:jc w:val="right"/>
        <w:rPr>
          <w:rFonts w:hint="default" w:ascii="宋体" w:hAnsi="宋体" w:eastAsia="宋体"/>
          <w:color w:val="auto"/>
          <w:kern w:val="0"/>
          <w:sz w:val="24"/>
          <w:lang w:val="en-US" w:eastAsia="zh-CN"/>
        </w:rPr>
      </w:pPr>
    </w:p>
    <w:p w14:paraId="71F073E0">
      <w:pPr>
        <w:wordWrap w:val="0"/>
        <w:ind w:firstLine="480" w:firstLineChars="200"/>
        <w:jc w:val="right"/>
        <w:rPr>
          <w:rFonts w:hint="default" w:ascii="宋体" w:hAnsi="宋体" w:eastAsia="宋体"/>
          <w:color w:val="auto"/>
          <w:kern w:val="0"/>
          <w:sz w:val="24"/>
          <w:lang w:val="en-US" w:eastAsia="zh-CN"/>
        </w:rPr>
      </w:pPr>
    </w:p>
    <w:p w14:paraId="1D1349D8">
      <w:pPr>
        <w:wordWrap w:val="0"/>
        <w:ind w:firstLine="480" w:firstLineChars="200"/>
        <w:jc w:val="right"/>
        <w:rPr>
          <w:rFonts w:hint="default" w:ascii="宋体" w:hAnsi="宋体" w:eastAsia="宋体"/>
          <w:color w:val="auto"/>
          <w:kern w:val="0"/>
          <w:sz w:val="24"/>
          <w:lang w:val="en-US" w:eastAsia="zh-CN"/>
        </w:rPr>
      </w:pPr>
      <w:r>
        <w:rPr>
          <w:rFonts w:hint="default" w:ascii="宋体" w:hAnsi="宋体" w:eastAsia="宋体"/>
          <w:color w:val="auto"/>
          <w:kern w:val="0"/>
          <w:sz w:val="24"/>
          <w:lang w:val="en-US" w:eastAsia="zh-CN"/>
        </w:rPr>
        <w:t>担保人名称：</w:t>
      </w:r>
      <w:r>
        <w:rPr>
          <w:rFonts w:hint="eastAsia" w:ascii="宋体" w:hAnsi="宋体" w:eastAsia="宋体"/>
          <w:color w:val="auto"/>
          <w:kern w:val="0"/>
          <w:sz w:val="24"/>
          <w:lang w:val="en-US" w:eastAsia="zh-CN"/>
        </w:rPr>
        <w:t xml:space="preserve">               </w:t>
      </w:r>
      <w:r>
        <w:rPr>
          <w:rFonts w:hint="default" w:ascii="宋体" w:hAnsi="宋体" w:eastAsia="宋体"/>
          <w:color w:val="auto"/>
          <w:kern w:val="0"/>
          <w:sz w:val="24"/>
          <w:lang w:val="en-US" w:eastAsia="zh-CN"/>
        </w:rPr>
        <w:t>（盖单位章）</w:t>
      </w:r>
    </w:p>
    <w:p w14:paraId="3F1AD083">
      <w:pPr>
        <w:wordWrap w:val="0"/>
        <w:ind w:firstLine="480" w:firstLineChars="200"/>
        <w:jc w:val="right"/>
        <w:rPr>
          <w:rFonts w:hint="default" w:ascii="宋体" w:hAnsi="宋体" w:eastAsia="宋体"/>
          <w:color w:val="auto"/>
          <w:kern w:val="0"/>
          <w:sz w:val="24"/>
          <w:lang w:val="en-US" w:eastAsia="zh-CN"/>
        </w:rPr>
      </w:pPr>
      <w:r>
        <w:rPr>
          <w:rFonts w:hint="default" w:ascii="宋体" w:hAnsi="宋体" w:eastAsia="宋体"/>
          <w:color w:val="auto"/>
          <w:kern w:val="0"/>
          <w:sz w:val="24"/>
          <w:lang w:val="en-US" w:eastAsia="zh-CN"/>
        </w:rPr>
        <w:t>法定代表人或其委托代理人：</w:t>
      </w:r>
      <w:r>
        <w:rPr>
          <w:rFonts w:hint="eastAsia" w:ascii="宋体" w:hAnsi="宋体" w:eastAsia="宋体"/>
          <w:color w:val="auto"/>
          <w:kern w:val="0"/>
          <w:sz w:val="24"/>
          <w:lang w:val="en-US" w:eastAsia="zh-CN"/>
        </w:rPr>
        <w:t xml:space="preserve">           </w:t>
      </w:r>
      <w:r>
        <w:rPr>
          <w:rFonts w:hint="default" w:ascii="宋体" w:hAnsi="宋体" w:eastAsia="宋体"/>
          <w:color w:val="auto"/>
          <w:kern w:val="0"/>
          <w:sz w:val="24"/>
          <w:lang w:val="en-US" w:eastAsia="zh-CN"/>
        </w:rPr>
        <w:t>（签字或签章）</w:t>
      </w:r>
    </w:p>
    <w:p w14:paraId="4E275F46">
      <w:pPr>
        <w:wordWrap w:val="0"/>
        <w:ind w:firstLine="480" w:firstLineChars="200"/>
        <w:jc w:val="center"/>
        <w:rPr>
          <w:rFonts w:hint="default" w:ascii="宋体" w:hAnsi="宋体" w:eastAsia="宋体"/>
          <w:color w:val="auto"/>
          <w:kern w:val="0"/>
          <w:sz w:val="24"/>
          <w:lang w:val="en-US" w:eastAsia="zh-CN"/>
        </w:rPr>
      </w:pPr>
      <w:r>
        <w:rPr>
          <w:rFonts w:hint="default" w:ascii="宋体" w:hAnsi="宋体" w:eastAsia="宋体"/>
          <w:color w:val="auto"/>
          <w:kern w:val="0"/>
          <w:sz w:val="24"/>
          <w:lang w:val="en-US" w:eastAsia="zh-CN"/>
        </w:rPr>
        <w:t>地址：</w:t>
      </w:r>
      <w:r>
        <w:rPr>
          <w:rFonts w:hint="eastAsia" w:ascii="宋体" w:hAnsi="宋体" w:eastAsia="宋体"/>
          <w:color w:val="auto"/>
          <w:kern w:val="0"/>
          <w:sz w:val="24"/>
          <w:lang w:val="en-US" w:eastAsia="zh-CN"/>
        </w:rPr>
        <w:t xml:space="preserve">            </w:t>
      </w:r>
    </w:p>
    <w:p w14:paraId="74A2D63D">
      <w:pPr>
        <w:wordWrap w:val="0"/>
        <w:ind w:firstLine="480" w:firstLineChars="200"/>
        <w:jc w:val="center"/>
        <w:rPr>
          <w:rFonts w:hint="default" w:ascii="宋体" w:hAnsi="宋体" w:eastAsia="宋体"/>
          <w:color w:val="auto"/>
          <w:kern w:val="0"/>
          <w:sz w:val="24"/>
          <w:lang w:val="en-US" w:eastAsia="zh-CN"/>
        </w:rPr>
      </w:pPr>
      <w:r>
        <w:rPr>
          <w:rFonts w:hint="default" w:ascii="宋体" w:hAnsi="宋体" w:eastAsia="宋体"/>
          <w:color w:val="auto"/>
          <w:kern w:val="0"/>
          <w:sz w:val="24"/>
          <w:lang w:val="en-US" w:eastAsia="zh-CN"/>
        </w:rPr>
        <w:t>邮政编码：</w:t>
      </w:r>
      <w:r>
        <w:rPr>
          <w:rFonts w:hint="eastAsia" w:ascii="宋体" w:hAnsi="宋体" w:eastAsia="宋体"/>
          <w:color w:val="auto"/>
          <w:kern w:val="0"/>
          <w:sz w:val="24"/>
          <w:lang w:val="en-US" w:eastAsia="zh-CN"/>
        </w:rPr>
        <w:t xml:space="preserve">         </w:t>
      </w:r>
    </w:p>
    <w:p w14:paraId="40951698">
      <w:pPr>
        <w:wordWrap w:val="0"/>
        <w:ind w:firstLine="480" w:firstLineChars="200"/>
        <w:jc w:val="center"/>
        <w:rPr>
          <w:rFonts w:hint="default" w:ascii="宋体" w:hAnsi="宋体" w:eastAsia="宋体"/>
          <w:color w:val="auto"/>
          <w:kern w:val="0"/>
          <w:sz w:val="24"/>
          <w:lang w:val="en-US" w:eastAsia="zh-CN"/>
        </w:rPr>
      </w:pPr>
      <w:r>
        <w:rPr>
          <w:rFonts w:hint="default" w:ascii="宋体" w:hAnsi="宋体" w:eastAsia="宋体"/>
          <w:color w:val="auto"/>
          <w:kern w:val="0"/>
          <w:sz w:val="24"/>
          <w:lang w:val="en-US" w:eastAsia="zh-CN"/>
        </w:rPr>
        <w:t>电话：</w:t>
      </w:r>
      <w:r>
        <w:rPr>
          <w:rFonts w:hint="eastAsia" w:ascii="宋体" w:hAnsi="宋体" w:eastAsia="宋体"/>
          <w:color w:val="auto"/>
          <w:kern w:val="0"/>
          <w:sz w:val="24"/>
          <w:lang w:val="en-US" w:eastAsia="zh-CN"/>
        </w:rPr>
        <w:t xml:space="preserve">                </w:t>
      </w:r>
    </w:p>
    <w:p w14:paraId="72C8E541">
      <w:pPr>
        <w:wordWrap w:val="0"/>
        <w:ind w:firstLine="480" w:firstLineChars="200"/>
        <w:jc w:val="center"/>
        <w:rPr>
          <w:rFonts w:hint="default" w:ascii="宋体" w:hAnsi="宋体" w:eastAsia="宋体"/>
          <w:color w:val="auto"/>
          <w:kern w:val="0"/>
          <w:sz w:val="24"/>
          <w:lang w:val="en-US" w:eastAsia="zh-CN"/>
        </w:rPr>
      </w:pPr>
      <w:r>
        <w:rPr>
          <w:rFonts w:hint="default" w:ascii="宋体" w:hAnsi="宋体" w:eastAsia="宋体"/>
          <w:color w:val="auto"/>
          <w:kern w:val="0"/>
          <w:sz w:val="24"/>
          <w:lang w:val="en-US" w:eastAsia="zh-CN"/>
        </w:rPr>
        <w:t>传真：</w:t>
      </w:r>
      <w:r>
        <w:rPr>
          <w:rFonts w:hint="eastAsia" w:ascii="宋体" w:hAnsi="宋体" w:eastAsia="宋体"/>
          <w:color w:val="auto"/>
          <w:kern w:val="0"/>
          <w:sz w:val="24"/>
          <w:lang w:val="en-US" w:eastAsia="zh-CN"/>
        </w:rPr>
        <w:t xml:space="preserve">                 </w:t>
      </w:r>
    </w:p>
    <w:p w14:paraId="172C1AC3">
      <w:pPr>
        <w:wordWrap w:val="0"/>
        <w:ind w:firstLine="480" w:firstLineChars="200"/>
        <w:jc w:val="center"/>
        <w:rPr>
          <w:rFonts w:hint="default" w:ascii="宋体" w:hAnsi="宋体" w:eastAsia="宋体"/>
          <w:color w:val="auto"/>
          <w:kern w:val="0"/>
          <w:sz w:val="24"/>
          <w:lang w:val="en-US" w:eastAsia="zh-CN"/>
        </w:rPr>
      </w:pPr>
      <w:r>
        <w:rPr>
          <w:rFonts w:hint="default" w:ascii="宋体" w:hAnsi="宋体" w:eastAsia="宋体"/>
          <w:color w:val="auto"/>
          <w:kern w:val="0"/>
          <w:sz w:val="24"/>
          <w:lang w:val="en-US" w:eastAsia="zh-CN"/>
        </w:rPr>
        <w:t>年</w:t>
      </w:r>
      <w:r>
        <w:rPr>
          <w:rFonts w:hint="eastAsia" w:ascii="宋体" w:hAnsi="宋体" w:eastAsia="宋体"/>
          <w:color w:val="auto"/>
          <w:kern w:val="0"/>
          <w:sz w:val="24"/>
          <w:lang w:val="en-US" w:eastAsia="zh-CN"/>
        </w:rPr>
        <w:t xml:space="preserve">    </w:t>
      </w:r>
      <w:r>
        <w:rPr>
          <w:rFonts w:hint="default" w:ascii="宋体" w:hAnsi="宋体" w:eastAsia="宋体"/>
          <w:color w:val="auto"/>
          <w:kern w:val="0"/>
          <w:sz w:val="24"/>
          <w:lang w:val="en-US" w:eastAsia="zh-CN"/>
        </w:rPr>
        <w:t>月</w:t>
      </w:r>
      <w:r>
        <w:rPr>
          <w:rFonts w:hint="eastAsia" w:ascii="宋体" w:hAnsi="宋体" w:eastAsia="宋体"/>
          <w:color w:val="auto"/>
          <w:kern w:val="0"/>
          <w:sz w:val="24"/>
          <w:lang w:val="en-US" w:eastAsia="zh-CN"/>
        </w:rPr>
        <w:t xml:space="preserve">     </w:t>
      </w:r>
      <w:r>
        <w:rPr>
          <w:rFonts w:hint="default" w:ascii="宋体" w:hAnsi="宋体" w:eastAsia="宋体"/>
          <w:color w:val="auto"/>
          <w:kern w:val="0"/>
          <w:sz w:val="24"/>
          <w:lang w:val="en-US" w:eastAsia="zh-CN"/>
        </w:rPr>
        <w:t>日</w:t>
      </w:r>
    </w:p>
    <w:p w14:paraId="15E99457">
      <w:pPr>
        <w:wordWrap w:val="0"/>
        <w:ind w:firstLine="600" w:firstLineChars="200"/>
        <w:rPr>
          <w:rFonts w:ascii="宋体" w:hAnsi="宋体" w:cs="宋体"/>
          <w:bCs w:val="0"/>
          <w:color w:val="auto"/>
          <w:kern w:val="0"/>
          <w:sz w:val="30"/>
          <w:szCs w:val="30"/>
        </w:rPr>
      </w:pPr>
    </w:p>
    <w:p w14:paraId="0E62F49E">
      <w:pPr>
        <w:wordWrap w:val="0"/>
        <w:ind w:firstLine="600" w:firstLineChars="200"/>
        <w:rPr>
          <w:rFonts w:ascii="宋体" w:hAnsi="宋体" w:cs="宋体"/>
          <w:bCs w:val="0"/>
          <w:color w:val="auto"/>
          <w:kern w:val="0"/>
          <w:sz w:val="30"/>
          <w:szCs w:val="30"/>
        </w:rPr>
      </w:pPr>
      <w:r>
        <w:rPr>
          <w:rFonts w:ascii="宋体" w:hAnsi="宋体" w:cs="宋体"/>
          <w:bCs w:val="0"/>
          <w:color w:val="auto"/>
          <w:kern w:val="0"/>
          <w:sz w:val="30"/>
          <w:szCs w:val="30"/>
        </w:rPr>
        <w:br w:type="page"/>
      </w:r>
    </w:p>
    <w:p w14:paraId="665FC204">
      <w:pPr>
        <w:pStyle w:val="2"/>
        <w:wordWrap w:val="0"/>
        <w:spacing w:line="240" w:lineRule="auto"/>
        <w:jc w:val="center"/>
        <w:rPr>
          <w:rFonts w:ascii="宋体" w:hAnsi="宋体" w:cs="宋体"/>
          <w:bCs w:val="0"/>
          <w:color w:val="auto"/>
          <w:kern w:val="0"/>
          <w:sz w:val="30"/>
          <w:szCs w:val="30"/>
        </w:rPr>
      </w:pPr>
      <w:r>
        <w:rPr>
          <w:rFonts w:ascii="宋体" w:hAnsi="宋体" w:cs="宋体"/>
          <w:bCs w:val="0"/>
          <w:color w:val="auto"/>
          <w:kern w:val="0"/>
          <w:sz w:val="30"/>
          <w:szCs w:val="30"/>
        </w:rPr>
        <w:t>第</w:t>
      </w:r>
      <w:r>
        <w:rPr>
          <w:rFonts w:hint="eastAsia" w:ascii="宋体" w:hAnsi="宋体" w:cs="宋体"/>
          <w:bCs w:val="0"/>
          <w:color w:val="auto"/>
          <w:kern w:val="0"/>
          <w:sz w:val="30"/>
          <w:szCs w:val="30"/>
          <w:lang w:val="en-US" w:eastAsia="zh-CN"/>
        </w:rPr>
        <w:t>六</w:t>
      </w:r>
      <w:r>
        <w:rPr>
          <w:rFonts w:ascii="宋体" w:hAnsi="宋体" w:cs="宋体"/>
          <w:bCs w:val="0"/>
          <w:color w:val="auto"/>
          <w:kern w:val="0"/>
          <w:sz w:val="30"/>
          <w:szCs w:val="30"/>
        </w:rPr>
        <w:t>章</w:t>
      </w:r>
      <w:r>
        <w:rPr>
          <w:rFonts w:hint="eastAsia" w:ascii="宋体" w:hAnsi="宋体" w:cs="宋体"/>
          <w:bCs w:val="0"/>
          <w:color w:val="auto"/>
          <w:kern w:val="0"/>
          <w:sz w:val="30"/>
          <w:szCs w:val="30"/>
        </w:rPr>
        <w:t xml:space="preserve">  </w:t>
      </w:r>
      <w:r>
        <w:rPr>
          <w:rFonts w:ascii="宋体" w:hAnsi="宋体" w:cs="宋体"/>
          <w:bCs w:val="0"/>
          <w:color w:val="auto"/>
          <w:kern w:val="0"/>
          <w:sz w:val="30"/>
          <w:szCs w:val="30"/>
        </w:rPr>
        <w:t>工程量清单</w:t>
      </w:r>
      <w:bookmarkEnd w:id="505"/>
      <w:bookmarkEnd w:id="506"/>
      <w:bookmarkEnd w:id="507"/>
      <w:bookmarkEnd w:id="508"/>
      <w:bookmarkEnd w:id="509"/>
      <w:bookmarkEnd w:id="510"/>
      <w:bookmarkEnd w:id="511"/>
      <w:bookmarkEnd w:id="512"/>
      <w:bookmarkEnd w:id="513"/>
      <w:bookmarkEnd w:id="637"/>
    </w:p>
    <w:p w14:paraId="1FF8A566">
      <w:pPr>
        <w:spacing w:line="440" w:lineRule="exact"/>
        <w:jc w:val="center"/>
        <w:textAlignment w:val="center"/>
        <w:outlineLvl w:val="0"/>
        <w:rPr>
          <w:rFonts w:hint="eastAsia" w:ascii="宋体" w:hAnsi="宋体" w:cs="宋体"/>
          <w:b/>
          <w:sz w:val="32"/>
          <w:szCs w:val="32"/>
        </w:rPr>
      </w:pPr>
      <w:bookmarkStart w:id="638" w:name="_Toc76460601"/>
      <w:bookmarkStart w:id="639" w:name="_Toc83750147"/>
      <w:r>
        <w:rPr>
          <w:rFonts w:hint="eastAsia" w:ascii="宋体" w:hAnsi="宋体" w:cs="宋体"/>
          <w:b/>
          <w:sz w:val="32"/>
          <w:szCs w:val="32"/>
        </w:rPr>
        <w:t>另附</w:t>
      </w:r>
    </w:p>
    <w:p w14:paraId="5963D7D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Arial"/>
          <w:color w:val="auto"/>
          <w:sz w:val="24"/>
        </w:rPr>
      </w:pPr>
    </w:p>
    <w:p w14:paraId="41B923CA">
      <w:pPr>
        <w:pStyle w:val="2"/>
        <w:wordWrap w:val="0"/>
        <w:spacing w:line="240" w:lineRule="auto"/>
        <w:jc w:val="center"/>
        <w:rPr>
          <w:rFonts w:ascii="宋体" w:hAnsi="宋体" w:cs="宋体"/>
          <w:bCs w:val="0"/>
          <w:color w:val="auto"/>
          <w:kern w:val="0"/>
          <w:sz w:val="30"/>
          <w:szCs w:val="30"/>
        </w:rPr>
      </w:pPr>
      <w:r>
        <w:rPr>
          <w:rFonts w:ascii="宋体" w:hAnsi="宋体" w:cs="宋体"/>
          <w:bCs w:val="0"/>
          <w:color w:val="auto"/>
          <w:kern w:val="0"/>
          <w:sz w:val="30"/>
          <w:szCs w:val="30"/>
        </w:rPr>
        <w:br w:type="page"/>
      </w:r>
      <w:bookmarkStart w:id="640" w:name="_Toc180485655"/>
      <w:r>
        <w:rPr>
          <w:rFonts w:hint="eastAsia" w:ascii="宋体" w:hAnsi="宋体" w:cs="宋体"/>
          <w:bCs w:val="0"/>
          <w:color w:val="auto"/>
          <w:kern w:val="0"/>
          <w:sz w:val="30"/>
          <w:szCs w:val="30"/>
        </w:rPr>
        <w:t>第</w:t>
      </w:r>
      <w:r>
        <w:rPr>
          <w:rFonts w:hint="eastAsia" w:ascii="宋体" w:hAnsi="宋体" w:cs="宋体"/>
          <w:bCs w:val="0"/>
          <w:color w:val="auto"/>
          <w:kern w:val="0"/>
          <w:sz w:val="30"/>
          <w:szCs w:val="30"/>
          <w:lang w:val="en-US" w:eastAsia="zh-CN"/>
        </w:rPr>
        <w:t>七</w:t>
      </w:r>
      <w:r>
        <w:rPr>
          <w:rFonts w:hint="eastAsia" w:ascii="宋体" w:hAnsi="宋体" w:cs="宋体"/>
          <w:bCs w:val="0"/>
          <w:color w:val="auto"/>
          <w:kern w:val="0"/>
          <w:sz w:val="30"/>
          <w:szCs w:val="30"/>
        </w:rPr>
        <w:t>章</w:t>
      </w:r>
      <w:bookmarkStart w:id="641" w:name="_Toc152042574"/>
      <w:bookmarkStart w:id="642" w:name="_Toc246996353"/>
      <w:bookmarkStart w:id="643" w:name="_Toc296602599"/>
      <w:bookmarkStart w:id="644" w:name="_Toc246997096"/>
      <w:bookmarkStart w:id="645" w:name="_Toc247085870"/>
      <w:bookmarkStart w:id="646" w:name="_Toc144974854"/>
      <w:bookmarkStart w:id="647" w:name="_Toc152045785"/>
      <w:bookmarkStart w:id="648" w:name="_Toc179632804"/>
      <w:r>
        <w:rPr>
          <w:rFonts w:hint="eastAsia" w:ascii="宋体" w:hAnsi="宋体" w:cs="宋体"/>
          <w:bCs w:val="0"/>
          <w:color w:val="auto"/>
          <w:kern w:val="0"/>
          <w:sz w:val="30"/>
          <w:szCs w:val="30"/>
        </w:rPr>
        <w:t xml:space="preserve">  图纸</w:t>
      </w:r>
      <w:bookmarkEnd w:id="640"/>
    </w:p>
    <w:p w14:paraId="363E6491">
      <w:pPr>
        <w:wordWrap w:val="0"/>
        <w:spacing w:line="360" w:lineRule="auto"/>
        <w:jc w:val="center"/>
        <w:rPr>
          <w:rFonts w:hint="eastAsia" w:ascii="宋体" w:hAnsi="宋体"/>
          <w:color w:val="auto"/>
          <w:sz w:val="24"/>
          <w:szCs w:val="28"/>
        </w:rPr>
      </w:pPr>
      <w:r>
        <w:rPr>
          <w:rFonts w:hint="eastAsia" w:ascii="宋体" w:hAnsi="宋体"/>
          <w:color w:val="auto"/>
          <w:sz w:val="24"/>
          <w:szCs w:val="28"/>
        </w:rPr>
        <w:t xml:space="preserve">    </w:t>
      </w:r>
    </w:p>
    <w:p w14:paraId="4C38B4E4">
      <w:pPr>
        <w:wordWrap w:val="0"/>
        <w:jc w:val="center"/>
        <w:rPr>
          <w:rFonts w:ascii="宋体" w:hAnsi="宋体" w:eastAsia="宋体" w:cs="宋体"/>
          <w:b/>
          <w:sz w:val="40"/>
          <w:szCs w:val="40"/>
          <w:highlight w:val="none"/>
        </w:rPr>
      </w:pPr>
      <w:r>
        <w:rPr>
          <w:rFonts w:hint="eastAsia" w:ascii="宋体" w:hAnsi="宋体" w:eastAsia="宋体" w:cs="宋体"/>
          <w:b/>
          <w:sz w:val="40"/>
          <w:szCs w:val="40"/>
          <w:highlight w:val="none"/>
        </w:rPr>
        <w:t>（另附）</w:t>
      </w:r>
    </w:p>
    <w:p w14:paraId="2BE694DD">
      <w:pPr>
        <w:pStyle w:val="2"/>
        <w:wordWrap w:val="0"/>
        <w:spacing w:line="240" w:lineRule="auto"/>
        <w:jc w:val="center"/>
        <w:rPr>
          <w:bCs w:val="0"/>
          <w:color w:val="auto"/>
          <w:kern w:val="0"/>
        </w:rPr>
      </w:pPr>
      <w:r>
        <w:rPr>
          <w:bCs w:val="0"/>
          <w:color w:val="auto"/>
          <w:kern w:val="0"/>
        </w:rPr>
        <w:br w:type="page"/>
      </w:r>
      <w:bookmarkStart w:id="649" w:name="_Toc180485656"/>
      <w:r>
        <w:rPr>
          <w:rFonts w:hint="eastAsia" w:ascii="宋体" w:hAnsi="宋体" w:cs="宋体"/>
          <w:bCs w:val="0"/>
          <w:color w:val="auto"/>
          <w:kern w:val="0"/>
          <w:sz w:val="30"/>
          <w:szCs w:val="30"/>
        </w:rPr>
        <w:t>第</w:t>
      </w:r>
      <w:r>
        <w:rPr>
          <w:rFonts w:hint="eastAsia" w:ascii="宋体" w:hAnsi="宋体" w:cs="宋体"/>
          <w:bCs w:val="0"/>
          <w:color w:val="auto"/>
          <w:kern w:val="0"/>
          <w:sz w:val="30"/>
          <w:szCs w:val="30"/>
          <w:lang w:val="en-US" w:eastAsia="zh-CN"/>
        </w:rPr>
        <w:t>八</w:t>
      </w:r>
      <w:r>
        <w:rPr>
          <w:rFonts w:hint="eastAsia" w:ascii="宋体" w:hAnsi="宋体" w:cs="宋体"/>
          <w:bCs w:val="0"/>
          <w:color w:val="auto"/>
          <w:kern w:val="0"/>
          <w:sz w:val="30"/>
          <w:szCs w:val="30"/>
        </w:rPr>
        <w:t>章  技术标准和要求</w:t>
      </w:r>
      <w:bookmarkEnd w:id="638"/>
      <w:bookmarkEnd w:id="639"/>
      <w:bookmarkEnd w:id="641"/>
      <w:bookmarkEnd w:id="642"/>
      <w:bookmarkEnd w:id="643"/>
      <w:bookmarkEnd w:id="644"/>
      <w:bookmarkEnd w:id="645"/>
      <w:bookmarkEnd w:id="646"/>
      <w:bookmarkEnd w:id="647"/>
      <w:bookmarkEnd w:id="648"/>
      <w:bookmarkEnd w:id="649"/>
    </w:p>
    <w:p w14:paraId="1C0AC70F">
      <w:pPr>
        <w:pStyle w:val="2"/>
        <w:wordWrap w:val="0"/>
        <w:spacing w:line="240" w:lineRule="auto"/>
        <w:jc w:val="center"/>
        <w:rPr>
          <w:rFonts w:hint="default" w:ascii="宋体" w:hAnsi="宋体" w:eastAsia="宋体" w:cs="宋体"/>
          <w:bCs w:val="0"/>
          <w:color w:val="000000" w:themeColor="text1"/>
          <w:kern w:val="0"/>
          <w:sz w:val="30"/>
          <w:szCs w:val="30"/>
          <w:lang w:val="en-US" w:eastAsia="zh-CN"/>
          <w14:textFill>
            <w14:solidFill>
              <w14:schemeClr w14:val="tx1"/>
            </w14:solidFill>
          </w14:textFill>
        </w:rPr>
      </w:pPr>
      <w:bookmarkStart w:id="650" w:name="_Toc9860"/>
      <w:bookmarkStart w:id="651" w:name="_Toc5996"/>
      <w:bookmarkStart w:id="652" w:name="_Toc463691046"/>
      <w:bookmarkStart w:id="653" w:name="_Toc76460602"/>
      <w:bookmarkStart w:id="654" w:name="_Toc10215"/>
      <w:bookmarkStart w:id="655" w:name="_Toc83750148"/>
      <w:bookmarkStart w:id="656" w:name="_Toc8583"/>
      <w:bookmarkStart w:id="657" w:name="_Toc489602189"/>
      <w:bookmarkStart w:id="658" w:name="_Toc18752"/>
      <w:r>
        <w:rPr>
          <w:rFonts w:hint="eastAsia" w:ascii="宋体" w:hAnsi="宋体" w:cs="宋体"/>
          <w:bCs w:val="0"/>
          <w:color w:val="000000" w:themeColor="text1"/>
          <w:kern w:val="0"/>
          <w:sz w:val="30"/>
          <w:szCs w:val="30"/>
          <w:lang w:val="en-US" w:eastAsia="zh-CN"/>
          <w14:textFill>
            <w14:solidFill>
              <w14:schemeClr w14:val="tx1"/>
            </w14:solidFill>
          </w14:textFill>
        </w:rPr>
        <w:t>详见图纸</w:t>
      </w:r>
    </w:p>
    <w:p w14:paraId="173D94E3">
      <w:pPr>
        <w:pStyle w:val="2"/>
        <w:wordWrap w:val="0"/>
        <w:spacing w:line="240" w:lineRule="auto"/>
        <w:jc w:val="center"/>
        <w:rPr>
          <w:rFonts w:ascii="宋体" w:hAnsi="宋体" w:cs="宋体"/>
          <w:bCs w:val="0"/>
          <w:color w:val="auto"/>
          <w:kern w:val="0"/>
          <w:sz w:val="30"/>
          <w:szCs w:val="30"/>
        </w:rPr>
      </w:pPr>
      <w:r>
        <w:rPr>
          <w:rFonts w:ascii="宋体" w:hAnsi="宋体" w:cs="宋体"/>
          <w:bCs w:val="0"/>
          <w:color w:val="auto"/>
          <w:kern w:val="0"/>
          <w:sz w:val="30"/>
          <w:szCs w:val="30"/>
        </w:rPr>
        <w:br w:type="page"/>
      </w:r>
      <w:bookmarkStart w:id="659" w:name="_Toc180485657"/>
      <w:r>
        <w:rPr>
          <w:rFonts w:hint="eastAsia" w:ascii="宋体" w:hAnsi="宋体" w:cs="宋体"/>
          <w:bCs w:val="0"/>
          <w:color w:val="auto"/>
          <w:kern w:val="0"/>
          <w:sz w:val="30"/>
          <w:szCs w:val="30"/>
        </w:rPr>
        <w:t>第</w:t>
      </w:r>
      <w:r>
        <w:rPr>
          <w:rFonts w:hint="eastAsia" w:ascii="宋体" w:hAnsi="宋体" w:cs="宋体"/>
          <w:bCs w:val="0"/>
          <w:color w:val="auto"/>
          <w:kern w:val="0"/>
          <w:sz w:val="30"/>
          <w:szCs w:val="30"/>
          <w:lang w:val="en-US" w:eastAsia="zh-CN"/>
        </w:rPr>
        <w:t>九</w:t>
      </w:r>
      <w:r>
        <w:rPr>
          <w:rFonts w:hint="eastAsia" w:ascii="宋体" w:hAnsi="宋体" w:cs="宋体"/>
          <w:bCs w:val="0"/>
          <w:color w:val="auto"/>
          <w:kern w:val="0"/>
          <w:sz w:val="30"/>
          <w:szCs w:val="30"/>
        </w:rPr>
        <w:t>章  投标文件格式</w:t>
      </w:r>
      <w:bookmarkEnd w:id="650"/>
      <w:bookmarkEnd w:id="651"/>
      <w:bookmarkEnd w:id="652"/>
      <w:bookmarkEnd w:id="653"/>
      <w:bookmarkEnd w:id="654"/>
      <w:bookmarkEnd w:id="655"/>
      <w:bookmarkEnd w:id="656"/>
      <w:bookmarkEnd w:id="657"/>
      <w:bookmarkEnd w:id="658"/>
      <w:bookmarkEnd w:id="659"/>
    </w:p>
    <w:p w14:paraId="7208112D">
      <w:pPr>
        <w:wordWrap w:val="0"/>
        <w:rPr>
          <w:rFonts w:ascii="宋体" w:hAnsi="宋体" w:cs="仿宋_GB2312"/>
          <w:b/>
          <w:color w:val="auto"/>
          <w:sz w:val="36"/>
          <w:szCs w:val="36"/>
          <w:u w:val="single"/>
        </w:rPr>
      </w:pPr>
    </w:p>
    <w:p w14:paraId="50A935BB">
      <w:pPr>
        <w:wordWrap w:val="0"/>
        <w:ind w:right="140"/>
        <w:jc w:val="right"/>
        <w:rPr>
          <w:rFonts w:ascii="宋体" w:hAnsi="宋体" w:cs="宋体"/>
          <w:b/>
          <w:color w:val="auto"/>
          <w:sz w:val="40"/>
          <w:szCs w:val="40"/>
        </w:rPr>
      </w:pPr>
    </w:p>
    <w:p w14:paraId="7262A381">
      <w:pPr>
        <w:wordWrap w:val="0"/>
        <w:spacing w:line="360" w:lineRule="auto"/>
        <w:ind w:firstLine="1612" w:firstLineChars="446"/>
        <w:rPr>
          <w:rFonts w:ascii="宋体" w:hAnsi="宋体"/>
          <w:b/>
          <w:color w:val="auto"/>
          <w:sz w:val="36"/>
          <w:szCs w:val="36"/>
        </w:rPr>
      </w:pPr>
      <w:r>
        <w:rPr>
          <w:rFonts w:hint="eastAsia" w:ascii="宋体" w:hAnsi="宋体"/>
          <w:b/>
          <w:color w:val="auto"/>
          <w:sz w:val="36"/>
          <w:szCs w:val="36"/>
          <w:u w:val="single"/>
        </w:rPr>
        <w:t xml:space="preserve">                       </w:t>
      </w:r>
      <w:r>
        <w:rPr>
          <w:rFonts w:hint="eastAsia" w:ascii="宋体" w:hAnsi="宋体"/>
          <w:b/>
          <w:color w:val="auto"/>
          <w:sz w:val="36"/>
          <w:szCs w:val="36"/>
        </w:rPr>
        <w:t>（项目名称）</w:t>
      </w:r>
    </w:p>
    <w:p w14:paraId="76CAAA83">
      <w:pPr>
        <w:wordWrap w:val="0"/>
        <w:spacing w:line="360" w:lineRule="auto"/>
        <w:rPr>
          <w:rFonts w:ascii="宋体" w:hAnsi="宋体"/>
          <w:b/>
          <w:color w:val="auto"/>
          <w:sz w:val="44"/>
        </w:rPr>
      </w:pPr>
    </w:p>
    <w:p w14:paraId="02E2D536">
      <w:pPr>
        <w:wordWrap w:val="0"/>
        <w:spacing w:line="276" w:lineRule="auto"/>
        <w:jc w:val="center"/>
        <w:rPr>
          <w:rFonts w:ascii="宋体" w:hAnsi="宋体"/>
          <w:color w:val="auto"/>
          <w:sz w:val="84"/>
          <w:szCs w:val="84"/>
        </w:rPr>
      </w:pPr>
      <w:r>
        <w:rPr>
          <w:rFonts w:hint="eastAsia" w:ascii="宋体" w:hAnsi="宋体"/>
          <w:color w:val="auto"/>
          <w:sz w:val="84"/>
          <w:szCs w:val="84"/>
        </w:rPr>
        <w:t>投</w:t>
      </w:r>
      <w:r>
        <w:rPr>
          <w:rFonts w:hint="eastAsia" w:ascii="宋体" w:hAnsi="宋体"/>
          <w:color w:val="auto"/>
          <w:sz w:val="84"/>
          <w:szCs w:val="84"/>
        </w:rPr>
        <w:tab/>
      </w:r>
      <w:r>
        <w:rPr>
          <w:rFonts w:hint="eastAsia" w:ascii="宋体" w:hAnsi="宋体"/>
          <w:color w:val="auto"/>
          <w:sz w:val="84"/>
          <w:szCs w:val="84"/>
        </w:rPr>
        <w:t>标</w:t>
      </w:r>
      <w:r>
        <w:rPr>
          <w:rFonts w:hint="eastAsia" w:ascii="宋体" w:hAnsi="宋体"/>
          <w:color w:val="auto"/>
          <w:sz w:val="84"/>
          <w:szCs w:val="84"/>
        </w:rPr>
        <w:tab/>
      </w:r>
      <w:r>
        <w:rPr>
          <w:rFonts w:hint="eastAsia" w:ascii="宋体" w:hAnsi="宋体"/>
          <w:color w:val="auto"/>
          <w:sz w:val="84"/>
          <w:szCs w:val="84"/>
        </w:rPr>
        <w:t>文</w:t>
      </w:r>
      <w:r>
        <w:rPr>
          <w:rFonts w:hint="eastAsia" w:ascii="宋体" w:hAnsi="宋体"/>
          <w:color w:val="auto"/>
          <w:sz w:val="84"/>
          <w:szCs w:val="84"/>
        </w:rPr>
        <w:tab/>
      </w:r>
      <w:r>
        <w:rPr>
          <w:rFonts w:hint="eastAsia" w:ascii="宋体" w:hAnsi="宋体"/>
          <w:color w:val="auto"/>
          <w:sz w:val="84"/>
          <w:szCs w:val="84"/>
        </w:rPr>
        <w:t>件</w:t>
      </w:r>
    </w:p>
    <w:p w14:paraId="5A470289">
      <w:pPr>
        <w:wordWrap w:val="0"/>
        <w:spacing w:line="360" w:lineRule="auto"/>
        <w:ind w:firstLine="2244" w:firstLineChars="745"/>
        <w:rPr>
          <w:rFonts w:ascii="宋体" w:hAnsi="宋体"/>
          <w:b/>
          <w:color w:val="auto"/>
          <w:sz w:val="30"/>
          <w:szCs w:val="30"/>
        </w:rPr>
      </w:pPr>
      <w:r>
        <w:rPr>
          <w:rFonts w:hint="eastAsia" w:ascii="宋体" w:hAnsi="宋体"/>
          <w:b/>
          <w:color w:val="auto"/>
          <w:sz w:val="30"/>
          <w:szCs w:val="30"/>
        </w:rPr>
        <w:t>项目编号：</w:t>
      </w:r>
    </w:p>
    <w:p w14:paraId="0F7B6C3D">
      <w:pPr>
        <w:pStyle w:val="2"/>
        <w:wordWrap w:val="0"/>
        <w:spacing w:line="240" w:lineRule="auto"/>
        <w:jc w:val="center"/>
        <w:rPr>
          <w:rFonts w:hint="eastAsia" w:ascii="宋体" w:hAnsi="宋体" w:cs="宋体"/>
          <w:bCs w:val="0"/>
          <w:color w:val="auto"/>
          <w:kern w:val="0"/>
          <w:sz w:val="32"/>
          <w:szCs w:val="32"/>
        </w:rPr>
      </w:pPr>
      <w:bookmarkStart w:id="660" w:name="_Toc180485658"/>
    </w:p>
    <w:p w14:paraId="501196B3">
      <w:pPr>
        <w:pStyle w:val="2"/>
        <w:wordWrap w:val="0"/>
        <w:spacing w:line="240" w:lineRule="auto"/>
        <w:jc w:val="center"/>
        <w:rPr>
          <w:rFonts w:hint="eastAsia" w:ascii="宋体" w:hAnsi="宋体" w:cs="宋体"/>
          <w:bCs w:val="0"/>
          <w:color w:val="auto"/>
          <w:kern w:val="0"/>
          <w:sz w:val="32"/>
          <w:szCs w:val="32"/>
        </w:rPr>
      </w:pPr>
      <w:r>
        <w:rPr>
          <w:rFonts w:hint="eastAsia" w:ascii="宋体" w:hAnsi="宋体" w:cs="宋体"/>
          <w:bCs w:val="0"/>
          <w:color w:val="auto"/>
          <w:kern w:val="0"/>
          <w:sz w:val="32"/>
          <w:szCs w:val="32"/>
        </w:rPr>
        <w:t>商务、技术文件（第一信封）</w:t>
      </w:r>
      <w:bookmarkEnd w:id="660"/>
    </w:p>
    <w:p w14:paraId="0BB5DBBC">
      <w:pPr>
        <w:wordWrap w:val="0"/>
        <w:spacing w:line="360" w:lineRule="auto"/>
        <w:ind w:firstLine="480" w:firstLineChars="200"/>
        <w:rPr>
          <w:rFonts w:ascii="宋体" w:hAnsi="宋体"/>
          <w:color w:val="auto"/>
          <w:sz w:val="24"/>
        </w:rPr>
      </w:pPr>
    </w:p>
    <w:p w14:paraId="6F9AAF4F">
      <w:pPr>
        <w:wordWrap w:val="0"/>
        <w:spacing w:line="360" w:lineRule="auto"/>
        <w:ind w:firstLine="480" w:firstLineChars="200"/>
        <w:rPr>
          <w:rFonts w:ascii="宋体" w:hAnsi="宋体"/>
          <w:color w:val="auto"/>
          <w:sz w:val="24"/>
        </w:rPr>
      </w:pPr>
    </w:p>
    <w:p w14:paraId="1B726993">
      <w:pPr>
        <w:wordWrap w:val="0"/>
        <w:spacing w:line="360" w:lineRule="auto"/>
        <w:ind w:firstLine="480" w:firstLineChars="200"/>
        <w:rPr>
          <w:rFonts w:ascii="宋体" w:hAnsi="宋体"/>
          <w:color w:val="auto"/>
          <w:sz w:val="24"/>
        </w:rPr>
      </w:pPr>
    </w:p>
    <w:p w14:paraId="475CEC7C">
      <w:pPr>
        <w:wordWrap w:val="0"/>
        <w:spacing w:line="360" w:lineRule="auto"/>
        <w:ind w:firstLine="480" w:firstLineChars="200"/>
        <w:rPr>
          <w:rFonts w:ascii="宋体" w:hAnsi="宋体"/>
          <w:color w:val="auto"/>
          <w:sz w:val="24"/>
        </w:rPr>
      </w:pPr>
    </w:p>
    <w:p w14:paraId="3F70E19A">
      <w:pPr>
        <w:wordWrap w:val="0"/>
        <w:spacing w:line="360" w:lineRule="auto"/>
        <w:ind w:firstLine="480" w:firstLineChars="200"/>
        <w:rPr>
          <w:rFonts w:ascii="宋体" w:hAnsi="宋体"/>
          <w:color w:val="auto"/>
          <w:sz w:val="24"/>
        </w:rPr>
      </w:pPr>
    </w:p>
    <w:p w14:paraId="22160D28">
      <w:pPr>
        <w:wordWrap w:val="0"/>
        <w:spacing w:line="360" w:lineRule="auto"/>
        <w:ind w:firstLine="480" w:firstLineChars="200"/>
        <w:rPr>
          <w:rFonts w:ascii="宋体" w:hAnsi="宋体"/>
          <w:color w:val="auto"/>
          <w:sz w:val="24"/>
        </w:rPr>
      </w:pPr>
    </w:p>
    <w:p w14:paraId="5147910B">
      <w:pPr>
        <w:wordWrap w:val="0"/>
        <w:spacing w:line="360" w:lineRule="auto"/>
        <w:ind w:firstLine="480" w:firstLineChars="200"/>
        <w:rPr>
          <w:rFonts w:ascii="宋体" w:hAnsi="宋体"/>
          <w:color w:val="auto"/>
          <w:sz w:val="24"/>
        </w:rPr>
      </w:pPr>
    </w:p>
    <w:p w14:paraId="31730460">
      <w:pPr>
        <w:wordWrap w:val="0"/>
        <w:spacing w:line="360" w:lineRule="auto"/>
        <w:ind w:firstLine="480" w:firstLineChars="200"/>
        <w:rPr>
          <w:rFonts w:ascii="宋体" w:hAnsi="宋体"/>
          <w:color w:val="auto"/>
          <w:sz w:val="24"/>
        </w:rPr>
      </w:pPr>
    </w:p>
    <w:p w14:paraId="7907425B">
      <w:pPr>
        <w:wordWrap w:val="0"/>
        <w:spacing w:line="360" w:lineRule="auto"/>
        <w:ind w:firstLine="1054" w:firstLineChars="350"/>
        <w:rPr>
          <w:rFonts w:ascii="宋体" w:hAnsi="宋体"/>
          <w:b/>
          <w:color w:val="auto"/>
          <w:sz w:val="30"/>
        </w:rPr>
      </w:pPr>
      <w:r>
        <w:rPr>
          <w:rFonts w:hint="eastAsia" w:ascii="宋体" w:hAnsi="宋体"/>
          <w:b/>
          <w:color w:val="auto"/>
          <w:sz w:val="30"/>
        </w:rPr>
        <w:t>投标人：</w:t>
      </w:r>
      <w:r>
        <w:rPr>
          <w:rFonts w:hint="eastAsia" w:ascii="宋体" w:hAnsi="宋体"/>
          <w:b/>
          <w:color w:val="auto"/>
          <w:sz w:val="30"/>
          <w:u w:val="single"/>
        </w:rPr>
        <w:t xml:space="preserve">                   </w:t>
      </w:r>
      <w:r>
        <w:rPr>
          <w:rFonts w:hint="eastAsia" w:ascii="宋体" w:hAnsi="宋体"/>
          <w:b/>
          <w:color w:val="auto"/>
          <w:sz w:val="30"/>
        </w:rPr>
        <w:t>（单位电子签章）</w:t>
      </w:r>
    </w:p>
    <w:p w14:paraId="03B80F56">
      <w:pPr>
        <w:wordWrap w:val="0"/>
        <w:spacing w:line="360" w:lineRule="auto"/>
        <w:ind w:firstLine="1054" w:firstLineChars="350"/>
        <w:rPr>
          <w:rFonts w:ascii="宋体" w:hAnsi="宋体"/>
          <w:b/>
          <w:color w:val="auto"/>
          <w:sz w:val="30"/>
        </w:rPr>
      </w:pPr>
      <w:r>
        <w:rPr>
          <w:rFonts w:hint="eastAsia" w:ascii="宋体" w:hAnsi="宋体"/>
          <w:b/>
          <w:color w:val="auto"/>
          <w:sz w:val="30"/>
        </w:rPr>
        <w:t>法定代表人：</w:t>
      </w:r>
      <w:r>
        <w:rPr>
          <w:rFonts w:hint="eastAsia" w:ascii="宋体" w:hAnsi="宋体"/>
          <w:b/>
          <w:color w:val="auto"/>
          <w:sz w:val="30"/>
          <w:u w:val="single"/>
        </w:rPr>
        <w:t xml:space="preserve">               </w:t>
      </w:r>
      <w:r>
        <w:rPr>
          <w:rFonts w:hint="eastAsia" w:ascii="宋体" w:hAnsi="宋体"/>
          <w:b/>
          <w:color w:val="auto"/>
          <w:sz w:val="30"/>
        </w:rPr>
        <w:t>（法人电子签章）</w:t>
      </w:r>
    </w:p>
    <w:p w14:paraId="4A31032B">
      <w:pPr>
        <w:wordWrap w:val="0"/>
        <w:spacing w:line="360" w:lineRule="auto"/>
        <w:ind w:firstLine="1054" w:firstLineChars="350"/>
        <w:rPr>
          <w:rFonts w:ascii="宋体" w:hAnsi="宋体"/>
          <w:b/>
          <w:color w:val="auto"/>
          <w:sz w:val="30"/>
        </w:rPr>
      </w:pPr>
      <w:r>
        <w:rPr>
          <w:rFonts w:hint="eastAsia" w:ascii="宋体" w:hAnsi="宋体"/>
          <w:b/>
          <w:color w:val="auto"/>
          <w:sz w:val="30"/>
        </w:rPr>
        <w:t>日期：</w:t>
      </w:r>
      <w:r>
        <w:rPr>
          <w:rFonts w:hint="eastAsia" w:ascii="宋体" w:hAnsi="宋体"/>
          <w:b/>
          <w:color w:val="auto"/>
          <w:sz w:val="30"/>
          <w:u w:val="single"/>
        </w:rPr>
        <w:t xml:space="preserve"> </w:t>
      </w:r>
      <w:r>
        <w:rPr>
          <w:rFonts w:hint="eastAsia" w:ascii="宋体" w:hAnsi="宋体"/>
          <w:b/>
          <w:color w:val="auto"/>
          <w:sz w:val="30"/>
          <w:u w:val="single"/>
        </w:rPr>
        <w:tab/>
      </w:r>
      <w:r>
        <w:rPr>
          <w:rFonts w:hint="eastAsia" w:ascii="宋体" w:hAnsi="宋体"/>
          <w:b/>
          <w:color w:val="auto"/>
          <w:sz w:val="30"/>
          <w:u w:val="single"/>
        </w:rPr>
        <w:t xml:space="preserve">     </w:t>
      </w:r>
      <w:r>
        <w:rPr>
          <w:rFonts w:hint="eastAsia" w:ascii="宋体" w:hAnsi="宋体"/>
          <w:b/>
          <w:color w:val="auto"/>
          <w:sz w:val="30"/>
        </w:rPr>
        <w:t>年</w:t>
      </w:r>
      <w:r>
        <w:rPr>
          <w:rFonts w:hint="eastAsia" w:ascii="宋体" w:hAnsi="宋体"/>
          <w:b/>
          <w:color w:val="auto"/>
          <w:sz w:val="30"/>
          <w:u w:val="single"/>
        </w:rPr>
        <w:t xml:space="preserve">      </w:t>
      </w:r>
      <w:r>
        <w:rPr>
          <w:rFonts w:hint="eastAsia" w:ascii="宋体" w:hAnsi="宋体"/>
          <w:b/>
          <w:color w:val="auto"/>
          <w:sz w:val="30"/>
        </w:rPr>
        <w:t>月</w:t>
      </w:r>
      <w:r>
        <w:rPr>
          <w:rFonts w:hint="eastAsia" w:ascii="宋体" w:hAnsi="宋体"/>
          <w:b/>
          <w:color w:val="auto"/>
          <w:sz w:val="30"/>
          <w:u w:val="single"/>
        </w:rPr>
        <w:t xml:space="preserve">     </w:t>
      </w:r>
      <w:r>
        <w:rPr>
          <w:rFonts w:hint="eastAsia" w:ascii="宋体" w:hAnsi="宋体"/>
          <w:b/>
          <w:color w:val="auto"/>
          <w:sz w:val="30"/>
        </w:rPr>
        <w:t>日</w:t>
      </w:r>
    </w:p>
    <w:p w14:paraId="69422F2F">
      <w:pPr>
        <w:wordWrap w:val="0"/>
        <w:jc w:val="center"/>
        <w:rPr>
          <w:rFonts w:hint="eastAsia" w:ascii="宋体" w:hAnsi="宋体" w:cs="宋体"/>
          <w:b/>
          <w:color w:val="auto"/>
          <w:sz w:val="44"/>
          <w:szCs w:val="44"/>
        </w:rPr>
      </w:pPr>
    </w:p>
    <w:p w14:paraId="7D5630B3">
      <w:pPr>
        <w:wordWrap w:val="0"/>
        <w:jc w:val="center"/>
        <w:rPr>
          <w:rFonts w:hint="eastAsia" w:ascii="宋体" w:hAnsi="宋体" w:cs="宋体"/>
          <w:b/>
          <w:color w:val="auto"/>
          <w:sz w:val="44"/>
          <w:szCs w:val="44"/>
        </w:rPr>
      </w:pPr>
    </w:p>
    <w:p w14:paraId="1FA41316">
      <w:pPr>
        <w:wordWrap w:val="0"/>
        <w:jc w:val="center"/>
        <w:rPr>
          <w:rFonts w:ascii="宋体" w:hAnsi="宋体" w:cs="宋体"/>
          <w:b/>
          <w:color w:val="auto"/>
          <w:sz w:val="44"/>
          <w:szCs w:val="44"/>
        </w:rPr>
      </w:pPr>
      <w:r>
        <w:rPr>
          <w:rFonts w:hint="eastAsia" w:ascii="宋体" w:hAnsi="宋体" w:cs="宋体"/>
          <w:b/>
          <w:color w:val="auto"/>
          <w:sz w:val="44"/>
          <w:szCs w:val="44"/>
        </w:rPr>
        <w:t>目   录</w:t>
      </w:r>
    </w:p>
    <w:p w14:paraId="223D2871">
      <w:pPr>
        <w:wordWrap w:val="0"/>
        <w:spacing w:line="360" w:lineRule="auto"/>
        <w:ind w:firstLine="560" w:firstLineChars="200"/>
        <w:rPr>
          <w:rFonts w:ascii="宋体" w:hAnsi="宋体" w:cs="仿宋_GB2312"/>
          <w:color w:val="auto"/>
          <w:sz w:val="28"/>
          <w:szCs w:val="28"/>
        </w:rPr>
      </w:pPr>
    </w:p>
    <w:p w14:paraId="5813DA4D">
      <w:pPr>
        <w:wordWrap w:val="0"/>
        <w:rPr>
          <w:rFonts w:ascii="宋体" w:hAnsi="宋体" w:cs="仿宋_GB2312"/>
          <w:color w:val="auto"/>
          <w:sz w:val="28"/>
          <w:szCs w:val="28"/>
        </w:rPr>
      </w:pPr>
    </w:p>
    <w:p w14:paraId="72DBB751">
      <w:pPr>
        <w:wordWrap w:val="0"/>
        <w:spacing w:line="360" w:lineRule="auto"/>
        <w:rPr>
          <w:rFonts w:ascii="宋体" w:hAnsi="宋体"/>
          <w:color w:val="auto"/>
          <w:sz w:val="28"/>
          <w:szCs w:val="28"/>
        </w:rPr>
      </w:pPr>
      <w:r>
        <w:rPr>
          <w:rFonts w:hint="eastAsia" w:ascii="宋体" w:hAnsi="宋体"/>
          <w:color w:val="auto"/>
          <w:sz w:val="28"/>
          <w:szCs w:val="28"/>
        </w:rPr>
        <w:t>一、投标函及投标函附录</w:t>
      </w:r>
    </w:p>
    <w:p w14:paraId="7405F719">
      <w:pPr>
        <w:wordWrap w:val="0"/>
        <w:spacing w:line="360" w:lineRule="auto"/>
        <w:rPr>
          <w:rFonts w:ascii="宋体" w:hAnsi="宋体"/>
          <w:color w:val="auto"/>
          <w:sz w:val="28"/>
          <w:szCs w:val="28"/>
        </w:rPr>
      </w:pPr>
      <w:bookmarkStart w:id="661" w:name="_Toc2393"/>
      <w:bookmarkStart w:id="662" w:name="_Toc14905"/>
      <w:r>
        <w:rPr>
          <w:rFonts w:hint="eastAsia" w:ascii="宋体" w:hAnsi="宋体"/>
          <w:color w:val="auto"/>
          <w:sz w:val="28"/>
          <w:szCs w:val="28"/>
        </w:rPr>
        <w:t>二、法定代表人身份证明及授权委托书</w:t>
      </w:r>
      <w:bookmarkEnd w:id="661"/>
      <w:bookmarkEnd w:id="662"/>
    </w:p>
    <w:p w14:paraId="095D4016">
      <w:pPr>
        <w:wordWrap w:val="0"/>
        <w:spacing w:line="360" w:lineRule="auto"/>
        <w:rPr>
          <w:rFonts w:ascii="宋体" w:hAnsi="宋体"/>
          <w:color w:val="auto"/>
          <w:sz w:val="28"/>
          <w:szCs w:val="28"/>
        </w:rPr>
      </w:pPr>
      <w:bookmarkStart w:id="663" w:name="_Toc25594"/>
      <w:bookmarkStart w:id="664" w:name="_Toc28971"/>
      <w:r>
        <w:rPr>
          <w:rFonts w:hint="eastAsia" w:ascii="宋体" w:hAnsi="宋体"/>
          <w:color w:val="auto"/>
          <w:sz w:val="28"/>
          <w:szCs w:val="28"/>
        </w:rPr>
        <w:t>三、投标保证金</w:t>
      </w:r>
      <w:bookmarkEnd w:id="663"/>
      <w:bookmarkEnd w:id="664"/>
    </w:p>
    <w:p w14:paraId="4AD6013E">
      <w:pPr>
        <w:wordWrap w:val="0"/>
        <w:spacing w:line="360" w:lineRule="auto"/>
        <w:rPr>
          <w:rFonts w:ascii="宋体" w:hAnsi="宋体"/>
          <w:color w:val="auto"/>
          <w:sz w:val="28"/>
          <w:szCs w:val="28"/>
        </w:rPr>
      </w:pPr>
      <w:bookmarkStart w:id="665" w:name="_Toc8642"/>
      <w:bookmarkStart w:id="666" w:name="_Toc24804"/>
      <w:r>
        <w:rPr>
          <w:rFonts w:hint="eastAsia" w:ascii="宋体" w:hAnsi="宋体"/>
          <w:color w:val="auto"/>
          <w:sz w:val="28"/>
          <w:szCs w:val="28"/>
        </w:rPr>
        <w:t>四、施工组织设计</w:t>
      </w:r>
      <w:bookmarkEnd w:id="665"/>
      <w:bookmarkEnd w:id="666"/>
    </w:p>
    <w:p w14:paraId="01306FCA">
      <w:pPr>
        <w:wordWrap w:val="0"/>
        <w:spacing w:line="360" w:lineRule="auto"/>
        <w:rPr>
          <w:rFonts w:ascii="宋体" w:hAnsi="宋体"/>
          <w:color w:val="auto"/>
          <w:sz w:val="28"/>
          <w:szCs w:val="28"/>
        </w:rPr>
      </w:pPr>
      <w:bookmarkStart w:id="667" w:name="_Toc8940"/>
      <w:bookmarkStart w:id="668" w:name="_Toc30320"/>
      <w:r>
        <w:rPr>
          <w:rFonts w:hint="eastAsia" w:ascii="宋体" w:hAnsi="宋体"/>
          <w:color w:val="auto"/>
          <w:sz w:val="28"/>
          <w:szCs w:val="28"/>
        </w:rPr>
        <w:t>五、项目管理机构</w:t>
      </w:r>
      <w:bookmarkEnd w:id="667"/>
      <w:bookmarkEnd w:id="668"/>
    </w:p>
    <w:p w14:paraId="5F26523D">
      <w:pPr>
        <w:wordWrap w:val="0"/>
        <w:spacing w:line="360" w:lineRule="auto"/>
        <w:rPr>
          <w:rFonts w:ascii="宋体" w:hAnsi="宋体"/>
          <w:color w:val="auto"/>
          <w:sz w:val="28"/>
          <w:szCs w:val="28"/>
        </w:rPr>
      </w:pPr>
      <w:bookmarkStart w:id="669" w:name="_Toc14560"/>
      <w:bookmarkStart w:id="670" w:name="_Toc27920"/>
      <w:r>
        <w:rPr>
          <w:rFonts w:hint="eastAsia" w:ascii="宋体" w:hAnsi="宋体"/>
          <w:color w:val="auto"/>
          <w:sz w:val="28"/>
          <w:szCs w:val="28"/>
        </w:rPr>
        <w:t>六、</w:t>
      </w:r>
      <w:bookmarkEnd w:id="669"/>
      <w:bookmarkEnd w:id="670"/>
      <w:r>
        <w:rPr>
          <w:rFonts w:hint="eastAsia" w:ascii="宋体" w:hAnsi="宋体"/>
          <w:color w:val="auto"/>
          <w:sz w:val="28"/>
          <w:szCs w:val="28"/>
        </w:rPr>
        <w:t>资格审查等资料</w:t>
      </w:r>
    </w:p>
    <w:p w14:paraId="633E9FFA">
      <w:pPr>
        <w:wordWrap w:val="0"/>
        <w:spacing w:line="360" w:lineRule="auto"/>
        <w:rPr>
          <w:rFonts w:hint="eastAsia" w:ascii="宋体" w:hAnsi="宋体"/>
          <w:color w:val="auto"/>
          <w:sz w:val="28"/>
          <w:szCs w:val="28"/>
        </w:rPr>
      </w:pPr>
      <w:bookmarkStart w:id="671" w:name="_Toc12420"/>
      <w:bookmarkStart w:id="672" w:name="_Toc21097"/>
      <w:r>
        <w:rPr>
          <w:rFonts w:hint="eastAsia" w:ascii="宋体" w:hAnsi="宋体"/>
          <w:color w:val="auto"/>
          <w:sz w:val="28"/>
          <w:szCs w:val="28"/>
        </w:rPr>
        <w:t>七、履职尽责承诺及服务承诺</w:t>
      </w:r>
    </w:p>
    <w:p w14:paraId="6BCBF6D0">
      <w:pPr>
        <w:wordWrap w:val="0"/>
        <w:spacing w:line="360" w:lineRule="auto"/>
        <w:rPr>
          <w:rFonts w:ascii="宋体" w:hAnsi="宋体"/>
          <w:color w:val="auto"/>
          <w:sz w:val="28"/>
          <w:szCs w:val="28"/>
        </w:rPr>
      </w:pPr>
      <w:r>
        <w:rPr>
          <w:rFonts w:hint="eastAsia" w:ascii="宋体" w:hAnsi="宋体"/>
          <w:color w:val="auto"/>
          <w:sz w:val="28"/>
          <w:szCs w:val="28"/>
        </w:rPr>
        <w:t>八、</w:t>
      </w:r>
      <w:bookmarkEnd w:id="671"/>
      <w:bookmarkEnd w:id="672"/>
      <w:r>
        <w:rPr>
          <w:rFonts w:hint="eastAsia" w:ascii="宋体" w:hAnsi="宋体"/>
          <w:color w:val="auto"/>
          <w:sz w:val="28"/>
          <w:szCs w:val="28"/>
        </w:rPr>
        <w:t>不拖欠农民工工资承诺</w:t>
      </w:r>
    </w:p>
    <w:p w14:paraId="54B662D5">
      <w:pPr>
        <w:wordWrap w:val="0"/>
        <w:spacing w:line="360" w:lineRule="auto"/>
        <w:rPr>
          <w:rFonts w:ascii="宋体" w:hAnsi="宋体"/>
          <w:color w:val="auto"/>
          <w:sz w:val="28"/>
          <w:szCs w:val="28"/>
        </w:rPr>
      </w:pPr>
      <w:bookmarkStart w:id="673" w:name="_Toc4350"/>
      <w:bookmarkStart w:id="674" w:name="_Toc29742"/>
      <w:r>
        <w:rPr>
          <w:rFonts w:hint="eastAsia" w:ascii="宋体" w:hAnsi="宋体"/>
          <w:color w:val="auto"/>
          <w:sz w:val="28"/>
          <w:szCs w:val="28"/>
        </w:rPr>
        <w:t>九、</w:t>
      </w:r>
      <w:bookmarkEnd w:id="673"/>
      <w:bookmarkEnd w:id="674"/>
      <w:r>
        <w:rPr>
          <w:rFonts w:hint="eastAsia" w:ascii="宋体" w:hAnsi="宋体"/>
          <w:color w:val="auto"/>
          <w:sz w:val="28"/>
          <w:szCs w:val="28"/>
        </w:rPr>
        <w:t>其他资料</w:t>
      </w:r>
    </w:p>
    <w:p w14:paraId="222B25EF">
      <w:pPr>
        <w:wordWrap w:val="0"/>
        <w:spacing w:line="360" w:lineRule="auto"/>
        <w:rPr>
          <w:rFonts w:ascii="宋体" w:hAnsi="宋体"/>
          <w:color w:val="auto"/>
          <w:sz w:val="28"/>
          <w:szCs w:val="28"/>
        </w:rPr>
      </w:pPr>
    </w:p>
    <w:p w14:paraId="16453881">
      <w:pPr>
        <w:wordWrap w:val="0"/>
        <w:rPr>
          <w:rFonts w:ascii="宋体" w:hAnsi="宋体" w:cs="仿宋_GB2312"/>
          <w:color w:val="auto"/>
          <w:sz w:val="28"/>
          <w:szCs w:val="28"/>
        </w:rPr>
      </w:pPr>
    </w:p>
    <w:p w14:paraId="1C742905">
      <w:pPr>
        <w:wordWrap w:val="0"/>
        <w:rPr>
          <w:rFonts w:ascii="宋体" w:hAnsi="宋体" w:cs="仿宋_GB2312"/>
          <w:color w:val="auto"/>
          <w:sz w:val="28"/>
          <w:szCs w:val="28"/>
        </w:rPr>
      </w:pPr>
    </w:p>
    <w:p w14:paraId="7C4F5A9A">
      <w:pPr>
        <w:wordWrap w:val="0"/>
        <w:rPr>
          <w:rFonts w:ascii="宋体" w:hAnsi="宋体" w:cs="仿宋_GB2312"/>
          <w:color w:val="auto"/>
          <w:sz w:val="28"/>
          <w:szCs w:val="28"/>
        </w:rPr>
      </w:pPr>
    </w:p>
    <w:p w14:paraId="2E4E2D10">
      <w:pPr>
        <w:wordWrap w:val="0"/>
        <w:rPr>
          <w:rFonts w:ascii="宋体" w:hAnsi="宋体" w:cs="仿宋_GB2312"/>
          <w:color w:val="auto"/>
          <w:sz w:val="28"/>
          <w:szCs w:val="28"/>
        </w:rPr>
      </w:pPr>
    </w:p>
    <w:p w14:paraId="0A07C4F3">
      <w:pPr>
        <w:wordWrap w:val="0"/>
        <w:rPr>
          <w:rFonts w:ascii="宋体" w:hAnsi="宋体" w:cs="仿宋_GB2312"/>
          <w:color w:val="auto"/>
          <w:sz w:val="28"/>
          <w:szCs w:val="28"/>
        </w:rPr>
      </w:pPr>
    </w:p>
    <w:p w14:paraId="1B82132E">
      <w:pPr>
        <w:wordWrap w:val="0"/>
        <w:rPr>
          <w:rFonts w:ascii="宋体" w:hAnsi="宋体" w:cs="仿宋_GB2312"/>
          <w:color w:val="auto"/>
          <w:sz w:val="28"/>
          <w:szCs w:val="28"/>
        </w:rPr>
      </w:pPr>
    </w:p>
    <w:p w14:paraId="1774990C">
      <w:pPr>
        <w:wordWrap w:val="0"/>
        <w:rPr>
          <w:rFonts w:ascii="宋体" w:hAnsi="宋体" w:cs="仿宋_GB2312"/>
          <w:color w:val="auto"/>
          <w:sz w:val="36"/>
          <w:szCs w:val="36"/>
        </w:rPr>
      </w:pPr>
    </w:p>
    <w:p w14:paraId="79B4662F">
      <w:pPr>
        <w:wordWrap w:val="0"/>
        <w:rPr>
          <w:rFonts w:ascii="宋体" w:hAnsi="宋体" w:cs="仿宋_GB2312"/>
          <w:color w:val="auto"/>
          <w:sz w:val="36"/>
          <w:szCs w:val="36"/>
        </w:rPr>
      </w:pPr>
    </w:p>
    <w:p w14:paraId="06152E3B">
      <w:pPr>
        <w:wordWrap w:val="0"/>
        <w:rPr>
          <w:rFonts w:ascii="宋体" w:hAnsi="宋体" w:cs="仿宋_GB2312"/>
          <w:color w:val="auto"/>
          <w:sz w:val="36"/>
          <w:szCs w:val="36"/>
        </w:rPr>
      </w:pPr>
    </w:p>
    <w:p w14:paraId="68442EA9">
      <w:pPr>
        <w:wordWrap w:val="0"/>
        <w:spacing w:line="360" w:lineRule="auto"/>
        <w:ind w:left="720"/>
        <w:jc w:val="center"/>
        <w:outlineLvl w:val="1"/>
        <w:rPr>
          <w:rFonts w:ascii="宋体" w:hAnsi="宋体" w:cs="宋体"/>
          <w:b/>
          <w:color w:val="auto"/>
          <w:sz w:val="24"/>
        </w:rPr>
      </w:pPr>
      <w:bookmarkStart w:id="675" w:name="_Toc19254"/>
      <w:bookmarkStart w:id="676" w:name="_Toc9843"/>
      <w:bookmarkStart w:id="677" w:name="_Toc463691047"/>
      <w:r>
        <w:rPr>
          <w:rFonts w:hint="eastAsia" w:ascii="宋体" w:hAnsi="宋体" w:cs="宋体"/>
          <w:color w:val="auto"/>
          <w:sz w:val="36"/>
          <w:szCs w:val="36"/>
        </w:rPr>
        <w:br w:type="page"/>
      </w:r>
      <w:bookmarkStart w:id="678" w:name="_Toc21105"/>
      <w:bookmarkStart w:id="679" w:name="_Toc489602190"/>
      <w:bookmarkStart w:id="680" w:name="_Toc13269"/>
      <w:bookmarkStart w:id="681" w:name="_Toc9578"/>
      <w:bookmarkStart w:id="682" w:name="_Toc76460603"/>
      <w:bookmarkStart w:id="683" w:name="_Toc83750149"/>
      <w:bookmarkStart w:id="684" w:name="_Toc180485659"/>
      <w:r>
        <w:rPr>
          <w:rFonts w:hint="eastAsia" w:ascii="宋体" w:hAnsi="宋体" w:cs="宋体"/>
          <w:color w:val="auto"/>
          <w:sz w:val="24"/>
        </w:rPr>
        <w:t>一、</w:t>
      </w:r>
      <w:r>
        <w:rPr>
          <w:rFonts w:hint="eastAsia" w:ascii="宋体" w:hAnsi="宋体" w:cs="宋体"/>
          <w:b/>
          <w:color w:val="auto"/>
          <w:sz w:val="24"/>
        </w:rPr>
        <w:t>投标函及投标</w:t>
      </w:r>
      <w:bookmarkEnd w:id="675"/>
      <w:bookmarkEnd w:id="676"/>
      <w:bookmarkEnd w:id="677"/>
      <w:bookmarkEnd w:id="678"/>
      <w:bookmarkEnd w:id="679"/>
      <w:bookmarkEnd w:id="680"/>
      <w:bookmarkEnd w:id="681"/>
      <w:r>
        <w:rPr>
          <w:rFonts w:hint="eastAsia" w:ascii="宋体" w:hAnsi="宋体" w:cs="宋体"/>
          <w:b/>
          <w:color w:val="auto"/>
          <w:sz w:val="24"/>
        </w:rPr>
        <w:t>函附录</w:t>
      </w:r>
      <w:bookmarkEnd w:id="682"/>
      <w:bookmarkEnd w:id="683"/>
      <w:bookmarkEnd w:id="684"/>
    </w:p>
    <w:p w14:paraId="3902256F">
      <w:pPr>
        <w:wordWrap w:val="0"/>
        <w:jc w:val="center"/>
        <w:rPr>
          <w:b/>
          <w:color w:val="auto"/>
          <w:sz w:val="24"/>
        </w:rPr>
      </w:pPr>
      <w:bookmarkStart w:id="685" w:name="_Toc2381"/>
      <w:bookmarkStart w:id="686" w:name="_Toc463691048"/>
      <w:bookmarkStart w:id="687" w:name="_Toc489602191"/>
      <w:bookmarkStart w:id="688" w:name="_Toc9658"/>
      <w:bookmarkStart w:id="689" w:name="_Toc11251"/>
      <w:bookmarkStart w:id="690" w:name="_Toc2523"/>
      <w:bookmarkStart w:id="691" w:name="_Toc19725"/>
      <w:r>
        <w:rPr>
          <w:rFonts w:hint="eastAsia"/>
          <w:b/>
          <w:color w:val="auto"/>
          <w:sz w:val="24"/>
        </w:rPr>
        <w:t>（一）投标函</w:t>
      </w:r>
      <w:bookmarkEnd w:id="685"/>
      <w:bookmarkEnd w:id="686"/>
      <w:bookmarkEnd w:id="687"/>
      <w:bookmarkEnd w:id="688"/>
      <w:bookmarkEnd w:id="689"/>
      <w:bookmarkEnd w:id="690"/>
      <w:bookmarkEnd w:id="691"/>
    </w:p>
    <w:p w14:paraId="2BEB25AC">
      <w:pPr>
        <w:wordWrap w:val="0"/>
        <w:spacing w:line="360" w:lineRule="auto"/>
        <w:rPr>
          <w:rFonts w:ascii="宋体" w:hAnsi="宋体" w:cs="宋体"/>
          <w:color w:val="auto"/>
          <w:sz w:val="24"/>
        </w:rPr>
      </w:pPr>
      <w:r>
        <w:rPr>
          <w:rFonts w:hint="eastAsia" w:ascii="宋体" w:hAnsi="宋体" w:cs="宋体"/>
          <w:color w:val="auto"/>
          <w:sz w:val="24"/>
          <w:u w:val="none"/>
          <w:lang w:val="en-US" w:eastAsia="zh-CN"/>
        </w:rPr>
        <w:t>致</w:t>
      </w:r>
      <w:r>
        <w:rPr>
          <w:rFonts w:hint="eastAsia" w:ascii="宋体" w:hAnsi="宋体" w:cs="宋体"/>
          <w:color w:val="auto"/>
          <w:sz w:val="24"/>
          <w:u w:val="none"/>
        </w:rPr>
        <w:t xml:space="preserve"> </w:t>
      </w:r>
      <w:r>
        <w:rPr>
          <w:rFonts w:hint="eastAsia" w:ascii="宋体" w:hAnsi="宋体" w:cs="宋体"/>
          <w:color w:val="auto"/>
          <w:sz w:val="24"/>
          <w:u w:val="single"/>
        </w:rPr>
        <w:t xml:space="preserve">                 </w:t>
      </w:r>
      <w:r>
        <w:rPr>
          <w:rFonts w:hint="eastAsia" w:ascii="宋体" w:hAnsi="宋体" w:cs="宋体"/>
          <w:color w:val="auto"/>
          <w:sz w:val="24"/>
        </w:rPr>
        <w:t>（招标人名称）：</w:t>
      </w:r>
    </w:p>
    <w:p w14:paraId="2EB11C0A">
      <w:pPr>
        <w:wordWrap w:val="0"/>
        <w:spacing w:before="50" w:after="50" w:line="360" w:lineRule="auto"/>
        <w:ind w:firstLine="480" w:firstLineChars="200"/>
        <w:jc w:val="left"/>
        <w:rPr>
          <w:rFonts w:ascii="宋体" w:hAnsi="宋体"/>
          <w:bCs/>
          <w:color w:val="auto"/>
          <w:sz w:val="24"/>
        </w:rPr>
      </w:pPr>
      <w:r>
        <w:rPr>
          <w:rFonts w:hint="eastAsia" w:ascii="宋体" w:hAnsi="宋体"/>
          <w:bCs/>
          <w:color w:val="auto"/>
          <w:sz w:val="24"/>
        </w:rPr>
        <w:t>1.我方已仔细研究了</w:t>
      </w:r>
      <w:r>
        <w:rPr>
          <w:rFonts w:hint="eastAsia" w:ascii="宋体" w:hAnsi="宋体"/>
          <w:bCs/>
          <w:color w:val="auto"/>
          <w:sz w:val="24"/>
          <w:u w:val="single"/>
        </w:rPr>
        <w:t xml:space="preserve">      </w:t>
      </w:r>
      <w:r>
        <w:rPr>
          <w:rFonts w:hint="eastAsia" w:ascii="宋体" w:hAnsi="宋体"/>
          <w:bCs/>
          <w:color w:val="auto"/>
          <w:sz w:val="24"/>
        </w:rPr>
        <w:t>（项目名称）招标文件的全部内容，在考察工程现场后，愿意以第二个信封（报价文件）中的投标总报价，</w:t>
      </w:r>
      <w:r>
        <w:rPr>
          <w:rFonts w:hint="eastAsia" w:ascii="宋体" w:hAnsi="宋体"/>
          <w:bCs/>
          <w:color w:val="auto"/>
          <w:sz w:val="24"/>
          <w:szCs w:val="20"/>
        </w:rPr>
        <w:t>工期</w:t>
      </w:r>
      <w:r>
        <w:rPr>
          <w:rFonts w:hint="eastAsia" w:ascii="宋体" w:hAnsi="宋体"/>
          <w:bCs/>
          <w:color w:val="auto"/>
          <w:sz w:val="24"/>
          <w:szCs w:val="20"/>
          <w:u w:val="single"/>
        </w:rPr>
        <w:t xml:space="preserve">      </w:t>
      </w:r>
      <w:r>
        <w:rPr>
          <w:rFonts w:hint="eastAsia" w:ascii="宋体" w:hAnsi="宋体"/>
          <w:bCs/>
          <w:color w:val="auto"/>
          <w:sz w:val="24"/>
          <w:szCs w:val="20"/>
        </w:rPr>
        <w:t>，按合同约定实施和完成承包工程，修补工程中的任何缺陷。</w:t>
      </w:r>
    </w:p>
    <w:p w14:paraId="18092A08">
      <w:pPr>
        <w:wordWrap w:val="0"/>
        <w:spacing w:before="50" w:after="50" w:line="360" w:lineRule="auto"/>
        <w:ind w:firstLine="480" w:firstLineChars="200"/>
        <w:jc w:val="left"/>
        <w:rPr>
          <w:rFonts w:ascii="宋体" w:hAnsi="宋体"/>
          <w:bCs/>
          <w:color w:val="auto"/>
          <w:sz w:val="24"/>
          <w:szCs w:val="20"/>
        </w:rPr>
      </w:pPr>
      <w:r>
        <w:rPr>
          <w:rFonts w:hint="eastAsia" w:ascii="宋体" w:hAnsi="宋体"/>
          <w:bCs/>
          <w:color w:val="auto"/>
          <w:sz w:val="24"/>
          <w:szCs w:val="20"/>
        </w:rPr>
        <w:t>2.我方承诺在投标有效期内不修改、撤销投标文件。</w:t>
      </w:r>
    </w:p>
    <w:p w14:paraId="1713F771">
      <w:pPr>
        <w:wordWrap w:val="0"/>
        <w:spacing w:line="360" w:lineRule="auto"/>
        <w:ind w:firstLine="480" w:firstLineChars="200"/>
        <w:rPr>
          <w:rFonts w:ascii="宋体" w:hAnsi="宋体" w:cs="宋体"/>
          <w:color w:val="auto"/>
          <w:sz w:val="24"/>
          <w:u w:val="single"/>
        </w:rPr>
      </w:pPr>
      <w:r>
        <w:rPr>
          <w:rFonts w:hint="eastAsia" w:ascii="宋体" w:hAnsi="宋体"/>
          <w:bCs/>
          <w:color w:val="auto"/>
          <w:sz w:val="24"/>
          <w:szCs w:val="20"/>
        </w:rPr>
        <w:t>3.</w:t>
      </w:r>
      <w:r>
        <w:rPr>
          <w:rFonts w:ascii="宋体" w:hAnsi="宋体"/>
          <w:bCs/>
          <w:color w:val="auto"/>
          <w:sz w:val="24"/>
          <w:szCs w:val="20"/>
        </w:rPr>
        <w:t xml:space="preserve"> </w:t>
      </w:r>
      <w:r>
        <w:rPr>
          <w:rFonts w:hint="eastAsia" w:ascii="宋体" w:hAnsi="宋体" w:cs="宋体"/>
          <w:color w:val="auto"/>
          <w:sz w:val="24"/>
        </w:rPr>
        <w:t>随同本投标函提交投标保证金一份，金额为人民币（大写）</w:t>
      </w:r>
      <w:r>
        <w:rPr>
          <w:rFonts w:hint="eastAsia" w:ascii="宋体" w:hAnsi="宋体" w:cs="宋体"/>
          <w:color w:val="auto"/>
          <w:sz w:val="24"/>
          <w:u w:val="single"/>
        </w:rPr>
        <w:t xml:space="preserve">            </w:t>
      </w:r>
    </w:p>
    <w:p w14:paraId="7945DA81">
      <w:pPr>
        <w:wordWrap w:val="0"/>
        <w:spacing w:line="360" w:lineRule="auto"/>
        <w:ind w:firstLine="480" w:firstLineChars="200"/>
        <w:rPr>
          <w:rFonts w:ascii="宋体" w:hAnsi="宋体" w:cs="宋体"/>
          <w:color w:val="auto"/>
          <w:sz w:val="24"/>
        </w:rPr>
      </w:pP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rPr>
        <w:t>元）。</w:t>
      </w:r>
    </w:p>
    <w:p w14:paraId="7659A286">
      <w:pPr>
        <w:wordWrap w:val="0"/>
        <w:spacing w:before="50" w:after="50" w:line="360" w:lineRule="auto"/>
        <w:ind w:firstLine="480" w:firstLineChars="200"/>
        <w:jc w:val="left"/>
        <w:rPr>
          <w:rFonts w:ascii="宋体" w:hAnsi="宋体"/>
          <w:bCs/>
          <w:color w:val="auto"/>
          <w:sz w:val="24"/>
          <w:szCs w:val="20"/>
        </w:rPr>
      </w:pPr>
      <w:r>
        <w:rPr>
          <w:rFonts w:hint="eastAsia" w:ascii="宋体" w:hAnsi="宋体"/>
          <w:bCs/>
          <w:color w:val="auto"/>
          <w:sz w:val="24"/>
          <w:szCs w:val="20"/>
        </w:rPr>
        <w:t>4.如我方中标：</w:t>
      </w:r>
    </w:p>
    <w:p w14:paraId="13664F30">
      <w:pPr>
        <w:wordWrap w:val="0"/>
        <w:spacing w:before="50" w:after="50" w:line="360" w:lineRule="auto"/>
        <w:ind w:firstLine="480" w:firstLineChars="200"/>
        <w:jc w:val="left"/>
        <w:rPr>
          <w:rFonts w:ascii="宋体" w:hAnsi="宋体"/>
          <w:bCs/>
          <w:color w:val="auto"/>
          <w:sz w:val="24"/>
          <w:szCs w:val="20"/>
        </w:rPr>
      </w:pPr>
      <w:r>
        <w:rPr>
          <w:rFonts w:ascii="宋体" w:hAnsi="宋体"/>
          <w:bCs/>
          <w:color w:val="auto"/>
          <w:sz w:val="24"/>
          <w:szCs w:val="20"/>
        </w:rPr>
        <w:t>(l)我方承诺在收到中标通知书后，在中标通知书规定的期限内与你方签订合同。</w:t>
      </w:r>
    </w:p>
    <w:p w14:paraId="54C575AD">
      <w:pPr>
        <w:wordWrap w:val="0"/>
        <w:spacing w:before="50" w:after="50" w:line="360" w:lineRule="auto"/>
        <w:ind w:firstLine="480" w:firstLineChars="200"/>
        <w:jc w:val="left"/>
        <w:rPr>
          <w:rFonts w:ascii="宋体" w:hAnsi="宋体"/>
          <w:bCs/>
          <w:color w:val="auto"/>
          <w:sz w:val="24"/>
          <w:szCs w:val="20"/>
        </w:rPr>
      </w:pPr>
      <w:r>
        <w:rPr>
          <w:rFonts w:ascii="宋体" w:hAnsi="宋体"/>
          <w:bCs/>
          <w:color w:val="auto"/>
          <w:sz w:val="24"/>
          <w:szCs w:val="20"/>
        </w:rPr>
        <w:t>(2)随同本投标函递交的投标函附录属于合同文件的组成部分。</w:t>
      </w:r>
    </w:p>
    <w:p w14:paraId="7E278D8C">
      <w:pPr>
        <w:wordWrap w:val="0"/>
        <w:spacing w:before="50" w:after="50" w:line="360" w:lineRule="auto"/>
        <w:ind w:firstLine="480" w:firstLineChars="200"/>
        <w:jc w:val="left"/>
        <w:rPr>
          <w:rFonts w:ascii="宋体" w:hAnsi="宋体"/>
          <w:bCs/>
          <w:color w:val="auto"/>
          <w:sz w:val="24"/>
          <w:szCs w:val="20"/>
        </w:rPr>
      </w:pPr>
      <w:r>
        <w:rPr>
          <w:rFonts w:ascii="宋体" w:hAnsi="宋体"/>
          <w:bCs/>
          <w:color w:val="auto"/>
          <w:sz w:val="24"/>
          <w:szCs w:val="20"/>
        </w:rPr>
        <w:t>(3)我方承诺在合同约定的期限内完成并移交全部合同工程。</w:t>
      </w:r>
    </w:p>
    <w:p w14:paraId="736AD7A4">
      <w:pPr>
        <w:wordWrap w:val="0"/>
        <w:spacing w:before="50" w:after="50" w:line="360" w:lineRule="auto"/>
        <w:ind w:firstLine="480" w:firstLineChars="200"/>
        <w:jc w:val="left"/>
        <w:rPr>
          <w:rFonts w:ascii="宋体" w:hAnsi="宋体"/>
          <w:bCs/>
          <w:color w:val="auto"/>
          <w:sz w:val="24"/>
          <w:szCs w:val="20"/>
        </w:rPr>
      </w:pPr>
      <w:r>
        <w:rPr>
          <w:rFonts w:ascii="宋体" w:hAnsi="宋体"/>
          <w:bCs/>
          <w:color w:val="auto"/>
          <w:sz w:val="24"/>
          <w:szCs w:val="20"/>
        </w:rPr>
        <w:t>5．我方在此声明，所递交的投标文件及有关资料内容完整、真实和准确</w:t>
      </w:r>
      <w:r>
        <w:rPr>
          <w:rFonts w:hint="eastAsia" w:ascii="宋体" w:hAnsi="宋体"/>
          <w:bCs/>
          <w:color w:val="auto"/>
          <w:sz w:val="24"/>
          <w:szCs w:val="20"/>
        </w:rPr>
        <w:t>。</w:t>
      </w:r>
    </w:p>
    <w:p w14:paraId="74233990">
      <w:pPr>
        <w:wordWrap w:val="0"/>
        <w:spacing w:line="360" w:lineRule="auto"/>
        <w:ind w:firstLine="480" w:firstLineChars="200"/>
        <w:rPr>
          <w:rFonts w:ascii="宋体" w:hAnsi="宋体" w:cs="宋体"/>
          <w:color w:val="auto"/>
          <w:sz w:val="24"/>
        </w:rPr>
      </w:pPr>
      <w:r>
        <w:rPr>
          <w:rFonts w:ascii="宋体" w:hAnsi="宋体" w:cs="宋体"/>
          <w:color w:val="auto"/>
          <w:sz w:val="24"/>
        </w:rPr>
        <w:t xml:space="preserve">6.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ascii="宋体" w:hAnsi="宋体" w:cs="宋体"/>
          <w:color w:val="auto"/>
          <w:sz w:val="24"/>
        </w:rPr>
        <w:t>（其他补充说明）。</w:t>
      </w:r>
    </w:p>
    <w:p w14:paraId="4B8651C6">
      <w:pPr>
        <w:wordWrap w:val="0"/>
        <w:spacing w:line="360" w:lineRule="auto"/>
        <w:ind w:firstLine="480" w:firstLineChars="200"/>
        <w:rPr>
          <w:rFonts w:ascii="宋体" w:hAnsi="宋体" w:cs="宋体"/>
          <w:color w:val="auto"/>
          <w:sz w:val="24"/>
        </w:rPr>
      </w:pPr>
    </w:p>
    <w:p w14:paraId="05EA5930">
      <w:pPr>
        <w:wordWrap w:val="0"/>
        <w:spacing w:line="360" w:lineRule="auto"/>
        <w:ind w:firstLine="3360" w:firstLineChars="1400"/>
        <w:rPr>
          <w:rFonts w:ascii="宋体" w:hAnsi="宋体" w:cs="宋体"/>
          <w:color w:val="auto"/>
          <w:sz w:val="24"/>
        </w:rPr>
      </w:pPr>
    </w:p>
    <w:p w14:paraId="5AF43831">
      <w:pPr>
        <w:wordWrap w:val="0"/>
        <w:spacing w:line="360" w:lineRule="auto"/>
        <w:ind w:firstLine="3360" w:firstLineChars="1400"/>
        <w:rPr>
          <w:rFonts w:ascii="宋体" w:hAnsi="宋体" w:cs="宋体"/>
          <w:color w:val="auto"/>
          <w:sz w:val="24"/>
        </w:rPr>
      </w:pPr>
    </w:p>
    <w:p w14:paraId="1CD404C6">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投标人：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（单位电子签章）</w:t>
      </w:r>
    </w:p>
    <w:p w14:paraId="70F7D711">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法定代表人：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（法人电子签章）</w:t>
      </w:r>
    </w:p>
    <w:p w14:paraId="7C481382">
      <w:pPr>
        <w:tabs>
          <w:tab w:val="left" w:pos="6170"/>
        </w:tabs>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日期：</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年</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月</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日</w:t>
      </w:r>
    </w:p>
    <w:p w14:paraId="20C53A3C">
      <w:pPr>
        <w:wordWrap w:val="0"/>
        <w:jc w:val="center"/>
        <w:rPr>
          <w:rFonts w:hint="eastAsia"/>
          <w:b/>
          <w:color w:val="auto"/>
          <w:sz w:val="24"/>
        </w:rPr>
      </w:pPr>
      <w:r>
        <w:rPr>
          <w:color w:val="auto"/>
        </w:rPr>
        <w:br w:type="page"/>
      </w:r>
      <w:r>
        <w:rPr>
          <w:rFonts w:hint="eastAsia"/>
          <w:b/>
          <w:color w:val="auto"/>
          <w:sz w:val="24"/>
        </w:rPr>
        <w:t>（二）投标函附录</w:t>
      </w:r>
      <w:bookmarkStart w:id="692" w:name="_Toc489602192"/>
      <w:bookmarkStart w:id="693" w:name="_Toc463691050"/>
      <w:bookmarkStart w:id="694" w:name="_Toc12100"/>
      <w:bookmarkStart w:id="695" w:name="_Toc27048"/>
    </w:p>
    <w:p w14:paraId="525207D7">
      <w:pPr>
        <w:wordWrap w:val="0"/>
        <w:jc w:val="center"/>
        <w:rPr>
          <w:rFonts w:hint="eastAsia"/>
          <w:b/>
          <w:color w:val="auto"/>
          <w:sz w:val="24"/>
        </w:rPr>
      </w:pPr>
    </w:p>
    <w:tbl>
      <w:tblPr>
        <w:tblStyle w:val="15"/>
        <w:tblW w:w="8962" w:type="dxa"/>
        <w:jc w:val="center"/>
        <w:tblLayout w:type="fixed"/>
        <w:tblCellMar>
          <w:top w:w="0" w:type="dxa"/>
          <w:left w:w="108" w:type="dxa"/>
          <w:bottom w:w="0" w:type="dxa"/>
          <w:right w:w="108" w:type="dxa"/>
        </w:tblCellMar>
      </w:tblPr>
      <w:tblGrid>
        <w:gridCol w:w="2072"/>
        <w:gridCol w:w="2552"/>
        <w:gridCol w:w="2012"/>
        <w:gridCol w:w="2326"/>
      </w:tblGrid>
      <w:tr w14:paraId="269B23B2">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709BF1A3">
            <w:pPr>
              <w:wordWrap w:val="0"/>
              <w:jc w:val="center"/>
              <w:rPr>
                <w:rFonts w:ascii="宋体" w:hAnsi="宋体" w:cs="宋体"/>
                <w:color w:val="auto"/>
                <w:kern w:val="1"/>
                <w:sz w:val="24"/>
              </w:rPr>
            </w:pPr>
            <w:r>
              <w:rPr>
                <w:rFonts w:hint="eastAsia" w:ascii="宋体" w:hAnsi="宋体" w:cs="宋体"/>
                <w:color w:val="auto"/>
                <w:kern w:val="1"/>
                <w:sz w:val="24"/>
              </w:rPr>
              <w:t>项目名称</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0950B8BC">
            <w:pPr>
              <w:wordWrap w:val="0"/>
              <w:jc w:val="center"/>
              <w:rPr>
                <w:rFonts w:ascii="宋体" w:hAnsi="宋体" w:cs="宋体"/>
                <w:color w:val="auto"/>
                <w:kern w:val="1"/>
                <w:sz w:val="24"/>
              </w:rPr>
            </w:pPr>
          </w:p>
        </w:tc>
      </w:tr>
      <w:tr w14:paraId="332E479B">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5863EB12">
            <w:pPr>
              <w:wordWrap w:val="0"/>
              <w:jc w:val="center"/>
              <w:rPr>
                <w:rFonts w:ascii="宋体" w:hAnsi="宋体" w:cs="宋体"/>
                <w:color w:val="auto"/>
                <w:kern w:val="1"/>
                <w:sz w:val="24"/>
              </w:rPr>
            </w:pPr>
            <w:r>
              <w:rPr>
                <w:rFonts w:hint="eastAsia" w:ascii="宋体" w:hAnsi="宋体" w:cs="宋体"/>
                <w:color w:val="auto"/>
                <w:kern w:val="1"/>
                <w:sz w:val="24"/>
              </w:rPr>
              <w:t>项目编号</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10094E2A">
            <w:pPr>
              <w:wordWrap w:val="0"/>
              <w:jc w:val="center"/>
              <w:rPr>
                <w:rFonts w:ascii="宋体" w:hAnsi="宋体" w:cs="宋体"/>
                <w:color w:val="auto"/>
                <w:kern w:val="1"/>
                <w:sz w:val="24"/>
              </w:rPr>
            </w:pPr>
          </w:p>
        </w:tc>
      </w:tr>
      <w:tr w14:paraId="62D2B173">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7AB4A183">
            <w:pPr>
              <w:wordWrap w:val="0"/>
              <w:jc w:val="center"/>
              <w:rPr>
                <w:rFonts w:ascii="宋体" w:hAnsi="宋体" w:cs="宋体"/>
                <w:color w:val="auto"/>
                <w:kern w:val="1"/>
                <w:sz w:val="24"/>
              </w:rPr>
            </w:pPr>
            <w:r>
              <w:rPr>
                <w:rFonts w:hint="eastAsia" w:ascii="宋体" w:hAnsi="宋体" w:cs="宋体"/>
                <w:color w:val="auto"/>
                <w:kern w:val="1"/>
                <w:sz w:val="24"/>
              </w:rPr>
              <w:t>投标人名称</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518EEFD2">
            <w:pPr>
              <w:wordWrap w:val="0"/>
              <w:jc w:val="center"/>
              <w:rPr>
                <w:rFonts w:ascii="宋体" w:hAnsi="宋体" w:cs="宋体"/>
                <w:color w:val="auto"/>
                <w:kern w:val="1"/>
                <w:sz w:val="24"/>
              </w:rPr>
            </w:pPr>
          </w:p>
        </w:tc>
      </w:tr>
      <w:tr w14:paraId="4600720E">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02D47C73">
            <w:pPr>
              <w:wordWrap w:val="0"/>
              <w:jc w:val="center"/>
              <w:rPr>
                <w:rFonts w:hint="eastAsia" w:ascii="宋体" w:hAnsi="宋体" w:cs="宋体"/>
                <w:color w:val="auto"/>
                <w:kern w:val="1"/>
                <w:sz w:val="24"/>
              </w:rPr>
            </w:pPr>
            <w:r>
              <w:rPr>
                <w:rFonts w:hint="eastAsia" w:ascii="宋体" w:hAnsi="宋体" w:cs="宋体"/>
                <w:color w:val="auto"/>
                <w:kern w:val="1"/>
                <w:sz w:val="24"/>
              </w:rPr>
              <w:t>企业资质等级</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1934D581">
            <w:pPr>
              <w:wordWrap w:val="0"/>
              <w:jc w:val="center"/>
              <w:rPr>
                <w:rFonts w:ascii="宋体" w:hAnsi="宋体" w:cs="宋体"/>
                <w:color w:val="auto"/>
                <w:kern w:val="1"/>
                <w:sz w:val="24"/>
              </w:rPr>
            </w:pPr>
          </w:p>
        </w:tc>
      </w:tr>
      <w:tr w14:paraId="72CA14AE">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2CDC8BB7">
            <w:pPr>
              <w:wordWrap w:val="0"/>
              <w:jc w:val="center"/>
              <w:rPr>
                <w:rFonts w:hint="default" w:ascii="宋体" w:hAnsi="宋体" w:eastAsia="宋体" w:cs="宋体"/>
                <w:color w:val="auto"/>
                <w:kern w:val="1"/>
                <w:sz w:val="24"/>
                <w:lang w:val="en-US" w:eastAsia="zh-CN"/>
              </w:rPr>
            </w:pPr>
            <w:r>
              <w:rPr>
                <w:rFonts w:hint="eastAsia" w:ascii="宋体" w:hAnsi="宋体" w:cs="宋体"/>
                <w:color w:val="auto"/>
                <w:kern w:val="1"/>
                <w:sz w:val="24"/>
                <w:lang w:val="en-US" w:eastAsia="zh-CN"/>
              </w:rPr>
              <w:t>企业营业执照编号</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0F8D17AD">
            <w:pPr>
              <w:wordWrap w:val="0"/>
              <w:jc w:val="center"/>
              <w:rPr>
                <w:rFonts w:ascii="宋体" w:hAnsi="宋体" w:cs="宋体"/>
                <w:color w:val="auto"/>
                <w:kern w:val="1"/>
                <w:sz w:val="24"/>
              </w:rPr>
            </w:pPr>
          </w:p>
        </w:tc>
      </w:tr>
      <w:tr w14:paraId="12E8B618">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1B11989A">
            <w:pPr>
              <w:wordWrap w:val="0"/>
              <w:jc w:val="center"/>
              <w:rPr>
                <w:rFonts w:ascii="宋体" w:hAnsi="宋体" w:cs="宋体"/>
                <w:color w:val="auto"/>
                <w:kern w:val="1"/>
                <w:sz w:val="24"/>
              </w:rPr>
            </w:pPr>
            <w:r>
              <w:rPr>
                <w:rFonts w:hint="eastAsia" w:ascii="宋体" w:hAnsi="宋体" w:cs="宋体"/>
                <w:color w:val="auto"/>
                <w:kern w:val="1"/>
                <w:sz w:val="24"/>
              </w:rPr>
              <w:t>企业联系人及手机号码</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0842BEBE">
            <w:pPr>
              <w:wordWrap w:val="0"/>
              <w:jc w:val="center"/>
              <w:rPr>
                <w:rFonts w:ascii="宋体" w:hAnsi="宋体" w:cs="宋体"/>
                <w:color w:val="auto"/>
                <w:kern w:val="1"/>
                <w:sz w:val="24"/>
              </w:rPr>
            </w:pPr>
          </w:p>
        </w:tc>
      </w:tr>
      <w:tr w14:paraId="439FBBB2">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41E149B9">
            <w:pPr>
              <w:wordWrap w:val="0"/>
              <w:jc w:val="center"/>
              <w:rPr>
                <w:rFonts w:ascii="宋体" w:hAnsi="宋体" w:cs="宋体"/>
                <w:color w:val="auto"/>
                <w:kern w:val="1"/>
                <w:sz w:val="24"/>
              </w:rPr>
            </w:pPr>
            <w:r>
              <w:rPr>
                <w:rFonts w:hint="eastAsia" w:ascii="宋体" w:hAnsi="宋体" w:cs="宋体"/>
                <w:color w:val="auto"/>
                <w:kern w:val="1"/>
                <w:sz w:val="24"/>
              </w:rPr>
              <w:t>企业地址</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637D1445">
            <w:pPr>
              <w:wordWrap w:val="0"/>
              <w:jc w:val="center"/>
              <w:rPr>
                <w:rFonts w:ascii="宋体" w:hAnsi="宋体" w:cs="宋体"/>
                <w:color w:val="auto"/>
                <w:kern w:val="1"/>
                <w:sz w:val="24"/>
              </w:rPr>
            </w:pPr>
          </w:p>
        </w:tc>
      </w:tr>
      <w:tr w14:paraId="5CAB3327">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56F023C1">
            <w:pPr>
              <w:wordWrap w:val="0"/>
              <w:jc w:val="center"/>
              <w:rPr>
                <w:rFonts w:ascii="宋体" w:hAnsi="宋体" w:cs="宋体"/>
                <w:color w:val="auto"/>
                <w:kern w:val="1"/>
                <w:sz w:val="24"/>
              </w:rPr>
            </w:pPr>
            <w:r>
              <w:rPr>
                <w:rFonts w:hint="eastAsia" w:ascii="宋体" w:hAnsi="宋体" w:cs="宋体"/>
                <w:color w:val="auto"/>
                <w:kern w:val="1"/>
                <w:sz w:val="24"/>
              </w:rPr>
              <w:t>项目经理</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4AA46E7">
            <w:pPr>
              <w:wordWrap w:val="0"/>
              <w:jc w:val="center"/>
              <w:rPr>
                <w:rFonts w:ascii="宋体" w:hAnsi="宋体" w:cs="宋体"/>
                <w:color w:val="auto"/>
                <w:kern w:val="1"/>
                <w:sz w:val="24"/>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14:paraId="3C97ECD5">
            <w:pPr>
              <w:wordWrap w:val="0"/>
              <w:jc w:val="center"/>
              <w:rPr>
                <w:rFonts w:ascii="宋体" w:hAnsi="宋体" w:cs="宋体"/>
                <w:color w:val="auto"/>
                <w:kern w:val="1"/>
                <w:sz w:val="24"/>
              </w:rPr>
            </w:pPr>
            <w:r>
              <w:rPr>
                <w:rFonts w:hint="eastAsia" w:ascii="宋体" w:hAnsi="宋体" w:cs="宋体"/>
                <w:color w:val="auto"/>
                <w:kern w:val="1"/>
                <w:sz w:val="24"/>
                <w:lang w:val="en-US" w:eastAsia="zh-CN"/>
              </w:rPr>
              <w:t>证书名称</w:t>
            </w:r>
            <w:r>
              <w:rPr>
                <w:rFonts w:hint="eastAsia" w:ascii="宋体" w:hAnsi="宋体" w:cs="宋体"/>
                <w:color w:val="auto"/>
                <w:kern w:val="1"/>
                <w:sz w:val="24"/>
              </w:rPr>
              <w:t>及编号</w:t>
            </w:r>
          </w:p>
        </w:tc>
        <w:tc>
          <w:tcPr>
            <w:tcW w:w="2326" w:type="dxa"/>
            <w:tcBorders>
              <w:top w:val="single" w:color="000000" w:sz="4" w:space="0"/>
              <w:left w:val="single" w:color="000000" w:sz="4" w:space="0"/>
              <w:bottom w:val="single" w:color="000000" w:sz="4" w:space="0"/>
              <w:right w:val="single" w:color="000000" w:sz="4" w:space="0"/>
            </w:tcBorders>
            <w:noWrap w:val="0"/>
            <w:vAlign w:val="center"/>
          </w:tcPr>
          <w:p w14:paraId="44E36A3B">
            <w:pPr>
              <w:wordWrap w:val="0"/>
              <w:jc w:val="center"/>
              <w:rPr>
                <w:rFonts w:ascii="宋体" w:hAnsi="宋体" w:cs="宋体"/>
                <w:color w:val="auto"/>
                <w:kern w:val="1"/>
                <w:sz w:val="24"/>
              </w:rPr>
            </w:pPr>
          </w:p>
        </w:tc>
      </w:tr>
      <w:tr w14:paraId="70AFC266">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2CBF0806">
            <w:pPr>
              <w:wordWrap w:val="0"/>
              <w:jc w:val="center"/>
              <w:rPr>
                <w:rFonts w:ascii="宋体" w:hAnsi="宋体" w:cs="宋体"/>
                <w:color w:val="auto"/>
                <w:kern w:val="1"/>
                <w:sz w:val="24"/>
              </w:rPr>
            </w:pPr>
            <w:r>
              <w:rPr>
                <w:rFonts w:hint="eastAsia" w:ascii="宋体" w:hAnsi="宋体" w:cs="宋体"/>
                <w:color w:val="auto"/>
                <w:kern w:val="1"/>
                <w:sz w:val="24"/>
              </w:rPr>
              <w:t>技术负责人</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7E72AC92">
            <w:pPr>
              <w:wordWrap w:val="0"/>
              <w:jc w:val="center"/>
              <w:rPr>
                <w:rFonts w:ascii="宋体" w:hAnsi="宋体" w:cs="宋体"/>
                <w:color w:val="auto"/>
                <w:kern w:val="1"/>
                <w:sz w:val="24"/>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14:paraId="626609EB">
            <w:pPr>
              <w:wordWrap w:val="0"/>
              <w:jc w:val="center"/>
              <w:rPr>
                <w:rFonts w:ascii="宋体" w:hAnsi="宋体" w:cs="宋体"/>
                <w:color w:val="auto"/>
                <w:kern w:val="1"/>
                <w:sz w:val="24"/>
              </w:rPr>
            </w:pPr>
            <w:r>
              <w:rPr>
                <w:rFonts w:hint="eastAsia" w:ascii="宋体" w:hAnsi="宋体" w:cs="宋体"/>
                <w:color w:val="auto"/>
                <w:kern w:val="1"/>
                <w:sz w:val="24"/>
                <w:lang w:val="en-US" w:eastAsia="zh-CN"/>
              </w:rPr>
              <w:t>证书名称</w:t>
            </w:r>
            <w:r>
              <w:rPr>
                <w:rFonts w:hint="eastAsia" w:ascii="宋体" w:hAnsi="宋体" w:cs="宋体"/>
                <w:color w:val="auto"/>
                <w:kern w:val="1"/>
                <w:sz w:val="24"/>
              </w:rPr>
              <w:t>及编号</w:t>
            </w:r>
          </w:p>
        </w:tc>
        <w:tc>
          <w:tcPr>
            <w:tcW w:w="2326" w:type="dxa"/>
            <w:tcBorders>
              <w:top w:val="single" w:color="000000" w:sz="4" w:space="0"/>
              <w:left w:val="single" w:color="000000" w:sz="4" w:space="0"/>
              <w:bottom w:val="single" w:color="000000" w:sz="4" w:space="0"/>
              <w:right w:val="single" w:color="000000" w:sz="4" w:space="0"/>
            </w:tcBorders>
            <w:noWrap w:val="0"/>
            <w:vAlign w:val="center"/>
          </w:tcPr>
          <w:p w14:paraId="135599C8">
            <w:pPr>
              <w:wordWrap w:val="0"/>
              <w:jc w:val="center"/>
              <w:rPr>
                <w:rFonts w:ascii="宋体" w:hAnsi="宋体" w:cs="宋体"/>
                <w:color w:val="auto"/>
                <w:kern w:val="1"/>
                <w:sz w:val="24"/>
              </w:rPr>
            </w:pPr>
          </w:p>
        </w:tc>
      </w:tr>
      <w:tr w14:paraId="54BD45C3">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34C0E3BD">
            <w:pPr>
              <w:wordWrap w:val="0"/>
              <w:jc w:val="center"/>
              <w:rPr>
                <w:rFonts w:ascii="宋体" w:hAnsi="宋体" w:cs="宋体"/>
                <w:color w:val="auto"/>
                <w:kern w:val="1"/>
                <w:sz w:val="24"/>
              </w:rPr>
            </w:pPr>
            <w:r>
              <w:rPr>
                <w:rFonts w:hint="eastAsia" w:ascii="宋体" w:hAnsi="宋体" w:cs="宋体"/>
                <w:color w:val="auto"/>
                <w:kern w:val="1"/>
                <w:sz w:val="24"/>
              </w:rPr>
              <w:t>投标工期</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1AE71CEC">
            <w:pPr>
              <w:wordWrap w:val="0"/>
              <w:jc w:val="center"/>
              <w:rPr>
                <w:rFonts w:ascii="宋体" w:hAnsi="宋体" w:cs="宋体"/>
                <w:color w:val="auto"/>
                <w:kern w:val="1"/>
                <w:sz w:val="24"/>
              </w:rPr>
            </w:pPr>
          </w:p>
        </w:tc>
      </w:tr>
      <w:tr w14:paraId="1130B2FE">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2C7CAA05">
            <w:pPr>
              <w:wordWrap w:val="0"/>
              <w:jc w:val="center"/>
              <w:rPr>
                <w:rFonts w:ascii="宋体" w:hAnsi="宋体" w:cs="宋体"/>
                <w:color w:val="auto"/>
                <w:kern w:val="1"/>
                <w:sz w:val="24"/>
              </w:rPr>
            </w:pPr>
            <w:r>
              <w:rPr>
                <w:rFonts w:hint="eastAsia" w:ascii="宋体" w:hAnsi="宋体" w:cs="宋体"/>
                <w:color w:val="auto"/>
                <w:kern w:val="1"/>
                <w:sz w:val="24"/>
              </w:rPr>
              <w:t>投标质量</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2D789408">
            <w:pPr>
              <w:wordWrap w:val="0"/>
              <w:jc w:val="center"/>
              <w:rPr>
                <w:rFonts w:ascii="宋体" w:hAnsi="宋体" w:cs="宋体"/>
                <w:color w:val="auto"/>
                <w:kern w:val="1"/>
                <w:sz w:val="24"/>
              </w:rPr>
            </w:pPr>
          </w:p>
        </w:tc>
      </w:tr>
      <w:tr w14:paraId="3AA41428">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084EBB3D">
            <w:pPr>
              <w:wordWrap w:val="0"/>
              <w:jc w:val="center"/>
              <w:rPr>
                <w:rFonts w:ascii="宋体" w:hAnsi="宋体" w:cs="宋体"/>
                <w:color w:val="auto"/>
                <w:kern w:val="1"/>
                <w:sz w:val="24"/>
              </w:rPr>
            </w:pPr>
            <w:r>
              <w:rPr>
                <w:rFonts w:hint="eastAsia" w:ascii="宋体" w:hAnsi="宋体" w:cs="宋体"/>
                <w:color w:val="auto"/>
                <w:kern w:val="1"/>
                <w:sz w:val="24"/>
              </w:rPr>
              <w:t>保修期限</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3EF16405">
            <w:pPr>
              <w:wordWrap w:val="0"/>
              <w:jc w:val="center"/>
              <w:rPr>
                <w:rFonts w:ascii="宋体" w:hAnsi="宋体" w:cs="宋体"/>
                <w:color w:val="auto"/>
                <w:kern w:val="1"/>
                <w:sz w:val="24"/>
              </w:rPr>
            </w:pPr>
          </w:p>
        </w:tc>
      </w:tr>
      <w:tr w14:paraId="150AB18A">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0190CB9B">
            <w:pPr>
              <w:wordWrap w:val="0"/>
              <w:jc w:val="center"/>
              <w:rPr>
                <w:rFonts w:ascii="宋体" w:hAnsi="宋体" w:cs="宋体"/>
                <w:color w:val="auto"/>
                <w:kern w:val="1"/>
                <w:sz w:val="24"/>
              </w:rPr>
            </w:pPr>
            <w:r>
              <w:rPr>
                <w:rFonts w:hint="eastAsia" w:ascii="宋体" w:hAnsi="宋体" w:cs="宋体"/>
                <w:color w:val="auto"/>
                <w:kern w:val="1"/>
                <w:sz w:val="24"/>
              </w:rPr>
              <w:t>投标有效期</w:t>
            </w:r>
          </w:p>
        </w:tc>
        <w:tc>
          <w:tcPr>
            <w:tcW w:w="6890" w:type="dxa"/>
            <w:gridSpan w:val="3"/>
            <w:tcBorders>
              <w:top w:val="single" w:color="000000" w:sz="4" w:space="0"/>
              <w:left w:val="single" w:color="000000" w:sz="4" w:space="0"/>
              <w:bottom w:val="single" w:color="000000" w:sz="4" w:space="0"/>
              <w:right w:val="single" w:color="000000" w:sz="4" w:space="0"/>
            </w:tcBorders>
            <w:noWrap w:val="0"/>
            <w:vAlign w:val="center"/>
          </w:tcPr>
          <w:p w14:paraId="2A3B706C">
            <w:pPr>
              <w:wordWrap w:val="0"/>
              <w:spacing w:line="360" w:lineRule="auto"/>
              <w:jc w:val="center"/>
              <w:textAlignment w:val="center"/>
              <w:rPr>
                <w:rFonts w:ascii="宋体" w:hAnsi="宋体"/>
                <w:color w:val="auto"/>
                <w:sz w:val="24"/>
                <w:u w:val="single"/>
              </w:rPr>
            </w:pPr>
            <w:r>
              <w:rPr>
                <w:rFonts w:hint="eastAsia" w:ascii="宋体" w:hAnsi="宋体" w:cs="宋体"/>
                <w:color w:val="auto"/>
                <w:sz w:val="24"/>
                <w:u w:val="single"/>
              </w:rPr>
              <w:t xml:space="preserve">       </w:t>
            </w:r>
            <w:r>
              <w:rPr>
                <w:rFonts w:hint="eastAsia" w:ascii="宋体" w:hAnsi="宋体" w:cs="宋体"/>
                <w:color w:val="auto"/>
                <w:sz w:val="24"/>
              </w:rPr>
              <w:t>日历天（从投标截止之日算起）</w:t>
            </w:r>
          </w:p>
        </w:tc>
      </w:tr>
      <w:tr w14:paraId="664B15D1">
        <w:tblPrEx>
          <w:tblCellMar>
            <w:top w:w="0" w:type="dxa"/>
            <w:left w:w="108" w:type="dxa"/>
            <w:bottom w:w="0" w:type="dxa"/>
            <w:right w:w="108" w:type="dxa"/>
          </w:tblCellMar>
        </w:tblPrEx>
        <w:trPr>
          <w:trHeight w:val="737" w:hRule="atLeast"/>
          <w:jc w:val="center"/>
        </w:trPr>
        <w:tc>
          <w:tcPr>
            <w:tcW w:w="8962" w:type="dxa"/>
            <w:gridSpan w:val="4"/>
            <w:tcBorders>
              <w:top w:val="single" w:color="000000" w:sz="4" w:space="0"/>
              <w:left w:val="single" w:color="000000" w:sz="4" w:space="0"/>
              <w:bottom w:val="single" w:color="000000" w:sz="4" w:space="0"/>
              <w:right w:val="single" w:color="000000" w:sz="4" w:space="0"/>
            </w:tcBorders>
            <w:noWrap w:val="0"/>
            <w:vAlign w:val="center"/>
          </w:tcPr>
          <w:p w14:paraId="45679542">
            <w:pPr>
              <w:wordWrap w:val="0"/>
              <w:jc w:val="left"/>
              <w:rPr>
                <w:rFonts w:ascii="宋体" w:hAnsi="宋体" w:cs="宋体"/>
                <w:color w:val="auto"/>
                <w:kern w:val="1"/>
                <w:sz w:val="24"/>
              </w:rPr>
            </w:pPr>
            <w:r>
              <w:rPr>
                <w:rFonts w:hint="eastAsia" w:ascii="宋体" w:hAnsi="宋体" w:cs="宋体"/>
                <w:color w:val="auto"/>
                <w:sz w:val="24"/>
              </w:rPr>
              <w:t>填表说明：投标函附表中内容不允许缺项</w:t>
            </w:r>
          </w:p>
        </w:tc>
      </w:tr>
    </w:tbl>
    <w:p w14:paraId="35E76813">
      <w:pPr>
        <w:wordWrap w:val="0"/>
        <w:jc w:val="center"/>
        <w:rPr>
          <w:rFonts w:hint="eastAsia"/>
          <w:b/>
          <w:color w:val="auto"/>
          <w:sz w:val="24"/>
        </w:rPr>
      </w:pPr>
    </w:p>
    <w:p w14:paraId="0EA69235">
      <w:pPr>
        <w:wordWrap w:val="0"/>
        <w:autoSpaceDE w:val="0"/>
        <w:autoSpaceDN w:val="0"/>
        <w:spacing w:line="480" w:lineRule="auto"/>
        <w:ind w:firstLine="2520" w:firstLineChars="1050"/>
        <w:rPr>
          <w:rFonts w:hint="eastAsia" w:ascii="宋体" w:hAnsi="宋体" w:cs="宋体"/>
          <w:color w:val="auto"/>
          <w:sz w:val="24"/>
          <w:lang w:bidi="zh-CN"/>
        </w:rPr>
      </w:pPr>
    </w:p>
    <w:p w14:paraId="7C077C10">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投标人：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（单位电子签章）</w:t>
      </w:r>
    </w:p>
    <w:p w14:paraId="134E24E7">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法定代表人：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（法人电子签章）</w:t>
      </w:r>
    </w:p>
    <w:p w14:paraId="7FD4C5EC">
      <w:pPr>
        <w:tabs>
          <w:tab w:val="left" w:pos="6170"/>
        </w:tabs>
        <w:wordWrap w:val="0"/>
        <w:autoSpaceDE w:val="0"/>
        <w:autoSpaceDN w:val="0"/>
        <w:spacing w:line="480" w:lineRule="auto"/>
        <w:ind w:firstLine="2520" w:firstLineChars="1050"/>
        <w:rPr>
          <w:rFonts w:ascii="宋体" w:hAnsi="宋体"/>
          <w:color w:val="auto"/>
          <w:sz w:val="24"/>
        </w:rPr>
      </w:pPr>
      <w:r>
        <w:rPr>
          <w:rFonts w:hint="eastAsia" w:ascii="宋体" w:hAnsi="宋体" w:cs="宋体"/>
          <w:color w:val="auto"/>
          <w:sz w:val="24"/>
          <w:lang w:val="zh-CN" w:bidi="zh-CN"/>
        </w:rPr>
        <w:t>日期：</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年</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月</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日</w:t>
      </w:r>
      <w:r>
        <w:rPr>
          <w:rFonts w:hint="eastAsia" w:ascii="宋体" w:hAnsi="宋体"/>
          <w:color w:val="auto"/>
          <w:sz w:val="24"/>
        </w:rPr>
        <w:t xml:space="preserve">  </w:t>
      </w:r>
    </w:p>
    <w:p w14:paraId="1B95E793">
      <w:pPr>
        <w:wordWrap w:val="0"/>
        <w:spacing w:line="360" w:lineRule="auto"/>
        <w:ind w:left="720"/>
        <w:jc w:val="center"/>
        <w:outlineLvl w:val="1"/>
        <w:rPr>
          <w:rFonts w:ascii="宋体" w:hAnsi="宋体" w:cs="宋体"/>
          <w:b/>
          <w:color w:val="auto"/>
          <w:sz w:val="24"/>
        </w:rPr>
      </w:pPr>
      <w:bookmarkStart w:id="696" w:name="_Toc83750150"/>
      <w:bookmarkStart w:id="697" w:name="_Toc76460604"/>
      <w:bookmarkStart w:id="698" w:name="_Toc180485660"/>
      <w:r>
        <w:rPr>
          <w:rFonts w:hint="eastAsia" w:ascii="宋体" w:hAnsi="宋体" w:cs="宋体"/>
          <w:b/>
          <w:color w:val="auto"/>
          <w:sz w:val="24"/>
        </w:rPr>
        <w:t>二、</w:t>
      </w:r>
      <w:bookmarkEnd w:id="692"/>
      <w:bookmarkEnd w:id="693"/>
      <w:bookmarkEnd w:id="694"/>
      <w:bookmarkEnd w:id="695"/>
      <w:bookmarkEnd w:id="696"/>
      <w:bookmarkEnd w:id="697"/>
      <w:r>
        <w:rPr>
          <w:rFonts w:hint="eastAsia" w:ascii="宋体" w:hAnsi="宋体" w:cs="宋体"/>
          <w:b/>
          <w:color w:val="auto"/>
          <w:sz w:val="24"/>
        </w:rPr>
        <w:t>法定代表人身份证明及授权委托书</w:t>
      </w:r>
      <w:bookmarkEnd w:id="698"/>
    </w:p>
    <w:p w14:paraId="409F3B3F">
      <w:pPr>
        <w:wordWrap w:val="0"/>
        <w:jc w:val="center"/>
        <w:rPr>
          <w:b/>
          <w:color w:val="auto"/>
          <w:sz w:val="24"/>
        </w:rPr>
      </w:pPr>
      <w:r>
        <w:rPr>
          <w:rFonts w:hint="eastAsia"/>
          <w:b/>
          <w:color w:val="auto"/>
          <w:sz w:val="24"/>
        </w:rPr>
        <w:t>（一）</w:t>
      </w:r>
      <w:r>
        <w:rPr>
          <w:b/>
          <w:color w:val="auto"/>
          <w:sz w:val="24"/>
        </w:rPr>
        <w:t>法定代表人身份证明</w:t>
      </w:r>
    </w:p>
    <w:p w14:paraId="13750904">
      <w:pPr>
        <w:wordWrap w:val="0"/>
        <w:jc w:val="center"/>
        <w:rPr>
          <w:b/>
          <w:color w:val="auto"/>
          <w:sz w:val="24"/>
        </w:rPr>
      </w:pPr>
    </w:p>
    <w:p w14:paraId="724C79F0">
      <w:pPr>
        <w:wordWrap w:val="0"/>
        <w:spacing w:line="360" w:lineRule="auto"/>
        <w:ind w:firstLine="480" w:firstLineChars="200"/>
        <w:rPr>
          <w:rFonts w:ascii="宋体" w:hAnsi="宋体" w:cs="宋体"/>
          <w:color w:val="auto"/>
          <w:sz w:val="24"/>
          <w:u w:val="single"/>
        </w:rPr>
      </w:pPr>
      <w:r>
        <w:rPr>
          <w:rFonts w:hint="eastAsia" w:ascii="宋体" w:hAnsi="宋体" w:cs="宋体"/>
          <w:color w:val="auto"/>
          <w:sz w:val="24"/>
        </w:rPr>
        <w:t>投标人名称：</w:t>
      </w:r>
      <w:r>
        <w:rPr>
          <w:rFonts w:hint="eastAsia" w:ascii="宋体" w:hAnsi="宋体" w:cs="宋体"/>
          <w:color w:val="auto"/>
          <w:sz w:val="24"/>
          <w:u w:val="single"/>
        </w:rPr>
        <w:t xml:space="preserve">                  </w:t>
      </w:r>
    </w:p>
    <w:p w14:paraId="0009080F">
      <w:pPr>
        <w:wordWrap w:val="0"/>
        <w:spacing w:line="360" w:lineRule="auto"/>
        <w:ind w:firstLine="480" w:firstLineChars="200"/>
        <w:rPr>
          <w:rFonts w:ascii="宋体" w:hAnsi="宋体" w:cs="宋体"/>
          <w:color w:val="auto"/>
          <w:sz w:val="24"/>
          <w:u w:val="single"/>
        </w:rPr>
      </w:pPr>
      <w:r>
        <w:rPr>
          <w:rFonts w:hint="eastAsia" w:ascii="宋体" w:hAnsi="宋体" w:cs="宋体"/>
          <w:color w:val="auto"/>
          <w:sz w:val="24"/>
        </w:rPr>
        <w:t>单位性质：</w:t>
      </w:r>
      <w:r>
        <w:rPr>
          <w:rFonts w:hint="eastAsia" w:ascii="宋体" w:hAnsi="宋体" w:cs="宋体"/>
          <w:color w:val="auto"/>
          <w:sz w:val="24"/>
          <w:u w:val="single"/>
        </w:rPr>
        <w:t xml:space="preserve">                    </w:t>
      </w:r>
    </w:p>
    <w:p w14:paraId="3F711967">
      <w:pPr>
        <w:wordWrap w:val="0"/>
        <w:spacing w:line="360" w:lineRule="auto"/>
        <w:ind w:firstLine="480" w:firstLineChars="20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single"/>
        </w:rPr>
        <w:t xml:space="preserve">                        </w:t>
      </w:r>
    </w:p>
    <w:p w14:paraId="04678C75">
      <w:pPr>
        <w:wordWrap w:val="0"/>
        <w:spacing w:line="360" w:lineRule="auto"/>
        <w:ind w:firstLine="480" w:firstLineChars="200"/>
        <w:rPr>
          <w:rFonts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00D8A48">
      <w:pPr>
        <w:wordWrap w:val="0"/>
        <w:spacing w:line="360" w:lineRule="auto"/>
        <w:ind w:firstLine="480" w:firstLineChars="200"/>
        <w:rPr>
          <w:rFonts w:ascii="宋体" w:hAnsi="宋体" w:cs="宋体"/>
          <w:color w:val="auto"/>
          <w:sz w:val="24"/>
        </w:rPr>
      </w:pPr>
      <w:r>
        <w:rPr>
          <w:rFonts w:hint="eastAsia" w:ascii="宋体" w:hAnsi="宋体" w:cs="宋体"/>
          <w:color w:val="auto"/>
          <w:sz w:val="24"/>
        </w:rPr>
        <w:t>经营期限：</w:t>
      </w:r>
      <w:r>
        <w:rPr>
          <w:rFonts w:hint="eastAsia" w:ascii="宋体" w:hAnsi="宋体" w:cs="宋体"/>
          <w:color w:val="auto"/>
          <w:sz w:val="24"/>
          <w:u w:val="single"/>
        </w:rPr>
        <w:t xml:space="preserve">                     </w:t>
      </w:r>
    </w:p>
    <w:p w14:paraId="20AE3B63">
      <w:pPr>
        <w:wordWrap w:val="0"/>
        <w:autoSpaceDE w:val="0"/>
        <w:autoSpaceDN w:val="0"/>
        <w:adjustRightInd w:val="0"/>
        <w:spacing w:line="360" w:lineRule="auto"/>
        <w:ind w:firstLine="480" w:firstLineChars="200"/>
        <w:rPr>
          <w:rFonts w:ascii="宋体" w:hAnsi="宋体" w:cs="仿宋_GB2312"/>
          <w:color w:val="auto"/>
          <w:sz w:val="24"/>
          <w:u w:val="single"/>
        </w:rPr>
      </w:pPr>
      <w:r>
        <w:rPr>
          <w:rFonts w:hint="eastAsia" w:ascii="宋体" w:hAnsi="宋体" w:cs="仿宋_GB2312"/>
          <w:color w:val="auto"/>
          <w:sz w:val="24"/>
        </w:rPr>
        <w:t>姓名：</w:t>
      </w:r>
      <w:r>
        <w:rPr>
          <w:rFonts w:hint="eastAsia" w:ascii="宋体" w:hAnsi="宋体" w:cs="仿宋_GB2312"/>
          <w:color w:val="auto"/>
          <w:sz w:val="24"/>
          <w:u w:val="single"/>
        </w:rPr>
        <w:t xml:space="preserve">      </w:t>
      </w:r>
      <w:r>
        <w:rPr>
          <w:rFonts w:ascii="宋体" w:hAnsi="宋体" w:cs="仿宋_GB2312"/>
          <w:color w:val="auto"/>
          <w:sz w:val="24"/>
        </w:rPr>
        <w:t xml:space="preserve"> </w:t>
      </w:r>
      <w:r>
        <w:rPr>
          <w:rFonts w:hint="eastAsia" w:ascii="宋体" w:hAnsi="宋体" w:cs="仿宋_GB2312"/>
          <w:color w:val="auto"/>
          <w:sz w:val="24"/>
        </w:rPr>
        <w:t>性别：</w:t>
      </w:r>
      <w:r>
        <w:rPr>
          <w:rFonts w:hint="eastAsia" w:ascii="宋体" w:hAnsi="宋体" w:cs="仿宋_GB2312"/>
          <w:color w:val="auto"/>
          <w:sz w:val="24"/>
          <w:u w:val="single"/>
        </w:rPr>
        <w:t xml:space="preserve">      </w:t>
      </w:r>
      <w:r>
        <w:rPr>
          <w:rFonts w:ascii="宋体" w:hAnsi="宋体" w:cs="仿宋_GB2312"/>
          <w:color w:val="auto"/>
          <w:sz w:val="24"/>
        </w:rPr>
        <w:t xml:space="preserve"> </w:t>
      </w:r>
      <w:r>
        <w:rPr>
          <w:rFonts w:hint="eastAsia" w:ascii="宋体" w:hAnsi="宋体" w:cs="仿宋_GB2312"/>
          <w:color w:val="auto"/>
          <w:sz w:val="24"/>
        </w:rPr>
        <w:t>年龄：</w:t>
      </w:r>
      <w:r>
        <w:rPr>
          <w:rFonts w:hint="eastAsia" w:ascii="宋体" w:hAnsi="宋体" w:cs="仿宋_GB2312"/>
          <w:color w:val="auto"/>
          <w:sz w:val="24"/>
          <w:u w:val="single"/>
        </w:rPr>
        <w:t xml:space="preserve">      </w:t>
      </w:r>
      <w:r>
        <w:rPr>
          <w:rFonts w:ascii="宋体" w:hAnsi="宋体" w:cs="仿宋_GB2312"/>
          <w:color w:val="auto"/>
          <w:sz w:val="24"/>
        </w:rPr>
        <w:t xml:space="preserve"> </w:t>
      </w:r>
      <w:r>
        <w:rPr>
          <w:rFonts w:hint="eastAsia" w:ascii="宋体" w:hAnsi="宋体" w:cs="仿宋_GB2312"/>
          <w:color w:val="auto"/>
          <w:sz w:val="24"/>
        </w:rPr>
        <w:t>职务：</w:t>
      </w:r>
      <w:r>
        <w:rPr>
          <w:rFonts w:hint="eastAsia" w:ascii="宋体" w:hAnsi="宋体" w:cs="仿宋_GB2312"/>
          <w:color w:val="auto"/>
          <w:sz w:val="24"/>
          <w:u w:val="single"/>
        </w:rPr>
        <w:t xml:space="preserve">        </w:t>
      </w:r>
    </w:p>
    <w:p w14:paraId="58527D1C">
      <w:pPr>
        <w:wordWrap w:val="0"/>
        <w:spacing w:line="360" w:lineRule="auto"/>
        <w:ind w:firstLine="480" w:firstLineChars="200"/>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（投标人名称）的法定代表人。</w:t>
      </w:r>
    </w:p>
    <w:p w14:paraId="3F8B8F60">
      <w:pPr>
        <w:wordWrap w:val="0"/>
        <w:spacing w:line="360" w:lineRule="auto"/>
        <w:ind w:firstLine="480" w:firstLineChars="200"/>
        <w:rPr>
          <w:rFonts w:hint="eastAsia" w:ascii="宋体" w:hAnsi="宋体" w:cs="宋体"/>
          <w:color w:val="auto"/>
          <w:sz w:val="24"/>
        </w:rPr>
      </w:pPr>
    </w:p>
    <w:p w14:paraId="4D099AAA">
      <w:pPr>
        <w:wordWrap w:val="0"/>
        <w:spacing w:line="360" w:lineRule="auto"/>
        <w:ind w:firstLine="480" w:firstLineChars="200"/>
        <w:rPr>
          <w:rFonts w:ascii="宋体" w:hAnsi="宋体" w:cs="宋体"/>
          <w:color w:val="auto"/>
          <w:sz w:val="24"/>
        </w:rPr>
      </w:pPr>
      <w:r>
        <w:rPr>
          <w:rFonts w:hint="eastAsia" w:ascii="宋体" w:hAnsi="宋体" w:cs="宋体"/>
          <w:color w:val="auto"/>
          <w:sz w:val="24"/>
        </w:rPr>
        <w:t>特此证明。</w:t>
      </w:r>
    </w:p>
    <w:p w14:paraId="0C0DAB33">
      <w:pPr>
        <w:wordWrap w:val="0"/>
        <w:ind w:firstLine="1080" w:firstLineChars="450"/>
        <w:rPr>
          <w:rFonts w:ascii="宋体" w:hAnsi="宋体" w:cs="宋体"/>
          <w:color w:val="auto"/>
          <w:sz w:val="24"/>
        </w:rPr>
      </w:pPr>
    </w:p>
    <w:p w14:paraId="270F73FA">
      <w:pPr>
        <w:wordWrap w:val="0"/>
        <w:spacing w:line="440" w:lineRule="exact"/>
        <w:ind w:firstLine="360" w:firstLineChars="150"/>
        <w:rPr>
          <w:rFonts w:ascii="宋体" w:hAnsi="宋体"/>
          <w:color w:val="auto"/>
          <w:sz w:val="24"/>
        </w:rPr>
      </w:pPr>
      <w:r>
        <w:rPr>
          <w:rFonts w:hint="eastAsia" w:ascii="宋体" w:hAnsi="宋体"/>
          <w:color w:val="auto"/>
          <w:sz w:val="24"/>
        </w:rPr>
        <w:t>附：法定代表人身份证正反面扫描件。</w:t>
      </w:r>
    </w:p>
    <w:p w14:paraId="28442DCC">
      <w:pPr>
        <w:wordWrap w:val="0"/>
        <w:spacing w:line="440" w:lineRule="exact"/>
        <w:rPr>
          <w:rFonts w:ascii="宋体" w:hAnsi="宋体"/>
          <w:color w:val="auto"/>
          <w:sz w:val="24"/>
        </w:rPr>
      </w:pPr>
    </w:p>
    <w:p w14:paraId="5B1CA066">
      <w:pPr>
        <w:wordWrap w:val="0"/>
        <w:ind w:firstLine="1080" w:firstLineChars="450"/>
        <w:rPr>
          <w:rFonts w:ascii="宋体" w:hAnsi="宋体" w:cs="宋体"/>
          <w:color w:val="auto"/>
          <w:sz w:val="24"/>
        </w:rPr>
      </w:pPr>
    </w:p>
    <w:p w14:paraId="6CE83FD3">
      <w:pPr>
        <w:wordWrap w:val="0"/>
        <w:ind w:firstLine="1080" w:firstLineChars="450"/>
        <w:rPr>
          <w:rFonts w:ascii="宋体" w:hAnsi="宋体" w:cs="宋体"/>
          <w:color w:val="auto"/>
          <w:sz w:val="24"/>
        </w:rPr>
      </w:pPr>
    </w:p>
    <w:p w14:paraId="67A0C444">
      <w:pPr>
        <w:wordWrap w:val="0"/>
        <w:ind w:firstLine="1080" w:firstLineChars="450"/>
        <w:rPr>
          <w:rFonts w:ascii="宋体" w:hAnsi="宋体" w:cs="宋体"/>
          <w:color w:val="auto"/>
          <w:sz w:val="24"/>
        </w:rPr>
      </w:pPr>
    </w:p>
    <w:p w14:paraId="794E37EE">
      <w:pPr>
        <w:wordWrap w:val="0"/>
        <w:ind w:right="420" w:firstLine="3480" w:firstLineChars="1450"/>
        <w:rPr>
          <w:rFonts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val="zh-CN" w:bidi="zh-CN"/>
        </w:rPr>
        <w:t>单位电子签章</w:t>
      </w:r>
      <w:r>
        <w:rPr>
          <w:rFonts w:hint="eastAsia" w:ascii="宋体" w:hAnsi="宋体" w:cs="宋体"/>
          <w:color w:val="auto"/>
          <w:sz w:val="24"/>
        </w:rPr>
        <w:t>）</w:t>
      </w:r>
    </w:p>
    <w:p w14:paraId="328BC88A">
      <w:pPr>
        <w:wordWrap w:val="0"/>
        <w:ind w:firstLine="1080" w:firstLineChars="450"/>
        <w:jc w:val="right"/>
        <w:rPr>
          <w:rFonts w:ascii="宋体" w:hAnsi="宋体" w:cs="宋体"/>
          <w:color w:val="auto"/>
          <w:sz w:val="24"/>
        </w:rPr>
      </w:pPr>
    </w:p>
    <w:p w14:paraId="3E2FAA4D">
      <w:pPr>
        <w:wordWrap w:val="0"/>
        <w:ind w:right="48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3296BD9">
      <w:pPr>
        <w:wordWrap w:val="0"/>
        <w:rPr>
          <w:rFonts w:ascii="宋体" w:hAnsi="宋体" w:cs="宋体"/>
          <w:color w:val="auto"/>
          <w:sz w:val="24"/>
        </w:rPr>
      </w:pPr>
      <w:r>
        <w:rPr>
          <w:rFonts w:hint="eastAsia" w:ascii="宋体" w:hAnsi="宋体" w:cs="宋体"/>
          <w:color w:val="auto"/>
          <w:sz w:val="24"/>
        </w:rPr>
        <w:t xml:space="preserve"> </w:t>
      </w:r>
    </w:p>
    <w:p w14:paraId="248F0C90">
      <w:pPr>
        <w:tabs>
          <w:tab w:val="left" w:pos="1080"/>
        </w:tabs>
        <w:wordWrap w:val="0"/>
        <w:spacing w:line="400" w:lineRule="exact"/>
        <w:rPr>
          <w:rFonts w:ascii="宋体" w:hAnsi="宋体" w:cs="宋体"/>
          <w:b/>
          <w:color w:val="auto"/>
          <w:sz w:val="24"/>
        </w:rPr>
      </w:pPr>
    </w:p>
    <w:p w14:paraId="3B559EED">
      <w:pPr>
        <w:wordWrap w:val="0"/>
        <w:jc w:val="center"/>
        <w:rPr>
          <w:b/>
          <w:color w:val="auto"/>
          <w:sz w:val="24"/>
        </w:rPr>
      </w:pPr>
      <w:r>
        <w:rPr>
          <w:rFonts w:ascii="宋体" w:hAnsi="宋体" w:cs="宋体"/>
          <w:b/>
          <w:color w:val="auto"/>
          <w:szCs w:val="21"/>
        </w:rPr>
        <w:br w:type="page"/>
      </w:r>
    </w:p>
    <w:p w14:paraId="541A1D78">
      <w:pPr>
        <w:wordWrap w:val="0"/>
        <w:jc w:val="center"/>
        <w:rPr>
          <w:b/>
          <w:color w:val="auto"/>
          <w:sz w:val="24"/>
        </w:rPr>
      </w:pPr>
      <w:r>
        <w:rPr>
          <w:rFonts w:hint="eastAsia"/>
          <w:b/>
          <w:color w:val="auto"/>
          <w:sz w:val="24"/>
        </w:rPr>
        <w:t>（二）授权委托书</w:t>
      </w:r>
    </w:p>
    <w:p w14:paraId="7DEF9353">
      <w:pPr>
        <w:wordWrap w:val="0"/>
        <w:spacing w:line="360" w:lineRule="auto"/>
        <w:ind w:firstLine="480" w:firstLineChars="200"/>
        <w:rPr>
          <w:rFonts w:hint="eastAsia" w:ascii="宋体" w:hAnsi="宋体" w:cs="宋体"/>
          <w:color w:val="auto"/>
          <w:sz w:val="24"/>
        </w:rPr>
      </w:pPr>
    </w:p>
    <w:p w14:paraId="469B2835">
      <w:pPr>
        <w:wordWrap w:val="0"/>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本人</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（投标人名称）的法定代表人，现委托</w:t>
      </w:r>
      <w:r>
        <w:rPr>
          <w:rFonts w:hint="eastAsia" w:ascii="宋体" w:hAnsi="宋体" w:cs="宋体"/>
          <w:color w:val="auto"/>
          <w:sz w:val="24"/>
          <w:u w:val="single"/>
        </w:rPr>
        <w:t xml:space="preserve">         </w:t>
      </w:r>
    </w:p>
    <w:p w14:paraId="45DEF032">
      <w:pPr>
        <w:wordWrap w:val="0"/>
        <w:spacing w:line="360" w:lineRule="auto"/>
        <w:rPr>
          <w:rFonts w:ascii="宋体" w:hAnsi="宋体" w:cs="宋体"/>
          <w:color w:val="auto"/>
          <w:sz w:val="24"/>
        </w:rPr>
      </w:pPr>
      <w:r>
        <w:rPr>
          <w:rFonts w:hint="eastAsia" w:ascii="宋体" w:hAnsi="宋体" w:cs="宋体"/>
          <w:color w:val="auto"/>
          <w:sz w:val="24"/>
        </w:rPr>
        <w:t>（姓名）为我方代理人。代理人根据授权，以我方名义签署、澄清、说明、补正、递交、撤回、修改</w:t>
      </w:r>
      <w:r>
        <w:rPr>
          <w:rFonts w:hint="eastAsia" w:ascii="宋体" w:hAnsi="宋体" w:cs="宋体"/>
          <w:color w:val="auto"/>
          <w:sz w:val="24"/>
          <w:u w:val="single"/>
        </w:rPr>
        <w:t xml:space="preserve">                </w:t>
      </w:r>
      <w:r>
        <w:rPr>
          <w:rFonts w:hint="eastAsia" w:ascii="宋体" w:hAnsi="宋体" w:cs="宋体"/>
          <w:color w:val="auto"/>
          <w:sz w:val="24"/>
        </w:rPr>
        <w:t>（项目名称）投标文件、签订合同和处理有关事宜，其法律后果由我方承担。</w:t>
      </w:r>
    </w:p>
    <w:p w14:paraId="6DD62967">
      <w:pPr>
        <w:wordWrap w:val="0"/>
        <w:spacing w:line="360" w:lineRule="auto"/>
        <w:ind w:firstLine="480" w:firstLineChars="200"/>
        <w:rPr>
          <w:rFonts w:ascii="宋体" w:hAnsi="宋体" w:cs="宋体"/>
          <w:color w:val="auto"/>
          <w:sz w:val="24"/>
        </w:rPr>
      </w:pPr>
      <w:r>
        <w:rPr>
          <w:rFonts w:hint="eastAsia" w:ascii="宋体" w:hAnsi="宋体" w:cs="宋体"/>
          <w:color w:val="auto"/>
          <w:sz w:val="24"/>
        </w:rPr>
        <w:t>代理人无转委托权。</w:t>
      </w:r>
    </w:p>
    <w:p w14:paraId="69DA1B8E">
      <w:pPr>
        <w:wordWrap w:val="0"/>
        <w:spacing w:line="360" w:lineRule="auto"/>
        <w:ind w:firstLine="464" w:firstLineChars="200"/>
        <w:rPr>
          <w:rFonts w:ascii="宋体" w:hAnsi="宋体" w:cs="宋体"/>
          <w:color w:val="auto"/>
          <w:sz w:val="24"/>
        </w:rPr>
      </w:pPr>
      <w:r>
        <w:rPr>
          <w:rFonts w:hint="eastAsia" w:ascii="宋体" w:hAnsi="宋体" w:cs="宋体"/>
          <w:color w:val="auto"/>
          <w:spacing w:val="-4"/>
          <w:sz w:val="24"/>
          <w:lang w:val="zh-CN" w:bidi="zh-CN"/>
        </w:rPr>
        <w:t>附：</w:t>
      </w:r>
      <w:r>
        <w:rPr>
          <w:rFonts w:hint="eastAsia" w:ascii="宋体" w:hAnsi="宋体" w:cs="宋体"/>
          <w:color w:val="auto"/>
          <w:sz w:val="24"/>
          <w:lang w:val="zh-CN" w:bidi="zh-CN"/>
        </w:rPr>
        <w:t>被授权人的身份证正反面扫描件</w:t>
      </w:r>
    </w:p>
    <w:p w14:paraId="49616592">
      <w:pPr>
        <w:wordWrap w:val="0"/>
        <w:spacing w:line="360" w:lineRule="auto"/>
        <w:ind w:firstLine="480" w:firstLineChars="200"/>
        <w:rPr>
          <w:rFonts w:ascii="宋体" w:hAnsi="宋体" w:cs="宋体"/>
          <w:color w:val="auto"/>
          <w:sz w:val="24"/>
        </w:rPr>
      </w:pPr>
    </w:p>
    <w:p w14:paraId="53297A2F">
      <w:pPr>
        <w:wordWrap w:val="0"/>
        <w:spacing w:line="360" w:lineRule="auto"/>
        <w:ind w:firstLine="480" w:firstLineChars="200"/>
        <w:rPr>
          <w:rFonts w:ascii="宋体" w:hAnsi="宋体" w:cs="宋体"/>
          <w:color w:val="auto"/>
          <w:sz w:val="24"/>
        </w:rPr>
      </w:pPr>
    </w:p>
    <w:p w14:paraId="7FDF4F57">
      <w:pPr>
        <w:wordWrap w:val="0"/>
        <w:autoSpaceDE w:val="0"/>
        <w:autoSpaceDN w:val="0"/>
        <w:spacing w:line="480" w:lineRule="auto"/>
        <w:rPr>
          <w:rFonts w:ascii="宋体" w:hAnsi="宋体" w:cs="宋体"/>
          <w:color w:val="auto"/>
          <w:sz w:val="24"/>
          <w:lang w:val="zh-CN" w:bidi="zh-CN"/>
        </w:rPr>
      </w:pPr>
      <w:r>
        <w:rPr>
          <w:rFonts w:hint="eastAsia" w:ascii="宋体" w:hAnsi="宋体" w:cs="宋体"/>
          <w:color w:val="auto"/>
          <w:sz w:val="24"/>
          <w:lang w:val="zh-CN" w:bidi="zh-CN"/>
        </w:rPr>
        <w:t>投标人：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（单位电子签章）</w:t>
      </w:r>
    </w:p>
    <w:p w14:paraId="64652A47">
      <w:pPr>
        <w:wordWrap w:val="0"/>
        <w:spacing w:line="480" w:lineRule="auto"/>
        <w:rPr>
          <w:rFonts w:ascii="宋体" w:hAnsi="宋体"/>
          <w:color w:val="auto"/>
          <w:sz w:val="24"/>
        </w:rPr>
      </w:pPr>
      <w:r>
        <w:rPr>
          <w:rFonts w:hint="eastAsia" w:ascii="宋体" w:hAnsi="宋体" w:cs="宋体"/>
          <w:color w:val="auto"/>
          <w:sz w:val="24"/>
          <w:lang w:val="zh-CN" w:bidi="zh-CN"/>
        </w:rPr>
        <w:t>法定代表人：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（法人电子签章）</w:t>
      </w:r>
    </w:p>
    <w:p w14:paraId="4F04EC87">
      <w:pPr>
        <w:wordWrap w:val="0"/>
        <w:autoSpaceDE w:val="0"/>
        <w:autoSpaceDN w:val="0"/>
        <w:spacing w:line="480" w:lineRule="auto"/>
        <w:rPr>
          <w:rFonts w:ascii="宋体" w:hAnsi="宋体" w:cs="宋体"/>
          <w:color w:val="auto"/>
          <w:sz w:val="24"/>
          <w:lang w:val="zh-CN" w:bidi="zh-CN"/>
        </w:rPr>
      </w:pPr>
      <w:r>
        <w:rPr>
          <w:rFonts w:hint="eastAsia" w:ascii="宋体" w:hAnsi="宋体" w:cs="宋体"/>
          <w:color w:val="auto"/>
          <w:sz w:val="24"/>
          <w:lang w:val="zh-CN" w:bidi="zh-CN"/>
        </w:rPr>
        <w:t>法定代表人身份证号码：</w:t>
      </w:r>
      <w:r>
        <w:rPr>
          <w:rFonts w:hint="eastAsia" w:ascii="宋体" w:hAnsi="宋体" w:cs="宋体"/>
          <w:color w:val="auto"/>
          <w:sz w:val="24"/>
          <w:u w:val="single"/>
          <w:lang w:val="zh-CN" w:bidi="zh-CN"/>
        </w:rPr>
        <w:t xml:space="preserve">                      </w:t>
      </w:r>
    </w:p>
    <w:p w14:paraId="48487533">
      <w:pPr>
        <w:wordWrap w:val="0"/>
        <w:autoSpaceDE w:val="0"/>
        <w:autoSpaceDN w:val="0"/>
        <w:adjustRightInd w:val="0"/>
        <w:spacing w:line="480" w:lineRule="auto"/>
        <w:rPr>
          <w:rFonts w:ascii="宋体" w:hAnsi="宋体" w:cs="仿宋_GB2312"/>
          <w:color w:val="auto"/>
          <w:sz w:val="24"/>
        </w:rPr>
      </w:pPr>
      <w:r>
        <w:rPr>
          <w:rFonts w:hint="eastAsia" w:ascii="宋体" w:hAnsi="宋体" w:cs="仿宋_GB2312"/>
          <w:color w:val="auto"/>
          <w:sz w:val="24"/>
        </w:rPr>
        <w:t>委托代理人：</w:t>
      </w:r>
      <w:r>
        <w:rPr>
          <w:rFonts w:hint="eastAsia" w:ascii="宋体" w:hAnsi="宋体" w:cs="仿宋_GB2312"/>
          <w:color w:val="auto"/>
          <w:sz w:val="24"/>
          <w:u w:val="single"/>
        </w:rPr>
        <w:t xml:space="preserve">                        </w:t>
      </w:r>
      <w:r>
        <w:rPr>
          <w:rFonts w:ascii="宋体" w:hAnsi="宋体" w:cs="仿宋_GB2312"/>
          <w:color w:val="auto"/>
          <w:sz w:val="24"/>
        </w:rPr>
        <w:t xml:space="preserve"> </w:t>
      </w:r>
      <w:r>
        <w:rPr>
          <w:rFonts w:hint="eastAsia" w:ascii="宋体" w:hAnsi="宋体" w:cs="仿宋_GB2312"/>
          <w:color w:val="auto"/>
          <w:sz w:val="24"/>
        </w:rPr>
        <w:t>（签字）</w:t>
      </w:r>
    </w:p>
    <w:p w14:paraId="0DA6F918">
      <w:pPr>
        <w:wordWrap w:val="0"/>
        <w:autoSpaceDE w:val="0"/>
        <w:autoSpaceDN w:val="0"/>
        <w:spacing w:line="480" w:lineRule="auto"/>
        <w:rPr>
          <w:rFonts w:ascii="宋体" w:hAnsi="宋体"/>
          <w:color w:val="auto"/>
          <w:sz w:val="24"/>
        </w:rPr>
      </w:pPr>
      <w:r>
        <w:rPr>
          <w:rFonts w:hint="eastAsia" w:ascii="宋体" w:hAnsi="宋体" w:cs="宋体"/>
          <w:color w:val="auto"/>
          <w:sz w:val="24"/>
          <w:lang w:val="zh-CN" w:bidi="zh-CN"/>
        </w:rPr>
        <w:t>委托人身份证号码：</w:t>
      </w:r>
      <w:r>
        <w:rPr>
          <w:rFonts w:hint="eastAsia" w:ascii="宋体" w:hAnsi="宋体"/>
          <w:color w:val="auto"/>
          <w:sz w:val="24"/>
          <w:u w:val="single"/>
        </w:rPr>
        <w:t xml:space="preserve">                          </w:t>
      </w:r>
    </w:p>
    <w:p w14:paraId="57DE1C35">
      <w:pPr>
        <w:wordWrap w:val="0"/>
        <w:spacing w:line="480" w:lineRule="auto"/>
        <w:rPr>
          <w:rFonts w:ascii="宋体" w:hAnsi="宋体"/>
          <w:color w:val="auto"/>
          <w:sz w:val="24"/>
        </w:rPr>
      </w:pPr>
      <w:r>
        <w:rPr>
          <w:rFonts w:hint="eastAsia" w:ascii="宋体" w:hAnsi="宋体"/>
          <w:color w:val="auto"/>
          <w:sz w:val="24"/>
        </w:rPr>
        <w:t xml:space="preserve">  </w:t>
      </w:r>
      <w:r>
        <w:rPr>
          <w:rFonts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ascii="宋体" w:hAnsi="宋体"/>
          <w:color w:val="auto"/>
          <w:sz w:val="24"/>
        </w:rPr>
        <w:t>日</w:t>
      </w:r>
    </w:p>
    <w:p w14:paraId="6522A424">
      <w:pPr>
        <w:wordWrap w:val="0"/>
        <w:spacing w:line="480" w:lineRule="auto"/>
        <w:ind w:right="560" w:firstLine="480" w:firstLineChars="200"/>
        <w:jc w:val="center"/>
        <w:rPr>
          <w:rFonts w:ascii="宋体" w:hAnsi="宋体" w:cs="宋体"/>
          <w:color w:val="auto"/>
          <w:sz w:val="24"/>
        </w:rPr>
      </w:pPr>
    </w:p>
    <w:p w14:paraId="6B904434">
      <w:pPr>
        <w:wordWrap w:val="0"/>
        <w:autoSpaceDE w:val="0"/>
        <w:autoSpaceDN w:val="0"/>
        <w:adjustRightInd w:val="0"/>
        <w:spacing w:line="360" w:lineRule="auto"/>
        <w:rPr>
          <w:rFonts w:ascii="宋体" w:hAnsi="宋体" w:cs="仿宋_GB2312"/>
          <w:color w:val="auto"/>
          <w:sz w:val="24"/>
        </w:rPr>
      </w:pPr>
      <w:r>
        <w:rPr>
          <w:rFonts w:hint="eastAsia" w:ascii="宋体" w:hAnsi="宋体" w:cs="仿宋_GB2312"/>
          <w:color w:val="auto"/>
          <w:sz w:val="24"/>
        </w:rPr>
        <w:t>注：如投标文件中授权委托书授权代理人无法手写签字，可以以印刷体代替（印刷体为电脑打出的字体）。如果由投标人的法定代表人签署电子投标文件的，则不需提交电子授权委托书。</w:t>
      </w:r>
    </w:p>
    <w:p w14:paraId="79EF3721">
      <w:pPr>
        <w:wordWrap w:val="0"/>
        <w:spacing w:line="360" w:lineRule="auto"/>
        <w:rPr>
          <w:rFonts w:ascii="宋体" w:hAnsi="宋体" w:cs="宋体"/>
          <w:color w:val="auto"/>
          <w:sz w:val="24"/>
        </w:rPr>
      </w:pPr>
    </w:p>
    <w:p w14:paraId="5920FDD1">
      <w:pPr>
        <w:wordWrap w:val="0"/>
        <w:spacing w:line="360" w:lineRule="auto"/>
        <w:jc w:val="center"/>
        <w:rPr>
          <w:rFonts w:ascii="宋体" w:hAnsi="宋体" w:cs="宋体"/>
          <w:color w:val="auto"/>
          <w:sz w:val="24"/>
        </w:rPr>
      </w:pPr>
    </w:p>
    <w:p w14:paraId="0AD4FEE9">
      <w:pPr>
        <w:wordWrap w:val="0"/>
        <w:spacing w:line="360" w:lineRule="auto"/>
        <w:jc w:val="center"/>
        <w:rPr>
          <w:rFonts w:ascii="宋体" w:hAnsi="宋体" w:cs="宋体"/>
          <w:color w:val="auto"/>
          <w:sz w:val="24"/>
        </w:rPr>
      </w:pPr>
    </w:p>
    <w:p w14:paraId="5E305D21">
      <w:pPr>
        <w:wordWrap w:val="0"/>
        <w:jc w:val="center"/>
        <w:rPr>
          <w:rFonts w:ascii="宋体" w:hAnsi="宋体" w:cs="宋体"/>
          <w:color w:val="auto"/>
          <w:szCs w:val="21"/>
        </w:rPr>
      </w:pPr>
    </w:p>
    <w:p w14:paraId="5B5F955B">
      <w:pPr>
        <w:wordWrap w:val="0"/>
        <w:jc w:val="center"/>
        <w:rPr>
          <w:rFonts w:ascii="宋体" w:hAnsi="宋体" w:cs="宋体"/>
          <w:color w:val="auto"/>
          <w:szCs w:val="21"/>
        </w:rPr>
      </w:pPr>
    </w:p>
    <w:p w14:paraId="17E5FFE2">
      <w:pPr>
        <w:wordWrap w:val="0"/>
        <w:jc w:val="center"/>
        <w:rPr>
          <w:rFonts w:ascii="宋体" w:hAnsi="宋体" w:cs="宋体"/>
          <w:color w:val="auto"/>
          <w:szCs w:val="21"/>
        </w:rPr>
      </w:pPr>
    </w:p>
    <w:p w14:paraId="7CA80F63">
      <w:pPr>
        <w:tabs>
          <w:tab w:val="left" w:pos="1080"/>
        </w:tabs>
        <w:wordWrap w:val="0"/>
        <w:spacing w:line="360" w:lineRule="auto"/>
        <w:jc w:val="center"/>
        <w:outlineLvl w:val="1"/>
        <w:rPr>
          <w:rFonts w:ascii="宋体" w:hAnsi="宋体" w:cs="宋体"/>
          <w:b/>
          <w:color w:val="auto"/>
          <w:sz w:val="24"/>
        </w:rPr>
      </w:pPr>
      <w:r>
        <w:rPr>
          <w:rFonts w:hint="eastAsia" w:ascii="宋体" w:hAnsi="宋体" w:cs="宋体"/>
          <w:color w:val="auto"/>
          <w:szCs w:val="21"/>
        </w:rPr>
        <w:br w:type="page"/>
      </w:r>
      <w:bookmarkStart w:id="699" w:name="_Toc76460605"/>
      <w:bookmarkStart w:id="700" w:name="_Toc83750151"/>
      <w:bookmarkStart w:id="701" w:name="_Toc22922"/>
      <w:bookmarkStart w:id="702" w:name="_Toc30564"/>
      <w:bookmarkStart w:id="703" w:name="_Toc489602193"/>
      <w:bookmarkStart w:id="704" w:name="_Toc463691051"/>
      <w:bookmarkStart w:id="705" w:name="_Toc180485661"/>
      <w:r>
        <w:rPr>
          <w:rFonts w:hint="eastAsia" w:ascii="宋体" w:hAnsi="宋体" w:cs="宋体"/>
          <w:b/>
          <w:color w:val="auto"/>
          <w:sz w:val="24"/>
        </w:rPr>
        <w:t>三、投标保证金</w:t>
      </w:r>
      <w:bookmarkEnd w:id="699"/>
      <w:bookmarkEnd w:id="700"/>
      <w:bookmarkEnd w:id="701"/>
      <w:bookmarkEnd w:id="702"/>
      <w:bookmarkEnd w:id="703"/>
      <w:bookmarkEnd w:id="704"/>
      <w:bookmarkEnd w:id="705"/>
    </w:p>
    <w:p w14:paraId="2D72F3DF">
      <w:pPr>
        <w:wordWrap w:val="0"/>
        <w:jc w:val="center"/>
        <w:rPr>
          <w:rFonts w:ascii="宋体" w:hAnsi="宋体" w:cs="宋体"/>
          <w:color w:val="auto"/>
          <w:szCs w:val="21"/>
        </w:rPr>
      </w:pPr>
    </w:p>
    <w:p w14:paraId="610AC263">
      <w:pPr>
        <w:widowControl/>
        <w:wordWrap w:val="0"/>
        <w:adjustRightInd w:val="0"/>
        <w:snapToGrid w:val="0"/>
        <w:spacing w:after="200" w:line="360" w:lineRule="auto"/>
        <w:jc w:val="center"/>
        <w:rPr>
          <w:rFonts w:ascii="宋体" w:hAnsi="宋体"/>
          <w:bCs/>
          <w:color w:val="auto"/>
          <w:kern w:val="0"/>
          <w:sz w:val="24"/>
        </w:rPr>
      </w:pPr>
      <w:r>
        <w:rPr>
          <w:rFonts w:hint="eastAsia" w:ascii="宋体" w:hAnsi="宋体"/>
          <w:bCs/>
          <w:color w:val="auto"/>
          <w:kern w:val="0"/>
          <w:sz w:val="24"/>
        </w:rPr>
        <w:t>附投标保证金转账凭证或电子保函凭证及银行开户信息</w:t>
      </w:r>
    </w:p>
    <w:p w14:paraId="2196BCCE">
      <w:pPr>
        <w:wordWrap w:val="0"/>
        <w:jc w:val="center"/>
        <w:rPr>
          <w:rFonts w:ascii="宋体" w:hAnsi="宋体" w:cs="宋体"/>
          <w:color w:val="auto"/>
          <w:szCs w:val="21"/>
        </w:rPr>
      </w:pPr>
    </w:p>
    <w:p w14:paraId="28B2876B">
      <w:pPr>
        <w:wordWrap w:val="0"/>
        <w:jc w:val="center"/>
        <w:rPr>
          <w:rFonts w:ascii="宋体" w:hAnsi="宋体" w:cs="宋体"/>
          <w:color w:val="auto"/>
          <w:szCs w:val="21"/>
        </w:rPr>
      </w:pPr>
    </w:p>
    <w:p w14:paraId="46CDB0B5">
      <w:pPr>
        <w:wordWrap w:val="0"/>
        <w:jc w:val="center"/>
        <w:rPr>
          <w:rFonts w:ascii="宋体" w:hAnsi="宋体" w:cs="宋体"/>
          <w:color w:val="auto"/>
          <w:szCs w:val="21"/>
        </w:rPr>
      </w:pPr>
    </w:p>
    <w:p w14:paraId="775463A7">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投标人：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（单位电子签章）</w:t>
      </w:r>
    </w:p>
    <w:p w14:paraId="53713E8A">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法定代表人：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（法人电子签章）</w:t>
      </w:r>
    </w:p>
    <w:p w14:paraId="378AA648">
      <w:pPr>
        <w:tabs>
          <w:tab w:val="left" w:pos="6170"/>
        </w:tabs>
        <w:wordWrap w:val="0"/>
        <w:autoSpaceDE w:val="0"/>
        <w:autoSpaceDN w:val="0"/>
        <w:spacing w:line="480" w:lineRule="auto"/>
        <w:ind w:firstLine="2520" w:firstLineChars="1050"/>
        <w:rPr>
          <w:rFonts w:ascii="宋体" w:hAnsi="宋体"/>
          <w:color w:val="auto"/>
          <w:sz w:val="24"/>
        </w:rPr>
      </w:pPr>
      <w:r>
        <w:rPr>
          <w:rFonts w:hint="eastAsia" w:ascii="宋体" w:hAnsi="宋体" w:cs="宋体"/>
          <w:color w:val="auto"/>
          <w:sz w:val="24"/>
          <w:lang w:val="zh-CN" w:bidi="zh-CN"/>
        </w:rPr>
        <w:t>日期：</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年</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月</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日</w:t>
      </w:r>
      <w:r>
        <w:rPr>
          <w:rFonts w:hint="eastAsia" w:ascii="宋体" w:hAnsi="宋体"/>
          <w:color w:val="auto"/>
          <w:sz w:val="24"/>
        </w:rPr>
        <w:t xml:space="preserve">  </w:t>
      </w:r>
    </w:p>
    <w:p w14:paraId="42AB5649">
      <w:pPr>
        <w:wordWrap w:val="0"/>
        <w:jc w:val="center"/>
        <w:rPr>
          <w:rFonts w:ascii="宋体" w:hAnsi="宋体" w:cs="宋体"/>
          <w:color w:val="auto"/>
          <w:szCs w:val="21"/>
        </w:rPr>
      </w:pPr>
    </w:p>
    <w:p w14:paraId="4C3E68B1">
      <w:pPr>
        <w:wordWrap w:val="0"/>
        <w:jc w:val="center"/>
        <w:rPr>
          <w:rFonts w:ascii="宋体" w:hAnsi="宋体" w:cs="宋体"/>
          <w:color w:val="auto"/>
          <w:szCs w:val="21"/>
        </w:rPr>
      </w:pPr>
    </w:p>
    <w:p w14:paraId="59683504">
      <w:pPr>
        <w:wordWrap w:val="0"/>
        <w:jc w:val="center"/>
        <w:rPr>
          <w:rFonts w:ascii="宋体" w:hAnsi="宋体" w:cs="宋体"/>
          <w:color w:val="auto"/>
          <w:szCs w:val="21"/>
        </w:rPr>
      </w:pPr>
    </w:p>
    <w:p w14:paraId="3735EA7B">
      <w:pPr>
        <w:wordWrap w:val="0"/>
        <w:jc w:val="center"/>
        <w:rPr>
          <w:rFonts w:ascii="宋体" w:hAnsi="宋体" w:cs="宋体"/>
          <w:color w:val="auto"/>
          <w:szCs w:val="21"/>
        </w:rPr>
      </w:pPr>
    </w:p>
    <w:p w14:paraId="7E300FB3">
      <w:pPr>
        <w:wordWrap w:val="0"/>
        <w:rPr>
          <w:rFonts w:ascii="宋体" w:hAnsi="宋体" w:cs="宋体"/>
          <w:color w:val="auto"/>
          <w:szCs w:val="21"/>
        </w:rPr>
      </w:pPr>
    </w:p>
    <w:p w14:paraId="43B096A0">
      <w:pPr>
        <w:wordWrap w:val="0"/>
        <w:rPr>
          <w:rFonts w:ascii="宋体" w:hAnsi="宋体" w:cs="宋体"/>
          <w:color w:val="auto"/>
          <w:szCs w:val="21"/>
        </w:rPr>
      </w:pPr>
    </w:p>
    <w:p w14:paraId="6297498F">
      <w:pPr>
        <w:wordWrap w:val="0"/>
        <w:rPr>
          <w:rFonts w:ascii="宋体" w:hAnsi="宋体" w:cs="宋体"/>
          <w:color w:val="auto"/>
          <w:szCs w:val="21"/>
        </w:rPr>
      </w:pPr>
    </w:p>
    <w:p w14:paraId="59CEA3F2">
      <w:pPr>
        <w:tabs>
          <w:tab w:val="left" w:pos="1080"/>
        </w:tabs>
        <w:wordWrap w:val="0"/>
        <w:spacing w:line="360" w:lineRule="auto"/>
        <w:jc w:val="center"/>
        <w:outlineLvl w:val="1"/>
        <w:rPr>
          <w:rFonts w:ascii="宋体" w:hAnsi="宋体"/>
          <w:color w:val="auto"/>
          <w:szCs w:val="20"/>
        </w:rPr>
      </w:pPr>
      <w:bookmarkStart w:id="706" w:name="_Toc463691052"/>
      <w:bookmarkStart w:id="707" w:name="_Toc11456"/>
      <w:bookmarkStart w:id="708" w:name="_Toc4084"/>
      <w:r>
        <w:rPr>
          <w:rFonts w:hint="eastAsia" w:ascii="宋体" w:hAnsi="宋体" w:cs="宋体"/>
          <w:color w:val="auto"/>
          <w:szCs w:val="21"/>
        </w:rPr>
        <w:br w:type="page"/>
      </w:r>
      <w:bookmarkEnd w:id="706"/>
      <w:bookmarkEnd w:id="707"/>
      <w:bookmarkEnd w:id="708"/>
      <w:bookmarkStart w:id="709" w:name="_Toc27156"/>
      <w:bookmarkStart w:id="710" w:name="_Toc29883"/>
      <w:bookmarkStart w:id="711" w:name="_Toc180485662"/>
      <w:r>
        <w:rPr>
          <w:rFonts w:hint="eastAsia" w:ascii="宋体" w:hAnsi="宋体" w:cs="宋体"/>
          <w:b/>
          <w:color w:val="auto"/>
          <w:sz w:val="24"/>
        </w:rPr>
        <w:t>四、施工组织设计</w:t>
      </w:r>
      <w:bookmarkEnd w:id="709"/>
      <w:bookmarkEnd w:id="710"/>
      <w:bookmarkEnd w:id="711"/>
    </w:p>
    <w:p w14:paraId="7F28DF7D">
      <w:pPr>
        <w:widowControl/>
        <w:wordWrap w:val="0"/>
        <w:spacing w:line="360" w:lineRule="auto"/>
        <w:ind w:firstLine="840" w:firstLineChars="350"/>
        <w:jc w:val="left"/>
        <w:rPr>
          <w:rFonts w:hint="eastAsia" w:ascii="宋体" w:hAnsi="宋体" w:cs="宋体"/>
          <w:color w:val="auto"/>
          <w:kern w:val="0"/>
          <w:sz w:val="24"/>
        </w:rPr>
      </w:pPr>
      <w:r>
        <w:rPr>
          <w:rFonts w:hint="eastAsia" w:ascii="宋体" w:hAnsi="宋体" w:cs="宋体"/>
          <w:color w:val="auto"/>
          <w:kern w:val="0"/>
          <w:sz w:val="24"/>
        </w:rPr>
        <w:t>1、投标人应按以下要点编制施工组织设计（文字宜精炼、内容具有针对性</w:t>
      </w:r>
    </w:p>
    <w:p w14:paraId="165D2593">
      <w:pPr>
        <w:widowControl/>
        <w:wordWrap w:val="0"/>
        <w:spacing w:line="360" w:lineRule="auto"/>
        <w:ind w:firstLine="840" w:firstLineChars="350"/>
        <w:jc w:val="both"/>
        <w:rPr>
          <w:rFonts w:hint="eastAsia"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rPr>
        <w:t>1</w:t>
      </w:r>
      <w:r>
        <w:rPr>
          <w:rFonts w:hint="eastAsia" w:ascii="宋体" w:hAnsi="宋体" w:cs="宋体"/>
          <w:color w:val="auto"/>
          <w:kern w:val="0"/>
          <w:sz w:val="24"/>
          <w:lang w:eastAsia="zh-CN"/>
        </w:rPr>
        <w:t>）</w:t>
      </w:r>
      <w:r>
        <w:rPr>
          <w:rFonts w:hint="eastAsia" w:ascii="宋体" w:hAnsi="宋体" w:cs="宋体"/>
          <w:color w:val="auto"/>
          <w:kern w:val="0"/>
          <w:sz w:val="24"/>
        </w:rPr>
        <w:t>.总体施工组织布置及规划</w:t>
      </w:r>
    </w:p>
    <w:p w14:paraId="72B9DCF7">
      <w:pPr>
        <w:widowControl/>
        <w:wordWrap w:val="0"/>
        <w:spacing w:line="360" w:lineRule="auto"/>
        <w:ind w:firstLine="840" w:firstLineChars="350"/>
        <w:jc w:val="both"/>
        <w:rPr>
          <w:rFonts w:hint="eastAsia"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rPr>
        <w:t>2</w:t>
      </w:r>
      <w:r>
        <w:rPr>
          <w:rFonts w:hint="eastAsia" w:ascii="宋体" w:hAnsi="宋体" w:cs="宋体"/>
          <w:color w:val="auto"/>
          <w:kern w:val="0"/>
          <w:sz w:val="24"/>
          <w:lang w:eastAsia="zh-CN"/>
        </w:rPr>
        <w:t>）</w:t>
      </w:r>
      <w:r>
        <w:rPr>
          <w:rFonts w:hint="eastAsia" w:ascii="宋体" w:hAnsi="宋体" w:cs="宋体"/>
          <w:color w:val="auto"/>
          <w:kern w:val="0"/>
          <w:sz w:val="24"/>
        </w:rPr>
        <w:t>.主要工程项目的施工方案、方法与技术措施</w:t>
      </w:r>
    </w:p>
    <w:p w14:paraId="4012F68E">
      <w:pPr>
        <w:widowControl/>
        <w:wordWrap w:val="0"/>
        <w:spacing w:line="360" w:lineRule="auto"/>
        <w:ind w:firstLine="840" w:firstLineChars="350"/>
        <w:jc w:val="both"/>
        <w:rPr>
          <w:rFonts w:hint="eastAsia" w:ascii="宋体" w:hAnsi="宋体" w:cs="宋体"/>
          <w:color w:val="auto"/>
          <w:kern w:val="0"/>
          <w:sz w:val="24"/>
        </w:rPr>
      </w:pPr>
      <w:r>
        <w:rPr>
          <w:rFonts w:hint="eastAsia" w:ascii="宋体" w:hAnsi="宋体" w:cs="宋体"/>
          <w:color w:val="auto"/>
          <w:kern w:val="0"/>
          <w:sz w:val="24"/>
          <w:lang w:val="en-US" w:eastAsia="zh-CN"/>
        </w:rPr>
        <w:t>(</w:t>
      </w:r>
      <w:r>
        <w:rPr>
          <w:rFonts w:hint="eastAsia" w:ascii="宋体" w:hAnsi="宋体" w:cs="宋体"/>
          <w:color w:val="auto"/>
          <w:kern w:val="0"/>
          <w:sz w:val="24"/>
        </w:rPr>
        <w:t>3</w:t>
      </w:r>
      <w:r>
        <w:rPr>
          <w:rFonts w:hint="eastAsia" w:ascii="宋体" w:hAnsi="宋体" w:cs="宋体"/>
          <w:color w:val="auto"/>
          <w:kern w:val="0"/>
          <w:sz w:val="24"/>
          <w:lang w:val="en-US" w:eastAsia="zh-CN"/>
        </w:rPr>
        <w:t>)</w:t>
      </w:r>
      <w:r>
        <w:rPr>
          <w:rFonts w:hint="eastAsia" w:ascii="宋体" w:hAnsi="宋体" w:cs="宋体"/>
          <w:color w:val="auto"/>
          <w:kern w:val="0"/>
          <w:sz w:val="24"/>
        </w:rPr>
        <w:t>.工期保证体系及保证措施</w:t>
      </w:r>
    </w:p>
    <w:p w14:paraId="171639B7">
      <w:pPr>
        <w:widowControl/>
        <w:wordWrap w:val="0"/>
        <w:spacing w:line="360" w:lineRule="auto"/>
        <w:ind w:firstLine="840" w:firstLineChars="350"/>
        <w:jc w:val="both"/>
        <w:rPr>
          <w:rFonts w:hint="eastAsia" w:ascii="宋体" w:hAnsi="宋体" w:cs="宋体"/>
          <w:color w:val="auto"/>
          <w:kern w:val="0"/>
          <w:sz w:val="24"/>
        </w:rPr>
      </w:pPr>
      <w:r>
        <w:rPr>
          <w:rFonts w:hint="eastAsia" w:ascii="宋体" w:hAnsi="宋体" w:cs="宋体"/>
          <w:color w:val="auto"/>
          <w:kern w:val="0"/>
          <w:sz w:val="24"/>
          <w:lang w:val="en-US" w:eastAsia="zh-CN"/>
        </w:rPr>
        <w:t>(</w:t>
      </w:r>
      <w:r>
        <w:rPr>
          <w:rFonts w:hint="eastAsia" w:ascii="宋体" w:hAnsi="宋体" w:cs="宋体"/>
          <w:color w:val="auto"/>
          <w:kern w:val="0"/>
          <w:sz w:val="24"/>
        </w:rPr>
        <w:t>4</w:t>
      </w:r>
      <w:r>
        <w:rPr>
          <w:rFonts w:hint="eastAsia" w:ascii="宋体" w:hAnsi="宋体" w:cs="宋体"/>
          <w:color w:val="auto"/>
          <w:kern w:val="0"/>
          <w:sz w:val="24"/>
          <w:lang w:val="en-US" w:eastAsia="zh-CN"/>
        </w:rPr>
        <w:t>)</w:t>
      </w:r>
      <w:r>
        <w:rPr>
          <w:rFonts w:hint="eastAsia" w:ascii="宋体" w:hAnsi="宋体" w:cs="宋体"/>
          <w:color w:val="auto"/>
          <w:kern w:val="0"/>
          <w:sz w:val="24"/>
        </w:rPr>
        <w:t>.工程质量管理体系及保证措施</w:t>
      </w:r>
    </w:p>
    <w:p w14:paraId="78F8F2E9">
      <w:pPr>
        <w:widowControl/>
        <w:wordWrap w:val="0"/>
        <w:spacing w:line="360" w:lineRule="auto"/>
        <w:ind w:firstLine="840" w:firstLineChars="350"/>
        <w:jc w:val="both"/>
        <w:rPr>
          <w:rFonts w:hint="eastAsia" w:ascii="宋体" w:hAnsi="宋体" w:cs="宋体"/>
          <w:color w:val="auto"/>
          <w:kern w:val="0"/>
          <w:sz w:val="24"/>
          <w:lang w:val="zh-CN"/>
        </w:rPr>
      </w:pPr>
      <w:r>
        <w:rPr>
          <w:rFonts w:hint="eastAsia" w:ascii="宋体" w:hAnsi="宋体" w:cs="宋体"/>
          <w:color w:val="auto"/>
          <w:kern w:val="0"/>
          <w:sz w:val="24"/>
          <w:lang w:val="en-US" w:eastAsia="zh-CN"/>
        </w:rPr>
        <w:t>(</w:t>
      </w:r>
      <w:r>
        <w:rPr>
          <w:rFonts w:hint="eastAsia" w:ascii="宋体" w:hAnsi="宋体" w:cs="宋体"/>
          <w:color w:val="auto"/>
          <w:kern w:val="0"/>
          <w:sz w:val="24"/>
        </w:rPr>
        <w:t>5</w:t>
      </w:r>
      <w:r>
        <w:rPr>
          <w:rFonts w:hint="eastAsia" w:ascii="宋体" w:hAnsi="宋体" w:cs="宋体"/>
          <w:color w:val="auto"/>
          <w:kern w:val="0"/>
          <w:sz w:val="24"/>
          <w:lang w:val="en-US" w:eastAsia="zh-CN"/>
        </w:rPr>
        <w:t>)</w:t>
      </w:r>
      <w:r>
        <w:rPr>
          <w:rFonts w:hint="eastAsia" w:ascii="宋体" w:hAnsi="宋体" w:cs="宋体"/>
          <w:color w:val="auto"/>
          <w:kern w:val="0"/>
          <w:sz w:val="24"/>
        </w:rPr>
        <w:t>.安全生产</w:t>
      </w:r>
      <w:r>
        <w:rPr>
          <w:rFonts w:hint="eastAsia" w:ascii="宋体" w:hAnsi="宋体" w:cs="宋体"/>
          <w:color w:val="auto"/>
          <w:kern w:val="0"/>
          <w:sz w:val="24"/>
          <w:lang w:val="zh-CN"/>
        </w:rPr>
        <w:t>管理体系及保证措施</w:t>
      </w:r>
    </w:p>
    <w:p w14:paraId="2250BB51">
      <w:pPr>
        <w:widowControl/>
        <w:wordWrap w:val="0"/>
        <w:spacing w:line="360" w:lineRule="auto"/>
        <w:ind w:firstLine="840" w:firstLineChars="350"/>
        <w:jc w:val="both"/>
        <w:rPr>
          <w:rFonts w:hint="eastAsia" w:ascii="宋体" w:hAnsi="宋体" w:cs="宋体"/>
          <w:color w:val="auto"/>
          <w:kern w:val="0"/>
          <w:sz w:val="24"/>
        </w:rPr>
      </w:pPr>
      <w:r>
        <w:rPr>
          <w:rFonts w:hint="eastAsia" w:ascii="宋体" w:hAnsi="宋体" w:cs="宋体"/>
          <w:color w:val="auto"/>
          <w:kern w:val="0"/>
          <w:sz w:val="24"/>
          <w:lang w:val="en-US" w:eastAsia="zh-CN"/>
        </w:rPr>
        <w:t>(</w:t>
      </w:r>
      <w:r>
        <w:rPr>
          <w:rFonts w:hint="eastAsia" w:ascii="宋体" w:hAnsi="宋体" w:cs="宋体"/>
          <w:color w:val="auto"/>
          <w:kern w:val="0"/>
          <w:sz w:val="24"/>
        </w:rPr>
        <w:t>6</w:t>
      </w:r>
      <w:r>
        <w:rPr>
          <w:rFonts w:hint="eastAsia" w:ascii="宋体" w:hAnsi="宋体" w:cs="宋体"/>
          <w:color w:val="auto"/>
          <w:kern w:val="0"/>
          <w:sz w:val="24"/>
          <w:lang w:val="en-US" w:eastAsia="zh-CN"/>
        </w:rPr>
        <w:t>)</w:t>
      </w:r>
      <w:r>
        <w:rPr>
          <w:rFonts w:hint="eastAsia" w:ascii="宋体" w:hAnsi="宋体" w:cs="宋体"/>
          <w:color w:val="auto"/>
          <w:kern w:val="0"/>
          <w:sz w:val="24"/>
        </w:rPr>
        <w:t>.拟投入资源配备计划</w:t>
      </w:r>
    </w:p>
    <w:p w14:paraId="203B0CC1">
      <w:pPr>
        <w:widowControl/>
        <w:wordWrap w:val="0"/>
        <w:spacing w:line="360" w:lineRule="auto"/>
        <w:ind w:firstLine="840" w:firstLineChars="350"/>
        <w:jc w:val="both"/>
        <w:rPr>
          <w:rFonts w:hint="eastAsia" w:ascii="宋体" w:hAnsi="宋体" w:cs="宋体"/>
          <w:color w:val="auto"/>
          <w:kern w:val="0"/>
          <w:sz w:val="24"/>
          <w:lang w:val="zh-CN"/>
        </w:rPr>
      </w:pPr>
      <w:r>
        <w:rPr>
          <w:rFonts w:hint="eastAsia" w:ascii="宋体" w:hAnsi="宋体" w:cs="宋体"/>
          <w:color w:val="auto"/>
          <w:kern w:val="0"/>
          <w:sz w:val="24"/>
          <w:lang w:val="en-US" w:eastAsia="zh-CN"/>
        </w:rPr>
        <w:t>(</w:t>
      </w:r>
      <w:r>
        <w:rPr>
          <w:rFonts w:hint="eastAsia" w:ascii="宋体" w:hAnsi="宋体" w:cs="宋体"/>
          <w:color w:val="auto"/>
          <w:kern w:val="0"/>
          <w:sz w:val="24"/>
        </w:rPr>
        <w:t>7</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.文明施工、环境保护管理体系及施工现场扬尘治理措施</w:t>
      </w:r>
    </w:p>
    <w:p w14:paraId="12BB05E2">
      <w:pPr>
        <w:widowControl/>
        <w:wordWrap w:val="0"/>
        <w:spacing w:line="360" w:lineRule="auto"/>
        <w:ind w:firstLine="840" w:firstLineChars="350"/>
        <w:jc w:val="both"/>
        <w:rPr>
          <w:rFonts w:hint="eastAsia" w:ascii="宋体" w:hAnsi="宋体" w:cs="宋体"/>
          <w:color w:val="auto"/>
          <w:kern w:val="0"/>
          <w:sz w:val="24"/>
        </w:rPr>
      </w:pPr>
      <w:r>
        <w:rPr>
          <w:rFonts w:hint="eastAsia" w:ascii="宋体" w:hAnsi="宋体" w:cs="宋体"/>
          <w:color w:val="auto"/>
          <w:kern w:val="0"/>
          <w:sz w:val="24"/>
          <w:lang w:val="en-US" w:eastAsia="zh-CN"/>
        </w:rPr>
        <w:t>(</w:t>
      </w:r>
      <w:r>
        <w:rPr>
          <w:rFonts w:hint="eastAsia" w:ascii="宋体" w:hAnsi="宋体" w:cs="宋体"/>
          <w:color w:val="auto"/>
          <w:kern w:val="0"/>
          <w:sz w:val="24"/>
        </w:rPr>
        <w:t>8</w:t>
      </w:r>
      <w:r>
        <w:rPr>
          <w:rFonts w:hint="eastAsia" w:ascii="宋体" w:hAnsi="宋体" w:cs="宋体"/>
          <w:color w:val="auto"/>
          <w:kern w:val="0"/>
          <w:sz w:val="24"/>
          <w:lang w:val="en-US" w:eastAsia="zh-CN"/>
        </w:rPr>
        <w:t>)</w:t>
      </w:r>
      <w:r>
        <w:rPr>
          <w:rFonts w:hint="eastAsia" w:ascii="宋体" w:hAnsi="宋体" w:cs="宋体"/>
          <w:color w:val="auto"/>
          <w:kern w:val="0"/>
          <w:sz w:val="24"/>
        </w:rPr>
        <w:t>.</w:t>
      </w:r>
      <w:r>
        <w:rPr>
          <w:rFonts w:hint="eastAsia" w:ascii="宋体" w:hAnsi="宋体" w:cs="宋体"/>
          <w:color w:val="auto"/>
          <w:kern w:val="0"/>
          <w:sz w:val="24"/>
          <w:lang w:val="zh-CN"/>
        </w:rPr>
        <w:t xml:space="preserve">项目风险预测与防范，事故应急预案 </w:t>
      </w:r>
    </w:p>
    <w:p w14:paraId="2A6D891E">
      <w:pPr>
        <w:widowControl/>
        <w:wordWrap w:val="0"/>
        <w:spacing w:line="360" w:lineRule="auto"/>
        <w:ind w:firstLine="840" w:firstLineChars="350"/>
        <w:jc w:val="left"/>
        <w:rPr>
          <w:rFonts w:ascii="宋体" w:hAnsi="宋体" w:cs="宋体"/>
          <w:color w:val="auto"/>
          <w:sz w:val="24"/>
        </w:rPr>
      </w:pPr>
      <w:r>
        <w:rPr>
          <w:rFonts w:hint="eastAsia" w:ascii="宋体" w:hAnsi="宋体" w:cs="宋体"/>
          <w:color w:val="auto"/>
          <w:kern w:val="0"/>
          <w:sz w:val="24"/>
        </w:rPr>
        <w:t xml:space="preserve">2. 施工组织设计除采用文字表述外可附下列图表，图表及格式要求附后。 </w:t>
      </w:r>
    </w:p>
    <w:p w14:paraId="4B8D9C20">
      <w:pPr>
        <w:widowControl/>
        <w:wordWrap w:val="0"/>
        <w:spacing w:line="360" w:lineRule="auto"/>
        <w:ind w:firstLine="840" w:firstLineChars="350"/>
        <w:jc w:val="left"/>
        <w:rPr>
          <w:rFonts w:ascii="宋体" w:hAnsi="宋体" w:cs="宋体"/>
          <w:color w:val="auto"/>
          <w:sz w:val="24"/>
        </w:rPr>
      </w:pPr>
      <w:r>
        <w:rPr>
          <w:rFonts w:hint="eastAsia" w:ascii="宋体" w:hAnsi="宋体" w:cs="宋体"/>
          <w:color w:val="auto"/>
          <w:kern w:val="0"/>
          <w:sz w:val="24"/>
        </w:rPr>
        <w:t xml:space="preserve">附表一 拟投入本项目的主要施工设备表 </w:t>
      </w:r>
    </w:p>
    <w:p w14:paraId="05526E6E">
      <w:pPr>
        <w:widowControl/>
        <w:wordWrap w:val="0"/>
        <w:spacing w:line="360" w:lineRule="auto"/>
        <w:ind w:firstLine="840" w:firstLineChars="350"/>
        <w:jc w:val="left"/>
        <w:rPr>
          <w:rFonts w:ascii="宋体" w:hAnsi="宋体" w:cs="宋体"/>
          <w:color w:val="auto"/>
          <w:sz w:val="24"/>
        </w:rPr>
      </w:pPr>
      <w:r>
        <w:rPr>
          <w:rFonts w:hint="eastAsia" w:ascii="宋体" w:hAnsi="宋体" w:cs="宋体"/>
          <w:color w:val="auto"/>
          <w:kern w:val="0"/>
          <w:sz w:val="24"/>
        </w:rPr>
        <w:t xml:space="preserve">附表二 拟配备本项目的试验和检测仪器设备表 </w:t>
      </w:r>
    </w:p>
    <w:p w14:paraId="14DBC694">
      <w:pPr>
        <w:widowControl/>
        <w:wordWrap w:val="0"/>
        <w:spacing w:line="360" w:lineRule="auto"/>
        <w:ind w:firstLine="840" w:firstLineChars="350"/>
        <w:jc w:val="left"/>
        <w:rPr>
          <w:rFonts w:ascii="宋体" w:hAnsi="宋体" w:cs="宋体"/>
          <w:color w:val="auto"/>
          <w:sz w:val="24"/>
        </w:rPr>
      </w:pPr>
      <w:r>
        <w:rPr>
          <w:rFonts w:hint="eastAsia" w:ascii="宋体" w:hAnsi="宋体" w:cs="宋体"/>
          <w:color w:val="auto"/>
          <w:kern w:val="0"/>
          <w:sz w:val="24"/>
        </w:rPr>
        <w:t xml:space="preserve">附表三 拟投入本项目的劳动力计划表 </w:t>
      </w:r>
    </w:p>
    <w:p w14:paraId="541D79DB">
      <w:pPr>
        <w:widowControl/>
        <w:wordWrap w:val="0"/>
        <w:spacing w:line="360" w:lineRule="auto"/>
        <w:ind w:firstLine="840" w:firstLineChars="350"/>
        <w:jc w:val="left"/>
        <w:rPr>
          <w:rFonts w:ascii="宋体" w:hAnsi="宋体" w:cs="宋体"/>
          <w:color w:val="auto"/>
          <w:sz w:val="24"/>
        </w:rPr>
      </w:pPr>
      <w:r>
        <w:rPr>
          <w:rFonts w:hint="eastAsia" w:ascii="宋体" w:hAnsi="宋体" w:cs="宋体"/>
          <w:color w:val="auto"/>
          <w:kern w:val="0"/>
          <w:sz w:val="24"/>
        </w:rPr>
        <w:t xml:space="preserve">附表四 计划开、竣工日期和施工进度网络图 </w:t>
      </w:r>
    </w:p>
    <w:p w14:paraId="0D15CDE6">
      <w:pPr>
        <w:widowControl/>
        <w:wordWrap w:val="0"/>
        <w:spacing w:line="360" w:lineRule="auto"/>
        <w:ind w:firstLine="840" w:firstLineChars="350"/>
        <w:jc w:val="left"/>
        <w:rPr>
          <w:rFonts w:ascii="宋体" w:hAnsi="宋体"/>
          <w:color w:val="auto"/>
          <w:szCs w:val="20"/>
        </w:rPr>
      </w:pPr>
      <w:r>
        <w:rPr>
          <w:rFonts w:hint="eastAsia" w:ascii="宋体" w:hAnsi="宋体" w:cs="宋体"/>
          <w:color w:val="auto"/>
          <w:kern w:val="0"/>
          <w:sz w:val="24"/>
        </w:rPr>
        <w:t>附表五 施工总平面图</w:t>
      </w:r>
    </w:p>
    <w:p w14:paraId="24194C20">
      <w:pPr>
        <w:wordWrap w:val="0"/>
        <w:spacing w:line="480" w:lineRule="auto"/>
        <w:jc w:val="center"/>
        <w:rPr>
          <w:rFonts w:ascii="宋体" w:hAnsi="宋体" w:cs="宋体"/>
          <w:color w:val="auto"/>
          <w:szCs w:val="21"/>
        </w:rPr>
      </w:pPr>
    </w:p>
    <w:p w14:paraId="1920D4BF">
      <w:pPr>
        <w:wordWrap w:val="0"/>
        <w:spacing w:line="480" w:lineRule="auto"/>
        <w:jc w:val="center"/>
        <w:rPr>
          <w:rFonts w:hint="eastAsia" w:ascii="宋体" w:hAnsi="宋体" w:cs="宋体"/>
          <w:color w:val="auto"/>
          <w:szCs w:val="21"/>
        </w:rPr>
      </w:pPr>
    </w:p>
    <w:p w14:paraId="664908E8">
      <w:pPr>
        <w:wordWrap w:val="0"/>
        <w:spacing w:line="480" w:lineRule="auto"/>
        <w:jc w:val="center"/>
        <w:rPr>
          <w:rFonts w:ascii="宋体" w:hAnsi="宋体" w:cs="宋体"/>
          <w:color w:val="auto"/>
          <w:szCs w:val="21"/>
        </w:rPr>
      </w:pPr>
    </w:p>
    <w:p w14:paraId="09627D8A">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投标人：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（单位电子签章）</w:t>
      </w:r>
    </w:p>
    <w:p w14:paraId="0CA34ABB">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法定代表人：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（法人电子签章）</w:t>
      </w:r>
    </w:p>
    <w:p w14:paraId="727BE1B6">
      <w:pPr>
        <w:tabs>
          <w:tab w:val="left" w:pos="6170"/>
        </w:tabs>
        <w:wordWrap w:val="0"/>
        <w:autoSpaceDE w:val="0"/>
        <w:autoSpaceDN w:val="0"/>
        <w:spacing w:line="480" w:lineRule="auto"/>
        <w:ind w:firstLine="2520" w:firstLineChars="1050"/>
        <w:rPr>
          <w:rFonts w:ascii="宋体" w:hAnsi="宋体" w:cs="宋体"/>
          <w:color w:val="auto"/>
          <w:szCs w:val="21"/>
        </w:rPr>
      </w:pPr>
      <w:r>
        <w:rPr>
          <w:rFonts w:hint="eastAsia" w:ascii="宋体" w:hAnsi="宋体" w:cs="宋体"/>
          <w:color w:val="auto"/>
          <w:sz w:val="24"/>
          <w:lang w:val="zh-CN" w:bidi="zh-CN"/>
        </w:rPr>
        <w:t>日期：</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年</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月</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日</w:t>
      </w:r>
      <w:r>
        <w:rPr>
          <w:rFonts w:hint="eastAsia" w:ascii="宋体" w:hAnsi="宋体"/>
          <w:color w:val="auto"/>
          <w:sz w:val="24"/>
        </w:rPr>
        <w:t xml:space="preserve">  </w:t>
      </w:r>
    </w:p>
    <w:p w14:paraId="5B8C232A">
      <w:pPr>
        <w:wordWrap w:val="0"/>
        <w:spacing w:line="480" w:lineRule="auto"/>
        <w:jc w:val="center"/>
        <w:rPr>
          <w:rFonts w:ascii="宋体" w:hAnsi="宋体" w:cs="宋体"/>
          <w:color w:val="auto"/>
          <w:szCs w:val="21"/>
        </w:rPr>
      </w:pPr>
    </w:p>
    <w:p w14:paraId="238C981E">
      <w:pPr>
        <w:wordWrap w:val="0"/>
        <w:spacing w:line="480" w:lineRule="auto"/>
        <w:jc w:val="center"/>
        <w:rPr>
          <w:rFonts w:ascii="宋体" w:hAnsi="宋体" w:cs="宋体"/>
          <w:color w:val="auto"/>
          <w:szCs w:val="21"/>
        </w:rPr>
      </w:pPr>
    </w:p>
    <w:p w14:paraId="05867513">
      <w:pPr>
        <w:wordWrap w:val="0"/>
        <w:spacing w:line="480" w:lineRule="auto"/>
        <w:jc w:val="center"/>
        <w:rPr>
          <w:rFonts w:ascii="宋体" w:hAnsi="宋体" w:cs="宋体"/>
          <w:color w:val="auto"/>
          <w:szCs w:val="21"/>
        </w:rPr>
      </w:pPr>
    </w:p>
    <w:p w14:paraId="75A48A85">
      <w:pPr>
        <w:wordWrap w:val="0"/>
        <w:spacing w:line="480" w:lineRule="auto"/>
        <w:jc w:val="center"/>
        <w:rPr>
          <w:rFonts w:ascii="宋体" w:hAnsi="宋体" w:cs="宋体"/>
          <w:color w:val="auto"/>
          <w:szCs w:val="21"/>
        </w:rPr>
      </w:pPr>
    </w:p>
    <w:p w14:paraId="3F5469B2">
      <w:pPr>
        <w:wordWrap w:val="0"/>
        <w:rPr>
          <w:rFonts w:hint="eastAsia" w:ascii="宋体" w:hAnsi="宋体"/>
          <w:b/>
          <w:color w:val="auto"/>
          <w:sz w:val="24"/>
        </w:rPr>
      </w:pPr>
    </w:p>
    <w:p w14:paraId="787CDD61">
      <w:pPr>
        <w:wordWrap w:val="0"/>
        <w:rPr>
          <w:rFonts w:hint="eastAsia" w:ascii="宋体" w:hAnsi="宋体"/>
          <w:b/>
          <w:color w:val="auto"/>
          <w:sz w:val="24"/>
        </w:rPr>
      </w:pPr>
    </w:p>
    <w:p w14:paraId="6D04851A">
      <w:pPr>
        <w:wordWrap w:val="0"/>
        <w:rPr>
          <w:rFonts w:ascii="宋体" w:hAnsi="宋体"/>
          <w:b/>
          <w:color w:val="auto"/>
          <w:sz w:val="24"/>
        </w:rPr>
      </w:pPr>
      <w:r>
        <w:rPr>
          <w:rFonts w:hint="eastAsia" w:ascii="宋体" w:hAnsi="宋体"/>
          <w:b/>
          <w:color w:val="auto"/>
          <w:sz w:val="24"/>
        </w:rPr>
        <w:t>附表一：拟投入本项目的主要施工设备表</w:t>
      </w:r>
    </w:p>
    <w:tbl>
      <w:tblPr>
        <w:tblStyle w:val="15"/>
        <w:tblpPr w:leftFromText="180" w:rightFromText="180" w:vertAnchor="page" w:horzAnchor="margin" w:tblpY="199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5"/>
        <w:gridCol w:w="920"/>
        <w:gridCol w:w="966"/>
        <w:gridCol w:w="868"/>
        <w:gridCol w:w="868"/>
        <w:gridCol w:w="1332"/>
        <w:gridCol w:w="868"/>
        <w:gridCol w:w="984"/>
        <w:gridCol w:w="752"/>
      </w:tblGrid>
      <w:tr w14:paraId="21DD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817" w:type="dxa"/>
            <w:noWrap w:val="0"/>
            <w:vAlign w:val="center"/>
          </w:tcPr>
          <w:p w14:paraId="1F365269">
            <w:pPr>
              <w:wordWrap w:val="0"/>
              <w:rPr>
                <w:rFonts w:ascii="宋体" w:hAnsi="宋体" w:cs="宋体"/>
                <w:color w:val="auto"/>
                <w:sz w:val="24"/>
              </w:rPr>
            </w:pPr>
            <w:r>
              <w:rPr>
                <w:rFonts w:hint="eastAsia" w:ascii="宋体" w:hAnsi="宋体" w:cs="宋体"/>
                <w:color w:val="auto"/>
                <w:sz w:val="24"/>
              </w:rPr>
              <w:t>序号</w:t>
            </w:r>
          </w:p>
        </w:tc>
        <w:tc>
          <w:tcPr>
            <w:tcW w:w="765" w:type="dxa"/>
            <w:noWrap w:val="0"/>
            <w:vAlign w:val="center"/>
          </w:tcPr>
          <w:p w14:paraId="1D685D54">
            <w:pPr>
              <w:wordWrap w:val="0"/>
              <w:jc w:val="center"/>
              <w:rPr>
                <w:rFonts w:ascii="宋体" w:hAnsi="宋体" w:cs="宋体"/>
                <w:color w:val="auto"/>
                <w:sz w:val="24"/>
              </w:rPr>
            </w:pPr>
            <w:r>
              <w:rPr>
                <w:rFonts w:hint="eastAsia" w:ascii="宋体" w:hAnsi="宋体" w:cs="宋体"/>
                <w:color w:val="auto"/>
                <w:sz w:val="24"/>
              </w:rPr>
              <w:t>设备名称</w:t>
            </w:r>
          </w:p>
        </w:tc>
        <w:tc>
          <w:tcPr>
            <w:tcW w:w="920" w:type="dxa"/>
            <w:noWrap w:val="0"/>
            <w:vAlign w:val="center"/>
          </w:tcPr>
          <w:p w14:paraId="5C153476">
            <w:pPr>
              <w:wordWrap w:val="0"/>
              <w:jc w:val="center"/>
              <w:rPr>
                <w:rFonts w:ascii="宋体" w:hAnsi="宋体" w:cs="宋体"/>
                <w:color w:val="auto"/>
                <w:sz w:val="24"/>
              </w:rPr>
            </w:pPr>
            <w:r>
              <w:rPr>
                <w:rFonts w:hint="eastAsia" w:ascii="宋体" w:hAnsi="宋体" w:cs="宋体"/>
                <w:color w:val="auto"/>
                <w:sz w:val="24"/>
              </w:rPr>
              <w:t>型号规格</w:t>
            </w:r>
          </w:p>
        </w:tc>
        <w:tc>
          <w:tcPr>
            <w:tcW w:w="966" w:type="dxa"/>
            <w:noWrap w:val="0"/>
            <w:vAlign w:val="center"/>
          </w:tcPr>
          <w:p w14:paraId="013ADF4E">
            <w:pPr>
              <w:wordWrap w:val="0"/>
              <w:jc w:val="center"/>
              <w:rPr>
                <w:rFonts w:ascii="宋体" w:hAnsi="宋体" w:cs="宋体"/>
                <w:color w:val="auto"/>
                <w:sz w:val="24"/>
              </w:rPr>
            </w:pPr>
            <w:r>
              <w:rPr>
                <w:rFonts w:hint="eastAsia" w:ascii="宋体" w:hAnsi="宋体" w:cs="宋体"/>
                <w:color w:val="auto"/>
                <w:sz w:val="24"/>
              </w:rPr>
              <w:t>数量</w:t>
            </w:r>
          </w:p>
        </w:tc>
        <w:tc>
          <w:tcPr>
            <w:tcW w:w="868" w:type="dxa"/>
            <w:noWrap w:val="0"/>
            <w:vAlign w:val="center"/>
          </w:tcPr>
          <w:p w14:paraId="4376A7D0">
            <w:pPr>
              <w:wordWrap w:val="0"/>
              <w:jc w:val="center"/>
              <w:rPr>
                <w:rFonts w:ascii="宋体" w:hAnsi="宋体" w:cs="宋体"/>
                <w:color w:val="auto"/>
                <w:sz w:val="24"/>
              </w:rPr>
            </w:pPr>
            <w:r>
              <w:rPr>
                <w:rFonts w:hint="eastAsia" w:ascii="宋体" w:hAnsi="宋体" w:cs="宋体"/>
                <w:color w:val="auto"/>
                <w:sz w:val="24"/>
              </w:rPr>
              <w:t>国别产地</w:t>
            </w:r>
          </w:p>
        </w:tc>
        <w:tc>
          <w:tcPr>
            <w:tcW w:w="868" w:type="dxa"/>
            <w:noWrap w:val="0"/>
            <w:vAlign w:val="center"/>
          </w:tcPr>
          <w:p w14:paraId="51A6F1EF">
            <w:pPr>
              <w:wordWrap w:val="0"/>
              <w:jc w:val="center"/>
              <w:rPr>
                <w:rFonts w:ascii="宋体" w:hAnsi="宋体" w:cs="宋体"/>
                <w:color w:val="auto"/>
                <w:sz w:val="24"/>
              </w:rPr>
            </w:pPr>
            <w:r>
              <w:rPr>
                <w:rFonts w:hint="eastAsia" w:ascii="宋体" w:hAnsi="宋体" w:cs="宋体"/>
                <w:color w:val="auto"/>
                <w:sz w:val="24"/>
              </w:rPr>
              <w:t>制造年份</w:t>
            </w:r>
          </w:p>
        </w:tc>
        <w:tc>
          <w:tcPr>
            <w:tcW w:w="1332" w:type="dxa"/>
            <w:noWrap w:val="0"/>
            <w:vAlign w:val="center"/>
          </w:tcPr>
          <w:p w14:paraId="7E27585F">
            <w:pPr>
              <w:wordWrap w:val="0"/>
              <w:jc w:val="center"/>
              <w:rPr>
                <w:rFonts w:ascii="宋体" w:hAnsi="宋体" w:cs="宋体"/>
                <w:color w:val="auto"/>
                <w:sz w:val="24"/>
              </w:rPr>
            </w:pPr>
            <w:r>
              <w:rPr>
                <w:rFonts w:hint="eastAsia" w:ascii="宋体" w:hAnsi="宋体" w:cs="宋体"/>
                <w:color w:val="auto"/>
                <w:sz w:val="24"/>
              </w:rPr>
              <w:t>额定功率（KW）</w:t>
            </w:r>
          </w:p>
        </w:tc>
        <w:tc>
          <w:tcPr>
            <w:tcW w:w="868" w:type="dxa"/>
            <w:noWrap w:val="0"/>
            <w:vAlign w:val="center"/>
          </w:tcPr>
          <w:p w14:paraId="04953705">
            <w:pPr>
              <w:wordWrap w:val="0"/>
              <w:jc w:val="center"/>
              <w:rPr>
                <w:rFonts w:ascii="宋体" w:hAnsi="宋体" w:cs="宋体"/>
                <w:color w:val="auto"/>
                <w:sz w:val="24"/>
              </w:rPr>
            </w:pPr>
            <w:r>
              <w:rPr>
                <w:rFonts w:hint="eastAsia" w:ascii="宋体" w:hAnsi="宋体" w:cs="宋体"/>
                <w:color w:val="auto"/>
                <w:sz w:val="24"/>
              </w:rPr>
              <w:t>生产能力</w:t>
            </w:r>
          </w:p>
        </w:tc>
        <w:tc>
          <w:tcPr>
            <w:tcW w:w="984" w:type="dxa"/>
            <w:noWrap w:val="0"/>
            <w:vAlign w:val="center"/>
          </w:tcPr>
          <w:p w14:paraId="44C84981">
            <w:pPr>
              <w:wordWrap w:val="0"/>
              <w:jc w:val="center"/>
              <w:rPr>
                <w:rFonts w:ascii="宋体" w:hAnsi="宋体" w:cs="宋体"/>
                <w:color w:val="auto"/>
                <w:sz w:val="24"/>
              </w:rPr>
            </w:pPr>
            <w:r>
              <w:rPr>
                <w:rFonts w:hint="eastAsia" w:ascii="宋体" w:hAnsi="宋体" w:cs="宋体"/>
                <w:color w:val="auto"/>
                <w:sz w:val="24"/>
              </w:rPr>
              <w:t>用于施工部位</w:t>
            </w:r>
          </w:p>
        </w:tc>
        <w:tc>
          <w:tcPr>
            <w:tcW w:w="752" w:type="dxa"/>
            <w:noWrap w:val="0"/>
            <w:vAlign w:val="center"/>
          </w:tcPr>
          <w:p w14:paraId="7A3CBBF0">
            <w:pPr>
              <w:wordWrap w:val="0"/>
              <w:jc w:val="center"/>
              <w:rPr>
                <w:rFonts w:ascii="宋体" w:hAnsi="宋体" w:cs="宋体"/>
                <w:color w:val="auto"/>
                <w:sz w:val="24"/>
              </w:rPr>
            </w:pPr>
            <w:r>
              <w:rPr>
                <w:rFonts w:hint="eastAsia" w:ascii="宋体" w:hAnsi="宋体" w:cs="宋体"/>
                <w:color w:val="auto"/>
                <w:sz w:val="24"/>
              </w:rPr>
              <w:t>备注</w:t>
            </w:r>
          </w:p>
        </w:tc>
      </w:tr>
      <w:tr w14:paraId="0983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noWrap w:val="0"/>
            <w:vAlign w:val="center"/>
          </w:tcPr>
          <w:p w14:paraId="1CD6A451">
            <w:pPr>
              <w:wordWrap w:val="0"/>
              <w:jc w:val="center"/>
              <w:rPr>
                <w:rFonts w:ascii="宋体" w:hAnsi="宋体" w:cs="宋体"/>
                <w:color w:val="auto"/>
                <w:sz w:val="24"/>
              </w:rPr>
            </w:pPr>
          </w:p>
        </w:tc>
        <w:tc>
          <w:tcPr>
            <w:tcW w:w="765" w:type="dxa"/>
            <w:noWrap w:val="0"/>
            <w:vAlign w:val="center"/>
          </w:tcPr>
          <w:p w14:paraId="589E3A3F">
            <w:pPr>
              <w:wordWrap w:val="0"/>
              <w:jc w:val="center"/>
              <w:rPr>
                <w:rFonts w:ascii="宋体" w:hAnsi="宋体" w:cs="宋体"/>
                <w:color w:val="auto"/>
                <w:sz w:val="24"/>
              </w:rPr>
            </w:pPr>
          </w:p>
        </w:tc>
        <w:tc>
          <w:tcPr>
            <w:tcW w:w="920" w:type="dxa"/>
            <w:noWrap w:val="0"/>
            <w:vAlign w:val="center"/>
          </w:tcPr>
          <w:p w14:paraId="12B8A6CC">
            <w:pPr>
              <w:wordWrap w:val="0"/>
              <w:jc w:val="center"/>
              <w:rPr>
                <w:rFonts w:ascii="宋体" w:hAnsi="宋体" w:cs="宋体"/>
                <w:color w:val="auto"/>
                <w:sz w:val="24"/>
              </w:rPr>
            </w:pPr>
          </w:p>
        </w:tc>
        <w:tc>
          <w:tcPr>
            <w:tcW w:w="966" w:type="dxa"/>
            <w:noWrap w:val="0"/>
            <w:vAlign w:val="center"/>
          </w:tcPr>
          <w:p w14:paraId="1FCE5DC0">
            <w:pPr>
              <w:wordWrap w:val="0"/>
              <w:jc w:val="center"/>
              <w:rPr>
                <w:rFonts w:ascii="宋体" w:hAnsi="宋体" w:cs="宋体"/>
                <w:color w:val="auto"/>
                <w:sz w:val="24"/>
              </w:rPr>
            </w:pPr>
          </w:p>
        </w:tc>
        <w:tc>
          <w:tcPr>
            <w:tcW w:w="868" w:type="dxa"/>
            <w:noWrap w:val="0"/>
            <w:vAlign w:val="center"/>
          </w:tcPr>
          <w:p w14:paraId="6219624C">
            <w:pPr>
              <w:wordWrap w:val="0"/>
              <w:jc w:val="center"/>
              <w:rPr>
                <w:rFonts w:ascii="宋体" w:hAnsi="宋体" w:cs="宋体"/>
                <w:color w:val="auto"/>
                <w:sz w:val="24"/>
              </w:rPr>
            </w:pPr>
          </w:p>
        </w:tc>
        <w:tc>
          <w:tcPr>
            <w:tcW w:w="868" w:type="dxa"/>
            <w:noWrap w:val="0"/>
            <w:vAlign w:val="center"/>
          </w:tcPr>
          <w:p w14:paraId="2D36A9C7">
            <w:pPr>
              <w:wordWrap w:val="0"/>
              <w:jc w:val="center"/>
              <w:rPr>
                <w:rFonts w:ascii="宋体" w:hAnsi="宋体" w:cs="宋体"/>
                <w:color w:val="auto"/>
                <w:sz w:val="24"/>
              </w:rPr>
            </w:pPr>
          </w:p>
        </w:tc>
        <w:tc>
          <w:tcPr>
            <w:tcW w:w="1332" w:type="dxa"/>
            <w:noWrap w:val="0"/>
            <w:vAlign w:val="center"/>
          </w:tcPr>
          <w:p w14:paraId="12F51472">
            <w:pPr>
              <w:wordWrap w:val="0"/>
              <w:jc w:val="center"/>
              <w:rPr>
                <w:rFonts w:ascii="宋体" w:hAnsi="宋体" w:cs="宋体"/>
                <w:color w:val="auto"/>
                <w:sz w:val="24"/>
              </w:rPr>
            </w:pPr>
          </w:p>
        </w:tc>
        <w:tc>
          <w:tcPr>
            <w:tcW w:w="868" w:type="dxa"/>
            <w:noWrap w:val="0"/>
            <w:vAlign w:val="center"/>
          </w:tcPr>
          <w:p w14:paraId="304A1D37">
            <w:pPr>
              <w:wordWrap w:val="0"/>
              <w:jc w:val="center"/>
              <w:rPr>
                <w:rFonts w:ascii="宋体" w:hAnsi="宋体" w:cs="宋体"/>
                <w:color w:val="auto"/>
                <w:sz w:val="24"/>
              </w:rPr>
            </w:pPr>
          </w:p>
        </w:tc>
        <w:tc>
          <w:tcPr>
            <w:tcW w:w="984" w:type="dxa"/>
            <w:noWrap w:val="0"/>
            <w:vAlign w:val="center"/>
          </w:tcPr>
          <w:p w14:paraId="2D4AABD6">
            <w:pPr>
              <w:wordWrap w:val="0"/>
              <w:jc w:val="center"/>
              <w:rPr>
                <w:rFonts w:ascii="宋体" w:hAnsi="宋体" w:cs="宋体"/>
                <w:color w:val="auto"/>
                <w:sz w:val="24"/>
              </w:rPr>
            </w:pPr>
          </w:p>
        </w:tc>
        <w:tc>
          <w:tcPr>
            <w:tcW w:w="752" w:type="dxa"/>
            <w:noWrap w:val="0"/>
            <w:vAlign w:val="center"/>
          </w:tcPr>
          <w:p w14:paraId="256B7719">
            <w:pPr>
              <w:wordWrap w:val="0"/>
              <w:jc w:val="center"/>
              <w:rPr>
                <w:rFonts w:ascii="宋体" w:hAnsi="宋体" w:cs="宋体"/>
                <w:color w:val="auto"/>
                <w:sz w:val="24"/>
              </w:rPr>
            </w:pPr>
          </w:p>
        </w:tc>
      </w:tr>
      <w:tr w14:paraId="5909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noWrap w:val="0"/>
            <w:vAlign w:val="center"/>
          </w:tcPr>
          <w:p w14:paraId="65643C1A">
            <w:pPr>
              <w:wordWrap w:val="0"/>
              <w:jc w:val="center"/>
              <w:rPr>
                <w:rFonts w:ascii="宋体" w:hAnsi="宋体" w:cs="宋体"/>
                <w:color w:val="auto"/>
                <w:sz w:val="24"/>
              </w:rPr>
            </w:pPr>
          </w:p>
        </w:tc>
        <w:tc>
          <w:tcPr>
            <w:tcW w:w="765" w:type="dxa"/>
            <w:noWrap w:val="0"/>
            <w:vAlign w:val="center"/>
          </w:tcPr>
          <w:p w14:paraId="73094447">
            <w:pPr>
              <w:wordWrap w:val="0"/>
              <w:jc w:val="center"/>
              <w:rPr>
                <w:rFonts w:ascii="宋体" w:hAnsi="宋体" w:cs="宋体"/>
                <w:color w:val="auto"/>
                <w:sz w:val="24"/>
              </w:rPr>
            </w:pPr>
          </w:p>
        </w:tc>
        <w:tc>
          <w:tcPr>
            <w:tcW w:w="920" w:type="dxa"/>
            <w:noWrap w:val="0"/>
            <w:vAlign w:val="center"/>
          </w:tcPr>
          <w:p w14:paraId="676262A3">
            <w:pPr>
              <w:wordWrap w:val="0"/>
              <w:jc w:val="center"/>
              <w:rPr>
                <w:rFonts w:ascii="宋体" w:hAnsi="宋体" w:cs="宋体"/>
                <w:color w:val="auto"/>
                <w:sz w:val="24"/>
              </w:rPr>
            </w:pPr>
          </w:p>
        </w:tc>
        <w:tc>
          <w:tcPr>
            <w:tcW w:w="966" w:type="dxa"/>
            <w:noWrap w:val="0"/>
            <w:vAlign w:val="center"/>
          </w:tcPr>
          <w:p w14:paraId="4ABAAA0B">
            <w:pPr>
              <w:wordWrap w:val="0"/>
              <w:jc w:val="center"/>
              <w:rPr>
                <w:rFonts w:ascii="宋体" w:hAnsi="宋体" w:cs="宋体"/>
                <w:color w:val="auto"/>
                <w:sz w:val="24"/>
              </w:rPr>
            </w:pPr>
          </w:p>
        </w:tc>
        <w:tc>
          <w:tcPr>
            <w:tcW w:w="868" w:type="dxa"/>
            <w:noWrap w:val="0"/>
            <w:vAlign w:val="center"/>
          </w:tcPr>
          <w:p w14:paraId="6DAD7C4C">
            <w:pPr>
              <w:wordWrap w:val="0"/>
              <w:jc w:val="center"/>
              <w:rPr>
                <w:rFonts w:ascii="宋体" w:hAnsi="宋体" w:cs="宋体"/>
                <w:color w:val="auto"/>
                <w:sz w:val="24"/>
              </w:rPr>
            </w:pPr>
          </w:p>
        </w:tc>
        <w:tc>
          <w:tcPr>
            <w:tcW w:w="868" w:type="dxa"/>
            <w:noWrap w:val="0"/>
            <w:vAlign w:val="center"/>
          </w:tcPr>
          <w:p w14:paraId="3BFBF57A">
            <w:pPr>
              <w:wordWrap w:val="0"/>
              <w:jc w:val="center"/>
              <w:rPr>
                <w:rFonts w:ascii="宋体" w:hAnsi="宋体" w:cs="宋体"/>
                <w:color w:val="auto"/>
                <w:sz w:val="24"/>
              </w:rPr>
            </w:pPr>
          </w:p>
        </w:tc>
        <w:tc>
          <w:tcPr>
            <w:tcW w:w="1332" w:type="dxa"/>
            <w:noWrap w:val="0"/>
            <w:vAlign w:val="center"/>
          </w:tcPr>
          <w:p w14:paraId="7B6E0261">
            <w:pPr>
              <w:wordWrap w:val="0"/>
              <w:jc w:val="center"/>
              <w:rPr>
                <w:rFonts w:ascii="宋体" w:hAnsi="宋体" w:cs="宋体"/>
                <w:color w:val="auto"/>
                <w:sz w:val="24"/>
              </w:rPr>
            </w:pPr>
          </w:p>
        </w:tc>
        <w:tc>
          <w:tcPr>
            <w:tcW w:w="868" w:type="dxa"/>
            <w:noWrap w:val="0"/>
            <w:vAlign w:val="center"/>
          </w:tcPr>
          <w:p w14:paraId="7ADEBBCB">
            <w:pPr>
              <w:wordWrap w:val="0"/>
              <w:jc w:val="center"/>
              <w:rPr>
                <w:rFonts w:ascii="宋体" w:hAnsi="宋体" w:cs="宋体"/>
                <w:color w:val="auto"/>
                <w:sz w:val="24"/>
              </w:rPr>
            </w:pPr>
          </w:p>
        </w:tc>
        <w:tc>
          <w:tcPr>
            <w:tcW w:w="984" w:type="dxa"/>
            <w:noWrap w:val="0"/>
            <w:vAlign w:val="center"/>
          </w:tcPr>
          <w:p w14:paraId="104E4B31">
            <w:pPr>
              <w:wordWrap w:val="0"/>
              <w:jc w:val="center"/>
              <w:rPr>
                <w:rFonts w:ascii="宋体" w:hAnsi="宋体" w:cs="宋体"/>
                <w:color w:val="auto"/>
                <w:sz w:val="24"/>
              </w:rPr>
            </w:pPr>
          </w:p>
        </w:tc>
        <w:tc>
          <w:tcPr>
            <w:tcW w:w="752" w:type="dxa"/>
            <w:noWrap w:val="0"/>
            <w:vAlign w:val="center"/>
          </w:tcPr>
          <w:p w14:paraId="1029C92B">
            <w:pPr>
              <w:wordWrap w:val="0"/>
              <w:jc w:val="center"/>
              <w:rPr>
                <w:rFonts w:ascii="宋体" w:hAnsi="宋体" w:cs="宋体"/>
                <w:color w:val="auto"/>
                <w:sz w:val="24"/>
              </w:rPr>
            </w:pPr>
          </w:p>
        </w:tc>
      </w:tr>
      <w:tr w14:paraId="7950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noWrap w:val="0"/>
            <w:vAlign w:val="center"/>
          </w:tcPr>
          <w:p w14:paraId="2134B8A8">
            <w:pPr>
              <w:wordWrap w:val="0"/>
              <w:jc w:val="center"/>
              <w:rPr>
                <w:rFonts w:ascii="宋体" w:hAnsi="宋体" w:cs="宋体"/>
                <w:color w:val="auto"/>
                <w:sz w:val="24"/>
              </w:rPr>
            </w:pPr>
          </w:p>
        </w:tc>
        <w:tc>
          <w:tcPr>
            <w:tcW w:w="765" w:type="dxa"/>
            <w:noWrap w:val="0"/>
            <w:vAlign w:val="center"/>
          </w:tcPr>
          <w:p w14:paraId="3E28FF73">
            <w:pPr>
              <w:wordWrap w:val="0"/>
              <w:jc w:val="center"/>
              <w:rPr>
                <w:rFonts w:ascii="宋体" w:hAnsi="宋体" w:cs="宋体"/>
                <w:color w:val="auto"/>
                <w:sz w:val="24"/>
              </w:rPr>
            </w:pPr>
          </w:p>
        </w:tc>
        <w:tc>
          <w:tcPr>
            <w:tcW w:w="920" w:type="dxa"/>
            <w:noWrap w:val="0"/>
            <w:vAlign w:val="center"/>
          </w:tcPr>
          <w:p w14:paraId="14E02827">
            <w:pPr>
              <w:wordWrap w:val="0"/>
              <w:jc w:val="center"/>
              <w:rPr>
                <w:rFonts w:ascii="宋体" w:hAnsi="宋体" w:cs="宋体"/>
                <w:color w:val="auto"/>
                <w:sz w:val="24"/>
              </w:rPr>
            </w:pPr>
          </w:p>
        </w:tc>
        <w:tc>
          <w:tcPr>
            <w:tcW w:w="966" w:type="dxa"/>
            <w:noWrap w:val="0"/>
            <w:vAlign w:val="center"/>
          </w:tcPr>
          <w:p w14:paraId="4A037CEE">
            <w:pPr>
              <w:wordWrap w:val="0"/>
              <w:jc w:val="center"/>
              <w:rPr>
                <w:rFonts w:ascii="宋体" w:hAnsi="宋体" w:cs="宋体"/>
                <w:color w:val="auto"/>
                <w:sz w:val="24"/>
              </w:rPr>
            </w:pPr>
          </w:p>
        </w:tc>
        <w:tc>
          <w:tcPr>
            <w:tcW w:w="868" w:type="dxa"/>
            <w:noWrap w:val="0"/>
            <w:vAlign w:val="center"/>
          </w:tcPr>
          <w:p w14:paraId="3EE1824B">
            <w:pPr>
              <w:wordWrap w:val="0"/>
              <w:jc w:val="center"/>
              <w:rPr>
                <w:rFonts w:ascii="宋体" w:hAnsi="宋体" w:cs="宋体"/>
                <w:color w:val="auto"/>
                <w:sz w:val="24"/>
              </w:rPr>
            </w:pPr>
          </w:p>
        </w:tc>
        <w:tc>
          <w:tcPr>
            <w:tcW w:w="868" w:type="dxa"/>
            <w:noWrap w:val="0"/>
            <w:vAlign w:val="center"/>
          </w:tcPr>
          <w:p w14:paraId="01F48BB0">
            <w:pPr>
              <w:wordWrap w:val="0"/>
              <w:jc w:val="center"/>
              <w:rPr>
                <w:rFonts w:ascii="宋体" w:hAnsi="宋体" w:cs="宋体"/>
                <w:color w:val="auto"/>
                <w:sz w:val="24"/>
              </w:rPr>
            </w:pPr>
          </w:p>
        </w:tc>
        <w:tc>
          <w:tcPr>
            <w:tcW w:w="1332" w:type="dxa"/>
            <w:noWrap w:val="0"/>
            <w:vAlign w:val="center"/>
          </w:tcPr>
          <w:p w14:paraId="7EDA9703">
            <w:pPr>
              <w:wordWrap w:val="0"/>
              <w:jc w:val="center"/>
              <w:rPr>
                <w:rFonts w:ascii="宋体" w:hAnsi="宋体" w:cs="宋体"/>
                <w:color w:val="auto"/>
                <w:sz w:val="24"/>
              </w:rPr>
            </w:pPr>
          </w:p>
        </w:tc>
        <w:tc>
          <w:tcPr>
            <w:tcW w:w="868" w:type="dxa"/>
            <w:noWrap w:val="0"/>
            <w:vAlign w:val="center"/>
          </w:tcPr>
          <w:p w14:paraId="31990C40">
            <w:pPr>
              <w:wordWrap w:val="0"/>
              <w:jc w:val="center"/>
              <w:rPr>
                <w:rFonts w:ascii="宋体" w:hAnsi="宋体" w:cs="宋体"/>
                <w:color w:val="auto"/>
                <w:sz w:val="24"/>
              </w:rPr>
            </w:pPr>
          </w:p>
        </w:tc>
        <w:tc>
          <w:tcPr>
            <w:tcW w:w="984" w:type="dxa"/>
            <w:noWrap w:val="0"/>
            <w:vAlign w:val="center"/>
          </w:tcPr>
          <w:p w14:paraId="59516CC7">
            <w:pPr>
              <w:wordWrap w:val="0"/>
              <w:jc w:val="center"/>
              <w:rPr>
                <w:rFonts w:ascii="宋体" w:hAnsi="宋体" w:cs="宋体"/>
                <w:color w:val="auto"/>
                <w:sz w:val="24"/>
              </w:rPr>
            </w:pPr>
          </w:p>
        </w:tc>
        <w:tc>
          <w:tcPr>
            <w:tcW w:w="752" w:type="dxa"/>
            <w:noWrap w:val="0"/>
            <w:vAlign w:val="center"/>
          </w:tcPr>
          <w:p w14:paraId="6DBBC7EA">
            <w:pPr>
              <w:wordWrap w:val="0"/>
              <w:jc w:val="center"/>
              <w:rPr>
                <w:rFonts w:ascii="宋体" w:hAnsi="宋体" w:cs="宋体"/>
                <w:color w:val="auto"/>
                <w:sz w:val="24"/>
              </w:rPr>
            </w:pPr>
          </w:p>
        </w:tc>
      </w:tr>
      <w:tr w14:paraId="5FA1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noWrap w:val="0"/>
            <w:vAlign w:val="center"/>
          </w:tcPr>
          <w:p w14:paraId="197F0875">
            <w:pPr>
              <w:wordWrap w:val="0"/>
              <w:jc w:val="center"/>
              <w:rPr>
                <w:rFonts w:ascii="宋体" w:hAnsi="宋体" w:cs="宋体"/>
                <w:color w:val="auto"/>
                <w:sz w:val="24"/>
              </w:rPr>
            </w:pPr>
          </w:p>
        </w:tc>
        <w:tc>
          <w:tcPr>
            <w:tcW w:w="765" w:type="dxa"/>
            <w:noWrap w:val="0"/>
            <w:vAlign w:val="center"/>
          </w:tcPr>
          <w:p w14:paraId="587F3857">
            <w:pPr>
              <w:wordWrap w:val="0"/>
              <w:jc w:val="center"/>
              <w:rPr>
                <w:rFonts w:ascii="宋体" w:hAnsi="宋体" w:cs="宋体"/>
                <w:color w:val="auto"/>
                <w:sz w:val="24"/>
              </w:rPr>
            </w:pPr>
          </w:p>
        </w:tc>
        <w:tc>
          <w:tcPr>
            <w:tcW w:w="920" w:type="dxa"/>
            <w:noWrap w:val="0"/>
            <w:vAlign w:val="center"/>
          </w:tcPr>
          <w:p w14:paraId="18E1954B">
            <w:pPr>
              <w:wordWrap w:val="0"/>
              <w:jc w:val="center"/>
              <w:rPr>
                <w:rFonts w:ascii="宋体" w:hAnsi="宋体" w:cs="宋体"/>
                <w:color w:val="auto"/>
                <w:sz w:val="24"/>
              </w:rPr>
            </w:pPr>
          </w:p>
        </w:tc>
        <w:tc>
          <w:tcPr>
            <w:tcW w:w="966" w:type="dxa"/>
            <w:noWrap w:val="0"/>
            <w:vAlign w:val="center"/>
          </w:tcPr>
          <w:p w14:paraId="524C2ED7">
            <w:pPr>
              <w:wordWrap w:val="0"/>
              <w:jc w:val="center"/>
              <w:rPr>
                <w:rFonts w:ascii="宋体" w:hAnsi="宋体" w:cs="宋体"/>
                <w:color w:val="auto"/>
                <w:sz w:val="24"/>
              </w:rPr>
            </w:pPr>
          </w:p>
        </w:tc>
        <w:tc>
          <w:tcPr>
            <w:tcW w:w="868" w:type="dxa"/>
            <w:noWrap w:val="0"/>
            <w:vAlign w:val="center"/>
          </w:tcPr>
          <w:p w14:paraId="34C83A8A">
            <w:pPr>
              <w:wordWrap w:val="0"/>
              <w:jc w:val="center"/>
              <w:rPr>
                <w:rFonts w:ascii="宋体" w:hAnsi="宋体" w:cs="宋体"/>
                <w:color w:val="auto"/>
                <w:sz w:val="24"/>
              </w:rPr>
            </w:pPr>
          </w:p>
        </w:tc>
        <w:tc>
          <w:tcPr>
            <w:tcW w:w="868" w:type="dxa"/>
            <w:noWrap w:val="0"/>
            <w:vAlign w:val="center"/>
          </w:tcPr>
          <w:p w14:paraId="1499E72E">
            <w:pPr>
              <w:wordWrap w:val="0"/>
              <w:jc w:val="center"/>
              <w:rPr>
                <w:rFonts w:ascii="宋体" w:hAnsi="宋体" w:cs="宋体"/>
                <w:color w:val="auto"/>
                <w:sz w:val="24"/>
              </w:rPr>
            </w:pPr>
          </w:p>
        </w:tc>
        <w:tc>
          <w:tcPr>
            <w:tcW w:w="1332" w:type="dxa"/>
            <w:noWrap w:val="0"/>
            <w:vAlign w:val="center"/>
          </w:tcPr>
          <w:p w14:paraId="45FB52B3">
            <w:pPr>
              <w:wordWrap w:val="0"/>
              <w:jc w:val="center"/>
              <w:rPr>
                <w:rFonts w:ascii="宋体" w:hAnsi="宋体" w:cs="宋体"/>
                <w:color w:val="auto"/>
                <w:sz w:val="24"/>
              </w:rPr>
            </w:pPr>
          </w:p>
        </w:tc>
        <w:tc>
          <w:tcPr>
            <w:tcW w:w="868" w:type="dxa"/>
            <w:noWrap w:val="0"/>
            <w:vAlign w:val="center"/>
          </w:tcPr>
          <w:p w14:paraId="2DD0F8BC">
            <w:pPr>
              <w:wordWrap w:val="0"/>
              <w:jc w:val="center"/>
              <w:rPr>
                <w:rFonts w:ascii="宋体" w:hAnsi="宋体" w:cs="宋体"/>
                <w:color w:val="auto"/>
                <w:sz w:val="24"/>
              </w:rPr>
            </w:pPr>
          </w:p>
        </w:tc>
        <w:tc>
          <w:tcPr>
            <w:tcW w:w="984" w:type="dxa"/>
            <w:noWrap w:val="0"/>
            <w:vAlign w:val="center"/>
          </w:tcPr>
          <w:p w14:paraId="03476E83">
            <w:pPr>
              <w:wordWrap w:val="0"/>
              <w:jc w:val="center"/>
              <w:rPr>
                <w:rFonts w:ascii="宋体" w:hAnsi="宋体" w:cs="宋体"/>
                <w:color w:val="auto"/>
                <w:sz w:val="24"/>
              </w:rPr>
            </w:pPr>
          </w:p>
        </w:tc>
        <w:tc>
          <w:tcPr>
            <w:tcW w:w="752" w:type="dxa"/>
            <w:noWrap w:val="0"/>
            <w:vAlign w:val="center"/>
          </w:tcPr>
          <w:p w14:paraId="3C11555C">
            <w:pPr>
              <w:wordWrap w:val="0"/>
              <w:jc w:val="center"/>
              <w:rPr>
                <w:rFonts w:ascii="宋体" w:hAnsi="宋体" w:cs="宋体"/>
                <w:color w:val="auto"/>
                <w:sz w:val="24"/>
              </w:rPr>
            </w:pPr>
          </w:p>
        </w:tc>
      </w:tr>
      <w:tr w14:paraId="6238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noWrap w:val="0"/>
            <w:vAlign w:val="center"/>
          </w:tcPr>
          <w:p w14:paraId="210EADCC">
            <w:pPr>
              <w:wordWrap w:val="0"/>
              <w:jc w:val="center"/>
              <w:rPr>
                <w:rFonts w:ascii="宋体" w:hAnsi="宋体" w:cs="宋体"/>
                <w:color w:val="auto"/>
                <w:sz w:val="24"/>
              </w:rPr>
            </w:pPr>
          </w:p>
        </w:tc>
        <w:tc>
          <w:tcPr>
            <w:tcW w:w="765" w:type="dxa"/>
            <w:noWrap w:val="0"/>
            <w:vAlign w:val="center"/>
          </w:tcPr>
          <w:p w14:paraId="460182A0">
            <w:pPr>
              <w:wordWrap w:val="0"/>
              <w:jc w:val="center"/>
              <w:rPr>
                <w:rFonts w:ascii="宋体" w:hAnsi="宋体" w:cs="宋体"/>
                <w:color w:val="auto"/>
                <w:sz w:val="24"/>
              </w:rPr>
            </w:pPr>
          </w:p>
        </w:tc>
        <w:tc>
          <w:tcPr>
            <w:tcW w:w="920" w:type="dxa"/>
            <w:noWrap w:val="0"/>
            <w:vAlign w:val="center"/>
          </w:tcPr>
          <w:p w14:paraId="090E6A6C">
            <w:pPr>
              <w:wordWrap w:val="0"/>
              <w:jc w:val="center"/>
              <w:rPr>
                <w:rFonts w:ascii="宋体" w:hAnsi="宋体" w:cs="宋体"/>
                <w:color w:val="auto"/>
                <w:sz w:val="24"/>
              </w:rPr>
            </w:pPr>
          </w:p>
        </w:tc>
        <w:tc>
          <w:tcPr>
            <w:tcW w:w="966" w:type="dxa"/>
            <w:noWrap w:val="0"/>
            <w:vAlign w:val="center"/>
          </w:tcPr>
          <w:p w14:paraId="0E4411C1">
            <w:pPr>
              <w:wordWrap w:val="0"/>
              <w:jc w:val="center"/>
              <w:rPr>
                <w:rFonts w:ascii="宋体" w:hAnsi="宋体" w:cs="宋体"/>
                <w:color w:val="auto"/>
                <w:sz w:val="24"/>
              </w:rPr>
            </w:pPr>
          </w:p>
        </w:tc>
        <w:tc>
          <w:tcPr>
            <w:tcW w:w="868" w:type="dxa"/>
            <w:noWrap w:val="0"/>
            <w:vAlign w:val="center"/>
          </w:tcPr>
          <w:p w14:paraId="48F9AA29">
            <w:pPr>
              <w:wordWrap w:val="0"/>
              <w:jc w:val="center"/>
              <w:rPr>
                <w:rFonts w:ascii="宋体" w:hAnsi="宋体" w:cs="宋体"/>
                <w:color w:val="auto"/>
                <w:sz w:val="24"/>
              </w:rPr>
            </w:pPr>
          </w:p>
        </w:tc>
        <w:tc>
          <w:tcPr>
            <w:tcW w:w="868" w:type="dxa"/>
            <w:noWrap w:val="0"/>
            <w:vAlign w:val="center"/>
          </w:tcPr>
          <w:p w14:paraId="66DFBBF9">
            <w:pPr>
              <w:wordWrap w:val="0"/>
              <w:jc w:val="center"/>
              <w:rPr>
                <w:rFonts w:ascii="宋体" w:hAnsi="宋体" w:cs="宋体"/>
                <w:color w:val="auto"/>
                <w:sz w:val="24"/>
              </w:rPr>
            </w:pPr>
          </w:p>
        </w:tc>
        <w:tc>
          <w:tcPr>
            <w:tcW w:w="1332" w:type="dxa"/>
            <w:noWrap w:val="0"/>
            <w:vAlign w:val="center"/>
          </w:tcPr>
          <w:p w14:paraId="24622D0C">
            <w:pPr>
              <w:wordWrap w:val="0"/>
              <w:jc w:val="center"/>
              <w:rPr>
                <w:rFonts w:ascii="宋体" w:hAnsi="宋体" w:cs="宋体"/>
                <w:color w:val="auto"/>
                <w:sz w:val="24"/>
              </w:rPr>
            </w:pPr>
          </w:p>
        </w:tc>
        <w:tc>
          <w:tcPr>
            <w:tcW w:w="868" w:type="dxa"/>
            <w:noWrap w:val="0"/>
            <w:vAlign w:val="center"/>
          </w:tcPr>
          <w:p w14:paraId="5E7B82CA">
            <w:pPr>
              <w:wordWrap w:val="0"/>
              <w:jc w:val="center"/>
              <w:rPr>
                <w:rFonts w:ascii="宋体" w:hAnsi="宋体" w:cs="宋体"/>
                <w:color w:val="auto"/>
                <w:sz w:val="24"/>
              </w:rPr>
            </w:pPr>
          </w:p>
        </w:tc>
        <w:tc>
          <w:tcPr>
            <w:tcW w:w="984" w:type="dxa"/>
            <w:noWrap w:val="0"/>
            <w:vAlign w:val="center"/>
          </w:tcPr>
          <w:p w14:paraId="032D441A">
            <w:pPr>
              <w:wordWrap w:val="0"/>
              <w:jc w:val="center"/>
              <w:rPr>
                <w:rFonts w:ascii="宋体" w:hAnsi="宋体" w:cs="宋体"/>
                <w:color w:val="auto"/>
                <w:sz w:val="24"/>
              </w:rPr>
            </w:pPr>
          </w:p>
        </w:tc>
        <w:tc>
          <w:tcPr>
            <w:tcW w:w="752" w:type="dxa"/>
            <w:noWrap w:val="0"/>
            <w:vAlign w:val="center"/>
          </w:tcPr>
          <w:p w14:paraId="4960CC7C">
            <w:pPr>
              <w:wordWrap w:val="0"/>
              <w:jc w:val="center"/>
              <w:rPr>
                <w:rFonts w:ascii="宋体" w:hAnsi="宋体" w:cs="宋体"/>
                <w:color w:val="auto"/>
                <w:sz w:val="24"/>
              </w:rPr>
            </w:pPr>
          </w:p>
        </w:tc>
      </w:tr>
      <w:tr w14:paraId="1934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noWrap w:val="0"/>
            <w:vAlign w:val="center"/>
          </w:tcPr>
          <w:p w14:paraId="1F7DCF9A">
            <w:pPr>
              <w:wordWrap w:val="0"/>
              <w:jc w:val="center"/>
              <w:rPr>
                <w:rFonts w:ascii="宋体" w:hAnsi="宋体" w:cs="宋体"/>
                <w:color w:val="auto"/>
                <w:sz w:val="24"/>
              </w:rPr>
            </w:pPr>
          </w:p>
        </w:tc>
        <w:tc>
          <w:tcPr>
            <w:tcW w:w="765" w:type="dxa"/>
            <w:noWrap w:val="0"/>
            <w:vAlign w:val="center"/>
          </w:tcPr>
          <w:p w14:paraId="31C87F40">
            <w:pPr>
              <w:wordWrap w:val="0"/>
              <w:jc w:val="center"/>
              <w:rPr>
                <w:rFonts w:ascii="宋体" w:hAnsi="宋体" w:cs="宋体"/>
                <w:color w:val="auto"/>
                <w:sz w:val="24"/>
              </w:rPr>
            </w:pPr>
          </w:p>
        </w:tc>
        <w:tc>
          <w:tcPr>
            <w:tcW w:w="920" w:type="dxa"/>
            <w:noWrap w:val="0"/>
            <w:vAlign w:val="center"/>
          </w:tcPr>
          <w:p w14:paraId="08A4E386">
            <w:pPr>
              <w:wordWrap w:val="0"/>
              <w:jc w:val="center"/>
              <w:rPr>
                <w:rFonts w:ascii="宋体" w:hAnsi="宋体" w:cs="宋体"/>
                <w:color w:val="auto"/>
                <w:sz w:val="24"/>
              </w:rPr>
            </w:pPr>
          </w:p>
        </w:tc>
        <w:tc>
          <w:tcPr>
            <w:tcW w:w="966" w:type="dxa"/>
            <w:noWrap w:val="0"/>
            <w:vAlign w:val="center"/>
          </w:tcPr>
          <w:p w14:paraId="11992359">
            <w:pPr>
              <w:wordWrap w:val="0"/>
              <w:jc w:val="center"/>
              <w:rPr>
                <w:rFonts w:ascii="宋体" w:hAnsi="宋体" w:cs="宋体"/>
                <w:color w:val="auto"/>
                <w:sz w:val="24"/>
              </w:rPr>
            </w:pPr>
          </w:p>
        </w:tc>
        <w:tc>
          <w:tcPr>
            <w:tcW w:w="868" w:type="dxa"/>
            <w:noWrap w:val="0"/>
            <w:vAlign w:val="center"/>
          </w:tcPr>
          <w:p w14:paraId="19050283">
            <w:pPr>
              <w:wordWrap w:val="0"/>
              <w:jc w:val="center"/>
              <w:rPr>
                <w:rFonts w:ascii="宋体" w:hAnsi="宋体" w:cs="宋体"/>
                <w:color w:val="auto"/>
                <w:sz w:val="24"/>
              </w:rPr>
            </w:pPr>
          </w:p>
        </w:tc>
        <w:tc>
          <w:tcPr>
            <w:tcW w:w="868" w:type="dxa"/>
            <w:noWrap w:val="0"/>
            <w:vAlign w:val="center"/>
          </w:tcPr>
          <w:p w14:paraId="17CC22E4">
            <w:pPr>
              <w:wordWrap w:val="0"/>
              <w:jc w:val="center"/>
              <w:rPr>
                <w:rFonts w:ascii="宋体" w:hAnsi="宋体" w:cs="宋体"/>
                <w:color w:val="auto"/>
                <w:sz w:val="24"/>
              </w:rPr>
            </w:pPr>
          </w:p>
        </w:tc>
        <w:tc>
          <w:tcPr>
            <w:tcW w:w="1332" w:type="dxa"/>
            <w:noWrap w:val="0"/>
            <w:vAlign w:val="center"/>
          </w:tcPr>
          <w:p w14:paraId="41F6A3AA">
            <w:pPr>
              <w:wordWrap w:val="0"/>
              <w:jc w:val="center"/>
              <w:rPr>
                <w:rFonts w:ascii="宋体" w:hAnsi="宋体" w:cs="宋体"/>
                <w:color w:val="auto"/>
                <w:sz w:val="24"/>
              </w:rPr>
            </w:pPr>
          </w:p>
        </w:tc>
        <w:tc>
          <w:tcPr>
            <w:tcW w:w="868" w:type="dxa"/>
            <w:noWrap w:val="0"/>
            <w:vAlign w:val="center"/>
          </w:tcPr>
          <w:p w14:paraId="6A36DCAE">
            <w:pPr>
              <w:wordWrap w:val="0"/>
              <w:jc w:val="center"/>
              <w:rPr>
                <w:rFonts w:ascii="宋体" w:hAnsi="宋体" w:cs="宋体"/>
                <w:color w:val="auto"/>
                <w:sz w:val="24"/>
              </w:rPr>
            </w:pPr>
          </w:p>
        </w:tc>
        <w:tc>
          <w:tcPr>
            <w:tcW w:w="984" w:type="dxa"/>
            <w:noWrap w:val="0"/>
            <w:vAlign w:val="center"/>
          </w:tcPr>
          <w:p w14:paraId="4DF0E01F">
            <w:pPr>
              <w:wordWrap w:val="0"/>
              <w:jc w:val="center"/>
              <w:rPr>
                <w:rFonts w:ascii="宋体" w:hAnsi="宋体" w:cs="宋体"/>
                <w:color w:val="auto"/>
                <w:sz w:val="24"/>
              </w:rPr>
            </w:pPr>
          </w:p>
        </w:tc>
        <w:tc>
          <w:tcPr>
            <w:tcW w:w="752" w:type="dxa"/>
            <w:noWrap w:val="0"/>
            <w:vAlign w:val="center"/>
          </w:tcPr>
          <w:p w14:paraId="1EB42E5E">
            <w:pPr>
              <w:wordWrap w:val="0"/>
              <w:jc w:val="center"/>
              <w:rPr>
                <w:rFonts w:ascii="宋体" w:hAnsi="宋体" w:cs="宋体"/>
                <w:color w:val="auto"/>
                <w:sz w:val="24"/>
              </w:rPr>
            </w:pPr>
          </w:p>
        </w:tc>
      </w:tr>
      <w:tr w14:paraId="1748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17" w:type="dxa"/>
            <w:noWrap w:val="0"/>
            <w:vAlign w:val="center"/>
          </w:tcPr>
          <w:p w14:paraId="4FDE9DCF">
            <w:pPr>
              <w:wordWrap w:val="0"/>
              <w:jc w:val="center"/>
              <w:rPr>
                <w:rFonts w:ascii="宋体" w:hAnsi="宋体" w:cs="宋体"/>
                <w:color w:val="auto"/>
                <w:sz w:val="24"/>
              </w:rPr>
            </w:pPr>
          </w:p>
        </w:tc>
        <w:tc>
          <w:tcPr>
            <w:tcW w:w="765" w:type="dxa"/>
            <w:noWrap w:val="0"/>
            <w:vAlign w:val="center"/>
          </w:tcPr>
          <w:p w14:paraId="4994F134">
            <w:pPr>
              <w:wordWrap w:val="0"/>
              <w:jc w:val="center"/>
              <w:rPr>
                <w:rFonts w:ascii="宋体" w:hAnsi="宋体" w:cs="宋体"/>
                <w:color w:val="auto"/>
                <w:sz w:val="24"/>
              </w:rPr>
            </w:pPr>
          </w:p>
        </w:tc>
        <w:tc>
          <w:tcPr>
            <w:tcW w:w="920" w:type="dxa"/>
            <w:noWrap w:val="0"/>
            <w:vAlign w:val="center"/>
          </w:tcPr>
          <w:p w14:paraId="25164C8D">
            <w:pPr>
              <w:wordWrap w:val="0"/>
              <w:jc w:val="center"/>
              <w:rPr>
                <w:rFonts w:ascii="宋体" w:hAnsi="宋体" w:cs="宋体"/>
                <w:color w:val="auto"/>
                <w:sz w:val="24"/>
              </w:rPr>
            </w:pPr>
          </w:p>
        </w:tc>
        <w:tc>
          <w:tcPr>
            <w:tcW w:w="966" w:type="dxa"/>
            <w:noWrap w:val="0"/>
            <w:vAlign w:val="center"/>
          </w:tcPr>
          <w:p w14:paraId="2DE34ABD">
            <w:pPr>
              <w:wordWrap w:val="0"/>
              <w:jc w:val="center"/>
              <w:rPr>
                <w:rFonts w:ascii="宋体" w:hAnsi="宋体" w:cs="宋体"/>
                <w:color w:val="auto"/>
                <w:sz w:val="24"/>
              </w:rPr>
            </w:pPr>
          </w:p>
        </w:tc>
        <w:tc>
          <w:tcPr>
            <w:tcW w:w="868" w:type="dxa"/>
            <w:noWrap w:val="0"/>
            <w:vAlign w:val="center"/>
          </w:tcPr>
          <w:p w14:paraId="0B0AFE65">
            <w:pPr>
              <w:wordWrap w:val="0"/>
              <w:jc w:val="center"/>
              <w:rPr>
                <w:rFonts w:ascii="宋体" w:hAnsi="宋体" w:cs="宋体"/>
                <w:color w:val="auto"/>
                <w:sz w:val="24"/>
              </w:rPr>
            </w:pPr>
          </w:p>
        </w:tc>
        <w:tc>
          <w:tcPr>
            <w:tcW w:w="868" w:type="dxa"/>
            <w:noWrap w:val="0"/>
            <w:vAlign w:val="center"/>
          </w:tcPr>
          <w:p w14:paraId="6DD4BCAF">
            <w:pPr>
              <w:wordWrap w:val="0"/>
              <w:jc w:val="center"/>
              <w:rPr>
                <w:rFonts w:ascii="宋体" w:hAnsi="宋体" w:cs="宋体"/>
                <w:color w:val="auto"/>
                <w:sz w:val="24"/>
              </w:rPr>
            </w:pPr>
          </w:p>
        </w:tc>
        <w:tc>
          <w:tcPr>
            <w:tcW w:w="1332" w:type="dxa"/>
            <w:noWrap w:val="0"/>
            <w:vAlign w:val="center"/>
          </w:tcPr>
          <w:p w14:paraId="57228074">
            <w:pPr>
              <w:wordWrap w:val="0"/>
              <w:jc w:val="center"/>
              <w:rPr>
                <w:rFonts w:ascii="宋体" w:hAnsi="宋体" w:cs="宋体"/>
                <w:color w:val="auto"/>
                <w:sz w:val="24"/>
              </w:rPr>
            </w:pPr>
          </w:p>
        </w:tc>
        <w:tc>
          <w:tcPr>
            <w:tcW w:w="868" w:type="dxa"/>
            <w:noWrap w:val="0"/>
            <w:vAlign w:val="center"/>
          </w:tcPr>
          <w:p w14:paraId="01D49CE8">
            <w:pPr>
              <w:wordWrap w:val="0"/>
              <w:jc w:val="center"/>
              <w:rPr>
                <w:rFonts w:ascii="宋体" w:hAnsi="宋体" w:cs="宋体"/>
                <w:color w:val="auto"/>
                <w:sz w:val="24"/>
              </w:rPr>
            </w:pPr>
          </w:p>
        </w:tc>
        <w:tc>
          <w:tcPr>
            <w:tcW w:w="984" w:type="dxa"/>
            <w:noWrap w:val="0"/>
            <w:vAlign w:val="center"/>
          </w:tcPr>
          <w:p w14:paraId="46760F20">
            <w:pPr>
              <w:wordWrap w:val="0"/>
              <w:jc w:val="center"/>
              <w:rPr>
                <w:rFonts w:ascii="宋体" w:hAnsi="宋体" w:cs="宋体"/>
                <w:color w:val="auto"/>
                <w:sz w:val="24"/>
              </w:rPr>
            </w:pPr>
          </w:p>
        </w:tc>
        <w:tc>
          <w:tcPr>
            <w:tcW w:w="752" w:type="dxa"/>
            <w:noWrap w:val="0"/>
            <w:vAlign w:val="center"/>
          </w:tcPr>
          <w:p w14:paraId="386E795E">
            <w:pPr>
              <w:wordWrap w:val="0"/>
              <w:jc w:val="center"/>
              <w:rPr>
                <w:rFonts w:ascii="宋体" w:hAnsi="宋体" w:cs="宋体"/>
                <w:color w:val="auto"/>
                <w:sz w:val="24"/>
              </w:rPr>
            </w:pPr>
          </w:p>
        </w:tc>
      </w:tr>
      <w:tr w14:paraId="5CF6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17" w:type="dxa"/>
            <w:noWrap w:val="0"/>
            <w:vAlign w:val="center"/>
          </w:tcPr>
          <w:p w14:paraId="490C60E8">
            <w:pPr>
              <w:wordWrap w:val="0"/>
              <w:jc w:val="center"/>
              <w:rPr>
                <w:rFonts w:ascii="宋体" w:hAnsi="宋体" w:cs="宋体"/>
                <w:color w:val="auto"/>
                <w:sz w:val="24"/>
              </w:rPr>
            </w:pPr>
          </w:p>
        </w:tc>
        <w:tc>
          <w:tcPr>
            <w:tcW w:w="765" w:type="dxa"/>
            <w:noWrap w:val="0"/>
            <w:vAlign w:val="center"/>
          </w:tcPr>
          <w:p w14:paraId="33CF8C68">
            <w:pPr>
              <w:wordWrap w:val="0"/>
              <w:jc w:val="center"/>
              <w:rPr>
                <w:rFonts w:ascii="宋体" w:hAnsi="宋体" w:cs="宋体"/>
                <w:color w:val="auto"/>
                <w:sz w:val="24"/>
              </w:rPr>
            </w:pPr>
          </w:p>
        </w:tc>
        <w:tc>
          <w:tcPr>
            <w:tcW w:w="920" w:type="dxa"/>
            <w:noWrap w:val="0"/>
            <w:vAlign w:val="center"/>
          </w:tcPr>
          <w:p w14:paraId="69505111">
            <w:pPr>
              <w:wordWrap w:val="0"/>
              <w:jc w:val="center"/>
              <w:rPr>
                <w:rFonts w:ascii="宋体" w:hAnsi="宋体" w:cs="宋体"/>
                <w:color w:val="auto"/>
                <w:sz w:val="24"/>
              </w:rPr>
            </w:pPr>
          </w:p>
        </w:tc>
        <w:tc>
          <w:tcPr>
            <w:tcW w:w="966" w:type="dxa"/>
            <w:noWrap w:val="0"/>
            <w:vAlign w:val="center"/>
          </w:tcPr>
          <w:p w14:paraId="765E5D47">
            <w:pPr>
              <w:wordWrap w:val="0"/>
              <w:jc w:val="center"/>
              <w:rPr>
                <w:rFonts w:ascii="宋体" w:hAnsi="宋体" w:cs="宋体"/>
                <w:color w:val="auto"/>
                <w:sz w:val="24"/>
              </w:rPr>
            </w:pPr>
          </w:p>
        </w:tc>
        <w:tc>
          <w:tcPr>
            <w:tcW w:w="868" w:type="dxa"/>
            <w:noWrap w:val="0"/>
            <w:vAlign w:val="center"/>
          </w:tcPr>
          <w:p w14:paraId="5A09096C">
            <w:pPr>
              <w:wordWrap w:val="0"/>
              <w:jc w:val="center"/>
              <w:rPr>
                <w:rFonts w:ascii="宋体" w:hAnsi="宋体" w:cs="宋体"/>
                <w:color w:val="auto"/>
                <w:sz w:val="24"/>
              </w:rPr>
            </w:pPr>
          </w:p>
        </w:tc>
        <w:tc>
          <w:tcPr>
            <w:tcW w:w="868" w:type="dxa"/>
            <w:noWrap w:val="0"/>
            <w:vAlign w:val="center"/>
          </w:tcPr>
          <w:p w14:paraId="728BFB95">
            <w:pPr>
              <w:wordWrap w:val="0"/>
              <w:jc w:val="center"/>
              <w:rPr>
                <w:rFonts w:ascii="宋体" w:hAnsi="宋体" w:cs="宋体"/>
                <w:color w:val="auto"/>
                <w:sz w:val="24"/>
              </w:rPr>
            </w:pPr>
          </w:p>
        </w:tc>
        <w:tc>
          <w:tcPr>
            <w:tcW w:w="1332" w:type="dxa"/>
            <w:noWrap w:val="0"/>
            <w:vAlign w:val="center"/>
          </w:tcPr>
          <w:p w14:paraId="39B84F75">
            <w:pPr>
              <w:wordWrap w:val="0"/>
              <w:jc w:val="center"/>
              <w:rPr>
                <w:rFonts w:ascii="宋体" w:hAnsi="宋体" w:cs="宋体"/>
                <w:color w:val="auto"/>
                <w:sz w:val="24"/>
              </w:rPr>
            </w:pPr>
          </w:p>
        </w:tc>
        <w:tc>
          <w:tcPr>
            <w:tcW w:w="868" w:type="dxa"/>
            <w:noWrap w:val="0"/>
            <w:vAlign w:val="center"/>
          </w:tcPr>
          <w:p w14:paraId="59AF681F">
            <w:pPr>
              <w:wordWrap w:val="0"/>
              <w:jc w:val="center"/>
              <w:rPr>
                <w:rFonts w:ascii="宋体" w:hAnsi="宋体" w:cs="宋体"/>
                <w:color w:val="auto"/>
                <w:sz w:val="24"/>
              </w:rPr>
            </w:pPr>
          </w:p>
        </w:tc>
        <w:tc>
          <w:tcPr>
            <w:tcW w:w="984" w:type="dxa"/>
            <w:noWrap w:val="0"/>
            <w:vAlign w:val="center"/>
          </w:tcPr>
          <w:p w14:paraId="1143F874">
            <w:pPr>
              <w:wordWrap w:val="0"/>
              <w:jc w:val="center"/>
              <w:rPr>
                <w:rFonts w:ascii="宋体" w:hAnsi="宋体" w:cs="宋体"/>
                <w:color w:val="auto"/>
                <w:sz w:val="24"/>
              </w:rPr>
            </w:pPr>
          </w:p>
        </w:tc>
        <w:tc>
          <w:tcPr>
            <w:tcW w:w="752" w:type="dxa"/>
            <w:noWrap w:val="0"/>
            <w:vAlign w:val="center"/>
          </w:tcPr>
          <w:p w14:paraId="75B1E9E7">
            <w:pPr>
              <w:wordWrap w:val="0"/>
              <w:jc w:val="center"/>
              <w:rPr>
                <w:rFonts w:ascii="宋体" w:hAnsi="宋体" w:cs="宋体"/>
                <w:color w:val="auto"/>
                <w:sz w:val="24"/>
              </w:rPr>
            </w:pPr>
          </w:p>
        </w:tc>
      </w:tr>
      <w:tr w14:paraId="754B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noWrap w:val="0"/>
            <w:vAlign w:val="center"/>
          </w:tcPr>
          <w:p w14:paraId="2D7A1E4A">
            <w:pPr>
              <w:wordWrap w:val="0"/>
              <w:jc w:val="center"/>
              <w:rPr>
                <w:rFonts w:ascii="宋体" w:hAnsi="宋体" w:cs="宋体"/>
                <w:color w:val="auto"/>
                <w:sz w:val="24"/>
              </w:rPr>
            </w:pPr>
          </w:p>
        </w:tc>
        <w:tc>
          <w:tcPr>
            <w:tcW w:w="765" w:type="dxa"/>
            <w:noWrap w:val="0"/>
            <w:vAlign w:val="center"/>
          </w:tcPr>
          <w:p w14:paraId="0F869F92">
            <w:pPr>
              <w:wordWrap w:val="0"/>
              <w:jc w:val="center"/>
              <w:rPr>
                <w:rFonts w:ascii="宋体" w:hAnsi="宋体" w:cs="宋体"/>
                <w:color w:val="auto"/>
                <w:sz w:val="24"/>
              </w:rPr>
            </w:pPr>
          </w:p>
        </w:tc>
        <w:tc>
          <w:tcPr>
            <w:tcW w:w="920" w:type="dxa"/>
            <w:noWrap w:val="0"/>
            <w:vAlign w:val="center"/>
          </w:tcPr>
          <w:p w14:paraId="0141E769">
            <w:pPr>
              <w:wordWrap w:val="0"/>
              <w:jc w:val="center"/>
              <w:rPr>
                <w:rFonts w:ascii="宋体" w:hAnsi="宋体" w:cs="宋体"/>
                <w:color w:val="auto"/>
                <w:sz w:val="24"/>
              </w:rPr>
            </w:pPr>
          </w:p>
        </w:tc>
        <w:tc>
          <w:tcPr>
            <w:tcW w:w="966" w:type="dxa"/>
            <w:noWrap w:val="0"/>
            <w:vAlign w:val="center"/>
          </w:tcPr>
          <w:p w14:paraId="15350258">
            <w:pPr>
              <w:wordWrap w:val="0"/>
              <w:jc w:val="center"/>
              <w:rPr>
                <w:rFonts w:ascii="宋体" w:hAnsi="宋体" w:cs="宋体"/>
                <w:color w:val="auto"/>
                <w:sz w:val="24"/>
              </w:rPr>
            </w:pPr>
          </w:p>
        </w:tc>
        <w:tc>
          <w:tcPr>
            <w:tcW w:w="868" w:type="dxa"/>
            <w:noWrap w:val="0"/>
            <w:vAlign w:val="center"/>
          </w:tcPr>
          <w:p w14:paraId="54D122D9">
            <w:pPr>
              <w:wordWrap w:val="0"/>
              <w:jc w:val="center"/>
              <w:rPr>
                <w:rFonts w:ascii="宋体" w:hAnsi="宋体" w:cs="宋体"/>
                <w:color w:val="auto"/>
                <w:sz w:val="24"/>
              </w:rPr>
            </w:pPr>
          </w:p>
        </w:tc>
        <w:tc>
          <w:tcPr>
            <w:tcW w:w="868" w:type="dxa"/>
            <w:noWrap w:val="0"/>
            <w:vAlign w:val="center"/>
          </w:tcPr>
          <w:p w14:paraId="49FF3E9E">
            <w:pPr>
              <w:wordWrap w:val="0"/>
              <w:jc w:val="center"/>
              <w:rPr>
                <w:rFonts w:ascii="宋体" w:hAnsi="宋体" w:cs="宋体"/>
                <w:color w:val="auto"/>
                <w:sz w:val="24"/>
              </w:rPr>
            </w:pPr>
          </w:p>
        </w:tc>
        <w:tc>
          <w:tcPr>
            <w:tcW w:w="1332" w:type="dxa"/>
            <w:noWrap w:val="0"/>
            <w:vAlign w:val="center"/>
          </w:tcPr>
          <w:p w14:paraId="17297EBD">
            <w:pPr>
              <w:wordWrap w:val="0"/>
              <w:jc w:val="center"/>
              <w:rPr>
                <w:rFonts w:ascii="宋体" w:hAnsi="宋体" w:cs="宋体"/>
                <w:color w:val="auto"/>
                <w:sz w:val="24"/>
              </w:rPr>
            </w:pPr>
          </w:p>
        </w:tc>
        <w:tc>
          <w:tcPr>
            <w:tcW w:w="868" w:type="dxa"/>
            <w:noWrap w:val="0"/>
            <w:vAlign w:val="center"/>
          </w:tcPr>
          <w:p w14:paraId="31FC25F1">
            <w:pPr>
              <w:wordWrap w:val="0"/>
              <w:jc w:val="center"/>
              <w:rPr>
                <w:rFonts w:ascii="宋体" w:hAnsi="宋体" w:cs="宋体"/>
                <w:color w:val="auto"/>
                <w:sz w:val="24"/>
              </w:rPr>
            </w:pPr>
          </w:p>
        </w:tc>
        <w:tc>
          <w:tcPr>
            <w:tcW w:w="984" w:type="dxa"/>
            <w:noWrap w:val="0"/>
            <w:vAlign w:val="center"/>
          </w:tcPr>
          <w:p w14:paraId="15662D59">
            <w:pPr>
              <w:wordWrap w:val="0"/>
              <w:jc w:val="center"/>
              <w:rPr>
                <w:rFonts w:ascii="宋体" w:hAnsi="宋体" w:cs="宋体"/>
                <w:color w:val="auto"/>
                <w:sz w:val="24"/>
              </w:rPr>
            </w:pPr>
          </w:p>
        </w:tc>
        <w:tc>
          <w:tcPr>
            <w:tcW w:w="752" w:type="dxa"/>
            <w:noWrap w:val="0"/>
            <w:vAlign w:val="center"/>
          </w:tcPr>
          <w:p w14:paraId="59A62422">
            <w:pPr>
              <w:wordWrap w:val="0"/>
              <w:jc w:val="center"/>
              <w:rPr>
                <w:rFonts w:ascii="宋体" w:hAnsi="宋体" w:cs="宋体"/>
                <w:color w:val="auto"/>
                <w:sz w:val="24"/>
              </w:rPr>
            </w:pPr>
          </w:p>
        </w:tc>
      </w:tr>
      <w:tr w14:paraId="5DD6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noWrap w:val="0"/>
            <w:vAlign w:val="center"/>
          </w:tcPr>
          <w:p w14:paraId="0C3BB276">
            <w:pPr>
              <w:wordWrap w:val="0"/>
              <w:jc w:val="center"/>
              <w:rPr>
                <w:rFonts w:ascii="宋体" w:hAnsi="宋体" w:cs="宋体"/>
                <w:color w:val="auto"/>
                <w:sz w:val="24"/>
              </w:rPr>
            </w:pPr>
          </w:p>
        </w:tc>
        <w:tc>
          <w:tcPr>
            <w:tcW w:w="765" w:type="dxa"/>
            <w:noWrap w:val="0"/>
            <w:vAlign w:val="center"/>
          </w:tcPr>
          <w:p w14:paraId="2678A807">
            <w:pPr>
              <w:wordWrap w:val="0"/>
              <w:jc w:val="center"/>
              <w:rPr>
                <w:rFonts w:ascii="宋体" w:hAnsi="宋体" w:cs="宋体"/>
                <w:color w:val="auto"/>
                <w:sz w:val="24"/>
              </w:rPr>
            </w:pPr>
          </w:p>
        </w:tc>
        <w:tc>
          <w:tcPr>
            <w:tcW w:w="920" w:type="dxa"/>
            <w:noWrap w:val="0"/>
            <w:vAlign w:val="center"/>
          </w:tcPr>
          <w:p w14:paraId="37416EBA">
            <w:pPr>
              <w:wordWrap w:val="0"/>
              <w:jc w:val="center"/>
              <w:rPr>
                <w:rFonts w:ascii="宋体" w:hAnsi="宋体" w:cs="宋体"/>
                <w:color w:val="auto"/>
                <w:sz w:val="24"/>
              </w:rPr>
            </w:pPr>
          </w:p>
        </w:tc>
        <w:tc>
          <w:tcPr>
            <w:tcW w:w="966" w:type="dxa"/>
            <w:noWrap w:val="0"/>
            <w:vAlign w:val="center"/>
          </w:tcPr>
          <w:p w14:paraId="41B3EE85">
            <w:pPr>
              <w:wordWrap w:val="0"/>
              <w:jc w:val="center"/>
              <w:rPr>
                <w:rFonts w:ascii="宋体" w:hAnsi="宋体" w:cs="宋体"/>
                <w:color w:val="auto"/>
                <w:sz w:val="24"/>
              </w:rPr>
            </w:pPr>
          </w:p>
        </w:tc>
        <w:tc>
          <w:tcPr>
            <w:tcW w:w="868" w:type="dxa"/>
            <w:noWrap w:val="0"/>
            <w:vAlign w:val="center"/>
          </w:tcPr>
          <w:p w14:paraId="01A19248">
            <w:pPr>
              <w:wordWrap w:val="0"/>
              <w:jc w:val="center"/>
              <w:rPr>
                <w:rFonts w:ascii="宋体" w:hAnsi="宋体" w:cs="宋体"/>
                <w:color w:val="auto"/>
                <w:sz w:val="24"/>
              </w:rPr>
            </w:pPr>
          </w:p>
        </w:tc>
        <w:tc>
          <w:tcPr>
            <w:tcW w:w="868" w:type="dxa"/>
            <w:noWrap w:val="0"/>
            <w:vAlign w:val="center"/>
          </w:tcPr>
          <w:p w14:paraId="0107D9EC">
            <w:pPr>
              <w:wordWrap w:val="0"/>
              <w:jc w:val="center"/>
              <w:rPr>
                <w:rFonts w:ascii="宋体" w:hAnsi="宋体" w:cs="宋体"/>
                <w:color w:val="auto"/>
                <w:sz w:val="24"/>
              </w:rPr>
            </w:pPr>
          </w:p>
        </w:tc>
        <w:tc>
          <w:tcPr>
            <w:tcW w:w="1332" w:type="dxa"/>
            <w:noWrap w:val="0"/>
            <w:vAlign w:val="center"/>
          </w:tcPr>
          <w:p w14:paraId="61C63D02">
            <w:pPr>
              <w:wordWrap w:val="0"/>
              <w:jc w:val="center"/>
              <w:rPr>
                <w:rFonts w:ascii="宋体" w:hAnsi="宋体" w:cs="宋体"/>
                <w:color w:val="auto"/>
                <w:sz w:val="24"/>
              </w:rPr>
            </w:pPr>
          </w:p>
        </w:tc>
        <w:tc>
          <w:tcPr>
            <w:tcW w:w="868" w:type="dxa"/>
            <w:noWrap w:val="0"/>
            <w:vAlign w:val="center"/>
          </w:tcPr>
          <w:p w14:paraId="19D08600">
            <w:pPr>
              <w:wordWrap w:val="0"/>
              <w:jc w:val="center"/>
              <w:rPr>
                <w:rFonts w:ascii="宋体" w:hAnsi="宋体" w:cs="宋体"/>
                <w:color w:val="auto"/>
                <w:sz w:val="24"/>
              </w:rPr>
            </w:pPr>
          </w:p>
        </w:tc>
        <w:tc>
          <w:tcPr>
            <w:tcW w:w="984" w:type="dxa"/>
            <w:noWrap w:val="0"/>
            <w:vAlign w:val="center"/>
          </w:tcPr>
          <w:p w14:paraId="759F47ED">
            <w:pPr>
              <w:wordWrap w:val="0"/>
              <w:jc w:val="center"/>
              <w:rPr>
                <w:rFonts w:ascii="宋体" w:hAnsi="宋体" w:cs="宋体"/>
                <w:color w:val="auto"/>
                <w:sz w:val="24"/>
              </w:rPr>
            </w:pPr>
          </w:p>
        </w:tc>
        <w:tc>
          <w:tcPr>
            <w:tcW w:w="752" w:type="dxa"/>
            <w:noWrap w:val="0"/>
            <w:vAlign w:val="center"/>
          </w:tcPr>
          <w:p w14:paraId="78E72BC0">
            <w:pPr>
              <w:wordWrap w:val="0"/>
              <w:jc w:val="center"/>
              <w:rPr>
                <w:rFonts w:ascii="宋体" w:hAnsi="宋体" w:cs="宋体"/>
                <w:color w:val="auto"/>
                <w:sz w:val="24"/>
              </w:rPr>
            </w:pPr>
          </w:p>
        </w:tc>
      </w:tr>
      <w:tr w14:paraId="35E3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noWrap w:val="0"/>
            <w:vAlign w:val="center"/>
          </w:tcPr>
          <w:p w14:paraId="3F5C3069">
            <w:pPr>
              <w:wordWrap w:val="0"/>
              <w:jc w:val="center"/>
              <w:rPr>
                <w:rFonts w:ascii="宋体" w:hAnsi="宋体" w:cs="宋体"/>
                <w:color w:val="auto"/>
                <w:sz w:val="24"/>
              </w:rPr>
            </w:pPr>
          </w:p>
        </w:tc>
        <w:tc>
          <w:tcPr>
            <w:tcW w:w="765" w:type="dxa"/>
            <w:noWrap w:val="0"/>
            <w:vAlign w:val="center"/>
          </w:tcPr>
          <w:p w14:paraId="10F29C91">
            <w:pPr>
              <w:wordWrap w:val="0"/>
              <w:jc w:val="center"/>
              <w:rPr>
                <w:rFonts w:ascii="宋体" w:hAnsi="宋体" w:cs="宋体"/>
                <w:color w:val="auto"/>
                <w:sz w:val="24"/>
              </w:rPr>
            </w:pPr>
          </w:p>
        </w:tc>
        <w:tc>
          <w:tcPr>
            <w:tcW w:w="920" w:type="dxa"/>
            <w:noWrap w:val="0"/>
            <w:vAlign w:val="center"/>
          </w:tcPr>
          <w:p w14:paraId="54602C30">
            <w:pPr>
              <w:wordWrap w:val="0"/>
              <w:jc w:val="center"/>
              <w:rPr>
                <w:rFonts w:ascii="宋体" w:hAnsi="宋体" w:cs="宋体"/>
                <w:color w:val="auto"/>
                <w:sz w:val="24"/>
              </w:rPr>
            </w:pPr>
          </w:p>
        </w:tc>
        <w:tc>
          <w:tcPr>
            <w:tcW w:w="966" w:type="dxa"/>
            <w:noWrap w:val="0"/>
            <w:vAlign w:val="center"/>
          </w:tcPr>
          <w:p w14:paraId="481B2664">
            <w:pPr>
              <w:wordWrap w:val="0"/>
              <w:jc w:val="center"/>
              <w:rPr>
                <w:rFonts w:ascii="宋体" w:hAnsi="宋体" w:cs="宋体"/>
                <w:color w:val="auto"/>
                <w:sz w:val="24"/>
              </w:rPr>
            </w:pPr>
          </w:p>
        </w:tc>
        <w:tc>
          <w:tcPr>
            <w:tcW w:w="868" w:type="dxa"/>
            <w:noWrap w:val="0"/>
            <w:vAlign w:val="center"/>
          </w:tcPr>
          <w:p w14:paraId="12727005">
            <w:pPr>
              <w:wordWrap w:val="0"/>
              <w:jc w:val="center"/>
              <w:rPr>
                <w:rFonts w:ascii="宋体" w:hAnsi="宋体" w:cs="宋体"/>
                <w:color w:val="auto"/>
                <w:sz w:val="24"/>
              </w:rPr>
            </w:pPr>
          </w:p>
        </w:tc>
        <w:tc>
          <w:tcPr>
            <w:tcW w:w="868" w:type="dxa"/>
            <w:noWrap w:val="0"/>
            <w:vAlign w:val="center"/>
          </w:tcPr>
          <w:p w14:paraId="0FC76AA5">
            <w:pPr>
              <w:wordWrap w:val="0"/>
              <w:jc w:val="center"/>
              <w:rPr>
                <w:rFonts w:ascii="宋体" w:hAnsi="宋体" w:cs="宋体"/>
                <w:color w:val="auto"/>
                <w:sz w:val="24"/>
              </w:rPr>
            </w:pPr>
          </w:p>
        </w:tc>
        <w:tc>
          <w:tcPr>
            <w:tcW w:w="1332" w:type="dxa"/>
            <w:noWrap w:val="0"/>
            <w:vAlign w:val="center"/>
          </w:tcPr>
          <w:p w14:paraId="55EB7C1D">
            <w:pPr>
              <w:wordWrap w:val="0"/>
              <w:jc w:val="center"/>
              <w:rPr>
                <w:rFonts w:ascii="宋体" w:hAnsi="宋体" w:cs="宋体"/>
                <w:color w:val="auto"/>
                <w:sz w:val="24"/>
              </w:rPr>
            </w:pPr>
          </w:p>
        </w:tc>
        <w:tc>
          <w:tcPr>
            <w:tcW w:w="868" w:type="dxa"/>
            <w:noWrap w:val="0"/>
            <w:vAlign w:val="center"/>
          </w:tcPr>
          <w:p w14:paraId="6FF745EE">
            <w:pPr>
              <w:wordWrap w:val="0"/>
              <w:jc w:val="center"/>
              <w:rPr>
                <w:rFonts w:ascii="宋体" w:hAnsi="宋体" w:cs="宋体"/>
                <w:color w:val="auto"/>
                <w:sz w:val="24"/>
              </w:rPr>
            </w:pPr>
          </w:p>
        </w:tc>
        <w:tc>
          <w:tcPr>
            <w:tcW w:w="984" w:type="dxa"/>
            <w:noWrap w:val="0"/>
            <w:vAlign w:val="center"/>
          </w:tcPr>
          <w:p w14:paraId="2FA4117C">
            <w:pPr>
              <w:wordWrap w:val="0"/>
              <w:jc w:val="center"/>
              <w:rPr>
                <w:rFonts w:ascii="宋体" w:hAnsi="宋体" w:cs="宋体"/>
                <w:color w:val="auto"/>
                <w:sz w:val="24"/>
              </w:rPr>
            </w:pPr>
          </w:p>
        </w:tc>
        <w:tc>
          <w:tcPr>
            <w:tcW w:w="752" w:type="dxa"/>
            <w:noWrap w:val="0"/>
            <w:vAlign w:val="center"/>
          </w:tcPr>
          <w:p w14:paraId="306DD6B9">
            <w:pPr>
              <w:wordWrap w:val="0"/>
              <w:jc w:val="center"/>
              <w:rPr>
                <w:rFonts w:ascii="宋体" w:hAnsi="宋体" w:cs="宋体"/>
                <w:color w:val="auto"/>
                <w:sz w:val="24"/>
              </w:rPr>
            </w:pPr>
          </w:p>
        </w:tc>
      </w:tr>
      <w:tr w14:paraId="65D8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noWrap w:val="0"/>
            <w:vAlign w:val="center"/>
          </w:tcPr>
          <w:p w14:paraId="065FD2F8">
            <w:pPr>
              <w:wordWrap w:val="0"/>
              <w:jc w:val="center"/>
              <w:rPr>
                <w:rFonts w:ascii="宋体" w:hAnsi="宋体" w:cs="宋体"/>
                <w:color w:val="auto"/>
                <w:sz w:val="24"/>
              </w:rPr>
            </w:pPr>
          </w:p>
        </w:tc>
        <w:tc>
          <w:tcPr>
            <w:tcW w:w="765" w:type="dxa"/>
            <w:noWrap w:val="0"/>
            <w:vAlign w:val="center"/>
          </w:tcPr>
          <w:p w14:paraId="0CFA4314">
            <w:pPr>
              <w:wordWrap w:val="0"/>
              <w:jc w:val="center"/>
              <w:rPr>
                <w:rFonts w:ascii="宋体" w:hAnsi="宋体" w:cs="宋体"/>
                <w:color w:val="auto"/>
                <w:sz w:val="24"/>
              </w:rPr>
            </w:pPr>
          </w:p>
        </w:tc>
        <w:tc>
          <w:tcPr>
            <w:tcW w:w="920" w:type="dxa"/>
            <w:noWrap w:val="0"/>
            <w:vAlign w:val="center"/>
          </w:tcPr>
          <w:p w14:paraId="74E25BB8">
            <w:pPr>
              <w:wordWrap w:val="0"/>
              <w:jc w:val="center"/>
              <w:rPr>
                <w:rFonts w:ascii="宋体" w:hAnsi="宋体" w:cs="宋体"/>
                <w:color w:val="auto"/>
                <w:sz w:val="24"/>
              </w:rPr>
            </w:pPr>
          </w:p>
        </w:tc>
        <w:tc>
          <w:tcPr>
            <w:tcW w:w="966" w:type="dxa"/>
            <w:noWrap w:val="0"/>
            <w:vAlign w:val="center"/>
          </w:tcPr>
          <w:p w14:paraId="2AC1EE87">
            <w:pPr>
              <w:wordWrap w:val="0"/>
              <w:jc w:val="center"/>
              <w:rPr>
                <w:rFonts w:ascii="宋体" w:hAnsi="宋体" w:cs="宋体"/>
                <w:color w:val="auto"/>
                <w:sz w:val="24"/>
              </w:rPr>
            </w:pPr>
          </w:p>
        </w:tc>
        <w:tc>
          <w:tcPr>
            <w:tcW w:w="868" w:type="dxa"/>
            <w:noWrap w:val="0"/>
            <w:vAlign w:val="center"/>
          </w:tcPr>
          <w:p w14:paraId="405CE015">
            <w:pPr>
              <w:wordWrap w:val="0"/>
              <w:jc w:val="center"/>
              <w:rPr>
                <w:rFonts w:ascii="宋体" w:hAnsi="宋体" w:cs="宋体"/>
                <w:color w:val="auto"/>
                <w:sz w:val="24"/>
              </w:rPr>
            </w:pPr>
          </w:p>
        </w:tc>
        <w:tc>
          <w:tcPr>
            <w:tcW w:w="868" w:type="dxa"/>
            <w:noWrap w:val="0"/>
            <w:vAlign w:val="center"/>
          </w:tcPr>
          <w:p w14:paraId="727C7FBC">
            <w:pPr>
              <w:wordWrap w:val="0"/>
              <w:jc w:val="center"/>
              <w:rPr>
                <w:rFonts w:ascii="宋体" w:hAnsi="宋体" w:cs="宋体"/>
                <w:color w:val="auto"/>
                <w:sz w:val="24"/>
              </w:rPr>
            </w:pPr>
          </w:p>
        </w:tc>
        <w:tc>
          <w:tcPr>
            <w:tcW w:w="1332" w:type="dxa"/>
            <w:noWrap w:val="0"/>
            <w:vAlign w:val="center"/>
          </w:tcPr>
          <w:p w14:paraId="6C691D65">
            <w:pPr>
              <w:wordWrap w:val="0"/>
              <w:jc w:val="center"/>
              <w:rPr>
                <w:rFonts w:ascii="宋体" w:hAnsi="宋体" w:cs="宋体"/>
                <w:color w:val="auto"/>
                <w:sz w:val="24"/>
              </w:rPr>
            </w:pPr>
          </w:p>
        </w:tc>
        <w:tc>
          <w:tcPr>
            <w:tcW w:w="868" w:type="dxa"/>
            <w:noWrap w:val="0"/>
            <w:vAlign w:val="center"/>
          </w:tcPr>
          <w:p w14:paraId="60C450C3">
            <w:pPr>
              <w:wordWrap w:val="0"/>
              <w:jc w:val="center"/>
              <w:rPr>
                <w:rFonts w:ascii="宋体" w:hAnsi="宋体" w:cs="宋体"/>
                <w:color w:val="auto"/>
                <w:sz w:val="24"/>
              </w:rPr>
            </w:pPr>
          </w:p>
        </w:tc>
        <w:tc>
          <w:tcPr>
            <w:tcW w:w="984" w:type="dxa"/>
            <w:noWrap w:val="0"/>
            <w:vAlign w:val="center"/>
          </w:tcPr>
          <w:p w14:paraId="17BE7A01">
            <w:pPr>
              <w:wordWrap w:val="0"/>
              <w:jc w:val="center"/>
              <w:rPr>
                <w:rFonts w:ascii="宋体" w:hAnsi="宋体" w:cs="宋体"/>
                <w:color w:val="auto"/>
                <w:sz w:val="24"/>
              </w:rPr>
            </w:pPr>
          </w:p>
        </w:tc>
        <w:tc>
          <w:tcPr>
            <w:tcW w:w="752" w:type="dxa"/>
            <w:noWrap w:val="0"/>
            <w:vAlign w:val="center"/>
          </w:tcPr>
          <w:p w14:paraId="7385B45C">
            <w:pPr>
              <w:wordWrap w:val="0"/>
              <w:jc w:val="center"/>
              <w:rPr>
                <w:rFonts w:ascii="宋体" w:hAnsi="宋体" w:cs="宋体"/>
                <w:color w:val="auto"/>
                <w:sz w:val="24"/>
              </w:rPr>
            </w:pPr>
          </w:p>
        </w:tc>
      </w:tr>
      <w:tr w14:paraId="7932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noWrap w:val="0"/>
            <w:vAlign w:val="center"/>
          </w:tcPr>
          <w:p w14:paraId="27A47B5C">
            <w:pPr>
              <w:wordWrap w:val="0"/>
              <w:jc w:val="center"/>
              <w:rPr>
                <w:rFonts w:ascii="宋体" w:hAnsi="宋体" w:cs="宋体"/>
                <w:color w:val="auto"/>
                <w:sz w:val="24"/>
              </w:rPr>
            </w:pPr>
          </w:p>
        </w:tc>
        <w:tc>
          <w:tcPr>
            <w:tcW w:w="765" w:type="dxa"/>
            <w:noWrap w:val="0"/>
            <w:vAlign w:val="center"/>
          </w:tcPr>
          <w:p w14:paraId="66297049">
            <w:pPr>
              <w:wordWrap w:val="0"/>
              <w:jc w:val="center"/>
              <w:rPr>
                <w:rFonts w:ascii="宋体" w:hAnsi="宋体" w:cs="宋体"/>
                <w:color w:val="auto"/>
                <w:sz w:val="24"/>
              </w:rPr>
            </w:pPr>
          </w:p>
        </w:tc>
        <w:tc>
          <w:tcPr>
            <w:tcW w:w="920" w:type="dxa"/>
            <w:noWrap w:val="0"/>
            <w:vAlign w:val="center"/>
          </w:tcPr>
          <w:p w14:paraId="7F20D608">
            <w:pPr>
              <w:wordWrap w:val="0"/>
              <w:jc w:val="center"/>
              <w:rPr>
                <w:rFonts w:ascii="宋体" w:hAnsi="宋体" w:cs="宋体"/>
                <w:color w:val="auto"/>
                <w:sz w:val="24"/>
              </w:rPr>
            </w:pPr>
          </w:p>
        </w:tc>
        <w:tc>
          <w:tcPr>
            <w:tcW w:w="966" w:type="dxa"/>
            <w:noWrap w:val="0"/>
            <w:vAlign w:val="center"/>
          </w:tcPr>
          <w:p w14:paraId="39C310A8">
            <w:pPr>
              <w:wordWrap w:val="0"/>
              <w:jc w:val="center"/>
              <w:rPr>
                <w:rFonts w:ascii="宋体" w:hAnsi="宋体" w:cs="宋体"/>
                <w:color w:val="auto"/>
                <w:sz w:val="24"/>
              </w:rPr>
            </w:pPr>
          </w:p>
        </w:tc>
        <w:tc>
          <w:tcPr>
            <w:tcW w:w="868" w:type="dxa"/>
            <w:noWrap w:val="0"/>
            <w:vAlign w:val="center"/>
          </w:tcPr>
          <w:p w14:paraId="7310AE8A">
            <w:pPr>
              <w:wordWrap w:val="0"/>
              <w:jc w:val="center"/>
              <w:rPr>
                <w:rFonts w:ascii="宋体" w:hAnsi="宋体" w:cs="宋体"/>
                <w:color w:val="auto"/>
                <w:sz w:val="24"/>
              </w:rPr>
            </w:pPr>
          </w:p>
        </w:tc>
        <w:tc>
          <w:tcPr>
            <w:tcW w:w="868" w:type="dxa"/>
            <w:noWrap w:val="0"/>
            <w:vAlign w:val="center"/>
          </w:tcPr>
          <w:p w14:paraId="08CAE69D">
            <w:pPr>
              <w:wordWrap w:val="0"/>
              <w:jc w:val="center"/>
              <w:rPr>
                <w:rFonts w:ascii="宋体" w:hAnsi="宋体" w:cs="宋体"/>
                <w:color w:val="auto"/>
                <w:sz w:val="24"/>
              </w:rPr>
            </w:pPr>
          </w:p>
        </w:tc>
        <w:tc>
          <w:tcPr>
            <w:tcW w:w="1332" w:type="dxa"/>
            <w:noWrap w:val="0"/>
            <w:vAlign w:val="center"/>
          </w:tcPr>
          <w:p w14:paraId="3B02CF68">
            <w:pPr>
              <w:wordWrap w:val="0"/>
              <w:jc w:val="center"/>
              <w:rPr>
                <w:rFonts w:ascii="宋体" w:hAnsi="宋体" w:cs="宋体"/>
                <w:color w:val="auto"/>
                <w:sz w:val="24"/>
              </w:rPr>
            </w:pPr>
          </w:p>
        </w:tc>
        <w:tc>
          <w:tcPr>
            <w:tcW w:w="868" w:type="dxa"/>
            <w:noWrap w:val="0"/>
            <w:vAlign w:val="center"/>
          </w:tcPr>
          <w:p w14:paraId="659C94C7">
            <w:pPr>
              <w:wordWrap w:val="0"/>
              <w:jc w:val="center"/>
              <w:rPr>
                <w:rFonts w:ascii="宋体" w:hAnsi="宋体" w:cs="宋体"/>
                <w:color w:val="auto"/>
                <w:sz w:val="24"/>
              </w:rPr>
            </w:pPr>
          </w:p>
        </w:tc>
        <w:tc>
          <w:tcPr>
            <w:tcW w:w="984" w:type="dxa"/>
            <w:noWrap w:val="0"/>
            <w:vAlign w:val="center"/>
          </w:tcPr>
          <w:p w14:paraId="68479A63">
            <w:pPr>
              <w:wordWrap w:val="0"/>
              <w:jc w:val="center"/>
              <w:rPr>
                <w:rFonts w:ascii="宋体" w:hAnsi="宋体" w:cs="宋体"/>
                <w:color w:val="auto"/>
                <w:sz w:val="24"/>
              </w:rPr>
            </w:pPr>
          </w:p>
        </w:tc>
        <w:tc>
          <w:tcPr>
            <w:tcW w:w="752" w:type="dxa"/>
            <w:noWrap w:val="0"/>
            <w:vAlign w:val="center"/>
          </w:tcPr>
          <w:p w14:paraId="1E47BFFB">
            <w:pPr>
              <w:wordWrap w:val="0"/>
              <w:jc w:val="center"/>
              <w:rPr>
                <w:rFonts w:ascii="宋体" w:hAnsi="宋体" w:cs="宋体"/>
                <w:color w:val="auto"/>
                <w:sz w:val="24"/>
              </w:rPr>
            </w:pPr>
          </w:p>
        </w:tc>
      </w:tr>
      <w:tr w14:paraId="05C7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noWrap w:val="0"/>
            <w:vAlign w:val="center"/>
          </w:tcPr>
          <w:p w14:paraId="2D06C7A0">
            <w:pPr>
              <w:wordWrap w:val="0"/>
              <w:jc w:val="center"/>
              <w:rPr>
                <w:rFonts w:ascii="宋体" w:hAnsi="宋体" w:cs="宋体"/>
                <w:color w:val="auto"/>
                <w:sz w:val="24"/>
              </w:rPr>
            </w:pPr>
          </w:p>
        </w:tc>
        <w:tc>
          <w:tcPr>
            <w:tcW w:w="765" w:type="dxa"/>
            <w:noWrap w:val="0"/>
            <w:vAlign w:val="center"/>
          </w:tcPr>
          <w:p w14:paraId="2A576E02">
            <w:pPr>
              <w:wordWrap w:val="0"/>
              <w:jc w:val="center"/>
              <w:rPr>
                <w:rFonts w:ascii="宋体" w:hAnsi="宋体" w:cs="宋体"/>
                <w:color w:val="auto"/>
                <w:sz w:val="24"/>
              </w:rPr>
            </w:pPr>
          </w:p>
        </w:tc>
        <w:tc>
          <w:tcPr>
            <w:tcW w:w="920" w:type="dxa"/>
            <w:noWrap w:val="0"/>
            <w:vAlign w:val="center"/>
          </w:tcPr>
          <w:p w14:paraId="41515D70">
            <w:pPr>
              <w:wordWrap w:val="0"/>
              <w:jc w:val="center"/>
              <w:rPr>
                <w:rFonts w:ascii="宋体" w:hAnsi="宋体" w:cs="宋体"/>
                <w:color w:val="auto"/>
                <w:sz w:val="24"/>
              </w:rPr>
            </w:pPr>
          </w:p>
        </w:tc>
        <w:tc>
          <w:tcPr>
            <w:tcW w:w="966" w:type="dxa"/>
            <w:noWrap w:val="0"/>
            <w:vAlign w:val="center"/>
          </w:tcPr>
          <w:p w14:paraId="08F8AC26">
            <w:pPr>
              <w:wordWrap w:val="0"/>
              <w:jc w:val="center"/>
              <w:rPr>
                <w:rFonts w:ascii="宋体" w:hAnsi="宋体" w:cs="宋体"/>
                <w:color w:val="auto"/>
                <w:sz w:val="24"/>
              </w:rPr>
            </w:pPr>
          </w:p>
        </w:tc>
        <w:tc>
          <w:tcPr>
            <w:tcW w:w="868" w:type="dxa"/>
            <w:noWrap w:val="0"/>
            <w:vAlign w:val="center"/>
          </w:tcPr>
          <w:p w14:paraId="25A5FA98">
            <w:pPr>
              <w:wordWrap w:val="0"/>
              <w:jc w:val="center"/>
              <w:rPr>
                <w:rFonts w:ascii="宋体" w:hAnsi="宋体" w:cs="宋体"/>
                <w:color w:val="auto"/>
                <w:sz w:val="24"/>
              </w:rPr>
            </w:pPr>
          </w:p>
        </w:tc>
        <w:tc>
          <w:tcPr>
            <w:tcW w:w="868" w:type="dxa"/>
            <w:noWrap w:val="0"/>
            <w:vAlign w:val="center"/>
          </w:tcPr>
          <w:p w14:paraId="26C4AD96">
            <w:pPr>
              <w:wordWrap w:val="0"/>
              <w:jc w:val="center"/>
              <w:rPr>
                <w:rFonts w:ascii="宋体" w:hAnsi="宋体" w:cs="宋体"/>
                <w:color w:val="auto"/>
                <w:sz w:val="24"/>
              </w:rPr>
            </w:pPr>
          </w:p>
        </w:tc>
        <w:tc>
          <w:tcPr>
            <w:tcW w:w="1332" w:type="dxa"/>
            <w:noWrap w:val="0"/>
            <w:vAlign w:val="center"/>
          </w:tcPr>
          <w:p w14:paraId="0A1F6757">
            <w:pPr>
              <w:wordWrap w:val="0"/>
              <w:jc w:val="center"/>
              <w:rPr>
                <w:rFonts w:ascii="宋体" w:hAnsi="宋体" w:cs="宋体"/>
                <w:color w:val="auto"/>
                <w:sz w:val="24"/>
              </w:rPr>
            </w:pPr>
          </w:p>
        </w:tc>
        <w:tc>
          <w:tcPr>
            <w:tcW w:w="868" w:type="dxa"/>
            <w:noWrap w:val="0"/>
            <w:vAlign w:val="center"/>
          </w:tcPr>
          <w:p w14:paraId="7B4BEE14">
            <w:pPr>
              <w:wordWrap w:val="0"/>
              <w:jc w:val="center"/>
              <w:rPr>
                <w:rFonts w:ascii="宋体" w:hAnsi="宋体" w:cs="宋体"/>
                <w:color w:val="auto"/>
                <w:sz w:val="24"/>
              </w:rPr>
            </w:pPr>
          </w:p>
        </w:tc>
        <w:tc>
          <w:tcPr>
            <w:tcW w:w="984" w:type="dxa"/>
            <w:noWrap w:val="0"/>
            <w:vAlign w:val="center"/>
          </w:tcPr>
          <w:p w14:paraId="3A1451E9">
            <w:pPr>
              <w:wordWrap w:val="0"/>
              <w:jc w:val="center"/>
              <w:rPr>
                <w:rFonts w:ascii="宋体" w:hAnsi="宋体" w:cs="宋体"/>
                <w:color w:val="auto"/>
                <w:sz w:val="24"/>
              </w:rPr>
            </w:pPr>
          </w:p>
        </w:tc>
        <w:tc>
          <w:tcPr>
            <w:tcW w:w="752" w:type="dxa"/>
            <w:noWrap w:val="0"/>
            <w:vAlign w:val="center"/>
          </w:tcPr>
          <w:p w14:paraId="07E94DB0">
            <w:pPr>
              <w:wordWrap w:val="0"/>
              <w:jc w:val="center"/>
              <w:rPr>
                <w:rFonts w:ascii="宋体" w:hAnsi="宋体" w:cs="宋体"/>
                <w:color w:val="auto"/>
                <w:sz w:val="24"/>
              </w:rPr>
            </w:pPr>
          </w:p>
        </w:tc>
      </w:tr>
    </w:tbl>
    <w:p w14:paraId="052BAC2F">
      <w:pPr>
        <w:wordWrap w:val="0"/>
        <w:rPr>
          <w:color w:val="auto"/>
        </w:rPr>
      </w:pPr>
      <w:r>
        <w:rPr>
          <w:rFonts w:hint="eastAsia"/>
          <w:color w:val="auto"/>
          <w:szCs w:val="21"/>
        </w:rPr>
        <w:br w:type="page"/>
      </w:r>
      <w:bookmarkStart w:id="712" w:name="_Toc558"/>
      <w:bookmarkStart w:id="713" w:name="_Toc489602197"/>
      <w:bookmarkStart w:id="714" w:name="_Toc30545"/>
      <w:r>
        <w:rPr>
          <w:rFonts w:hint="eastAsia" w:ascii="宋体" w:hAnsi="宋体"/>
          <w:b/>
          <w:color w:val="auto"/>
          <w:sz w:val="24"/>
        </w:rPr>
        <w:t>附表二：拟配备本标段的试验和检测仪器设备表</w:t>
      </w:r>
      <w:bookmarkEnd w:id="712"/>
      <w:bookmarkEnd w:id="713"/>
      <w:bookmarkEnd w:id="714"/>
    </w:p>
    <w:tbl>
      <w:tblPr>
        <w:tblStyle w:val="15"/>
        <w:tblpPr w:leftFromText="180" w:rightFromText="180" w:vertAnchor="page" w:horzAnchor="margin" w:tblpXSpec="center" w:tblpY="21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156"/>
        <w:gridCol w:w="900"/>
      </w:tblGrid>
      <w:tr w14:paraId="36F4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noWrap w:val="0"/>
            <w:vAlign w:val="center"/>
          </w:tcPr>
          <w:p w14:paraId="3B24C03B">
            <w:pPr>
              <w:wordWrap w:val="0"/>
              <w:jc w:val="center"/>
              <w:rPr>
                <w:rFonts w:ascii="宋体" w:hAnsi="宋体" w:cs="宋体"/>
                <w:color w:val="auto"/>
                <w:sz w:val="24"/>
              </w:rPr>
            </w:pPr>
            <w:r>
              <w:rPr>
                <w:rFonts w:hint="eastAsia" w:ascii="宋体" w:hAnsi="宋体" w:cs="宋体"/>
                <w:color w:val="auto"/>
                <w:sz w:val="24"/>
              </w:rPr>
              <w:t>序号</w:t>
            </w:r>
          </w:p>
        </w:tc>
        <w:tc>
          <w:tcPr>
            <w:tcW w:w="1440" w:type="dxa"/>
            <w:noWrap w:val="0"/>
            <w:vAlign w:val="center"/>
          </w:tcPr>
          <w:p w14:paraId="2E87CEBD">
            <w:pPr>
              <w:wordWrap w:val="0"/>
              <w:jc w:val="center"/>
              <w:rPr>
                <w:rFonts w:ascii="宋体" w:hAnsi="宋体" w:cs="宋体"/>
                <w:color w:val="auto"/>
                <w:sz w:val="24"/>
              </w:rPr>
            </w:pPr>
            <w:r>
              <w:rPr>
                <w:rFonts w:hint="eastAsia" w:ascii="宋体" w:hAnsi="宋体" w:cs="宋体"/>
                <w:color w:val="auto"/>
                <w:sz w:val="24"/>
              </w:rPr>
              <w:t>仪器设备</w:t>
            </w:r>
          </w:p>
          <w:p w14:paraId="7E648C01">
            <w:pPr>
              <w:wordWrap w:val="0"/>
              <w:jc w:val="center"/>
              <w:rPr>
                <w:rFonts w:ascii="宋体" w:hAnsi="宋体" w:cs="宋体"/>
                <w:color w:val="auto"/>
                <w:sz w:val="24"/>
              </w:rPr>
            </w:pPr>
            <w:r>
              <w:rPr>
                <w:rFonts w:hint="eastAsia" w:ascii="宋体" w:hAnsi="宋体" w:cs="宋体"/>
                <w:color w:val="auto"/>
                <w:sz w:val="24"/>
              </w:rPr>
              <w:t>名称</w:t>
            </w:r>
          </w:p>
        </w:tc>
        <w:tc>
          <w:tcPr>
            <w:tcW w:w="1080" w:type="dxa"/>
            <w:noWrap w:val="0"/>
            <w:vAlign w:val="center"/>
          </w:tcPr>
          <w:p w14:paraId="0BFBD182">
            <w:pPr>
              <w:wordWrap w:val="0"/>
              <w:jc w:val="center"/>
              <w:rPr>
                <w:rFonts w:ascii="宋体" w:hAnsi="宋体" w:cs="宋体"/>
                <w:color w:val="auto"/>
                <w:sz w:val="24"/>
              </w:rPr>
            </w:pPr>
            <w:r>
              <w:rPr>
                <w:rFonts w:hint="eastAsia" w:ascii="宋体" w:hAnsi="宋体" w:cs="宋体"/>
                <w:color w:val="auto"/>
                <w:sz w:val="24"/>
              </w:rPr>
              <w:t>型号</w:t>
            </w:r>
          </w:p>
          <w:p w14:paraId="2A03B596">
            <w:pPr>
              <w:wordWrap w:val="0"/>
              <w:jc w:val="center"/>
              <w:rPr>
                <w:rFonts w:ascii="宋体" w:hAnsi="宋体" w:cs="宋体"/>
                <w:color w:val="auto"/>
                <w:sz w:val="24"/>
              </w:rPr>
            </w:pPr>
            <w:r>
              <w:rPr>
                <w:rFonts w:hint="eastAsia" w:ascii="宋体" w:hAnsi="宋体" w:cs="宋体"/>
                <w:color w:val="auto"/>
                <w:sz w:val="24"/>
              </w:rPr>
              <w:t>规格</w:t>
            </w:r>
          </w:p>
        </w:tc>
        <w:tc>
          <w:tcPr>
            <w:tcW w:w="720" w:type="dxa"/>
            <w:noWrap w:val="0"/>
            <w:vAlign w:val="center"/>
          </w:tcPr>
          <w:p w14:paraId="63DA5E9D">
            <w:pPr>
              <w:wordWrap w:val="0"/>
              <w:jc w:val="center"/>
              <w:rPr>
                <w:rFonts w:ascii="宋体" w:hAnsi="宋体" w:cs="宋体"/>
                <w:color w:val="auto"/>
                <w:sz w:val="24"/>
              </w:rPr>
            </w:pPr>
            <w:r>
              <w:rPr>
                <w:rFonts w:hint="eastAsia" w:ascii="宋体" w:hAnsi="宋体" w:cs="宋体"/>
                <w:color w:val="auto"/>
                <w:sz w:val="24"/>
              </w:rPr>
              <w:t>数量</w:t>
            </w:r>
          </w:p>
        </w:tc>
        <w:tc>
          <w:tcPr>
            <w:tcW w:w="776" w:type="dxa"/>
            <w:noWrap w:val="0"/>
            <w:vAlign w:val="center"/>
          </w:tcPr>
          <w:p w14:paraId="69E3EACC">
            <w:pPr>
              <w:wordWrap w:val="0"/>
              <w:jc w:val="center"/>
              <w:rPr>
                <w:rFonts w:ascii="宋体" w:hAnsi="宋体" w:cs="宋体"/>
                <w:color w:val="auto"/>
                <w:sz w:val="24"/>
              </w:rPr>
            </w:pPr>
            <w:r>
              <w:rPr>
                <w:rFonts w:hint="eastAsia" w:ascii="宋体" w:hAnsi="宋体" w:cs="宋体"/>
                <w:color w:val="auto"/>
                <w:sz w:val="24"/>
              </w:rPr>
              <w:t>国别产地</w:t>
            </w:r>
          </w:p>
        </w:tc>
        <w:tc>
          <w:tcPr>
            <w:tcW w:w="1080" w:type="dxa"/>
            <w:noWrap w:val="0"/>
            <w:vAlign w:val="center"/>
          </w:tcPr>
          <w:p w14:paraId="4CB01BAF">
            <w:pPr>
              <w:wordWrap w:val="0"/>
              <w:jc w:val="center"/>
              <w:rPr>
                <w:rFonts w:ascii="宋体" w:hAnsi="宋体" w:cs="宋体"/>
                <w:color w:val="auto"/>
                <w:sz w:val="24"/>
              </w:rPr>
            </w:pPr>
            <w:r>
              <w:rPr>
                <w:rFonts w:hint="eastAsia" w:ascii="宋体" w:hAnsi="宋体" w:cs="宋体"/>
                <w:color w:val="auto"/>
                <w:sz w:val="24"/>
              </w:rPr>
              <w:t>制造</w:t>
            </w:r>
          </w:p>
          <w:p w14:paraId="0D920F76">
            <w:pPr>
              <w:wordWrap w:val="0"/>
              <w:jc w:val="center"/>
              <w:rPr>
                <w:rFonts w:ascii="宋体" w:hAnsi="宋体" w:cs="宋体"/>
                <w:color w:val="auto"/>
                <w:sz w:val="24"/>
              </w:rPr>
            </w:pPr>
            <w:r>
              <w:rPr>
                <w:rFonts w:hint="eastAsia" w:ascii="宋体" w:hAnsi="宋体" w:cs="宋体"/>
                <w:color w:val="auto"/>
                <w:sz w:val="24"/>
              </w:rPr>
              <w:t>年份</w:t>
            </w:r>
          </w:p>
        </w:tc>
        <w:tc>
          <w:tcPr>
            <w:tcW w:w="1156" w:type="dxa"/>
            <w:noWrap w:val="0"/>
            <w:vAlign w:val="center"/>
          </w:tcPr>
          <w:p w14:paraId="0B2A9ED1">
            <w:pPr>
              <w:wordWrap w:val="0"/>
              <w:jc w:val="center"/>
              <w:rPr>
                <w:rFonts w:ascii="宋体" w:hAnsi="宋体" w:cs="宋体"/>
                <w:color w:val="auto"/>
                <w:sz w:val="24"/>
              </w:rPr>
            </w:pPr>
            <w:r>
              <w:rPr>
                <w:rFonts w:hint="eastAsia" w:ascii="宋体" w:hAnsi="宋体" w:cs="宋体"/>
                <w:color w:val="auto"/>
                <w:sz w:val="24"/>
              </w:rPr>
              <w:t>用途</w:t>
            </w:r>
          </w:p>
        </w:tc>
        <w:tc>
          <w:tcPr>
            <w:tcW w:w="900" w:type="dxa"/>
            <w:noWrap w:val="0"/>
            <w:vAlign w:val="center"/>
          </w:tcPr>
          <w:p w14:paraId="552454AB">
            <w:pPr>
              <w:wordWrap w:val="0"/>
              <w:jc w:val="center"/>
              <w:rPr>
                <w:rFonts w:ascii="宋体" w:hAnsi="宋体" w:cs="宋体"/>
                <w:color w:val="auto"/>
                <w:sz w:val="24"/>
              </w:rPr>
            </w:pPr>
            <w:r>
              <w:rPr>
                <w:rFonts w:hint="eastAsia" w:ascii="宋体" w:hAnsi="宋体" w:cs="宋体"/>
                <w:color w:val="auto"/>
                <w:sz w:val="24"/>
              </w:rPr>
              <w:t>备注</w:t>
            </w:r>
          </w:p>
        </w:tc>
      </w:tr>
      <w:tr w14:paraId="7B26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noWrap w:val="0"/>
            <w:vAlign w:val="center"/>
          </w:tcPr>
          <w:p w14:paraId="1C8773FA">
            <w:pPr>
              <w:wordWrap w:val="0"/>
              <w:jc w:val="center"/>
              <w:rPr>
                <w:rFonts w:ascii="宋体" w:hAnsi="宋体" w:cs="宋体"/>
                <w:color w:val="auto"/>
                <w:sz w:val="24"/>
              </w:rPr>
            </w:pPr>
          </w:p>
        </w:tc>
        <w:tc>
          <w:tcPr>
            <w:tcW w:w="1440" w:type="dxa"/>
            <w:noWrap w:val="0"/>
            <w:vAlign w:val="center"/>
          </w:tcPr>
          <w:p w14:paraId="136C4258">
            <w:pPr>
              <w:wordWrap w:val="0"/>
              <w:jc w:val="center"/>
              <w:rPr>
                <w:rFonts w:ascii="宋体" w:hAnsi="宋体" w:cs="宋体"/>
                <w:color w:val="auto"/>
                <w:sz w:val="24"/>
              </w:rPr>
            </w:pPr>
          </w:p>
        </w:tc>
        <w:tc>
          <w:tcPr>
            <w:tcW w:w="1080" w:type="dxa"/>
            <w:noWrap w:val="0"/>
            <w:vAlign w:val="center"/>
          </w:tcPr>
          <w:p w14:paraId="0A987E1B">
            <w:pPr>
              <w:wordWrap w:val="0"/>
              <w:jc w:val="center"/>
              <w:rPr>
                <w:rFonts w:ascii="宋体" w:hAnsi="宋体" w:cs="宋体"/>
                <w:color w:val="auto"/>
                <w:sz w:val="24"/>
              </w:rPr>
            </w:pPr>
          </w:p>
        </w:tc>
        <w:tc>
          <w:tcPr>
            <w:tcW w:w="720" w:type="dxa"/>
            <w:noWrap w:val="0"/>
            <w:vAlign w:val="center"/>
          </w:tcPr>
          <w:p w14:paraId="4FB5F55B">
            <w:pPr>
              <w:wordWrap w:val="0"/>
              <w:jc w:val="center"/>
              <w:rPr>
                <w:rFonts w:ascii="宋体" w:hAnsi="宋体" w:cs="宋体"/>
                <w:color w:val="auto"/>
                <w:sz w:val="24"/>
              </w:rPr>
            </w:pPr>
          </w:p>
        </w:tc>
        <w:tc>
          <w:tcPr>
            <w:tcW w:w="776" w:type="dxa"/>
            <w:noWrap w:val="0"/>
            <w:vAlign w:val="center"/>
          </w:tcPr>
          <w:p w14:paraId="69D3C671">
            <w:pPr>
              <w:wordWrap w:val="0"/>
              <w:jc w:val="center"/>
              <w:rPr>
                <w:rFonts w:ascii="宋体" w:hAnsi="宋体" w:cs="宋体"/>
                <w:color w:val="auto"/>
                <w:sz w:val="24"/>
              </w:rPr>
            </w:pPr>
          </w:p>
        </w:tc>
        <w:tc>
          <w:tcPr>
            <w:tcW w:w="1080" w:type="dxa"/>
            <w:noWrap w:val="0"/>
            <w:vAlign w:val="center"/>
          </w:tcPr>
          <w:p w14:paraId="49D57A3E">
            <w:pPr>
              <w:wordWrap w:val="0"/>
              <w:jc w:val="center"/>
              <w:rPr>
                <w:rFonts w:ascii="宋体" w:hAnsi="宋体" w:cs="宋体"/>
                <w:color w:val="auto"/>
                <w:sz w:val="24"/>
              </w:rPr>
            </w:pPr>
          </w:p>
        </w:tc>
        <w:tc>
          <w:tcPr>
            <w:tcW w:w="1156" w:type="dxa"/>
            <w:noWrap w:val="0"/>
            <w:vAlign w:val="center"/>
          </w:tcPr>
          <w:p w14:paraId="578740B8">
            <w:pPr>
              <w:wordWrap w:val="0"/>
              <w:jc w:val="center"/>
              <w:rPr>
                <w:rFonts w:ascii="宋体" w:hAnsi="宋体" w:cs="宋体"/>
                <w:color w:val="auto"/>
                <w:sz w:val="24"/>
              </w:rPr>
            </w:pPr>
          </w:p>
        </w:tc>
        <w:tc>
          <w:tcPr>
            <w:tcW w:w="900" w:type="dxa"/>
            <w:noWrap w:val="0"/>
            <w:vAlign w:val="center"/>
          </w:tcPr>
          <w:p w14:paraId="2E555DBD">
            <w:pPr>
              <w:wordWrap w:val="0"/>
              <w:jc w:val="center"/>
              <w:rPr>
                <w:rFonts w:ascii="宋体" w:hAnsi="宋体" w:cs="宋体"/>
                <w:color w:val="auto"/>
                <w:sz w:val="24"/>
              </w:rPr>
            </w:pPr>
          </w:p>
        </w:tc>
      </w:tr>
      <w:tr w14:paraId="0D0A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780F3356">
            <w:pPr>
              <w:wordWrap w:val="0"/>
              <w:jc w:val="center"/>
              <w:rPr>
                <w:rFonts w:ascii="宋体" w:hAnsi="宋体" w:cs="宋体"/>
                <w:color w:val="auto"/>
                <w:sz w:val="24"/>
              </w:rPr>
            </w:pPr>
          </w:p>
        </w:tc>
        <w:tc>
          <w:tcPr>
            <w:tcW w:w="1440" w:type="dxa"/>
            <w:noWrap w:val="0"/>
            <w:vAlign w:val="center"/>
          </w:tcPr>
          <w:p w14:paraId="78E4F7E2">
            <w:pPr>
              <w:wordWrap w:val="0"/>
              <w:jc w:val="center"/>
              <w:rPr>
                <w:rFonts w:ascii="宋体" w:hAnsi="宋体" w:cs="宋体"/>
                <w:color w:val="auto"/>
                <w:sz w:val="24"/>
              </w:rPr>
            </w:pPr>
          </w:p>
        </w:tc>
        <w:tc>
          <w:tcPr>
            <w:tcW w:w="1080" w:type="dxa"/>
            <w:noWrap w:val="0"/>
            <w:vAlign w:val="center"/>
          </w:tcPr>
          <w:p w14:paraId="22E7F0B3">
            <w:pPr>
              <w:wordWrap w:val="0"/>
              <w:jc w:val="center"/>
              <w:rPr>
                <w:rFonts w:ascii="宋体" w:hAnsi="宋体" w:cs="宋体"/>
                <w:color w:val="auto"/>
                <w:sz w:val="24"/>
              </w:rPr>
            </w:pPr>
          </w:p>
        </w:tc>
        <w:tc>
          <w:tcPr>
            <w:tcW w:w="720" w:type="dxa"/>
            <w:noWrap w:val="0"/>
            <w:vAlign w:val="center"/>
          </w:tcPr>
          <w:p w14:paraId="1A2928CA">
            <w:pPr>
              <w:wordWrap w:val="0"/>
              <w:jc w:val="center"/>
              <w:rPr>
                <w:rFonts w:ascii="宋体" w:hAnsi="宋体" w:cs="宋体"/>
                <w:color w:val="auto"/>
                <w:sz w:val="24"/>
              </w:rPr>
            </w:pPr>
          </w:p>
        </w:tc>
        <w:tc>
          <w:tcPr>
            <w:tcW w:w="776" w:type="dxa"/>
            <w:noWrap w:val="0"/>
            <w:vAlign w:val="center"/>
          </w:tcPr>
          <w:p w14:paraId="3BDE9AC1">
            <w:pPr>
              <w:wordWrap w:val="0"/>
              <w:jc w:val="center"/>
              <w:rPr>
                <w:rFonts w:ascii="宋体" w:hAnsi="宋体" w:cs="宋体"/>
                <w:color w:val="auto"/>
                <w:sz w:val="24"/>
              </w:rPr>
            </w:pPr>
          </w:p>
        </w:tc>
        <w:tc>
          <w:tcPr>
            <w:tcW w:w="1080" w:type="dxa"/>
            <w:noWrap w:val="0"/>
            <w:vAlign w:val="center"/>
          </w:tcPr>
          <w:p w14:paraId="20B23E79">
            <w:pPr>
              <w:wordWrap w:val="0"/>
              <w:jc w:val="center"/>
              <w:rPr>
                <w:rFonts w:ascii="宋体" w:hAnsi="宋体" w:cs="宋体"/>
                <w:color w:val="auto"/>
                <w:sz w:val="24"/>
              </w:rPr>
            </w:pPr>
          </w:p>
        </w:tc>
        <w:tc>
          <w:tcPr>
            <w:tcW w:w="1156" w:type="dxa"/>
            <w:noWrap w:val="0"/>
            <w:vAlign w:val="center"/>
          </w:tcPr>
          <w:p w14:paraId="64C20EFA">
            <w:pPr>
              <w:wordWrap w:val="0"/>
              <w:jc w:val="center"/>
              <w:rPr>
                <w:rFonts w:ascii="宋体" w:hAnsi="宋体" w:cs="宋体"/>
                <w:color w:val="auto"/>
                <w:sz w:val="24"/>
              </w:rPr>
            </w:pPr>
          </w:p>
        </w:tc>
        <w:tc>
          <w:tcPr>
            <w:tcW w:w="900" w:type="dxa"/>
            <w:noWrap w:val="0"/>
            <w:vAlign w:val="center"/>
          </w:tcPr>
          <w:p w14:paraId="0D8FE484">
            <w:pPr>
              <w:wordWrap w:val="0"/>
              <w:jc w:val="center"/>
              <w:rPr>
                <w:rFonts w:ascii="宋体" w:hAnsi="宋体" w:cs="宋体"/>
                <w:color w:val="auto"/>
                <w:sz w:val="24"/>
              </w:rPr>
            </w:pPr>
          </w:p>
        </w:tc>
      </w:tr>
      <w:tr w14:paraId="026B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2476D882">
            <w:pPr>
              <w:wordWrap w:val="0"/>
              <w:jc w:val="center"/>
              <w:rPr>
                <w:rFonts w:ascii="宋体" w:hAnsi="宋体" w:cs="宋体"/>
                <w:color w:val="auto"/>
                <w:sz w:val="24"/>
              </w:rPr>
            </w:pPr>
          </w:p>
        </w:tc>
        <w:tc>
          <w:tcPr>
            <w:tcW w:w="1440" w:type="dxa"/>
            <w:noWrap w:val="0"/>
            <w:vAlign w:val="center"/>
          </w:tcPr>
          <w:p w14:paraId="2A9EEB47">
            <w:pPr>
              <w:wordWrap w:val="0"/>
              <w:jc w:val="center"/>
              <w:rPr>
                <w:rFonts w:ascii="宋体" w:hAnsi="宋体" w:cs="宋体"/>
                <w:color w:val="auto"/>
                <w:sz w:val="24"/>
              </w:rPr>
            </w:pPr>
          </w:p>
        </w:tc>
        <w:tc>
          <w:tcPr>
            <w:tcW w:w="1080" w:type="dxa"/>
            <w:noWrap w:val="0"/>
            <w:vAlign w:val="center"/>
          </w:tcPr>
          <w:p w14:paraId="5F12E382">
            <w:pPr>
              <w:wordWrap w:val="0"/>
              <w:jc w:val="center"/>
              <w:rPr>
                <w:rFonts w:ascii="宋体" w:hAnsi="宋体" w:cs="宋体"/>
                <w:color w:val="auto"/>
                <w:sz w:val="24"/>
              </w:rPr>
            </w:pPr>
          </w:p>
        </w:tc>
        <w:tc>
          <w:tcPr>
            <w:tcW w:w="720" w:type="dxa"/>
            <w:noWrap w:val="0"/>
            <w:vAlign w:val="center"/>
          </w:tcPr>
          <w:p w14:paraId="28A61F49">
            <w:pPr>
              <w:wordWrap w:val="0"/>
              <w:jc w:val="center"/>
              <w:rPr>
                <w:rFonts w:ascii="宋体" w:hAnsi="宋体" w:cs="宋体"/>
                <w:color w:val="auto"/>
                <w:sz w:val="24"/>
              </w:rPr>
            </w:pPr>
          </w:p>
        </w:tc>
        <w:tc>
          <w:tcPr>
            <w:tcW w:w="776" w:type="dxa"/>
            <w:noWrap w:val="0"/>
            <w:vAlign w:val="center"/>
          </w:tcPr>
          <w:p w14:paraId="18691450">
            <w:pPr>
              <w:wordWrap w:val="0"/>
              <w:jc w:val="center"/>
              <w:rPr>
                <w:rFonts w:ascii="宋体" w:hAnsi="宋体" w:cs="宋体"/>
                <w:color w:val="auto"/>
                <w:sz w:val="24"/>
              </w:rPr>
            </w:pPr>
          </w:p>
        </w:tc>
        <w:tc>
          <w:tcPr>
            <w:tcW w:w="1080" w:type="dxa"/>
            <w:noWrap w:val="0"/>
            <w:vAlign w:val="center"/>
          </w:tcPr>
          <w:p w14:paraId="55A84F15">
            <w:pPr>
              <w:wordWrap w:val="0"/>
              <w:jc w:val="center"/>
              <w:rPr>
                <w:rFonts w:ascii="宋体" w:hAnsi="宋体" w:cs="宋体"/>
                <w:color w:val="auto"/>
                <w:sz w:val="24"/>
              </w:rPr>
            </w:pPr>
          </w:p>
        </w:tc>
        <w:tc>
          <w:tcPr>
            <w:tcW w:w="1156" w:type="dxa"/>
            <w:noWrap w:val="0"/>
            <w:vAlign w:val="center"/>
          </w:tcPr>
          <w:p w14:paraId="2C48969A">
            <w:pPr>
              <w:wordWrap w:val="0"/>
              <w:jc w:val="center"/>
              <w:rPr>
                <w:rFonts w:ascii="宋体" w:hAnsi="宋体" w:cs="宋体"/>
                <w:color w:val="auto"/>
                <w:sz w:val="24"/>
              </w:rPr>
            </w:pPr>
          </w:p>
        </w:tc>
        <w:tc>
          <w:tcPr>
            <w:tcW w:w="900" w:type="dxa"/>
            <w:noWrap w:val="0"/>
            <w:vAlign w:val="center"/>
          </w:tcPr>
          <w:p w14:paraId="6C14D9D8">
            <w:pPr>
              <w:wordWrap w:val="0"/>
              <w:jc w:val="center"/>
              <w:rPr>
                <w:rFonts w:ascii="宋体" w:hAnsi="宋体" w:cs="宋体"/>
                <w:color w:val="auto"/>
                <w:sz w:val="24"/>
              </w:rPr>
            </w:pPr>
          </w:p>
        </w:tc>
      </w:tr>
      <w:tr w14:paraId="7E2F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5CEC7843">
            <w:pPr>
              <w:wordWrap w:val="0"/>
              <w:jc w:val="center"/>
              <w:rPr>
                <w:rFonts w:ascii="宋体" w:hAnsi="宋体" w:cs="宋体"/>
                <w:color w:val="auto"/>
                <w:sz w:val="24"/>
              </w:rPr>
            </w:pPr>
          </w:p>
        </w:tc>
        <w:tc>
          <w:tcPr>
            <w:tcW w:w="1440" w:type="dxa"/>
            <w:noWrap w:val="0"/>
            <w:vAlign w:val="center"/>
          </w:tcPr>
          <w:p w14:paraId="336B2059">
            <w:pPr>
              <w:wordWrap w:val="0"/>
              <w:jc w:val="center"/>
              <w:rPr>
                <w:rFonts w:ascii="宋体" w:hAnsi="宋体" w:cs="宋体"/>
                <w:color w:val="auto"/>
                <w:sz w:val="24"/>
              </w:rPr>
            </w:pPr>
          </w:p>
        </w:tc>
        <w:tc>
          <w:tcPr>
            <w:tcW w:w="1080" w:type="dxa"/>
            <w:noWrap w:val="0"/>
            <w:vAlign w:val="center"/>
          </w:tcPr>
          <w:p w14:paraId="38D1B7D3">
            <w:pPr>
              <w:wordWrap w:val="0"/>
              <w:jc w:val="center"/>
              <w:rPr>
                <w:rFonts w:ascii="宋体" w:hAnsi="宋体" w:cs="宋体"/>
                <w:color w:val="auto"/>
                <w:sz w:val="24"/>
              </w:rPr>
            </w:pPr>
          </w:p>
        </w:tc>
        <w:tc>
          <w:tcPr>
            <w:tcW w:w="720" w:type="dxa"/>
            <w:noWrap w:val="0"/>
            <w:vAlign w:val="center"/>
          </w:tcPr>
          <w:p w14:paraId="6E8E6161">
            <w:pPr>
              <w:wordWrap w:val="0"/>
              <w:jc w:val="center"/>
              <w:rPr>
                <w:rFonts w:ascii="宋体" w:hAnsi="宋体" w:cs="宋体"/>
                <w:color w:val="auto"/>
                <w:sz w:val="24"/>
              </w:rPr>
            </w:pPr>
          </w:p>
        </w:tc>
        <w:tc>
          <w:tcPr>
            <w:tcW w:w="776" w:type="dxa"/>
            <w:noWrap w:val="0"/>
            <w:vAlign w:val="center"/>
          </w:tcPr>
          <w:p w14:paraId="7F557B9C">
            <w:pPr>
              <w:wordWrap w:val="0"/>
              <w:jc w:val="center"/>
              <w:rPr>
                <w:rFonts w:ascii="宋体" w:hAnsi="宋体" w:cs="宋体"/>
                <w:color w:val="auto"/>
                <w:sz w:val="24"/>
              </w:rPr>
            </w:pPr>
          </w:p>
        </w:tc>
        <w:tc>
          <w:tcPr>
            <w:tcW w:w="1080" w:type="dxa"/>
            <w:noWrap w:val="0"/>
            <w:vAlign w:val="center"/>
          </w:tcPr>
          <w:p w14:paraId="6AB18576">
            <w:pPr>
              <w:wordWrap w:val="0"/>
              <w:jc w:val="center"/>
              <w:rPr>
                <w:rFonts w:ascii="宋体" w:hAnsi="宋体" w:cs="宋体"/>
                <w:color w:val="auto"/>
                <w:sz w:val="24"/>
              </w:rPr>
            </w:pPr>
          </w:p>
        </w:tc>
        <w:tc>
          <w:tcPr>
            <w:tcW w:w="1156" w:type="dxa"/>
            <w:noWrap w:val="0"/>
            <w:vAlign w:val="center"/>
          </w:tcPr>
          <w:p w14:paraId="05EA1090">
            <w:pPr>
              <w:wordWrap w:val="0"/>
              <w:jc w:val="center"/>
              <w:rPr>
                <w:rFonts w:ascii="宋体" w:hAnsi="宋体" w:cs="宋体"/>
                <w:color w:val="auto"/>
                <w:sz w:val="24"/>
              </w:rPr>
            </w:pPr>
          </w:p>
        </w:tc>
        <w:tc>
          <w:tcPr>
            <w:tcW w:w="900" w:type="dxa"/>
            <w:noWrap w:val="0"/>
            <w:vAlign w:val="center"/>
          </w:tcPr>
          <w:p w14:paraId="65C3927C">
            <w:pPr>
              <w:wordWrap w:val="0"/>
              <w:jc w:val="center"/>
              <w:rPr>
                <w:rFonts w:ascii="宋体" w:hAnsi="宋体" w:cs="宋体"/>
                <w:color w:val="auto"/>
                <w:sz w:val="24"/>
              </w:rPr>
            </w:pPr>
          </w:p>
        </w:tc>
      </w:tr>
      <w:tr w14:paraId="7A75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661F0343">
            <w:pPr>
              <w:wordWrap w:val="0"/>
              <w:jc w:val="center"/>
              <w:rPr>
                <w:rFonts w:ascii="宋体" w:hAnsi="宋体" w:cs="宋体"/>
                <w:color w:val="auto"/>
                <w:sz w:val="24"/>
              </w:rPr>
            </w:pPr>
          </w:p>
        </w:tc>
        <w:tc>
          <w:tcPr>
            <w:tcW w:w="1440" w:type="dxa"/>
            <w:noWrap w:val="0"/>
            <w:vAlign w:val="center"/>
          </w:tcPr>
          <w:p w14:paraId="734A4BE4">
            <w:pPr>
              <w:wordWrap w:val="0"/>
              <w:jc w:val="center"/>
              <w:rPr>
                <w:rFonts w:ascii="宋体" w:hAnsi="宋体" w:cs="宋体"/>
                <w:color w:val="auto"/>
                <w:sz w:val="24"/>
              </w:rPr>
            </w:pPr>
          </w:p>
        </w:tc>
        <w:tc>
          <w:tcPr>
            <w:tcW w:w="1080" w:type="dxa"/>
            <w:noWrap w:val="0"/>
            <w:vAlign w:val="center"/>
          </w:tcPr>
          <w:p w14:paraId="009C648D">
            <w:pPr>
              <w:wordWrap w:val="0"/>
              <w:jc w:val="center"/>
              <w:rPr>
                <w:rFonts w:ascii="宋体" w:hAnsi="宋体" w:cs="宋体"/>
                <w:color w:val="auto"/>
                <w:sz w:val="24"/>
              </w:rPr>
            </w:pPr>
          </w:p>
        </w:tc>
        <w:tc>
          <w:tcPr>
            <w:tcW w:w="720" w:type="dxa"/>
            <w:noWrap w:val="0"/>
            <w:vAlign w:val="center"/>
          </w:tcPr>
          <w:p w14:paraId="08BCCC78">
            <w:pPr>
              <w:wordWrap w:val="0"/>
              <w:jc w:val="center"/>
              <w:rPr>
                <w:rFonts w:ascii="宋体" w:hAnsi="宋体" w:cs="宋体"/>
                <w:color w:val="auto"/>
                <w:sz w:val="24"/>
              </w:rPr>
            </w:pPr>
          </w:p>
        </w:tc>
        <w:tc>
          <w:tcPr>
            <w:tcW w:w="776" w:type="dxa"/>
            <w:noWrap w:val="0"/>
            <w:vAlign w:val="center"/>
          </w:tcPr>
          <w:p w14:paraId="779DDC37">
            <w:pPr>
              <w:wordWrap w:val="0"/>
              <w:jc w:val="center"/>
              <w:rPr>
                <w:rFonts w:ascii="宋体" w:hAnsi="宋体" w:cs="宋体"/>
                <w:color w:val="auto"/>
                <w:sz w:val="24"/>
              </w:rPr>
            </w:pPr>
          </w:p>
        </w:tc>
        <w:tc>
          <w:tcPr>
            <w:tcW w:w="1080" w:type="dxa"/>
            <w:noWrap w:val="0"/>
            <w:vAlign w:val="center"/>
          </w:tcPr>
          <w:p w14:paraId="4D3712BD">
            <w:pPr>
              <w:wordWrap w:val="0"/>
              <w:jc w:val="center"/>
              <w:rPr>
                <w:rFonts w:ascii="宋体" w:hAnsi="宋体" w:cs="宋体"/>
                <w:color w:val="auto"/>
                <w:sz w:val="24"/>
              </w:rPr>
            </w:pPr>
          </w:p>
        </w:tc>
        <w:tc>
          <w:tcPr>
            <w:tcW w:w="1156" w:type="dxa"/>
            <w:noWrap w:val="0"/>
            <w:vAlign w:val="center"/>
          </w:tcPr>
          <w:p w14:paraId="17010E0D">
            <w:pPr>
              <w:wordWrap w:val="0"/>
              <w:jc w:val="center"/>
              <w:rPr>
                <w:rFonts w:ascii="宋体" w:hAnsi="宋体" w:cs="宋体"/>
                <w:color w:val="auto"/>
                <w:sz w:val="24"/>
              </w:rPr>
            </w:pPr>
          </w:p>
        </w:tc>
        <w:tc>
          <w:tcPr>
            <w:tcW w:w="900" w:type="dxa"/>
            <w:noWrap w:val="0"/>
            <w:vAlign w:val="center"/>
          </w:tcPr>
          <w:p w14:paraId="3EF86748">
            <w:pPr>
              <w:wordWrap w:val="0"/>
              <w:jc w:val="center"/>
              <w:rPr>
                <w:rFonts w:ascii="宋体" w:hAnsi="宋体" w:cs="宋体"/>
                <w:color w:val="auto"/>
                <w:sz w:val="24"/>
              </w:rPr>
            </w:pPr>
          </w:p>
        </w:tc>
      </w:tr>
      <w:tr w14:paraId="5ED9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25CF9818">
            <w:pPr>
              <w:wordWrap w:val="0"/>
              <w:jc w:val="center"/>
              <w:rPr>
                <w:rFonts w:ascii="宋体" w:hAnsi="宋体" w:cs="宋体"/>
                <w:color w:val="auto"/>
                <w:sz w:val="24"/>
              </w:rPr>
            </w:pPr>
          </w:p>
        </w:tc>
        <w:tc>
          <w:tcPr>
            <w:tcW w:w="1440" w:type="dxa"/>
            <w:noWrap w:val="0"/>
            <w:vAlign w:val="center"/>
          </w:tcPr>
          <w:p w14:paraId="22E00200">
            <w:pPr>
              <w:wordWrap w:val="0"/>
              <w:jc w:val="center"/>
              <w:rPr>
                <w:rFonts w:ascii="宋体" w:hAnsi="宋体" w:cs="宋体"/>
                <w:color w:val="auto"/>
                <w:sz w:val="24"/>
              </w:rPr>
            </w:pPr>
          </w:p>
        </w:tc>
        <w:tc>
          <w:tcPr>
            <w:tcW w:w="1080" w:type="dxa"/>
            <w:noWrap w:val="0"/>
            <w:vAlign w:val="center"/>
          </w:tcPr>
          <w:p w14:paraId="704A574C">
            <w:pPr>
              <w:wordWrap w:val="0"/>
              <w:jc w:val="center"/>
              <w:rPr>
                <w:rFonts w:ascii="宋体" w:hAnsi="宋体" w:cs="宋体"/>
                <w:color w:val="auto"/>
                <w:sz w:val="24"/>
              </w:rPr>
            </w:pPr>
          </w:p>
        </w:tc>
        <w:tc>
          <w:tcPr>
            <w:tcW w:w="720" w:type="dxa"/>
            <w:noWrap w:val="0"/>
            <w:vAlign w:val="center"/>
          </w:tcPr>
          <w:p w14:paraId="37668AFD">
            <w:pPr>
              <w:wordWrap w:val="0"/>
              <w:jc w:val="center"/>
              <w:rPr>
                <w:rFonts w:ascii="宋体" w:hAnsi="宋体" w:cs="宋体"/>
                <w:color w:val="auto"/>
                <w:sz w:val="24"/>
              </w:rPr>
            </w:pPr>
          </w:p>
        </w:tc>
        <w:tc>
          <w:tcPr>
            <w:tcW w:w="776" w:type="dxa"/>
            <w:noWrap w:val="0"/>
            <w:vAlign w:val="center"/>
          </w:tcPr>
          <w:p w14:paraId="3D2D4759">
            <w:pPr>
              <w:wordWrap w:val="0"/>
              <w:jc w:val="center"/>
              <w:rPr>
                <w:rFonts w:ascii="宋体" w:hAnsi="宋体" w:cs="宋体"/>
                <w:color w:val="auto"/>
                <w:sz w:val="24"/>
              </w:rPr>
            </w:pPr>
          </w:p>
        </w:tc>
        <w:tc>
          <w:tcPr>
            <w:tcW w:w="1080" w:type="dxa"/>
            <w:noWrap w:val="0"/>
            <w:vAlign w:val="center"/>
          </w:tcPr>
          <w:p w14:paraId="6BB0A7C5">
            <w:pPr>
              <w:wordWrap w:val="0"/>
              <w:jc w:val="center"/>
              <w:rPr>
                <w:rFonts w:ascii="宋体" w:hAnsi="宋体" w:cs="宋体"/>
                <w:color w:val="auto"/>
                <w:sz w:val="24"/>
              </w:rPr>
            </w:pPr>
          </w:p>
        </w:tc>
        <w:tc>
          <w:tcPr>
            <w:tcW w:w="1156" w:type="dxa"/>
            <w:noWrap w:val="0"/>
            <w:vAlign w:val="center"/>
          </w:tcPr>
          <w:p w14:paraId="285808B2">
            <w:pPr>
              <w:wordWrap w:val="0"/>
              <w:jc w:val="center"/>
              <w:rPr>
                <w:rFonts w:ascii="宋体" w:hAnsi="宋体" w:cs="宋体"/>
                <w:color w:val="auto"/>
                <w:sz w:val="24"/>
              </w:rPr>
            </w:pPr>
          </w:p>
        </w:tc>
        <w:tc>
          <w:tcPr>
            <w:tcW w:w="900" w:type="dxa"/>
            <w:noWrap w:val="0"/>
            <w:vAlign w:val="center"/>
          </w:tcPr>
          <w:p w14:paraId="7BADBAF2">
            <w:pPr>
              <w:wordWrap w:val="0"/>
              <w:jc w:val="center"/>
              <w:rPr>
                <w:rFonts w:ascii="宋体" w:hAnsi="宋体" w:cs="宋体"/>
                <w:color w:val="auto"/>
                <w:sz w:val="24"/>
              </w:rPr>
            </w:pPr>
          </w:p>
        </w:tc>
      </w:tr>
      <w:tr w14:paraId="05F4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0DCED487">
            <w:pPr>
              <w:wordWrap w:val="0"/>
              <w:jc w:val="center"/>
              <w:rPr>
                <w:rFonts w:ascii="宋体" w:hAnsi="宋体" w:cs="宋体"/>
                <w:color w:val="auto"/>
                <w:sz w:val="24"/>
              </w:rPr>
            </w:pPr>
          </w:p>
        </w:tc>
        <w:tc>
          <w:tcPr>
            <w:tcW w:w="1440" w:type="dxa"/>
            <w:noWrap w:val="0"/>
            <w:vAlign w:val="center"/>
          </w:tcPr>
          <w:p w14:paraId="25990AC7">
            <w:pPr>
              <w:wordWrap w:val="0"/>
              <w:jc w:val="center"/>
              <w:rPr>
                <w:rFonts w:ascii="宋体" w:hAnsi="宋体" w:cs="宋体"/>
                <w:color w:val="auto"/>
                <w:sz w:val="24"/>
              </w:rPr>
            </w:pPr>
          </w:p>
        </w:tc>
        <w:tc>
          <w:tcPr>
            <w:tcW w:w="1080" w:type="dxa"/>
            <w:noWrap w:val="0"/>
            <w:vAlign w:val="center"/>
          </w:tcPr>
          <w:p w14:paraId="0B83A8F2">
            <w:pPr>
              <w:wordWrap w:val="0"/>
              <w:jc w:val="center"/>
              <w:rPr>
                <w:rFonts w:ascii="宋体" w:hAnsi="宋体" w:cs="宋体"/>
                <w:color w:val="auto"/>
                <w:sz w:val="24"/>
              </w:rPr>
            </w:pPr>
          </w:p>
        </w:tc>
        <w:tc>
          <w:tcPr>
            <w:tcW w:w="720" w:type="dxa"/>
            <w:noWrap w:val="0"/>
            <w:vAlign w:val="center"/>
          </w:tcPr>
          <w:p w14:paraId="728A41D1">
            <w:pPr>
              <w:wordWrap w:val="0"/>
              <w:jc w:val="center"/>
              <w:rPr>
                <w:rFonts w:ascii="宋体" w:hAnsi="宋体" w:cs="宋体"/>
                <w:color w:val="auto"/>
                <w:sz w:val="24"/>
              </w:rPr>
            </w:pPr>
          </w:p>
        </w:tc>
        <w:tc>
          <w:tcPr>
            <w:tcW w:w="776" w:type="dxa"/>
            <w:noWrap w:val="0"/>
            <w:vAlign w:val="center"/>
          </w:tcPr>
          <w:p w14:paraId="138EFF88">
            <w:pPr>
              <w:wordWrap w:val="0"/>
              <w:jc w:val="center"/>
              <w:rPr>
                <w:rFonts w:ascii="宋体" w:hAnsi="宋体" w:cs="宋体"/>
                <w:color w:val="auto"/>
                <w:sz w:val="24"/>
              </w:rPr>
            </w:pPr>
          </w:p>
        </w:tc>
        <w:tc>
          <w:tcPr>
            <w:tcW w:w="1080" w:type="dxa"/>
            <w:noWrap w:val="0"/>
            <w:vAlign w:val="center"/>
          </w:tcPr>
          <w:p w14:paraId="66470248">
            <w:pPr>
              <w:wordWrap w:val="0"/>
              <w:jc w:val="center"/>
              <w:rPr>
                <w:rFonts w:ascii="宋体" w:hAnsi="宋体" w:cs="宋体"/>
                <w:color w:val="auto"/>
                <w:sz w:val="24"/>
              </w:rPr>
            </w:pPr>
          </w:p>
        </w:tc>
        <w:tc>
          <w:tcPr>
            <w:tcW w:w="1156" w:type="dxa"/>
            <w:noWrap w:val="0"/>
            <w:vAlign w:val="center"/>
          </w:tcPr>
          <w:p w14:paraId="1A83E776">
            <w:pPr>
              <w:wordWrap w:val="0"/>
              <w:jc w:val="center"/>
              <w:rPr>
                <w:rFonts w:ascii="宋体" w:hAnsi="宋体" w:cs="宋体"/>
                <w:color w:val="auto"/>
                <w:sz w:val="24"/>
              </w:rPr>
            </w:pPr>
          </w:p>
        </w:tc>
        <w:tc>
          <w:tcPr>
            <w:tcW w:w="900" w:type="dxa"/>
            <w:noWrap w:val="0"/>
            <w:vAlign w:val="center"/>
          </w:tcPr>
          <w:p w14:paraId="5AB9A11D">
            <w:pPr>
              <w:wordWrap w:val="0"/>
              <w:jc w:val="center"/>
              <w:rPr>
                <w:rFonts w:ascii="宋体" w:hAnsi="宋体" w:cs="宋体"/>
                <w:color w:val="auto"/>
                <w:sz w:val="24"/>
              </w:rPr>
            </w:pPr>
          </w:p>
        </w:tc>
      </w:tr>
      <w:tr w14:paraId="57C9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noWrap w:val="0"/>
            <w:vAlign w:val="center"/>
          </w:tcPr>
          <w:p w14:paraId="0199670C">
            <w:pPr>
              <w:wordWrap w:val="0"/>
              <w:jc w:val="center"/>
              <w:rPr>
                <w:rFonts w:ascii="宋体" w:hAnsi="宋体" w:cs="宋体"/>
                <w:color w:val="auto"/>
                <w:sz w:val="24"/>
              </w:rPr>
            </w:pPr>
          </w:p>
        </w:tc>
        <w:tc>
          <w:tcPr>
            <w:tcW w:w="1440" w:type="dxa"/>
            <w:noWrap w:val="0"/>
            <w:vAlign w:val="center"/>
          </w:tcPr>
          <w:p w14:paraId="149FF1EF">
            <w:pPr>
              <w:wordWrap w:val="0"/>
              <w:jc w:val="center"/>
              <w:rPr>
                <w:rFonts w:ascii="宋体" w:hAnsi="宋体" w:cs="宋体"/>
                <w:color w:val="auto"/>
                <w:sz w:val="24"/>
              </w:rPr>
            </w:pPr>
          </w:p>
        </w:tc>
        <w:tc>
          <w:tcPr>
            <w:tcW w:w="1080" w:type="dxa"/>
            <w:noWrap w:val="0"/>
            <w:vAlign w:val="center"/>
          </w:tcPr>
          <w:p w14:paraId="6D2F7836">
            <w:pPr>
              <w:wordWrap w:val="0"/>
              <w:jc w:val="center"/>
              <w:rPr>
                <w:rFonts w:ascii="宋体" w:hAnsi="宋体" w:cs="宋体"/>
                <w:color w:val="auto"/>
                <w:sz w:val="24"/>
              </w:rPr>
            </w:pPr>
          </w:p>
        </w:tc>
        <w:tc>
          <w:tcPr>
            <w:tcW w:w="720" w:type="dxa"/>
            <w:noWrap w:val="0"/>
            <w:vAlign w:val="center"/>
          </w:tcPr>
          <w:p w14:paraId="7612825D">
            <w:pPr>
              <w:wordWrap w:val="0"/>
              <w:jc w:val="center"/>
              <w:rPr>
                <w:rFonts w:ascii="宋体" w:hAnsi="宋体" w:cs="宋体"/>
                <w:color w:val="auto"/>
                <w:sz w:val="24"/>
              </w:rPr>
            </w:pPr>
          </w:p>
        </w:tc>
        <w:tc>
          <w:tcPr>
            <w:tcW w:w="776" w:type="dxa"/>
            <w:noWrap w:val="0"/>
            <w:vAlign w:val="center"/>
          </w:tcPr>
          <w:p w14:paraId="09C2DCC9">
            <w:pPr>
              <w:wordWrap w:val="0"/>
              <w:jc w:val="center"/>
              <w:rPr>
                <w:rFonts w:ascii="宋体" w:hAnsi="宋体" w:cs="宋体"/>
                <w:color w:val="auto"/>
                <w:sz w:val="24"/>
              </w:rPr>
            </w:pPr>
          </w:p>
        </w:tc>
        <w:tc>
          <w:tcPr>
            <w:tcW w:w="1080" w:type="dxa"/>
            <w:noWrap w:val="0"/>
            <w:vAlign w:val="center"/>
          </w:tcPr>
          <w:p w14:paraId="56AE620C">
            <w:pPr>
              <w:wordWrap w:val="0"/>
              <w:jc w:val="center"/>
              <w:rPr>
                <w:rFonts w:ascii="宋体" w:hAnsi="宋体" w:cs="宋体"/>
                <w:color w:val="auto"/>
                <w:sz w:val="24"/>
              </w:rPr>
            </w:pPr>
          </w:p>
        </w:tc>
        <w:tc>
          <w:tcPr>
            <w:tcW w:w="1156" w:type="dxa"/>
            <w:noWrap w:val="0"/>
            <w:vAlign w:val="center"/>
          </w:tcPr>
          <w:p w14:paraId="343C1D17">
            <w:pPr>
              <w:wordWrap w:val="0"/>
              <w:jc w:val="center"/>
              <w:rPr>
                <w:rFonts w:ascii="宋体" w:hAnsi="宋体" w:cs="宋体"/>
                <w:color w:val="auto"/>
                <w:sz w:val="24"/>
              </w:rPr>
            </w:pPr>
          </w:p>
        </w:tc>
        <w:tc>
          <w:tcPr>
            <w:tcW w:w="900" w:type="dxa"/>
            <w:noWrap w:val="0"/>
            <w:vAlign w:val="center"/>
          </w:tcPr>
          <w:p w14:paraId="72024ECC">
            <w:pPr>
              <w:wordWrap w:val="0"/>
              <w:jc w:val="center"/>
              <w:rPr>
                <w:rFonts w:ascii="宋体" w:hAnsi="宋体" w:cs="宋体"/>
                <w:color w:val="auto"/>
                <w:sz w:val="24"/>
              </w:rPr>
            </w:pPr>
          </w:p>
        </w:tc>
      </w:tr>
      <w:tr w14:paraId="07CD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noWrap w:val="0"/>
            <w:vAlign w:val="center"/>
          </w:tcPr>
          <w:p w14:paraId="18A6F73F">
            <w:pPr>
              <w:wordWrap w:val="0"/>
              <w:jc w:val="center"/>
              <w:rPr>
                <w:rFonts w:ascii="宋体" w:hAnsi="宋体" w:cs="宋体"/>
                <w:color w:val="auto"/>
                <w:sz w:val="24"/>
              </w:rPr>
            </w:pPr>
          </w:p>
        </w:tc>
        <w:tc>
          <w:tcPr>
            <w:tcW w:w="1440" w:type="dxa"/>
            <w:noWrap w:val="0"/>
            <w:vAlign w:val="center"/>
          </w:tcPr>
          <w:p w14:paraId="67BFFF9C">
            <w:pPr>
              <w:wordWrap w:val="0"/>
              <w:jc w:val="center"/>
              <w:rPr>
                <w:rFonts w:ascii="宋体" w:hAnsi="宋体" w:cs="宋体"/>
                <w:color w:val="auto"/>
                <w:sz w:val="24"/>
              </w:rPr>
            </w:pPr>
          </w:p>
        </w:tc>
        <w:tc>
          <w:tcPr>
            <w:tcW w:w="1080" w:type="dxa"/>
            <w:noWrap w:val="0"/>
            <w:vAlign w:val="center"/>
          </w:tcPr>
          <w:p w14:paraId="627B1599">
            <w:pPr>
              <w:wordWrap w:val="0"/>
              <w:jc w:val="center"/>
              <w:rPr>
                <w:rFonts w:ascii="宋体" w:hAnsi="宋体" w:cs="宋体"/>
                <w:color w:val="auto"/>
                <w:sz w:val="24"/>
              </w:rPr>
            </w:pPr>
          </w:p>
        </w:tc>
        <w:tc>
          <w:tcPr>
            <w:tcW w:w="720" w:type="dxa"/>
            <w:noWrap w:val="0"/>
            <w:vAlign w:val="center"/>
          </w:tcPr>
          <w:p w14:paraId="7D540144">
            <w:pPr>
              <w:wordWrap w:val="0"/>
              <w:jc w:val="center"/>
              <w:rPr>
                <w:rFonts w:ascii="宋体" w:hAnsi="宋体" w:cs="宋体"/>
                <w:color w:val="auto"/>
                <w:sz w:val="24"/>
              </w:rPr>
            </w:pPr>
          </w:p>
        </w:tc>
        <w:tc>
          <w:tcPr>
            <w:tcW w:w="776" w:type="dxa"/>
            <w:noWrap w:val="0"/>
            <w:vAlign w:val="center"/>
          </w:tcPr>
          <w:p w14:paraId="7A5233AE">
            <w:pPr>
              <w:wordWrap w:val="0"/>
              <w:jc w:val="center"/>
              <w:rPr>
                <w:rFonts w:ascii="宋体" w:hAnsi="宋体" w:cs="宋体"/>
                <w:color w:val="auto"/>
                <w:sz w:val="24"/>
              </w:rPr>
            </w:pPr>
          </w:p>
        </w:tc>
        <w:tc>
          <w:tcPr>
            <w:tcW w:w="1080" w:type="dxa"/>
            <w:noWrap w:val="0"/>
            <w:vAlign w:val="center"/>
          </w:tcPr>
          <w:p w14:paraId="36A37778">
            <w:pPr>
              <w:wordWrap w:val="0"/>
              <w:jc w:val="center"/>
              <w:rPr>
                <w:rFonts w:ascii="宋体" w:hAnsi="宋体" w:cs="宋体"/>
                <w:color w:val="auto"/>
                <w:sz w:val="24"/>
              </w:rPr>
            </w:pPr>
          </w:p>
        </w:tc>
        <w:tc>
          <w:tcPr>
            <w:tcW w:w="1156" w:type="dxa"/>
            <w:noWrap w:val="0"/>
            <w:vAlign w:val="center"/>
          </w:tcPr>
          <w:p w14:paraId="09C853CA">
            <w:pPr>
              <w:wordWrap w:val="0"/>
              <w:jc w:val="center"/>
              <w:rPr>
                <w:rFonts w:ascii="宋体" w:hAnsi="宋体" w:cs="宋体"/>
                <w:color w:val="auto"/>
                <w:sz w:val="24"/>
              </w:rPr>
            </w:pPr>
          </w:p>
        </w:tc>
        <w:tc>
          <w:tcPr>
            <w:tcW w:w="900" w:type="dxa"/>
            <w:noWrap w:val="0"/>
            <w:vAlign w:val="center"/>
          </w:tcPr>
          <w:p w14:paraId="6D2C6514">
            <w:pPr>
              <w:wordWrap w:val="0"/>
              <w:jc w:val="center"/>
              <w:rPr>
                <w:rFonts w:ascii="宋体" w:hAnsi="宋体" w:cs="宋体"/>
                <w:color w:val="auto"/>
                <w:sz w:val="24"/>
              </w:rPr>
            </w:pPr>
          </w:p>
        </w:tc>
      </w:tr>
      <w:tr w14:paraId="7C12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2FAB4A49">
            <w:pPr>
              <w:wordWrap w:val="0"/>
              <w:jc w:val="center"/>
              <w:rPr>
                <w:rFonts w:ascii="宋体" w:hAnsi="宋体" w:cs="宋体"/>
                <w:color w:val="auto"/>
                <w:sz w:val="24"/>
              </w:rPr>
            </w:pPr>
          </w:p>
        </w:tc>
        <w:tc>
          <w:tcPr>
            <w:tcW w:w="1440" w:type="dxa"/>
            <w:noWrap w:val="0"/>
            <w:vAlign w:val="center"/>
          </w:tcPr>
          <w:p w14:paraId="4A6E46B6">
            <w:pPr>
              <w:wordWrap w:val="0"/>
              <w:jc w:val="center"/>
              <w:rPr>
                <w:rFonts w:ascii="宋体" w:hAnsi="宋体" w:cs="宋体"/>
                <w:color w:val="auto"/>
                <w:sz w:val="24"/>
              </w:rPr>
            </w:pPr>
          </w:p>
        </w:tc>
        <w:tc>
          <w:tcPr>
            <w:tcW w:w="1080" w:type="dxa"/>
            <w:noWrap w:val="0"/>
            <w:vAlign w:val="center"/>
          </w:tcPr>
          <w:p w14:paraId="641E001D">
            <w:pPr>
              <w:wordWrap w:val="0"/>
              <w:jc w:val="center"/>
              <w:rPr>
                <w:rFonts w:ascii="宋体" w:hAnsi="宋体" w:cs="宋体"/>
                <w:color w:val="auto"/>
                <w:sz w:val="24"/>
              </w:rPr>
            </w:pPr>
          </w:p>
        </w:tc>
        <w:tc>
          <w:tcPr>
            <w:tcW w:w="720" w:type="dxa"/>
            <w:noWrap w:val="0"/>
            <w:vAlign w:val="center"/>
          </w:tcPr>
          <w:p w14:paraId="3CCCFEFD">
            <w:pPr>
              <w:wordWrap w:val="0"/>
              <w:jc w:val="center"/>
              <w:rPr>
                <w:rFonts w:ascii="宋体" w:hAnsi="宋体" w:cs="宋体"/>
                <w:color w:val="auto"/>
                <w:sz w:val="24"/>
              </w:rPr>
            </w:pPr>
          </w:p>
        </w:tc>
        <w:tc>
          <w:tcPr>
            <w:tcW w:w="776" w:type="dxa"/>
            <w:noWrap w:val="0"/>
            <w:vAlign w:val="center"/>
          </w:tcPr>
          <w:p w14:paraId="6DBFE559">
            <w:pPr>
              <w:wordWrap w:val="0"/>
              <w:jc w:val="center"/>
              <w:rPr>
                <w:rFonts w:ascii="宋体" w:hAnsi="宋体" w:cs="宋体"/>
                <w:color w:val="auto"/>
                <w:sz w:val="24"/>
              </w:rPr>
            </w:pPr>
          </w:p>
        </w:tc>
        <w:tc>
          <w:tcPr>
            <w:tcW w:w="1080" w:type="dxa"/>
            <w:noWrap w:val="0"/>
            <w:vAlign w:val="center"/>
          </w:tcPr>
          <w:p w14:paraId="3A439308">
            <w:pPr>
              <w:wordWrap w:val="0"/>
              <w:jc w:val="center"/>
              <w:rPr>
                <w:rFonts w:ascii="宋体" w:hAnsi="宋体" w:cs="宋体"/>
                <w:color w:val="auto"/>
                <w:sz w:val="24"/>
              </w:rPr>
            </w:pPr>
          </w:p>
        </w:tc>
        <w:tc>
          <w:tcPr>
            <w:tcW w:w="1156" w:type="dxa"/>
            <w:noWrap w:val="0"/>
            <w:vAlign w:val="center"/>
          </w:tcPr>
          <w:p w14:paraId="304ED0A2">
            <w:pPr>
              <w:wordWrap w:val="0"/>
              <w:jc w:val="center"/>
              <w:rPr>
                <w:rFonts w:ascii="宋体" w:hAnsi="宋体" w:cs="宋体"/>
                <w:color w:val="auto"/>
                <w:sz w:val="24"/>
              </w:rPr>
            </w:pPr>
          </w:p>
        </w:tc>
        <w:tc>
          <w:tcPr>
            <w:tcW w:w="900" w:type="dxa"/>
            <w:noWrap w:val="0"/>
            <w:vAlign w:val="center"/>
          </w:tcPr>
          <w:p w14:paraId="1A43CB0B">
            <w:pPr>
              <w:wordWrap w:val="0"/>
              <w:jc w:val="center"/>
              <w:rPr>
                <w:rFonts w:ascii="宋体" w:hAnsi="宋体" w:cs="宋体"/>
                <w:color w:val="auto"/>
                <w:sz w:val="24"/>
              </w:rPr>
            </w:pPr>
          </w:p>
        </w:tc>
      </w:tr>
      <w:tr w14:paraId="0F60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05C95A56">
            <w:pPr>
              <w:wordWrap w:val="0"/>
              <w:jc w:val="center"/>
              <w:rPr>
                <w:rFonts w:ascii="宋体" w:hAnsi="宋体" w:cs="宋体"/>
                <w:color w:val="auto"/>
                <w:sz w:val="24"/>
              </w:rPr>
            </w:pPr>
          </w:p>
        </w:tc>
        <w:tc>
          <w:tcPr>
            <w:tcW w:w="1440" w:type="dxa"/>
            <w:noWrap w:val="0"/>
            <w:vAlign w:val="center"/>
          </w:tcPr>
          <w:p w14:paraId="68993D42">
            <w:pPr>
              <w:wordWrap w:val="0"/>
              <w:jc w:val="center"/>
              <w:rPr>
                <w:rFonts w:ascii="宋体" w:hAnsi="宋体" w:cs="宋体"/>
                <w:color w:val="auto"/>
                <w:sz w:val="24"/>
              </w:rPr>
            </w:pPr>
          </w:p>
        </w:tc>
        <w:tc>
          <w:tcPr>
            <w:tcW w:w="1080" w:type="dxa"/>
            <w:noWrap w:val="0"/>
            <w:vAlign w:val="center"/>
          </w:tcPr>
          <w:p w14:paraId="0D873473">
            <w:pPr>
              <w:wordWrap w:val="0"/>
              <w:jc w:val="center"/>
              <w:rPr>
                <w:rFonts w:ascii="宋体" w:hAnsi="宋体" w:cs="宋体"/>
                <w:color w:val="auto"/>
                <w:sz w:val="24"/>
              </w:rPr>
            </w:pPr>
          </w:p>
        </w:tc>
        <w:tc>
          <w:tcPr>
            <w:tcW w:w="720" w:type="dxa"/>
            <w:noWrap w:val="0"/>
            <w:vAlign w:val="center"/>
          </w:tcPr>
          <w:p w14:paraId="2EF89DE3">
            <w:pPr>
              <w:wordWrap w:val="0"/>
              <w:jc w:val="center"/>
              <w:rPr>
                <w:rFonts w:ascii="宋体" w:hAnsi="宋体" w:cs="宋体"/>
                <w:color w:val="auto"/>
                <w:sz w:val="24"/>
              </w:rPr>
            </w:pPr>
          </w:p>
        </w:tc>
        <w:tc>
          <w:tcPr>
            <w:tcW w:w="776" w:type="dxa"/>
            <w:noWrap w:val="0"/>
            <w:vAlign w:val="center"/>
          </w:tcPr>
          <w:p w14:paraId="4FA0DD9E">
            <w:pPr>
              <w:wordWrap w:val="0"/>
              <w:jc w:val="center"/>
              <w:rPr>
                <w:rFonts w:ascii="宋体" w:hAnsi="宋体" w:cs="宋体"/>
                <w:color w:val="auto"/>
                <w:sz w:val="24"/>
              </w:rPr>
            </w:pPr>
          </w:p>
        </w:tc>
        <w:tc>
          <w:tcPr>
            <w:tcW w:w="1080" w:type="dxa"/>
            <w:noWrap w:val="0"/>
            <w:vAlign w:val="center"/>
          </w:tcPr>
          <w:p w14:paraId="151074C7">
            <w:pPr>
              <w:wordWrap w:val="0"/>
              <w:jc w:val="center"/>
              <w:rPr>
                <w:rFonts w:ascii="宋体" w:hAnsi="宋体" w:cs="宋体"/>
                <w:color w:val="auto"/>
                <w:sz w:val="24"/>
              </w:rPr>
            </w:pPr>
          </w:p>
        </w:tc>
        <w:tc>
          <w:tcPr>
            <w:tcW w:w="1156" w:type="dxa"/>
            <w:noWrap w:val="0"/>
            <w:vAlign w:val="center"/>
          </w:tcPr>
          <w:p w14:paraId="08C76EC7">
            <w:pPr>
              <w:wordWrap w:val="0"/>
              <w:jc w:val="center"/>
              <w:rPr>
                <w:rFonts w:ascii="宋体" w:hAnsi="宋体" w:cs="宋体"/>
                <w:color w:val="auto"/>
                <w:sz w:val="24"/>
              </w:rPr>
            </w:pPr>
          </w:p>
        </w:tc>
        <w:tc>
          <w:tcPr>
            <w:tcW w:w="900" w:type="dxa"/>
            <w:noWrap w:val="0"/>
            <w:vAlign w:val="center"/>
          </w:tcPr>
          <w:p w14:paraId="39174845">
            <w:pPr>
              <w:wordWrap w:val="0"/>
              <w:jc w:val="center"/>
              <w:rPr>
                <w:rFonts w:ascii="宋体" w:hAnsi="宋体" w:cs="宋体"/>
                <w:color w:val="auto"/>
                <w:sz w:val="24"/>
              </w:rPr>
            </w:pPr>
          </w:p>
        </w:tc>
      </w:tr>
      <w:tr w14:paraId="6810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19B16C19">
            <w:pPr>
              <w:wordWrap w:val="0"/>
              <w:jc w:val="center"/>
              <w:rPr>
                <w:rFonts w:ascii="宋体" w:hAnsi="宋体" w:cs="宋体"/>
                <w:color w:val="auto"/>
                <w:sz w:val="24"/>
              </w:rPr>
            </w:pPr>
          </w:p>
        </w:tc>
        <w:tc>
          <w:tcPr>
            <w:tcW w:w="1440" w:type="dxa"/>
            <w:noWrap w:val="0"/>
            <w:vAlign w:val="center"/>
          </w:tcPr>
          <w:p w14:paraId="3E21FD9E">
            <w:pPr>
              <w:wordWrap w:val="0"/>
              <w:jc w:val="center"/>
              <w:rPr>
                <w:rFonts w:ascii="宋体" w:hAnsi="宋体" w:cs="宋体"/>
                <w:color w:val="auto"/>
                <w:sz w:val="24"/>
              </w:rPr>
            </w:pPr>
          </w:p>
        </w:tc>
        <w:tc>
          <w:tcPr>
            <w:tcW w:w="1080" w:type="dxa"/>
            <w:noWrap w:val="0"/>
            <w:vAlign w:val="center"/>
          </w:tcPr>
          <w:p w14:paraId="2986840C">
            <w:pPr>
              <w:wordWrap w:val="0"/>
              <w:jc w:val="center"/>
              <w:rPr>
                <w:rFonts w:ascii="宋体" w:hAnsi="宋体" w:cs="宋体"/>
                <w:color w:val="auto"/>
                <w:sz w:val="24"/>
              </w:rPr>
            </w:pPr>
          </w:p>
        </w:tc>
        <w:tc>
          <w:tcPr>
            <w:tcW w:w="720" w:type="dxa"/>
            <w:noWrap w:val="0"/>
            <w:vAlign w:val="center"/>
          </w:tcPr>
          <w:p w14:paraId="688BE5AB">
            <w:pPr>
              <w:wordWrap w:val="0"/>
              <w:jc w:val="center"/>
              <w:rPr>
                <w:rFonts w:ascii="宋体" w:hAnsi="宋体" w:cs="宋体"/>
                <w:color w:val="auto"/>
                <w:sz w:val="24"/>
              </w:rPr>
            </w:pPr>
          </w:p>
        </w:tc>
        <w:tc>
          <w:tcPr>
            <w:tcW w:w="776" w:type="dxa"/>
            <w:noWrap w:val="0"/>
            <w:vAlign w:val="center"/>
          </w:tcPr>
          <w:p w14:paraId="2418A856">
            <w:pPr>
              <w:wordWrap w:val="0"/>
              <w:jc w:val="center"/>
              <w:rPr>
                <w:rFonts w:ascii="宋体" w:hAnsi="宋体" w:cs="宋体"/>
                <w:color w:val="auto"/>
                <w:sz w:val="24"/>
              </w:rPr>
            </w:pPr>
          </w:p>
        </w:tc>
        <w:tc>
          <w:tcPr>
            <w:tcW w:w="1080" w:type="dxa"/>
            <w:noWrap w:val="0"/>
            <w:vAlign w:val="center"/>
          </w:tcPr>
          <w:p w14:paraId="5E979687">
            <w:pPr>
              <w:wordWrap w:val="0"/>
              <w:jc w:val="center"/>
              <w:rPr>
                <w:rFonts w:ascii="宋体" w:hAnsi="宋体" w:cs="宋体"/>
                <w:color w:val="auto"/>
                <w:sz w:val="24"/>
              </w:rPr>
            </w:pPr>
          </w:p>
        </w:tc>
        <w:tc>
          <w:tcPr>
            <w:tcW w:w="1156" w:type="dxa"/>
            <w:noWrap w:val="0"/>
            <w:vAlign w:val="center"/>
          </w:tcPr>
          <w:p w14:paraId="0AC80A92">
            <w:pPr>
              <w:wordWrap w:val="0"/>
              <w:jc w:val="center"/>
              <w:rPr>
                <w:rFonts w:ascii="宋体" w:hAnsi="宋体" w:cs="宋体"/>
                <w:color w:val="auto"/>
                <w:sz w:val="24"/>
              </w:rPr>
            </w:pPr>
          </w:p>
        </w:tc>
        <w:tc>
          <w:tcPr>
            <w:tcW w:w="900" w:type="dxa"/>
            <w:noWrap w:val="0"/>
            <w:vAlign w:val="center"/>
          </w:tcPr>
          <w:p w14:paraId="2F75FEF8">
            <w:pPr>
              <w:wordWrap w:val="0"/>
              <w:jc w:val="center"/>
              <w:rPr>
                <w:rFonts w:ascii="宋体" w:hAnsi="宋体" w:cs="宋体"/>
                <w:color w:val="auto"/>
                <w:sz w:val="24"/>
              </w:rPr>
            </w:pPr>
          </w:p>
        </w:tc>
      </w:tr>
      <w:tr w14:paraId="086C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67834F9F">
            <w:pPr>
              <w:wordWrap w:val="0"/>
              <w:jc w:val="center"/>
              <w:rPr>
                <w:rFonts w:ascii="宋体" w:hAnsi="宋体" w:cs="宋体"/>
                <w:color w:val="auto"/>
                <w:sz w:val="24"/>
              </w:rPr>
            </w:pPr>
          </w:p>
        </w:tc>
        <w:tc>
          <w:tcPr>
            <w:tcW w:w="1440" w:type="dxa"/>
            <w:noWrap w:val="0"/>
            <w:vAlign w:val="center"/>
          </w:tcPr>
          <w:p w14:paraId="6C3A28F8">
            <w:pPr>
              <w:wordWrap w:val="0"/>
              <w:jc w:val="center"/>
              <w:rPr>
                <w:rFonts w:ascii="宋体" w:hAnsi="宋体" w:cs="宋体"/>
                <w:color w:val="auto"/>
                <w:sz w:val="24"/>
              </w:rPr>
            </w:pPr>
          </w:p>
        </w:tc>
        <w:tc>
          <w:tcPr>
            <w:tcW w:w="1080" w:type="dxa"/>
            <w:noWrap w:val="0"/>
            <w:vAlign w:val="center"/>
          </w:tcPr>
          <w:p w14:paraId="105EF605">
            <w:pPr>
              <w:wordWrap w:val="0"/>
              <w:jc w:val="center"/>
              <w:rPr>
                <w:rFonts w:ascii="宋体" w:hAnsi="宋体" w:cs="宋体"/>
                <w:color w:val="auto"/>
                <w:sz w:val="24"/>
              </w:rPr>
            </w:pPr>
          </w:p>
        </w:tc>
        <w:tc>
          <w:tcPr>
            <w:tcW w:w="720" w:type="dxa"/>
            <w:noWrap w:val="0"/>
            <w:vAlign w:val="center"/>
          </w:tcPr>
          <w:p w14:paraId="5FEF5107">
            <w:pPr>
              <w:wordWrap w:val="0"/>
              <w:jc w:val="center"/>
              <w:rPr>
                <w:rFonts w:ascii="宋体" w:hAnsi="宋体" w:cs="宋体"/>
                <w:color w:val="auto"/>
                <w:sz w:val="24"/>
              </w:rPr>
            </w:pPr>
          </w:p>
        </w:tc>
        <w:tc>
          <w:tcPr>
            <w:tcW w:w="776" w:type="dxa"/>
            <w:noWrap w:val="0"/>
            <w:vAlign w:val="center"/>
          </w:tcPr>
          <w:p w14:paraId="0D017EE6">
            <w:pPr>
              <w:wordWrap w:val="0"/>
              <w:jc w:val="center"/>
              <w:rPr>
                <w:rFonts w:ascii="宋体" w:hAnsi="宋体" w:cs="宋体"/>
                <w:color w:val="auto"/>
                <w:sz w:val="24"/>
              </w:rPr>
            </w:pPr>
          </w:p>
        </w:tc>
        <w:tc>
          <w:tcPr>
            <w:tcW w:w="1080" w:type="dxa"/>
            <w:noWrap w:val="0"/>
            <w:vAlign w:val="center"/>
          </w:tcPr>
          <w:p w14:paraId="613DF86B">
            <w:pPr>
              <w:wordWrap w:val="0"/>
              <w:jc w:val="center"/>
              <w:rPr>
                <w:rFonts w:ascii="宋体" w:hAnsi="宋体" w:cs="宋体"/>
                <w:color w:val="auto"/>
                <w:sz w:val="24"/>
              </w:rPr>
            </w:pPr>
          </w:p>
        </w:tc>
        <w:tc>
          <w:tcPr>
            <w:tcW w:w="1156" w:type="dxa"/>
            <w:noWrap w:val="0"/>
            <w:vAlign w:val="center"/>
          </w:tcPr>
          <w:p w14:paraId="54E2CAF7">
            <w:pPr>
              <w:wordWrap w:val="0"/>
              <w:jc w:val="center"/>
              <w:rPr>
                <w:rFonts w:ascii="宋体" w:hAnsi="宋体" w:cs="宋体"/>
                <w:color w:val="auto"/>
                <w:sz w:val="24"/>
              </w:rPr>
            </w:pPr>
          </w:p>
        </w:tc>
        <w:tc>
          <w:tcPr>
            <w:tcW w:w="900" w:type="dxa"/>
            <w:noWrap w:val="0"/>
            <w:vAlign w:val="center"/>
          </w:tcPr>
          <w:p w14:paraId="79F73161">
            <w:pPr>
              <w:wordWrap w:val="0"/>
              <w:jc w:val="center"/>
              <w:rPr>
                <w:rFonts w:ascii="宋体" w:hAnsi="宋体" w:cs="宋体"/>
                <w:color w:val="auto"/>
                <w:sz w:val="24"/>
              </w:rPr>
            </w:pPr>
          </w:p>
        </w:tc>
      </w:tr>
      <w:tr w14:paraId="57D3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01622006">
            <w:pPr>
              <w:wordWrap w:val="0"/>
              <w:jc w:val="center"/>
              <w:rPr>
                <w:rFonts w:ascii="宋体" w:hAnsi="宋体" w:cs="宋体"/>
                <w:color w:val="auto"/>
                <w:sz w:val="24"/>
              </w:rPr>
            </w:pPr>
          </w:p>
        </w:tc>
        <w:tc>
          <w:tcPr>
            <w:tcW w:w="1440" w:type="dxa"/>
            <w:noWrap w:val="0"/>
            <w:vAlign w:val="center"/>
          </w:tcPr>
          <w:p w14:paraId="0782DB90">
            <w:pPr>
              <w:wordWrap w:val="0"/>
              <w:jc w:val="center"/>
              <w:rPr>
                <w:rFonts w:ascii="宋体" w:hAnsi="宋体" w:cs="宋体"/>
                <w:color w:val="auto"/>
                <w:sz w:val="24"/>
              </w:rPr>
            </w:pPr>
          </w:p>
        </w:tc>
        <w:tc>
          <w:tcPr>
            <w:tcW w:w="1080" w:type="dxa"/>
            <w:noWrap w:val="0"/>
            <w:vAlign w:val="center"/>
          </w:tcPr>
          <w:p w14:paraId="3C843794">
            <w:pPr>
              <w:wordWrap w:val="0"/>
              <w:jc w:val="center"/>
              <w:rPr>
                <w:rFonts w:ascii="宋体" w:hAnsi="宋体" w:cs="宋体"/>
                <w:color w:val="auto"/>
                <w:sz w:val="24"/>
              </w:rPr>
            </w:pPr>
          </w:p>
        </w:tc>
        <w:tc>
          <w:tcPr>
            <w:tcW w:w="720" w:type="dxa"/>
            <w:noWrap w:val="0"/>
            <w:vAlign w:val="center"/>
          </w:tcPr>
          <w:p w14:paraId="76A93BD9">
            <w:pPr>
              <w:wordWrap w:val="0"/>
              <w:jc w:val="center"/>
              <w:rPr>
                <w:rFonts w:ascii="宋体" w:hAnsi="宋体" w:cs="宋体"/>
                <w:color w:val="auto"/>
                <w:sz w:val="24"/>
              </w:rPr>
            </w:pPr>
          </w:p>
        </w:tc>
        <w:tc>
          <w:tcPr>
            <w:tcW w:w="776" w:type="dxa"/>
            <w:noWrap w:val="0"/>
            <w:vAlign w:val="center"/>
          </w:tcPr>
          <w:p w14:paraId="4ACF273D">
            <w:pPr>
              <w:wordWrap w:val="0"/>
              <w:jc w:val="center"/>
              <w:rPr>
                <w:rFonts w:ascii="宋体" w:hAnsi="宋体" w:cs="宋体"/>
                <w:color w:val="auto"/>
                <w:sz w:val="24"/>
              </w:rPr>
            </w:pPr>
          </w:p>
        </w:tc>
        <w:tc>
          <w:tcPr>
            <w:tcW w:w="1080" w:type="dxa"/>
            <w:noWrap w:val="0"/>
            <w:vAlign w:val="center"/>
          </w:tcPr>
          <w:p w14:paraId="1B0D7C59">
            <w:pPr>
              <w:wordWrap w:val="0"/>
              <w:jc w:val="center"/>
              <w:rPr>
                <w:rFonts w:ascii="宋体" w:hAnsi="宋体" w:cs="宋体"/>
                <w:color w:val="auto"/>
                <w:sz w:val="24"/>
              </w:rPr>
            </w:pPr>
          </w:p>
        </w:tc>
        <w:tc>
          <w:tcPr>
            <w:tcW w:w="1156" w:type="dxa"/>
            <w:noWrap w:val="0"/>
            <w:vAlign w:val="center"/>
          </w:tcPr>
          <w:p w14:paraId="650EDF13">
            <w:pPr>
              <w:wordWrap w:val="0"/>
              <w:jc w:val="center"/>
              <w:rPr>
                <w:rFonts w:ascii="宋体" w:hAnsi="宋体" w:cs="宋体"/>
                <w:color w:val="auto"/>
                <w:sz w:val="24"/>
              </w:rPr>
            </w:pPr>
          </w:p>
        </w:tc>
        <w:tc>
          <w:tcPr>
            <w:tcW w:w="900" w:type="dxa"/>
            <w:noWrap w:val="0"/>
            <w:vAlign w:val="center"/>
          </w:tcPr>
          <w:p w14:paraId="75E662E5">
            <w:pPr>
              <w:wordWrap w:val="0"/>
              <w:jc w:val="center"/>
              <w:rPr>
                <w:rFonts w:ascii="宋体" w:hAnsi="宋体" w:cs="宋体"/>
                <w:color w:val="auto"/>
                <w:sz w:val="24"/>
              </w:rPr>
            </w:pPr>
          </w:p>
        </w:tc>
      </w:tr>
      <w:tr w14:paraId="396A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368D0556">
            <w:pPr>
              <w:wordWrap w:val="0"/>
              <w:jc w:val="center"/>
              <w:rPr>
                <w:rFonts w:ascii="宋体" w:hAnsi="宋体" w:cs="宋体"/>
                <w:color w:val="auto"/>
                <w:sz w:val="24"/>
              </w:rPr>
            </w:pPr>
          </w:p>
        </w:tc>
        <w:tc>
          <w:tcPr>
            <w:tcW w:w="1440" w:type="dxa"/>
            <w:noWrap w:val="0"/>
            <w:vAlign w:val="center"/>
          </w:tcPr>
          <w:p w14:paraId="13B3ACEE">
            <w:pPr>
              <w:wordWrap w:val="0"/>
              <w:jc w:val="center"/>
              <w:rPr>
                <w:rFonts w:ascii="宋体" w:hAnsi="宋体" w:cs="宋体"/>
                <w:color w:val="auto"/>
                <w:sz w:val="24"/>
              </w:rPr>
            </w:pPr>
          </w:p>
        </w:tc>
        <w:tc>
          <w:tcPr>
            <w:tcW w:w="1080" w:type="dxa"/>
            <w:noWrap w:val="0"/>
            <w:vAlign w:val="center"/>
          </w:tcPr>
          <w:p w14:paraId="1B7BAB96">
            <w:pPr>
              <w:wordWrap w:val="0"/>
              <w:jc w:val="center"/>
              <w:rPr>
                <w:rFonts w:ascii="宋体" w:hAnsi="宋体" w:cs="宋体"/>
                <w:color w:val="auto"/>
                <w:sz w:val="24"/>
              </w:rPr>
            </w:pPr>
          </w:p>
        </w:tc>
        <w:tc>
          <w:tcPr>
            <w:tcW w:w="720" w:type="dxa"/>
            <w:noWrap w:val="0"/>
            <w:vAlign w:val="center"/>
          </w:tcPr>
          <w:p w14:paraId="11CD629C">
            <w:pPr>
              <w:wordWrap w:val="0"/>
              <w:jc w:val="center"/>
              <w:rPr>
                <w:rFonts w:ascii="宋体" w:hAnsi="宋体" w:cs="宋体"/>
                <w:color w:val="auto"/>
                <w:sz w:val="24"/>
              </w:rPr>
            </w:pPr>
          </w:p>
        </w:tc>
        <w:tc>
          <w:tcPr>
            <w:tcW w:w="776" w:type="dxa"/>
            <w:noWrap w:val="0"/>
            <w:vAlign w:val="center"/>
          </w:tcPr>
          <w:p w14:paraId="23647CD1">
            <w:pPr>
              <w:wordWrap w:val="0"/>
              <w:jc w:val="center"/>
              <w:rPr>
                <w:rFonts w:ascii="宋体" w:hAnsi="宋体" w:cs="宋体"/>
                <w:color w:val="auto"/>
                <w:sz w:val="24"/>
              </w:rPr>
            </w:pPr>
          </w:p>
        </w:tc>
        <w:tc>
          <w:tcPr>
            <w:tcW w:w="1080" w:type="dxa"/>
            <w:noWrap w:val="0"/>
            <w:vAlign w:val="center"/>
          </w:tcPr>
          <w:p w14:paraId="3689288A">
            <w:pPr>
              <w:wordWrap w:val="0"/>
              <w:jc w:val="center"/>
              <w:rPr>
                <w:rFonts w:ascii="宋体" w:hAnsi="宋体" w:cs="宋体"/>
                <w:color w:val="auto"/>
                <w:sz w:val="24"/>
              </w:rPr>
            </w:pPr>
          </w:p>
        </w:tc>
        <w:tc>
          <w:tcPr>
            <w:tcW w:w="1156" w:type="dxa"/>
            <w:noWrap w:val="0"/>
            <w:vAlign w:val="center"/>
          </w:tcPr>
          <w:p w14:paraId="14EEDED7">
            <w:pPr>
              <w:wordWrap w:val="0"/>
              <w:jc w:val="center"/>
              <w:rPr>
                <w:rFonts w:ascii="宋体" w:hAnsi="宋体" w:cs="宋体"/>
                <w:color w:val="auto"/>
                <w:sz w:val="24"/>
              </w:rPr>
            </w:pPr>
          </w:p>
        </w:tc>
        <w:tc>
          <w:tcPr>
            <w:tcW w:w="900" w:type="dxa"/>
            <w:noWrap w:val="0"/>
            <w:vAlign w:val="center"/>
          </w:tcPr>
          <w:p w14:paraId="7DDFAE07">
            <w:pPr>
              <w:wordWrap w:val="0"/>
              <w:jc w:val="center"/>
              <w:rPr>
                <w:rFonts w:ascii="宋体" w:hAnsi="宋体" w:cs="宋体"/>
                <w:color w:val="auto"/>
                <w:sz w:val="24"/>
              </w:rPr>
            </w:pPr>
          </w:p>
        </w:tc>
      </w:tr>
    </w:tbl>
    <w:p w14:paraId="7C85A3CA">
      <w:pPr>
        <w:wordWrap w:val="0"/>
        <w:rPr>
          <w:color w:val="auto"/>
        </w:rPr>
      </w:pPr>
      <w:r>
        <w:rPr>
          <w:rFonts w:hint="eastAsia"/>
          <w:b/>
          <w:color w:val="auto"/>
          <w:szCs w:val="21"/>
        </w:rPr>
        <w:br w:type="page"/>
      </w:r>
      <w:bookmarkStart w:id="715" w:name="_Toc489602198"/>
      <w:bookmarkStart w:id="716" w:name="_Toc32631"/>
      <w:bookmarkStart w:id="717" w:name="_Toc10610"/>
      <w:r>
        <w:rPr>
          <w:rFonts w:hint="eastAsia" w:ascii="宋体" w:hAnsi="宋体"/>
          <w:b/>
          <w:color w:val="auto"/>
          <w:sz w:val="24"/>
        </w:rPr>
        <w:t>附表三：劳动力计划表</w:t>
      </w:r>
      <w:bookmarkEnd w:id="715"/>
      <w:bookmarkEnd w:id="716"/>
      <w:bookmarkEnd w:id="717"/>
    </w:p>
    <w:p w14:paraId="45203278">
      <w:pPr>
        <w:wordWrap w:val="0"/>
        <w:ind w:right="560"/>
        <w:jc w:val="center"/>
        <w:rPr>
          <w:rFonts w:hint="eastAsia" w:ascii="宋体" w:hAnsi="宋体" w:cs="宋体"/>
          <w:color w:val="auto"/>
          <w:sz w:val="24"/>
        </w:rPr>
      </w:pPr>
      <w:r>
        <w:rPr>
          <w:rFonts w:hint="eastAsia" w:ascii="宋体" w:hAnsi="宋体" w:cs="宋体"/>
          <w:color w:val="auto"/>
          <w:szCs w:val="21"/>
        </w:rPr>
        <w:t xml:space="preserve">                                                                                                                 </w:t>
      </w:r>
    </w:p>
    <w:p w14:paraId="0222435E">
      <w:pPr>
        <w:tabs>
          <w:tab w:val="left" w:pos="8504"/>
        </w:tabs>
        <w:wordWrap w:val="0"/>
        <w:ind w:right="560"/>
        <w:jc w:val="center"/>
        <w:rPr>
          <w:rFonts w:ascii="宋体" w:hAnsi="宋体" w:cs="宋体"/>
          <w:color w:val="auto"/>
          <w:sz w:val="24"/>
        </w:rPr>
      </w:pPr>
      <w:r>
        <w:rPr>
          <w:rFonts w:hint="eastAsia" w:ascii="宋体" w:hAnsi="宋体" w:cs="宋体"/>
          <w:color w:val="auto"/>
          <w:sz w:val="24"/>
        </w:rPr>
        <w:t xml:space="preserve">                                                           单位：人</w:t>
      </w:r>
    </w:p>
    <w:tbl>
      <w:tblPr>
        <w:tblStyle w:val="15"/>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036"/>
      </w:tblGrid>
      <w:tr w14:paraId="7958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7" w:type="dxa"/>
            <w:noWrap w:val="0"/>
            <w:vAlign w:val="center"/>
          </w:tcPr>
          <w:p w14:paraId="06AAF193">
            <w:pPr>
              <w:wordWrap w:val="0"/>
              <w:jc w:val="center"/>
              <w:rPr>
                <w:rFonts w:ascii="宋体" w:hAnsi="宋体" w:cs="宋体"/>
                <w:color w:val="auto"/>
                <w:sz w:val="24"/>
              </w:rPr>
            </w:pPr>
            <w:r>
              <w:rPr>
                <w:rFonts w:hint="eastAsia" w:ascii="宋体" w:hAnsi="宋体" w:cs="宋体"/>
                <w:color w:val="auto"/>
                <w:sz w:val="24"/>
              </w:rPr>
              <w:t>工种</w:t>
            </w:r>
          </w:p>
        </w:tc>
        <w:tc>
          <w:tcPr>
            <w:tcW w:w="8039" w:type="dxa"/>
            <w:gridSpan w:val="7"/>
            <w:noWrap w:val="0"/>
            <w:vAlign w:val="center"/>
          </w:tcPr>
          <w:p w14:paraId="45003C80">
            <w:pPr>
              <w:wordWrap w:val="0"/>
              <w:jc w:val="center"/>
              <w:rPr>
                <w:rFonts w:ascii="宋体" w:hAnsi="宋体" w:cs="宋体"/>
                <w:color w:val="auto"/>
                <w:sz w:val="24"/>
              </w:rPr>
            </w:pPr>
            <w:r>
              <w:rPr>
                <w:rFonts w:hint="eastAsia" w:ascii="宋体" w:hAnsi="宋体" w:cs="宋体"/>
                <w:color w:val="auto"/>
                <w:sz w:val="24"/>
              </w:rPr>
              <w:t>按工程施工阶段投入劳动力情况</w:t>
            </w:r>
          </w:p>
        </w:tc>
      </w:tr>
      <w:tr w14:paraId="3B9C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noWrap w:val="0"/>
            <w:vAlign w:val="top"/>
          </w:tcPr>
          <w:p w14:paraId="43C6066A">
            <w:pPr>
              <w:wordWrap w:val="0"/>
              <w:rPr>
                <w:rFonts w:ascii="宋体" w:hAnsi="宋体" w:cs="宋体"/>
                <w:color w:val="auto"/>
                <w:sz w:val="24"/>
              </w:rPr>
            </w:pPr>
          </w:p>
        </w:tc>
        <w:tc>
          <w:tcPr>
            <w:tcW w:w="1167" w:type="dxa"/>
            <w:noWrap w:val="0"/>
            <w:vAlign w:val="top"/>
          </w:tcPr>
          <w:p w14:paraId="121BCB92">
            <w:pPr>
              <w:wordWrap w:val="0"/>
              <w:rPr>
                <w:rFonts w:ascii="宋体" w:hAnsi="宋体" w:cs="宋体"/>
                <w:color w:val="auto"/>
                <w:sz w:val="24"/>
              </w:rPr>
            </w:pPr>
          </w:p>
        </w:tc>
        <w:tc>
          <w:tcPr>
            <w:tcW w:w="1167" w:type="dxa"/>
            <w:noWrap w:val="0"/>
            <w:vAlign w:val="top"/>
          </w:tcPr>
          <w:p w14:paraId="573343DF">
            <w:pPr>
              <w:wordWrap w:val="0"/>
              <w:rPr>
                <w:rFonts w:ascii="宋体" w:hAnsi="宋体" w:cs="宋体"/>
                <w:color w:val="auto"/>
                <w:sz w:val="24"/>
              </w:rPr>
            </w:pPr>
          </w:p>
        </w:tc>
        <w:tc>
          <w:tcPr>
            <w:tcW w:w="1167" w:type="dxa"/>
            <w:noWrap w:val="0"/>
            <w:vAlign w:val="top"/>
          </w:tcPr>
          <w:p w14:paraId="5C9E8921">
            <w:pPr>
              <w:wordWrap w:val="0"/>
              <w:rPr>
                <w:rFonts w:ascii="宋体" w:hAnsi="宋体" w:cs="宋体"/>
                <w:color w:val="auto"/>
                <w:sz w:val="24"/>
              </w:rPr>
            </w:pPr>
          </w:p>
        </w:tc>
        <w:tc>
          <w:tcPr>
            <w:tcW w:w="1167" w:type="dxa"/>
            <w:noWrap w:val="0"/>
            <w:vAlign w:val="top"/>
          </w:tcPr>
          <w:p w14:paraId="303B728F">
            <w:pPr>
              <w:wordWrap w:val="0"/>
              <w:rPr>
                <w:rFonts w:ascii="宋体" w:hAnsi="宋体" w:cs="宋体"/>
                <w:color w:val="auto"/>
                <w:sz w:val="24"/>
              </w:rPr>
            </w:pPr>
          </w:p>
        </w:tc>
        <w:tc>
          <w:tcPr>
            <w:tcW w:w="1167" w:type="dxa"/>
            <w:noWrap w:val="0"/>
            <w:vAlign w:val="top"/>
          </w:tcPr>
          <w:p w14:paraId="4805E6A5">
            <w:pPr>
              <w:wordWrap w:val="0"/>
              <w:rPr>
                <w:rFonts w:ascii="宋体" w:hAnsi="宋体" w:cs="宋体"/>
                <w:color w:val="auto"/>
                <w:sz w:val="24"/>
              </w:rPr>
            </w:pPr>
          </w:p>
        </w:tc>
        <w:tc>
          <w:tcPr>
            <w:tcW w:w="1168" w:type="dxa"/>
            <w:noWrap w:val="0"/>
            <w:vAlign w:val="top"/>
          </w:tcPr>
          <w:p w14:paraId="0F6591CC">
            <w:pPr>
              <w:wordWrap w:val="0"/>
              <w:rPr>
                <w:rFonts w:ascii="宋体" w:hAnsi="宋体" w:cs="宋体"/>
                <w:color w:val="auto"/>
                <w:sz w:val="24"/>
              </w:rPr>
            </w:pPr>
          </w:p>
        </w:tc>
        <w:tc>
          <w:tcPr>
            <w:tcW w:w="1036" w:type="dxa"/>
            <w:noWrap w:val="0"/>
            <w:vAlign w:val="top"/>
          </w:tcPr>
          <w:p w14:paraId="21264056">
            <w:pPr>
              <w:wordWrap w:val="0"/>
              <w:rPr>
                <w:rFonts w:ascii="宋体" w:hAnsi="宋体" w:cs="宋体"/>
                <w:color w:val="auto"/>
                <w:sz w:val="24"/>
              </w:rPr>
            </w:pPr>
          </w:p>
        </w:tc>
      </w:tr>
      <w:tr w14:paraId="40E1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noWrap w:val="0"/>
            <w:vAlign w:val="top"/>
          </w:tcPr>
          <w:p w14:paraId="56826B57">
            <w:pPr>
              <w:wordWrap w:val="0"/>
              <w:rPr>
                <w:rFonts w:ascii="宋体" w:hAnsi="宋体" w:cs="宋体"/>
                <w:color w:val="auto"/>
                <w:sz w:val="24"/>
              </w:rPr>
            </w:pPr>
          </w:p>
        </w:tc>
        <w:tc>
          <w:tcPr>
            <w:tcW w:w="1167" w:type="dxa"/>
            <w:noWrap w:val="0"/>
            <w:vAlign w:val="top"/>
          </w:tcPr>
          <w:p w14:paraId="6D5349DF">
            <w:pPr>
              <w:wordWrap w:val="0"/>
              <w:rPr>
                <w:rFonts w:ascii="宋体" w:hAnsi="宋体" w:cs="宋体"/>
                <w:color w:val="auto"/>
                <w:sz w:val="24"/>
              </w:rPr>
            </w:pPr>
          </w:p>
        </w:tc>
        <w:tc>
          <w:tcPr>
            <w:tcW w:w="1167" w:type="dxa"/>
            <w:noWrap w:val="0"/>
            <w:vAlign w:val="top"/>
          </w:tcPr>
          <w:p w14:paraId="3E004EF6">
            <w:pPr>
              <w:wordWrap w:val="0"/>
              <w:rPr>
                <w:rFonts w:ascii="宋体" w:hAnsi="宋体" w:cs="宋体"/>
                <w:color w:val="auto"/>
                <w:sz w:val="24"/>
              </w:rPr>
            </w:pPr>
          </w:p>
        </w:tc>
        <w:tc>
          <w:tcPr>
            <w:tcW w:w="1167" w:type="dxa"/>
            <w:noWrap w:val="0"/>
            <w:vAlign w:val="top"/>
          </w:tcPr>
          <w:p w14:paraId="378F1229">
            <w:pPr>
              <w:wordWrap w:val="0"/>
              <w:rPr>
                <w:rFonts w:ascii="宋体" w:hAnsi="宋体" w:cs="宋体"/>
                <w:color w:val="auto"/>
                <w:sz w:val="24"/>
              </w:rPr>
            </w:pPr>
          </w:p>
        </w:tc>
        <w:tc>
          <w:tcPr>
            <w:tcW w:w="1167" w:type="dxa"/>
            <w:noWrap w:val="0"/>
            <w:vAlign w:val="top"/>
          </w:tcPr>
          <w:p w14:paraId="268D129E">
            <w:pPr>
              <w:wordWrap w:val="0"/>
              <w:rPr>
                <w:rFonts w:ascii="宋体" w:hAnsi="宋体" w:cs="宋体"/>
                <w:color w:val="auto"/>
                <w:sz w:val="24"/>
              </w:rPr>
            </w:pPr>
          </w:p>
        </w:tc>
        <w:tc>
          <w:tcPr>
            <w:tcW w:w="1167" w:type="dxa"/>
            <w:noWrap w:val="0"/>
            <w:vAlign w:val="top"/>
          </w:tcPr>
          <w:p w14:paraId="2B7E6A00">
            <w:pPr>
              <w:wordWrap w:val="0"/>
              <w:rPr>
                <w:rFonts w:ascii="宋体" w:hAnsi="宋体" w:cs="宋体"/>
                <w:color w:val="auto"/>
                <w:sz w:val="24"/>
              </w:rPr>
            </w:pPr>
          </w:p>
        </w:tc>
        <w:tc>
          <w:tcPr>
            <w:tcW w:w="1168" w:type="dxa"/>
            <w:noWrap w:val="0"/>
            <w:vAlign w:val="top"/>
          </w:tcPr>
          <w:p w14:paraId="162AD27C">
            <w:pPr>
              <w:wordWrap w:val="0"/>
              <w:rPr>
                <w:rFonts w:ascii="宋体" w:hAnsi="宋体" w:cs="宋体"/>
                <w:color w:val="auto"/>
                <w:sz w:val="24"/>
              </w:rPr>
            </w:pPr>
          </w:p>
        </w:tc>
        <w:tc>
          <w:tcPr>
            <w:tcW w:w="1036" w:type="dxa"/>
            <w:noWrap w:val="0"/>
            <w:vAlign w:val="top"/>
          </w:tcPr>
          <w:p w14:paraId="5D2574C0">
            <w:pPr>
              <w:wordWrap w:val="0"/>
              <w:rPr>
                <w:rFonts w:ascii="宋体" w:hAnsi="宋体" w:cs="宋体"/>
                <w:color w:val="auto"/>
                <w:sz w:val="24"/>
              </w:rPr>
            </w:pPr>
          </w:p>
        </w:tc>
      </w:tr>
      <w:tr w14:paraId="50D3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noWrap w:val="0"/>
            <w:vAlign w:val="top"/>
          </w:tcPr>
          <w:p w14:paraId="63198839">
            <w:pPr>
              <w:wordWrap w:val="0"/>
              <w:rPr>
                <w:rFonts w:ascii="宋体" w:hAnsi="宋体" w:cs="宋体"/>
                <w:color w:val="auto"/>
                <w:sz w:val="24"/>
              </w:rPr>
            </w:pPr>
          </w:p>
        </w:tc>
        <w:tc>
          <w:tcPr>
            <w:tcW w:w="1167" w:type="dxa"/>
            <w:noWrap w:val="0"/>
            <w:vAlign w:val="top"/>
          </w:tcPr>
          <w:p w14:paraId="66F70E81">
            <w:pPr>
              <w:wordWrap w:val="0"/>
              <w:rPr>
                <w:rFonts w:ascii="宋体" w:hAnsi="宋体" w:cs="宋体"/>
                <w:color w:val="auto"/>
                <w:sz w:val="24"/>
              </w:rPr>
            </w:pPr>
          </w:p>
        </w:tc>
        <w:tc>
          <w:tcPr>
            <w:tcW w:w="1167" w:type="dxa"/>
            <w:noWrap w:val="0"/>
            <w:vAlign w:val="top"/>
          </w:tcPr>
          <w:p w14:paraId="5716C57A">
            <w:pPr>
              <w:wordWrap w:val="0"/>
              <w:rPr>
                <w:rFonts w:ascii="宋体" w:hAnsi="宋体" w:cs="宋体"/>
                <w:color w:val="auto"/>
                <w:sz w:val="24"/>
              </w:rPr>
            </w:pPr>
          </w:p>
        </w:tc>
        <w:tc>
          <w:tcPr>
            <w:tcW w:w="1167" w:type="dxa"/>
            <w:noWrap w:val="0"/>
            <w:vAlign w:val="top"/>
          </w:tcPr>
          <w:p w14:paraId="26397543">
            <w:pPr>
              <w:wordWrap w:val="0"/>
              <w:rPr>
                <w:rFonts w:ascii="宋体" w:hAnsi="宋体" w:cs="宋体"/>
                <w:color w:val="auto"/>
                <w:sz w:val="24"/>
              </w:rPr>
            </w:pPr>
          </w:p>
        </w:tc>
        <w:tc>
          <w:tcPr>
            <w:tcW w:w="1167" w:type="dxa"/>
            <w:noWrap w:val="0"/>
            <w:vAlign w:val="top"/>
          </w:tcPr>
          <w:p w14:paraId="4D901BE1">
            <w:pPr>
              <w:wordWrap w:val="0"/>
              <w:rPr>
                <w:rFonts w:ascii="宋体" w:hAnsi="宋体" w:cs="宋体"/>
                <w:color w:val="auto"/>
                <w:sz w:val="24"/>
              </w:rPr>
            </w:pPr>
          </w:p>
        </w:tc>
        <w:tc>
          <w:tcPr>
            <w:tcW w:w="1167" w:type="dxa"/>
            <w:noWrap w:val="0"/>
            <w:vAlign w:val="top"/>
          </w:tcPr>
          <w:p w14:paraId="6D8D1B0B">
            <w:pPr>
              <w:wordWrap w:val="0"/>
              <w:rPr>
                <w:rFonts w:ascii="宋体" w:hAnsi="宋体" w:cs="宋体"/>
                <w:color w:val="auto"/>
                <w:sz w:val="24"/>
              </w:rPr>
            </w:pPr>
          </w:p>
        </w:tc>
        <w:tc>
          <w:tcPr>
            <w:tcW w:w="1168" w:type="dxa"/>
            <w:noWrap w:val="0"/>
            <w:vAlign w:val="top"/>
          </w:tcPr>
          <w:p w14:paraId="2C5EFB93">
            <w:pPr>
              <w:wordWrap w:val="0"/>
              <w:rPr>
                <w:rFonts w:ascii="宋体" w:hAnsi="宋体" w:cs="宋体"/>
                <w:color w:val="auto"/>
                <w:sz w:val="24"/>
              </w:rPr>
            </w:pPr>
          </w:p>
        </w:tc>
        <w:tc>
          <w:tcPr>
            <w:tcW w:w="1036" w:type="dxa"/>
            <w:noWrap w:val="0"/>
            <w:vAlign w:val="top"/>
          </w:tcPr>
          <w:p w14:paraId="55EB3E88">
            <w:pPr>
              <w:wordWrap w:val="0"/>
              <w:rPr>
                <w:rFonts w:ascii="宋体" w:hAnsi="宋体" w:cs="宋体"/>
                <w:color w:val="auto"/>
                <w:sz w:val="24"/>
              </w:rPr>
            </w:pPr>
          </w:p>
        </w:tc>
      </w:tr>
      <w:tr w14:paraId="2AA4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noWrap w:val="0"/>
            <w:vAlign w:val="top"/>
          </w:tcPr>
          <w:p w14:paraId="007561F4">
            <w:pPr>
              <w:wordWrap w:val="0"/>
              <w:rPr>
                <w:rFonts w:ascii="宋体" w:hAnsi="宋体" w:cs="宋体"/>
                <w:color w:val="auto"/>
                <w:sz w:val="24"/>
              </w:rPr>
            </w:pPr>
          </w:p>
        </w:tc>
        <w:tc>
          <w:tcPr>
            <w:tcW w:w="1167" w:type="dxa"/>
            <w:noWrap w:val="0"/>
            <w:vAlign w:val="top"/>
          </w:tcPr>
          <w:p w14:paraId="138685F7">
            <w:pPr>
              <w:wordWrap w:val="0"/>
              <w:rPr>
                <w:rFonts w:ascii="宋体" w:hAnsi="宋体" w:cs="宋体"/>
                <w:color w:val="auto"/>
                <w:sz w:val="24"/>
              </w:rPr>
            </w:pPr>
          </w:p>
        </w:tc>
        <w:tc>
          <w:tcPr>
            <w:tcW w:w="1167" w:type="dxa"/>
            <w:noWrap w:val="0"/>
            <w:vAlign w:val="top"/>
          </w:tcPr>
          <w:p w14:paraId="7C0AC7E7">
            <w:pPr>
              <w:wordWrap w:val="0"/>
              <w:rPr>
                <w:rFonts w:ascii="宋体" w:hAnsi="宋体" w:cs="宋体"/>
                <w:color w:val="auto"/>
                <w:sz w:val="24"/>
              </w:rPr>
            </w:pPr>
          </w:p>
        </w:tc>
        <w:tc>
          <w:tcPr>
            <w:tcW w:w="1167" w:type="dxa"/>
            <w:noWrap w:val="0"/>
            <w:vAlign w:val="top"/>
          </w:tcPr>
          <w:p w14:paraId="11CDF064">
            <w:pPr>
              <w:wordWrap w:val="0"/>
              <w:rPr>
                <w:rFonts w:ascii="宋体" w:hAnsi="宋体" w:cs="宋体"/>
                <w:color w:val="auto"/>
                <w:sz w:val="24"/>
              </w:rPr>
            </w:pPr>
          </w:p>
        </w:tc>
        <w:tc>
          <w:tcPr>
            <w:tcW w:w="1167" w:type="dxa"/>
            <w:noWrap w:val="0"/>
            <w:vAlign w:val="top"/>
          </w:tcPr>
          <w:p w14:paraId="23775743">
            <w:pPr>
              <w:wordWrap w:val="0"/>
              <w:rPr>
                <w:rFonts w:ascii="宋体" w:hAnsi="宋体" w:cs="宋体"/>
                <w:color w:val="auto"/>
                <w:sz w:val="24"/>
              </w:rPr>
            </w:pPr>
          </w:p>
        </w:tc>
        <w:tc>
          <w:tcPr>
            <w:tcW w:w="1167" w:type="dxa"/>
            <w:noWrap w:val="0"/>
            <w:vAlign w:val="top"/>
          </w:tcPr>
          <w:p w14:paraId="47F31FAC">
            <w:pPr>
              <w:wordWrap w:val="0"/>
              <w:rPr>
                <w:rFonts w:ascii="宋体" w:hAnsi="宋体" w:cs="宋体"/>
                <w:color w:val="auto"/>
                <w:sz w:val="24"/>
              </w:rPr>
            </w:pPr>
          </w:p>
        </w:tc>
        <w:tc>
          <w:tcPr>
            <w:tcW w:w="1168" w:type="dxa"/>
            <w:noWrap w:val="0"/>
            <w:vAlign w:val="top"/>
          </w:tcPr>
          <w:p w14:paraId="5A840BF0">
            <w:pPr>
              <w:wordWrap w:val="0"/>
              <w:rPr>
                <w:rFonts w:ascii="宋体" w:hAnsi="宋体" w:cs="宋体"/>
                <w:color w:val="auto"/>
                <w:sz w:val="24"/>
              </w:rPr>
            </w:pPr>
          </w:p>
        </w:tc>
        <w:tc>
          <w:tcPr>
            <w:tcW w:w="1036" w:type="dxa"/>
            <w:noWrap w:val="0"/>
            <w:vAlign w:val="top"/>
          </w:tcPr>
          <w:p w14:paraId="41A5314E">
            <w:pPr>
              <w:wordWrap w:val="0"/>
              <w:rPr>
                <w:rFonts w:ascii="宋体" w:hAnsi="宋体" w:cs="宋体"/>
                <w:color w:val="auto"/>
                <w:sz w:val="24"/>
              </w:rPr>
            </w:pPr>
          </w:p>
        </w:tc>
      </w:tr>
      <w:tr w14:paraId="6E00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noWrap w:val="0"/>
            <w:vAlign w:val="top"/>
          </w:tcPr>
          <w:p w14:paraId="26A02CD0">
            <w:pPr>
              <w:wordWrap w:val="0"/>
              <w:rPr>
                <w:rFonts w:ascii="宋体" w:hAnsi="宋体" w:cs="宋体"/>
                <w:color w:val="auto"/>
                <w:sz w:val="24"/>
              </w:rPr>
            </w:pPr>
          </w:p>
        </w:tc>
        <w:tc>
          <w:tcPr>
            <w:tcW w:w="1167" w:type="dxa"/>
            <w:noWrap w:val="0"/>
            <w:vAlign w:val="top"/>
          </w:tcPr>
          <w:p w14:paraId="77C1079E">
            <w:pPr>
              <w:wordWrap w:val="0"/>
              <w:rPr>
                <w:rFonts w:ascii="宋体" w:hAnsi="宋体" w:cs="宋体"/>
                <w:color w:val="auto"/>
                <w:sz w:val="24"/>
              </w:rPr>
            </w:pPr>
          </w:p>
        </w:tc>
        <w:tc>
          <w:tcPr>
            <w:tcW w:w="1167" w:type="dxa"/>
            <w:noWrap w:val="0"/>
            <w:vAlign w:val="top"/>
          </w:tcPr>
          <w:p w14:paraId="40861260">
            <w:pPr>
              <w:wordWrap w:val="0"/>
              <w:rPr>
                <w:rFonts w:ascii="宋体" w:hAnsi="宋体" w:cs="宋体"/>
                <w:color w:val="auto"/>
                <w:sz w:val="24"/>
              </w:rPr>
            </w:pPr>
          </w:p>
        </w:tc>
        <w:tc>
          <w:tcPr>
            <w:tcW w:w="1167" w:type="dxa"/>
            <w:noWrap w:val="0"/>
            <w:vAlign w:val="top"/>
          </w:tcPr>
          <w:p w14:paraId="312A3EB0">
            <w:pPr>
              <w:wordWrap w:val="0"/>
              <w:rPr>
                <w:rFonts w:ascii="宋体" w:hAnsi="宋体" w:cs="宋体"/>
                <w:color w:val="auto"/>
                <w:sz w:val="24"/>
              </w:rPr>
            </w:pPr>
          </w:p>
        </w:tc>
        <w:tc>
          <w:tcPr>
            <w:tcW w:w="1167" w:type="dxa"/>
            <w:noWrap w:val="0"/>
            <w:vAlign w:val="top"/>
          </w:tcPr>
          <w:p w14:paraId="5FEB862C">
            <w:pPr>
              <w:wordWrap w:val="0"/>
              <w:rPr>
                <w:rFonts w:ascii="宋体" w:hAnsi="宋体" w:cs="宋体"/>
                <w:color w:val="auto"/>
                <w:sz w:val="24"/>
              </w:rPr>
            </w:pPr>
          </w:p>
        </w:tc>
        <w:tc>
          <w:tcPr>
            <w:tcW w:w="1167" w:type="dxa"/>
            <w:noWrap w:val="0"/>
            <w:vAlign w:val="top"/>
          </w:tcPr>
          <w:p w14:paraId="5B06539D">
            <w:pPr>
              <w:wordWrap w:val="0"/>
              <w:rPr>
                <w:rFonts w:ascii="宋体" w:hAnsi="宋体" w:cs="宋体"/>
                <w:color w:val="auto"/>
                <w:sz w:val="24"/>
              </w:rPr>
            </w:pPr>
          </w:p>
        </w:tc>
        <w:tc>
          <w:tcPr>
            <w:tcW w:w="1168" w:type="dxa"/>
            <w:noWrap w:val="0"/>
            <w:vAlign w:val="top"/>
          </w:tcPr>
          <w:p w14:paraId="4C32DE8E">
            <w:pPr>
              <w:wordWrap w:val="0"/>
              <w:rPr>
                <w:rFonts w:ascii="宋体" w:hAnsi="宋体" w:cs="宋体"/>
                <w:color w:val="auto"/>
                <w:sz w:val="24"/>
              </w:rPr>
            </w:pPr>
          </w:p>
        </w:tc>
        <w:tc>
          <w:tcPr>
            <w:tcW w:w="1036" w:type="dxa"/>
            <w:noWrap w:val="0"/>
            <w:vAlign w:val="top"/>
          </w:tcPr>
          <w:p w14:paraId="626BE754">
            <w:pPr>
              <w:wordWrap w:val="0"/>
              <w:rPr>
                <w:rFonts w:ascii="宋体" w:hAnsi="宋体" w:cs="宋体"/>
                <w:color w:val="auto"/>
                <w:sz w:val="24"/>
              </w:rPr>
            </w:pPr>
          </w:p>
        </w:tc>
      </w:tr>
      <w:tr w14:paraId="5655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noWrap w:val="0"/>
            <w:vAlign w:val="top"/>
          </w:tcPr>
          <w:p w14:paraId="0AA37849">
            <w:pPr>
              <w:wordWrap w:val="0"/>
              <w:rPr>
                <w:rFonts w:ascii="宋体" w:hAnsi="宋体" w:cs="宋体"/>
                <w:color w:val="auto"/>
                <w:szCs w:val="21"/>
              </w:rPr>
            </w:pPr>
          </w:p>
        </w:tc>
        <w:tc>
          <w:tcPr>
            <w:tcW w:w="1167" w:type="dxa"/>
            <w:noWrap w:val="0"/>
            <w:vAlign w:val="top"/>
          </w:tcPr>
          <w:p w14:paraId="7521486D">
            <w:pPr>
              <w:wordWrap w:val="0"/>
              <w:rPr>
                <w:rFonts w:ascii="宋体" w:hAnsi="宋体" w:cs="宋体"/>
                <w:color w:val="auto"/>
                <w:szCs w:val="21"/>
              </w:rPr>
            </w:pPr>
          </w:p>
        </w:tc>
        <w:tc>
          <w:tcPr>
            <w:tcW w:w="1167" w:type="dxa"/>
            <w:noWrap w:val="0"/>
            <w:vAlign w:val="top"/>
          </w:tcPr>
          <w:p w14:paraId="7A3ACA9E">
            <w:pPr>
              <w:wordWrap w:val="0"/>
              <w:rPr>
                <w:rFonts w:ascii="宋体" w:hAnsi="宋体" w:cs="宋体"/>
                <w:color w:val="auto"/>
                <w:szCs w:val="21"/>
              </w:rPr>
            </w:pPr>
          </w:p>
        </w:tc>
        <w:tc>
          <w:tcPr>
            <w:tcW w:w="1167" w:type="dxa"/>
            <w:noWrap w:val="0"/>
            <w:vAlign w:val="top"/>
          </w:tcPr>
          <w:p w14:paraId="31B9E876">
            <w:pPr>
              <w:wordWrap w:val="0"/>
              <w:rPr>
                <w:rFonts w:ascii="宋体" w:hAnsi="宋体" w:cs="宋体"/>
                <w:color w:val="auto"/>
                <w:szCs w:val="21"/>
              </w:rPr>
            </w:pPr>
          </w:p>
        </w:tc>
        <w:tc>
          <w:tcPr>
            <w:tcW w:w="1167" w:type="dxa"/>
            <w:noWrap w:val="0"/>
            <w:vAlign w:val="top"/>
          </w:tcPr>
          <w:p w14:paraId="204606E6">
            <w:pPr>
              <w:wordWrap w:val="0"/>
              <w:rPr>
                <w:rFonts w:ascii="宋体" w:hAnsi="宋体" w:cs="宋体"/>
                <w:color w:val="auto"/>
                <w:szCs w:val="21"/>
              </w:rPr>
            </w:pPr>
          </w:p>
        </w:tc>
        <w:tc>
          <w:tcPr>
            <w:tcW w:w="1167" w:type="dxa"/>
            <w:noWrap w:val="0"/>
            <w:vAlign w:val="top"/>
          </w:tcPr>
          <w:p w14:paraId="5A1B4EF5">
            <w:pPr>
              <w:wordWrap w:val="0"/>
              <w:rPr>
                <w:rFonts w:ascii="宋体" w:hAnsi="宋体" w:cs="宋体"/>
                <w:color w:val="auto"/>
                <w:szCs w:val="21"/>
              </w:rPr>
            </w:pPr>
          </w:p>
        </w:tc>
        <w:tc>
          <w:tcPr>
            <w:tcW w:w="1168" w:type="dxa"/>
            <w:noWrap w:val="0"/>
            <w:vAlign w:val="top"/>
          </w:tcPr>
          <w:p w14:paraId="0117AAE8">
            <w:pPr>
              <w:wordWrap w:val="0"/>
              <w:rPr>
                <w:rFonts w:ascii="宋体" w:hAnsi="宋体" w:cs="宋体"/>
                <w:color w:val="auto"/>
                <w:szCs w:val="21"/>
              </w:rPr>
            </w:pPr>
          </w:p>
        </w:tc>
        <w:tc>
          <w:tcPr>
            <w:tcW w:w="1036" w:type="dxa"/>
            <w:noWrap w:val="0"/>
            <w:vAlign w:val="top"/>
          </w:tcPr>
          <w:p w14:paraId="02A2F576">
            <w:pPr>
              <w:wordWrap w:val="0"/>
              <w:rPr>
                <w:rFonts w:ascii="宋体" w:hAnsi="宋体" w:cs="宋体"/>
                <w:color w:val="auto"/>
                <w:szCs w:val="21"/>
              </w:rPr>
            </w:pPr>
          </w:p>
        </w:tc>
      </w:tr>
      <w:tr w14:paraId="053A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noWrap w:val="0"/>
            <w:vAlign w:val="top"/>
          </w:tcPr>
          <w:p w14:paraId="56BC7E0C">
            <w:pPr>
              <w:wordWrap w:val="0"/>
              <w:rPr>
                <w:rFonts w:ascii="宋体" w:hAnsi="宋体" w:cs="宋体"/>
                <w:color w:val="auto"/>
                <w:szCs w:val="21"/>
              </w:rPr>
            </w:pPr>
          </w:p>
        </w:tc>
        <w:tc>
          <w:tcPr>
            <w:tcW w:w="1167" w:type="dxa"/>
            <w:noWrap w:val="0"/>
            <w:vAlign w:val="top"/>
          </w:tcPr>
          <w:p w14:paraId="31FB492C">
            <w:pPr>
              <w:wordWrap w:val="0"/>
              <w:rPr>
                <w:rFonts w:ascii="宋体" w:hAnsi="宋体" w:cs="宋体"/>
                <w:color w:val="auto"/>
                <w:szCs w:val="21"/>
              </w:rPr>
            </w:pPr>
          </w:p>
        </w:tc>
        <w:tc>
          <w:tcPr>
            <w:tcW w:w="1167" w:type="dxa"/>
            <w:noWrap w:val="0"/>
            <w:vAlign w:val="top"/>
          </w:tcPr>
          <w:p w14:paraId="01A8B9F2">
            <w:pPr>
              <w:wordWrap w:val="0"/>
              <w:rPr>
                <w:rFonts w:ascii="宋体" w:hAnsi="宋体" w:cs="宋体"/>
                <w:color w:val="auto"/>
                <w:szCs w:val="21"/>
              </w:rPr>
            </w:pPr>
          </w:p>
        </w:tc>
        <w:tc>
          <w:tcPr>
            <w:tcW w:w="1167" w:type="dxa"/>
            <w:noWrap w:val="0"/>
            <w:vAlign w:val="top"/>
          </w:tcPr>
          <w:p w14:paraId="0041CDA9">
            <w:pPr>
              <w:wordWrap w:val="0"/>
              <w:rPr>
                <w:rFonts w:ascii="宋体" w:hAnsi="宋体" w:cs="宋体"/>
                <w:color w:val="auto"/>
                <w:szCs w:val="21"/>
              </w:rPr>
            </w:pPr>
          </w:p>
        </w:tc>
        <w:tc>
          <w:tcPr>
            <w:tcW w:w="1167" w:type="dxa"/>
            <w:noWrap w:val="0"/>
            <w:vAlign w:val="top"/>
          </w:tcPr>
          <w:p w14:paraId="6260EDCC">
            <w:pPr>
              <w:wordWrap w:val="0"/>
              <w:rPr>
                <w:rFonts w:ascii="宋体" w:hAnsi="宋体" w:cs="宋体"/>
                <w:color w:val="auto"/>
                <w:szCs w:val="21"/>
              </w:rPr>
            </w:pPr>
          </w:p>
        </w:tc>
        <w:tc>
          <w:tcPr>
            <w:tcW w:w="1167" w:type="dxa"/>
            <w:noWrap w:val="0"/>
            <w:vAlign w:val="top"/>
          </w:tcPr>
          <w:p w14:paraId="606065D5">
            <w:pPr>
              <w:wordWrap w:val="0"/>
              <w:rPr>
                <w:rFonts w:ascii="宋体" w:hAnsi="宋体" w:cs="宋体"/>
                <w:color w:val="auto"/>
                <w:szCs w:val="21"/>
              </w:rPr>
            </w:pPr>
          </w:p>
        </w:tc>
        <w:tc>
          <w:tcPr>
            <w:tcW w:w="1168" w:type="dxa"/>
            <w:noWrap w:val="0"/>
            <w:vAlign w:val="top"/>
          </w:tcPr>
          <w:p w14:paraId="3DE2F967">
            <w:pPr>
              <w:wordWrap w:val="0"/>
              <w:rPr>
                <w:rFonts w:ascii="宋体" w:hAnsi="宋体" w:cs="宋体"/>
                <w:color w:val="auto"/>
                <w:szCs w:val="21"/>
              </w:rPr>
            </w:pPr>
          </w:p>
        </w:tc>
        <w:tc>
          <w:tcPr>
            <w:tcW w:w="1036" w:type="dxa"/>
            <w:noWrap w:val="0"/>
            <w:vAlign w:val="top"/>
          </w:tcPr>
          <w:p w14:paraId="618EA37B">
            <w:pPr>
              <w:wordWrap w:val="0"/>
              <w:rPr>
                <w:rFonts w:ascii="宋体" w:hAnsi="宋体" w:cs="宋体"/>
                <w:color w:val="auto"/>
                <w:szCs w:val="21"/>
              </w:rPr>
            </w:pPr>
          </w:p>
        </w:tc>
      </w:tr>
      <w:tr w14:paraId="007E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7" w:type="dxa"/>
            <w:noWrap w:val="0"/>
            <w:vAlign w:val="top"/>
          </w:tcPr>
          <w:p w14:paraId="5725F8CD">
            <w:pPr>
              <w:wordWrap w:val="0"/>
              <w:rPr>
                <w:rFonts w:ascii="宋体" w:hAnsi="宋体" w:cs="宋体"/>
                <w:color w:val="auto"/>
                <w:szCs w:val="21"/>
              </w:rPr>
            </w:pPr>
          </w:p>
        </w:tc>
        <w:tc>
          <w:tcPr>
            <w:tcW w:w="1167" w:type="dxa"/>
            <w:noWrap w:val="0"/>
            <w:vAlign w:val="top"/>
          </w:tcPr>
          <w:p w14:paraId="7EB55512">
            <w:pPr>
              <w:wordWrap w:val="0"/>
              <w:rPr>
                <w:rFonts w:ascii="宋体" w:hAnsi="宋体" w:cs="宋体"/>
                <w:color w:val="auto"/>
                <w:szCs w:val="21"/>
              </w:rPr>
            </w:pPr>
          </w:p>
        </w:tc>
        <w:tc>
          <w:tcPr>
            <w:tcW w:w="1167" w:type="dxa"/>
            <w:noWrap w:val="0"/>
            <w:vAlign w:val="top"/>
          </w:tcPr>
          <w:p w14:paraId="0388997B">
            <w:pPr>
              <w:wordWrap w:val="0"/>
              <w:rPr>
                <w:rFonts w:ascii="宋体" w:hAnsi="宋体" w:cs="宋体"/>
                <w:color w:val="auto"/>
                <w:szCs w:val="21"/>
              </w:rPr>
            </w:pPr>
          </w:p>
        </w:tc>
        <w:tc>
          <w:tcPr>
            <w:tcW w:w="1167" w:type="dxa"/>
            <w:noWrap w:val="0"/>
            <w:vAlign w:val="top"/>
          </w:tcPr>
          <w:p w14:paraId="1BA1C532">
            <w:pPr>
              <w:wordWrap w:val="0"/>
              <w:rPr>
                <w:rFonts w:ascii="宋体" w:hAnsi="宋体" w:cs="宋体"/>
                <w:color w:val="auto"/>
                <w:szCs w:val="21"/>
              </w:rPr>
            </w:pPr>
          </w:p>
        </w:tc>
        <w:tc>
          <w:tcPr>
            <w:tcW w:w="1167" w:type="dxa"/>
            <w:noWrap w:val="0"/>
            <w:vAlign w:val="top"/>
          </w:tcPr>
          <w:p w14:paraId="0A9CB919">
            <w:pPr>
              <w:wordWrap w:val="0"/>
              <w:rPr>
                <w:rFonts w:ascii="宋体" w:hAnsi="宋体" w:cs="宋体"/>
                <w:color w:val="auto"/>
                <w:szCs w:val="21"/>
              </w:rPr>
            </w:pPr>
          </w:p>
        </w:tc>
        <w:tc>
          <w:tcPr>
            <w:tcW w:w="1167" w:type="dxa"/>
            <w:noWrap w:val="0"/>
            <w:vAlign w:val="top"/>
          </w:tcPr>
          <w:p w14:paraId="0E7B1843">
            <w:pPr>
              <w:wordWrap w:val="0"/>
              <w:rPr>
                <w:rFonts w:ascii="宋体" w:hAnsi="宋体" w:cs="宋体"/>
                <w:color w:val="auto"/>
                <w:szCs w:val="21"/>
              </w:rPr>
            </w:pPr>
          </w:p>
        </w:tc>
        <w:tc>
          <w:tcPr>
            <w:tcW w:w="1168" w:type="dxa"/>
            <w:noWrap w:val="0"/>
            <w:vAlign w:val="top"/>
          </w:tcPr>
          <w:p w14:paraId="2F6EC361">
            <w:pPr>
              <w:wordWrap w:val="0"/>
              <w:rPr>
                <w:rFonts w:ascii="宋体" w:hAnsi="宋体" w:cs="宋体"/>
                <w:color w:val="auto"/>
                <w:szCs w:val="21"/>
              </w:rPr>
            </w:pPr>
          </w:p>
        </w:tc>
        <w:tc>
          <w:tcPr>
            <w:tcW w:w="1036" w:type="dxa"/>
            <w:noWrap w:val="0"/>
            <w:vAlign w:val="top"/>
          </w:tcPr>
          <w:p w14:paraId="760F71C5">
            <w:pPr>
              <w:wordWrap w:val="0"/>
              <w:rPr>
                <w:rFonts w:ascii="宋体" w:hAnsi="宋体" w:cs="宋体"/>
                <w:color w:val="auto"/>
                <w:szCs w:val="21"/>
              </w:rPr>
            </w:pPr>
          </w:p>
        </w:tc>
      </w:tr>
      <w:tr w14:paraId="12DB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noWrap w:val="0"/>
            <w:vAlign w:val="top"/>
          </w:tcPr>
          <w:p w14:paraId="6944BA34">
            <w:pPr>
              <w:wordWrap w:val="0"/>
              <w:rPr>
                <w:rFonts w:ascii="宋体" w:hAnsi="宋体" w:cs="宋体"/>
                <w:color w:val="auto"/>
                <w:szCs w:val="21"/>
              </w:rPr>
            </w:pPr>
          </w:p>
        </w:tc>
        <w:tc>
          <w:tcPr>
            <w:tcW w:w="1167" w:type="dxa"/>
            <w:noWrap w:val="0"/>
            <w:vAlign w:val="top"/>
          </w:tcPr>
          <w:p w14:paraId="4106AE6A">
            <w:pPr>
              <w:wordWrap w:val="0"/>
              <w:rPr>
                <w:rFonts w:ascii="宋体" w:hAnsi="宋体" w:cs="宋体"/>
                <w:color w:val="auto"/>
                <w:szCs w:val="21"/>
              </w:rPr>
            </w:pPr>
          </w:p>
        </w:tc>
        <w:tc>
          <w:tcPr>
            <w:tcW w:w="1167" w:type="dxa"/>
            <w:noWrap w:val="0"/>
            <w:vAlign w:val="top"/>
          </w:tcPr>
          <w:p w14:paraId="05088F7D">
            <w:pPr>
              <w:wordWrap w:val="0"/>
              <w:rPr>
                <w:rFonts w:ascii="宋体" w:hAnsi="宋体" w:cs="宋体"/>
                <w:color w:val="auto"/>
                <w:szCs w:val="21"/>
              </w:rPr>
            </w:pPr>
          </w:p>
        </w:tc>
        <w:tc>
          <w:tcPr>
            <w:tcW w:w="1167" w:type="dxa"/>
            <w:noWrap w:val="0"/>
            <w:vAlign w:val="top"/>
          </w:tcPr>
          <w:p w14:paraId="77CFCC64">
            <w:pPr>
              <w:wordWrap w:val="0"/>
              <w:rPr>
                <w:rFonts w:ascii="宋体" w:hAnsi="宋体" w:cs="宋体"/>
                <w:color w:val="auto"/>
                <w:szCs w:val="21"/>
              </w:rPr>
            </w:pPr>
          </w:p>
        </w:tc>
        <w:tc>
          <w:tcPr>
            <w:tcW w:w="1167" w:type="dxa"/>
            <w:noWrap w:val="0"/>
            <w:vAlign w:val="top"/>
          </w:tcPr>
          <w:p w14:paraId="32D64E9B">
            <w:pPr>
              <w:wordWrap w:val="0"/>
              <w:rPr>
                <w:rFonts w:ascii="宋体" w:hAnsi="宋体" w:cs="宋体"/>
                <w:color w:val="auto"/>
                <w:szCs w:val="21"/>
              </w:rPr>
            </w:pPr>
          </w:p>
        </w:tc>
        <w:tc>
          <w:tcPr>
            <w:tcW w:w="1167" w:type="dxa"/>
            <w:noWrap w:val="0"/>
            <w:vAlign w:val="top"/>
          </w:tcPr>
          <w:p w14:paraId="7D678134">
            <w:pPr>
              <w:wordWrap w:val="0"/>
              <w:rPr>
                <w:rFonts w:ascii="宋体" w:hAnsi="宋体" w:cs="宋体"/>
                <w:color w:val="auto"/>
                <w:szCs w:val="21"/>
              </w:rPr>
            </w:pPr>
          </w:p>
        </w:tc>
        <w:tc>
          <w:tcPr>
            <w:tcW w:w="1168" w:type="dxa"/>
            <w:noWrap w:val="0"/>
            <w:vAlign w:val="top"/>
          </w:tcPr>
          <w:p w14:paraId="3AB69038">
            <w:pPr>
              <w:wordWrap w:val="0"/>
              <w:rPr>
                <w:rFonts w:ascii="宋体" w:hAnsi="宋体" w:cs="宋体"/>
                <w:color w:val="auto"/>
                <w:szCs w:val="21"/>
              </w:rPr>
            </w:pPr>
          </w:p>
        </w:tc>
        <w:tc>
          <w:tcPr>
            <w:tcW w:w="1036" w:type="dxa"/>
            <w:noWrap w:val="0"/>
            <w:vAlign w:val="top"/>
          </w:tcPr>
          <w:p w14:paraId="4CE3A49D">
            <w:pPr>
              <w:wordWrap w:val="0"/>
              <w:rPr>
                <w:rFonts w:ascii="宋体" w:hAnsi="宋体" w:cs="宋体"/>
                <w:color w:val="auto"/>
                <w:szCs w:val="21"/>
              </w:rPr>
            </w:pPr>
          </w:p>
        </w:tc>
      </w:tr>
      <w:tr w14:paraId="684F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noWrap w:val="0"/>
            <w:vAlign w:val="top"/>
          </w:tcPr>
          <w:p w14:paraId="26CA0931">
            <w:pPr>
              <w:wordWrap w:val="0"/>
              <w:rPr>
                <w:rFonts w:ascii="宋体" w:hAnsi="宋体" w:cs="宋体"/>
                <w:color w:val="auto"/>
                <w:szCs w:val="21"/>
              </w:rPr>
            </w:pPr>
          </w:p>
        </w:tc>
        <w:tc>
          <w:tcPr>
            <w:tcW w:w="1167" w:type="dxa"/>
            <w:noWrap w:val="0"/>
            <w:vAlign w:val="top"/>
          </w:tcPr>
          <w:p w14:paraId="323811E1">
            <w:pPr>
              <w:wordWrap w:val="0"/>
              <w:rPr>
                <w:rFonts w:ascii="宋体" w:hAnsi="宋体" w:cs="宋体"/>
                <w:color w:val="auto"/>
                <w:szCs w:val="21"/>
              </w:rPr>
            </w:pPr>
          </w:p>
        </w:tc>
        <w:tc>
          <w:tcPr>
            <w:tcW w:w="1167" w:type="dxa"/>
            <w:noWrap w:val="0"/>
            <w:vAlign w:val="top"/>
          </w:tcPr>
          <w:p w14:paraId="37037709">
            <w:pPr>
              <w:wordWrap w:val="0"/>
              <w:rPr>
                <w:rFonts w:ascii="宋体" w:hAnsi="宋体" w:cs="宋体"/>
                <w:color w:val="auto"/>
                <w:szCs w:val="21"/>
              </w:rPr>
            </w:pPr>
          </w:p>
        </w:tc>
        <w:tc>
          <w:tcPr>
            <w:tcW w:w="1167" w:type="dxa"/>
            <w:noWrap w:val="0"/>
            <w:vAlign w:val="top"/>
          </w:tcPr>
          <w:p w14:paraId="2CFAFA1C">
            <w:pPr>
              <w:wordWrap w:val="0"/>
              <w:rPr>
                <w:rFonts w:ascii="宋体" w:hAnsi="宋体" w:cs="宋体"/>
                <w:color w:val="auto"/>
                <w:szCs w:val="21"/>
              </w:rPr>
            </w:pPr>
          </w:p>
        </w:tc>
        <w:tc>
          <w:tcPr>
            <w:tcW w:w="1167" w:type="dxa"/>
            <w:noWrap w:val="0"/>
            <w:vAlign w:val="top"/>
          </w:tcPr>
          <w:p w14:paraId="590374A9">
            <w:pPr>
              <w:wordWrap w:val="0"/>
              <w:rPr>
                <w:rFonts w:ascii="宋体" w:hAnsi="宋体" w:cs="宋体"/>
                <w:color w:val="auto"/>
                <w:szCs w:val="21"/>
              </w:rPr>
            </w:pPr>
          </w:p>
        </w:tc>
        <w:tc>
          <w:tcPr>
            <w:tcW w:w="1167" w:type="dxa"/>
            <w:noWrap w:val="0"/>
            <w:vAlign w:val="top"/>
          </w:tcPr>
          <w:p w14:paraId="7E0A07A4">
            <w:pPr>
              <w:wordWrap w:val="0"/>
              <w:rPr>
                <w:rFonts w:ascii="宋体" w:hAnsi="宋体" w:cs="宋体"/>
                <w:color w:val="auto"/>
                <w:szCs w:val="21"/>
              </w:rPr>
            </w:pPr>
          </w:p>
        </w:tc>
        <w:tc>
          <w:tcPr>
            <w:tcW w:w="1168" w:type="dxa"/>
            <w:noWrap w:val="0"/>
            <w:vAlign w:val="top"/>
          </w:tcPr>
          <w:p w14:paraId="00B33264">
            <w:pPr>
              <w:wordWrap w:val="0"/>
              <w:rPr>
                <w:rFonts w:ascii="宋体" w:hAnsi="宋体" w:cs="宋体"/>
                <w:color w:val="auto"/>
                <w:szCs w:val="21"/>
              </w:rPr>
            </w:pPr>
          </w:p>
        </w:tc>
        <w:tc>
          <w:tcPr>
            <w:tcW w:w="1036" w:type="dxa"/>
            <w:noWrap w:val="0"/>
            <w:vAlign w:val="top"/>
          </w:tcPr>
          <w:p w14:paraId="5F14A3CB">
            <w:pPr>
              <w:wordWrap w:val="0"/>
              <w:rPr>
                <w:rFonts w:ascii="宋体" w:hAnsi="宋体" w:cs="宋体"/>
                <w:color w:val="auto"/>
                <w:szCs w:val="21"/>
              </w:rPr>
            </w:pPr>
          </w:p>
        </w:tc>
      </w:tr>
      <w:tr w14:paraId="47AD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noWrap w:val="0"/>
            <w:vAlign w:val="top"/>
          </w:tcPr>
          <w:p w14:paraId="56C93BE7">
            <w:pPr>
              <w:wordWrap w:val="0"/>
              <w:rPr>
                <w:rFonts w:ascii="宋体" w:hAnsi="宋体" w:cs="宋体"/>
                <w:color w:val="auto"/>
                <w:szCs w:val="21"/>
              </w:rPr>
            </w:pPr>
          </w:p>
        </w:tc>
        <w:tc>
          <w:tcPr>
            <w:tcW w:w="1167" w:type="dxa"/>
            <w:noWrap w:val="0"/>
            <w:vAlign w:val="top"/>
          </w:tcPr>
          <w:p w14:paraId="1D0FD8D1">
            <w:pPr>
              <w:wordWrap w:val="0"/>
              <w:rPr>
                <w:rFonts w:ascii="宋体" w:hAnsi="宋体" w:cs="宋体"/>
                <w:color w:val="auto"/>
                <w:szCs w:val="21"/>
              </w:rPr>
            </w:pPr>
          </w:p>
        </w:tc>
        <w:tc>
          <w:tcPr>
            <w:tcW w:w="1167" w:type="dxa"/>
            <w:noWrap w:val="0"/>
            <w:vAlign w:val="top"/>
          </w:tcPr>
          <w:p w14:paraId="448CCB81">
            <w:pPr>
              <w:wordWrap w:val="0"/>
              <w:rPr>
                <w:rFonts w:ascii="宋体" w:hAnsi="宋体" w:cs="宋体"/>
                <w:color w:val="auto"/>
                <w:szCs w:val="21"/>
              </w:rPr>
            </w:pPr>
          </w:p>
        </w:tc>
        <w:tc>
          <w:tcPr>
            <w:tcW w:w="1167" w:type="dxa"/>
            <w:noWrap w:val="0"/>
            <w:vAlign w:val="top"/>
          </w:tcPr>
          <w:p w14:paraId="777D04BD">
            <w:pPr>
              <w:wordWrap w:val="0"/>
              <w:rPr>
                <w:rFonts w:ascii="宋体" w:hAnsi="宋体" w:cs="宋体"/>
                <w:color w:val="auto"/>
                <w:szCs w:val="21"/>
              </w:rPr>
            </w:pPr>
          </w:p>
        </w:tc>
        <w:tc>
          <w:tcPr>
            <w:tcW w:w="1167" w:type="dxa"/>
            <w:noWrap w:val="0"/>
            <w:vAlign w:val="top"/>
          </w:tcPr>
          <w:p w14:paraId="506A5535">
            <w:pPr>
              <w:wordWrap w:val="0"/>
              <w:rPr>
                <w:rFonts w:ascii="宋体" w:hAnsi="宋体" w:cs="宋体"/>
                <w:color w:val="auto"/>
                <w:szCs w:val="21"/>
              </w:rPr>
            </w:pPr>
          </w:p>
        </w:tc>
        <w:tc>
          <w:tcPr>
            <w:tcW w:w="1167" w:type="dxa"/>
            <w:noWrap w:val="0"/>
            <w:vAlign w:val="top"/>
          </w:tcPr>
          <w:p w14:paraId="3323B3E9">
            <w:pPr>
              <w:wordWrap w:val="0"/>
              <w:rPr>
                <w:rFonts w:ascii="宋体" w:hAnsi="宋体" w:cs="宋体"/>
                <w:color w:val="auto"/>
                <w:szCs w:val="21"/>
              </w:rPr>
            </w:pPr>
          </w:p>
        </w:tc>
        <w:tc>
          <w:tcPr>
            <w:tcW w:w="1168" w:type="dxa"/>
            <w:noWrap w:val="0"/>
            <w:vAlign w:val="top"/>
          </w:tcPr>
          <w:p w14:paraId="6FD69E8F">
            <w:pPr>
              <w:wordWrap w:val="0"/>
              <w:rPr>
                <w:rFonts w:ascii="宋体" w:hAnsi="宋体" w:cs="宋体"/>
                <w:color w:val="auto"/>
                <w:szCs w:val="21"/>
              </w:rPr>
            </w:pPr>
          </w:p>
        </w:tc>
        <w:tc>
          <w:tcPr>
            <w:tcW w:w="1036" w:type="dxa"/>
            <w:noWrap w:val="0"/>
            <w:vAlign w:val="top"/>
          </w:tcPr>
          <w:p w14:paraId="6A55CA60">
            <w:pPr>
              <w:wordWrap w:val="0"/>
              <w:rPr>
                <w:rFonts w:ascii="宋体" w:hAnsi="宋体" w:cs="宋体"/>
                <w:color w:val="auto"/>
                <w:szCs w:val="21"/>
              </w:rPr>
            </w:pPr>
          </w:p>
        </w:tc>
      </w:tr>
      <w:tr w14:paraId="0744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noWrap w:val="0"/>
            <w:vAlign w:val="top"/>
          </w:tcPr>
          <w:p w14:paraId="6EF24781">
            <w:pPr>
              <w:wordWrap w:val="0"/>
              <w:rPr>
                <w:rFonts w:ascii="宋体" w:hAnsi="宋体" w:cs="宋体"/>
                <w:color w:val="auto"/>
                <w:szCs w:val="21"/>
              </w:rPr>
            </w:pPr>
          </w:p>
        </w:tc>
        <w:tc>
          <w:tcPr>
            <w:tcW w:w="1167" w:type="dxa"/>
            <w:noWrap w:val="0"/>
            <w:vAlign w:val="top"/>
          </w:tcPr>
          <w:p w14:paraId="063071E9">
            <w:pPr>
              <w:wordWrap w:val="0"/>
              <w:rPr>
                <w:rFonts w:ascii="宋体" w:hAnsi="宋体" w:cs="宋体"/>
                <w:color w:val="auto"/>
                <w:szCs w:val="21"/>
              </w:rPr>
            </w:pPr>
          </w:p>
        </w:tc>
        <w:tc>
          <w:tcPr>
            <w:tcW w:w="1167" w:type="dxa"/>
            <w:noWrap w:val="0"/>
            <w:vAlign w:val="top"/>
          </w:tcPr>
          <w:p w14:paraId="205FA084">
            <w:pPr>
              <w:wordWrap w:val="0"/>
              <w:rPr>
                <w:rFonts w:ascii="宋体" w:hAnsi="宋体" w:cs="宋体"/>
                <w:color w:val="auto"/>
                <w:szCs w:val="21"/>
              </w:rPr>
            </w:pPr>
          </w:p>
        </w:tc>
        <w:tc>
          <w:tcPr>
            <w:tcW w:w="1167" w:type="dxa"/>
            <w:noWrap w:val="0"/>
            <w:vAlign w:val="top"/>
          </w:tcPr>
          <w:p w14:paraId="72253DAE">
            <w:pPr>
              <w:wordWrap w:val="0"/>
              <w:rPr>
                <w:rFonts w:ascii="宋体" w:hAnsi="宋体" w:cs="宋体"/>
                <w:color w:val="auto"/>
                <w:szCs w:val="21"/>
              </w:rPr>
            </w:pPr>
          </w:p>
        </w:tc>
        <w:tc>
          <w:tcPr>
            <w:tcW w:w="1167" w:type="dxa"/>
            <w:noWrap w:val="0"/>
            <w:vAlign w:val="top"/>
          </w:tcPr>
          <w:p w14:paraId="005AE0D6">
            <w:pPr>
              <w:wordWrap w:val="0"/>
              <w:rPr>
                <w:rFonts w:ascii="宋体" w:hAnsi="宋体" w:cs="宋体"/>
                <w:color w:val="auto"/>
                <w:szCs w:val="21"/>
              </w:rPr>
            </w:pPr>
          </w:p>
        </w:tc>
        <w:tc>
          <w:tcPr>
            <w:tcW w:w="1167" w:type="dxa"/>
            <w:noWrap w:val="0"/>
            <w:vAlign w:val="top"/>
          </w:tcPr>
          <w:p w14:paraId="550905A7">
            <w:pPr>
              <w:wordWrap w:val="0"/>
              <w:rPr>
                <w:rFonts w:ascii="宋体" w:hAnsi="宋体" w:cs="宋体"/>
                <w:color w:val="auto"/>
                <w:szCs w:val="21"/>
              </w:rPr>
            </w:pPr>
          </w:p>
        </w:tc>
        <w:tc>
          <w:tcPr>
            <w:tcW w:w="1168" w:type="dxa"/>
            <w:noWrap w:val="0"/>
            <w:vAlign w:val="top"/>
          </w:tcPr>
          <w:p w14:paraId="0B13DF67">
            <w:pPr>
              <w:wordWrap w:val="0"/>
              <w:rPr>
                <w:rFonts w:ascii="宋体" w:hAnsi="宋体" w:cs="宋体"/>
                <w:color w:val="auto"/>
                <w:szCs w:val="21"/>
              </w:rPr>
            </w:pPr>
          </w:p>
        </w:tc>
        <w:tc>
          <w:tcPr>
            <w:tcW w:w="1036" w:type="dxa"/>
            <w:noWrap w:val="0"/>
            <w:vAlign w:val="top"/>
          </w:tcPr>
          <w:p w14:paraId="194C14F8">
            <w:pPr>
              <w:wordWrap w:val="0"/>
              <w:rPr>
                <w:rFonts w:ascii="宋体" w:hAnsi="宋体" w:cs="宋体"/>
                <w:color w:val="auto"/>
                <w:szCs w:val="21"/>
              </w:rPr>
            </w:pPr>
          </w:p>
        </w:tc>
      </w:tr>
      <w:tr w14:paraId="4E76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noWrap w:val="0"/>
            <w:vAlign w:val="top"/>
          </w:tcPr>
          <w:p w14:paraId="68D892DB">
            <w:pPr>
              <w:wordWrap w:val="0"/>
              <w:rPr>
                <w:rFonts w:ascii="宋体" w:hAnsi="宋体" w:cs="宋体"/>
                <w:color w:val="auto"/>
                <w:szCs w:val="21"/>
              </w:rPr>
            </w:pPr>
          </w:p>
        </w:tc>
        <w:tc>
          <w:tcPr>
            <w:tcW w:w="1167" w:type="dxa"/>
            <w:noWrap w:val="0"/>
            <w:vAlign w:val="top"/>
          </w:tcPr>
          <w:p w14:paraId="028AC827">
            <w:pPr>
              <w:wordWrap w:val="0"/>
              <w:rPr>
                <w:rFonts w:ascii="宋体" w:hAnsi="宋体" w:cs="宋体"/>
                <w:color w:val="auto"/>
                <w:szCs w:val="21"/>
              </w:rPr>
            </w:pPr>
          </w:p>
        </w:tc>
        <w:tc>
          <w:tcPr>
            <w:tcW w:w="1167" w:type="dxa"/>
            <w:noWrap w:val="0"/>
            <w:vAlign w:val="top"/>
          </w:tcPr>
          <w:p w14:paraId="4CE3758A">
            <w:pPr>
              <w:wordWrap w:val="0"/>
              <w:rPr>
                <w:rFonts w:ascii="宋体" w:hAnsi="宋体" w:cs="宋体"/>
                <w:color w:val="auto"/>
                <w:szCs w:val="21"/>
              </w:rPr>
            </w:pPr>
          </w:p>
        </w:tc>
        <w:tc>
          <w:tcPr>
            <w:tcW w:w="1167" w:type="dxa"/>
            <w:noWrap w:val="0"/>
            <w:vAlign w:val="top"/>
          </w:tcPr>
          <w:p w14:paraId="67327E99">
            <w:pPr>
              <w:wordWrap w:val="0"/>
              <w:rPr>
                <w:rFonts w:ascii="宋体" w:hAnsi="宋体" w:cs="宋体"/>
                <w:color w:val="auto"/>
                <w:szCs w:val="21"/>
              </w:rPr>
            </w:pPr>
          </w:p>
        </w:tc>
        <w:tc>
          <w:tcPr>
            <w:tcW w:w="1167" w:type="dxa"/>
            <w:noWrap w:val="0"/>
            <w:vAlign w:val="top"/>
          </w:tcPr>
          <w:p w14:paraId="7BFEBE10">
            <w:pPr>
              <w:wordWrap w:val="0"/>
              <w:rPr>
                <w:rFonts w:ascii="宋体" w:hAnsi="宋体" w:cs="宋体"/>
                <w:color w:val="auto"/>
                <w:szCs w:val="21"/>
              </w:rPr>
            </w:pPr>
          </w:p>
        </w:tc>
        <w:tc>
          <w:tcPr>
            <w:tcW w:w="1167" w:type="dxa"/>
            <w:noWrap w:val="0"/>
            <w:vAlign w:val="top"/>
          </w:tcPr>
          <w:p w14:paraId="42EF71A7">
            <w:pPr>
              <w:wordWrap w:val="0"/>
              <w:rPr>
                <w:rFonts w:ascii="宋体" w:hAnsi="宋体" w:cs="宋体"/>
                <w:color w:val="auto"/>
                <w:szCs w:val="21"/>
              </w:rPr>
            </w:pPr>
          </w:p>
        </w:tc>
        <w:tc>
          <w:tcPr>
            <w:tcW w:w="1168" w:type="dxa"/>
            <w:noWrap w:val="0"/>
            <w:vAlign w:val="top"/>
          </w:tcPr>
          <w:p w14:paraId="1D2D27CC">
            <w:pPr>
              <w:wordWrap w:val="0"/>
              <w:rPr>
                <w:rFonts w:ascii="宋体" w:hAnsi="宋体" w:cs="宋体"/>
                <w:color w:val="auto"/>
                <w:szCs w:val="21"/>
              </w:rPr>
            </w:pPr>
          </w:p>
        </w:tc>
        <w:tc>
          <w:tcPr>
            <w:tcW w:w="1036" w:type="dxa"/>
            <w:noWrap w:val="0"/>
            <w:vAlign w:val="top"/>
          </w:tcPr>
          <w:p w14:paraId="03C78475">
            <w:pPr>
              <w:wordWrap w:val="0"/>
              <w:rPr>
                <w:rFonts w:ascii="宋体" w:hAnsi="宋体" w:cs="宋体"/>
                <w:color w:val="auto"/>
                <w:szCs w:val="21"/>
              </w:rPr>
            </w:pPr>
          </w:p>
        </w:tc>
      </w:tr>
      <w:tr w14:paraId="4D0E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noWrap w:val="0"/>
            <w:vAlign w:val="top"/>
          </w:tcPr>
          <w:p w14:paraId="1C62F096">
            <w:pPr>
              <w:wordWrap w:val="0"/>
              <w:rPr>
                <w:rFonts w:ascii="宋体" w:hAnsi="宋体" w:cs="宋体"/>
                <w:color w:val="auto"/>
                <w:szCs w:val="21"/>
              </w:rPr>
            </w:pPr>
          </w:p>
        </w:tc>
        <w:tc>
          <w:tcPr>
            <w:tcW w:w="1167" w:type="dxa"/>
            <w:noWrap w:val="0"/>
            <w:vAlign w:val="top"/>
          </w:tcPr>
          <w:p w14:paraId="350085D5">
            <w:pPr>
              <w:wordWrap w:val="0"/>
              <w:rPr>
                <w:rFonts w:ascii="宋体" w:hAnsi="宋体" w:cs="宋体"/>
                <w:color w:val="auto"/>
                <w:szCs w:val="21"/>
              </w:rPr>
            </w:pPr>
          </w:p>
        </w:tc>
        <w:tc>
          <w:tcPr>
            <w:tcW w:w="1167" w:type="dxa"/>
            <w:noWrap w:val="0"/>
            <w:vAlign w:val="top"/>
          </w:tcPr>
          <w:p w14:paraId="77CA17E9">
            <w:pPr>
              <w:wordWrap w:val="0"/>
              <w:rPr>
                <w:rFonts w:ascii="宋体" w:hAnsi="宋体" w:cs="宋体"/>
                <w:color w:val="auto"/>
                <w:szCs w:val="21"/>
              </w:rPr>
            </w:pPr>
          </w:p>
        </w:tc>
        <w:tc>
          <w:tcPr>
            <w:tcW w:w="1167" w:type="dxa"/>
            <w:noWrap w:val="0"/>
            <w:vAlign w:val="top"/>
          </w:tcPr>
          <w:p w14:paraId="1BB54F6C">
            <w:pPr>
              <w:wordWrap w:val="0"/>
              <w:rPr>
                <w:rFonts w:ascii="宋体" w:hAnsi="宋体" w:cs="宋体"/>
                <w:color w:val="auto"/>
                <w:szCs w:val="21"/>
              </w:rPr>
            </w:pPr>
          </w:p>
        </w:tc>
        <w:tc>
          <w:tcPr>
            <w:tcW w:w="1167" w:type="dxa"/>
            <w:noWrap w:val="0"/>
            <w:vAlign w:val="top"/>
          </w:tcPr>
          <w:p w14:paraId="130F7B4B">
            <w:pPr>
              <w:wordWrap w:val="0"/>
              <w:rPr>
                <w:rFonts w:ascii="宋体" w:hAnsi="宋体" w:cs="宋体"/>
                <w:color w:val="auto"/>
                <w:szCs w:val="21"/>
              </w:rPr>
            </w:pPr>
          </w:p>
        </w:tc>
        <w:tc>
          <w:tcPr>
            <w:tcW w:w="1167" w:type="dxa"/>
            <w:noWrap w:val="0"/>
            <w:vAlign w:val="top"/>
          </w:tcPr>
          <w:p w14:paraId="4ED95164">
            <w:pPr>
              <w:wordWrap w:val="0"/>
              <w:rPr>
                <w:rFonts w:ascii="宋体" w:hAnsi="宋体" w:cs="宋体"/>
                <w:color w:val="auto"/>
                <w:szCs w:val="21"/>
              </w:rPr>
            </w:pPr>
          </w:p>
        </w:tc>
        <w:tc>
          <w:tcPr>
            <w:tcW w:w="1168" w:type="dxa"/>
            <w:noWrap w:val="0"/>
            <w:vAlign w:val="top"/>
          </w:tcPr>
          <w:p w14:paraId="2B274DD1">
            <w:pPr>
              <w:wordWrap w:val="0"/>
              <w:rPr>
                <w:rFonts w:ascii="宋体" w:hAnsi="宋体" w:cs="宋体"/>
                <w:color w:val="auto"/>
                <w:szCs w:val="21"/>
              </w:rPr>
            </w:pPr>
          </w:p>
        </w:tc>
        <w:tc>
          <w:tcPr>
            <w:tcW w:w="1036" w:type="dxa"/>
            <w:noWrap w:val="0"/>
            <w:vAlign w:val="top"/>
          </w:tcPr>
          <w:p w14:paraId="54F5A043">
            <w:pPr>
              <w:wordWrap w:val="0"/>
              <w:rPr>
                <w:rFonts w:ascii="宋体" w:hAnsi="宋体" w:cs="宋体"/>
                <w:color w:val="auto"/>
                <w:szCs w:val="21"/>
              </w:rPr>
            </w:pPr>
          </w:p>
        </w:tc>
      </w:tr>
      <w:tr w14:paraId="63D1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noWrap w:val="0"/>
            <w:vAlign w:val="top"/>
          </w:tcPr>
          <w:p w14:paraId="3F50EC1E">
            <w:pPr>
              <w:wordWrap w:val="0"/>
              <w:rPr>
                <w:rFonts w:ascii="宋体" w:hAnsi="宋体" w:cs="宋体"/>
                <w:color w:val="auto"/>
                <w:szCs w:val="21"/>
              </w:rPr>
            </w:pPr>
          </w:p>
        </w:tc>
        <w:tc>
          <w:tcPr>
            <w:tcW w:w="1167" w:type="dxa"/>
            <w:noWrap w:val="0"/>
            <w:vAlign w:val="top"/>
          </w:tcPr>
          <w:p w14:paraId="5DEF7FEB">
            <w:pPr>
              <w:wordWrap w:val="0"/>
              <w:rPr>
                <w:rFonts w:ascii="宋体" w:hAnsi="宋体" w:cs="宋体"/>
                <w:color w:val="auto"/>
                <w:szCs w:val="21"/>
              </w:rPr>
            </w:pPr>
          </w:p>
        </w:tc>
        <w:tc>
          <w:tcPr>
            <w:tcW w:w="1167" w:type="dxa"/>
            <w:noWrap w:val="0"/>
            <w:vAlign w:val="top"/>
          </w:tcPr>
          <w:p w14:paraId="29AE08E8">
            <w:pPr>
              <w:wordWrap w:val="0"/>
              <w:rPr>
                <w:rFonts w:ascii="宋体" w:hAnsi="宋体" w:cs="宋体"/>
                <w:color w:val="auto"/>
                <w:szCs w:val="21"/>
              </w:rPr>
            </w:pPr>
          </w:p>
        </w:tc>
        <w:tc>
          <w:tcPr>
            <w:tcW w:w="1167" w:type="dxa"/>
            <w:noWrap w:val="0"/>
            <w:vAlign w:val="top"/>
          </w:tcPr>
          <w:p w14:paraId="71084083">
            <w:pPr>
              <w:wordWrap w:val="0"/>
              <w:rPr>
                <w:rFonts w:ascii="宋体" w:hAnsi="宋体" w:cs="宋体"/>
                <w:color w:val="auto"/>
                <w:szCs w:val="21"/>
              </w:rPr>
            </w:pPr>
          </w:p>
        </w:tc>
        <w:tc>
          <w:tcPr>
            <w:tcW w:w="1167" w:type="dxa"/>
            <w:noWrap w:val="0"/>
            <w:vAlign w:val="top"/>
          </w:tcPr>
          <w:p w14:paraId="0A1DDC6F">
            <w:pPr>
              <w:wordWrap w:val="0"/>
              <w:rPr>
                <w:rFonts w:ascii="宋体" w:hAnsi="宋体" w:cs="宋体"/>
                <w:color w:val="auto"/>
                <w:szCs w:val="21"/>
              </w:rPr>
            </w:pPr>
          </w:p>
        </w:tc>
        <w:tc>
          <w:tcPr>
            <w:tcW w:w="1167" w:type="dxa"/>
            <w:noWrap w:val="0"/>
            <w:vAlign w:val="top"/>
          </w:tcPr>
          <w:p w14:paraId="32FE239B">
            <w:pPr>
              <w:wordWrap w:val="0"/>
              <w:rPr>
                <w:rFonts w:ascii="宋体" w:hAnsi="宋体" w:cs="宋体"/>
                <w:color w:val="auto"/>
                <w:szCs w:val="21"/>
              </w:rPr>
            </w:pPr>
          </w:p>
        </w:tc>
        <w:tc>
          <w:tcPr>
            <w:tcW w:w="1168" w:type="dxa"/>
            <w:noWrap w:val="0"/>
            <w:vAlign w:val="top"/>
          </w:tcPr>
          <w:p w14:paraId="2CC4C220">
            <w:pPr>
              <w:wordWrap w:val="0"/>
              <w:rPr>
                <w:rFonts w:ascii="宋体" w:hAnsi="宋体" w:cs="宋体"/>
                <w:color w:val="auto"/>
                <w:szCs w:val="21"/>
              </w:rPr>
            </w:pPr>
          </w:p>
        </w:tc>
        <w:tc>
          <w:tcPr>
            <w:tcW w:w="1036" w:type="dxa"/>
            <w:noWrap w:val="0"/>
            <w:vAlign w:val="top"/>
          </w:tcPr>
          <w:p w14:paraId="05AFF541">
            <w:pPr>
              <w:wordWrap w:val="0"/>
              <w:rPr>
                <w:rFonts w:ascii="宋体" w:hAnsi="宋体" w:cs="宋体"/>
                <w:color w:val="auto"/>
                <w:szCs w:val="21"/>
              </w:rPr>
            </w:pPr>
          </w:p>
        </w:tc>
      </w:tr>
      <w:tr w14:paraId="1DFE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noWrap w:val="0"/>
            <w:vAlign w:val="top"/>
          </w:tcPr>
          <w:p w14:paraId="058833A4">
            <w:pPr>
              <w:wordWrap w:val="0"/>
              <w:rPr>
                <w:rFonts w:ascii="宋体" w:hAnsi="宋体" w:cs="宋体"/>
                <w:color w:val="auto"/>
                <w:szCs w:val="21"/>
              </w:rPr>
            </w:pPr>
          </w:p>
        </w:tc>
        <w:tc>
          <w:tcPr>
            <w:tcW w:w="1167" w:type="dxa"/>
            <w:noWrap w:val="0"/>
            <w:vAlign w:val="top"/>
          </w:tcPr>
          <w:p w14:paraId="2E685680">
            <w:pPr>
              <w:wordWrap w:val="0"/>
              <w:rPr>
                <w:rFonts w:ascii="宋体" w:hAnsi="宋体" w:cs="宋体"/>
                <w:color w:val="auto"/>
                <w:szCs w:val="21"/>
              </w:rPr>
            </w:pPr>
          </w:p>
        </w:tc>
        <w:tc>
          <w:tcPr>
            <w:tcW w:w="1167" w:type="dxa"/>
            <w:noWrap w:val="0"/>
            <w:vAlign w:val="top"/>
          </w:tcPr>
          <w:p w14:paraId="07C7E79F">
            <w:pPr>
              <w:wordWrap w:val="0"/>
              <w:rPr>
                <w:rFonts w:ascii="宋体" w:hAnsi="宋体" w:cs="宋体"/>
                <w:color w:val="auto"/>
                <w:szCs w:val="21"/>
              </w:rPr>
            </w:pPr>
          </w:p>
        </w:tc>
        <w:tc>
          <w:tcPr>
            <w:tcW w:w="1167" w:type="dxa"/>
            <w:noWrap w:val="0"/>
            <w:vAlign w:val="top"/>
          </w:tcPr>
          <w:p w14:paraId="4CF6DD63">
            <w:pPr>
              <w:wordWrap w:val="0"/>
              <w:rPr>
                <w:rFonts w:ascii="宋体" w:hAnsi="宋体" w:cs="宋体"/>
                <w:color w:val="auto"/>
                <w:szCs w:val="21"/>
              </w:rPr>
            </w:pPr>
          </w:p>
        </w:tc>
        <w:tc>
          <w:tcPr>
            <w:tcW w:w="1167" w:type="dxa"/>
            <w:noWrap w:val="0"/>
            <w:vAlign w:val="top"/>
          </w:tcPr>
          <w:p w14:paraId="7E858F7B">
            <w:pPr>
              <w:wordWrap w:val="0"/>
              <w:rPr>
                <w:rFonts w:ascii="宋体" w:hAnsi="宋体" w:cs="宋体"/>
                <w:color w:val="auto"/>
                <w:szCs w:val="21"/>
              </w:rPr>
            </w:pPr>
          </w:p>
        </w:tc>
        <w:tc>
          <w:tcPr>
            <w:tcW w:w="1167" w:type="dxa"/>
            <w:noWrap w:val="0"/>
            <w:vAlign w:val="top"/>
          </w:tcPr>
          <w:p w14:paraId="5C677024">
            <w:pPr>
              <w:wordWrap w:val="0"/>
              <w:rPr>
                <w:rFonts w:ascii="宋体" w:hAnsi="宋体" w:cs="宋体"/>
                <w:color w:val="auto"/>
                <w:szCs w:val="21"/>
              </w:rPr>
            </w:pPr>
          </w:p>
        </w:tc>
        <w:tc>
          <w:tcPr>
            <w:tcW w:w="1168" w:type="dxa"/>
            <w:noWrap w:val="0"/>
            <w:vAlign w:val="top"/>
          </w:tcPr>
          <w:p w14:paraId="29B5DFF3">
            <w:pPr>
              <w:wordWrap w:val="0"/>
              <w:rPr>
                <w:rFonts w:ascii="宋体" w:hAnsi="宋体" w:cs="宋体"/>
                <w:color w:val="auto"/>
                <w:szCs w:val="21"/>
              </w:rPr>
            </w:pPr>
          </w:p>
        </w:tc>
        <w:tc>
          <w:tcPr>
            <w:tcW w:w="1036" w:type="dxa"/>
            <w:noWrap w:val="0"/>
            <w:vAlign w:val="top"/>
          </w:tcPr>
          <w:p w14:paraId="16F7E345">
            <w:pPr>
              <w:wordWrap w:val="0"/>
              <w:rPr>
                <w:rFonts w:ascii="宋体" w:hAnsi="宋体" w:cs="宋体"/>
                <w:color w:val="auto"/>
                <w:szCs w:val="21"/>
              </w:rPr>
            </w:pPr>
          </w:p>
        </w:tc>
      </w:tr>
      <w:tr w14:paraId="42AD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67" w:type="dxa"/>
            <w:noWrap w:val="0"/>
            <w:vAlign w:val="top"/>
          </w:tcPr>
          <w:p w14:paraId="1A21ACC6">
            <w:pPr>
              <w:wordWrap w:val="0"/>
              <w:rPr>
                <w:rFonts w:ascii="宋体" w:hAnsi="宋体" w:cs="宋体"/>
                <w:color w:val="auto"/>
                <w:szCs w:val="21"/>
              </w:rPr>
            </w:pPr>
          </w:p>
        </w:tc>
        <w:tc>
          <w:tcPr>
            <w:tcW w:w="1167" w:type="dxa"/>
            <w:noWrap w:val="0"/>
            <w:vAlign w:val="top"/>
          </w:tcPr>
          <w:p w14:paraId="417CCC8F">
            <w:pPr>
              <w:wordWrap w:val="0"/>
              <w:rPr>
                <w:rFonts w:ascii="宋体" w:hAnsi="宋体" w:cs="宋体"/>
                <w:color w:val="auto"/>
                <w:szCs w:val="21"/>
              </w:rPr>
            </w:pPr>
          </w:p>
        </w:tc>
        <w:tc>
          <w:tcPr>
            <w:tcW w:w="1167" w:type="dxa"/>
            <w:noWrap w:val="0"/>
            <w:vAlign w:val="top"/>
          </w:tcPr>
          <w:p w14:paraId="2DABFF1E">
            <w:pPr>
              <w:wordWrap w:val="0"/>
              <w:rPr>
                <w:rFonts w:ascii="宋体" w:hAnsi="宋体" w:cs="宋体"/>
                <w:color w:val="auto"/>
                <w:szCs w:val="21"/>
              </w:rPr>
            </w:pPr>
          </w:p>
        </w:tc>
        <w:tc>
          <w:tcPr>
            <w:tcW w:w="1167" w:type="dxa"/>
            <w:noWrap w:val="0"/>
            <w:vAlign w:val="top"/>
          </w:tcPr>
          <w:p w14:paraId="396354AE">
            <w:pPr>
              <w:wordWrap w:val="0"/>
              <w:rPr>
                <w:rFonts w:ascii="宋体" w:hAnsi="宋体" w:cs="宋体"/>
                <w:color w:val="auto"/>
                <w:szCs w:val="21"/>
              </w:rPr>
            </w:pPr>
          </w:p>
        </w:tc>
        <w:tc>
          <w:tcPr>
            <w:tcW w:w="1167" w:type="dxa"/>
            <w:noWrap w:val="0"/>
            <w:vAlign w:val="top"/>
          </w:tcPr>
          <w:p w14:paraId="068DE52F">
            <w:pPr>
              <w:wordWrap w:val="0"/>
              <w:rPr>
                <w:rFonts w:ascii="宋体" w:hAnsi="宋体" w:cs="宋体"/>
                <w:color w:val="auto"/>
                <w:szCs w:val="21"/>
              </w:rPr>
            </w:pPr>
          </w:p>
        </w:tc>
        <w:tc>
          <w:tcPr>
            <w:tcW w:w="1167" w:type="dxa"/>
            <w:noWrap w:val="0"/>
            <w:vAlign w:val="top"/>
          </w:tcPr>
          <w:p w14:paraId="61546311">
            <w:pPr>
              <w:wordWrap w:val="0"/>
              <w:rPr>
                <w:rFonts w:ascii="宋体" w:hAnsi="宋体" w:cs="宋体"/>
                <w:color w:val="auto"/>
                <w:szCs w:val="21"/>
              </w:rPr>
            </w:pPr>
          </w:p>
        </w:tc>
        <w:tc>
          <w:tcPr>
            <w:tcW w:w="1168" w:type="dxa"/>
            <w:noWrap w:val="0"/>
            <w:vAlign w:val="top"/>
          </w:tcPr>
          <w:p w14:paraId="1944015C">
            <w:pPr>
              <w:wordWrap w:val="0"/>
              <w:rPr>
                <w:rFonts w:ascii="宋体" w:hAnsi="宋体" w:cs="宋体"/>
                <w:color w:val="auto"/>
                <w:szCs w:val="21"/>
              </w:rPr>
            </w:pPr>
          </w:p>
        </w:tc>
        <w:tc>
          <w:tcPr>
            <w:tcW w:w="1036" w:type="dxa"/>
            <w:noWrap w:val="0"/>
            <w:vAlign w:val="top"/>
          </w:tcPr>
          <w:p w14:paraId="228966BB">
            <w:pPr>
              <w:wordWrap w:val="0"/>
              <w:rPr>
                <w:rFonts w:ascii="宋体" w:hAnsi="宋体" w:cs="宋体"/>
                <w:color w:val="auto"/>
                <w:szCs w:val="21"/>
              </w:rPr>
            </w:pPr>
          </w:p>
        </w:tc>
      </w:tr>
    </w:tbl>
    <w:p w14:paraId="1B5DF9F8">
      <w:pPr>
        <w:wordWrap w:val="0"/>
        <w:rPr>
          <w:rFonts w:ascii="宋体" w:hAnsi="宋体" w:cs="宋体"/>
          <w:color w:val="auto"/>
          <w:szCs w:val="21"/>
        </w:rPr>
      </w:pPr>
    </w:p>
    <w:p w14:paraId="592011FE">
      <w:pPr>
        <w:wordWrap w:val="0"/>
        <w:spacing w:line="360" w:lineRule="auto"/>
        <w:rPr>
          <w:color w:val="auto"/>
        </w:rPr>
      </w:pPr>
      <w:r>
        <w:rPr>
          <w:rFonts w:hint="eastAsia" w:ascii="宋体" w:hAnsi="宋体"/>
          <w:color w:val="auto"/>
          <w:szCs w:val="21"/>
        </w:rPr>
        <w:br w:type="page"/>
      </w:r>
      <w:bookmarkStart w:id="718" w:name="_Toc2606"/>
      <w:bookmarkStart w:id="719" w:name="_Toc8334"/>
      <w:bookmarkStart w:id="720" w:name="_Toc489602199"/>
      <w:r>
        <w:rPr>
          <w:rFonts w:hint="eastAsia" w:ascii="宋体" w:hAnsi="宋体"/>
          <w:b/>
          <w:color w:val="auto"/>
          <w:sz w:val="24"/>
        </w:rPr>
        <w:t>附表四：计划开、竣工日期和施工进度网络图</w:t>
      </w:r>
      <w:bookmarkEnd w:id="718"/>
      <w:bookmarkEnd w:id="719"/>
      <w:bookmarkEnd w:id="720"/>
    </w:p>
    <w:p w14:paraId="630AEC66">
      <w:pPr>
        <w:wordWrap w:val="0"/>
        <w:spacing w:line="360" w:lineRule="auto"/>
        <w:ind w:firstLine="480" w:firstLineChars="200"/>
        <w:rPr>
          <w:rFonts w:ascii="宋体" w:hAnsi="宋体" w:cs="宋体"/>
          <w:color w:val="auto"/>
          <w:sz w:val="24"/>
        </w:rPr>
      </w:pPr>
      <w:r>
        <w:rPr>
          <w:rFonts w:hint="eastAsia" w:ascii="宋体" w:hAnsi="宋体" w:cs="宋体"/>
          <w:color w:val="auto"/>
          <w:sz w:val="24"/>
        </w:rPr>
        <w:t>1.投标人应递交施工进度网络图或施工进度表，说明按招标文件要求的计划工期进行施工的各个关键日期。</w:t>
      </w:r>
    </w:p>
    <w:p w14:paraId="555F2812">
      <w:pPr>
        <w:wordWrap w:val="0"/>
        <w:spacing w:line="360" w:lineRule="auto"/>
        <w:ind w:firstLine="480" w:firstLineChars="200"/>
        <w:rPr>
          <w:rFonts w:ascii="宋体" w:hAnsi="宋体" w:cs="宋体"/>
          <w:color w:val="auto"/>
          <w:sz w:val="24"/>
        </w:rPr>
      </w:pPr>
      <w:r>
        <w:rPr>
          <w:rFonts w:hint="eastAsia" w:ascii="宋体" w:hAnsi="宋体" w:cs="宋体"/>
          <w:color w:val="auto"/>
          <w:sz w:val="24"/>
        </w:rPr>
        <w:t>2.施工进度表可采用网络图（或横道图）表示。</w:t>
      </w:r>
    </w:p>
    <w:p w14:paraId="756F538C">
      <w:pPr>
        <w:wordWrap w:val="0"/>
        <w:rPr>
          <w:rFonts w:ascii="宋体" w:hAnsi="宋体" w:cs="宋体"/>
          <w:color w:val="auto"/>
          <w:szCs w:val="21"/>
        </w:rPr>
      </w:pPr>
    </w:p>
    <w:p w14:paraId="522BCC2F">
      <w:pPr>
        <w:wordWrap w:val="0"/>
        <w:rPr>
          <w:rFonts w:ascii="宋体" w:hAnsi="宋体" w:cs="宋体"/>
          <w:color w:val="auto"/>
          <w:szCs w:val="21"/>
        </w:rPr>
      </w:pPr>
    </w:p>
    <w:p w14:paraId="15BB6E85">
      <w:pPr>
        <w:wordWrap w:val="0"/>
        <w:rPr>
          <w:rFonts w:hint="eastAsia" w:ascii="宋体" w:hAnsi="宋体"/>
          <w:b/>
          <w:color w:val="auto"/>
          <w:sz w:val="24"/>
        </w:rPr>
      </w:pPr>
      <w:bookmarkStart w:id="721" w:name="_Toc21429"/>
      <w:bookmarkStart w:id="722" w:name="_Toc12496"/>
      <w:bookmarkStart w:id="723" w:name="_Toc489602200"/>
      <w:r>
        <w:rPr>
          <w:rFonts w:hint="eastAsia" w:ascii="宋体" w:hAnsi="宋体"/>
          <w:b/>
          <w:color w:val="auto"/>
          <w:sz w:val="24"/>
        </w:rPr>
        <w:br w:type="page"/>
      </w:r>
    </w:p>
    <w:p w14:paraId="6D875114">
      <w:pPr>
        <w:wordWrap w:val="0"/>
        <w:spacing w:line="360" w:lineRule="auto"/>
        <w:rPr>
          <w:rFonts w:ascii="宋体" w:hAnsi="宋体"/>
          <w:b/>
          <w:color w:val="auto"/>
          <w:sz w:val="24"/>
        </w:rPr>
      </w:pPr>
      <w:r>
        <w:rPr>
          <w:rFonts w:hint="eastAsia" w:ascii="宋体" w:hAnsi="宋体"/>
          <w:b/>
          <w:color w:val="auto"/>
          <w:sz w:val="24"/>
        </w:rPr>
        <w:t>附表五：施工总平面图</w:t>
      </w:r>
      <w:bookmarkEnd w:id="721"/>
      <w:bookmarkEnd w:id="722"/>
      <w:bookmarkEnd w:id="723"/>
    </w:p>
    <w:p w14:paraId="60B881C0">
      <w:pPr>
        <w:widowControl/>
        <w:wordWrap w:val="0"/>
        <w:spacing w:line="360" w:lineRule="auto"/>
        <w:ind w:firstLine="480" w:firstLineChars="200"/>
        <w:jc w:val="left"/>
        <w:rPr>
          <w:rFonts w:ascii="宋体" w:hAnsi="宋体" w:cs="宋体"/>
          <w:b/>
          <w:color w:val="auto"/>
          <w:sz w:val="24"/>
        </w:rPr>
      </w:pPr>
      <w:r>
        <w:rPr>
          <w:rFonts w:hint="eastAsia" w:ascii="宋体" w:hAnsi="宋体" w:cs="宋体"/>
          <w:color w:val="auto"/>
          <w:sz w:val="24"/>
        </w:rPr>
        <w:t>投标人应递交一份施工总平面图，绘出现场临时设施布置图表并附文字说明，说明临时设施、加工车间、现场办公、设备及仓储、供电、供水、卫生、生活、道路、消防等设施的情况和布置。</w:t>
      </w:r>
      <w:r>
        <w:rPr>
          <w:rFonts w:ascii="宋体" w:hAnsi="宋体" w:cs="宋体"/>
          <w:color w:val="auto"/>
          <w:szCs w:val="21"/>
        </w:rPr>
        <w:t xml:space="preserve"> </w:t>
      </w:r>
      <w:bookmarkStart w:id="724" w:name="_Toc489602201"/>
      <w:bookmarkStart w:id="725" w:name="_Toc27142"/>
      <w:bookmarkStart w:id="726" w:name="_Toc32743"/>
      <w:bookmarkStart w:id="727" w:name="_Toc18922"/>
      <w:bookmarkStart w:id="728" w:name="_Toc117"/>
      <w:bookmarkStart w:id="729" w:name="_Toc463691053"/>
      <w:bookmarkStart w:id="730" w:name="_Toc15639"/>
    </w:p>
    <w:p w14:paraId="4AA63CA5">
      <w:pPr>
        <w:wordWrap w:val="0"/>
        <w:spacing w:line="360" w:lineRule="auto"/>
        <w:jc w:val="center"/>
        <w:outlineLvl w:val="1"/>
        <w:rPr>
          <w:rFonts w:hint="eastAsia" w:ascii="宋体" w:hAnsi="宋体" w:cs="宋体"/>
          <w:b/>
          <w:color w:val="auto"/>
          <w:sz w:val="24"/>
        </w:rPr>
      </w:pPr>
      <w:bookmarkStart w:id="731" w:name="_Toc83750155"/>
      <w:bookmarkStart w:id="732" w:name="_Toc76460609"/>
      <w:r>
        <w:rPr>
          <w:rFonts w:ascii="宋体" w:hAnsi="宋体" w:cs="宋体"/>
          <w:b/>
          <w:color w:val="auto"/>
          <w:sz w:val="24"/>
        </w:rPr>
        <w:br w:type="page"/>
      </w:r>
      <w:bookmarkStart w:id="733" w:name="_Toc180485663"/>
      <w:r>
        <w:rPr>
          <w:rFonts w:hint="eastAsia" w:ascii="宋体" w:hAnsi="宋体" w:cs="宋体"/>
          <w:b/>
          <w:color w:val="auto"/>
          <w:sz w:val="24"/>
        </w:rPr>
        <w:t>五、项目管理机构</w:t>
      </w:r>
      <w:bookmarkEnd w:id="724"/>
      <w:bookmarkEnd w:id="725"/>
      <w:bookmarkEnd w:id="726"/>
      <w:bookmarkEnd w:id="727"/>
      <w:bookmarkEnd w:id="728"/>
      <w:bookmarkEnd w:id="729"/>
      <w:bookmarkEnd w:id="730"/>
      <w:bookmarkEnd w:id="731"/>
      <w:bookmarkEnd w:id="732"/>
      <w:bookmarkEnd w:id="733"/>
    </w:p>
    <w:p w14:paraId="7E0C4A17">
      <w:pPr>
        <w:wordWrap w:val="0"/>
        <w:rPr>
          <w:rFonts w:hint="eastAsia"/>
          <w:color w:val="auto"/>
        </w:rPr>
      </w:pPr>
    </w:p>
    <w:tbl>
      <w:tblPr>
        <w:tblStyle w:val="15"/>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6"/>
      </w:tblGrid>
      <w:tr w14:paraId="69A5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7" w:hRule="atLeast"/>
          <w:jc w:val="center"/>
        </w:trPr>
        <w:tc>
          <w:tcPr>
            <w:tcW w:w="8586" w:type="dxa"/>
            <w:noWrap w:val="0"/>
            <w:vAlign w:val="top"/>
          </w:tcPr>
          <w:p w14:paraId="7B22763C">
            <w:pPr>
              <w:widowControl/>
              <w:wordWrap w:val="0"/>
              <w:jc w:val="left"/>
              <w:rPr>
                <w:rFonts w:ascii="宋体" w:hAnsi="宋体" w:cs="宋体"/>
                <w:color w:val="auto"/>
                <w:kern w:val="0"/>
                <w:sz w:val="24"/>
              </w:rPr>
            </w:pPr>
          </w:p>
          <w:p w14:paraId="7CDA6E69">
            <w:pPr>
              <w:widowControl/>
              <w:wordWrap w:val="0"/>
              <w:jc w:val="left"/>
              <w:rPr>
                <w:rFonts w:ascii="宋体" w:hAnsi="宋体" w:cs="宋体"/>
                <w:b/>
                <w:color w:val="auto"/>
                <w:sz w:val="28"/>
                <w:szCs w:val="28"/>
              </w:rPr>
            </w:pPr>
            <w:r>
              <w:rPr>
                <w:rFonts w:hint="eastAsia" w:ascii="宋体" w:hAnsi="宋体" w:cs="宋体"/>
                <w:color w:val="auto"/>
                <w:kern w:val="0"/>
                <w:sz w:val="24"/>
              </w:rPr>
              <w:t>拟为承包本工程设立的组织机构以框图方式表示。</w:t>
            </w:r>
          </w:p>
        </w:tc>
      </w:tr>
      <w:tr w14:paraId="2952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8586" w:type="dxa"/>
            <w:noWrap w:val="0"/>
            <w:vAlign w:val="top"/>
          </w:tcPr>
          <w:p w14:paraId="2FACF3CF">
            <w:pPr>
              <w:wordWrap w:val="0"/>
              <w:rPr>
                <w:b/>
                <w:color w:val="auto"/>
                <w:sz w:val="24"/>
              </w:rPr>
            </w:pPr>
            <w:r>
              <w:rPr>
                <w:rFonts w:hint="eastAsia"/>
                <w:color w:val="auto"/>
                <w:sz w:val="24"/>
              </w:rPr>
              <w:t>说明</w:t>
            </w:r>
          </w:p>
        </w:tc>
      </w:tr>
    </w:tbl>
    <w:p w14:paraId="0AF9ACD8">
      <w:pPr>
        <w:wordWrap w:val="0"/>
        <w:autoSpaceDE w:val="0"/>
        <w:autoSpaceDN w:val="0"/>
        <w:spacing w:line="480" w:lineRule="auto"/>
        <w:ind w:firstLine="2520" w:firstLineChars="1050"/>
        <w:rPr>
          <w:rFonts w:hint="eastAsia" w:ascii="宋体" w:hAnsi="宋体" w:cs="宋体"/>
          <w:color w:val="auto"/>
          <w:sz w:val="24"/>
          <w:lang w:val="zh-CN" w:bidi="zh-CN"/>
        </w:rPr>
      </w:pPr>
    </w:p>
    <w:p w14:paraId="64549B78">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投标人：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（单位电子签章）</w:t>
      </w:r>
    </w:p>
    <w:p w14:paraId="4DAB332B">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法定代表人：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（法人电子签章）</w:t>
      </w:r>
    </w:p>
    <w:p w14:paraId="2B802D0F">
      <w:pPr>
        <w:tabs>
          <w:tab w:val="left" w:pos="6170"/>
        </w:tabs>
        <w:wordWrap w:val="0"/>
        <w:autoSpaceDE w:val="0"/>
        <w:autoSpaceDN w:val="0"/>
        <w:spacing w:line="480" w:lineRule="auto"/>
        <w:ind w:firstLine="2520" w:firstLineChars="1050"/>
        <w:rPr>
          <w:rFonts w:ascii="宋体" w:hAnsi="宋体" w:cs="宋体"/>
          <w:b/>
          <w:color w:val="auto"/>
          <w:sz w:val="24"/>
        </w:rPr>
      </w:pPr>
      <w:r>
        <w:rPr>
          <w:rFonts w:hint="eastAsia" w:ascii="宋体" w:hAnsi="宋体" w:cs="宋体"/>
          <w:color w:val="auto"/>
          <w:sz w:val="24"/>
          <w:lang w:val="zh-CN" w:bidi="zh-CN"/>
        </w:rPr>
        <w:t>日期：</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年</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月</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日</w:t>
      </w:r>
      <w:r>
        <w:rPr>
          <w:rFonts w:hint="eastAsia" w:ascii="宋体" w:hAnsi="宋体"/>
          <w:color w:val="auto"/>
          <w:sz w:val="24"/>
        </w:rPr>
        <w:t xml:space="preserve">  </w:t>
      </w:r>
      <w:bookmarkStart w:id="734" w:name="_Toc31619"/>
      <w:bookmarkStart w:id="735" w:name="_Toc3379"/>
      <w:bookmarkStart w:id="736" w:name="_Toc17205"/>
      <w:bookmarkStart w:id="737" w:name="_Toc76460610"/>
      <w:bookmarkStart w:id="738" w:name="_Toc31671"/>
      <w:bookmarkStart w:id="739" w:name="_Toc25627"/>
      <w:bookmarkStart w:id="740" w:name="_Toc489602204"/>
      <w:bookmarkStart w:id="741" w:name="_Toc463691056"/>
    </w:p>
    <w:p w14:paraId="6A5368FC">
      <w:pPr>
        <w:wordWrap w:val="0"/>
        <w:spacing w:line="360" w:lineRule="auto"/>
        <w:jc w:val="center"/>
        <w:outlineLvl w:val="1"/>
        <w:rPr>
          <w:rFonts w:ascii="宋体" w:hAnsi="宋体" w:cs="宋体"/>
          <w:b/>
          <w:color w:val="auto"/>
          <w:sz w:val="24"/>
        </w:rPr>
      </w:pPr>
      <w:bookmarkStart w:id="742" w:name="_Toc83750156"/>
      <w:r>
        <w:rPr>
          <w:rFonts w:ascii="宋体" w:hAnsi="宋体" w:cs="宋体"/>
          <w:b/>
          <w:color w:val="auto"/>
          <w:sz w:val="24"/>
        </w:rPr>
        <w:br w:type="page"/>
      </w:r>
      <w:bookmarkStart w:id="743" w:name="_Toc180485664"/>
      <w:r>
        <w:rPr>
          <w:rFonts w:hint="eastAsia" w:ascii="宋体" w:hAnsi="宋体" w:cs="宋体"/>
          <w:b/>
          <w:color w:val="auto"/>
          <w:sz w:val="24"/>
        </w:rPr>
        <w:t>六、资格审查等资料</w:t>
      </w:r>
      <w:bookmarkEnd w:id="734"/>
      <w:bookmarkEnd w:id="735"/>
      <w:bookmarkEnd w:id="736"/>
      <w:bookmarkEnd w:id="737"/>
      <w:bookmarkEnd w:id="738"/>
      <w:bookmarkEnd w:id="739"/>
      <w:bookmarkEnd w:id="740"/>
      <w:bookmarkEnd w:id="741"/>
      <w:bookmarkEnd w:id="742"/>
      <w:bookmarkEnd w:id="743"/>
    </w:p>
    <w:p w14:paraId="300F4BD4">
      <w:pPr>
        <w:wordWrap w:val="0"/>
        <w:spacing w:line="360" w:lineRule="auto"/>
        <w:rPr>
          <w:b/>
          <w:color w:val="auto"/>
          <w:sz w:val="24"/>
        </w:rPr>
      </w:pPr>
      <w:bookmarkStart w:id="744" w:name="_Toc6691"/>
      <w:bookmarkStart w:id="745" w:name="_Toc489602205"/>
      <w:bookmarkStart w:id="746" w:name="_Toc21649"/>
      <w:bookmarkStart w:id="747" w:name="_Toc463691057"/>
      <w:bookmarkStart w:id="748" w:name="_Toc3147"/>
      <w:bookmarkStart w:id="749" w:name="_Toc5999"/>
      <w:bookmarkStart w:id="750" w:name="_Toc1155"/>
      <w:r>
        <w:rPr>
          <w:rFonts w:hint="eastAsia"/>
          <w:b/>
          <w:color w:val="auto"/>
          <w:sz w:val="24"/>
        </w:rPr>
        <w:t>（一）投标人基本情况表</w:t>
      </w:r>
      <w:bookmarkEnd w:id="744"/>
      <w:bookmarkEnd w:id="745"/>
      <w:bookmarkEnd w:id="746"/>
      <w:bookmarkEnd w:id="747"/>
      <w:bookmarkEnd w:id="748"/>
      <w:bookmarkEnd w:id="749"/>
      <w:bookmarkEnd w:id="750"/>
    </w:p>
    <w:tbl>
      <w:tblPr>
        <w:tblStyle w:val="15"/>
        <w:tblW w:w="9441"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1219"/>
        <w:gridCol w:w="1350"/>
        <w:gridCol w:w="1303"/>
        <w:gridCol w:w="686"/>
        <w:gridCol w:w="618"/>
        <w:gridCol w:w="1305"/>
        <w:gridCol w:w="1029"/>
      </w:tblGrid>
      <w:tr w14:paraId="4C41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31" w:type="dxa"/>
            <w:noWrap w:val="0"/>
            <w:vAlign w:val="center"/>
          </w:tcPr>
          <w:p w14:paraId="04797F44">
            <w:pPr>
              <w:wordWrap w:val="0"/>
              <w:jc w:val="center"/>
              <w:rPr>
                <w:rFonts w:ascii="宋体" w:hAnsi="宋体" w:cs="宋体"/>
                <w:color w:val="auto"/>
                <w:sz w:val="24"/>
              </w:rPr>
            </w:pPr>
            <w:bookmarkStart w:id="751" w:name="_Toc463691058"/>
            <w:bookmarkStart w:id="752" w:name="_Toc2766"/>
            <w:bookmarkStart w:id="753" w:name="_Toc13065"/>
            <w:r>
              <w:rPr>
                <w:rFonts w:hint="eastAsia" w:ascii="宋体" w:hAnsi="宋体" w:cs="宋体"/>
                <w:color w:val="auto"/>
                <w:sz w:val="24"/>
              </w:rPr>
              <w:t>投标人名称</w:t>
            </w:r>
            <w:bookmarkEnd w:id="751"/>
            <w:bookmarkEnd w:id="752"/>
            <w:bookmarkEnd w:id="753"/>
          </w:p>
        </w:tc>
        <w:tc>
          <w:tcPr>
            <w:tcW w:w="7510" w:type="dxa"/>
            <w:gridSpan w:val="7"/>
            <w:noWrap w:val="0"/>
            <w:vAlign w:val="center"/>
          </w:tcPr>
          <w:p w14:paraId="26B7FBBB">
            <w:pPr>
              <w:wordWrap w:val="0"/>
              <w:jc w:val="center"/>
              <w:rPr>
                <w:rFonts w:ascii="宋体" w:hAnsi="宋体" w:cs="宋体"/>
                <w:color w:val="auto"/>
                <w:sz w:val="24"/>
              </w:rPr>
            </w:pPr>
          </w:p>
        </w:tc>
      </w:tr>
      <w:tr w14:paraId="3F3A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31" w:type="dxa"/>
            <w:noWrap w:val="0"/>
            <w:vAlign w:val="center"/>
          </w:tcPr>
          <w:p w14:paraId="3FD64145">
            <w:pPr>
              <w:wordWrap w:val="0"/>
              <w:jc w:val="center"/>
              <w:rPr>
                <w:rFonts w:ascii="宋体" w:hAnsi="宋体" w:cs="宋体"/>
                <w:color w:val="auto"/>
                <w:sz w:val="24"/>
              </w:rPr>
            </w:pPr>
            <w:r>
              <w:rPr>
                <w:rFonts w:hint="eastAsia" w:ascii="宋体" w:hAnsi="宋体" w:cs="宋体"/>
                <w:color w:val="auto"/>
                <w:sz w:val="24"/>
              </w:rPr>
              <w:t>注册地址</w:t>
            </w:r>
          </w:p>
        </w:tc>
        <w:tc>
          <w:tcPr>
            <w:tcW w:w="3872" w:type="dxa"/>
            <w:gridSpan w:val="3"/>
            <w:noWrap w:val="0"/>
            <w:vAlign w:val="center"/>
          </w:tcPr>
          <w:p w14:paraId="32FBC9E4">
            <w:pPr>
              <w:wordWrap w:val="0"/>
              <w:jc w:val="center"/>
              <w:rPr>
                <w:rFonts w:ascii="宋体" w:hAnsi="宋体" w:cs="宋体"/>
                <w:color w:val="auto"/>
                <w:sz w:val="24"/>
              </w:rPr>
            </w:pPr>
          </w:p>
        </w:tc>
        <w:tc>
          <w:tcPr>
            <w:tcW w:w="1304" w:type="dxa"/>
            <w:gridSpan w:val="2"/>
            <w:noWrap w:val="0"/>
            <w:vAlign w:val="center"/>
          </w:tcPr>
          <w:p w14:paraId="3389489F">
            <w:pPr>
              <w:wordWrap w:val="0"/>
              <w:jc w:val="center"/>
              <w:rPr>
                <w:rFonts w:ascii="宋体" w:hAnsi="宋体" w:cs="宋体"/>
                <w:color w:val="auto"/>
                <w:sz w:val="24"/>
              </w:rPr>
            </w:pPr>
            <w:r>
              <w:rPr>
                <w:rFonts w:hint="eastAsia" w:ascii="宋体" w:hAnsi="宋体" w:cs="宋体"/>
                <w:color w:val="auto"/>
                <w:sz w:val="24"/>
              </w:rPr>
              <w:t>邮政编码</w:t>
            </w:r>
          </w:p>
        </w:tc>
        <w:tc>
          <w:tcPr>
            <w:tcW w:w="2334" w:type="dxa"/>
            <w:gridSpan w:val="2"/>
            <w:noWrap w:val="0"/>
            <w:vAlign w:val="center"/>
          </w:tcPr>
          <w:p w14:paraId="091CAD21">
            <w:pPr>
              <w:wordWrap w:val="0"/>
              <w:jc w:val="center"/>
              <w:rPr>
                <w:rFonts w:ascii="宋体" w:hAnsi="宋体" w:cs="宋体"/>
                <w:color w:val="auto"/>
                <w:sz w:val="24"/>
              </w:rPr>
            </w:pPr>
          </w:p>
        </w:tc>
      </w:tr>
      <w:tr w14:paraId="1940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31" w:type="dxa"/>
            <w:vMerge w:val="restart"/>
            <w:noWrap w:val="0"/>
            <w:vAlign w:val="center"/>
          </w:tcPr>
          <w:p w14:paraId="3E54FC48">
            <w:pPr>
              <w:wordWrap w:val="0"/>
              <w:jc w:val="center"/>
              <w:rPr>
                <w:rFonts w:ascii="宋体" w:hAnsi="宋体" w:cs="宋体"/>
                <w:color w:val="auto"/>
                <w:sz w:val="24"/>
              </w:rPr>
            </w:pPr>
            <w:r>
              <w:rPr>
                <w:rFonts w:hint="eastAsia" w:ascii="宋体" w:hAnsi="宋体" w:cs="宋体"/>
                <w:color w:val="auto"/>
                <w:sz w:val="24"/>
              </w:rPr>
              <w:t>联系方式</w:t>
            </w:r>
          </w:p>
        </w:tc>
        <w:tc>
          <w:tcPr>
            <w:tcW w:w="1219" w:type="dxa"/>
            <w:noWrap w:val="0"/>
            <w:vAlign w:val="center"/>
          </w:tcPr>
          <w:p w14:paraId="382EDEAB">
            <w:pPr>
              <w:wordWrap w:val="0"/>
              <w:jc w:val="center"/>
              <w:rPr>
                <w:rFonts w:ascii="宋体" w:hAnsi="宋体" w:cs="宋体"/>
                <w:color w:val="auto"/>
                <w:sz w:val="24"/>
              </w:rPr>
            </w:pPr>
            <w:r>
              <w:rPr>
                <w:rFonts w:hint="eastAsia" w:ascii="宋体" w:hAnsi="宋体" w:cs="宋体"/>
                <w:color w:val="auto"/>
                <w:sz w:val="24"/>
              </w:rPr>
              <w:t>联系人</w:t>
            </w:r>
          </w:p>
        </w:tc>
        <w:tc>
          <w:tcPr>
            <w:tcW w:w="2653" w:type="dxa"/>
            <w:gridSpan w:val="2"/>
            <w:noWrap w:val="0"/>
            <w:vAlign w:val="center"/>
          </w:tcPr>
          <w:p w14:paraId="0091C522">
            <w:pPr>
              <w:wordWrap w:val="0"/>
              <w:jc w:val="center"/>
              <w:rPr>
                <w:rFonts w:ascii="宋体" w:hAnsi="宋体" w:cs="宋体"/>
                <w:color w:val="auto"/>
                <w:sz w:val="24"/>
              </w:rPr>
            </w:pPr>
          </w:p>
        </w:tc>
        <w:tc>
          <w:tcPr>
            <w:tcW w:w="1304" w:type="dxa"/>
            <w:gridSpan w:val="2"/>
            <w:noWrap w:val="0"/>
            <w:vAlign w:val="center"/>
          </w:tcPr>
          <w:p w14:paraId="5E3B630B">
            <w:pPr>
              <w:wordWrap w:val="0"/>
              <w:jc w:val="center"/>
              <w:rPr>
                <w:rFonts w:ascii="宋体" w:hAnsi="宋体" w:cs="宋体"/>
                <w:color w:val="auto"/>
                <w:sz w:val="24"/>
              </w:rPr>
            </w:pPr>
            <w:r>
              <w:rPr>
                <w:rFonts w:hint="eastAsia" w:ascii="宋体" w:hAnsi="宋体" w:cs="宋体"/>
                <w:color w:val="auto"/>
                <w:sz w:val="24"/>
              </w:rPr>
              <w:t>电话</w:t>
            </w:r>
          </w:p>
        </w:tc>
        <w:tc>
          <w:tcPr>
            <w:tcW w:w="2334" w:type="dxa"/>
            <w:gridSpan w:val="2"/>
            <w:noWrap w:val="0"/>
            <w:vAlign w:val="center"/>
          </w:tcPr>
          <w:p w14:paraId="563997D8">
            <w:pPr>
              <w:wordWrap w:val="0"/>
              <w:jc w:val="center"/>
              <w:rPr>
                <w:rFonts w:ascii="宋体" w:hAnsi="宋体" w:cs="宋体"/>
                <w:color w:val="auto"/>
                <w:sz w:val="24"/>
              </w:rPr>
            </w:pPr>
          </w:p>
        </w:tc>
      </w:tr>
      <w:tr w14:paraId="6853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31" w:type="dxa"/>
            <w:vMerge w:val="continue"/>
            <w:noWrap w:val="0"/>
            <w:vAlign w:val="center"/>
          </w:tcPr>
          <w:p w14:paraId="16ED9ED2">
            <w:pPr>
              <w:wordWrap w:val="0"/>
              <w:jc w:val="center"/>
              <w:rPr>
                <w:rFonts w:ascii="宋体" w:hAnsi="宋体" w:cs="宋体"/>
                <w:color w:val="auto"/>
                <w:sz w:val="24"/>
              </w:rPr>
            </w:pPr>
          </w:p>
        </w:tc>
        <w:tc>
          <w:tcPr>
            <w:tcW w:w="1219" w:type="dxa"/>
            <w:noWrap w:val="0"/>
            <w:vAlign w:val="center"/>
          </w:tcPr>
          <w:p w14:paraId="10CB7675">
            <w:pPr>
              <w:wordWrap w:val="0"/>
              <w:jc w:val="center"/>
              <w:rPr>
                <w:rFonts w:ascii="宋体" w:hAnsi="宋体" w:cs="宋体"/>
                <w:color w:val="auto"/>
                <w:sz w:val="24"/>
              </w:rPr>
            </w:pPr>
            <w:r>
              <w:rPr>
                <w:rFonts w:hint="eastAsia" w:ascii="宋体" w:hAnsi="宋体" w:cs="宋体"/>
                <w:color w:val="auto"/>
                <w:sz w:val="24"/>
              </w:rPr>
              <w:t>传真</w:t>
            </w:r>
          </w:p>
        </w:tc>
        <w:tc>
          <w:tcPr>
            <w:tcW w:w="2653" w:type="dxa"/>
            <w:gridSpan w:val="2"/>
            <w:noWrap w:val="0"/>
            <w:vAlign w:val="center"/>
          </w:tcPr>
          <w:p w14:paraId="68368CA6">
            <w:pPr>
              <w:wordWrap w:val="0"/>
              <w:jc w:val="center"/>
              <w:rPr>
                <w:rFonts w:ascii="宋体" w:hAnsi="宋体" w:cs="宋体"/>
                <w:color w:val="auto"/>
                <w:sz w:val="24"/>
              </w:rPr>
            </w:pPr>
          </w:p>
        </w:tc>
        <w:tc>
          <w:tcPr>
            <w:tcW w:w="1304" w:type="dxa"/>
            <w:gridSpan w:val="2"/>
            <w:noWrap w:val="0"/>
            <w:vAlign w:val="center"/>
          </w:tcPr>
          <w:p w14:paraId="20E164DD">
            <w:pPr>
              <w:wordWrap w:val="0"/>
              <w:jc w:val="center"/>
              <w:rPr>
                <w:rFonts w:ascii="宋体" w:hAnsi="宋体" w:cs="宋体"/>
                <w:color w:val="auto"/>
                <w:sz w:val="24"/>
              </w:rPr>
            </w:pPr>
            <w:r>
              <w:rPr>
                <w:rFonts w:hint="eastAsia" w:ascii="宋体" w:hAnsi="宋体" w:cs="宋体"/>
                <w:color w:val="auto"/>
                <w:sz w:val="24"/>
              </w:rPr>
              <w:t>网址</w:t>
            </w:r>
          </w:p>
        </w:tc>
        <w:tc>
          <w:tcPr>
            <w:tcW w:w="2334" w:type="dxa"/>
            <w:gridSpan w:val="2"/>
            <w:noWrap w:val="0"/>
            <w:vAlign w:val="center"/>
          </w:tcPr>
          <w:p w14:paraId="0A8A3D0F">
            <w:pPr>
              <w:wordWrap w:val="0"/>
              <w:jc w:val="center"/>
              <w:rPr>
                <w:rFonts w:ascii="宋体" w:hAnsi="宋体" w:cs="宋体"/>
                <w:color w:val="auto"/>
                <w:sz w:val="24"/>
              </w:rPr>
            </w:pPr>
          </w:p>
        </w:tc>
      </w:tr>
      <w:tr w14:paraId="38D4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931" w:type="dxa"/>
            <w:noWrap w:val="0"/>
            <w:vAlign w:val="center"/>
          </w:tcPr>
          <w:p w14:paraId="7FBD5595">
            <w:pPr>
              <w:wordWrap w:val="0"/>
              <w:jc w:val="center"/>
              <w:rPr>
                <w:rFonts w:ascii="宋体" w:hAnsi="宋体" w:cs="宋体"/>
                <w:color w:val="auto"/>
                <w:sz w:val="24"/>
              </w:rPr>
            </w:pPr>
            <w:r>
              <w:rPr>
                <w:rFonts w:hint="eastAsia" w:ascii="宋体" w:hAnsi="宋体" w:cs="宋体"/>
                <w:color w:val="auto"/>
                <w:sz w:val="24"/>
              </w:rPr>
              <w:t>法定代表人</w:t>
            </w:r>
          </w:p>
        </w:tc>
        <w:tc>
          <w:tcPr>
            <w:tcW w:w="1219" w:type="dxa"/>
            <w:noWrap w:val="0"/>
            <w:vAlign w:val="center"/>
          </w:tcPr>
          <w:p w14:paraId="0903B2AE">
            <w:pPr>
              <w:wordWrap w:val="0"/>
              <w:jc w:val="center"/>
              <w:rPr>
                <w:rFonts w:ascii="宋体" w:hAnsi="宋体" w:cs="宋体"/>
                <w:color w:val="auto"/>
                <w:sz w:val="24"/>
              </w:rPr>
            </w:pPr>
            <w:r>
              <w:rPr>
                <w:rFonts w:hint="eastAsia" w:ascii="宋体" w:hAnsi="宋体" w:cs="宋体"/>
                <w:color w:val="auto"/>
                <w:sz w:val="24"/>
              </w:rPr>
              <w:t>姓名</w:t>
            </w:r>
          </w:p>
        </w:tc>
        <w:tc>
          <w:tcPr>
            <w:tcW w:w="1350" w:type="dxa"/>
            <w:noWrap w:val="0"/>
            <w:vAlign w:val="center"/>
          </w:tcPr>
          <w:p w14:paraId="1CBF7DAE">
            <w:pPr>
              <w:wordWrap w:val="0"/>
              <w:jc w:val="center"/>
              <w:rPr>
                <w:rFonts w:ascii="宋体" w:hAnsi="宋体" w:cs="宋体"/>
                <w:color w:val="auto"/>
                <w:sz w:val="24"/>
              </w:rPr>
            </w:pPr>
          </w:p>
        </w:tc>
        <w:tc>
          <w:tcPr>
            <w:tcW w:w="1303" w:type="dxa"/>
            <w:noWrap w:val="0"/>
            <w:vAlign w:val="center"/>
          </w:tcPr>
          <w:p w14:paraId="38999121">
            <w:pPr>
              <w:wordWrap w:val="0"/>
              <w:jc w:val="center"/>
              <w:rPr>
                <w:rFonts w:ascii="宋体" w:hAnsi="宋体" w:cs="宋体"/>
                <w:color w:val="auto"/>
                <w:sz w:val="24"/>
              </w:rPr>
            </w:pPr>
            <w:r>
              <w:rPr>
                <w:rFonts w:hint="eastAsia" w:ascii="宋体" w:hAnsi="宋体" w:cs="宋体"/>
                <w:color w:val="auto"/>
                <w:sz w:val="24"/>
              </w:rPr>
              <w:t>技术职称</w:t>
            </w:r>
          </w:p>
        </w:tc>
        <w:tc>
          <w:tcPr>
            <w:tcW w:w="1304" w:type="dxa"/>
            <w:gridSpan w:val="2"/>
            <w:noWrap w:val="0"/>
            <w:vAlign w:val="center"/>
          </w:tcPr>
          <w:p w14:paraId="73C6D9A3">
            <w:pPr>
              <w:wordWrap w:val="0"/>
              <w:jc w:val="center"/>
              <w:rPr>
                <w:rFonts w:ascii="宋体" w:hAnsi="宋体" w:cs="宋体"/>
                <w:color w:val="auto"/>
                <w:sz w:val="24"/>
              </w:rPr>
            </w:pPr>
          </w:p>
        </w:tc>
        <w:tc>
          <w:tcPr>
            <w:tcW w:w="1305" w:type="dxa"/>
            <w:noWrap w:val="0"/>
            <w:vAlign w:val="center"/>
          </w:tcPr>
          <w:p w14:paraId="54033262">
            <w:pPr>
              <w:wordWrap w:val="0"/>
              <w:jc w:val="center"/>
              <w:rPr>
                <w:rFonts w:ascii="宋体" w:hAnsi="宋体" w:cs="宋体"/>
                <w:color w:val="auto"/>
                <w:sz w:val="24"/>
              </w:rPr>
            </w:pPr>
            <w:r>
              <w:rPr>
                <w:rFonts w:hint="eastAsia" w:ascii="宋体" w:hAnsi="宋体" w:cs="宋体"/>
                <w:color w:val="auto"/>
                <w:sz w:val="24"/>
              </w:rPr>
              <w:t>电话</w:t>
            </w:r>
          </w:p>
        </w:tc>
        <w:tc>
          <w:tcPr>
            <w:tcW w:w="1029" w:type="dxa"/>
            <w:noWrap w:val="0"/>
            <w:vAlign w:val="center"/>
          </w:tcPr>
          <w:p w14:paraId="2EF46C5F">
            <w:pPr>
              <w:wordWrap w:val="0"/>
              <w:jc w:val="center"/>
              <w:rPr>
                <w:rFonts w:ascii="宋体" w:hAnsi="宋体" w:cs="宋体"/>
                <w:color w:val="auto"/>
                <w:sz w:val="24"/>
              </w:rPr>
            </w:pPr>
          </w:p>
        </w:tc>
      </w:tr>
      <w:tr w14:paraId="1F4F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931" w:type="dxa"/>
            <w:noWrap w:val="0"/>
            <w:vAlign w:val="center"/>
          </w:tcPr>
          <w:p w14:paraId="0BE12D7C">
            <w:pPr>
              <w:wordWrap w:val="0"/>
              <w:jc w:val="center"/>
              <w:rPr>
                <w:rFonts w:ascii="宋体" w:hAnsi="宋体" w:cs="宋体"/>
                <w:color w:val="auto"/>
                <w:sz w:val="24"/>
              </w:rPr>
            </w:pPr>
            <w:r>
              <w:rPr>
                <w:rFonts w:hint="eastAsia" w:ascii="宋体" w:hAnsi="宋体" w:cs="宋体"/>
                <w:color w:val="auto"/>
                <w:sz w:val="24"/>
              </w:rPr>
              <w:t>项目经理</w:t>
            </w:r>
          </w:p>
        </w:tc>
        <w:tc>
          <w:tcPr>
            <w:tcW w:w="1219" w:type="dxa"/>
            <w:noWrap w:val="0"/>
            <w:vAlign w:val="center"/>
          </w:tcPr>
          <w:p w14:paraId="2277AB68">
            <w:pPr>
              <w:wordWrap w:val="0"/>
              <w:jc w:val="center"/>
              <w:rPr>
                <w:rFonts w:ascii="宋体" w:hAnsi="宋体" w:cs="宋体"/>
                <w:color w:val="auto"/>
                <w:sz w:val="24"/>
              </w:rPr>
            </w:pPr>
            <w:r>
              <w:rPr>
                <w:rFonts w:hint="eastAsia" w:ascii="宋体" w:hAnsi="宋体" w:cs="宋体"/>
                <w:color w:val="auto"/>
                <w:sz w:val="24"/>
              </w:rPr>
              <w:t>姓名</w:t>
            </w:r>
          </w:p>
        </w:tc>
        <w:tc>
          <w:tcPr>
            <w:tcW w:w="1350" w:type="dxa"/>
            <w:noWrap w:val="0"/>
            <w:vAlign w:val="center"/>
          </w:tcPr>
          <w:p w14:paraId="3F4C0B93">
            <w:pPr>
              <w:wordWrap w:val="0"/>
              <w:jc w:val="center"/>
              <w:rPr>
                <w:rFonts w:ascii="宋体" w:hAnsi="宋体" w:cs="宋体"/>
                <w:color w:val="auto"/>
                <w:sz w:val="24"/>
              </w:rPr>
            </w:pPr>
          </w:p>
        </w:tc>
        <w:tc>
          <w:tcPr>
            <w:tcW w:w="1303" w:type="dxa"/>
            <w:noWrap w:val="0"/>
            <w:vAlign w:val="center"/>
          </w:tcPr>
          <w:p w14:paraId="0D846E3B">
            <w:pPr>
              <w:wordWrap w:val="0"/>
              <w:jc w:val="center"/>
              <w:rPr>
                <w:rFonts w:ascii="宋体" w:hAnsi="宋体" w:cs="宋体"/>
                <w:color w:val="auto"/>
                <w:sz w:val="24"/>
              </w:rPr>
            </w:pPr>
            <w:r>
              <w:rPr>
                <w:rFonts w:hint="eastAsia" w:ascii="宋体" w:hAnsi="宋体" w:cs="宋体"/>
                <w:color w:val="auto"/>
                <w:sz w:val="24"/>
              </w:rPr>
              <w:t>技术职称</w:t>
            </w:r>
          </w:p>
        </w:tc>
        <w:tc>
          <w:tcPr>
            <w:tcW w:w="1304" w:type="dxa"/>
            <w:gridSpan w:val="2"/>
            <w:noWrap w:val="0"/>
            <w:vAlign w:val="center"/>
          </w:tcPr>
          <w:p w14:paraId="496B7FBE">
            <w:pPr>
              <w:wordWrap w:val="0"/>
              <w:jc w:val="center"/>
              <w:rPr>
                <w:rFonts w:ascii="宋体" w:hAnsi="宋体" w:cs="宋体"/>
                <w:color w:val="auto"/>
                <w:sz w:val="24"/>
              </w:rPr>
            </w:pPr>
          </w:p>
        </w:tc>
        <w:tc>
          <w:tcPr>
            <w:tcW w:w="1305" w:type="dxa"/>
            <w:noWrap w:val="0"/>
            <w:vAlign w:val="center"/>
          </w:tcPr>
          <w:p w14:paraId="3CCD64B1">
            <w:pPr>
              <w:wordWrap w:val="0"/>
              <w:jc w:val="center"/>
              <w:rPr>
                <w:rFonts w:ascii="宋体" w:hAnsi="宋体" w:cs="宋体"/>
                <w:color w:val="auto"/>
                <w:sz w:val="24"/>
              </w:rPr>
            </w:pPr>
            <w:r>
              <w:rPr>
                <w:rFonts w:hint="eastAsia" w:ascii="宋体" w:hAnsi="宋体" w:cs="宋体"/>
                <w:color w:val="auto"/>
                <w:sz w:val="24"/>
              </w:rPr>
              <w:t>电话</w:t>
            </w:r>
          </w:p>
        </w:tc>
        <w:tc>
          <w:tcPr>
            <w:tcW w:w="1029" w:type="dxa"/>
            <w:noWrap w:val="0"/>
            <w:vAlign w:val="center"/>
          </w:tcPr>
          <w:p w14:paraId="523F4321">
            <w:pPr>
              <w:wordWrap w:val="0"/>
              <w:jc w:val="center"/>
              <w:rPr>
                <w:rFonts w:ascii="宋体" w:hAnsi="宋体" w:cs="宋体"/>
                <w:color w:val="auto"/>
                <w:sz w:val="24"/>
              </w:rPr>
            </w:pPr>
          </w:p>
        </w:tc>
      </w:tr>
      <w:tr w14:paraId="0E6F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31" w:type="dxa"/>
            <w:noWrap w:val="0"/>
            <w:vAlign w:val="center"/>
          </w:tcPr>
          <w:p w14:paraId="1671A151">
            <w:pPr>
              <w:wordWrap w:val="0"/>
              <w:jc w:val="center"/>
              <w:rPr>
                <w:rFonts w:ascii="宋体" w:hAnsi="宋体" w:cs="宋体"/>
                <w:color w:val="auto"/>
                <w:sz w:val="24"/>
              </w:rPr>
            </w:pPr>
            <w:r>
              <w:rPr>
                <w:rFonts w:hint="eastAsia" w:ascii="宋体" w:hAnsi="宋体" w:cs="宋体"/>
                <w:color w:val="auto"/>
                <w:sz w:val="24"/>
              </w:rPr>
              <w:t>成立时间</w:t>
            </w:r>
          </w:p>
        </w:tc>
        <w:tc>
          <w:tcPr>
            <w:tcW w:w="2569" w:type="dxa"/>
            <w:gridSpan w:val="2"/>
            <w:noWrap w:val="0"/>
            <w:vAlign w:val="center"/>
          </w:tcPr>
          <w:p w14:paraId="484A1943">
            <w:pPr>
              <w:wordWrap w:val="0"/>
              <w:jc w:val="center"/>
              <w:rPr>
                <w:rFonts w:ascii="宋体" w:hAnsi="宋体" w:cs="宋体"/>
                <w:color w:val="auto"/>
                <w:sz w:val="24"/>
              </w:rPr>
            </w:pPr>
          </w:p>
        </w:tc>
        <w:tc>
          <w:tcPr>
            <w:tcW w:w="4941" w:type="dxa"/>
            <w:gridSpan w:val="5"/>
            <w:noWrap w:val="0"/>
            <w:vAlign w:val="center"/>
          </w:tcPr>
          <w:p w14:paraId="47DF44E4">
            <w:pPr>
              <w:wordWrap w:val="0"/>
              <w:jc w:val="center"/>
              <w:rPr>
                <w:rFonts w:ascii="宋体" w:hAnsi="宋体" w:cs="宋体"/>
                <w:color w:val="auto"/>
                <w:sz w:val="24"/>
              </w:rPr>
            </w:pPr>
            <w:r>
              <w:rPr>
                <w:rFonts w:hint="eastAsia" w:ascii="宋体" w:hAnsi="宋体" w:cs="宋体"/>
                <w:color w:val="auto"/>
                <w:sz w:val="24"/>
              </w:rPr>
              <w:t>员工总人数：</w:t>
            </w:r>
          </w:p>
        </w:tc>
      </w:tr>
      <w:tr w14:paraId="25CE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931" w:type="dxa"/>
            <w:noWrap w:val="0"/>
            <w:vAlign w:val="center"/>
          </w:tcPr>
          <w:p w14:paraId="57A6BBBA">
            <w:pPr>
              <w:wordWrap w:val="0"/>
              <w:jc w:val="center"/>
              <w:rPr>
                <w:rFonts w:ascii="宋体" w:hAnsi="宋体" w:cs="宋体"/>
                <w:color w:val="auto"/>
                <w:sz w:val="24"/>
              </w:rPr>
            </w:pPr>
            <w:r>
              <w:rPr>
                <w:rFonts w:hint="eastAsia" w:ascii="宋体" w:hAnsi="宋体" w:cs="宋体"/>
                <w:color w:val="auto"/>
                <w:sz w:val="24"/>
              </w:rPr>
              <w:t>企业资质等级</w:t>
            </w:r>
          </w:p>
        </w:tc>
        <w:tc>
          <w:tcPr>
            <w:tcW w:w="3872" w:type="dxa"/>
            <w:gridSpan w:val="3"/>
            <w:noWrap w:val="0"/>
            <w:vAlign w:val="center"/>
          </w:tcPr>
          <w:p w14:paraId="2E25FBC2">
            <w:pPr>
              <w:wordWrap w:val="0"/>
              <w:jc w:val="center"/>
              <w:rPr>
                <w:rFonts w:ascii="宋体" w:hAnsi="宋体" w:cs="宋体"/>
                <w:color w:val="auto"/>
                <w:sz w:val="24"/>
              </w:rPr>
            </w:pPr>
          </w:p>
        </w:tc>
        <w:tc>
          <w:tcPr>
            <w:tcW w:w="686" w:type="dxa"/>
            <w:vMerge w:val="restart"/>
            <w:noWrap w:val="0"/>
            <w:vAlign w:val="center"/>
          </w:tcPr>
          <w:p w14:paraId="69D0A6C1">
            <w:pPr>
              <w:wordWrap w:val="0"/>
              <w:jc w:val="center"/>
              <w:rPr>
                <w:rFonts w:ascii="宋体" w:hAnsi="宋体" w:cs="宋体"/>
                <w:color w:val="auto"/>
                <w:sz w:val="24"/>
              </w:rPr>
            </w:pPr>
            <w:r>
              <w:rPr>
                <w:rFonts w:hint="eastAsia" w:ascii="宋体" w:hAnsi="宋体" w:cs="宋体"/>
                <w:color w:val="auto"/>
                <w:sz w:val="24"/>
              </w:rPr>
              <w:t>其中</w:t>
            </w:r>
          </w:p>
        </w:tc>
        <w:tc>
          <w:tcPr>
            <w:tcW w:w="1923" w:type="dxa"/>
            <w:gridSpan w:val="2"/>
            <w:noWrap w:val="0"/>
            <w:vAlign w:val="center"/>
          </w:tcPr>
          <w:p w14:paraId="5534E5BC">
            <w:pPr>
              <w:wordWrap w:val="0"/>
              <w:jc w:val="center"/>
              <w:rPr>
                <w:rFonts w:ascii="宋体" w:hAnsi="宋体" w:cs="宋体"/>
                <w:color w:val="auto"/>
                <w:sz w:val="24"/>
              </w:rPr>
            </w:pPr>
            <w:r>
              <w:rPr>
                <w:rFonts w:hint="eastAsia" w:ascii="宋体" w:hAnsi="宋体" w:cs="宋体"/>
                <w:color w:val="auto"/>
                <w:sz w:val="24"/>
              </w:rPr>
              <w:t>项目经理</w:t>
            </w:r>
          </w:p>
        </w:tc>
        <w:tc>
          <w:tcPr>
            <w:tcW w:w="1029" w:type="dxa"/>
            <w:noWrap w:val="0"/>
            <w:vAlign w:val="center"/>
          </w:tcPr>
          <w:p w14:paraId="1F0D54A0">
            <w:pPr>
              <w:wordWrap w:val="0"/>
              <w:jc w:val="center"/>
              <w:rPr>
                <w:rFonts w:ascii="宋体" w:hAnsi="宋体" w:cs="宋体"/>
                <w:color w:val="auto"/>
                <w:sz w:val="24"/>
              </w:rPr>
            </w:pPr>
          </w:p>
        </w:tc>
      </w:tr>
      <w:tr w14:paraId="059D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31" w:type="dxa"/>
            <w:noWrap w:val="0"/>
            <w:vAlign w:val="center"/>
          </w:tcPr>
          <w:p w14:paraId="67DB4392">
            <w:pPr>
              <w:wordWrap w:val="0"/>
              <w:jc w:val="center"/>
              <w:rPr>
                <w:rFonts w:ascii="宋体" w:hAnsi="宋体" w:cs="宋体"/>
                <w:color w:val="auto"/>
                <w:sz w:val="24"/>
              </w:rPr>
            </w:pPr>
            <w:r>
              <w:rPr>
                <w:rFonts w:hint="eastAsia" w:ascii="宋体" w:hAnsi="宋体" w:cs="宋体"/>
                <w:color w:val="auto"/>
                <w:sz w:val="24"/>
              </w:rPr>
              <w:t>营业执照号</w:t>
            </w:r>
          </w:p>
        </w:tc>
        <w:tc>
          <w:tcPr>
            <w:tcW w:w="3872" w:type="dxa"/>
            <w:gridSpan w:val="3"/>
            <w:noWrap w:val="0"/>
            <w:vAlign w:val="center"/>
          </w:tcPr>
          <w:p w14:paraId="13882A0C">
            <w:pPr>
              <w:wordWrap w:val="0"/>
              <w:jc w:val="center"/>
              <w:rPr>
                <w:rFonts w:ascii="宋体" w:hAnsi="宋体" w:cs="宋体"/>
                <w:color w:val="auto"/>
                <w:sz w:val="24"/>
              </w:rPr>
            </w:pPr>
          </w:p>
        </w:tc>
        <w:tc>
          <w:tcPr>
            <w:tcW w:w="686" w:type="dxa"/>
            <w:vMerge w:val="continue"/>
            <w:noWrap w:val="0"/>
            <w:vAlign w:val="center"/>
          </w:tcPr>
          <w:p w14:paraId="61A8FC81">
            <w:pPr>
              <w:wordWrap w:val="0"/>
              <w:jc w:val="center"/>
              <w:rPr>
                <w:rFonts w:ascii="宋体" w:hAnsi="宋体" w:cs="宋体"/>
                <w:color w:val="auto"/>
                <w:sz w:val="24"/>
              </w:rPr>
            </w:pPr>
          </w:p>
        </w:tc>
        <w:tc>
          <w:tcPr>
            <w:tcW w:w="1923" w:type="dxa"/>
            <w:gridSpan w:val="2"/>
            <w:noWrap w:val="0"/>
            <w:vAlign w:val="center"/>
          </w:tcPr>
          <w:p w14:paraId="26A15481">
            <w:pPr>
              <w:wordWrap w:val="0"/>
              <w:jc w:val="center"/>
              <w:rPr>
                <w:rFonts w:ascii="宋体" w:hAnsi="宋体" w:cs="宋体"/>
                <w:color w:val="auto"/>
                <w:sz w:val="24"/>
              </w:rPr>
            </w:pPr>
            <w:r>
              <w:rPr>
                <w:rFonts w:hint="eastAsia" w:ascii="宋体" w:hAnsi="宋体" w:cs="宋体"/>
                <w:color w:val="auto"/>
                <w:sz w:val="24"/>
              </w:rPr>
              <w:t>高级职称人员</w:t>
            </w:r>
          </w:p>
        </w:tc>
        <w:tc>
          <w:tcPr>
            <w:tcW w:w="1029" w:type="dxa"/>
            <w:noWrap w:val="0"/>
            <w:vAlign w:val="center"/>
          </w:tcPr>
          <w:p w14:paraId="0D14842D">
            <w:pPr>
              <w:wordWrap w:val="0"/>
              <w:jc w:val="center"/>
              <w:rPr>
                <w:rFonts w:ascii="宋体" w:hAnsi="宋体" w:cs="宋体"/>
                <w:color w:val="auto"/>
                <w:sz w:val="24"/>
              </w:rPr>
            </w:pPr>
          </w:p>
        </w:tc>
      </w:tr>
      <w:tr w14:paraId="0F67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931" w:type="dxa"/>
            <w:noWrap w:val="0"/>
            <w:vAlign w:val="center"/>
          </w:tcPr>
          <w:p w14:paraId="0695E2DB">
            <w:pPr>
              <w:wordWrap w:val="0"/>
              <w:jc w:val="center"/>
              <w:rPr>
                <w:rFonts w:ascii="宋体" w:hAnsi="宋体" w:cs="宋体"/>
                <w:color w:val="auto"/>
                <w:sz w:val="24"/>
              </w:rPr>
            </w:pPr>
            <w:r>
              <w:rPr>
                <w:rFonts w:hint="eastAsia" w:ascii="宋体" w:hAnsi="宋体" w:cs="宋体"/>
                <w:color w:val="auto"/>
                <w:sz w:val="24"/>
              </w:rPr>
              <w:t>注册资金</w:t>
            </w:r>
          </w:p>
        </w:tc>
        <w:tc>
          <w:tcPr>
            <w:tcW w:w="3872" w:type="dxa"/>
            <w:gridSpan w:val="3"/>
            <w:noWrap w:val="0"/>
            <w:vAlign w:val="center"/>
          </w:tcPr>
          <w:p w14:paraId="74E75BC5">
            <w:pPr>
              <w:wordWrap w:val="0"/>
              <w:jc w:val="center"/>
              <w:rPr>
                <w:rFonts w:ascii="宋体" w:hAnsi="宋体" w:cs="宋体"/>
                <w:color w:val="auto"/>
                <w:sz w:val="24"/>
              </w:rPr>
            </w:pPr>
          </w:p>
        </w:tc>
        <w:tc>
          <w:tcPr>
            <w:tcW w:w="686" w:type="dxa"/>
            <w:vMerge w:val="continue"/>
            <w:noWrap w:val="0"/>
            <w:vAlign w:val="center"/>
          </w:tcPr>
          <w:p w14:paraId="3732C095">
            <w:pPr>
              <w:wordWrap w:val="0"/>
              <w:jc w:val="center"/>
              <w:rPr>
                <w:rFonts w:ascii="宋体" w:hAnsi="宋体" w:cs="宋体"/>
                <w:color w:val="auto"/>
                <w:sz w:val="24"/>
              </w:rPr>
            </w:pPr>
          </w:p>
        </w:tc>
        <w:tc>
          <w:tcPr>
            <w:tcW w:w="1923" w:type="dxa"/>
            <w:gridSpan w:val="2"/>
            <w:noWrap w:val="0"/>
            <w:vAlign w:val="center"/>
          </w:tcPr>
          <w:p w14:paraId="77289C8A">
            <w:pPr>
              <w:wordWrap w:val="0"/>
              <w:jc w:val="center"/>
              <w:rPr>
                <w:rFonts w:ascii="宋体" w:hAnsi="宋体" w:cs="宋体"/>
                <w:color w:val="auto"/>
                <w:sz w:val="24"/>
              </w:rPr>
            </w:pPr>
            <w:r>
              <w:rPr>
                <w:rFonts w:hint="eastAsia" w:ascii="宋体" w:hAnsi="宋体" w:cs="宋体"/>
                <w:color w:val="auto"/>
                <w:sz w:val="24"/>
              </w:rPr>
              <w:t>中级职称人员</w:t>
            </w:r>
          </w:p>
        </w:tc>
        <w:tc>
          <w:tcPr>
            <w:tcW w:w="1029" w:type="dxa"/>
            <w:noWrap w:val="0"/>
            <w:vAlign w:val="center"/>
          </w:tcPr>
          <w:p w14:paraId="4CA9E094">
            <w:pPr>
              <w:wordWrap w:val="0"/>
              <w:jc w:val="center"/>
              <w:rPr>
                <w:rFonts w:ascii="宋体" w:hAnsi="宋体" w:cs="宋体"/>
                <w:color w:val="auto"/>
                <w:sz w:val="24"/>
              </w:rPr>
            </w:pPr>
          </w:p>
        </w:tc>
      </w:tr>
      <w:tr w14:paraId="58D3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31" w:type="dxa"/>
            <w:noWrap w:val="0"/>
            <w:vAlign w:val="center"/>
          </w:tcPr>
          <w:p w14:paraId="0D1D1724">
            <w:pPr>
              <w:wordWrap w:val="0"/>
              <w:jc w:val="center"/>
              <w:rPr>
                <w:rFonts w:ascii="宋体" w:hAnsi="宋体" w:cs="宋体"/>
                <w:color w:val="auto"/>
                <w:sz w:val="24"/>
              </w:rPr>
            </w:pPr>
            <w:r>
              <w:rPr>
                <w:rFonts w:hint="eastAsia" w:ascii="宋体" w:hAnsi="宋体" w:cs="宋体"/>
                <w:color w:val="auto"/>
                <w:sz w:val="24"/>
              </w:rPr>
              <w:t>开户银行</w:t>
            </w:r>
          </w:p>
        </w:tc>
        <w:tc>
          <w:tcPr>
            <w:tcW w:w="3872" w:type="dxa"/>
            <w:gridSpan w:val="3"/>
            <w:noWrap w:val="0"/>
            <w:vAlign w:val="center"/>
          </w:tcPr>
          <w:p w14:paraId="06E51C2F">
            <w:pPr>
              <w:wordWrap w:val="0"/>
              <w:jc w:val="center"/>
              <w:rPr>
                <w:rFonts w:ascii="宋体" w:hAnsi="宋体" w:cs="宋体"/>
                <w:color w:val="auto"/>
                <w:sz w:val="24"/>
              </w:rPr>
            </w:pPr>
          </w:p>
        </w:tc>
        <w:tc>
          <w:tcPr>
            <w:tcW w:w="686" w:type="dxa"/>
            <w:vMerge w:val="continue"/>
            <w:noWrap w:val="0"/>
            <w:vAlign w:val="center"/>
          </w:tcPr>
          <w:p w14:paraId="79591EBB">
            <w:pPr>
              <w:wordWrap w:val="0"/>
              <w:jc w:val="center"/>
              <w:rPr>
                <w:rFonts w:ascii="宋体" w:hAnsi="宋体" w:cs="宋体"/>
                <w:color w:val="auto"/>
                <w:sz w:val="24"/>
              </w:rPr>
            </w:pPr>
          </w:p>
        </w:tc>
        <w:tc>
          <w:tcPr>
            <w:tcW w:w="1923" w:type="dxa"/>
            <w:gridSpan w:val="2"/>
            <w:noWrap w:val="0"/>
            <w:vAlign w:val="center"/>
          </w:tcPr>
          <w:p w14:paraId="14FD032D">
            <w:pPr>
              <w:wordWrap w:val="0"/>
              <w:jc w:val="center"/>
              <w:rPr>
                <w:rFonts w:ascii="宋体" w:hAnsi="宋体" w:cs="宋体"/>
                <w:color w:val="auto"/>
                <w:sz w:val="24"/>
              </w:rPr>
            </w:pPr>
            <w:r>
              <w:rPr>
                <w:rFonts w:hint="eastAsia" w:ascii="宋体" w:hAnsi="宋体" w:cs="宋体"/>
                <w:color w:val="auto"/>
                <w:sz w:val="24"/>
              </w:rPr>
              <w:t>初级职称人员</w:t>
            </w:r>
          </w:p>
        </w:tc>
        <w:tc>
          <w:tcPr>
            <w:tcW w:w="1029" w:type="dxa"/>
            <w:noWrap w:val="0"/>
            <w:vAlign w:val="center"/>
          </w:tcPr>
          <w:p w14:paraId="232ACFA0">
            <w:pPr>
              <w:wordWrap w:val="0"/>
              <w:jc w:val="center"/>
              <w:rPr>
                <w:rFonts w:ascii="宋体" w:hAnsi="宋体" w:cs="宋体"/>
                <w:color w:val="auto"/>
                <w:sz w:val="24"/>
              </w:rPr>
            </w:pPr>
          </w:p>
        </w:tc>
      </w:tr>
      <w:tr w14:paraId="5CF4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931" w:type="dxa"/>
            <w:noWrap w:val="0"/>
            <w:vAlign w:val="center"/>
          </w:tcPr>
          <w:p w14:paraId="3ABD643D">
            <w:pPr>
              <w:wordWrap w:val="0"/>
              <w:jc w:val="center"/>
              <w:rPr>
                <w:rFonts w:ascii="宋体" w:hAnsi="宋体" w:cs="宋体"/>
                <w:color w:val="auto"/>
                <w:sz w:val="24"/>
              </w:rPr>
            </w:pPr>
            <w:r>
              <w:rPr>
                <w:rFonts w:hint="eastAsia" w:ascii="宋体" w:hAnsi="宋体" w:cs="宋体"/>
                <w:color w:val="auto"/>
                <w:sz w:val="24"/>
              </w:rPr>
              <w:t>账号</w:t>
            </w:r>
          </w:p>
        </w:tc>
        <w:tc>
          <w:tcPr>
            <w:tcW w:w="3872" w:type="dxa"/>
            <w:gridSpan w:val="3"/>
            <w:noWrap w:val="0"/>
            <w:vAlign w:val="center"/>
          </w:tcPr>
          <w:p w14:paraId="74617927">
            <w:pPr>
              <w:wordWrap w:val="0"/>
              <w:jc w:val="center"/>
              <w:rPr>
                <w:rFonts w:ascii="宋体" w:hAnsi="宋体" w:cs="宋体"/>
                <w:color w:val="auto"/>
                <w:sz w:val="24"/>
              </w:rPr>
            </w:pPr>
          </w:p>
        </w:tc>
        <w:tc>
          <w:tcPr>
            <w:tcW w:w="686" w:type="dxa"/>
            <w:vMerge w:val="continue"/>
            <w:noWrap w:val="0"/>
            <w:vAlign w:val="center"/>
          </w:tcPr>
          <w:p w14:paraId="247D394D">
            <w:pPr>
              <w:wordWrap w:val="0"/>
              <w:jc w:val="center"/>
              <w:rPr>
                <w:rFonts w:ascii="宋体" w:hAnsi="宋体" w:cs="宋体"/>
                <w:color w:val="auto"/>
                <w:sz w:val="24"/>
              </w:rPr>
            </w:pPr>
          </w:p>
        </w:tc>
        <w:tc>
          <w:tcPr>
            <w:tcW w:w="1923" w:type="dxa"/>
            <w:gridSpan w:val="2"/>
            <w:noWrap w:val="0"/>
            <w:vAlign w:val="center"/>
          </w:tcPr>
          <w:p w14:paraId="476D9480">
            <w:pPr>
              <w:wordWrap w:val="0"/>
              <w:jc w:val="center"/>
              <w:rPr>
                <w:rFonts w:ascii="宋体" w:hAnsi="宋体" w:cs="宋体"/>
                <w:color w:val="auto"/>
                <w:sz w:val="24"/>
              </w:rPr>
            </w:pPr>
            <w:r>
              <w:rPr>
                <w:rFonts w:hint="eastAsia" w:ascii="宋体" w:hAnsi="宋体" w:cs="宋体"/>
                <w:color w:val="auto"/>
                <w:sz w:val="24"/>
              </w:rPr>
              <w:t>技工</w:t>
            </w:r>
          </w:p>
        </w:tc>
        <w:tc>
          <w:tcPr>
            <w:tcW w:w="1029" w:type="dxa"/>
            <w:noWrap w:val="0"/>
            <w:vAlign w:val="center"/>
          </w:tcPr>
          <w:p w14:paraId="5FC578C7">
            <w:pPr>
              <w:wordWrap w:val="0"/>
              <w:jc w:val="center"/>
              <w:rPr>
                <w:rFonts w:ascii="宋体" w:hAnsi="宋体" w:cs="宋体"/>
                <w:color w:val="auto"/>
                <w:sz w:val="24"/>
              </w:rPr>
            </w:pPr>
          </w:p>
        </w:tc>
      </w:tr>
      <w:tr w14:paraId="0FE9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1931" w:type="dxa"/>
            <w:noWrap w:val="0"/>
            <w:vAlign w:val="center"/>
          </w:tcPr>
          <w:p w14:paraId="66DEA00C">
            <w:pPr>
              <w:wordWrap w:val="0"/>
              <w:jc w:val="center"/>
              <w:rPr>
                <w:rFonts w:ascii="宋体" w:hAnsi="宋体" w:cs="宋体"/>
                <w:color w:val="auto"/>
                <w:sz w:val="24"/>
              </w:rPr>
            </w:pPr>
            <w:r>
              <w:rPr>
                <w:rFonts w:hint="eastAsia" w:ascii="宋体" w:hAnsi="宋体" w:cs="宋体"/>
                <w:color w:val="auto"/>
                <w:sz w:val="24"/>
              </w:rPr>
              <w:t>经营范围</w:t>
            </w:r>
          </w:p>
        </w:tc>
        <w:tc>
          <w:tcPr>
            <w:tcW w:w="7510" w:type="dxa"/>
            <w:gridSpan w:val="7"/>
            <w:noWrap w:val="0"/>
            <w:vAlign w:val="center"/>
          </w:tcPr>
          <w:p w14:paraId="3A9EDDCD">
            <w:pPr>
              <w:wordWrap w:val="0"/>
              <w:jc w:val="center"/>
              <w:rPr>
                <w:rFonts w:ascii="宋体" w:hAnsi="宋体" w:cs="宋体"/>
                <w:color w:val="auto"/>
                <w:sz w:val="24"/>
              </w:rPr>
            </w:pPr>
          </w:p>
        </w:tc>
      </w:tr>
      <w:tr w14:paraId="7278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31" w:type="dxa"/>
            <w:noWrap w:val="0"/>
            <w:vAlign w:val="center"/>
          </w:tcPr>
          <w:p w14:paraId="0A785C1B">
            <w:pPr>
              <w:wordWrap w:val="0"/>
              <w:jc w:val="center"/>
              <w:rPr>
                <w:rFonts w:ascii="宋体" w:hAnsi="宋体" w:cs="宋体"/>
                <w:color w:val="auto"/>
                <w:sz w:val="24"/>
              </w:rPr>
            </w:pPr>
            <w:r>
              <w:rPr>
                <w:rFonts w:hint="eastAsia" w:ascii="宋体" w:hAnsi="宋体" w:cs="宋体"/>
                <w:color w:val="auto"/>
                <w:sz w:val="24"/>
              </w:rPr>
              <w:t>备注</w:t>
            </w:r>
          </w:p>
        </w:tc>
        <w:tc>
          <w:tcPr>
            <w:tcW w:w="7510" w:type="dxa"/>
            <w:gridSpan w:val="7"/>
            <w:noWrap w:val="0"/>
            <w:vAlign w:val="center"/>
          </w:tcPr>
          <w:p w14:paraId="4D2AC0E7">
            <w:pPr>
              <w:wordWrap w:val="0"/>
              <w:jc w:val="center"/>
              <w:rPr>
                <w:rFonts w:ascii="宋体" w:hAnsi="宋体" w:cs="宋体"/>
                <w:color w:val="auto"/>
                <w:sz w:val="24"/>
              </w:rPr>
            </w:pPr>
          </w:p>
        </w:tc>
      </w:tr>
    </w:tbl>
    <w:p w14:paraId="322DAE44">
      <w:pPr>
        <w:wordWrap w:val="0"/>
        <w:spacing w:before="143"/>
        <w:ind w:left="959" w:leftChars="114" w:hanging="720" w:hangingChars="300"/>
        <w:rPr>
          <w:rFonts w:ascii="宋体" w:hAnsi="宋体"/>
          <w:color w:val="auto"/>
          <w:sz w:val="24"/>
        </w:rPr>
      </w:pPr>
      <w:r>
        <w:rPr>
          <w:rFonts w:ascii="宋体" w:hAnsi="宋体"/>
          <w:color w:val="auto"/>
          <w:sz w:val="24"/>
        </w:rPr>
        <w:t>备注：本表后应附企业法人营业执照副本、企业资质证书、安全生产许可证等材料的扫描件。</w:t>
      </w:r>
    </w:p>
    <w:p w14:paraId="7D38FACA">
      <w:pPr>
        <w:wordWrap w:val="0"/>
        <w:rPr>
          <w:rFonts w:ascii="宋体" w:hAnsi="宋体" w:cs="宋体"/>
          <w:bCs/>
          <w:color w:val="auto"/>
          <w:sz w:val="24"/>
        </w:rPr>
      </w:pPr>
    </w:p>
    <w:p w14:paraId="3A8F1C6C">
      <w:pPr>
        <w:wordWrap w:val="0"/>
        <w:spacing w:line="360" w:lineRule="auto"/>
        <w:jc w:val="left"/>
        <w:rPr>
          <w:rFonts w:ascii="宋体" w:hAnsi="宋体" w:cs="宋体"/>
          <w:b/>
          <w:color w:val="auto"/>
          <w:sz w:val="24"/>
        </w:rPr>
      </w:pPr>
      <w:bookmarkStart w:id="754" w:name="_Toc463691059"/>
      <w:bookmarkStart w:id="755" w:name="_Toc4721"/>
      <w:r>
        <w:rPr>
          <w:rFonts w:hint="eastAsia" w:ascii="宋体" w:hAnsi="宋体" w:cs="宋体"/>
          <w:color w:val="auto"/>
          <w:szCs w:val="21"/>
        </w:rPr>
        <w:br w:type="page"/>
      </w:r>
      <w:bookmarkEnd w:id="754"/>
      <w:bookmarkEnd w:id="755"/>
      <w:r>
        <w:rPr>
          <w:rFonts w:hint="eastAsia" w:ascii="宋体" w:hAnsi="宋体" w:cs="宋体"/>
          <w:b/>
          <w:color w:val="auto"/>
          <w:sz w:val="24"/>
        </w:rPr>
        <w:t>（二）近年完成的类似项目情况表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9EF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06CE8579">
            <w:pPr>
              <w:wordWrap w:val="0"/>
              <w:topLinePunct/>
              <w:spacing w:line="600" w:lineRule="exact"/>
              <w:jc w:val="center"/>
              <w:rPr>
                <w:rFonts w:ascii="宋体" w:hAnsi="宋体" w:cs="宋体"/>
                <w:color w:val="auto"/>
                <w:sz w:val="24"/>
              </w:rPr>
            </w:pPr>
            <w:r>
              <w:rPr>
                <w:rFonts w:hint="eastAsia" w:ascii="宋体" w:hAnsi="宋体" w:cs="宋体"/>
                <w:color w:val="auto"/>
                <w:sz w:val="24"/>
              </w:rPr>
              <w:t>项目名称</w:t>
            </w:r>
          </w:p>
        </w:tc>
        <w:tc>
          <w:tcPr>
            <w:tcW w:w="6253" w:type="dxa"/>
            <w:noWrap w:val="0"/>
            <w:vAlign w:val="top"/>
          </w:tcPr>
          <w:p w14:paraId="139A707B">
            <w:pPr>
              <w:wordWrap w:val="0"/>
              <w:topLinePunct/>
              <w:spacing w:line="600" w:lineRule="exact"/>
              <w:rPr>
                <w:rFonts w:ascii="宋体" w:hAnsi="宋体" w:cs="宋体"/>
                <w:color w:val="auto"/>
                <w:sz w:val="24"/>
                <w:highlight w:val="black"/>
              </w:rPr>
            </w:pPr>
          </w:p>
        </w:tc>
      </w:tr>
      <w:tr w14:paraId="3428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1CFE8906">
            <w:pPr>
              <w:wordWrap w:val="0"/>
              <w:topLinePunct/>
              <w:spacing w:line="600" w:lineRule="exact"/>
              <w:jc w:val="center"/>
              <w:rPr>
                <w:rFonts w:ascii="宋体" w:hAnsi="宋体" w:cs="宋体"/>
                <w:color w:val="auto"/>
                <w:sz w:val="24"/>
              </w:rPr>
            </w:pPr>
            <w:r>
              <w:rPr>
                <w:rFonts w:hint="eastAsia" w:ascii="宋体" w:hAnsi="宋体" w:cs="宋体"/>
                <w:color w:val="auto"/>
                <w:sz w:val="24"/>
              </w:rPr>
              <w:t>项目所在地</w:t>
            </w:r>
          </w:p>
        </w:tc>
        <w:tc>
          <w:tcPr>
            <w:tcW w:w="6253" w:type="dxa"/>
            <w:noWrap w:val="0"/>
            <w:vAlign w:val="top"/>
          </w:tcPr>
          <w:p w14:paraId="5A310F2F">
            <w:pPr>
              <w:wordWrap w:val="0"/>
              <w:topLinePunct/>
              <w:spacing w:line="600" w:lineRule="exact"/>
              <w:rPr>
                <w:rFonts w:ascii="宋体" w:hAnsi="宋体" w:cs="宋体"/>
                <w:color w:val="auto"/>
                <w:sz w:val="24"/>
              </w:rPr>
            </w:pPr>
          </w:p>
        </w:tc>
      </w:tr>
      <w:tr w14:paraId="3F2E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69" w:type="dxa"/>
            <w:noWrap w:val="0"/>
            <w:vAlign w:val="center"/>
          </w:tcPr>
          <w:p w14:paraId="18858A90">
            <w:pPr>
              <w:wordWrap w:val="0"/>
              <w:topLinePunct/>
              <w:spacing w:line="600" w:lineRule="exact"/>
              <w:jc w:val="center"/>
              <w:rPr>
                <w:rFonts w:ascii="宋体" w:hAnsi="宋体" w:cs="宋体"/>
                <w:color w:val="auto"/>
                <w:sz w:val="24"/>
              </w:rPr>
            </w:pPr>
            <w:r>
              <w:rPr>
                <w:rFonts w:hint="eastAsia" w:ascii="宋体" w:hAnsi="宋体" w:cs="宋体"/>
                <w:color w:val="auto"/>
                <w:sz w:val="24"/>
              </w:rPr>
              <w:t>发包人名称</w:t>
            </w:r>
          </w:p>
        </w:tc>
        <w:tc>
          <w:tcPr>
            <w:tcW w:w="6253" w:type="dxa"/>
            <w:noWrap w:val="0"/>
            <w:vAlign w:val="top"/>
          </w:tcPr>
          <w:p w14:paraId="01768A6D">
            <w:pPr>
              <w:wordWrap w:val="0"/>
              <w:topLinePunct/>
              <w:spacing w:line="600" w:lineRule="exact"/>
              <w:rPr>
                <w:rFonts w:ascii="宋体" w:hAnsi="宋体" w:cs="宋体"/>
                <w:color w:val="auto"/>
                <w:sz w:val="24"/>
              </w:rPr>
            </w:pPr>
          </w:p>
        </w:tc>
      </w:tr>
      <w:tr w14:paraId="2398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69" w:type="dxa"/>
            <w:noWrap w:val="0"/>
            <w:vAlign w:val="center"/>
          </w:tcPr>
          <w:p w14:paraId="4EA219F9">
            <w:pPr>
              <w:wordWrap w:val="0"/>
              <w:topLinePunct/>
              <w:spacing w:line="600" w:lineRule="exact"/>
              <w:jc w:val="center"/>
              <w:rPr>
                <w:rFonts w:ascii="宋体" w:hAnsi="宋体" w:cs="宋体"/>
                <w:color w:val="auto"/>
                <w:sz w:val="24"/>
              </w:rPr>
            </w:pPr>
            <w:r>
              <w:rPr>
                <w:rFonts w:hint="eastAsia" w:ascii="宋体" w:hAnsi="宋体" w:cs="宋体"/>
                <w:color w:val="auto"/>
                <w:sz w:val="24"/>
              </w:rPr>
              <w:t>发包人地址</w:t>
            </w:r>
          </w:p>
        </w:tc>
        <w:tc>
          <w:tcPr>
            <w:tcW w:w="6253" w:type="dxa"/>
            <w:noWrap w:val="0"/>
            <w:vAlign w:val="top"/>
          </w:tcPr>
          <w:p w14:paraId="2B6A3710">
            <w:pPr>
              <w:wordWrap w:val="0"/>
              <w:topLinePunct/>
              <w:spacing w:line="600" w:lineRule="exact"/>
              <w:rPr>
                <w:rFonts w:ascii="宋体" w:hAnsi="宋体" w:cs="宋体"/>
                <w:color w:val="auto"/>
                <w:sz w:val="24"/>
              </w:rPr>
            </w:pPr>
          </w:p>
        </w:tc>
      </w:tr>
      <w:tr w14:paraId="23CD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269" w:type="dxa"/>
            <w:noWrap w:val="0"/>
            <w:vAlign w:val="center"/>
          </w:tcPr>
          <w:p w14:paraId="5D46ADBB">
            <w:pPr>
              <w:wordWrap w:val="0"/>
              <w:topLinePunct/>
              <w:spacing w:line="600" w:lineRule="exact"/>
              <w:jc w:val="center"/>
              <w:rPr>
                <w:rFonts w:hint="eastAsia" w:ascii="宋体" w:hAnsi="宋体" w:cs="宋体"/>
                <w:color w:val="auto"/>
                <w:sz w:val="24"/>
              </w:rPr>
            </w:pPr>
            <w:r>
              <w:rPr>
                <w:rFonts w:hint="eastAsia" w:ascii="宋体" w:hAnsi="宋体" w:cs="宋体"/>
                <w:color w:val="auto"/>
                <w:sz w:val="24"/>
              </w:rPr>
              <w:t>发包人电话</w:t>
            </w:r>
          </w:p>
        </w:tc>
        <w:tc>
          <w:tcPr>
            <w:tcW w:w="6253" w:type="dxa"/>
            <w:noWrap w:val="0"/>
            <w:vAlign w:val="top"/>
          </w:tcPr>
          <w:p w14:paraId="460E6586">
            <w:pPr>
              <w:wordWrap w:val="0"/>
              <w:topLinePunct/>
              <w:spacing w:line="600" w:lineRule="exact"/>
              <w:rPr>
                <w:rFonts w:ascii="宋体" w:hAnsi="宋体" w:cs="宋体"/>
                <w:color w:val="auto"/>
                <w:sz w:val="24"/>
              </w:rPr>
            </w:pPr>
          </w:p>
        </w:tc>
      </w:tr>
      <w:tr w14:paraId="460A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171FB044">
            <w:pPr>
              <w:wordWrap w:val="0"/>
              <w:topLinePunct/>
              <w:spacing w:line="600" w:lineRule="exact"/>
              <w:jc w:val="center"/>
              <w:rPr>
                <w:rFonts w:ascii="宋体" w:hAnsi="宋体" w:cs="宋体"/>
                <w:color w:val="auto"/>
                <w:sz w:val="24"/>
              </w:rPr>
            </w:pPr>
            <w:r>
              <w:rPr>
                <w:rFonts w:hint="eastAsia" w:ascii="宋体" w:hAnsi="宋体" w:cs="宋体"/>
                <w:color w:val="auto"/>
                <w:sz w:val="24"/>
              </w:rPr>
              <w:t>合同价格</w:t>
            </w:r>
          </w:p>
        </w:tc>
        <w:tc>
          <w:tcPr>
            <w:tcW w:w="6253" w:type="dxa"/>
            <w:noWrap w:val="0"/>
            <w:vAlign w:val="top"/>
          </w:tcPr>
          <w:p w14:paraId="4051F672">
            <w:pPr>
              <w:wordWrap w:val="0"/>
              <w:topLinePunct/>
              <w:spacing w:line="600" w:lineRule="exact"/>
              <w:rPr>
                <w:rFonts w:ascii="宋体" w:hAnsi="宋体" w:cs="宋体"/>
                <w:color w:val="auto"/>
                <w:sz w:val="24"/>
              </w:rPr>
            </w:pPr>
          </w:p>
        </w:tc>
      </w:tr>
      <w:tr w14:paraId="3964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71A63C05">
            <w:pPr>
              <w:wordWrap w:val="0"/>
              <w:topLinePunct/>
              <w:spacing w:line="600" w:lineRule="exact"/>
              <w:jc w:val="center"/>
              <w:rPr>
                <w:rFonts w:ascii="宋体" w:hAnsi="宋体" w:cs="宋体"/>
                <w:color w:val="auto"/>
                <w:sz w:val="24"/>
              </w:rPr>
            </w:pPr>
            <w:r>
              <w:rPr>
                <w:rFonts w:hint="eastAsia" w:ascii="宋体" w:hAnsi="宋体" w:cs="宋体"/>
                <w:color w:val="auto"/>
                <w:sz w:val="24"/>
              </w:rPr>
              <w:t>开工日期</w:t>
            </w:r>
          </w:p>
        </w:tc>
        <w:tc>
          <w:tcPr>
            <w:tcW w:w="6253" w:type="dxa"/>
            <w:noWrap w:val="0"/>
            <w:vAlign w:val="top"/>
          </w:tcPr>
          <w:p w14:paraId="641194DF">
            <w:pPr>
              <w:wordWrap w:val="0"/>
              <w:topLinePunct/>
              <w:spacing w:line="600" w:lineRule="exact"/>
              <w:rPr>
                <w:rFonts w:ascii="宋体" w:hAnsi="宋体" w:cs="宋体"/>
                <w:color w:val="auto"/>
                <w:sz w:val="24"/>
              </w:rPr>
            </w:pPr>
          </w:p>
        </w:tc>
      </w:tr>
      <w:tr w14:paraId="43E0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4941097">
            <w:pPr>
              <w:wordWrap w:val="0"/>
              <w:topLinePunct/>
              <w:spacing w:line="600" w:lineRule="exact"/>
              <w:jc w:val="center"/>
              <w:rPr>
                <w:rFonts w:ascii="宋体" w:hAnsi="宋体" w:cs="宋体"/>
                <w:color w:val="auto"/>
                <w:sz w:val="24"/>
              </w:rPr>
            </w:pPr>
            <w:r>
              <w:rPr>
                <w:rFonts w:hint="eastAsia" w:ascii="宋体" w:hAnsi="宋体" w:cs="宋体"/>
                <w:color w:val="auto"/>
                <w:sz w:val="24"/>
              </w:rPr>
              <w:t>竣工日期</w:t>
            </w:r>
          </w:p>
        </w:tc>
        <w:tc>
          <w:tcPr>
            <w:tcW w:w="6253" w:type="dxa"/>
            <w:noWrap w:val="0"/>
            <w:vAlign w:val="top"/>
          </w:tcPr>
          <w:p w14:paraId="3AC33A21">
            <w:pPr>
              <w:wordWrap w:val="0"/>
              <w:topLinePunct/>
              <w:spacing w:line="600" w:lineRule="exact"/>
              <w:rPr>
                <w:rFonts w:ascii="宋体" w:hAnsi="宋体" w:cs="宋体"/>
                <w:color w:val="auto"/>
                <w:sz w:val="24"/>
              </w:rPr>
            </w:pPr>
          </w:p>
        </w:tc>
      </w:tr>
      <w:tr w14:paraId="7F96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noWrap w:val="0"/>
            <w:vAlign w:val="center"/>
          </w:tcPr>
          <w:p w14:paraId="2E17652D">
            <w:pPr>
              <w:wordWrap w:val="0"/>
              <w:topLinePunct/>
              <w:spacing w:line="600" w:lineRule="exact"/>
              <w:jc w:val="center"/>
              <w:rPr>
                <w:rFonts w:ascii="宋体" w:hAnsi="宋体" w:cs="宋体"/>
                <w:color w:val="auto"/>
                <w:sz w:val="24"/>
              </w:rPr>
            </w:pPr>
            <w:r>
              <w:rPr>
                <w:rFonts w:hint="eastAsia" w:ascii="宋体" w:hAnsi="宋体" w:cs="宋体"/>
                <w:color w:val="auto"/>
                <w:sz w:val="24"/>
              </w:rPr>
              <w:t>承担的工作</w:t>
            </w:r>
          </w:p>
        </w:tc>
        <w:tc>
          <w:tcPr>
            <w:tcW w:w="6253" w:type="dxa"/>
            <w:noWrap w:val="0"/>
            <w:vAlign w:val="top"/>
          </w:tcPr>
          <w:p w14:paraId="1738A0A6">
            <w:pPr>
              <w:wordWrap w:val="0"/>
              <w:topLinePunct/>
              <w:spacing w:line="600" w:lineRule="exact"/>
              <w:rPr>
                <w:rFonts w:ascii="宋体" w:hAnsi="宋体" w:cs="宋体"/>
                <w:color w:val="auto"/>
                <w:sz w:val="24"/>
              </w:rPr>
            </w:pPr>
          </w:p>
        </w:tc>
      </w:tr>
      <w:tr w14:paraId="481F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noWrap w:val="0"/>
            <w:vAlign w:val="center"/>
          </w:tcPr>
          <w:p w14:paraId="1D1A2E6A">
            <w:pPr>
              <w:wordWrap w:val="0"/>
              <w:topLinePunct/>
              <w:spacing w:line="600" w:lineRule="exact"/>
              <w:jc w:val="center"/>
              <w:rPr>
                <w:rFonts w:ascii="宋体" w:hAnsi="宋体" w:cs="宋体"/>
                <w:color w:val="auto"/>
                <w:sz w:val="24"/>
              </w:rPr>
            </w:pPr>
            <w:r>
              <w:rPr>
                <w:rFonts w:hint="eastAsia" w:ascii="宋体" w:hAnsi="宋体" w:cs="宋体"/>
                <w:color w:val="auto"/>
                <w:sz w:val="24"/>
              </w:rPr>
              <w:t>工程质量</w:t>
            </w:r>
          </w:p>
        </w:tc>
        <w:tc>
          <w:tcPr>
            <w:tcW w:w="6253" w:type="dxa"/>
            <w:noWrap w:val="0"/>
            <w:vAlign w:val="top"/>
          </w:tcPr>
          <w:p w14:paraId="20E25D55">
            <w:pPr>
              <w:wordWrap w:val="0"/>
              <w:topLinePunct/>
              <w:spacing w:line="600" w:lineRule="exact"/>
              <w:rPr>
                <w:rFonts w:ascii="宋体" w:hAnsi="宋体" w:cs="宋体"/>
                <w:color w:val="auto"/>
                <w:sz w:val="24"/>
              </w:rPr>
            </w:pPr>
          </w:p>
        </w:tc>
      </w:tr>
      <w:tr w14:paraId="316F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noWrap w:val="0"/>
            <w:vAlign w:val="center"/>
          </w:tcPr>
          <w:p w14:paraId="5D8801BE">
            <w:pPr>
              <w:wordWrap w:val="0"/>
              <w:topLinePunct/>
              <w:spacing w:line="600" w:lineRule="exact"/>
              <w:jc w:val="center"/>
              <w:rPr>
                <w:rFonts w:ascii="宋体" w:hAnsi="宋体" w:cs="宋体"/>
                <w:color w:val="auto"/>
                <w:sz w:val="24"/>
              </w:rPr>
            </w:pPr>
            <w:r>
              <w:rPr>
                <w:rFonts w:hint="eastAsia" w:ascii="宋体" w:hAnsi="宋体" w:cs="宋体"/>
                <w:color w:val="auto"/>
                <w:sz w:val="24"/>
              </w:rPr>
              <w:t>项目经理</w:t>
            </w:r>
          </w:p>
        </w:tc>
        <w:tc>
          <w:tcPr>
            <w:tcW w:w="6253" w:type="dxa"/>
            <w:noWrap w:val="0"/>
            <w:vAlign w:val="top"/>
          </w:tcPr>
          <w:p w14:paraId="73F494BE">
            <w:pPr>
              <w:wordWrap w:val="0"/>
              <w:topLinePunct/>
              <w:spacing w:line="600" w:lineRule="exact"/>
              <w:rPr>
                <w:rFonts w:ascii="宋体" w:hAnsi="宋体" w:cs="宋体"/>
                <w:color w:val="auto"/>
                <w:sz w:val="24"/>
              </w:rPr>
            </w:pPr>
          </w:p>
        </w:tc>
      </w:tr>
      <w:tr w14:paraId="6DE0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14:paraId="19EBD883">
            <w:pPr>
              <w:wordWrap w:val="0"/>
              <w:topLinePunct/>
              <w:spacing w:line="600" w:lineRule="exact"/>
              <w:jc w:val="center"/>
              <w:rPr>
                <w:rFonts w:ascii="宋体" w:hAnsi="宋体" w:cs="宋体"/>
                <w:color w:val="auto"/>
                <w:sz w:val="24"/>
              </w:rPr>
            </w:pPr>
            <w:r>
              <w:rPr>
                <w:rFonts w:hint="eastAsia" w:ascii="宋体" w:hAnsi="宋体" w:cs="宋体"/>
                <w:color w:val="auto"/>
                <w:sz w:val="24"/>
              </w:rPr>
              <w:t>技术负责人</w:t>
            </w:r>
          </w:p>
        </w:tc>
        <w:tc>
          <w:tcPr>
            <w:tcW w:w="6253" w:type="dxa"/>
            <w:noWrap w:val="0"/>
            <w:vAlign w:val="top"/>
          </w:tcPr>
          <w:p w14:paraId="051B41F7">
            <w:pPr>
              <w:wordWrap w:val="0"/>
              <w:topLinePunct/>
              <w:spacing w:line="600" w:lineRule="exact"/>
              <w:rPr>
                <w:rFonts w:ascii="宋体" w:hAnsi="宋体" w:cs="宋体"/>
                <w:color w:val="auto"/>
                <w:sz w:val="24"/>
              </w:rPr>
            </w:pPr>
          </w:p>
        </w:tc>
      </w:tr>
      <w:tr w14:paraId="372E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2269" w:type="dxa"/>
            <w:noWrap w:val="0"/>
            <w:vAlign w:val="center"/>
          </w:tcPr>
          <w:p w14:paraId="3B088A93">
            <w:pPr>
              <w:wordWrap w:val="0"/>
              <w:topLinePunct/>
              <w:spacing w:line="600" w:lineRule="exact"/>
              <w:jc w:val="center"/>
              <w:rPr>
                <w:rFonts w:ascii="宋体" w:hAnsi="宋体" w:cs="宋体"/>
                <w:color w:val="auto"/>
                <w:sz w:val="24"/>
              </w:rPr>
            </w:pPr>
            <w:r>
              <w:rPr>
                <w:rFonts w:hint="eastAsia" w:ascii="宋体" w:hAnsi="宋体" w:cs="宋体"/>
                <w:color w:val="auto"/>
                <w:sz w:val="24"/>
              </w:rPr>
              <w:t>项目描述</w:t>
            </w:r>
          </w:p>
        </w:tc>
        <w:tc>
          <w:tcPr>
            <w:tcW w:w="6253" w:type="dxa"/>
            <w:noWrap w:val="0"/>
            <w:vAlign w:val="top"/>
          </w:tcPr>
          <w:p w14:paraId="0406AFEB">
            <w:pPr>
              <w:wordWrap w:val="0"/>
              <w:topLinePunct/>
              <w:spacing w:line="600" w:lineRule="exact"/>
              <w:rPr>
                <w:rFonts w:ascii="宋体" w:hAnsi="宋体" w:cs="宋体"/>
                <w:color w:val="auto"/>
                <w:sz w:val="24"/>
              </w:rPr>
            </w:pPr>
          </w:p>
          <w:p w14:paraId="740BBAB3">
            <w:pPr>
              <w:wordWrap w:val="0"/>
              <w:topLinePunct/>
              <w:spacing w:line="600" w:lineRule="exact"/>
              <w:rPr>
                <w:rFonts w:hint="eastAsia" w:ascii="宋体" w:hAnsi="宋体" w:cs="宋体"/>
                <w:color w:val="auto"/>
                <w:sz w:val="24"/>
              </w:rPr>
            </w:pPr>
          </w:p>
          <w:p w14:paraId="4EDFD985">
            <w:pPr>
              <w:wordWrap w:val="0"/>
              <w:topLinePunct/>
              <w:spacing w:line="600" w:lineRule="exact"/>
              <w:rPr>
                <w:rFonts w:ascii="宋体" w:hAnsi="宋体" w:cs="宋体"/>
                <w:color w:val="auto"/>
                <w:sz w:val="24"/>
              </w:rPr>
            </w:pPr>
          </w:p>
        </w:tc>
      </w:tr>
      <w:tr w14:paraId="0F59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020D42D1">
            <w:pPr>
              <w:wordWrap w:val="0"/>
              <w:topLinePunct/>
              <w:spacing w:line="600" w:lineRule="exact"/>
              <w:jc w:val="center"/>
              <w:rPr>
                <w:rFonts w:ascii="宋体" w:hAnsi="宋体" w:cs="宋体"/>
                <w:color w:val="auto"/>
                <w:sz w:val="24"/>
              </w:rPr>
            </w:pPr>
            <w:r>
              <w:rPr>
                <w:rFonts w:hint="eastAsia" w:ascii="宋体" w:hAnsi="宋体" w:cs="宋体"/>
                <w:color w:val="auto"/>
                <w:sz w:val="24"/>
              </w:rPr>
              <w:t>备注</w:t>
            </w:r>
          </w:p>
        </w:tc>
        <w:tc>
          <w:tcPr>
            <w:tcW w:w="6253" w:type="dxa"/>
            <w:noWrap w:val="0"/>
            <w:vAlign w:val="top"/>
          </w:tcPr>
          <w:p w14:paraId="38107C98">
            <w:pPr>
              <w:wordWrap w:val="0"/>
              <w:topLinePunct/>
              <w:spacing w:line="600" w:lineRule="exact"/>
              <w:rPr>
                <w:rFonts w:ascii="宋体" w:hAnsi="宋体" w:cs="宋体"/>
                <w:color w:val="auto"/>
                <w:sz w:val="24"/>
              </w:rPr>
            </w:pPr>
          </w:p>
        </w:tc>
      </w:tr>
    </w:tbl>
    <w:p w14:paraId="4E1322C2">
      <w:pPr>
        <w:wordWrap w:val="0"/>
        <w:spacing w:line="360" w:lineRule="auto"/>
        <w:ind w:firstLine="480" w:firstLineChars="200"/>
        <w:jc w:val="left"/>
        <w:rPr>
          <w:rFonts w:ascii="宋体" w:hAnsi="宋体" w:cs="微软雅黑"/>
          <w:color w:val="auto"/>
          <w:kern w:val="0"/>
          <w:sz w:val="24"/>
        </w:rPr>
      </w:pPr>
      <w:r>
        <w:rPr>
          <w:rFonts w:ascii="宋体" w:hAnsi="宋体"/>
          <w:color w:val="auto"/>
          <w:sz w:val="24"/>
        </w:rPr>
        <w:t>备注：</w:t>
      </w:r>
      <w:r>
        <w:rPr>
          <w:rFonts w:hint="eastAsia" w:ascii="宋体" w:hAnsi="宋体" w:cs="微软雅黑"/>
          <w:color w:val="auto"/>
          <w:kern w:val="0"/>
          <w:sz w:val="24"/>
        </w:rPr>
        <w:t>本表后附202</w:t>
      </w:r>
      <w:r>
        <w:rPr>
          <w:rFonts w:hint="eastAsia" w:ascii="宋体" w:hAnsi="宋体" w:cs="微软雅黑"/>
          <w:color w:val="auto"/>
          <w:kern w:val="0"/>
          <w:sz w:val="24"/>
          <w:lang w:val="en-US" w:eastAsia="zh-CN"/>
        </w:rPr>
        <w:t>3</w:t>
      </w:r>
      <w:r>
        <w:rPr>
          <w:rFonts w:hint="eastAsia" w:ascii="宋体" w:hAnsi="宋体" w:cs="微软雅黑"/>
          <w:color w:val="auto"/>
          <w:kern w:val="0"/>
          <w:sz w:val="24"/>
        </w:rPr>
        <w:t>年1月1日至今已完成的</w:t>
      </w:r>
      <w:r>
        <w:rPr>
          <w:rFonts w:hint="eastAsia" w:ascii="宋体" w:hAnsi="宋体" w:cs="微软雅黑"/>
          <w:color w:val="auto"/>
          <w:kern w:val="0"/>
          <w:sz w:val="24"/>
          <w:lang w:val="en-US" w:eastAsia="zh-CN"/>
        </w:rPr>
        <w:t>公路工程</w:t>
      </w:r>
      <w:r>
        <w:rPr>
          <w:rFonts w:hint="eastAsia" w:ascii="宋体" w:hAnsi="宋体" w:cs="微软雅黑"/>
          <w:color w:val="auto"/>
          <w:kern w:val="0"/>
          <w:sz w:val="24"/>
        </w:rPr>
        <w:t>项目</w:t>
      </w:r>
      <w:r>
        <w:rPr>
          <w:rFonts w:hint="eastAsia" w:ascii="宋体" w:hAnsi="宋体" w:cs="宋体"/>
          <w:color w:val="auto"/>
          <w:kern w:val="0"/>
          <w:sz w:val="24"/>
        </w:rPr>
        <w:t>中标通知书和施工合同</w:t>
      </w:r>
      <w:r>
        <w:rPr>
          <w:rFonts w:hint="eastAsia" w:ascii="宋体" w:hAnsi="宋体" w:cs="微软雅黑"/>
          <w:color w:val="auto"/>
          <w:kern w:val="0"/>
          <w:sz w:val="24"/>
          <w:lang w:val="en-US" w:eastAsia="zh-CN"/>
        </w:rPr>
        <w:t>原件</w:t>
      </w:r>
      <w:r>
        <w:rPr>
          <w:rFonts w:hint="eastAsia" w:ascii="宋体" w:hAnsi="宋体" w:cs="微软雅黑"/>
          <w:color w:val="auto"/>
          <w:kern w:val="0"/>
          <w:sz w:val="24"/>
        </w:rPr>
        <w:t>的扫描件，每张表格只填写一个项目，并标明序号。</w:t>
      </w:r>
    </w:p>
    <w:p w14:paraId="27F7C02F">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投标人：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（单位电子签章）</w:t>
      </w:r>
    </w:p>
    <w:p w14:paraId="2BFA65E4">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法定代表人：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（法人电子签章）</w:t>
      </w:r>
    </w:p>
    <w:p w14:paraId="4F735F21">
      <w:pPr>
        <w:tabs>
          <w:tab w:val="left" w:pos="6170"/>
        </w:tabs>
        <w:wordWrap w:val="0"/>
        <w:autoSpaceDE w:val="0"/>
        <w:autoSpaceDN w:val="0"/>
        <w:spacing w:line="480" w:lineRule="auto"/>
        <w:ind w:firstLine="2520" w:firstLineChars="1050"/>
        <w:rPr>
          <w:rFonts w:ascii="宋体" w:hAnsi="宋体" w:cs="宋体"/>
          <w:color w:val="auto"/>
          <w:sz w:val="24"/>
        </w:rPr>
      </w:pPr>
      <w:r>
        <w:rPr>
          <w:rFonts w:hint="eastAsia" w:ascii="宋体" w:hAnsi="宋体" w:cs="宋体"/>
          <w:color w:val="auto"/>
          <w:sz w:val="24"/>
          <w:lang w:val="zh-CN" w:bidi="zh-CN"/>
        </w:rPr>
        <w:t>日期：</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年</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月</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日</w:t>
      </w:r>
      <w:r>
        <w:rPr>
          <w:rFonts w:hint="eastAsia" w:ascii="宋体" w:hAnsi="宋体"/>
          <w:color w:val="auto"/>
          <w:sz w:val="24"/>
        </w:rPr>
        <w:t xml:space="preserve"> </w:t>
      </w:r>
      <w:r>
        <w:rPr>
          <w:rFonts w:ascii="宋体" w:hAnsi="宋体" w:cs="宋体"/>
          <w:color w:val="auto"/>
          <w:sz w:val="24"/>
        </w:rPr>
        <w:br w:type="page"/>
      </w:r>
      <w:r>
        <w:rPr>
          <w:rFonts w:hint="eastAsia" w:ascii="宋体" w:hAnsi="宋体" w:cs="宋体"/>
          <w:b/>
          <w:color w:val="auto"/>
          <w:sz w:val="24"/>
        </w:rPr>
        <w:t>（三）正在实施的和新承接的项目情况表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0F65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noWrap w:val="0"/>
            <w:vAlign w:val="center"/>
          </w:tcPr>
          <w:p w14:paraId="54932DA9">
            <w:pPr>
              <w:wordWrap w:val="0"/>
              <w:topLinePunct/>
              <w:spacing w:line="600" w:lineRule="exact"/>
              <w:jc w:val="center"/>
              <w:rPr>
                <w:rFonts w:ascii="宋体" w:hAnsi="宋体" w:cs="宋体"/>
                <w:color w:val="auto"/>
                <w:sz w:val="24"/>
              </w:rPr>
            </w:pPr>
            <w:r>
              <w:rPr>
                <w:rFonts w:hint="eastAsia" w:ascii="宋体" w:hAnsi="宋体" w:cs="宋体"/>
                <w:color w:val="auto"/>
                <w:sz w:val="24"/>
              </w:rPr>
              <w:t>项目名称</w:t>
            </w:r>
          </w:p>
        </w:tc>
        <w:tc>
          <w:tcPr>
            <w:tcW w:w="6403" w:type="dxa"/>
            <w:noWrap w:val="0"/>
            <w:vAlign w:val="top"/>
          </w:tcPr>
          <w:p w14:paraId="55FB205B">
            <w:pPr>
              <w:wordWrap w:val="0"/>
              <w:topLinePunct/>
              <w:spacing w:line="600" w:lineRule="exact"/>
              <w:rPr>
                <w:rFonts w:ascii="宋体" w:hAnsi="宋体" w:cs="宋体"/>
                <w:color w:val="auto"/>
                <w:sz w:val="24"/>
              </w:rPr>
            </w:pPr>
          </w:p>
        </w:tc>
      </w:tr>
      <w:tr w14:paraId="23AD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noWrap w:val="0"/>
            <w:vAlign w:val="center"/>
          </w:tcPr>
          <w:p w14:paraId="5B493F0C">
            <w:pPr>
              <w:wordWrap w:val="0"/>
              <w:topLinePunct/>
              <w:spacing w:line="600" w:lineRule="exact"/>
              <w:jc w:val="center"/>
              <w:rPr>
                <w:rFonts w:ascii="宋体" w:hAnsi="宋体" w:cs="宋体"/>
                <w:color w:val="auto"/>
                <w:sz w:val="24"/>
              </w:rPr>
            </w:pPr>
            <w:r>
              <w:rPr>
                <w:rFonts w:hint="eastAsia" w:ascii="宋体" w:hAnsi="宋体" w:cs="宋体"/>
                <w:color w:val="auto"/>
                <w:sz w:val="24"/>
              </w:rPr>
              <w:t>项目所在地</w:t>
            </w:r>
          </w:p>
        </w:tc>
        <w:tc>
          <w:tcPr>
            <w:tcW w:w="6403" w:type="dxa"/>
            <w:noWrap w:val="0"/>
            <w:vAlign w:val="top"/>
          </w:tcPr>
          <w:p w14:paraId="5D93728F">
            <w:pPr>
              <w:wordWrap w:val="0"/>
              <w:topLinePunct/>
              <w:spacing w:line="600" w:lineRule="exact"/>
              <w:rPr>
                <w:rFonts w:ascii="宋体" w:hAnsi="宋体" w:cs="宋体"/>
                <w:color w:val="auto"/>
                <w:sz w:val="24"/>
              </w:rPr>
            </w:pPr>
          </w:p>
        </w:tc>
      </w:tr>
      <w:tr w14:paraId="5699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noWrap w:val="0"/>
            <w:vAlign w:val="center"/>
          </w:tcPr>
          <w:p w14:paraId="5EE904AB">
            <w:pPr>
              <w:wordWrap w:val="0"/>
              <w:topLinePunct/>
              <w:spacing w:line="600" w:lineRule="exact"/>
              <w:jc w:val="center"/>
              <w:rPr>
                <w:rFonts w:ascii="宋体" w:hAnsi="宋体" w:cs="宋体"/>
                <w:color w:val="auto"/>
                <w:sz w:val="24"/>
              </w:rPr>
            </w:pPr>
            <w:r>
              <w:rPr>
                <w:rFonts w:hint="eastAsia" w:ascii="宋体" w:hAnsi="宋体" w:cs="宋体"/>
                <w:color w:val="auto"/>
                <w:sz w:val="24"/>
              </w:rPr>
              <w:t>发包人名称</w:t>
            </w:r>
          </w:p>
        </w:tc>
        <w:tc>
          <w:tcPr>
            <w:tcW w:w="6403" w:type="dxa"/>
            <w:noWrap w:val="0"/>
            <w:vAlign w:val="top"/>
          </w:tcPr>
          <w:p w14:paraId="6762D203">
            <w:pPr>
              <w:wordWrap w:val="0"/>
              <w:topLinePunct/>
              <w:spacing w:line="600" w:lineRule="exact"/>
              <w:rPr>
                <w:rFonts w:ascii="宋体" w:hAnsi="宋体" w:cs="宋体"/>
                <w:color w:val="auto"/>
                <w:sz w:val="24"/>
              </w:rPr>
            </w:pPr>
          </w:p>
        </w:tc>
      </w:tr>
      <w:tr w14:paraId="7A83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noWrap w:val="0"/>
            <w:vAlign w:val="center"/>
          </w:tcPr>
          <w:p w14:paraId="10F9A783">
            <w:pPr>
              <w:wordWrap w:val="0"/>
              <w:topLinePunct/>
              <w:spacing w:line="600" w:lineRule="exact"/>
              <w:jc w:val="center"/>
              <w:rPr>
                <w:rFonts w:ascii="宋体" w:hAnsi="宋体" w:cs="宋体"/>
                <w:color w:val="auto"/>
                <w:sz w:val="24"/>
              </w:rPr>
            </w:pPr>
            <w:r>
              <w:rPr>
                <w:rFonts w:hint="eastAsia" w:ascii="宋体" w:hAnsi="宋体" w:cs="宋体"/>
                <w:color w:val="auto"/>
                <w:sz w:val="24"/>
              </w:rPr>
              <w:t>发包人地址</w:t>
            </w:r>
          </w:p>
        </w:tc>
        <w:tc>
          <w:tcPr>
            <w:tcW w:w="6403" w:type="dxa"/>
            <w:noWrap w:val="0"/>
            <w:vAlign w:val="top"/>
          </w:tcPr>
          <w:p w14:paraId="4FF8B78E">
            <w:pPr>
              <w:wordWrap w:val="0"/>
              <w:topLinePunct/>
              <w:spacing w:line="600" w:lineRule="exact"/>
              <w:rPr>
                <w:rFonts w:ascii="宋体" w:hAnsi="宋体" w:cs="宋体"/>
                <w:color w:val="auto"/>
                <w:sz w:val="24"/>
              </w:rPr>
            </w:pPr>
          </w:p>
        </w:tc>
      </w:tr>
      <w:tr w14:paraId="3AF0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noWrap w:val="0"/>
            <w:vAlign w:val="center"/>
          </w:tcPr>
          <w:p w14:paraId="57431A7B">
            <w:pPr>
              <w:wordWrap w:val="0"/>
              <w:topLinePunct/>
              <w:spacing w:line="600" w:lineRule="exact"/>
              <w:jc w:val="center"/>
              <w:rPr>
                <w:rFonts w:ascii="宋体" w:hAnsi="宋体" w:cs="宋体"/>
                <w:color w:val="auto"/>
                <w:sz w:val="24"/>
              </w:rPr>
            </w:pPr>
            <w:r>
              <w:rPr>
                <w:rFonts w:hint="eastAsia" w:ascii="宋体" w:hAnsi="宋体" w:cs="宋体"/>
                <w:color w:val="auto"/>
                <w:sz w:val="24"/>
              </w:rPr>
              <w:t>发包人电话</w:t>
            </w:r>
          </w:p>
        </w:tc>
        <w:tc>
          <w:tcPr>
            <w:tcW w:w="6403" w:type="dxa"/>
            <w:noWrap w:val="0"/>
            <w:vAlign w:val="top"/>
          </w:tcPr>
          <w:p w14:paraId="54FC45D8">
            <w:pPr>
              <w:wordWrap w:val="0"/>
              <w:topLinePunct/>
              <w:spacing w:line="600" w:lineRule="exact"/>
              <w:rPr>
                <w:rFonts w:ascii="宋体" w:hAnsi="宋体" w:cs="宋体"/>
                <w:color w:val="auto"/>
                <w:sz w:val="24"/>
              </w:rPr>
            </w:pPr>
          </w:p>
        </w:tc>
      </w:tr>
      <w:tr w14:paraId="7CC1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noWrap w:val="0"/>
            <w:vAlign w:val="center"/>
          </w:tcPr>
          <w:p w14:paraId="046651CE">
            <w:pPr>
              <w:wordWrap w:val="0"/>
              <w:topLinePunct/>
              <w:spacing w:line="600" w:lineRule="exact"/>
              <w:jc w:val="center"/>
              <w:rPr>
                <w:rFonts w:ascii="宋体" w:hAnsi="宋体" w:cs="宋体"/>
                <w:color w:val="auto"/>
                <w:sz w:val="24"/>
              </w:rPr>
            </w:pPr>
            <w:r>
              <w:rPr>
                <w:rFonts w:hint="eastAsia" w:ascii="宋体" w:hAnsi="宋体" w:cs="宋体"/>
                <w:color w:val="auto"/>
                <w:sz w:val="24"/>
              </w:rPr>
              <w:t>签约合同价</w:t>
            </w:r>
          </w:p>
        </w:tc>
        <w:tc>
          <w:tcPr>
            <w:tcW w:w="6403" w:type="dxa"/>
            <w:noWrap w:val="0"/>
            <w:vAlign w:val="top"/>
          </w:tcPr>
          <w:p w14:paraId="265962C2">
            <w:pPr>
              <w:wordWrap w:val="0"/>
              <w:topLinePunct/>
              <w:spacing w:line="600" w:lineRule="exact"/>
              <w:rPr>
                <w:rFonts w:ascii="宋体" w:hAnsi="宋体" w:cs="宋体"/>
                <w:color w:val="auto"/>
                <w:sz w:val="24"/>
              </w:rPr>
            </w:pPr>
          </w:p>
        </w:tc>
      </w:tr>
      <w:tr w14:paraId="75DA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noWrap w:val="0"/>
            <w:vAlign w:val="center"/>
          </w:tcPr>
          <w:p w14:paraId="3CAF5887">
            <w:pPr>
              <w:wordWrap w:val="0"/>
              <w:topLinePunct/>
              <w:spacing w:line="600" w:lineRule="exact"/>
              <w:jc w:val="center"/>
              <w:rPr>
                <w:rFonts w:ascii="宋体" w:hAnsi="宋体" w:cs="宋体"/>
                <w:color w:val="auto"/>
                <w:sz w:val="24"/>
              </w:rPr>
            </w:pPr>
            <w:r>
              <w:rPr>
                <w:rFonts w:hint="eastAsia" w:ascii="宋体" w:hAnsi="宋体" w:cs="宋体"/>
                <w:color w:val="auto"/>
                <w:sz w:val="24"/>
              </w:rPr>
              <w:t>开工日期</w:t>
            </w:r>
          </w:p>
        </w:tc>
        <w:tc>
          <w:tcPr>
            <w:tcW w:w="6403" w:type="dxa"/>
            <w:noWrap w:val="0"/>
            <w:vAlign w:val="top"/>
          </w:tcPr>
          <w:p w14:paraId="419C6E3D">
            <w:pPr>
              <w:wordWrap w:val="0"/>
              <w:topLinePunct/>
              <w:spacing w:line="600" w:lineRule="exact"/>
              <w:rPr>
                <w:rFonts w:ascii="宋体" w:hAnsi="宋体" w:cs="宋体"/>
                <w:color w:val="auto"/>
                <w:sz w:val="24"/>
              </w:rPr>
            </w:pPr>
          </w:p>
        </w:tc>
      </w:tr>
      <w:tr w14:paraId="4504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noWrap w:val="0"/>
            <w:vAlign w:val="center"/>
          </w:tcPr>
          <w:p w14:paraId="19442676">
            <w:pPr>
              <w:wordWrap w:val="0"/>
              <w:topLinePunct/>
              <w:spacing w:line="600" w:lineRule="exact"/>
              <w:jc w:val="center"/>
              <w:rPr>
                <w:rFonts w:ascii="宋体" w:hAnsi="宋体" w:cs="宋体"/>
                <w:color w:val="auto"/>
                <w:sz w:val="24"/>
              </w:rPr>
            </w:pPr>
            <w:r>
              <w:rPr>
                <w:rFonts w:hint="eastAsia" w:ascii="宋体" w:hAnsi="宋体" w:cs="宋体"/>
                <w:color w:val="auto"/>
                <w:sz w:val="24"/>
              </w:rPr>
              <w:t>计划竣工日期</w:t>
            </w:r>
          </w:p>
        </w:tc>
        <w:tc>
          <w:tcPr>
            <w:tcW w:w="6403" w:type="dxa"/>
            <w:noWrap w:val="0"/>
            <w:vAlign w:val="top"/>
          </w:tcPr>
          <w:p w14:paraId="342BAC80">
            <w:pPr>
              <w:wordWrap w:val="0"/>
              <w:topLinePunct/>
              <w:spacing w:line="600" w:lineRule="exact"/>
              <w:rPr>
                <w:rFonts w:ascii="宋体" w:hAnsi="宋体" w:cs="宋体"/>
                <w:color w:val="auto"/>
                <w:sz w:val="24"/>
              </w:rPr>
            </w:pPr>
          </w:p>
        </w:tc>
      </w:tr>
      <w:tr w14:paraId="66E4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noWrap w:val="0"/>
            <w:vAlign w:val="center"/>
          </w:tcPr>
          <w:p w14:paraId="18CC4B65">
            <w:pPr>
              <w:wordWrap w:val="0"/>
              <w:topLinePunct/>
              <w:spacing w:line="600" w:lineRule="exact"/>
              <w:jc w:val="center"/>
              <w:rPr>
                <w:rFonts w:ascii="宋体" w:hAnsi="宋体" w:cs="宋体"/>
                <w:color w:val="auto"/>
                <w:sz w:val="24"/>
              </w:rPr>
            </w:pPr>
            <w:r>
              <w:rPr>
                <w:rFonts w:hint="eastAsia" w:ascii="宋体" w:hAnsi="宋体" w:cs="宋体"/>
                <w:color w:val="auto"/>
                <w:sz w:val="24"/>
              </w:rPr>
              <w:t>承担的工作</w:t>
            </w:r>
          </w:p>
        </w:tc>
        <w:tc>
          <w:tcPr>
            <w:tcW w:w="6403" w:type="dxa"/>
            <w:noWrap w:val="0"/>
            <w:vAlign w:val="top"/>
          </w:tcPr>
          <w:p w14:paraId="30B6A26E">
            <w:pPr>
              <w:wordWrap w:val="0"/>
              <w:topLinePunct/>
              <w:spacing w:line="600" w:lineRule="exact"/>
              <w:rPr>
                <w:rFonts w:ascii="宋体" w:hAnsi="宋体" w:cs="宋体"/>
                <w:color w:val="auto"/>
                <w:sz w:val="24"/>
              </w:rPr>
            </w:pPr>
          </w:p>
        </w:tc>
      </w:tr>
      <w:tr w14:paraId="729E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noWrap w:val="0"/>
            <w:vAlign w:val="center"/>
          </w:tcPr>
          <w:p w14:paraId="35A21742">
            <w:pPr>
              <w:wordWrap w:val="0"/>
              <w:topLinePunct/>
              <w:spacing w:line="600" w:lineRule="exact"/>
              <w:jc w:val="center"/>
              <w:rPr>
                <w:rFonts w:ascii="宋体" w:hAnsi="宋体" w:cs="宋体"/>
                <w:color w:val="auto"/>
                <w:sz w:val="24"/>
              </w:rPr>
            </w:pPr>
            <w:r>
              <w:rPr>
                <w:rFonts w:hint="eastAsia" w:ascii="宋体" w:hAnsi="宋体" w:cs="宋体"/>
                <w:color w:val="auto"/>
                <w:sz w:val="24"/>
              </w:rPr>
              <w:t>工程质量</w:t>
            </w:r>
          </w:p>
        </w:tc>
        <w:tc>
          <w:tcPr>
            <w:tcW w:w="6403" w:type="dxa"/>
            <w:noWrap w:val="0"/>
            <w:vAlign w:val="top"/>
          </w:tcPr>
          <w:p w14:paraId="762C6539">
            <w:pPr>
              <w:wordWrap w:val="0"/>
              <w:topLinePunct/>
              <w:spacing w:line="600" w:lineRule="exact"/>
              <w:rPr>
                <w:rFonts w:ascii="宋体" w:hAnsi="宋体" w:cs="宋体"/>
                <w:color w:val="auto"/>
                <w:sz w:val="24"/>
              </w:rPr>
            </w:pPr>
          </w:p>
        </w:tc>
      </w:tr>
      <w:tr w14:paraId="35AE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noWrap w:val="0"/>
            <w:vAlign w:val="center"/>
          </w:tcPr>
          <w:p w14:paraId="3FC1E765">
            <w:pPr>
              <w:wordWrap w:val="0"/>
              <w:topLinePunct/>
              <w:spacing w:line="600" w:lineRule="exact"/>
              <w:jc w:val="center"/>
              <w:rPr>
                <w:rFonts w:ascii="宋体" w:hAnsi="宋体" w:cs="宋体"/>
                <w:color w:val="auto"/>
                <w:sz w:val="24"/>
              </w:rPr>
            </w:pPr>
            <w:r>
              <w:rPr>
                <w:rFonts w:hint="eastAsia" w:ascii="宋体" w:hAnsi="宋体" w:cs="宋体"/>
                <w:color w:val="auto"/>
                <w:sz w:val="24"/>
              </w:rPr>
              <w:t>项目经理</w:t>
            </w:r>
          </w:p>
        </w:tc>
        <w:tc>
          <w:tcPr>
            <w:tcW w:w="6403" w:type="dxa"/>
            <w:noWrap w:val="0"/>
            <w:vAlign w:val="top"/>
          </w:tcPr>
          <w:p w14:paraId="54B6416E">
            <w:pPr>
              <w:wordWrap w:val="0"/>
              <w:topLinePunct/>
              <w:spacing w:line="600" w:lineRule="exact"/>
              <w:rPr>
                <w:rFonts w:ascii="宋体" w:hAnsi="宋体" w:cs="宋体"/>
                <w:color w:val="auto"/>
                <w:sz w:val="24"/>
              </w:rPr>
            </w:pPr>
          </w:p>
        </w:tc>
      </w:tr>
      <w:tr w14:paraId="7C09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noWrap w:val="0"/>
            <w:vAlign w:val="center"/>
          </w:tcPr>
          <w:p w14:paraId="0B27D62A">
            <w:pPr>
              <w:wordWrap w:val="0"/>
              <w:topLinePunct/>
              <w:spacing w:line="600" w:lineRule="exact"/>
              <w:jc w:val="center"/>
              <w:rPr>
                <w:rFonts w:ascii="宋体" w:hAnsi="宋体" w:cs="宋体"/>
                <w:color w:val="auto"/>
                <w:sz w:val="24"/>
              </w:rPr>
            </w:pPr>
            <w:r>
              <w:rPr>
                <w:rFonts w:hint="eastAsia" w:ascii="宋体" w:hAnsi="宋体" w:cs="宋体"/>
                <w:color w:val="auto"/>
                <w:sz w:val="24"/>
              </w:rPr>
              <w:t>技术负责人</w:t>
            </w:r>
          </w:p>
        </w:tc>
        <w:tc>
          <w:tcPr>
            <w:tcW w:w="6403" w:type="dxa"/>
            <w:noWrap w:val="0"/>
            <w:vAlign w:val="top"/>
          </w:tcPr>
          <w:p w14:paraId="7F9E91F3">
            <w:pPr>
              <w:wordWrap w:val="0"/>
              <w:topLinePunct/>
              <w:spacing w:line="600" w:lineRule="exact"/>
              <w:rPr>
                <w:rFonts w:ascii="宋体" w:hAnsi="宋体" w:cs="宋体"/>
                <w:color w:val="auto"/>
                <w:sz w:val="24"/>
              </w:rPr>
            </w:pPr>
          </w:p>
        </w:tc>
      </w:tr>
      <w:tr w14:paraId="01A0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2119" w:type="dxa"/>
            <w:noWrap w:val="0"/>
            <w:vAlign w:val="center"/>
          </w:tcPr>
          <w:p w14:paraId="102183A6">
            <w:pPr>
              <w:wordWrap w:val="0"/>
              <w:topLinePunct/>
              <w:spacing w:line="600" w:lineRule="exact"/>
              <w:jc w:val="center"/>
              <w:rPr>
                <w:rFonts w:ascii="宋体" w:hAnsi="宋体" w:cs="宋体"/>
                <w:color w:val="auto"/>
                <w:sz w:val="24"/>
              </w:rPr>
            </w:pPr>
            <w:r>
              <w:rPr>
                <w:rFonts w:hint="eastAsia" w:ascii="宋体" w:hAnsi="宋体" w:cs="宋体"/>
                <w:color w:val="auto"/>
                <w:sz w:val="24"/>
              </w:rPr>
              <w:t>项目描述</w:t>
            </w:r>
          </w:p>
        </w:tc>
        <w:tc>
          <w:tcPr>
            <w:tcW w:w="6403" w:type="dxa"/>
            <w:noWrap w:val="0"/>
            <w:vAlign w:val="top"/>
          </w:tcPr>
          <w:p w14:paraId="240363BE">
            <w:pPr>
              <w:wordWrap w:val="0"/>
              <w:topLinePunct/>
              <w:spacing w:line="600" w:lineRule="exact"/>
              <w:rPr>
                <w:rFonts w:ascii="宋体" w:hAnsi="宋体" w:cs="宋体"/>
                <w:color w:val="auto"/>
                <w:sz w:val="24"/>
              </w:rPr>
            </w:pPr>
          </w:p>
          <w:p w14:paraId="53FE1691">
            <w:pPr>
              <w:wordWrap w:val="0"/>
              <w:topLinePunct/>
              <w:spacing w:line="600" w:lineRule="exact"/>
              <w:rPr>
                <w:rFonts w:ascii="宋体" w:hAnsi="宋体" w:cs="宋体"/>
                <w:color w:val="auto"/>
                <w:sz w:val="24"/>
              </w:rPr>
            </w:pPr>
          </w:p>
          <w:p w14:paraId="69B574A0">
            <w:pPr>
              <w:wordWrap w:val="0"/>
              <w:topLinePunct/>
              <w:spacing w:line="600" w:lineRule="exact"/>
              <w:rPr>
                <w:rFonts w:ascii="宋体" w:hAnsi="宋体" w:cs="宋体"/>
                <w:color w:val="auto"/>
                <w:sz w:val="24"/>
              </w:rPr>
            </w:pPr>
          </w:p>
        </w:tc>
      </w:tr>
      <w:tr w14:paraId="4A09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noWrap w:val="0"/>
            <w:vAlign w:val="center"/>
          </w:tcPr>
          <w:p w14:paraId="42EADD51">
            <w:pPr>
              <w:wordWrap w:val="0"/>
              <w:topLinePunct/>
              <w:spacing w:line="600" w:lineRule="exact"/>
              <w:jc w:val="center"/>
              <w:rPr>
                <w:rFonts w:ascii="宋体" w:hAnsi="宋体" w:cs="宋体"/>
                <w:color w:val="auto"/>
                <w:sz w:val="24"/>
              </w:rPr>
            </w:pPr>
            <w:r>
              <w:rPr>
                <w:rFonts w:hint="eastAsia" w:ascii="宋体" w:hAnsi="宋体" w:cs="宋体"/>
                <w:color w:val="auto"/>
                <w:sz w:val="24"/>
              </w:rPr>
              <w:t>备注</w:t>
            </w:r>
          </w:p>
        </w:tc>
        <w:tc>
          <w:tcPr>
            <w:tcW w:w="6403" w:type="dxa"/>
            <w:noWrap w:val="0"/>
            <w:vAlign w:val="top"/>
          </w:tcPr>
          <w:p w14:paraId="05C257A7">
            <w:pPr>
              <w:wordWrap w:val="0"/>
              <w:topLinePunct/>
              <w:spacing w:line="600" w:lineRule="exact"/>
              <w:rPr>
                <w:rFonts w:ascii="宋体" w:hAnsi="宋体" w:cs="宋体"/>
                <w:color w:val="auto"/>
                <w:sz w:val="24"/>
              </w:rPr>
            </w:pPr>
          </w:p>
        </w:tc>
      </w:tr>
    </w:tbl>
    <w:p w14:paraId="68DB4AC3">
      <w:pPr>
        <w:wordWrap w:val="0"/>
        <w:spacing w:line="360" w:lineRule="auto"/>
        <w:ind w:firstLine="472" w:firstLineChars="200"/>
        <w:jc w:val="left"/>
        <w:rPr>
          <w:rFonts w:ascii="宋体" w:hAnsi="宋体" w:cs="微软雅黑"/>
          <w:color w:val="auto"/>
          <w:kern w:val="0"/>
          <w:sz w:val="24"/>
        </w:rPr>
      </w:pPr>
      <w:r>
        <w:rPr>
          <w:rFonts w:ascii="宋体" w:hAnsi="宋体"/>
          <w:color w:val="auto"/>
          <w:spacing w:val="-2"/>
          <w:sz w:val="24"/>
        </w:rPr>
        <w:t>备注：</w:t>
      </w:r>
      <w:r>
        <w:rPr>
          <w:rFonts w:hint="eastAsia" w:ascii="宋体" w:hAnsi="宋体" w:cs="微软雅黑"/>
          <w:color w:val="auto"/>
          <w:kern w:val="0"/>
          <w:sz w:val="24"/>
        </w:rPr>
        <w:t>本表后附</w:t>
      </w:r>
      <w:r>
        <w:rPr>
          <w:rFonts w:hint="eastAsia" w:ascii="宋体" w:hAnsi="宋体" w:cs="宋体"/>
          <w:color w:val="auto"/>
          <w:kern w:val="0"/>
          <w:sz w:val="24"/>
        </w:rPr>
        <w:t>中标通知书和施工合同</w:t>
      </w:r>
      <w:r>
        <w:rPr>
          <w:rFonts w:hint="eastAsia" w:ascii="宋体" w:hAnsi="宋体" w:cs="微软雅黑"/>
          <w:color w:val="auto"/>
          <w:kern w:val="0"/>
          <w:sz w:val="24"/>
        </w:rPr>
        <w:t>的扫描件，每张表格只填写一个项目，并标明序号。</w:t>
      </w:r>
    </w:p>
    <w:p w14:paraId="63F37243">
      <w:pPr>
        <w:wordWrap w:val="0"/>
        <w:autoSpaceDE w:val="0"/>
        <w:autoSpaceDN w:val="0"/>
        <w:spacing w:line="480" w:lineRule="auto"/>
        <w:ind w:firstLine="2520" w:firstLineChars="1050"/>
        <w:rPr>
          <w:rFonts w:hint="eastAsia" w:ascii="宋体" w:hAnsi="宋体" w:cs="宋体"/>
          <w:color w:val="auto"/>
          <w:sz w:val="24"/>
          <w:lang w:val="zh-CN" w:bidi="zh-CN"/>
        </w:rPr>
      </w:pPr>
    </w:p>
    <w:p w14:paraId="3D31A572">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投标人：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（单位电子签章）</w:t>
      </w:r>
    </w:p>
    <w:p w14:paraId="7438D723">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法定代表人：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（法人电子签章）</w:t>
      </w:r>
    </w:p>
    <w:p w14:paraId="77FC1E95">
      <w:pPr>
        <w:tabs>
          <w:tab w:val="left" w:pos="6170"/>
        </w:tabs>
        <w:wordWrap w:val="0"/>
        <w:autoSpaceDE w:val="0"/>
        <w:autoSpaceDN w:val="0"/>
        <w:spacing w:line="480" w:lineRule="auto"/>
        <w:ind w:firstLine="2520" w:firstLineChars="1050"/>
        <w:rPr>
          <w:rFonts w:ascii="宋体" w:hAnsi="宋体"/>
          <w:bCs/>
          <w:color w:val="auto"/>
          <w:sz w:val="24"/>
        </w:rPr>
      </w:pPr>
      <w:r>
        <w:rPr>
          <w:rFonts w:hint="eastAsia" w:ascii="宋体" w:hAnsi="宋体" w:cs="宋体"/>
          <w:color w:val="auto"/>
          <w:sz w:val="24"/>
          <w:lang w:val="zh-CN" w:bidi="zh-CN"/>
        </w:rPr>
        <w:t>日期：</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年</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月</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日</w:t>
      </w:r>
      <w:r>
        <w:rPr>
          <w:rFonts w:hint="eastAsia" w:ascii="宋体" w:hAnsi="宋体"/>
          <w:color w:val="auto"/>
          <w:sz w:val="24"/>
        </w:rPr>
        <w:t xml:space="preserve"> </w:t>
      </w:r>
    </w:p>
    <w:p w14:paraId="20306A4B">
      <w:pPr>
        <w:wordWrap w:val="0"/>
        <w:rPr>
          <w:rFonts w:ascii="宋体" w:hAnsi="宋体" w:cs="宋体"/>
          <w:b/>
          <w:color w:val="auto"/>
          <w:sz w:val="24"/>
        </w:rPr>
      </w:pPr>
      <w:r>
        <w:rPr>
          <w:rFonts w:hint="eastAsia" w:ascii="宋体" w:hAnsi="宋体" w:cs="宋体"/>
          <w:b/>
          <w:color w:val="auto"/>
          <w:sz w:val="24"/>
        </w:rPr>
        <w:t>（四）拟派项目经理和技术负责人资历表</w:t>
      </w:r>
    </w:p>
    <w:p w14:paraId="64F414D9">
      <w:pPr>
        <w:wordWrap w:val="0"/>
        <w:rPr>
          <w:rFonts w:ascii="宋体" w:hAnsi="宋体"/>
          <w:color w:val="auto"/>
          <w:szCs w:val="20"/>
        </w:rPr>
      </w:pPr>
    </w:p>
    <w:tbl>
      <w:tblPr>
        <w:tblStyle w:val="15"/>
        <w:tblW w:w="0" w:type="auto"/>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530"/>
        <w:gridCol w:w="1549"/>
        <w:gridCol w:w="1530"/>
        <w:gridCol w:w="1550"/>
        <w:gridCol w:w="1402"/>
      </w:tblGrid>
      <w:tr w14:paraId="7110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30" w:type="dxa"/>
            <w:noWrap w:val="0"/>
            <w:vAlign w:val="center"/>
          </w:tcPr>
          <w:p w14:paraId="40D73EEE">
            <w:pPr>
              <w:wordWrap w:val="0"/>
              <w:spacing w:line="360" w:lineRule="auto"/>
              <w:jc w:val="center"/>
              <w:rPr>
                <w:rFonts w:ascii="宋体" w:hAnsi="宋体"/>
                <w:color w:val="auto"/>
                <w:sz w:val="24"/>
              </w:rPr>
            </w:pPr>
            <w:r>
              <w:rPr>
                <w:rFonts w:hint="eastAsia" w:ascii="宋体" w:hAnsi="宋体"/>
                <w:color w:val="auto"/>
                <w:sz w:val="24"/>
              </w:rPr>
              <w:t>姓名</w:t>
            </w:r>
          </w:p>
        </w:tc>
        <w:tc>
          <w:tcPr>
            <w:tcW w:w="1530" w:type="dxa"/>
            <w:noWrap w:val="0"/>
            <w:vAlign w:val="center"/>
          </w:tcPr>
          <w:p w14:paraId="6809DD00">
            <w:pPr>
              <w:wordWrap w:val="0"/>
              <w:spacing w:line="360" w:lineRule="auto"/>
              <w:jc w:val="center"/>
              <w:rPr>
                <w:rFonts w:ascii="宋体" w:hAnsi="宋体"/>
                <w:color w:val="auto"/>
                <w:sz w:val="24"/>
              </w:rPr>
            </w:pPr>
          </w:p>
        </w:tc>
        <w:tc>
          <w:tcPr>
            <w:tcW w:w="1549" w:type="dxa"/>
            <w:noWrap w:val="0"/>
            <w:vAlign w:val="center"/>
          </w:tcPr>
          <w:p w14:paraId="7B8E8252">
            <w:pPr>
              <w:wordWrap w:val="0"/>
              <w:spacing w:line="360" w:lineRule="auto"/>
              <w:jc w:val="center"/>
              <w:rPr>
                <w:rFonts w:ascii="宋体" w:hAnsi="宋体"/>
                <w:color w:val="auto"/>
                <w:sz w:val="24"/>
              </w:rPr>
            </w:pPr>
            <w:r>
              <w:rPr>
                <w:rFonts w:hint="eastAsia" w:ascii="宋体" w:hAnsi="宋体"/>
                <w:color w:val="auto"/>
                <w:sz w:val="24"/>
              </w:rPr>
              <w:t>年龄</w:t>
            </w:r>
          </w:p>
        </w:tc>
        <w:tc>
          <w:tcPr>
            <w:tcW w:w="1530" w:type="dxa"/>
            <w:noWrap w:val="0"/>
            <w:vAlign w:val="center"/>
          </w:tcPr>
          <w:p w14:paraId="0BB692D4">
            <w:pPr>
              <w:wordWrap w:val="0"/>
              <w:spacing w:line="360" w:lineRule="auto"/>
              <w:jc w:val="center"/>
              <w:rPr>
                <w:rFonts w:ascii="宋体" w:hAnsi="宋体"/>
                <w:color w:val="auto"/>
                <w:sz w:val="24"/>
              </w:rPr>
            </w:pPr>
          </w:p>
        </w:tc>
        <w:tc>
          <w:tcPr>
            <w:tcW w:w="1550" w:type="dxa"/>
            <w:noWrap w:val="0"/>
            <w:vAlign w:val="center"/>
          </w:tcPr>
          <w:p w14:paraId="441E0953">
            <w:pPr>
              <w:wordWrap w:val="0"/>
              <w:spacing w:line="360" w:lineRule="auto"/>
              <w:jc w:val="center"/>
              <w:rPr>
                <w:rFonts w:ascii="宋体" w:hAnsi="宋体"/>
                <w:color w:val="auto"/>
                <w:sz w:val="24"/>
              </w:rPr>
            </w:pPr>
            <w:r>
              <w:rPr>
                <w:rFonts w:hint="eastAsia" w:ascii="宋体" w:hAnsi="宋体"/>
                <w:color w:val="auto"/>
                <w:sz w:val="24"/>
              </w:rPr>
              <w:t>专业</w:t>
            </w:r>
          </w:p>
        </w:tc>
        <w:tc>
          <w:tcPr>
            <w:tcW w:w="1402" w:type="dxa"/>
            <w:noWrap w:val="0"/>
            <w:vAlign w:val="center"/>
          </w:tcPr>
          <w:p w14:paraId="7B440EE7">
            <w:pPr>
              <w:wordWrap w:val="0"/>
              <w:spacing w:line="360" w:lineRule="auto"/>
              <w:jc w:val="center"/>
              <w:rPr>
                <w:rFonts w:ascii="宋体" w:hAnsi="宋体"/>
                <w:color w:val="auto"/>
                <w:sz w:val="24"/>
              </w:rPr>
            </w:pPr>
          </w:p>
        </w:tc>
      </w:tr>
      <w:tr w14:paraId="6F9C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30" w:type="dxa"/>
            <w:noWrap w:val="0"/>
            <w:vAlign w:val="center"/>
          </w:tcPr>
          <w:p w14:paraId="5F656C07">
            <w:pPr>
              <w:wordWrap w:val="0"/>
              <w:spacing w:line="360" w:lineRule="auto"/>
              <w:jc w:val="center"/>
              <w:rPr>
                <w:rFonts w:ascii="宋体" w:hAnsi="宋体"/>
                <w:color w:val="auto"/>
                <w:sz w:val="24"/>
              </w:rPr>
            </w:pPr>
            <w:r>
              <w:rPr>
                <w:rFonts w:hint="eastAsia" w:ascii="宋体" w:hAnsi="宋体"/>
                <w:color w:val="auto"/>
                <w:sz w:val="24"/>
              </w:rPr>
              <w:t>技术职称</w:t>
            </w:r>
          </w:p>
        </w:tc>
        <w:tc>
          <w:tcPr>
            <w:tcW w:w="1530" w:type="dxa"/>
            <w:noWrap w:val="0"/>
            <w:vAlign w:val="center"/>
          </w:tcPr>
          <w:p w14:paraId="3525582F">
            <w:pPr>
              <w:wordWrap w:val="0"/>
              <w:spacing w:line="360" w:lineRule="auto"/>
              <w:jc w:val="center"/>
              <w:rPr>
                <w:rFonts w:ascii="宋体" w:hAnsi="宋体"/>
                <w:color w:val="auto"/>
                <w:sz w:val="24"/>
              </w:rPr>
            </w:pPr>
          </w:p>
        </w:tc>
        <w:tc>
          <w:tcPr>
            <w:tcW w:w="1549" w:type="dxa"/>
            <w:noWrap w:val="0"/>
            <w:vAlign w:val="center"/>
          </w:tcPr>
          <w:p w14:paraId="7C72F388">
            <w:pPr>
              <w:wordWrap w:val="0"/>
              <w:spacing w:line="360" w:lineRule="auto"/>
              <w:jc w:val="center"/>
              <w:rPr>
                <w:rFonts w:ascii="宋体" w:hAnsi="宋体"/>
                <w:color w:val="auto"/>
                <w:sz w:val="24"/>
              </w:rPr>
            </w:pPr>
            <w:r>
              <w:rPr>
                <w:rFonts w:hint="eastAsia" w:ascii="宋体" w:hAnsi="宋体"/>
                <w:color w:val="auto"/>
                <w:sz w:val="24"/>
              </w:rPr>
              <w:t>学历</w:t>
            </w:r>
          </w:p>
        </w:tc>
        <w:tc>
          <w:tcPr>
            <w:tcW w:w="1530" w:type="dxa"/>
            <w:noWrap w:val="0"/>
            <w:vAlign w:val="center"/>
          </w:tcPr>
          <w:p w14:paraId="27F44408">
            <w:pPr>
              <w:wordWrap w:val="0"/>
              <w:spacing w:line="360" w:lineRule="auto"/>
              <w:jc w:val="center"/>
              <w:rPr>
                <w:rFonts w:ascii="宋体" w:hAnsi="宋体"/>
                <w:color w:val="auto"/>
                <w:sz w:val="24"/>
              </w:rPr>
            </w:pPr>
          </w:p>
        </w:tc>
        <w:tc>
          <w:tcPr>
            <w:tcW w:w="1550" w:type="dxa"/>
            <w:noWrap w:val="0"/>
            <w:vAlign w:val="center"/>
          </w:tcPr>
          <w:p w14:paraId="406B6301">
            <w:pPr>
              <w:wordWrap w:val="0"/>
              <w:spacing w:line="360" w:lineRule="auto"/>
              <w:jc w:val="center"/>
              <w:rPr>
                <w:rFonts w:ascii="宋体" w:hAnsi="宋体"/>
                <w:color w:val="auto"/>
                <w:sz w:val="24"/>
              </w:rPr>
            </w:pPr>
            <w:r>
              <w:rPr>
                <w:rFonts w:hint="eastAsia" w:ascii="宋体" w:hAnsi="宋体"/>
                <w:color w:val="auto"/>
                <w:sz w:val="24"/>
              </w:rPr>
              <w:t>拟在本工程</w:t>
            </w:r>
          </w:p>
          <w:p w14:paraId="055028A7">
            <w:pPr>
              <w:wordWrap w:val="0"/>
              <w:spacing w:line="360" w:lineRule="auto"/>
              <w:jc w:val="center"/>
              <w:rPr>
                <w:rFonts w:ascii="宋体" w:hAnsi="宋体"/>
                <w:color w:val="auto"/>
                <w:sz w:val="24"/>
              </w:rPr>
            </w:pPr>
            <w:r>
              <w:rPr>
                <w:rFonts w:hint="eastAsia" w:ascii="宋体" w:hAnsi="宋体"/>
                <w:color w:val="auto"/>
                <w:sz w:val="24"/>
              </w:rPr>
              <w:t>任职</w:t>
            </w:r>
          </w:p>
        </w:tc>
        <w:tc>
          <w:tcPr>
            <w:tcW w:w="1402" w:type="dxa"/>
            <w:noWrap w:val="0"/>
            <w:vAlign w:val="center"/>
          </w:tcPr>
          <w:p w14:paraId="1A3D4390">
            <w:pPr>
              <w:wordWrap w:val="0"/>
              <w:spacing w:line="360" w:lineRule="auto"/>
              <w:jc w:val="center"/>
              <w:rPr>
                <w:rFonts w:ascii="宋体" w:hAnsi="宋体"/>
                <w:color w:val="auto"/>
                <w:sz w:val="24"/>
              </w:rPr>
            </w:pPr>
          </w:p>
        </w:tc>
      </w:tr>
      <w:tr w14:paraId="51E6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30" w:type="dxa"/>
            <w:noWrap w:val="0"/>
            <w:vAlign w:val="center"/>
          </w:tcPr>
          <w:p w14:paraId="3F927558">
            <w:pPr>
              <w:wordWrap w:val="0"/>
              <w:spacing w:line="360" w:lineRule="auto"/>
              <w:jc w:val="center"/>
              <w:rPr>
                <w:rFonts w:ascii="宋体" w:hAnsi="宋体"/>
                <w:color w:val="auto"/>
                <w:sz w:val="24"/>
              </w:rPr>
            </w:pPr>
            <w:r>
              <w:rPr>
                <w:rFonts w:hint="eastAsia" w:ascii="宋体" w:hAnsi="宋体"/>
                <w:color w:val="auto"/>
                <w:sz w:val="24"/>
              </w:rPr>
              <w:t>工作年限</w:t>
            </w:r>
          </w:p>
        </w:tc>
        <w:tc>
          <w:tcPr>
            <w:tcW w:w="7561" w:type="dxa"/>
            <w:gridSpan w:val="5"/>
            <w:noWrap w:val="0"/>
            <w:vAlign w:val="center"/>
          </w:tcPr>
          <w:p w14:paraId="3BE8B353">
            <w:pPr>
              <w:wordWrap w:val="0"/>
              <w:spacing w:line="360" w:lineRule="auto"/>
              <w:jc w:val="center"/>
              <w:rPr>
                <w:rFonts w:ascii="宋体" w:hAnsi="宋体"/>
                <w:color w:val="auto"/>
                <w:sz w:val="24"/>
              </w:rPr>
            </w:pPr>
          </w:p>
        </w:tc>
      </w:tr>
      <w:tr w14:paraId="1107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30" w:type="dxa"/>
            <w:noWrap w:val="0"/>
            <w:vAlign w:val="center"/>
          </w:tcPr>
          <w:p w14:paraId="7D6D980F">
            <w:pPr>
              <w:wordWrap w:val="0"/>
              <w:spacing w:line="360" w:lineRule="auto"/>
              <w:jc w:val="center"/>
              <w:rPr>
                <w:rFonts w:ascii="宋体" w:hAnsi="宋体"/>
                <w:color w:val="auto"/>
                <w:sz w:val="24"/>
              </w:rPr>
            </w:pPr>
            <w:r>
              <w:rPr>
                <w:rFonts w:hint="eastAsia" w:ascii="宋体" w:hAnsi="宋体"/>
                <w:color w:val="auto"/>
                <w:sz w:val="24"/>
              </w:rPr>
              <w:t>毕业学校</w:t>
            </w:r>
          </w:p>
        </w:tc>
        <w:tc>
          <w:tcPr>
            <w:tcW w:w="7561" w:type="dxa"/>
            <w:gridSpan w:val="5"/>
            <w:noWrap w:val="0"/>
            <w:vAlign w:val="center"/>
          </w:tcPr>
          <w:p w14:paraId="1347E7F4">
            <w:pPr>
              <w:widowControl/>
              <w:wordWrap w:val="0"/>
              <w:spacing w:line="360" w:lineRule="auto"/>
              <w:jc w:val="left"/>
              <w:rPr>
                <w:rFonts w:ascii="宋体" w:hAnsi="宋体"/>
                <w:color w:val="auto"/>
                <w:sz w:val="24"/>
              </w:rPr>
            </w:pPr>
            <w:r>
              <w:rPr>
                <w:rFonts w:ascii="宋体" w:hAnsi="宋体"/>
                <w:color w:val="auto"/>
                <w:kern w:val="0"/>
                <w:sz w:val="24"/>
              </w:rPr>
              <w:t>______</w:t>
            </w:r>
            <w:r>
              <w:rPr>
                <w:rFonts w:hint="eastAsia" w:ascii="宋体" w:hAnsi="宋体" w:cs="宋体"/>
                <w:color w:val="auto"/>
                <w:kern w:val="0"/>
                <w:sz w:val="24"/>
              </w:rPr>
              <w:t>年月毕业于</w:t>
            </w:r>
            <w:r>
              <w:rPr>
                <w:rFonts w:ascii="宋体" w:hAnsi="宋体"/>
                <w:color w:val="auto"/>
                <w:kern w:val="0"/>
                <w:sz w:val="24"/>
              </w:rPr>
              <w:t>___________________</w:t>
            </w:r>
            <w:r>
              <w:rPr>
                <w:rFonts w:hint="eastAsia" w:ascii="宋体" w:hAnsi="宋体" w:cs="宋体"/>
                <w:color w:val="auto"/>
                <w:kern w:val="0"/>
                <w:sz w:val="24"/>
              </w:rPr>
              <w:t>学校</w:t>
            </w:r>
            <w:r>
              <w:rPr>
                <w:rFonts w:ascii="宋体" w:hAnsi="宋体"/>
                <w:color w:val="auto"/>
                <w:kern w:val="0"/>
                <w:sz w:val="24"/>
              </w:rPr>
              <w:t>___________</w:t>
            </w:r>
            <w:r>
              <w:rPr>
                <w:rFonts w:hint="eastAsia" w:ascii="宋体" w:hAnsi="宋体" w:cs="宋体"/>
                <w:color w:val="auto"/>
                <w:kern w:val="0"/>
                <w:sz w:val="24"/>
              </w:rPr>
              <w:t>专业，学制</w:t>
            </w:r>
            <w:r>
              <w:rPr>
                <w:rFonts w:ascii="宋体" w:hAnsi="宋体"/>
                <w:color w:val="auto"/>
                <w:kern w:val="0"/>
                <w:sz w:val="24"/>
              </w:rPr>
              <w:t>______</w:t>
            </w:r>
            <w:r>
              <w:rPr>
                <w:rFonts w:hint="eastAsia" w:ascii="宋体" w:hAnsi="宋体" w:cs="宋体"/>
                <w:color w:val="auto"/>
                <w:kern w:val="0"/>
                <w:sz w:val="24"/>
              </w:rPr>
              <w:t>年</w:t>
            </w:r>
          </w:p>
        </w:tc>
      </w:tr>
      <w:tr w14:paraId="0312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891" w:type="dxa"/>
            <w:gridSpan w:val="6"/>
            <w:noWrap w:val="0"/>
            <w:vAlign w:val="center"/>
          </w:tcPr>
          <w:p w14:paraId="1DB15701">
            <w:pPr>
              <w:wordWrap w:val="0"/>
              <w:spacing w:line="360" w:lineRule="auto"/>
              <w:jc w:val="center"/>
              <w:rPr>
                <w:rFonts w:ascii="宋体" w:hAnsi="宋体"/>
                <w:color w:val="auto"/>
                <w:sz w:val="24"/>
              </w:rPr>
            </w:pPr>
            <w:r>
              <w:rPr>
                <w:rFonts w:hint="eastAsia" w:ascii="宋体" w:hAnsi="宋体"/>
                <w:color w:val="auto"/>
                <w:sz w:val="24"/>
              </w:rPr>
              <w:t>经    历</w:t>
            </w:r>
          </w:p>
        </w:tc>
      </w:tr>
      <w:tr w14:paraId="4F74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30" w:type="dxa"/>
            <w:noWrap w:val="0"/>
            <w:vAlign w:val="center"/>
          </w:tcPr>
          <w:p w14:paraId="4BC23B4E">
            <w:pPr>
              <w:wordWrap w:val="0"/>
              <w:spacing w:line="360" w:lineRule="auto"/>
              <w:jc w:val="center"/>
              <w:rPr>
                <w:rFonts w:ascii="宋体" w:hAnsi="宋体"/>
                <w:color w:val="auto"/>
                <w:sz w:val="24"/>
              </w:rPr>
            </w:pPr>
            <w:r>
              <w:rPr>
                <w:rFonts w:hint="eastAsia" w:ascii="宋体" w:hAnsi="宋体"/>
                <w:color w:val="auto"/>
                <w:sz w:val="24"/>
              </w:rPr>
              <w:t>时间</w:t>
            </w:r>
          </w:p>
        </w:tc>
        <w:tc>
          <w:tcPr>
            <w:tcW w:w="4609" w:type="dxa"/>
            <w:gridSpan w:val="3"/>
            <w:noWrap w:val="0"/>
            <w:vAlign w:val="center"/>
          </w:tcPr>
          <w:p w14:paraId="5049E6B8">
            <w:pPr>
              <w:widowControl/>
              <w:wordWrap w:val="0"/>
              <w:spacing w:line="360" w:lineRule="auto"/>
              <w:jc w:val="center"/>
              <w:rPr>
                <w:rFonts w:ascii="宋体" w:hAnsi="宋体"/>
                <w:color w:val="auto"/>
                <w:sz w:val="24"/>
              </w:rPr>
            </w:pPr>
            <w:r>
              <w:rPr>
                <w:rFonts w:hint="eastAsia" w:ascii="宋体" w:hAnsi="宋体" w:cs="宋体"/>
                <w:color w:val="auto"/>
                <w:kern w:val="0"/>
                <w:sz w:val="24"/>
              </w:rPr>
              <w:t>参加过的类似工程项目名称</w:t>
            </w:r>
          </w:p>
        </w:tc>
        <w:tc>
          <w:tcPr>
            <w:tcW w:w="1550" w:type="dxa"/>
            <w:noWrap w:val="0"/>
            <w:vAlign w:val="center"/>
          </w:tcPr>
          <w:p w14:paraId="3BAC5BDF">
            <w:pPr>
              <w:wordWrap w:val="0"/>
              <w:spacing w:line="360" w:lineRule="auto"/>
              <w:jc w:val="center"/>
              <w:rPr>
                <w:rFonts w:ascii="宋体" w:hAnsi="宋体"/>
                <w:color w:val="auto"/>
                <w:sz w:val="24"/>
              </w:rPr>
            </w:pPr>
            <w:r>
              <w:rPr>
                <w:rFonts w:hint="eastAsia" w:ascii="宋体" w:hAnsi="宋体"/>
                <w:color w:val="auto"/>
                <w:sz w:val="24"/>
              </w:rPr>
              <w:t>担任职务</w:t>
            </w:r>
          </w:p>
        </w:tc>
        <w:tc>
          <w:tcPr>
            <w:tcW w:w="1402" w:type="dxa"/>
            <w:noWrap w:val="0"/>
            <w:vAlign w:val="center"/>
          </w:tcPr>
          <w:p w14:paraId="47FE735C">
            <w:pPr>
              <w:wordWrap w:val="0"/>
              <w:spacing w:line="360" w:lineRule="auto"/>
              <w:jc w:val="center"/>
              <w:rPr>
                <w:rFonts w:ascii="宋体" w:hAnsi="宋体"/>
                <w:color w:val="auto"/>
                <w:sz w:val="24"/>
              </w:rPr>
            </w:pPr>
            <w:r>
              <w:rPr>
                <w:rFonts w:hint="eastAsia" w:ascii="宋体" w:hAnsi="宋体"/>
                <w:color w:val="auto"/>
                <w:sz w:val="24"/>
              </w:rPr>
              <w:t>发包人及联系电话</w:t>
            </w:r>
          </w:p>
        </w:tc>
      </w:tr>
      <w:tr w14:paraId="5773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30" w:type="dxa"/>
            <w:noWrap w:val="0"/>
            <w:vAlign w:val="center"/>
          </w:tcPr>
          <w:p w14:paraId="26AE742A">
            <w:pPr>
              <w:wordWrap w:val="0"/>
              <w:spacing w:line="360" w:lineRule="auto"/>
              <w:jc w:val="center"/>
              <w:rPr>
                <w:rFonts w:ascii="宋体" w:hAnsi="宋体"/>
                <w:color w:val="auto"/>
                <w:sz w:val="24"/>
              </w:rPr>
            </w:pPr>
          </w:p>
        </w:tc>
        <w:tc>
          <w:tcPr>
            <w:tcW w:w="4609" w:type="dxa"/>
            <w:gridSpan w:val="3"/>
            <w:noWrap w:val="0"/>
            <w:vAlign w:val="center"/>
          </w:tcPr>
          <w:p w14:paraId="67C72E81">
            <w:pPr>
              <w:wordWrap w:val="0"/>
              <w:spacing w:line="360" w:lineRule="auto"/>
              <w:jc w:val="center"/>
              <w:rPr>
                <w:rFonts w:ascii="宋体" w:hAnsi="宋体"/>
                <w:color w:val="auto"/>
                <w:sz w:val="24"/>
              </w:rPr>
            </w:pPr>
          </w:p>
        </w:tc>
        <w:tc>
          <w:tcPr>
            <w:tcW w:w="1550" w:type="dxa"/>
            <w:noWrap w:val="0"/>
            <w:vAlign w:val="center"/>
          </w:tcPr>
          <w:p w14:paraId="65358877">
            <w:pPr>
              <w:wordWrap w:val="0"/>
              <w:spacing w:line="360" w:lineRule="auto"/>
              <w:jc w:val="center"/>
              <w:rPr>
                <w:rFonts w:ascii="宋体" w:hAnsi="宋体"/>
                <w:color w:val="auto"/>
                <w:sz w:val="24"/>
              </w:rPr>
            </w:pPr>
          </w:p>
        </w:tc>
        <w:tc>
          <w:tcPr>
            <w:tcW w:w="1402" w:type="dxa"/>
            <w:noWrap w:val="0"/>
            <w:vAlign w:val="center"/>
          </w:tcPr>
          <w:p w14:paraId="31704EFD">
            <w:pPr>
              <w:wordWrap w:val="0"/>
              <w:spacing w:line="360" w:lineRule="auto"/>
              <w:jc w:val="center"/>
              <w:rPr>
                <w:rFonts w:ascii="宋体" w:hAnsi="宋体"/>
                <w:color w:val="auto"/>
                <w:sz w:val="24"/>
              </w:rPr>
            </w:pPr>
          </w:p>
        </w:tc>
      </w:tr>
      <w:tr w14:paraId="1781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30" w:type="dxa"/>
            <w:noWrap w:val="0"/>
            <w:vAlign w:val="center"/>
          </w:tcPr>
          <w:p w14:paraId="6B48FB80">
            <w:pPr>
              <w:wordWrap w:val="0"/>
              <w:spacing w:line="360" w:lineRule="auto"/>
              <w:jc w:val="center"/>
              <w:rPr>
                <w:rFonts w:ascii="宋体" w:hAnsi="宋体"/>
                <w:color w:val="auto"/>
                <w:sz w:val="24"/>
              </w:rPr>
            </w:pPr>
          </w:p>
        </w:tc>
        <w:tc>
          <w:tcPr>
            <w:tcW w:w="4609" w:type="dxa"/>
            <w:gridSpan w:val="3"/>
            <w:noWrap w:val="0"/>
            <w:vAlign w:val="center"/>
          </w:tcPr>
          <w:p w14:paraId="321D03A5">
            <w:pPr>
              <w:wordWrap w:val="0"/>
              <w:spacing w:line="360" w:lineRule="auto"/>
              <w:jc w:val="center"/>
              <w:rPr>
                <w:rFonts w:ascii="宋体" w:hAnsi="宋体"/>
                <w:color w:val="auto"/>
                <w:sz w:val="24"/>
              </w:rPr>
            </w:pPr>
          </w:p>
        </w:tc>
        <w:tc>
          <w:tcPr>
            <w:tcW w:w="1550" w:type="dxa"/>
            <w:noWrap w:val="0"/>
            <w:vAlign w:val="center"/>
          </w:tcPr>
          <w:p w14:paraId="25B3ABD1">
            <w:pPr>
              <w:wordWrap w:val="0"/>
              <w:spacing w:line="360" w:lineRule="auto"/>
              <w:jc w:val="center"/>
              <w:rPr>
                <w:rFonts w:ascii="宋体" w:hAnsi="宋体"/>
                <w:color w:val="auto"/>
                <w:sz w:val="24"/>
              </w:rPr>
            </w:pPr>
          </w:p>
        </w:tc>
        <w:tc>
          <w:tcPr>
            <w:tcW w:w="1402" w:type="dxa"/>
            <w:noWrap w:val="0"/>
            <w:vAlign w:val="center"/>
          </w:tcPr>
          <w:p w14:paraId="67232235">
            <w:pPr>
              <w:wordWrap w:val="0"/>
              <w:spacing w:line="360" w:lineRule="auto"/>
              <w:jc w:val="center"/>
              <w:rPr>
                <w:rFonts w:ascii="宋体" w:hAnsi="宋体"/>
                <w:color w:val="auto"/>
                <w:sz w:val="24"/>
              </w:rPr>
            </w:pPr>
          </w:p>
        </w:tc>
      </w:tr>
      <w:tr w14:paraId="7EB6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30" w:type="dxa"/>
            <w:noWrap w:val="0"/>
            <w:vAlign w:val="center"/>
          </w:tcPr>
          <w:p w14:paraId="69EFCB1B">
            <w:pPr>
              <w:wordWrap w:val="0"/>
              <w:spacing w:line="360" w:lineRule="auto"/>
              <w:jc w:val="center"/>
              <w:rPr>
                <w:rFonts w:ascii="宋体" w:hAnsi="宋体"/>
                <w:color w:val="auto"/>
                <w:sz w:val="24"/>
              </w:rPr>
            </w:pPr>
          </w:p>
        </w:tc>
        <w:tc>
          <w:tcPr>
            <w:tcW w:w="4609" w:type="dxa"/>
            <w:gridSpan w:val="3"/>
            <w:noWrap w:val="0"/>
            <w:vAlign w:val="center"/>
          </w:tcPr>
          <w:p w14:paraId="1B9CF458">
            <w:pPr>
              <w:wordWrap w:val="0"/>
              <w:spacing w:line="360" w:lineRule="auto"/>
              <w:jc w:val="center"/>
              <w:rPr>
                <w:rFonts w:ascii="宋体" w:hAnsi="宋体"/>
                <w:color w:val="auto"/>
                <w:sz w:val="24"/>
              </w:rPr>
            </w:pPr>
          </w:p>
        </w:tc>
        <w:tc>
          <w:tcPr>
            <w:tcW w:w="1550" w:type="dxa"/>
            <w:noWrap w:val="0"/>
            <w:vAlign w:val="center"/>
          </w:tcPr>
          <w:p w14:paraId="4503BD34">
            <w:pPr>
              <w:wordWrap w:val="0"/>
              <w:spacing w:line="360" w:lineRule="auto"/>
              <w:jc w:val="center"/>
              <w:rPr>
                <w:rFonts w:ascii="宋体" w:hAnsi="宋体"/>
                <w:color w:val="auto"/>
                <w:sz w:val="24"/>
              </w:rPr>
            </w:pPr>
          </w:p>
        </w:tc>
        <w:tc>
          <w:tcPr>
            <w:tcW w:w="1402" w:type="dxa"/>
            <w:noWrap w:val="0"/>
            <w:vAlign w:val="center"/>
          </w:tcPr>
          <w:p w14:paraId="1A59BF5B">
            <w:pPr>
              <w:wordWrap w:val="0"/>
              <w:spacing w:line="360" w:lineRule="auto"/>
              <w:jc w:val="center"/>
              <w:rPr>
                <w:rFonts w:ascii="宋体" w:hAnsi="宋体"/>
                <w:color w:val="auto"/>
                <w:sz w:val="24"/>
              </w:rPr>
            </w:pPr>
          </w:p>
        </w:tc>
      </w:tr>
      <w:tr w14:paraId="303A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30" w:type="dxa"/>
            <w:noWrap w:val="0"/>
            <w:vAlign w:val="center"/>
          </w:tcPr>
          <w:p w14:paraId="4099E4DC">
            <w:pPr>
              <w:wordWrap w:val="0"/>
              <w:spacing w:line="360" w:lineRule="auto"/>
              <w:jc w:val="center"/>
              <w:rPr>
                <w:rFonts w:ascii="宋体" w:hAnsi="宋体"/>
                <w:color w:val="auto"/>
                <w:sz w:val="24"/>
              </w:rPr>
            </w:pPr>
          </w:p>
        </w:tc>
        <w:tc>
          <w:tcPr>
            <w:tcW w:w="4609" w:type="dxa"/>
            <w:gridSpan w:val="3"/>
            <w:noWrap w:val="0"/>
            <w:vAlign w:val="center"/>
          </w:tcPr>
          <w:p w14:paraId="3476206B">
            <w:pPr>
              <w:wordWrap w:val="0"/>
              <w:spacing w:line="360" w:lineRule="auto"/>
              <w:jc w:val="center"/>
              <w:rPr>
                <w:rFonts w:ascii="宋体" w:hAnsi="宋体"/>
                <w:color w:val="auto"/>
                <w:sz w:val="24"/>
              </w:rPr>
            </w:pPr>
          </w:p>
        </w:tc>
        <w:tc>
          <w:tcPr>
            <w:tcW w:w="1550" w:type="dxa"/>
            <w:noWrap w:val="0"/>
            <w:vAlign w:val="center"/>
          </w:tcPr>
          <w:p w14:paraId="52D57651">
            <w:pPr>
              <w:wordWrap w:val="0"/>
              <w:spacing w:line="360" w:lineRule="auto"/>
              <w:jc w:val="center"/>
              <w:rPr>
                <w:rFonts w:ascii="宋体" w:hAnsi="宋体"/>
                <w:color w:val="auto"/>
                <w:sz w:val="24"/>
              </w:rPr>
            </w:pPr>
          </w:p>
        </w:tc>
        <w:tc>
          <w:tcPr>
            <w:tcW w:w="1402" w:type="dxa"/>
            <w:noWrap w:val="0"/>
            <w:vAlign w:val="center"/>
          </w:tcPr>
          <w:p w14:paraId="33F01D4E">
            <w:pPr>
              <w:wordWrap w:val="0"/>
              <w:spacing w:line="360" w:lineRule="auto"/>
              <w:jc w:val="center"/>
              <w:rPr>
                <w:rFonts w:ascii="宋体" w:hAnsi="宋体"/>
                <w:color w:val="auto"/>
                <w:sz w:val="24"/>
              </w:rPr>
            </w:pPr>
          </w:p>
        </w:tc>
      </w:tr>
      <w:tr w14:paraId="323E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30" w:type="dxa"/>
            <w:noWrap w:val="0"/>
            <w:vAlign w:val="center"/>
          </w:tcPr>
          <w:p w14:paraId="2FB90674">
            <w:pPr>
              <w:wordWrap w:val="0"/>
              <w:spacing w:line="360" w:lineRule="auto"/>
              <w:jc w:val="center"/>
              <w:rPr>
                <w:rFonts w:ascii="宋体" w:hAnsi="宋体"/>
                <w:color w:val="auto"/>
                <w:sz w:val="24"/>
              </w:rPr>
            </w:pPr>
          </w:p>
        </w:tc>
        <w:tc>
          <w:tcPr>
            <w:tcW w:w="4609" w:type="dxa"/>
            <w:gridSpan w:val="3"/>
            <w:noWrap w:val="0"/>
            <w:vAlign w:val="center"/>
          </w:tcPr>
          <w:p w14:paraId="4E6DBE33">
            <w:pPr>
              <w:wordWrap w:val="0"/>
              <w:spacing w:line="360" w:lineRule="auto"/>
              <w:jc w:val="center"/>
              <w:rPr>
                <w:rFonts w:ascii="宋体" w:hAnsi="宋体"/>
                <w:color w:val="auto"/>
                <w:sz w:val="24"/>
              </w:rPr>
            </w:pPr>
          </w:p>
        </w:tc>
        <w:tc>
          <w:tcPr>
            <w:tcW w:w="1550" w:type="dxa"/>
            <w:noWrap w:val="0"/>
            <w:vAlign w:val="center"/>
          </w:tcPr>
          <w:p w14:paraId="037DD156">
            <w:pPr>
              <w:wordWrap w:val="0"/>
              <w:spacing w:line="360" w:lineRule="auto"/>
              <w:jc w:val="center"/>
              <w:rPr>
                <w:rFonts w:ascii="宋体" w:hAnsi="宋体"/>
                <w:color w:val="auto"/>
                <w:sz w:val="24"/>
              </w:rPr>
            </w:pPr>
          </w:p>
        </w:tc>
        <w:tc>
          <w:tcPr>
            <w:tcW w:w="1402" w:type="dxa"/>
            <w:noWrap w:val="0"/>
            <w:vAlign w:val="center"/>
          </w:tcPr>
          <w:p w14:paraId="433B61FF">
            <w:pPr>
              <w:wordWrap w:val="0"/>
              <w:spacing w:line="360" w:lineRule="auto"/>
              <w:jc w:val="center"/>
              <w:rPr>
                <w:rFonts w:ascii="宋体" w:hAnsi="宋体"/>
                <w:color w:val="auto"/>
                <w:sz w:val="24"/>
              </w:rPr>
            </w:pPr>
          </w:p>
        </w:tc>
      </w:tr>
      <w:tr w14:paraId="20E3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330" w:type="dxa"/>
            <w:noWrap w:val="0"/>
            <w:vAlign w:val="center"/>
          </w:tcPr>
          <w:p w14:paraId="55BE0516">
            <w:pPr>
              <w:wordWrap w:val="0"/>
              <w:spacing w:line="360" w:lineRule="auto"/>
              <w:jc w:val="center"/>
              <w:rPr>
                <w:rFonts w:ascii="宋体" w:hAnsi="宋体"/>
                <w:color w:val="auto"/>
                <w:sz w:val="24"/>
              </w:rPr>
            </w:pPr>
            <w:r>
              <w:rPr>
                <w:rFonts w:hint="eastAsia" w:ascii="宋体" w:hAnsi="宋体"/>
                <w:color w:val="auto"/>
                <w:sz w:val="24"/>
              </w:rPr>
              <w:t>获奖情况</w:t>
            </w:r>
          </w:p>
        </w:tc>
        <w:tc>
          <w:tcPr>
            <w:tcW w:w="7561" w:type="dxa"/>
            <w:gridSpan w:val="5"/>
            <w:noWrap w:val="0"/>
            <w:vAlign w:val="center"/>
          </w:tcPr>
          <w:p w14:paraId="780A192B">
            <w:pPr>
              <w:wordWrap w:val="0"/>
              <w:spacing w:line="360" w:lineRule="auto"/>
              <w:jc w:val="center"/>
              <w:rPr>
                <w:rFonts w:ascii="宋体" w:hAnsi="宋体"/>
                <w:color w:val="auto"/>
                <w:sz w:val="24"/>
              </w:rPr>
            </w:pPr>
          </w:p>
        </w:tc>
      </w:tr>
      <w:tr w14:paraId="6A12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330" w:type="dxa"/>
            <w:noWrap w:val="0"/>
            <w:vAlign w:val="center"/>
          </w:tcPr>
          <w:p w14:paraId="22367C95">
            <w:pPr>
              <w:wordWrap w:val="0"/>
              <w:spacing w:line="360" w:lineRule="auto"/>
              <w:jc w:val="center"/>
              <w:rPr>
                <w:rFonts w:ascii="宋体" w:hAnsi="宋体"/>
                <w:color w:val="auto"/>
                <w:sz w:val="24"/>
              </w:rPr>
            </w:pPr>
            <w:r>
              <w:rPr>
                <w:rFonts w:hint="eastAsia" w:ascii="宋体" w:hAnsi="宋体"/>
                <w:color w:val="auto"/>
                <w:sz w:val="24"/>
              </w:rPr>
              <w:t>说明在岗情况</w:t>
            </w:r>
          </w:p>
        </w:tc>
        <w:tc>
          <w:tcPr>
            <w:tcW w:w="7561" w:type="dxa"/>
            <w:gridSpan w:val="5"/>
            <w:noWrap w:val="0"/>
            <w:vAlign w:val="center"/>
          </w:tcPr>
          <w:p w14:paraId="2B7C7B10">
            <w:pPr>
              <w:wordWrap w:val="0"/>
              <w:spacing w:line="360" w:lineRule="auto"/>
              <w:rPr>
                <w:rFonts w:ascii="宋体" w:hAnsi="宋体"/>
                <w:color w:val="auto"/>
                <w:sz w:val="24"/>
              </w:rPr>
            </w:pPr>
            <w:r>
              <w:rPr>
                <w:rFonts w:hint="eastAsia" w:ascii="宋体" w:hAnsi="宋体"/>
                <w:color w:val="auto"/>
                <w:sz w:val="24"/>
              </w:rPr>
              <w:t>目前未在其他项目上任职，现从事工作为：</w:t>
            </w:r>
          </w:p>
        </w:tc>
      </w:tr>
      <w:tr w14:paraId="6DD5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330" w:type="dxa"/>
            <w:noWrap w:val="0"/>
            <w:vAlign w:val="center"/>
          </w:tcPr>
          <w:p w14:paraId="171EAEB5">
            <w:pPr>
              <w:wordWrap w:val="0"/>
              <w:spacing w:line="360" w:lineRule="auto"/>
              <w:jc w:val="center"/>
              <w:rPr>
                <w:rFonts w:ascii="宋体" w:hAnsi="宋体"/>
                <w:color w:val="auto"/>
                <w:sz w:val="24"/>
              </w:rPr>
            </w:pPr>
            <w:r>
              <w:rPr>
                <w:rFonts w:hint="eastAsia" w:ascii="宋体" w:hAnsi="宋体"/>
                <w:color w:val="auto"/>
                <w:sz w:val="24"/>
              </w:rPr>
              <w:t>备注</w:t>
            </w:r>
          </w:p>
        </w:tc>
        <w:tc>
          <w:tcPr>
            <w:tcW w:w="7561" w:type="dxa"/>
            <w:gridSpan w:val="5"/>
            <w:noWrap w:val="0"/>
            <w:vAlign w:val="center"/>
          </w:tcPr>
          <w:p w14:paraId="690D1C5B">
            <w:pPr>
              <w:wordWrap w:val="0"/>
              <w:spacing w:line="360" w:lineRule="auto"/>
              <w:jc w:val="center"/>
              <w:rPr>
                <w:rFonts w:ascii="宋体" w:hAnsi="宋体"/>
                <w:color w:val="auto"/>
                <w:sz w:val="24"/>
              </w:rPr>
            </w:pPr>
          </w:p>
        </w:tc>
      </w:tr>
    </w:tbl>
    <w:p w14:paraId="2AA38DAC">
      <w:pPr>
        <w:wordWrap w:val="0"/>
        <w:ind w:firstLine="220" w:firstLineChars="100"/>
        <w:rPr>
          <w:rFonts w:ascii="宋体" w:hAnsi="宋体"/>
          <w:color w:val="auto"/>
          <w:sz w:val="22"/>
          <w:lang w:bidi="zh-CN"/>
        </w:rPr>
      </w:pPr>
    </w:p>
    <w:p w14:paraId="54F59C24">
      <w:pPr>
        <w:wordWrap w:val="0"/>
        <w:spacing w:line="360" w:lineRule="auto"/>
        <w:ind w:firstLine="240" w:firstLineChars="100"/>
        <w:rPr>
          <w:rFonts w:ascii="宋体" w:hAnsi="宋体"/>
          <w:color w:val="auto"/>
          <w:sz w:val="24"/>
          <w:lang w:bidi="zh-CN"/>
        </w:rPr>
      </w:pPr>
      <w:r>
        <w:rPr>
          <w:rFonts w:hint="eastAsia" w:ascii="宋体" w:hAnsi="宋体"/>
          <w:color w:val="auto"/>
          <w:sz w:val="24"/>
          <w:lang w:bidi="zh-CN"/>
        </w:rPr>
        <w:t>注：资历表后应附</w:t>
      </w:r>
      <w:r>
        <w:rPr>
          <w:rFonts w:ascii="宋体" w:hAnsi="宋体"/>
          <w:color w:val="auto"/>
          <w:sz w:val="24"/>
          <w:lang w:bidi="zh-CN"/>
        </w:rPr>
        <w:t>项目经理注册建造师证、身份证、安全生产考核证、</w:t>
      </w:r>
      <w:r>
        <w:rPr>
          <w:rFonts w:hint="eastAsia" w:ascii="宋体" w:hAnsi="宋体"/>
          <w:color w:val="auto"/>
          <w:sz w:val="24"/>
          <w:lang w:bidi="zh-CN"/>
        </w:rPr>
        <w:t>劳动合同、</w:t>
      </w:r>
      <w:r>
        <w:rPr>
          <w:rFonts w:hint="eastAsia" w:ascii="宋体" w:hAnsi="宋体"/>
          <w:color w:val="auto"/>
          <w:sz w:val="24"/>
          <w:lang w:val="en-US" w:bidi="zh-CN"/>
        </w:rPr>
        <w:t>养老</w:t>
      </w:r>
      <w:r>
        <w:rPr>
          <w:rFonts w:ascii="宋体" w:hAnsi="宋体"/>
          <w:color w:val="auto"/>
          <w:sz w:val="24"/>
          <w:lang w:bidi="zh-CN"/>
        </w:rPr>
        <w:t>缴费证明等</w:t>
      </w:r>
      <w:r>
        <w:rPr>
          <w:rFonts w:hint="eastAsia" w:ascii="宋体" w:hAnsi="宋体"/>
          <w:color w:val="auto"/>
          <w:sz w:val="24"/>
          <w:lang w:bidi="zh-CN"/>
        </w:rPr>
        <w:t>材料</w:t>
      </w:r>
      <w:r>
        <w:rPr>
          <w:rFonts w:ascii="宋体" w:hAnsi="宋体"/>
          <w:color w:val="auto"/>
          <w:sz w:val="24"/>
          <w:lang w:bidi="zh-CN"/>
        </w:rPr>
        <w:t>，管理过的项目业绩</w:t>
      </w:r>
      <w:r>
        <w:rPr>
          <w:rFonts w:hint="eastAsia" w:ascii="宋体" w:hAnsi="宋体"/>
          <w:color w:val="auto"/>
          <w:sz w:val="24"/>
          <w:lang w:bidi="zh-CN"/>
        </w:rPr>
        <w:t>（</w:t>
      </w:r>
      <w:r>
        <w:rPr>
          <w:rFonts w:ascii="宋体" w:hAnsi="宋体"/>
          <w:color w:val="auto"/>
          <w:sz w:val="24"/>
          <w:lang w:bidi="zh-CN"/>
        </w:rPr>
        <w:t>如有</w:t>
      </w:r>
      <w:r>
        <w:rPr>
          <w:rFonts w:hint="eastAsia" w:ascii="宋体" w:hAnsi="宋体"/>
          <w:color w:val="auto"/>
          <w:sz w:val="24"/>
          <w:lang w:bidi="zh-CN"/>
        </w:rPr>
        <w:t>）</w:t>
      </w:r>
      <w:r>
        <w:rPr>
          <w:rFonts w:ascii="宋体" w:hAnsi="宋体"/>
          <w:color w:val="auto"/>
          <w:sz w:val="24"/>
          <w:lang w:bidi="zh-CN"/>
        </w:rPr>
        <w:t>须附中标通知书</w:t>
      </w:r>
      <w:r>
        <w:rPr>
          <w:rFonts w:hint="eastAsia" w:ascii="宋体" w:hAnsi="宋体"/>
          <w:color w:val="auto"/>
          <w:sz w:val="24"/>
          <w:lang w:bidi="zh-CN"/>
        </w:rPr>
        <w:t>和施工</w:t>
      </w:r>
      <w:r>
        <w:rPr>
          <w:rFonts w:ascii="宋体" w:hAnsi="宋体"/>
          <w:color w:val="auto"/>
          <w:sz w:val="24"/>
          <w:lang w:bidi="zh-CN"/>
        </w:rPr>
        <w:t>合同协议书；技术负责人应附身份证、职称证</w:t>
      </w:r>
      <w:r>
        <w:rPr>
          <w:rFonts w:hint="eastAsia" w:ascii="宋体" w:hAnsi="宋体"/>
          <w:color w:val="auto"/>
          <w:sz w:val="24"/>
          <w:lang w:bidi="zh-CN"/>
        </w:rPr>
        <w:t>或注册证、劳动合同、</w:t>
      </w:r>
      <w:r>
        <w:rPr>
          <w:rFonts w:hint="eastAsia" w:ascii="宋体" w:hAnsi="宋体"/>
          <w:color w:val="auto"/>
          <w:sz w:val="24"/>
          <w:lang w:val="en-US" w:bidi="zh-CN"/>
        </w:rPr>
        <w:t>养老</w:t>
      </w:r>
      <w:r>
        <w:rPr>
          <w:rFonts w:ascii="宋体" w:hAnsi="宋体"/>
          <w:color w:val="auto"/>
          <w:sz w:val="24"/>
          <w:lang w:bidi="zh-CN"/>
        </w:rPr>
        <w:t>缴费证明等</w:t>
      </w:r>
      <w:r>
        <w:rPr>
          <w:rFonts w:hint="eastAsia" w:ascii="宋体" w:hAnsi="宋体"/>
          <w:color w:val="auto"/>
          <w:sz w:val="24"/>
          <w:lang w:bidi="zh-CN"/>
        </w:rPr>
        <w:t>材料。</w:t>
      </w:r>
    </w:p>
    <w:p w14:paraId="3B129129">
      <w:pPr>
        <w:wordWrap w:val="0"/>
        <w:spacing w:line="360" w:lineRule="auto"/>
        <w:rPr>
          <w:rFonts w:ascii="宋体" w:hAnsi="宋体"/>
          <w:bCs/>
          <w:color w:val="auto"/>
          <w:sz w:val="24"/>
        </w:rPr>
      </w:pPr>
    </w:p>
    <w:p w14:paraId="32A6CFD6">
      <w:pPr>
        <w:wordWrap w:val="0"/>
        <w:spacing w:line="360" w:lineRule="auto"/>
        <w:rPr>
          <w:rFonts w:hint="eastAsia" w:ascii="宋体" w:hAnsi="宋体"/>
          <w:bCs/>
          <w:color w:val="auto"/>
          <w:sz w:val="24"/>
        </w:rPr>
      </w:pPr>
    </w:p>
    <w:p w14:paraId="297F4E08">
      <w:pPr>
        <w:wordWrap w:val="0"/>
        <w:spacing w:line="360" w:lineRule="auto"/>
        <w:jc w:val="left"/>
        <w:rPr>
          <w:rFonts w:hint="eastAsia"/>
          <w:color w:val="auto"/>
        </w:rPr>
      </w:pPr>
      <w:r>
        <w:rPr>
          <w:rFonts w:hint="eastAsia" w:ascii="宋体" w:hAnsi="宋体"/>
          <w:b/>
          <w:bCs/>
          <w:color w:val="auto"/>
          <w:sz w:val="24"/>
        </w:rPr>
        <w:t>（五）</w:t>
      </w:r>
      <w:r>
        <w:rPr>
          <w:rFonts w:hint="eastAsia" w:ascii="宋体" w:hAnsi="宋体" w:cs="宋体"/>
          <w:b/>
          <w:bCs/>
          <w:color w:val="auto"/>
          <w:sz w:val="24"/>
          <w:szCs w:val="21"/>
        </w:rPr>
        <w:t>其他资格审查证明材料</w:t>
      </w:r>
    </w:p>
    <w:p w14:paraId="40D97DA6">
      <w:pPr>
        <w:wordWrap w:val="0"/>
        <w:spacing w:line="360" w:lineRule="auto"/>
        <w:ind w:firstLine="360" w:firstLineChars="150"/>
        <w:rPr>
          <w:rFonts w:hint="eastAsia"/>
          <w:color w:val="auto"/>
          <w:kern w:val="0"/>
          <w:sz w:val="24"/>
        </w:rPr>
      </w:pPr>
      <w:r>
        <w:rPr>
          <w:rFonts w:hint="eastAsia"/>
          <w:color w:val="auto"/>
          <w:kern w:val="0"/>
          <w:sz w:val="24"/>
        </w:rPr>
        <w:t>格式自拟，应逐页加盖电子签章。</w:t>
      </w:r>
    </w:p>
    <w:p w14:paraId="66C89EC5">
      <w:pPr>
        <w:wordWrap w:val="0"/>
        <w:spacing w:line="360" w:lineRule="auto"/>
        <w:rPr>
          <w:rFonts w:hint="eastAsia" w:ascii="宋体" w:hAnsi="宋体" w:cs="宋体"/>
          <w:b/>
          <w:color w:val="auto"/>
          <w:sz w:val="24"/>
        </w:rPr>
      </w:pPr>
    </w:p>
    <w:p w14:paraId="117C8F10">
      <w:pPr>
        <w:wordWrap w:val="0"/>
        <w:spacing w:line="360" w:lineRule="auto"/>
        <w:rPr>
          <w:rFonts w:hint="eastAsia" w:ascii="宋体" w:hAnsi="宋体" w:cs="宋体"/>
          <w:b/>
          <w:color w:val="auto"/>
          <w:sz w:val="24"/>
        </w:rPr>
      </w:pPr>
    </w:p>
    <w:p w14:paraId="6F7271CE">
      <w:pPr>
        <w:widowControl/>
        <w:tabs>
          <w:tab w:val="left" w:pos="987"/>
        </w:tabs>
        <w:wordWrap w:val="0"/>
        <w:adjustRightInd w:val="0"/>
        <w:spacing w:line="360" w:lineRule="auto"/>
        <w:ind w:firstLine="480" w:firstLineChars="200"/>
        <w:jc w:val="left"/>
        <w:rPr>
          <w:rFonts w:ascii="宋体" w:hAnsi="宋体" w:cs="宋体"/>
          <w:color w:val="auto"/>
          <w:sz w:val="24"/>
        </w:rPr>
      </w:pPr>
    </w:p>
    <w:p w14:paraId="154C2A71">
      <w:pPr>
        <w:widowControl/>
        <w:wordWrap w:val="0"/>
        <w:spacing w:line="360" w:lineRule="auto"/>
        <w:ind w:firstLine="600" w:firstLineChars="250"/>
        <w:rPr>
          <w:rFonts w:ascii="宋体" w:hAnsi="宋体" w:cs="宋体"/>
          <w:color w:val="auto"/>
          <w:sz w:val="24"/>
        </w:rPr>
      </w:pPr>
      <w:r>
        <w:rPr>
          <w:rFonts w:hint="eastAsia" w:ascii="宋体" w:hAnsi="宋体" w:cs="宋体"/>
          <w:color w:val="auto"/>
          <w:sz w:val="24"/>
        </w:rPr>
        <w:t>注：投标人应确保证明文件的真实性、有效性及合法性，否则，由此引起的任何责任都由投标人自行承担。</w:t>
      </w:r>
    </w:p>
    <w:p w14:paraId="1E8275A8">
      <w:pPr>
        <w:widowControl/>
        <w:tabs>
          <w:tab w:val="left" w:pos="987"/>
        </w:tabs>
        <w:wordWrap w:val="0"/>
        <w:adjustRightInd w:val="0"/>
        <w:spacing w:line="360" w:lineRule="auto"/>
        <w:ind w:firstLine="600" w:firstLineChars="250"/>
        <w:jc w:val="left"/>
        <w:rPr>
          <w:rFonts w:ascii="宋体" w:hAnsi="宋体" w:cs="宋体"/>
          <w:color w:val="auto"/>
          <w:sz w:val="24"/>
        </w:rPr>
      </w:pPr>
    </w:p>
    <w:p w14:paraId="72A5C78C">
      <w:pPr>
        <w:widowControl/>
        <w:wordWrap w:val="0"/>
        <w:jc w:val="left"/>
        <w:rPr>
          <w:rFonts w:ascii="宋体" w:hAnsi="宋体"/>
          <w:color w:val="auto"/>
          <w:sz w:val="24"/>
        </w:rPr>
      </w:pPr>
    </w:p>
    <w:p w14:paraId="25BE2AC5">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投标人：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（单位电子签章）</w:t>
      </w:r>
    </w:p>
    <w:p w14:paraId="0D0C53AA">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法定代表人：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（法人电子签章）</w:t>
      </w:r>
    </w:p>
    <w:p w14:paraId="13F3F07E">
      <w:pPr>
        <w:tabs>
          <w:tab w:val="left" w:pos="6170"/>
        </w:tabs>
        <w:wordWrap w:val="0"/>
        <w:autoSpaceDE w:val="0"/>
        <w:autoSpaceDN w:val="0"/>
        <w:spacing w:line="480" w:lineRule="auto"/>
        <w:ind w:firstLine="2520" w:firstLineChars="1050"/>
        <w:rPr>
          <w:rFonts w:ascii="宋体" w:hAnsi="宋体"/>
          <w:color w:val="auto"/>
          <w:sz w:val="24"/>
        </w:rPr>
      </w:pPr>
      <w:r>
        <w:rPr>
          <w:rFonts w:hint="eastAsia" w:ascii="宋体" w:hAnsi="宋体" w:cs="宋体"/>
          <w:color w:val="auto"/>
          <w:sz w:val="24"/>
          <w:lang w:val="zh-CN" w:bidi="zh-CN"/>
        </w:rPr>
        <w:t>日期：</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年</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月</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日</w:t>
      </w:r>
      <w:r>
        <w:rPr>
          <w:rFonts w:hint="eastAsia" w:ascii="宋体" w:hAnsi="宋体"/>
          <w:color w:val="auto"/>
          <w:sz w:val="24"/>
        </w:rPr>
        <w:t xml:space="preserve">  </w:t>
      </w:r>
    </w:p>
    <w:p w14:paraId="1D984B8C">
      <w:pPr>
        <w:widowControl/>
        <w:wordWrap w:val="0"/>
        <w:jc w:val="left"/>
        <w:rPr>
          <w:rFonts w:ascii="宋体" w:hAnsi="宋体" w:cs="宋体"/>
          <w:b/>
          <w:color w:val="auto"/>
          <w:sz w:val="24"/>
        </w:rPr>
      </w:pPr>
      <w:r>
        <w:rPr>
          <w:rFonts w:ascii="宋体" w:hAnsi="宋体" w:cs="宋体"/>
          <w:b/>
          <w:color w:val="auto"/>
          <w:sz w:val="24"/>
        </w:rPr>
        <w:br w:type="page"/>
      </w:r>
    </w:p>
    <w:p w14:paraId="2D493B28">
      <w:pPr>
        <w:wordWrap w:val="0"/>
        <w:spacing w:line="360" w:lineRule="auto"/>
        <w:jc w:val="center"/>
        <w:outlineLvl w:val="1"/>
        <w:rPr>
          <w:rFonts w:hint="eastAsia" w:ascii="宋体" w:hAnsi="宋体" w:cs="宋体"/>
          <w:b/>
          <w:color w:val="auto"/>
          <w:sz w:val="24"/>
        </w:rPr>
      </w:pPr>
      <w:bookmarkStart w:id="756" w:name="_Toc83750157"/>
      <w:bookmarkStart w:id="757" w:name="_Toc76460611"/>
      <w:bookmarkStart w:id="758" w:name="_Toc180485665"/>
      <w:r>
        <w:rPr>
          <w:rFonts w:hint="eastAsia" w:ascii="宋体" w:hAnsi="宋体" w:cs="宋体"/>
          <w:b/>
          <w:color w:val="auto"/>
          <w:sz w:val="24"/>
        </w:rPr>
        <w:t>七、</w:t>
      </w:r>
      <w:bookmarkEnd w:id="756"/>
      <w:bookmarkEnd w:id="757"/>
      <w:r>
        <w:rPr>
          <w:rFonts w:hint="eastAsia" w:ascii="宋体" w:hAnsi="宋体" w:cs="宋体"/>
          <w:b/>
          <w:color w:val="auto"/>
          <w:sz w:val="24"/>
        </w:rPr>
        <w:t>履职尽责承诺及服务承诺</w:t>
      </w:r>
      <w:bookmarkEnd w:id="758"/>
    </w:p>
    <w:p w14:paraId="191E492C">
      <w:pPr>
        <w:wordWrap w:val="0"/>
        <w:rPr>
          <w:rFonts w:hint="eastAsia"/>
          <w:color w:val="auto"/>
        </w:rPr>
      </w:pPr>
    </w:p>
    <w:p w14:paraId="0EE69003">
      <w:pPr>
        <w:wordWrap w:val="0"/>
        <w:jc w:val="center"/>
        <w:rPr>
          <w:rFonts w:hint="eastAsia"/>
          <w:color w:val="auto"/>
          <w:sz w:val="24"/>
        </w:rPr>
      </w:pPr>
      <w:r>
        <w:rPr>
          <w:rFonts w:hint="eastAsia"/>
          <w:color w:val="auto"/>
          <w:sz w:val="24"/>
        </w:rPr>
        <w:t>格式自拟。</w:t>
      </w:r>
    </w:p>
    <w:p w14:paraId="2BAE0E5C">
      <w:pPr>
        <w:wordWrap w:val="0"/>
        <w:rPr>
          <w:color w:val="auto"/>
        </w:rPr>
      </w:pPr>
    </w:p>
    <w:p w14:paraId="4615A137">
      <w:pPr>
        <w:wordWrap w:val="0"/>
        <w:autoSpaceDE w:val="0"/>
        <w:autoSpaceDN w:val="0"/>
        <w:spacing w:line="480" w:lineRule="auto"/>
        <w:ind w:firstLine="2520" w:firstLineChars="1050"/>
        <w:rPr>
          <w:rFonts w:hint="eastAsia" w:ascii="宋体" w:hAnsi="宋体" w:cs="宋体"/>
          <w:color w:val="auto"/>
          <w:sz w:val="24"/>
          <w:lang w:val="zh-CN" w:bidi="zh-CN"/>
        </w:rPr>
      </w:pPr>
    </w:p>
    <w:p w14:paraId="0AA9D523">
      <w:pPr>
        <w:wordWrap w:val="0"/>
        <w:autoSpaceDE w:val="0"/>
        <w:autoSpaceDN w:val="0"/>
        <w:spacing w:line="480" w:lineRule="auto"/>
        <w:ind w:firstLine="2520" w:firstLineChars="1050"/>
        <w:rPr>
          <w:rFonts w:hint="eastAsia" w:ascii="宋体" w:hAnsi="宋体" w:cs="宋体"/>
          <w:color w:val="auto"/>
          <w:sz w:val="24"/>
          <w:lang w:val="zh-CN" w:bidi="zh-CN"/>
        </w:rPr>
      </w:pPr>
    </w:p>
    <w:p w14:paraId="3D28EFFC">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投标人：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（单位电子签章）</w:t>
      </w:r>
    </w:p>
    <w:p w14:paraId="7EF3D0F4">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法定代表人：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（法人电子签章）</w:t>
      </w:r>
    </w:p>
    <w:p w14:paraId="4344006B">
      <w:pPr>
        <w:tabs>
          <w:tab w:val="left" w:pos="6170"/>
        </w:tabs>
        <w:wordWrap w:val="0"/>
        <w:autoSpaceDE w:val="0"/>
        <w:autoSpaceDN w:val="0"/>
        <w:spacing w:line="480" w:lineRule="auto"/>
        <w:ind w:firstLine="2520" w:firstLineChars="1050"/>
        <w:rPr>
          <w:rFonts w:ascii="宋体" w:hAnsi="宋体"/>
          <w:color w:val="auto"/>
          <w:sz w:val="24"/>
        </w:rPr>
      </w:pPr>
      <w:r>
        <w:rPr>
          <w:rFonts w:hint="eastAsia" w:ascii="宋体" w:hAnsi="宋体" w:cs="宋体"/>
          <w:color w:val="auto"/>
          <w:sz w:val="24"/>
          <w:lang w:val="zh-CN" w:bidi="zh-CN"/>
        </w:rPr>
        <w:t>日期：</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年</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月</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日</w:t>
      </w:r>
      <w:r>
        <w:rPr>
          <w:rFonts w:hint="eastAsia" w:ascii="宋体" w:hAnsi="宋体"/>
          <w:color w:val="auto"/>
          <w:sz w:val="24"/>
        </w:rPr>
        <w:t xml:space="preserve">  </w:t>
      </w:r>
    </w:p>
    <w:p w14:paraId="0CC42AFA">
      <w:pPr>
        <w:wordWrap w:val="0"/>
        <w:spacing w:line="360" w:lineRule="auto"/>
        <w:jc w:val="center"/>
        <w:outlineLvl w:val="1"/>
        <w:rPr>
          <w:rFonts w:ascii="宋体" w:hAnsi="宋体" w:cs="宋体"/>
          <w:b/>
          <w:color w:val="auto"/>
          <w:sz w:val="24"/>
        </w:rPr>
      </w:pPr>
      <w:r>
        <w:rPr>
          <w:rFonts w:ascii="宋体" w:hAnsi="宋体" w:cs="宋体"/>
          <w:b/>
          <w:color w:val="auto"/>
          <w:sz w:val="24"/>
        </w:rPr>
        <w:br w:type="page"/>
      </w:r>
      <w:bookmarkStart w:id="759" w:name="_Toc10146"/>
      <w:bookmarkStart w:id="760" w:name="_Toc180485666"/>
      <w:bookmarkStart w:id="761" w:name="_Toc25402"/>
      <w:r>
        <w:rPr>
          <w:rFonts w:hint="eastAsia" w:ascii="宋体" w:hAnsi="宋体" w:cs="宋体"/>
          <w:b/>
          <w:color w:val="auto"/>
          <w:sz w:val="24"/>
        </w:rPr>
        <w:t>八、</w:t>
      </w:r>
      <w:bookmarkEnd w:id="759"/>
      <w:r>
        <w:rPr>
          <w:rFonts w:hint="eastAsia" w:ascii="宋体" w:hAnsi="宋体" w:cs="宋体"/>
          <w:b/>
          <w:color w:val="auto"/>
          <w:sz w:val="24"/>
        </w:rPr>
        <w:t>不拖欠农民工工资承诺</w:t>
      </w:r>
      <w:bookmarkEnd w:id="760"/>
      <w:bookmarkEnd w:id="761"/>
    </w:p>
    <w:p w14:paraId="6A4C1670">
      <w:pPr>
        <w:wordWrap w:val="0"/>
        <w:spacing w:line="480" w:lineRule="auto"/>
        <w:rPr>
          <w:rFonts w:ascii="宋体" w:hAnsi="宋体" w:cs="宋体"/>
          <w:color w:val="auto"/>
          <w:sz w:val="24"/>
        </w:rPr>
      </w:pPr>
    </w:p>
    <w:p w14:paraId="1698C271">
      <w:pPr>
        <w:wordWrap w:val="0"/>
        <w:spacing w:line="48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（招标人）</w:t>
      </w:r>
    </w:p>
    <w:p w14:paraId="78C4EB49">
      <w:pPr>
        <w:wordWrap w:val="0"/>
        <w:spacing w:line="480" w:lineRule="auto"/>
        <w:ind w:firstLine="561" w:firstLineChars="234"/>
        <w:rPr>
          <w:rFonts w:ascii="宋体" w:hAnsi="宋体" w:cs="宋体"/>
          <w:color w:val="auto"/>
          <w:sz w:val="24"/>
        </w:rPr>
      </w:pPr>
      <w:r>
        <w:rPr>
          <w:rFonts w:hint="eastAsia" w:ascii="宋体" w:hAnsi="宋体" w:cs="宋体"/>
          <w:color w:val="auto"/>
          <w:sz w:val="24"/>
        </w:rPr>
        <w:t>我公司承诺如若中标，在施工期间不拖欠农民工工资，能够及时、足额存入农民工工资保障金。一旦承包的工程项目中出现拖欠农民工工资情况的，由建设行政主管部门从农民工工资保障金中先于划支。我公司按豫劳社监察（2003）19号文件规定，缴纳农民工工资保障金，保障金为中标价的2%。</w:t>
      </w:r>
    </w:p>
    <w:p w14:paraId="315B75A5">
      <w:pPr>
        <w:wordWrap w:val="0"/>
        <w:spacing w:after="120" w:line="480" w:lineRule="auto"/>
        <w:ind w:firstLine="420"/>
        <w:rPr>
          <w:rFonts w:ascii="宋体" w:hAnsi="宋体" w:cs="宋体"/>
          <w:color w:val="auto"/>
          <w:kern w:val="0"/>
          <w:sz w:val="24"/>
        </w:rPr>
      </w:pPr>
      <w:r>
        <w:rPr>
          <w:rFonts w:hint="eastAsia" w:ascii="宋体" w:hAnsi="宋体" w:cs="宋体"/>
          <w:color w:val="auto"/>
          <w:kern w:val="0"/>
          <w:sz w:val="24"/>
        </w:rPr>
        <w:t>特此承诺！</w:t>
      </w:r>
    </w:p>
    <w:p w14:paraId="56401561">
      <w:pPr>
        <w:wordWrap w:val="0"/>
        <w:spacing w:after="120"/>
        <w:ind w:left="420" w:leftChars="200" w:firstLine="440" w:firstLineChars="200"/>
        <w:rPr>
          <w:rFonts w:ascii="宋体" w:hAnsi="宋体" w:cs="宋体"/>
          <w:color w:val="auto"/>
          <w:sz w:val="22"/>
        </w:rPr>
      </w:pPr>
    </w:p>
    <w:p w14:paraId="2F39359C">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投标人：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（单位电子签章）</w:t>
      </w:r>
    </w:p>
    <w:p w14:paraId="052E623C">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法定代表人：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（法人电子签章）</w:t>
      </w:r>
    </w:p>
    <w:p w14:paraId="2F725812">
      <w:pPr>
        <w:tabs>
          <w:tab w:val="left" w:pos="6170"/>
        </w:tabs>
        <w:wordWrap w:val="0"/>
        <w:autoSpaceDE w:val="0"/>
        <w:autoSpaceDN w:val="0"/>
        <w:spacing w:line="480" w:lineRule="auto"/>
        <w:ind w:firstLine="2520" w:firstLineChars="1050"/>
        <w:rPr>
          <w:rFonts w:ascii="宋体" w:hAnsi="宋体"/>
          <w:color w:val="auto"/>
          <w:sz w:val="24"/>
        </w:rPr>
      </w:pPr>
      <w:r>
        <w:rPr>
          <w:rFonts w:hint="eastAsia" w:ascii="宋体" w:hAnsi="宋体" w:cs="宋体"/>
          <w:color w:val="auto"/>
          <w:sz w:val="24"/>
          <w:lang w:val="zh-CN" w:bidi="zh-CN"/>
        </w:rPr>
        <w:t>日期：</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年</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月</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日</w:t>
      </w:r>
      <w:r>
        <w:rPr>
          <w:rFonts w:hint="eastAsia" w:ascii="宋体" w:hAnsi="宋体"/>
          <w:color w:val="auto"/>
          <w:sz w:val="24"/>
        </w:rPr>
        <w:t xml:space="preserve">  </w:t>
      </w:r>
    </w:p>
    <w:p w14:paraId="10177F7B">
      <w:pPr>
        <w:wordWrap w:val="0"/>
        <w:spacing w:line="360" w:lineRule="auto"/>
        <w:jc w:val="center"/>
        <w:outlineLvl w:val="1"/>
        <w:rPr>
          <w:rFonts w:ascii="宋体" w:hAnsi="宋体" w:cs="宋体"/>
          <w:b/>
          <w:color w:val="auto"/>
          <w:sz w:val="24"/>
        </w:rPr>
      </w:pPr>
      <w:r>
        <w:rPr>
          <w:rFonts w:ascii="宋体" w:hAnsi="宋体" w:cs="宋体"/>
          <w:b/>
          <w:color w:val="auto"/>
          <w:sz w:val="24"/>
        </w:rPr>
        <w:br w:type="page"/>
      </w:r>
      <w:bookmarkStart w:id="762" w:name="_Toc180485667"/>
      <w:r>
        <w:rPr>
          <w:rFonts w:hint="eastAsia" w:ascii="宋体" w:hAnsi="宋体" w:cs="宋体"/>
          <w:b/>
          <w:color w:val="auto"/>
          <w:sz w:val="24"/>
        </w:rPr>
        <w:t>九、其他资料</w:t>
      </w:r>
      <w:bookmarkEnd w:id="762"/>
    </w:p>
    <w:p w14:paraId="1F52AFAF">
      <w:pPr>
        <w:wordWrap w:val="0"/>
        <w:autoSpaceDE w:val="0"/>
        <w:autoSpaceDN w:val="0"/>
        <w:spacing w:line="480" w:lineRule="auto"/>
        <w:ind w:firstLine="2520" w:firstLineChars="1050"/>
        <w:rPr>
          <w:rFonts w:ascii="宋体" w:hAnsi="宋体" w:cs="宋体"/>
          <w:color w:val="auto"/>
          <w:sz w:val="24"/>
          <w:lang w:bidi="zh-CN"/>
        </w:rPr>
      </w:pPr>
      <w:r>
        <w:rPr>
          <w:rFonts w:hint="eastAsia" w:ascii="宋体" w:hAnsi="宋体" w:cs="宋体"/>
          <w:color w:val="auto"/>
          <w:sz w:val="24"/>
        </w:rPr>
        <w:t>（投标人认为应该提交的其他材料</w:t>
      </w:r>
      <w:r>
        <w:rPr>
          <w:rFonts w:hint="eastAsia" w:ascii="宋体" w:hAnsi="宋体" w:cs="宋体"/>
          <w:color w:val="auto"/>
          <w:sz w:val="24"/>
          <w:lang w:eastAsia="zh-CN"/>
        </w:rPr>
        <w:t>，</w:t>
      </w:r>
      <w:r>
        <w:rPr>
          <w:rFonts w:hint="eastAsia" w:ascii="宋体" w:hAnsi="宋体" w:cs="宋体"/>
          <w:color w:val="auto"/>
          <w:sz w:val="24"/>
        </w:rPr>
        <w:t>格式自拟）</w:t>
      </w:r>
    </w:p>
    <w:p w14:paraId="06A9A4F8">
      <w:pPr>
        <w:wordWrap w:val="0"/>
        <w:autoSpaceDE w:val="0"/>
        <w:autoSpaceDN w:val="0"/>
        <w:spacing w:line="480" w:lineRule="auto"/>
        <w:ind w:firstLine="2520" w:firstLineChars="1050"/>
        <w:rPr>
          <w:rFonts w:ascii="宋体" w:hAnsi="宋体" w:cs="宋体"/>
          <w:color w:val="auto"/>
          <w:sz w:val="24"/>
          <w:lang w:val="zh-CN" w:bidi="zh-CN"/>
        </w:rPr>
      </w:pPr>
    </w:p>
    <w:p w14:paraId="61A2ECCC">
      <w:pPr>
        <w:wordWrap w:val="0"/>
        <w:autoSpaceDE w:val="0"/>
        <w:autoSpaceDN w:val="0"/>
        <w:spacing w:line="480" w:lineRule="auto"/>
        <w:ind w:firstLine="2520" w:firstLineChars="1050"/>
        <w:rPr>
          <w:rFonts w:ascii="宋体" w:hAnsi="宋体" w:cs="宋体"/>
          <w:color w:val="auto"/>
          <w:sz w:val="24"/>
          <w:lang w:val="zh-CN" w:bidi="zh-CN"/>
        </w:rPr>
      </w:pPr>
    </w:p>
    <w:p w14:paraId="792645AB">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投标人：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（单位电子签章）</w:t>
      </w:r>
    </w:p>
    <w:p w14:paraId="12CDB28D">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法定代表人：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（法人电子签章）</w:t>
      </w:r>
    </w:p>
    <w:p w14:paraId="70762660">
      <w:pPr>
        <w:tabs>
          <w:tab w:val="left" w:pos="6170"/>
        </w:tabs>
        <w:wordWrap w:val="0"/>
        <w:autoSpaceDE w:val="0"/>
        <w:autoSpaceDN w:val="0"/>
        <w:spacing w:line="480" w:lineRule="auto"/>
        <w:ind w:firstLine="2520" w:firstLineChars="1050"/>
        <w:rPr>
          <w:rFonts w:ascii="宋体" w:hAnsi="宋体"/>
          <w:color w:val="auto"/>
          <w:sz w:val="24"/>
        </w:rPr>
      </w:pPr>
      <w:r>
        <w:rPr>
          <w:rFonts w:hint="eastAsia" w:ascii="宋体" w:hAnsi="宋体" w:cs="宋体"/>
          <w:color w:val="auto"/>
          <w:sz w:val="24"/>
          <w:lang w:val="zh-CN" w:bidi="zh-CN"/>
        </w:rPr>
        <w:t>日期：</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年</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月</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日</w:t>
      </w:r>
      <w:r>
        <w:rPr>
          <w:rFonts w:hint="eastAsia" w:ascii="宋体" w:hAnsi="宋体"/>
          <w:color w:val="auto"/>
          <w:sz w:val="24"/>
        </w:rPr>
        <w:t xml:space="preserve">  </w:t>
      </w:r>
    </w:p>
    <w:p w14:paraId="10B717D1">
      <w:pPr>
        <w:wordWrap w:val="0"/>
        <w:spacing w:line="360" w:lineRule="auto"/>
        <w:ind w:firstLine="1070" w:firstLineChars="446"/>
        <w:rPr>
          <w:rFonts w:hint="eastAsia" w:ascii="宋体" w:hAnsi="宋体"/>
          <w:color w:val="auto"/>
          <w:sz w:val="24"/>
        </w:rPr>
      </w:pPr>
      <w:r>
        <w:rPr>
          <w:rFonts w:ascii="宋体" w:hAnsi="宋体"/>
          <w:color w:val="auto"/>
          <w:sz w:val="24"/>
        </w:rPr>
        <w:br w:type="page"/>
      </w:r>
    </w:p>
    <w:p w14:paraId="6FE20445">
      <w:pPr>
        <w:wordWrap w:val="0"/>
        <w:spacing w:line="360" w:lineRule="auto"/>
        <w:ind w:firstLine="1612" w:firstLineChars="446"/>
        <w:rPr>
          <w:rFonts w:ascii="宋体" w:hAnsi="宋体"/>
          <w:b/>
          <w:color w:val="auto"/>
          <w:sz w:val="36"/>
          <w:szCs w:val="36"/>
        </w:rPr>
      </w:pPr>
      <w:r>
        <w:rPr>
          <w:rFonts w:hint="eastAsia" w:ascii="宋体" w:hAnsi="宋体"/>
          <w:b/>
          <w:color w:val="auto"/>
          <w:sz w:val="36"/>
          <w:szCs w:val="36"/>
          <w:u w:val="single"/>
        </w:rPr>
        <w:t xml:space="preserve">                       </w:t>
      </w:r>
      <w:r>
        <w:rPr>
          <w:rFonts w:hint="eastAsia" w:ascii="宋体" w:hAnsi="宋体"/>
          <w:b/>
          <w:color w:val="auto"/>
          <w:sz w:val="36"/>
          <w:szCs w:val="36"/>
        </w:rPr>
        <w:t>（项目名称）</w:t>
      </w:r>
    </w:p>
    <w:p w14:paraId="6EFB148B">
      <w:pPr>
        <w:wordWrap w:val="0"/>
        <w:spacing w:line="360" w:lineRule="auto"/>
        <w:jc w:val="center"/>
        <w:rPr>
          <w:rFonts w:ascii="宋体" w:hAnsi="宋体"/>
          <w:b/>
          <w:color w:val="auto"/>
          <w:sz w:val="32"/>
          <w:szCs w:val="32"/>
        </w:rPr>
      </w:pPr>
    </w:p>
    <w:p w14:paraId="1D5A9C3A">
      <w:pPr>
        <w:wordWrap w:val="0"/>
        <w:spacing w:line="360" w:lineRule="auto"/>
        <w:jc w:val="center"/>
        <w:rPr>
          <w:rFonts w:ascii="宋体" w:hAnsi="宋体"/>
          <w:b/>
          <w:color w:val="auto"/>
          <w:sz w:val="32"/>
          <w:szCs w:val="32"/>
        </w:rPr>
      </w:pPr>
    </w:p>
    <w:p w14:paraId="754F6A0F">
      <w:pPr>
        <w:wordWrap w:val="0"/>
        <w:spacing w:line="360" w:lineRule="auto"/>
        <w:jc w:val="center"/>
        <w:rPr>
          <w:rFonts w:ascii="宋体" w:hAnsi="宋体"/>
          <w:b/>
          <w:color w:val="auto"/>
          <w:sz w:val="32"/>
          <w:szCs w:val="32"/>
        </w:rPr>
      </w:pPr>
    </w:p>
    <w:p w14:paraId="4CBADBA2">
      <w:pPr>
        <w:wordWrap w:val="0"/>
        <w:spacing w:line="360" w:lineRule="auto"/>
        <w:rPr>
          <w:rFonts w:hint="eastAsia" w:ascii="宋体" w:hAnsi="宋体"/>
          <w:b/>
          <w:color w:val="auto"/>
          <w:sz w:val="44"/>
        </w:rPr>
      </w:pPr>
    </w:p>
    <w:p w14:paraId="781DF9BE">
      <w:pPr>
        <w:wordWrap w:val="0"/>
        <w:spacing w:line="360" w:lineRule="auto"/>
        <w:rPr>
          <w:rFonts w:ascii="宋体" w:hAnsi="宋体"/>
          <w:b/>
          <w:color w:val="auto"/>
          <w:sz w:val="44"/>
        </w:rPr>
      </w:pPr>
    </w:p>
    <w:p w14:paraId="4E5471D2">
      <w:pPr>
        <w:wordWrap w:val="0"/>
        <w:spacing w:line="276" w:lineRule="auto"/>
        <w:jc w:val="center"/>
        <w:rPr>
          <w:rFonts w:ascii="宋体" w:hAnsi="宋体"/>
          <w:color w:val="auto"/>
          <w:sz w:val="84"/>
          <w:szCs w:val="84"/>
        </w:rPr>
      </w:pPr>
      <w:r>
        <w:rPr>
          <w:rFonts w:hint="eastAsia" w:ascii="宋体" w:hAnsi="宋体"/>
          <w:color w:val="auto"/>
          <w:sz w:val="84"/>
          <w:szCs w:val="84"/>
        </w:rPr>
        <w:t>投</w:t>
      </w:r>
      <w:r>
        <w:rPr>
          <w:rFonts w:hint="eastAsia" w:ascii="宋体" w:hAnsi="宋体"/>
          <w:color w:val="auto"/>
          <w:sz w:val="84"/>
          <w:szCs w:val="84"/>
        </w:rPr>
        <w:tab/>
      </w:r>
      <w:r>
        <w:rPr>
          <w:rFonts w:hint="eastAsia" w:ascii="宋体" w:hAnsi="宋体"/>
          <w:color w:val="auto"/>
          <w:sz w:val="84"/>
          <w:szCs w:val="84"/>
        </w:rPr>
        <w:t>标</w:t>
      </w:r>
      <w:r>
        <w:rPr>
          <w:rFonts w:hint="eastAsia" w:ascii="宋体" w:hAnsi="宋体"/>
          <w:color w:val="auto"/>
          <w:sz w:val="84"/>
          <w:szCs w:val="84"/>
        </w:rPr>
        <w:tab/>
      </w:r>
      <w:r>
        <w:rPr>
          <w:rFonts w:hint="eastAsia" w:ascii="宋体" w:hAnsi="宋体"/>
          <w:color w:val="auto"/>
          <w:sz w:val="84"/>
          <w:szCs w:val="84"/>
        </w:rPr>
        <w:t>文</w:t>
      </w:r>
      <w:r>
        <w:rPr>
          <w:rFonts w:hint="eastAsia" w:ascii="宋体" w:hAnsi="宋体"/>
          <w:color w:val="auto"/>
          <w:sz w:val="84"/>
          <w:szCs w:val="84"/>
        </w:rPr>
        <w:tab/>
      </w:r>
      <w:r>
        <w:rPr>
          <w:rFonts w:hint="eastAsia" w:ascii="宋体" w:hAnsi="宋体"/>
          <w:color w:val="auto"/>
          <w:sz w:val="84"/>
          <w:szCs w:val="84"/>
        </w:rPr>
        <w:t>件</w:t>
      </w:r>
    </w:p>
    <w:p w14:paraId="4245D925">
      <w:pPr>
        <w:wordWrap w:val="0"/>
        <w:spacing w:line="360" w:lineRule="auto"/>
        <w:ind w:firstLine="1911" w:firstLineChars="595"/>
        <w:rPr>
          <w:rFonts w:ascii="宋体" w:hAnsi="宋体"/>
          <w:b/>
          <w:color w:val="auto"/>
          <w:sz w:val="32"/>
          <w:szCs w:val="32"/>
        </w:rPr>
      </w:pPr>
      <w:r>
        <w:rPr>
          <w:rFonts w:hint="eastAsia" w:ascii="宋体" w:hAnsi="宋体"/>
          <w:b/>
          <w:color w:val="auto"/>
          <w:sz w:val="32"/>
          <w:szCs w:val="32"/>
        </w:rPr>
        <w:t>项目编号：</w:t>
      </w:r>
    </w:p>
    <w:p w14:paraId="401EEB7B">
      <w:pPr>
        <w:wordWrap w:val="0"/>
        <w:rPr>
          <w:rFonts w:hint="eastAsia"/>
          <w:color w:val="auto"/>
        </w:rPr>
      </w:pPr>
      <w:bookmarkStart w:id="763" w:name="_Toc17655"/>
      <w:bookmarkStart w:id="764" w:name="_Toc25442"/>
    </w:p>
    <w:p w14:paraId="69BEF7B9">
      <w:pPr>
        <w:pStyle w:val="2"/>
        <w:wordWrap w:val="0"/>
        <w:spacing w:line="240" w:lineRule="auto"/>
        <w:jc w:val="center"/>
        <w:rPr>
          <w:rFonts w:ascii="宋体" w:hAnsi="宋体" w:cs="宋体"/>
          <w:bCs w:val="0"/>
          <w:color w:val="auto"/>
          <w:kern w:val="0"/>
          <w:sz w:val="32"/>
          <w:szCs w:val="32"/>
        </w:rPr>
      </w:pPr>
      <w:bookmarkStart w:id="765" w:name="_Toc180485668"/>
      <w:r>
        <w:rPr>
          <w:rFonts w:hint="eastAsia" w:ascii="宋体" w:hAnsi="宋体" w:cs="宋体"/>
          <w:bCs w:val="0"/>
          <w:color w:val="auto"/>
          <w:kern w:val="0"/>
          <w:sz w:val="32"/>
          <w:szCs w:val="32"/>
        </w:rPr>
        <w:t>报价文件（第二信封）</w:t>
      </w:r>
      <w:bookmarkEnd w:id="763"/>
      <w:bookmarkEnd w:id="764"/>
      <w:bookmarkEnd w:id="765"/>
    </w:p>
    <w:p w14:paraId="69D0CB85">
      <w:pPr>
        <w:wordWrap w:val="0"/>
        <w:spacing w:line="360" w:lineRule="auto"/>
        <w:ind w:firstLine="480" w:firstLineChars="200"/>
        <w:rPr>
          <w:rFonts w:ascii="宋体" w:hAnsi="宋体"/>
          <w:color w:val="auto"/>
          <w:sz w:val="24"/>
        </w:rPr>
      </w:pPr>
    </w:p>
    <w:p w14:paraId="0ECF6B5B">
      <w:pPr>
        <w:wordWrap w:val="0"/>
        <w:spacing w:line="360" w:lineRule="auto"/>
        <w:ind w:firstLine="480" w:firstLineChars="200"/>
        <w:rPr>
          <w:rFonts w:ascii="宋体" w:hAnsi="宋体"/>
          <w:color w:val="auto"/>
          <w:sz w:val="24"/>
        </w:rPr>
      </w:pPr>
    </w:p>
    <w:p w14:paraId="775779F9">
      <w:pPr>
        <w:wordWrap w:val="0"/>
        <w:spacing w:line="360" w:lineRule="auto"/>
        <w:ind w:firstLine="480" w:firstLineChars="200"/>
        <w:rPr>
          <w:rFonts w:ascii="宋体" w:hAnsi="宋体"/>
          <w:color w:val="auto"/>
          <w:sz w:val="24"/>
        </w:rPr>
      </w:pPr>
    </w:p>
    <w:p w14:paraId="223111CE">
      <w:pPr>
        <w:wordWrap w:val="0"/>
        <w:spacing w:line="360" w:lineRule="auto"/>
        <w:ind w:firstLine="480" w:firstLineChars="200"/>
        <w:rPr>
          <w:rFonts w:ascii="宋体" w:hAnsi="宋体"/>
          <w:color w:val="auto"/>
          <w:sz w:val="24"/>
        </w:rPr>
      </w:pPr>
    </w:p>
    <w:p w14:paraId="3D582BD1">
      <w:pPr>
        <w:wordWrap w:val="0"/>
        <w:spacing w:line="360" w:lineRule="auto"/>
        <w:ind w:firstLine="480" w:firstLineChars="200"/>
        <w:rPr>
          <w:rFonts w:ascii="宋体" w:hAnsi="宋体"/>
          <w:color w:val="auto"/>
          <w:sz w:val="24"/>
        </w:rPr>
      </w:pPr>
    </w:p>
    <w:p w14:paraId="0E68B920">
      <w:pPr>
        <w:wordWrap w:val="0"/>
        <w:spacing w:line="360" w:lineRule="auto"/>
        <w:ind w:firstLine="480" w:firstLineChars="200"/>
        <w:rPr>
          <w:rFonts w:hint="eastAsia" w:ascii="宋体" w:hAnsi="宋体"/>
          <w:color w:val="auto"/>
          <w:sz w:val="24"/>
        </w:rPr>
      </w:pPr>
    </w:p>
    <w:p w14:paraId="09E09053">
      <w:pPr>
        <w:wordWrap w:val="0"/>
        <w:spacing w:line="360" w:lineRule="auto"/>
        <w:ind w:firstLine="480" w:firstLineChars="200"/>
        <w:rPr>
          <w:rFonts w:ascii="宋体" w:hAnsi="宋体"/>
          <w:color w:val="auto"/>
          <w:sz w:val="24"/>
        </w:rPr>
      </w:pPr>
    </w:p>
    <w:p w14:paraId="729D04DD">
      <w:pPr>
        <w:wordWrap w:val="0"/>
        <w:spacing w:line="360" w:lineRule="auto"/>
        <w:ind w:firstLine="480" w:firstLineChars="200"/>
        <w:rPr>
          <w:rFonts w:ascii="宋体" w:hAnsi="宋体"/>
          <w:color w:val="auto"/>
          <w:sz w:val="24"/>
        </w:rPr>
      </w:pPr>
    </w:p>
    <w:p w14:paraId="40508522">
      <w:pPr>
        <w:wordWrap w:val="0"/>
        <w:spacing w:line="360" w:lineRule="auto"/>
        <w:ind w:firstLine="480" w:firstLineChars="200"/>
        <w:rPr>
          <w:rFonts w:ascii="宋体" w:hAnsi="宋体"/>
          <w:color w:val="auto"/>
          <w:sz w:val="24"/>
        </w:rPr>
      </w:pPr>
    </w:p>
    <w:p w14:paraId="16C0A382">
      <w:pPr>
        <w:wordWrap w:val="0"/>
        <w:spacing w:line="360" w:lineRule="auto"/>
        <w:ind w:firstLine="1054" w:firstLineChars="350"/>
        <w:rPr>
          <w:rFonts w:ascii="宋体" w:hAnsi="宋体"/>
          <w:b/>
          <w:color w:val="auto"/>
          <w:sz w:val="30"/>
        </w:rPr>
      </w:pPr>
      <w:r>
        <w:rPr>
          <w:rFonts w:hint="eastAsia" w:ascii="宋体" w:hAnsi="宋体"/>
          <w:b/>
          <w:color w:val="auto"/>
          <w:sz w:val="30"/>
        </w:rPr>
        <w:t>投标人：</w:t>
      </w:r>
      <w:r>
        <w:rPr>
          <w:rFonts w:hint="eastAsia" w:ascii="宋体" w:hAnsi="宋体"/>
          <w:b/>
          <w:color w:val="auto"/>
          <w:sz w:val="30"/>
          <w:u w:val="single"/>
        </w:rPr>
        <w:t xml:space="preserve">                   </w:t>
      </w:r>
      <w:r>
        <w:rPr>
          <w:rFonts w:hint="eastAsia" w:ascii="宋体" w:hAnsi="宋体"/>
          <w:b/>
          <w:color w:val="auto"/>
          <w:sz w:val="30"/>
        </w:rPr>
        <w:t>（单位电子签章）</w:t>
      </w:r>
    </w:p>
    <w:p w14:paraId="3731B162">
      <w:pPr>
        <w:wordWrap w:val="0"/>
        <w:spacing w:line="360" w:lineRule="auto"/>
        <w:ind w:firstLine="1054" w:firstLineChars="350"/>
        <w:rPr>
          <w:rFonts w:ascii="宋体" w:hAnsi="宋体"/>
          <w:b/>
          <w:color w:val="auto"/>
          <w:sz w:val="30"/>
        </w:rPr>
      </w:pPr>
      <w:r>
        <w:rPr>
          <w:rFonts w:hint="eastAsia" w:ascii="宋体" w:hAnsi="宋体"/>
          <w:b/>
          <w:color w:val="auto"/>
          <w:sz w:val="30"/>
        </w:rPr>
        <w:t>法定代表人：</w:t>
      </w:r>
      <w:r>
        <w:rPr>
          <w:rFonts w:hint="eastAsia" w:ascii="宋体" w:hAnsi="宋体"/>
          <w:b/>
          <w:color w:val="auto"/>
          <w:sz w:val="30"/>
          <w:u w:val="single"/>
        </w:rPr>
        <w:t xml:space="preserve">               </w:t>
      </w:r>
      <w:r>
        <w:rPr>
          <w:rFonts w:hint="eastAsia" w:ascii="宋体" w:hAnsi="宋体"/>
          <w:b/>
          <w:color w:val="auto"/>
          <w:sz w:val="30"/>
        </w:rPr>
        <w:t>（法人电子签章）</w:t>
      </w:r>
    </w:p>
    <w:p w14:paraId="15CFDF05">
      <w:pPr>
        <w:wordWrap w:val="0"/>
        <w:spacing w:line="360" w:lineRule="auto"/>
        <w:ind w:firstLine="1054" w:firstLineChars="350"/>
        <w:rPr>
          <w:rFonts w:ascii="宋体" w:hAnsi="宋体"/>
          <w:b/>
          <w:color w:val="auto"/>
          <w:sz w:val="30"/>
        </w:rPr>
      </w:pPr>
      <w:r>
        <w:rPr>
          <w:rFonts w:hint="eastAsia" w:ascii="宋体" w:hAnsi="宋体"/>
          <w:b/>
          <w:color w:val="auto"/>
          <w:sz w:val="30"/>
        </w:rPr>
        <w:t>日期：</w:t>
      </w:r>
      <w:r>
        <w:rPr>
          <w:rFonts w:hint="eastAsia" w:ascii="宋体" w:hAnsi="宋体"/>
          <w:b/>
          <w:color w:val="auto"/>
          <w:sz w:val="30"/>
          <w:u w:val="single"/>
        </w:rPr>
        <w:t xml:space="preserve"> </w:t>
      </w:r>
      <w:r>
        <w:rPr>
          <w:rFonts w:hint="eastAsia" w:ascii="宋体" w:hAnsi="宋体"/>
          <w:b/>
          <w:color w:val="auto"/>
          <w:sz w:val="30"/>
          <w:u w:val="single"/>
        </w:rPr>
        <w:tab/>
      </w:r>
      <w:r>
        <w:rPr>
          <w:rFonts w:hint="eastAsia" w:ascii="宋体" w:hAnsi="宋体"/>
          <w:b/>
          <w:color w:val="auto"/>
          <w:sz w:val="30"/>
          <w:u w:val="single"/>
        </w:rPr>
        <w:t xml:space="preserve">     </w:t>
      </w:r>
      <w:r>
        <w:rPr>
          <w:rFonts w:hint="eastAsia" w:ascii="宋体" w:hAnsi="宋体"/>
          <w:b/>
          <w:color w:val="auto"/>
          <w:sz w:val="30"/>
        </w:rPr>
        <w:t>年</w:t>
      </w:r>
      <w:r>
        <w:rPr>
          <w:rFonts w:hint="eastAsia" w:ascii="宋体" w:hAnsi="宋体"/>
          <w:b/>
          <w:color w:val="auto"/>
          <w:sz w:val="30"/>
          <w:u w:val="single"/>
        </w:rPr>
        <w:t xml:space="preserve">      </w:t>
      </w:r>
      <w:r>
        <w:rPr>
          <w:rFonts w:hint="eastAsia" w:ascii="宋体" w:hAnsi="宋体"/>
          <w:b/>
          <w:color w:val="auto"/>
          <w:sz w:val="30"/>
        </w:rPr>
        <w:t>月</w:t>
      </w:r>
      <w:r>
        <w:rPr>
          <w:rFonts w:hint="eastAsia" w:ascii="宋体" w:hAnsi="宋体"/>
          <w:b/>
          <w:color w:val="auto"/>
          <w:sz w:val="30"/>
          <w:u w:val="single"/>
        </w:rPr>
        <w:t xml:space="preserve">     </w:t>
      </w:r>
      <w:r>
        <w:rPr>
          <w:rFonts w:hint="eastAsia" w:ascii="宋体" w:hAnsi="宋体"/>
          <w:b/>
          <w:color w:val="auto"/>
          <w:sz w:val="30"/>
        </w:rPr>
        <w:t>日</w:t>
      </w:r>
    </w:p>
    <w:p w14:paraId="7E756463">
      <w:pPr>
        <w:tabs>
          <w:tab w:val="left" w:pos="6170"/>
        </w:tabs>
        <w:wordWrap w:val="0"/>
        <w:autoSpaceDE w:val="0"/>
        <w:autoSpaceDN w:val="0"/>
        <w:spacing w:line="480" w:lineRule="auto"/>
        <w:ind w:firstLine="2520" w:firstLineChars="1050"/>
        <w:rPr>
          <w:rFonts w:ascii="宋体" w:hAnsi="宋体"/>
          <w:color w:val="auto"/>
          <w:sz w:val="24"/>
        </w:rPr>
      </w:pPr>
    </w:p>
    <w:p w14:paraId="360962B7">
      <w:pPr>
        <w:wordWrap w:val="0"/>
        <w:rPr>
          <w:rFonts w:hint="eastAsia"/>
          <w:color w:val="auto"/>
        </w:rPr>
      </w:pPr>
      <w:r>
        <w:rPr>
          <w:rFonts w:hint="eastAsia"/>
          <w:color w:val="auto"/>
        </w:rPr>
        <w:t xml:space="preserve"> </w:t>
      </w:r>
    </w:p>
    <w:p w14:paraId="38CB0DD8">
      <w:pPr>
        <w:wordWrap w:val="0"/>
        <w:jc w:val="center"/>
        <w:rPr>
          <w:rFonts w:eastAsia="楷体_GB2312"/>
          <w:color w:val="auto"/>
          <w:kern w:val="0"/>
          <w:sz w:val="28"/>
          <w:szCs w:val="20"/>
        </w:rPr>
      </w:pPr>
      <w:r>
        <w:rPr>
          <w:rFonts w:hint="eastAsia" w:ascii="宋体" w:hAnsi="宋体" w:cs="宋体"/>
          <w:b/>
          <w:bCs/>
          <w:color w:val="auto"/>
          <w:kern w:val="0"/>
          <w:sz w:val="36"/>
          <w:szCs w:val="36"/>
        </w:rPr>
        <w:t>目 录</w:t>
      </w:r>
    </w:p>
    <w:p w14:paraId="6835B3B7">
      <w:pPr>
        <w:widowControl/>
        <w:wordWrap w:val="0"/>
        <w:jc w:val="center"/>
        <w:rPr>
          <w:rFonts w:ascii="宋体" w:hAnsi="宋体" w:cs="宋体"/>
          <w:b/>
          <w:color w:val="auto"/>
          <w:kern w:val="0"/>
          <w:sz w:val="43"/>
          <w:szCs w:val="43"/>
        </w:rPr>
      </w:pPr>
    </w:p>
    <w:p w14:paraId="4685022A">
      <w:pPr>
        <w:widowControl/>
        <w:wordWrap w:val="0"/>
        <w:spacing w:line="480" w:lineRule="auto"/>
        <w:ind w:firstLine="1400" w:firstLineChars="500"/>
        <w:jc w:val="left"/>
        <w:rPr>
          <w:rFonts w:ascii="宋体" w:hAnsi="宋体"/>
          <w:color w:val="auto"/>
          <w:szCs w:val="20"/>
        </w:rPr>
      </w:pPr>
      <w:r>
        <w:rPr>
          <w:rFonts w:hint="eastAsia" w:ascii="宋体" w:hAnsi="宋体" w:cs="宋体"/>
          <w:color w:val="auto"/>
          <w:kern w:val="0"/>
          <w:sz w:val="28"/>
          <w:szCs w:val="28"/>
        </w:rPr>
        <w:t xml:space="preserve">一、投标函 </w:t>
      </w:r>
    </w:p>
    <w:p w14:paraId="3667681F">
      <w:pPr>
        <w:widowControl/>
        <w:wordWrap w:val="0"/>
        <w:spacing w:line="480" w:lineRule="auto"/>
        <w:ind w:firstLine="1400" w:firstLineChars="500"/>
        <w:jc w:val="left"/>
        <w:rPr>
          <w:rFonts w:ascii="宋体" w:hAnsi="宋体"/>
          <w:color w:val="auto"/>
          <w:szCs w:val="20"/>
        </w:rPr>
      </w:pPr>
      <w:r>
        <w:rPr>
          <w:rFonts w:hint="eastAsia" w:ascii="宋体" w:hAnsi="宋体" w:cs="宋体"/>
          <w:color w:val="auto"/>
          <w:kern w:val="0"/>
          <w:sz w:val="28"/>
          <w:szCs w:val="28"/>
        </w:rPr>
        <w:t>二、已标价工程量清单</w:t>
      </w:r>
    </w:p>
    <w:p w14:paraId="648FCE9D">
      <w:pPr>
        <w:wordWrap w:val="0"/>
        <w:spacing w:line="360" w:lineRule="auto"/>
        <w:ind w:left="720"/>
        <w:jc w:val="center"/>
        <w:outlineLvl w:val="1"/>
        <w:rPr>
          <w:rFonts w:hint="eastAsia" w:ascii="宋体" w:hAnsi="宋体" w:cs="宋体"/>
          <w:b/>
          <w:color w:val="auto"/>
          <w:sz w:val="24"/>
        </w:rPr>
      </w:pPr>
      <w:r>
        <w:rPr>
          <w:color w:val="auto"/>
        </w:rPr>
        <w:br w:type="page"/>
      </w:r>
      <w:bookmarkStart w:id="766" w:name="_Toc16006"/>
      <w:bookmarkStart w:id="767" w:name="_Toc180485669"/>
      <w:bookmarkStart w:id="768" w:name="_Toc25138"/>
      <w:r>
        <w:rPr>
          <w:rFonts w:hint="eastAsia" w:ascii="宋体" w:hAnsi="宋体" w:cs="宋体"/>
          <w:b/>
          <w:color w:val="auto"/>
          <w:sz w:val="24"/>
        </w:rPr>
        <w:t>一、投标函</w:t>
      </w:r>
      <w:bookmarkEnd w:id="766"/>
      <w:bookmarkEnd w:id="767"/>
      <w:bookmarkEnd w:id="768"/>
    </w:p>
    <w:p w14:paraId="6849D904">
      <w:pPr>
        <w:wordWrap w:val="0"/>
        <w:spacing w:line="360" w:lineRule="auto"/>
        <w:jc w:val="left"/>
        <w:outlineLvl w:val="1"/>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（招标人名称）：</w:t>
      </w:r>
    </w:p>
    <w:p w14:paraId="1E1ECA62">
      <w:pPr>
        <w:wordWrap w:val="0"/>
        <w:spacing w:line="360" w:lineRule="auto"/>
        <w:rPr>
          <w:rFonts w:ascii="宋体" w:hAnsi="宋体" w:cs="宋体"/>
          <w:color w:val="auto"/>
          <w:sz w:val="24"/>
        </w:rPr>
      </w:pPr>
    </w:p>
    <w:p w14:paraId="136674BD">
      <w:pPr>
        <w:widowControl/>
        <w:wordWrap w:val="0"/>
        <w:adjustRightInd w:val="0"/>
        <w:snapToGrid w:val="0"/>
        <w:spacing w:after="20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1．我方已仔细研究</w:t>
      </w:r>
      <w:r>
        <w:rPr>
          <w:rFonts w:hint="eastAsia" w:ascii="宋体" w:hAnsi="宋体" w:cs="宋体"/>
          <w:color w:val="auto"/>
          <w:kern w:val="0"/>
          <w:sz w:val="24"/>
          <w:u w:val="single"/>
        </w:rPr>
        <w:t xml:space="preserve">                 </w:t>
      </w:r>
      <w:r>
        <w:rPr>
          <w:rFonts w:hint="eastAsia" w:ascii="宋体" w:hAnsi="宋体" w:cs="宋体"/>
          <w:color w:val="auto"/>
          <w:kern w:val="0"/>
          <w:sz w:val="24"/>
        </w:rPr>
        <w:t>（项目名称）招标文件的全部内容，愿意以投标总价人民币大写：</w:t>
      </w:r>
      <w:r>
        <w:rPr>
          <w:rFonts w:hint="eastAsia" w:ascii="宋体" w:hAnsi="宋体" w:cs="宋体"/>
          <w:color w:val="auto"/>
          <w:kern w:val="0"/>
          <w:sz w:val="24"/>
          <w:u w:val="single"/>
        </w:rPr>
        <w:t xml:space="preserve">              </w:t>
      </w:r>
      <w:r>
        <w:rPr>
          <w:rFonts w:hint="eastAsia" w:ascii="宋体" w:hAnsi="宋体" w:cs="宋体"/>
          <w:color w:val="auto"/>
          <w:kern w:val="0"/>
          <w:sz w:val="24"/>
        </w:rPr>
        <w:t>（小写：</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元），按合同约定实施和完成承包工程，修补工程中的任何缺陷。 </w:t>
      </w:r>
    </w:p>
    <w:p w14:paraId="53D70173">
      <w:pPr>
        <w:widowControl/>
        <w:wordWrap w:val="0"/>
        <w:adjustRightInd w:val="0"/>
        <w:snapToGrid w:val="0"/>
        <w:spacing w:after="20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2．在合同协议书正式签署生效前，本投标函连同你方的中标通知书将构成我们双方之间共同遵守的文件，对双方具有约束力。 </w:t>
      </w:r>
    </w:p>
    <w:p w14:paraId="41255531">
      <w:pPr>
        <w:widowControl/>
        <w:wordWrap w:val="0"/>
        <w:adjustRightInd w:val="0"/>
        <w:snapToGrid w:val="0"/>
        <w:spacing w:after="20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（其他补充说明）。 </w:t>
      </w:r>
    </w:p>
    <w:p w14:paraId="6B6E4DC2">
      <w:pPr>
        <w:widowControl/>
        <w:wordWrap w:val="0"/>
        <w:adjustRightInd w:val="0"/>
        <w:snapToGrid w:val="0"/>
        <w:spacing w:after="200" w:line="440" w:lineRule="exact"/>
        <w:ind w:firstLine="560" w:firstLineChars="200"/>
        <w:jc w:val="left"/>
        <w:rPr>
          <w:rFonts w:ascii="宋体" w:hAnsi="宋体" w:cs="宋体"/>
          <w:color w:val="auto"/>
          <w:kern w:val="0"/>
          <w:sz w:val="28"/>
          <w:szCs w:val="28"/>
        </w:rPr>
      </w:pPr>
    </w:p>
    <w:p w14:paraId="06A015A6">
      <w:pPr>
        <w:wordWrap w:val="0"/>
        <w:autoSpaceDE w:val="0"/>
        <w:autoSpaceDN w:val="0"/>
        <w:spacing w:line="480" w:lineRule="auto"/>
        <w:ind w:firstLine="2520" w:firstLineChars="1050"/>
        <w:rPr>
          <w:rFonts w:ascii="宋体" w:hAnsi="宋体" w:cs="宋体"/>
          <w:color w:val="auto"/>
          <w:sz w:val="24"/>
          <w:lang w:val="zh-CN" w:bidi="zh-CN"/>
        </w:rPr>
      </w:pPr>
      <w:bookmarkStart w:id="769" w:name="_Toc10590"/>
      <w:r>
        <w:rPr>
          <w:rFonts w:hint="eastAsia" w:ascii="宋体" w:hAnsi="宋体" w:cs="宋体"/>
          <w:color w:val="auto"/>
          <w:sz w:val="24"/>
          <w:lang w:val="zh-CN" w:bidi="zh-CN"/>
        </w:rPr>
        <w:t>投标人：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（单位电子签章）</w:t>
      </w:r>
    </w:p>
    <w:p w14:paraId="199C2C7F">
      <w:pPr>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法定代表人：</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（法人电子签章）</w:t>
      </w:r>
    </w:p>
    <w:p w14:paraId="4CC2F1AC">
      <w:pPr>
        <w:tabs>
          <w:tab w:val="left" w:pos="6170"/>
        </w:tabs>
        <w:wordWrap w:val="0"/>
        <w:autoSpaceDE w:val="0"/>
        <w:autoSpaceDN w:val="0"/>
        <w:spacing w:line="480" w:lineRule="auto"/>
        <w:ind w:firstLine="2520" w:firstLineChars="1050"/>
        <w:rPr>
          <w:rFonts w:ascii="宋体" w:hAnsi="宋体" w:cs="宋体"/>
          <w:color w:val="auto"/>
          <w:sz w:val="24"/>
          <w:lang w:val="zh-CN" w:bidi="zh-CN"/>
        </w:rPr>
      </w:pPr>
      <w:r>
        <w:rPr>
          <w:rFonts w:hint="eastAsia" w:ascii="宋体" w:hAnsi="宋体" w:cs="宋体"/>
          <w:color w:val="auto"/>
          <w:sz w:val="24"/>
          <w:lang w:val="zh-CN" w:bidi="zh-CN"/>
        </w:rPr>
        <w:t>日期：</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年</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月</w:t>
      </w:r>
      <w:r>
        <w:rPr>
          <w:rFonts w:hint="eastAsia" w:ascii="宋体" w:hAnsi="宋体" w:cs="宋体"/>
          <w:color w:val="auto"/>
          <w:sz w:val="24"/>
          <w:u w:val="single"/>
          <w:lang w:val="zh-CN" w:bidi="zh-CN"/>
        </w:rPr>
        <w:t xml:space="preserve">      </w:t>
      </w:r>
      <w:r>
        <w:rPr>
          <w:rFonts w:hint="eastAsia" w:ascii="宋体" w:hAnsi="宋体" w:cs="宋体"/>
          <w:color w:val="auto"/>
          <w:sz w:val="24"/>
          <w:lang w:val="zh-CN" w:bidi="zh-CN"/>
        </w:rPr>
        <w:t>日</w:t>
      </w:r>
    </w:p>
    <w:p w14:paraId="26BDF396">
      <w:pPr>
        <w:wordWrap w:val="0"/>
        <w:spacing w:line="360" w:lineRule="auto"/>
        <w:ind w:left="720"/>
        <w:jc w:val="center"/>
        <w:outlineLvl w:val="1"/>
        <w:rPr>
          <w:rFonts w:ascii="宋体" w:hAnsi="宋体"/>
          <w:color w:val="auto"/>
          <w:kern w:val="0"/>
          <w:sz w:val="22"/>
          <w:szCs w:val="21"/>
        </w:rPr>
      </w:pPr>
      <w:r>
        <w:rPr>
          <w:rFonts w:ascii="宋体" w:hAnsi="宋体"/>
          <w:color w:val="auto"/>
          <w:kern w:val="0"/>
          <w:sz w:val="24"/>
        </w:rPr>
        <w:br w:type="page"/>
      </w:r>
      <w:bookmarkStart w:id="770" w:name="_Toc180485670"/>
      <w:bookmarkStart w:id="771" w:name="_Toc9295"/>
      <w:bookmarkStart w:id="772" w:name="_Toc10659"/>
      <w:r>
        <w:rPr>
          <w:rFonts w:hint="eastAsia" w:ascii="宋体" w:hAnsi="宋体" w:cs="宋体"/>
          <w:b/>
          <w:color w:val="auto"/>
          <w:sz w:val="24"/>
        </w:rPr>
        <w:t>二、已标价工程量清单</w:t>
      </w:r>
      <w:bookmarkEnd w:id="769"/>
      <w:bookmarkEnd w:id="770"/>
      <w:bookmarkEnd w:id="771"/>
      <w:bookmarkEnd w:id="772"/>
    </w:p>
    <w:p w14:paraId="0E47F7DD">
      <w:pPr>
        <w:wordWrap w:val="0"/>
        <w:autoSpaceDE w:val="0"/>
        <w:autoSpaceDN w:val="0"/>
        <w:spacing w:line="480" w:lineRule="auto"/>
        <w:ind w:firstLine="2520" w:firstLineChars="1050"/>
        <w:rPr>
          <w:rFonts w:hint="eastAsia" w:ascii="宋体" w:hAnsi="宋体" w:cs="宋体"/>
          <w:color w:val="auto"/>
          <w:sz w:val="24"/>
          <w:lang w:val="zh-CN" w:bidi="zh-CN"/>
        </w:rPr>
      </w:pPr>
    </w:p>
    <w:p w14:paraId="2EB50029">
      <w:pPr>
        <w:wordWrap w:val="0"/>
        <w:autoSpaceDE w:val="0"/>
        <w:autoSpaceDN w:val="0"/>
        <w:spacing w:line="480" w:lineRule="auto"/>
        <w:ind w:firstLine="2520" w:firstLineChars="1050"/>
        <w:rPr>
          <w:rFonts w:hint="eastAsia" w:ascii="宋体" w:hAnsi="宋体" w:cs="宋体"/>
          <w:color w:val="auto"/>
          <w:sz w:val="24"/>
          <w:lang w:val="zh-CN" w:bidi="zh-CN"/>
        </w:rPr>
      </w:pPr>
    </w:p>
    <w:p w14:paraId="2DFFAD9E">
      <w:pPr>
        <w:wordWrap w:val="0"/>
        <w:autoSpaceDE w:val="0"/>
        <w:autoSpaceDN w:val="0"/>
        <w:spacing w:line="480" w:lineRule="auto"/>
        <w:ind w:firstLine="2520" w:firstLineChars="1050"/>
        <w:rPr>
          <w:rFonts w:hint="eastAsia" w:ascii="宋体" w:hAnsi="宋体" w:cs="宋体"/>
          <w:color w:val="auto"/>
          <w:sz w:val="24"/>
          <w:lang w:val="zh-CN" w:bidi="zh-CN"/>
        </w:rPr>
      </w:pPr>
    </w:p>
    <w:p w14:paraId="7E4C7FE8">
      <w:pPr>
        <w:wordWrap w:val="0"/>
        <w:spacing w:line="360" w:lineRule="auto"/>
        <w:ind w:firstLine="7245" w:firstLineChars="3450"/>
        <w:jc w:val="left"/>
        <w:rPr>
          <w:rFonts w:hint="eastAsia"/>
          <w:color w:val="auto"/>
        </w:rPr>
      </w:pPr>
    </w:p>
    <w:p w14:paraId="2061C593">
      <w:pPr>
        <w:wordWrap w:val="0"/>
      </w:pPr>
    </w:p>
    <w:p w14:paraId="4F1670AE">
      <w:pPr>
        <w:wordWrap w:val="0"/>
      </w:pPr>
    </w:p>
    <w:p w14:paraId="71294D4E"/>
    <w:sectPr>
      <w:headerReference r:id="rId5" w:type="default"/>
      <w:footerReference r:id="rId6" w:type="default"/>
      <w:pgSz w:w="11906" w:h="16838"/>
      <w:pgMar w:top="1418" w:right="1416" w:bottom="1418" w:left="1588" w:header="851" w:footer="770" w:gutter="0"/>
      <w:pgNumType w:start="48"/>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DC34">
    <w:pPr>
      <w:pStyle w:val="10"/>
      <w:ind w:left="840" w:hanging="4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0DB4E">
    <w:pPr>
      <w:pStyle w:val="10"/>
      <w:ind w:left="840" w:hanging="420"/>
      <w:jc w:val="center"/>
      <w:rPr>
        <w:rFonts w:hint="eastAsia"/>
        <w:lang w:eastAsia="zh-CN"/>
      </w:rPr>
    </w:pPr>
    <w:r>
      <w:fldChar w:fldCharType="begin"/>
    </w:r>
    <w:r>
      <w:instrText xml:space="preserve">PAGE   \* MERGEFORMAT</w:instrText>
    </w:r>
    <w:r>
      <w:fldChar w:fldCharType="separate"/>
    </w:r>
    <w:r>
      <w:rPr>
        <w:lang w:val="zh-CN" w:eastAsia="zh-CN"/>
      </w:rPr>
      <w:t>I</w:t>
    </w:r>
    <w:r>
      <w:fldChar w:fldCharType="end"/>
    </w:r>
  </w:p>
  <w:p w14:paraId="0E034777">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2B368">
    <w:pPr>
      <w:pStyle w:val="10"/>
      <w:ind w:left="840" w:hanging="420"/>
      <w:jc w:val="center"/>
      <w:rPr>
        <w:rFonts w:hint="eastAsia"/>
        <w:lang w:eastAsia="zh-CN"/>
      </w:rPr>
    </w:pPr>
    <w:r>
      <w:fldChar w:fldCharType="begin"/>
    </w:r>
    <w:r>
      <w:instrText xml:space="preserve">PAGE   \* MERGEFORMAT</w:instrText>
    </w:r>
    <w:r>
      <w:fldChar w:fldCharType="separate"/>
    </w:r>
    <w:r>
      <w:rPr>
        <w:lang w:val="zh-CN" w:eastAsia="zh-CN"/>
      </w:rPr>
      <w:t>I</w:t>
    </w:r>
    <w:r>
      <w:fldChar w:fldCharType="end"/>
    </w:r>
  </w:p>
  <w:p w14:paraId="2694B0D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65947">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7E988"/>
    <w:multiLevelType w:val="singleLevel"/>
    <w:tmpl w:val="D9B7E988"/>
    <w:lvl w:ilvl="0" w:tentative="0">
      <w:start w:val="3"/>
      <w:numFmt w:val="decimal"/>
      <w:suff w:val="nothing"/>
      <w:lvlText w:val="%1、"/>
      <w:lvlJc w:val="left"/>
    </w:lvl>
  </w:abstractNum>
  <w:abstractNum w:abstractNumId="1">
    <w:nsid w:val="317B1992"/>
    <w:multiLevelType w:val="singleLevel"/>
    <w:tmpl w:val="317B1992"/>
    <w:lvl w:ilvl="0" w:tentative="0">
      <w:start w:val="8"/>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8099B"/>
    <w:rsid w:val="06DF2531"/>
    <w:rsid w:val="0ADF0A36"/>
    <w:rsid w:val="0AE8099B"/>
    <w:rsid w:val="111156C1"/>
    <w:rsid w:val="114509A7"/>
    <w:rsid w:val="1A6E148E"/>
    <w:rsid w:val="217076DA"/>
    <w:rsid w:val="21EF54C0"/>
    <w:rsid w:val="2574650E"/>
    <w:rsid w:val="2C077087"/>
    <w:rsid w:val="2DDD3C56"/>
    <w:rsid w:val="30DA5678"/>
    <w:rsid w:val="31DC43A7"/>
    <w:rsid w:val="364A7C37"/>
    <w:rsid w:val="3EC36117"/>
    <w:rsid w:val="4ADE45E6"/>
    <w:rsid w:val="4E5A43E4"/>
    <w:rsid w:val="550B53AB"/>
    <w:rsid w:val="61164850"/>
    <w:rsid w:val="777110D9"/>
    <w:rsid w:val="7A497D3D"/>
    <w:rsid w:val="7BD93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after="260" w:line="240" w:lineRule="auto"/>
      <w:jc w:val="left"/>
      <w:outlineLvl w:val="1"/>
    </w:pPr>
    <w:rPr>
      <w:rFonts w:ascii="Arial" w:hAnsi="Arial" w:eastAsia="宋体"/>
      <w:b/>
      <w:bCs/>
      <w:kern w:val="0"/>
      <w:sz w:val="32"/>
      <w:szCs w:val="32"/>
    </w:rPr>
  </w:style>
  <w:style w:type="paragraph" w:styleId="4">
    <w:name w:val="heading 3"/>
    <w:basedOn w:val="1"/>
    <w:next w:val="1"/>
    <w:qFormat/>
    <w:uiPriority w:val="9"/>
    <w:pPr>
      <w:keepNext/>
      <w:keepLines/>
      <w:spacing w:before="260" w:after="260" w:line="415" w:lineRule="auto"/>
      <w:outlineLvl w:val="2"/>
    </w:pPr>
    <w:rPr>
      <w:rFonts w:ascii="Calibri" w:hAnsi="Calibri"/>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kern w:val="0"/>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val="0"/>
      <w:ind w:firstLine="420" w:firstLineChars="200"/>
      <w:jc w:val="both"/>
    </w:pPr>
    <w:rPr>
      <w:rFonts w:ascii="Calibri" w:hAnsi="Calibri" w:eastAsia="仿宋" w:cs="宋体"/>
      <w:kern w:val="2"/>
      <w:sz w:val="32"/>
      <w:lang w:eastAsia="zh-CN"/>
    </w:rPr>
  </w:style>
  <w:style w:type="paragraph" w:styleId="7">
    <w:name w:val="Body Text"/>
    <w:basedOn w:val="1"/>
    <w:qFormat/>
    <w:uiPriority w:val="1"/>
    <w:pPr>
      <w:ind w:left="146"/>
    </w:pPr>
    <w:rPr>
      <w:rFonts w:ascii="宋体" w:hAnsi="宋体" w:eastAsia="宋体"/>
      <w:sz w:val="23"/>
      <w:szCs w:val="23"/>
    </w:rPr>
  </w:style>
  <w:style w:type="paragraph" w:styleId="8">
    <w:name w:val="Body Text Indent"/>
    <w:basedOn w:val="1"/>
    <w:next w:val="6"/>
    <w:qFormat/>
    <w:uiPriority w:val="0"/>
    <w:pPr>
      <w:spacing w:after="120"/>
      <w:ind w:left="420" w:leftChars="200"/>
    </w:pPr>
    <w:rPr>
      <w:rFonts w:ascii="宋体"/>
      <w:sz w:val="34"/>
      <w:szCs w:val="20"/>
    </w:rPr>
  </w:style>
  <w:style w:type="paragraph" w:styleId="9">
    <w:name w:val="Plain Text"/>
    <w:basedOn w:val="1"/>
    <w:next w:val="7"/>
    <w:unhideWhenUsed/>
    <w:qFormat/>
    <w:uiPriority w:val="0"/>
    <w:rPr>
      <w:rFonts w:hint="eastAsia" w:ascii="宋体" w:hAnsi="Courier New"/>
      <w:sz w:val="21"/>
      <w:szCs w:val="21"/>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toc 1"/>
    <w:basedOn w:val="1"/>
    <w:next w:val="1"/>
    <w:unhideWhenUsed/>
    <w:qFormat/>
    <w:uiPriority w:val="39"/>
    <w:pPr>
      <w:spacing w:before="120" w:beforeLines="0" w:after="120" w:afterLines="0"/>
      <w:jc w:val="left"/>
    </w:pPr>
    <w:rPr>
      <w:b/>
      <w:bCs/>
      <w:caps/>
      <w:sz w:val="20"/>
      <w:szCs w:val="20"/>
    </w:rPr>
  </w:style>
  <w:style w:type="paragraph" w:styleId="12">
    <w:name w:val="toc 2"/>
    <w:basedOn w:val="1"/>
    <w:next w:val="1"/>
    <w:unhideWhenUsed/>
    <w:qFormat/>
    <w:uiPriority w:val="39"/>
    <w:pPr>
      <w:ind w:left="210"/>
      <w:jc w:val="left"/>
    </w:pPr>
    <w:rPr>
      <w:smallCaps/>
      <w:sz w:val="20"/>
      <w:szCs w:val="20"/>
    </w:rPr>
  </w:style>
  <w:style w:type="paragraph" w:styleId="13">
    <w:name w:val="Body Text First Indent"/>
    <w:basedOn w:val="7"/>
    <w:next w:val="14"/>
    <w:qFormat/>
    <w:uiPriority w:val="0"/>
    <w:pPr>
      <w:spacing w:line="360" w:lineRule="auto"/>
      <w:ind w:firstLine="420"/>
    </w:pPr>
    <w:rPr>
      <w:rFonts w:ascii="Calibri" w:hAnsi="Calibri" w:eastAsia="Arial Unicode MS"/>
      <w:color w:val="000000"/>
      <w:kern w:val="0"/>
      <w:sz w:val="28"/>
      <w:szCs w:val="28"/>
    </w:rPr>
  </w:style>
  <w:style w:type="paragraph" w:styleId="14">
    <w:name w:val="Body Text First Indent 2"/>
    <w:basedOn w:val="8"/>
    <w:next w:val="13"/>
    <w:qFormat/>
    <w:uiPriority w:val="0"/>
    <w:pPr>
      <w:spacing w:before="100" w:beforeAutospacing="1" w:after="120" w:line="360" w:lineRule="auto"/>
      <w:ind w:left="420" w:firstLine="420"/>
    </w:pPr>
    <w:rPr>
      <w:rFonts w:ascii="Calibri" w:hAnsi="Calibri" w:eastAsia="Arial Unicode MS"/>
      <w:color w:val="000000"/>
      <w:kern w:val="0"/>
      <w:sz w:val="20"/>
      <w:szCs w:val="20"/>
    </w:rPr>
  </w:style>
  <w:style w:type="character" w:styleId="17">
    <w:name w:val="Hyperlink"/>
    <w:basedOn w:val="16"/>
    <w:unhideWhenUsed/>
    <w:qFormat/>
    <w:uiPriority w:val="99"/>
    <w:rPr>
      <w:color w:val="0000FF"/>
      <w:u w:val="none"/>
    </w:rPr>
  </w:style>
  <w:style w:type="paragraph" w:customStyle="1" w:styleId="18">
    <w:name w:val="cjk"/>
    <w:basedOn w:val="1"/>
    <w:qFormat/>
    <w:uiPriority w:val="0"/>
    <w:pPr>
      <w:widowControl/>
      <w:spacing w:line="480" w:lineRule="auto"/>
      <w:jc w:val="left"/>
    </w:pPr>
    <w:rPr>
      <w:rFonts w:ascii="宋体" w:hAnsi="宋体" w:cs="宋体"/>
      <w:kern w:val="0"/>
      <w:sz w:val="24"/>
    </w:rPr>
  </w:style>
  <w:style w:type="character" w:customStyle="1" w:styleId="19">
    <w:name w:val="NormalCharacter"/>
    <w:qFormat/>
    <w:uiPriority w:val="0"/>
  </w:style>
  <w:style w:type="paragraph" w:customStyle="1" w:styleId="20">
    <w:name w:val="Default"/>
    <w:basedOn w:val="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116</Pages>
  <Words>29130</Words>
  <Characters>32233</Characters>
  <Lines>0</Lines>
  <Paragraphs>0</Paragraphs>
  <TotalTime>7</TotalTime>
  <ScaleCrop>false</ScaleCrop>
  <LinksUpToDate>false</LinksUpToDate>
  <CharactersWithSpaces>32572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2025-12-17T03:10:00Z</dcterms:created>
  <dc:creator>Administrator</dc:creator>
  <cp:lastModifiedBy>Administrator</cp:lastModifiedBy>
  <cp:lastPrinted>2026-02-12T06:03:00Z</cp:lastPrinted>
  <dcterms:modified xsi:type="dcterms:W3CDTF">2026-02-25T03:46:06Z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88A6606BE3524A15AD8FD20A4EC5BDB2_13</vt:lpwstr>
  </property>
  <property fmtid="{D5CDD505-2E9C-101B-9397-08002B2CF9AE}" pid="4" name="KSOTemplateDocerSaveRecord">
    <vt:lpwstr>eyJoZGlkIjoiMTJkMGYzZTE1YjQ2YzAwNjAwMmYwOGM3NzczMjQxOWIiLCJ1c2VySWQiOiIyMjUzNjIxOTIifQ==</vt:lpwstr>
  </property>
</Properties>
</file>