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ED0E">
      <w:pPr>
        <w:spacing w:line="500" w:lineRule="exact"/>
        <w:rPr>
          <w:rFonts w:ascii="Calibri" w:hAnsi="Calibri"/>
          <w:kern w:val="0"/>
          <w:sz w:val="24"/>
          <w:highlight w:val="none"/>
        </w:rPr>
      </w:pPr>
      <w:bookmarkStart w:id="0" w:name="_Toc29313"/>
      <w:bookmarkEnd w:id="0"/>
      <w:bookmarkStart w:id="1" w:name="_Toc466566782"/>
      <w:bookmarkEnd w:id="1"/>
    </w:p>
    <w:p w14:paraId="12B39B1E">
      <w:pPr>
        <w:pStyle w:val="2"/>
        <w:numPr>
          <w:ilvl w:val="1"/>
          <w:numId w:val="0"/>
        </w:numPr>
        <w:rPr>
          <w:highlight w:val="none"/>
        </w:rPr>
      </w:pPr>
    </w:p>
    <w:p w14:paraId="599A9EF4">
      <w:pPr>
        <w:spacing w:line="480" w:lineRule="auto"/>
        <w:jc w:val="center"/>
        <w:rPr>
          <w:rFonts w:hint="eastAsia" w:ascii="宋体" w:hAnsi="宋体" w:eastAsia="宋体"/>
          <w:b/>
          <w:bCs/>
          <w:sz w:val="84"/>
          <w:szCs w:val="84"/>
          <w:highlight w:val="none"/>
          <w:lang w:eastAsia="zh-CN"/>
        </w:rPr>
      </w:pPr>
      <w:r>
        <w:rPr>
          <w:rFonts w:hint="eastAsia" w:ascii="宋体" w:hAnsi="宋体" w:cs="黑体"/>
          <w:b/>
          <w:kern w:val="0"/>
          <w:sz w:val="48"/>
          <w:szCs w:val="48"/>
          <w:highlight w:val="none"/>
          <w:lang w:eastAsia="zh-CN"/>
        </w:rPr>
        <w:t>陕州区2026年小麦“一喷三防”项目</w:t>
      </w:r>
    </w:p>
    <w:p w14:paraId="7DA10BDC">
      <w:pPr>
        <w:spacing w:after="120" w:line="360" w:lineRule="auto"/>
        <w:jc w:val="center"/>
        <w:rPr>
          <w:rFonts w:hint="eastAsia" w:ascii="宋体" w:hAnsi="宋体" w:cs="黑体"/>
          <w:b/>
          <w:kern w:val="0"/>
          <w:sz w:val="72"/>
          <w:szCs w:val="72"/>
          <w:highlight w:val="none"/>
        </w:rPr>
      </w:pPr>
    </w:p>
    <w:p w14:paraId="57A6CC8C">
      <w:pPr>
        <w:spacing w:after="120" w:line="360" w:lineRule="auto"/>
        <w:jc w:val="center"/>
        <w:rPr>
          <w:rFonts w:ascii="宋体" w:hAnsi="宋体" w:cs="黑体"/>
          <w:b/>
          <w:kern w:val="0"/>
          <w:sz w:val="72"/>
          <w:szCs w:val="72"/>
          <w:highlight w:val="none"/>
        </w:rPr>
      </w:pPr>
      <w:r>
        <w:rPr>
          <w:rFonts w:hint="eastAsia" w:ascii="宋体" w:hAnsi="宋体" w:cs="黑体"/>
          <w:b/>
          <w:kern w:val="0"/>
          <w:sz w:val="72"/>
          <w:szCs w:val="72"/>
          <w:highlight w:val="none"/>
        </w:rPr>
        <w:t>竞争性磋商文件</w:t>
      </w:r>
    </w:p>
    <w:p w14:paraId="6A83F79A">
      <w:pPr>
        <w:spacing w:line="480" w:lineRule="auto"/>
        <w:jc w:val="center"/>
        <w:rPr>
          <w:rFonts w:ascii="宋体" w:hAnsi="宋体" w:cs="宋体"/>
          <w:b/>
          <w:spacing w:val="20"/>
          <w:kern w:val="0"/>
          <w:sz w:val="32"/>
          <w:szCs w:val="32"/>
          <w:highlight w:val="none"/>
        </w:rPr>
      </w:pPr>
    </w:p>
    <w:p w14:paraId="3CE75D8F">
      <w:pPr>
        <w:rPr>
          <w:highlight w:val="none"/>
        </w:rPr>
      </w:pPr>
    </w:p>
    <w:p w14:paraId="27611F54">
      <w:pPr>
        <w:widowControl/>
        <w:shd w:val="clear" w:color="auto" w:fill="FFFFFF"/>
        <w:spacing w:line="390" w:lineRule="atLeast"/>
        <w:jc w:val="center"/>
        <w:rPr>
          <w:rFonts w:hint="default" w:ascii="宋体" w:hAnsi="宋体" w:cs="宋体"/>
          <w:b/>
          <w:color w:val="000000" w:themeColor="text1"/>
          <w:spacing w:val="20"/>
          <w:kern w:val="0"/>
          <w:sz w:val="28"/>
          <w:szCs w:val="28"/>
          <w:highlight w:val="none"/>
          <w:lang w:val="en-US" w:eastAsia="zh-CN"/>
          <w14:textFill>
            <w14:solidFill>
              <w14:schemeClr w14:val="tx1"/>
            </w14:solidFill>
          </w14:textFill>
        </w:rPr>
      </w:pPr>
      <w:r>
        <w:rPr>
          <w:rFonts w:hint="eastAsia" w:ascii="宋体" w:hAnsi="宋体" w:cs="宋体"/>
          <w:b/>
          <w:color w:val="000000" w:themeColor="text1"/>
          <w:spacing w:val="20"/>
          <w:kern w:val="0"/>
          <w:sz w:val="28"/>
          <w:szCs w:val="28"/>
          <w:highlight w:val="none"/>
          <w14:textFill>
            <w14:solidFill>
              <w14:schemeClr w14:val="tx1"/>
            </w14:solidFill>
          </w14:textFill>
        </w:rPr>
        <w:t>项目编号：</w:t>
      </w:r>
      <w:r>
        <w:rPr>
          <w:rFonts w:hint="eastAsia" w:ascii="宋体" w:hAnsi="宋体" w:cs="宋体"/>
          <w:b/>
          <w:color w:val="000000" w:themeColor="text1"/>
          <w:spacing w:val="20"/>
          <w:kern w:val="0"/>
          <w:sz w:val="28"/>
          <w:szCs w:val="28"/>
          <w:highlight w:val="none"/>
          <w:lang w:eastAsia="zh-CN"/>
          <w14:textFill>
            <w14:solidFill>
              <w14:schemeClr w14:val="tx1"/>
            </w14:solidFill>
          </w14:textFill>
        </w:rPr>
        <w:t>陕州竞磋采购-2026-11、SZGZ[2026]0</w:t>
      </w:r>
      <w:r>
        <w:rPr>
          <w:rFonts w:hint="eastAsia" w:ascii="宋体" w:hAnsi="宋体" w:cs="宋体"/>
          <w:b/>
          <w:color w:val="000000" w:themeColor="text1"/>
          <w:spacing w:val="20"/>
          <w:kern w:val="0"/>
          <w:sz w:val="28"/>
          <w:szCs w:val="28"/>
          <w:highlight w:val="none"/>
          <w:lang w:val="en-US" w:eastAsia="zh-CN"/>
          <w14:textFill>
            <w14:solidFill>
              <w14:schemeClr w14:val="tx1"/>
            </w14:solidFill>
          </w14:textFill>
        </w:rPr>
        <w:t>36</w:t>
      </w:r>
      <w:r>
        <w:rPr>
          <w:rFonts w:hint="eastAsia" w:ascii="宋体" w:hAnsi="宋体" w:cs="宋体"/>
          <w:b/>
          <w:color w:val="000000" w:themeColor="text1"/>
          <w:spacing w:val="20"/>
          <w:kern w:val="0"/>
          <w:sz w:val="28"/>
          <w:szCs w:val="28"/>
          <w:highlight w:val="none"/>
          <w:lang w:eastAsia="zh-CN"/>
          <w14:textFill>
            <w14:solidFill>
              <w14:schemeClr w14:val="tx1"/>
            </w14:solidFill>
          </w14:textFill>
        </w:rPr>
        <w:t>-ZC0</w:t>
      </w:r>
      <w:r>
        <w:rPr>
          <w:rFonts w:hint="eastAsia" w:ascii="宋体" w:hAnsi="宋体" w:cs="宋体"/>
          <w:b/>
          <w:color w:val="000000" w:themeColor="text1"/>
          <w:spacing w:val="20"/>
          <w:kern w:val="0"/>
          <w:sz w:val="28"/>
          <w:szCs w:val="28"/>
          <w:highlight w:val="none"/>
          <w:lang w:val="en-US" w:eastAsia="zh-CN"/>
          <w14:textFill>
            <w14:solidFill>
              <w14:schemeClr w14:val="tx1"/>
            </w14:solidFill>
          </w14:textFill>
        </w:rPr>
        <w:t>25</w:t>
      </w:r>
    </w:p>
    <w:p w14:paraId="1A622483">
      <w:pPr>
        <w:spacing w:line="480" w:lineRule="auto"/>
        <w:jc w:val="center"/>
        <w:rPr>
          <w:rFonts w:ascii="宋体" w:hAnsi="宋体" w:cs="宋体"/>
          <w:b/>
          <w:color w:val="FF0000"/>
          <w:sz w:val="24"/>
          <w:highlight w:val="none"/>
        </w:rPr>
      </w:pPr>
    </w:p>
    <w:p w14:paraId="4647F201">
      <w:pPr>
        <w:spacing w:line="480" w:lineRule="auto"/>
        <w:jc w:val="center"/>
        <w:rPr>
          <w:rFonts w:ascii="宋体" w:hAnsi="宋体" w:cs="宋体"/>
          <w:b/>
          <w:sz w:val="28"/>
          <w:szCs w:val="28"/>
          <w:highlight w:val="none"/>
        </w:rPr>
      </w:pPr>
      <w:r>
        <w:rPr>
          <w:rFonts w:ascii="新宋体" w:hAnsi="新宋体" w:eastAsia="新宋体" w:cs="新宋体"/>
          <w:highlight w:val="none"/>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74295</wp:posOffset>
            </wp:positionV>
            <wp:extent cx="2400300" cy="2400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400300" cy="2400300"/>
                    </a:xfrm>
                    <a:prstGeom prst="rect">
                      <a:avLst/>
                    </a:prstGeom>
                    <a:noFill/>
                    <a:ln>
                      <a:noFill/>
                    </a:ln>
                  </pic:spPr>
                </pic:pic>
              </a:graphicData>
            </a:graphic>
          </wp:anchor>
        </w:drawing>
      </w:r>
    </w:p>
    <w:p w14:paraId="5825366C">
      <w:pPr>
        <w:spacing w:line="480" w:lineRule="auto"/>
        <w:jc w:val="center"/>
        <w:rPr>
          <w:rFonts w:ascii="宋体" w:hAnsi="宋体" w:cs="宋体"/>
          <w:b/>
          <w:sz w:val="28"/>
          <w:szCs w:val="28"/>
          <w:highlight w:val="none"/>
        </w:rPr>
      </w:pPr>
    </w:p>
    <w:p w14:paraId="17A6600B">
      <w:pPr>
        <w:spacing w:line="480" w:lineRule="auto"/>
        <w:jc w:val="center"/>
        <w:rPr>
          <w:rFonts w:ascii="宋体" w:hAnsi="宋体"/>
          <w:b/>
          <w:bCs/>
          <w:sz w:val="28"/>
          <w:szCs w:val="28"/>
          <w:highlight w:val="none"/>
        </w:rPr>
      </w:pPr>
    </w:p>
    <w:p w14:paraId="431EDBEB">
      <w:pPr>
        <w:spacing w:line="240" w:lineRule="auto"/>
        <w:rPr>
          <w:rFonts w:ascii="宋体" w:hAnsi="宋体"/>
          <w:b/>
          <w:bCs/>
          <w:kern w:val="0"/>
          <w:sz w:val="28"/>
          <w:szCs w:val="28"/>
          <w:highlight w:val="none"/>
        </w:rPr>
      </w:pPr>
    </w:p>
    <w:p w14:paraId="5BFDF344">
      <w:pPr>
        <w:bidi w:val="0"/>
        <w:rPr>
          <w:highlight w:val="none"/>
        </w:rPr>
      </w:pPr>
    </w:p>
    <w:p w14:paraId="65816E5F">
      <w:pPr>
        <w:bidi w:val="0"/>
        <w:rPr>
          <w:highlight w:val="none"/>
        </w:rPr>
      </w:pPr>
    </w:p>
    <w:p w14:paraId="7A27B90D">
      <w:pPr>
        <w:bidi w:val="0"/>
        <w:rPr>
          <w:highlight w:val="none"/>
        </w:rPr>
      </w:pPr>
    </w:p>
    <w:p w14:paraId="166C881D">
      <w:pPr>
        <w:bidi w:val="0"/>
        <w:rPr>
          <w:highlight w:val="none"/>
        </w:rPr>
      </w:pPr>
    </w:p>
    <w:p w14:paraId="4E22C33A">
      <w:pPr>
        <w:bidi w:val="0"/>
        <w:rPr>
          <w:highlight w:val="none"/>
        </w:rPr>
      </w:pPr>
    </w:p>
    <w:p w14:paraId="3BB3DC26">
      <w:pPr>
        <w:bidi w:val="0"/>
        <w:rPr>
          <w:highlight w:val="none"/>
        </w:rPr>
      </w:pPr>
    </w:p>
    <w:p w14:paraId="08AED834">
      <w:pPr>
        <w:spacing w:line="480" w:lineRule="auto"/>
        <w:ind w:firstLine="1285" w:firstLineChars="400"/>
        <w:rPr>
          <w:rFonts w:ascii="宋体" w:hAnsi="宋体" w:cs="Arial Unicode MS"/>
          <w:b/>
          <w:bCs/>
          <w:kern w:val="0"/>
          <w:position w:val="-3"/>
          <w:sz w:val="32"/>
          <w:szCs w:val="32"/>
          <w:highlight w:val="none"/>
        </w:rPr>
      </w:pPr>
      <w:bookmarkStart w:id="2" w:name="_Toc18647_WPSOffice_Level1"/>
      <w:bookmarkStart w:id="3" w:name="_Toc7380_WPSOffice_Level1"/>
      <w:bookmarkStart w:id="4" w:name="_Toc28898_WPSOffice_Level1"/>
      <w:r>
        <w:rPr>
          <w:rFonts w:hint="eastAsia" w:ascii="宋体" w:hAnsi="宋体" w:cs="Arial Unicode MS"/>
          <w:b/>
          <w:bCs/>
          <w:kern w:val="0"/>
          <w:position w:val="-3"/>
          <w:sz w:val="32"/>
          <w:szCs w:val="32"/>
          <w:highlight w:val="none"/>
        </w:rPr>
        <w:t>采购人：三门峡市陕州区农业农村局</w:t>
      </w:r>
    </w:p>
    <w:p w14:paraId="03F04618">
      <w:pPr>
        <w:widowControl/>
        <w:tabs>
          <w:tab w:val="left" w:pos="3120"/>
          <w:tab w:val="left" w:pos="4080"/>
          <w:tab w:val="left" w:pos="5060"/>
        </w:tabs>
        <w:autoSpaceDE w:val="0"/>
        <w:autoSpaceDN w:val="0"/>
        <w:adjustRightInd w:val="0"/>
        <w:spacing w:line="360" w:lineRule="auto"/>
        <w:ind w:firstLine="1285" w:firstLineChars="400"/>
        <w:rPr>
          <w:rFonts w:ascii="宋体" w:hAnsi="宋体" w:cs="Arial Unicode MS"/>
          <w:b/>
          <w:bCs/>
          <w:kern w:val="0"/>
          <w:position w:val="-3"/>
          <w:sz w:val="32"/>
          <w:szCs w:val="32"/>
          <w:highlight w:val="none"/>
        </w:rPr>
      </w:pPr>
      <w:r>
        <w:rPr>
          <w:rFonts w:hint="eastAsia" w:ascii="宋体" w:hAnsi="宋体" w:cs="Arial Unicode MS"/>
          <w:b/>
          <w:bCs/>
          <w:kern w:val="0"/>
          <w:position w:val="-3"/>
          <w:sz w:val="32"/>
          <w:szCs w:val="32"/>
          <w:highlight w:val="none"/>
        </w:rPr>
        <w:t xml:space="preserve">代理机构：国咨项目管理有限公司 </w:t>
      </w:r>
    </w:p>
    <w:p w14:paraId="295AC54E">
      <w:pPr>
        <w:spacing w:line="240" w:lineRule="auto"/>
        <w:ind w:firstLine="1285" w:firstLineChars="400"/>
        <w:rPr>
          <w:rFonts w:ascii="宋体" w:hAnsi="宋体" w:cs="Arial Unicode MS"/>
          <w:b/>
          <w:bCs/>
          <w:kern w:val="0"/>
          <w:position w:val="-3"/>
          <w:sz w:val="32"/>
          <w:szCs w:val="32"/>
          <w:highlight w:val="none"/>
        </w:rPr>
        <w:sectPr>
          <w:pgSz w:w="11906" w:h="16838"/>
          <w:pgMar w:top="1440" w:right="1361" w:bottom="1440" w:left="1587" w:header="851" w:footer="992" w:gutter="0"/>
          <w:cols w:space="720" w:num="1"/>
          <w:titlePg/>
          <w:docGrid w:type="lines" w:linePitch="317" w:charSpace="0"/>
        </w:sectPr>
      </w:pPr>
      <w:r>
        <w:rPr>
          <w:rFonts w:hint="eastAsia" w:ascii="宋体" w:hAnsi="宋体" w:cs="Arial Unicode MS"/>
          <w:b/>
          <w:bCs/>
          <w:kern w:val="0"/>
          <w:position w:val="-3"/>
          <w:sz w:val="32"/>
          <w:szCs w:val="32"/>
          <w:highlight w:val="none"/>
        </w:rPr>
        <w:t>日期：二零二</w:t>
      </w:r>
      <w:r>
        <w:rPr>
          <w:rFonts w:hint="eastAsia" w:ascii="宋体" w:hAnsi="宋体" w:cs="Arial Unicode MS"/>
          <w:b/>
          <w:bCs/>
          <w:kern w:val="0"/>
          <w:position w:val="-3"/>
          <w:sz w:val="32"/>
          <w:szCs w:val="32"/>
          <w:highlight w:val="none"/>
          <w:lang w:eastAsia="zh-CN"/>
        </w:rPr>
        <w:t>六</w:t>
      </w:r>
      <w:r>
        <w:rPr>
          <w:rFonts w:hint="eastAsia" w:ascii="宋体" w:hAnsi="宋体" w:cs="Arial Unicode MS"/>
          <w:b/>
          <w:bCs/>
          <w:kern w:val="0"/>
          <w:position w:val="-3"/>
          <w:sz w:val="32"/>
          <w:szCs w:val="32"/>
          <w:highlight w:val="none"/>
        </w:rPr>
        <w:t>年</w:t>
      </w:r>
      <w:r>
        <w:rPr>
          <w:rFonts w:hint="eastAsia" w:ascii="宋体" w:hAnsi="宋体" w:cs="Arial Unicode MS"/>
          <w:b/>
          <w:bCs/>
          <w:kern w:val="0"/>
          <w:position w:val="-3"/>
          <w:sz w:val="32"/>
          <w:szCs w:val="32"/>
          <w:highlight w:val="none"/>
          <w:lang w:eastAsia="zh-CN"/>
        </w:rPr>
        <w:t>三</w:t>
      </w:r>
      <w:r>
        <w:rPr>
          <w:rFonts w:hint="eastAsia" w:ascii="宋体" w:hAnsi="宋体" w:cs="Arial Unicode MS"/>
          <w:b/>
          <w:bCs/>
          <w:kern w:val="0"/>
          <w:position w:val="-3"/>
          <w:sz w:val="32"/>
          <w:szCs w:val="32"/>
          <w:highlight w:val="none"/>
        </w:rPr>
        <w:t>月</w:t>
      </w:r>
    </w:p>
    <w:p w14:paraId="110F17C1">
      <w:pPr>
        <w:spacing w:line="240" w:lineRule="auto"/>
        <w:jc w:val="center"/>
        <w:rPr>
          <w:b/>
          <w:bCs/>
          <w:sz w:val="32"/>
          <w:szCs w:val="32"/>
          <w:highlight w:val="none"/>
        </w:rPr>
      </w:pPr>
      <w:r>
        <w:rPr>
          <w:rFonts w:ascii="宋体" w:hAnsi="宋体"/>
          <w:b/>
          <w:bCs/>
          <w:sz w:val="32"/>
          <w:szCs w:val="32"/>
          <w:highlight w:val="none"/>
        </w:rPr>
        <w:t>目录</w:t>
      </w:r>
    </w:p>
    <w:p w14:paraId="22181889">
      <w:pPr>
        <w:pStyle w:val="27"/>
        <w:tabs>
          <w:tab w:val="right" w:leader="dot" w:pos="8958"/>
        </w:tabs>
        <w:rPr>
          <w:b/>
          <w:bCs/>
          <w:sz w:val="28"/>
          <w:szCs w:val="28"/>
          <w:highlight w:val="none"/>
        </w:rPr>
      </w:pPr>
      <w:r>
        <w:rPr>
          <w:b/>
          <w:bCs/>
          <w:sz w:val="28"/>
          <w:szCs w:val="28"/>
          <w:highlight w:val="none"/>
        </w:rPr>
        <w:fldChar w:fldCharType="begin"/>
      </w:r>
      <w:r>
        <w:rPr>
          <w:b/>
          <w:bCs/>
          <w:sz w:val="28"/>
          <w:szCs w:val="28"/>
          <w:highlight w:val="none"/>
        </w:rPr>
        <w:instrText xml:space="preserve">TOC \o "1-1" \h \u </w:instrText>
      </w:r>
      <w:r>
        <w:rPr>
          <w:b/>
          <w:bCs/>
          <w:sz w:val="28"/>
          <w:szCs w:val="28"/>
          <w:highlight w:val="none"/>
        </w:rPr>
        <w:fldChar w:fldCharType="separate"/>
      </w:r>
      <w:r>
        <w:rPr>
          <w:highlight w:val="none"/>
        </w:rPr>
        <w:fldChar w:fldCharType="begin"/>
      </w:r>
      <w:r>
        <w:rPr>
          <w:highlight w:val="none"/>
        </w:rPr>
        <w:instrText xml:space="preserve"> HYPERLINK \l "_Toc7003" </w:instrText>
      </w:r>
      <w:r>
        <w:rPr>
          <w:highlight w:val="none"/>
        </w:rPr>
        <w:fldChar w:fldCharType="separate"/>
      </w:r>
      <w:r>
        <w:rPr>
          <w:rFonts w:hint="eastAsia" w:ascii="宋体" w:hAnsi="宋体"/>
          <w:b/>
          <w:bCs/>
          <w:sz w:val="28"/>
          <w:szCs w:val="28"/>
          <w:highlight w:val="none"/>
        </w:rPr>
        <w:t>第一章 竞争性磋商公告</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p>
    <w:p w14:paraId="5DE0249A">
      <w:pPr>
        <w:pStyle w:val="27"/>
        <w:tabs>
          <w:tab w:val="right" w:leader="dot" w:pos="8958"/>
        </w:tabs>
        <w:rPr>
          <w:b/>
          <w:bCs/>
          <w:sz w:val="28"/>
          <w:szCs w:val="28"/>
          <w:highlight w:val="none"/>
        </w:rPr>
      </w:pPr>
      <w:r>
        <w:rPr>
          <w:highlight w:val="none"/>
        </w:rPr>
        <w:fldChar w:fldCharType="begin"/>
      </w:r>
      <w:r>
        <w:rPr>
          <w:highlight w:val="none"/>
        </w:rPr>
        <w:instrText xml:space="preserve"> HYPERLINK \l "_Toc18101" </w:instrText>
      </w:r>
      <w:r>
        <w:rPr>
          <w:highlight w:val="none"/>
        </w:rPr>
        <w:fldChar w:fldCharType="separate"/>
      </w:r>
      <w:r>
        <w:rPr>
          <w:rFonts w:hint="eastAsia" w:ascii="宋体" w:hAnsi="宋体"/>
          <w:b/>
          <w:bCs/>
          <w:sz w:val="28"/>
          <w:szCs w:val="28"/>
          <w:highlight w:val="none"/>
        </w:rPr>
        <w:t>第二章 供应商须知</w:t>
      </w:r>
      <w:r>
        <w:rPr>
          <w:b/>
          <w:bCs/>
          <w:sz w:val="28"/>
          <w:szCs w:val="28"/>
          <w:highlight w:val="none"/>
        </w:rPr>
        <w:tab/>
      </w:r>
      <w:r>
        <w:rPr>
          <w:rFonts w:hint="eastAsia"/>
          <w:b/>
          <w:bCs/>
          <w:sz w:val="28"/>
          <w:szCs w:val="28"/>
          <w:highlight w:val="none"/>
        </w:rPr>
        <w:t>6</w:t>
      </w:r>
      <w:r>
        <w:rPr>
          <w:rFonts w:hint="eastAsia"/>
          <w:b/>
          <w:bCs/>
          <w:sz w:val="28"/>
          <w:szCs w:val="28"/>
          <w:highlight w:val="none"/>
        </w:rPr>
        <w:fldChar w:fldCharType="end"/>
      </w:r>
    </w:p>
    <w:p w14:paraId="6442FF38">
      <w:pPr>
        <w:pStyle w:val="27"/>
        <w:tabs>
          <w:tab w:val="right" w:leader="dot" w:pos="8958"/>
        </w:tabs>
        <w:rPr>
          <w:b/>
          <w:bCs/>
          <w:sz w:val="28"/>
          <w:szCs w:val="28"/>
          <w:highlight w:val="none"/>
        </w:rPr>
      </w:pPr>
      <w:r>
        <w:rPr>
          <w:highlight w:val="none"/>
        </w:rPr>
        <w:fldChar w:fldCharType="begin"/>
      </w:r>
      <w:r>
        <w:rPr>
          <w:highlight w:val="none"/>
        </w:rPr>
        <w:instrText xml:space="preserve"> HYPERLINK \l "_Toc866" </w:instrText>
      </w:r>
      <w:r>
        <w:rPr>
          <w:highlight w:val="none"/>
        </w:rPr>
        <w:fldChar w:fldCharType="separate"/>
      </w:r>
      <w:r>
        <w:rPr>
          <w:rFonts w:hint="eastAsia" w:ascii="宋体" w:hAnsi="宋体"/>
          <w:b/>
          <w:bCs/>
          <w:sz w:val="28"/>
          <w:szCs w:val="28"/>
          <w:highlight w:val="none"/>
        </w:rPr>
        <w:t>第三章 评标办法（综合评分法）</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r>
        <w:rPr>
          <w:rFonts w:hint="eastAsia"/>
          <w:b/>
          <w:bCs/>
          <w:sz w:val="28"/>
          <w:szCs w:val="28"/>
          <w:highlight w:val="none"/>
        </w:rPr>
        <w:t>4</w:t>
      </w:r>
    </w:p>
    <w:p w14:paraId="162BB648">
      <w:pPr>
        <w:pStyle w:val="27"/>
        <w:tabs>
          <w:tab w:val="right" w:leader="dot" w:pos="8958"/>
        </w:tabs>
        <w:rPr>
          <w:b/>
          <w:bCs/>
          <w:sz w:val="28"/>
          <w:szCs w:val="28"/>
          <w:highlight w:val="none"/>
        </w:rPr>
      </w:pPr>
      <w:r>
        <w:rPr>
          <w:highlight w:val="none"/>
        </w:rPr>
        <w:fldChar w:fldCharType="begin"/>
      </w:r>
      <w:r>
        <w:rPr>
          <w:highlight w:val="none"/>
        </w:rPr>
        <w:instrText xml:space="preserve"> HYPERLINK \l "_Toc12315" </w:instrText>
      </w:r>
      <w:r>
        <w:rPr>
          <w:highlight w:val="none"/>
        </w:rPr>
        <w:fldChar w:fldCharType="separate"/>
      </w:r>
      <w:r>
        <w:rPr>
          <w:rFonts w:hint="eastAsia" w:ascii="宋体" w:hAnsi="宋体"/>
          <w:b/>
          <w:bCs/>
          <w:sz w:val="28"/>
          <w:szCs w:val="28"/>
          <w:highlight w:val="none"/>
        </w:rPr>
        <w:t>第四章 合同条款及格式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_Toc12315 \h </w:instrText>
      </w:r>
      <w:r>
        <w:rPr>
          <w:b/>
          <w:bCs/>
          <w:sz w:val="28"/>
          <w:szCs w:val="28"/>
          <w:highlight w:val="none"/>
        </w:rPr>
        <w:fldChar w:fldCharType="separate"/>
      </w:r>
      <w:r>
        <w:rPr>
          <w:rFonts w:hint="eastAsia"/>
          <w:b/>
          <w:bCs/>
          <w:sz w:val="28"/>
          <w:szCs w:val="28"/>
          <w:highlight w:val="none"/>
        </w:rPr>
        <w:t>3</w:t>
      </w:r>
      <w:r>
        <w:rPr>
          <w:b/>
          <w:bCs/>
          <w:sz w:val="28"/>
          <w:szCs w:val="28"/>
          <w:highlight w:val="none"/>
        </w:rPr>
        <w:t>0</w:t>
      </w:r>
      <w:r>
        <w:rPr>
          <w:b/>
          <w:bCs/>
          <w:sz w:val="28"/>
          <w:szCs w:val="28"/>
          <w:highlight w:val="none"/>
        </w:rPr>
        <w:fldChar w:fldCharType="end"/>
      </w:r>
      <w:r>
        <w:rPr>
          <w:b/>
          <w:bCs/>
          <w:sz w:val="28"/>
          <w:szCs w:val="28"/>
          <w:highlight w:val="none"/>
        </w:rPr>
        <w:fldChar w:fldCharType="end"/>
      </w:r>
    </w:p>
    <w:p w14:paraId="377FD788">
      <w:pPr>
        <w:pStyle w:val="27"/>
        <w:tabs>
          <w:tab w:val="right" w:leader="dot" w:pos="8958"/>
        </w:tabs>
        <w:rPr>
          <w:b/>
          <w:bCs/>
          <w:sz w:val="28"/>
          <w:szCs w:val="28"/>
          <w:highlight w:val="none"/>
        </w:rPr>
      </w:pPr>
      <w:r>
        <w:rPr>
          <w:highlight w:val="none"/>
        </w:rPr>
        <w:fldChar w:fldCharType="begin"/>
      </w:r>
      <w:r>
        <w:rPr>
          <w:highlight w:val="none"/>
        </w:rPr>
        <w:instrText xml:space="preserve"> HYPERLINK \l "_Toc25827" </w:instrText>
      </w:r>
      <w:r>
        <w:rPr>
          <w:highlight w:val="none"/>
        </w:rPr>
        <w:fldChar w:fldCharType="separate"/>
      </w:r>
      <w:r>
        <w:rPr>
          <w:rFonts w:hint="eastAsia" w:ascii="宋体" w:hAnsi="宋体"/>
          <w:b/>
          <w:bCs/>
          <w:sz w:val="28"/>
          <w:szCs w:val="28"/>
          <w:highlight w:val="none"/>
        </w:rPr>
        <w:t>第五章 技术参数要求</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4</w:t>
      </w:r>
    </w:p>
    <w:p w14:paraId="6D425E0D">
      <w:pPr>
        <w:pStyle w:val="27"/>
        <w:tabs>
          <w:tab w:val="right" w:leader="dot" w:pos="8958"/>
        </w:tabs>
        <w:rPr>
          <w:b/>
          <w:bCs/>
          <w:sz w:val="28"/>
          <w:szCs w:val="28"/>
          <w:highlight w:val="none"/>
        </w:rPr>
      </w:pPr>
      <w:r>
        <w:rPr>
          <w:highlight w:val="none"/>
        </w:rPr>
        <w:fldChar w:fldCharType="begin"/>
      </w:r>
      <w:r>
        <w:rPr>
          <w:highlight w:val="none"/>
        </w:rPr>
        <w:instrText xml:space="preserve"> HYPERLINK \l "_Toc11299" </w:instrText>
      </w:r>
      <w:r>
        <w:rPr>
          <w:highlight w:val="none"/>
        </w:rPr>
        <w:fldChar w:fldCharType="separate"/>
      </w:r>
      <w:r>
        <w:rPr>
          <w:rFonts w:hint="eastAsia" w:ascii="宋体" w:hAnsi="宋体"/>
          <w:b/>
          <w:bCs/>
          <w:sz w:val="28"/>
          <w:szCs w:val="28"/>
          <w:highlight w:val="none"/>
        </w:rPr>
        <w:t>第六章 响应文件格式</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5</w:t>
      </w:r>
    </w:p>
    <w:p w14:paraId="249B2CC3">
      <w:pPr>
        <w:rPr>
          <w:highlight w:val="none"/>
        </w:rPr>
      </w:pPr>
      <w:r>
        <w:rPr>
          <w:b/>
          <w:bCs/>
          <w:sz w:val="28"/>
          <w:szCs w:val="28"/>
          <w:highlight w:val="none"/>
        </w:rPr>
        <w:fldChar w:fldCharType="end"/>
      </w:r>
    </w:p>
    <w:p w14:paraId="76FCBF5C">
      <w:pPr>
        <w:keepNext/>
        <w:keepLines/>
        <w:jc w:val="center"/>
        <w:rPr>
          <w:rFonts w:ascii="宋体" w:hAnsi="宋体"/>
          <w:color w:val="000000"/>
          <w:highlight w:val="none"/>
        </w:rPr>
      </w:pPr>
      <w:bookmarkStart w:id="5" w:name="_Toc21896"/>
      <w:bookmarkStart w:id="6" w:name="_Toc4942"/>
      <w:bookmarkStart w:id="7" w:name="_Toc14639"/>
      <w:bookmarkStart w:id="8" w:name="_Toc7003"/>
    </w:p>
    <w:p w14:paraId="3AF32493">
      <w:pPr>
        <w:keepNext/>
        <w:keepLines/>
        <w:jc w:val="center"/>
        <w:outlineLvl w:val="0"/>
        <w:rPr>
          <w:rFonts w:ascii="宋体" w:hAnsi="宋体"/>
          <w:b/>
          <w:bCs/>
          <w:color w:val="000000"/>
          <w:sz w:val="28"/>
          <w:szCs w:val="36"/>
          <w:highlight w:val="none"/>
        </w:rPr>
      </w:pPr>
      <w:r>
        <w:rPr>
          <w:rFonts w:hint="eastAsia" w:ascii="宋体" w:hAnsi="宋体"/>
          <w:b/>
          <w:bCs/>
          <w:color w:val="000000"/>
          <w:sz w:val="28"/>
          <w:szCs w:val="36"/>
          <w:highlight w:val="none"/>
        </w:rPr>
        <w:br w:type="page"/>
      </w:r>
      <w:r>
        <w:rPr>
          <w:rFonts w:hint="eastAsia" w:ascii="宋体" w:hAnsi="宋体"/>
          <w:b/>
          <w:bCs/>
          <w:color w:val="000000"/>
          <w:sz w:val="28"/>
          <w:szCs w:val="36"/>
          <w:highlight w:val="none"/>
        </w:rPr>
        <w:t>第一章 竞争性磋商公告</w:t>
      </w:r>
      <w:bookmarkEnd w:id="2"/>
      <w:bookmarkEnd w:id="3"/>
      <w:bookmarkEnd w:id="4"/>
      <w:bookmarkEnd w:id="5"/>
      <w:bookmarkEnd w:id="6"/>
      <w:bookmarkEnd w:id="7"/>
      <w:bookmarkEnd w:id="8"/>
    </w:p>
    <w:p w14:paraId="2CAAEDE1">
      <w:pPr>
        <w:ind w:firstLine="480" w:firstLineChars="200"/>
        <w:rPr>
          <w:rFonts w:ascii="宋体" w:hAnsi="宋体" w:cs="宋体"/>
          <w:sz w:val="24"/>
          <w:highlight w:val="none"/>
        </w:rPr>
      </w:pPr>
      <w:bookmarkStart w:id="9" w:name="_Hlk519264333"/>
      <w:bookmarkEnd w:id="9"/>
      <w:r>
        <w:rPr>
          <w:rFonts w:hint="eastAsia" w:ascii="宋体" w:hAnsi="宋体" w:cs="宋体"/>
          <w:sz w:val="24"/>
          <w:highlight w:val="none"/>
        </w:rPr>
        <w:t>国咨项目管理有限公司受三门峡市陕州区农业农村局的委托，就</w:t>
      </w:r>
      <w:r>
        <w:rPr>
          <w:rFonts w:hint="eastAsia" w:ascii="宋体" w:hAnsi="宋体" w:cs="宋体"/>
          <w:sz w:val="24"/>
          <w:highlight w:val="none"/>
          <w:lang w:eastAsia="zh-CN"/>
        </w:rPr>
        <w:t>陕州区2026年小麦“一喷三防”项目</w:t>
      </w:r>
      <w:r>
        <w:rPr>
          <w:rFonts w:hint="eastAsia" w:ascii="宋体" w:hAnsi="宋体" w:cs="宋体"/>
          <w:sz w:val="24"/>
          <w:highlight w:val="none"/>
        </w:rPr>
        <w:t>进行竞争性磋商，资金来源为财政资金，资金已落实，欢迎符合相关条件的供应商投标。</w:t>
      </w:r>
    </w:p>
    <w:p w14:paraId="0815E580">
      <w:pPr>
        <w:ind w:firstLine="482" w:firstLineChars="200"/>
        <w:rPr>
          <w:rFonts w:ascii="宋体" w:hAnsi="宋体" w:cs="宋体"/>
          <w:b/>
          <w:bCs/>
          <w:sz w:val="24"/>
          <w:highlight w:val="none"/>
        </w:rPr>
      </w:pPr>
      <w:r>
        <w:rPr>
          <w:rFonts w:hint="eastAsia" w:ascii="宋体" w:hAnsi="宋体" w:cs="宋体"/>
          <w:b/>
          <w:bCs/>
          <w:sz w:val="24"/>
          <w:highlight w:val="none"/>
        </w:rPr>
        <w:t>一、项目概况</w:t>
      </w:r>
    </w:p>
    <w:p w14:paraId="2A5EA5FE">
      <w:pPr>
        <w:ind w:firstLine="480" w:firstLineChars="200"/>
        <w:rPr>
          <w:rFonts w:ascii="宋体" w:hAnsi="宋体" w:cs="宋体"/>
          <w:sz w:val="24"/>
          <w:highlight w:val="none"/>
        </w:rPr>
      </w:pPr>
      <w:r>
        <w:rPr>
          <w:rFonts w:hint="eastAsia" w:ascii="宋体" w:hAnsi="宋体" w:cs="宋体"/>
          <w:sz w:val="24"/>
          <w:highlight w:val="none"/>
        </w:rPr>
        <w:t>1、采购人：三门峡市陕州区农业农村局</w:t>
      </w:r>
    </w:p>
    <w:p w14:paraId="32231801">
      <w:pPr>
        <w:widowControl/>
        <w:shd w:val="clear" w:color="auto" w:fill="FFFFFF"/>
        <w:spacing w:line="39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陕州区2026年小麦“一喷三防”项目</w:t>
      </w:r>
    </w:p>
    <w:p w14:paraId="284715A4">
      <w:pPr>
        <w:widowControl/>
        <w:shd w:val="clear" w:color="auto" w:fill="FFFFFF"/>
        <w:spacing w:line="390" w:lineRule="atLeast"/>
        <w:ind w:firstLine="480" w:firstLineChars="200"/>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3、项目编号：</w:t>
      </w:r>
      <w:r>
        <w:rPr>
          <w:rFonts w:hint="eastAsia" w:ascii="宋体" w:hAnsi="宋体" w:cs="宋体"/>
          <w:color w:val="auto"/>
          <w:sz w:val="24"/>
          <w:highlight w:val="none"/>
          <w:lang w:eastAsia="zh-CN"/>
        </w:rPr>
        <w:t>陕州竞磋采购-2026-11、SZGZ[2026]036-ZC025</w:t>
      </w:r>
    </w:p>
    <w:p w14:paraId="5692EBB3">
      <w:pPr>
        <w:ind w:firstLine="480" w:firstLineChars="200"/>
        <w:rPr>
          <w:rFonts w:ascii="宋体" w:hAnsi="宋体" w:cs="宋体"/>
          <w:sz w:val="24"/>
          <w:highlight w:val="none"/>
        </w:rPr>
      </w:pPr>
      <w:r>
        <w:rPr>
          <w:rFonts w:hint="eastAsia" w:ascii="宋体" w:hAnsi="宋体" w:cs="宋体"/>
          <w:sz w:val="24"/>
          <w:highlight w:val="none"/>
        </w:rPr>
        <w:t>4、采购方式：竞争性磋商</w:t>
      </w:r>
    </w:p>
    <w:p w14:paraId="520FE876">
      <w:pPr>
        <w:ind w:firstLine="480" w:firstLineChars="200"/>
        <w:rPr>
          <w:rFonts w:ascii="宋体" w:hAnsi="宋体" w:cs="宋体"/>
          <w:sz w:val="24"/>
          <w:highlight w:val="none"/>
        </w:rPr>
      </w:pPr>
      <w:r>
        <w:rPr>
          <w:rFonts w:hint="eastAsia" w:ascii="宋体" w:hAnsi="宋体" w:cs="宋体"/>
          <w:sz w:val="24"/>
          <w:highlight w:val="none"/>
        </w:rPr>
        <w:t>5、预算金额：</w:t>
      </w:r>
      <w:r>
        <w:rPr>
          <w:rFonts w:hint="eastAsia" w:ascii="宋体" w:hAnsi="宋体" w:cs="宋体"/>
          <w:sz w:val="24"/>
          <w:highlight w:val="none"/>
          <w:lang w:eastAsia="zh-CN"/>
        </w:rPr>
        <w:t>600000.00元</w:t>
      </w:r>
    </w:p>
    <w:p w14:paraId="234FEB1D">
      <w:pPr>
        <w:spacing w:line="360" w:lineRule="auto"/>
        <w:ind w:right="210" w:rightChars="100" w:firstLine="480" w:firstLineChars="200"/>
        <w:contextualSpacing/>
        <w:jc w:val="left"/>
        <w:rPr>
          <w:rFonts w:ascii="宋体" w:hAnsi="宋体" w:cs="宋体"/>
          <w:highlight w:val="none"/>
        </w:rPr>
      </w:pPr>
      <w:r>
        <w:rPr>
          <w:rFonts w:hint="eastAsia" w:ascii="宋体" w:hAnsi="宋体" w:cs="宋体"/>
          <w:sz w:val="24"/>
          <w:highlight w:val="none"/>
        </w:rPr>
        <w:t>6、采购内容：</w:t>
      </w:r>
      <w:r>
        <w:rPr>
          <w:rFonts w:hint="eastAsia" w:ascii="宋体" w:hAnsi="宋体" w:cs="宋体"/>
          <w:sz w:val="24"/>
          <w:highlight w:val="none"/>
          <w:lang w:eastAsia="zh-CN"/>
        </w:rPr>
        <w:t>本项目主要包含三个标段：一标段、二标段为小麦病虫害专业化植保无人机防治服务作业（包含植保无人机防治服务费含助剂），三标段为小麦病虫害农资采购，详见采购清单。</w:t>
      </w:r>
    </w:p>
    <w:p w14:paraId="57F4859D">
      <w:pPr>
        <w:spacing w:line="360" w:lineRule="auto"/>
        <w:ind w:firstLine="480" w:firstLineChars="200"/>
        <w:rPr>
          <w:rFonts w:ascii="宋体" w:hAnsi="宋体" w:cs="宋体"/>
          <w:sz w:val="24"/>
          <w:highlight w:val="none"/>
        </w:rPr>
      </w:pPr>
      <w:r>
        <w:rPr>
          <w:rFonts w:hint="eastAsia" w:ascii="宋体" w:hAnsi="宋体" w:cs="宋体"/>
          <w:sz w:val="24"/>
          <w:highlight w:val="none"/>
        </w:rPr>
        <w:t>7、资金来源：财政资金，已落实</w:t>
      </w:r>
    </w:p>
    <w:p w14:paraId="3DD1D893">
      <w:pPr>
        <w:spacing w:line="360" w:lineRule="auto"/>
        <w:ind w:firstLine="480" w:firstLineChars="200"/>
        <w:rPr>
          <w:rFonts w:ascii="宋体" w:hAnsi="宋体" w:cs="宋体"/>
          <w:sz w:val="24"/>
          <w:highlight w:val="none"/>
        </w:rPr>
      </w:pPr>
      <w:r>
        <w:rPr>
          <w:rFonts w:hint="eastAsia" w:ascii="宋体" w:hAnsi="宋体" w:cs="宋体"/>
          <w:sz w:val="24"/>
          <w:highlight w:val="none"/>
        </w:rPr>
        <w:t>8、标段划分：</w:t>
      </w:r>
      <w:r>
        <w:rPr>
          <w:rFonts w:hint="eastAsia" w:ascii="宋体" w:hAnsi="宋体" w:cs="宋体"/>
          <w:sz w:val="24"/>
          <w:highlight w:val="none"/>
          <w:lang w:eastAsia="zh-CN"/>
        </w:rPr>
        <w:t>三个标段</w:t>
      </w:r>
    </w:p>
    <w:p w14:paraId="75AFE65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第一标段：</w:t>
      </w:r>
      <w:r>
        <w:rPr>
          <w:rFonts w:hint="eastAsia" w:ascii="宋体" w:hAnsi="宋体" w:cs="宋体"/>
          <w:color w:val="000000" w:themeColor="text1"/>
          <w:sz w:val="24"/>
          <w:highlight w:val="none"/>
          <w:lang w:eastAsia="zh-CN"/>
          <w14:textFill>
            <w14:solidFill>
              <w14:schemeClr w14:val="tx1"/>
            </w14:solidFill>
          </w14:textFill>
        </w:rPr>
        <w:t>菜园乡、张茅乡、硖石乡</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766571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标段：</w:t>
      </w:r>
      <w:r>
        <w:rPr>
          <w:rFonts w:hint="eastAsia" w:ascii="宋体" w:hAnsi="宋体" w:cs="宋体"/>
          <w:color w:val="000000" w:themeColor="text1"/>
          <w:sz w:val="24"/>
          <w:highlight w:val="none"/>
          <w:lang w:eastAsia="zh-CN"/>
          <w14:textFill>
            <w14:solidFill>
              <w14:schemeClr w14:val="tx1"/>
            </w14:solidFill>
          </w14:textFill>
        </w:rPr>
        <w:t>观音堂镇、西李村乡、宫前乡、王家后乡、西张村镇</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1B119DD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标段：小麦病虫害</w:t>
      </w:r>
      <w:r>
        <w:rPr>
          <w:rFonts w:hint="eastAsia" w:ascii="宋体" w:hAnsi="宋体" w:cs="宋体"/>
          <w:color w:val="000000" w:themeColor="text1"/>
          <w:sz w:val="24"/>
          <w:highlight w:val="none"/>
          <w:lang w:eastAsia="zh-CN"/>
          <w14:textFill>
            <w14:solidFill>
              <w14:schemeClr w14:val="tx1"/>
            </w14:solidFill>
          </w14:textFill>
        </w:rPr>
        <w:t>农资</w:t>
      </w:r>
      <w:r>
        <w:rPr>
          <w:rFonts w:hint="eastAsia" w:ascii="宋体" w:hAnsi="宋体" w:cs="宋体"/>
          <w:color w:val="000000" w:themeColor="text1"/>
          <w:sz w:val="24"/>
          <w:highlight w:val="none"/>
          <w14:textFill>
            <w14:solidFill>
              <w14:schemeClr w14:val="tx1"/>
            </w14:solidFill>
          </w14:textFill>
        </w:rPr>
        <w:t>采购，预算金额为</w:t>
      </w:r>
      <w:r>
        <w:rPr>
          <w:rFonts w:hint="eastAsia" w:ascii="宋体" w:hAnsi="宋体" w:cs="宋体"/>
          <w:color w:val="000000" w:themeColor="text1"/>
          <w:sz w:val="24"/>
          <w:highlight w:val="none"/>
          <w:lang w:val="en-US" w:eastAsia="zh-CN"/>
          <w14:textFill>
            <w14:solidFill>
              <w14:schemeClr w14:val="tx1"/>
            </w14:solidFill>
          </w14:textFill>
        </w:rPr>
        <w:t>300000</w:t>
      </w:r>
      <w:r>
        <w:rPr>
          <w:rFonts w:hint="eastAsia" w:ascii="宋体" w:hAnsi="宋体" w:cs="宋体"/>
          <w:color w:val="000000" w:themeColor="text1"/>
          <w:sz w:val="24"/>
          <w:highlight w:val="none"/>
          <w14:textFill>
            <w14:solidFill>
              <w14:schemeClr w14:val="tx1"/>
            </w14:solidFill>
          </w14:textFill>
        </w:rPr>
        <w:t>.00元。</w:t>
      </w:r>
    </w:p>
    <w:p w14:paraId="0E8CC9A8">
      <w:pPr>
        <w:spacing w:line="360" w:lineRule="auto"/>
        <w:ind w:firstLine="480" w:firstLineChars="200"/>
        <w:rPr>
          <w:rFonts w:hint="eastAsia" w:ascii="宋体" w:hAnsi="宋体" w:eastAsia="宋体" w:cs="宋体"/>
          <w:color w:val="FF0000"/>
          <w:sz w:val="24"/>
          <w:highlight w:val="none"/>
          <w:lang w:eastAsia="zh-CN"/>
        </w:rPr>
      </w:pPr>
      <w:r>
        <w:rPr>
          <w:rFonts w:hint="eastAsia" w:ascii="宋体" w:hAnsi="宋体" w:cs="宋体"/>
          <w:color w:val="000000" w:themeColor="text1"/>
          <w:sz w:val="24"/>
          <w:highlight w:val="none"/>
          <w14:textFill>
            <w14:solidFill>
              <w14:schemeClr w14:val="tx1"/>
            </w14:solidFill>
          </w14:textFill>
        </w:rPr>
        <w:t>9、供货期：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663350C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10、质量标准：</w:t>
      </w:r>
      <w:r>
        <w:rPr>
          <w:rFonts w:hint="eastAsia" w:ascii="宋体" w:hAnsi="宋体" w:cs="宋体"/>
          <w:sz w:val="24"/>
          <w:highlight w:val="none"/>
          <w:lang w:eastAsia="zh-CN"/>
        </w:rPr>
        <w:t>符合国家相关规范及标准要求</w:t>
      </w:r>
    </w:p>
    <w:p w14:paraId="55949831">
      <w:pPr>
        <w:spacing w:line="360" w:lineRule="auto"/>
        <w:ind w:firstLine="480" w:firstLineChars="200"/>
        <w:rPr>
          <w:rFonts w:ascii="宋体" w:hAnsi="宋体" w:cs="宋体"/>
          <w:sz w:val="24"/>
          <w:highlight w:val="none"/>
        </w:rPr>
      </w:pPr>
      <w:r>
        <w:rPr>
          <w:rFonts w:hint="eastAsia" w:ascii="宋体" w:hAnsi="宋体" w:cs="宋体"/>
          <w:sz w:val="24"/>
          <w:highlight w:val="none"/>
        </w:rPr>
        <w:t>11、供货（服务）地点：采购人指定地点</w:t>
      </w:r>
    </w:p>
    <w:p w14:paraId="300EAEC8">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二、供应商资格要求：</w:t>
      </w:r>
    </w:p>
    <w:p w14:paraId="5690BDF8">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62FAB7DB">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5E9E48B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361E366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7F38D526">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36FEE31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B4ACB5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8952DCC">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68D2407F">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67E447D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2AD8E5EB">
      <w:pPr>
        <w:widowControl/>
        <w:spacing w:line="480" w:lineRule="exact"/>
        <w:ind w:firstLine="480" w:firstLineChars="200"/>
        <w:rPr>
          <w:rFonts w:ascii="宋体" w:hAnsi="宋体" w:cs="宋体"/>
          <w:bCs/>
          <w:color w:val="FF0000"/>
          <w:sz w:val="24"/>
          <w:highlight w:val="none"/>
        </w:rPr>
      </w:pPr>
      <w:r>
        <w:rPr>
          <w:rFonts w:hint="eastAsia" w:ascii="宋体" w:hAnsi="宋体" w:cs="宋体"/>
          <w:bCs/>
          <w:color w:val="000000" w:themeColor="text1"/>
          <w:sz w:val="24"/>
          <w:highlight w:val="none"/>
          <w14:textFill>
            <w14:solidFill>
              <w14:schemeClr w14:val="tx1"/>
            </w14:solidFill>
          </w14:textFill>
        </w:rPr>
        <w:t>注：被列入失信被执行人及重大税收违法失信主体的企业做无效标处理。招标人或招标代理机构有权对投标人信用记录进行甄别和复查。</w:t>
      </w:r>
    </w:p>
    <w:p w14:paraId="329C828B">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三、获取竞争性磋商文件</w:t>
      </w:r>
    </w:p>
    <w:p w14:paraId="6039E47D">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11ACA489">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办理CA证书：</w:t>
      </w:r>
    </w:p>
    <w:p w14:paraId="485C928B">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http://gzjy.smx.gov.cn/bzzx/008001/20211105/57b16af9-ab87-4395-a723-7758c628a3f8.html</w:t>
      </w:r>
    </w:p>
    <w:p w14:paraId="6C45C65C">
      <w:pPr>
        <w:widowControl/>
        <w:spacing w:line="480" w:lineRule="atLeast"/>
        <w:ind w:firstLine="480"/>
        <w:jc w:val="left"/>
        <w:rPr>
          <w:rFonts w:ascii="微软雅黑" w:hAnsi="微软雅黑" w:eastAsia="微软雅黑" w:cs="微软雅黑"/>
          <w:color w:val="FF0000"/>
          <w:szCs w:val="21"/>
          <w:highlight w:val="none"/>
        </w:rPr>
      </w:pPr>
      <w:r>
        <w:rPr>
          <w:rFonts w:hint="eastAsia" w:ascii="宋体" w:hAnsi="宋体" w:cs="宋体"/>
          <w:color w:val="000000" w:themeColor="text1"/>
          <w:kern w:val="0"/>
          <w:sz w:val="24"/>
          <w:highlight w:val="none"/>
          <w:lang w:bidi="ar"/>
          <w14:textFill>
            <w14:solidFill>
              <w14:schemeClr w14:val="tx1"/>
            </w14:solidFill>
          </w14:textFill>
        </w:rPr>
        <w:t>2、磋商文件下载时间：</w:t>
      </w:r>
      <w:r>
        <w:rPr>
          <w:rFonts w:hint="eastAsia" w:ascii="宋体" w:hAnsi="宋体" w:cs="宋体"/>
          <w:color w:val="000000" w:themeColor="text1"/>
          <w:kern w:val="0"/>
          <w:sz w:val="24"/>
          <w:highlight w:val="none"/>
          <w:lang w:eastAsia="zh-CN" w:bidi="ar"/>
          <w14:textFill>
            <w14:solidFill>
              <w14:schemeClr w14:val="tx1"/>
            </w14:solidFill>
          </w14:textFill>
        </w:rPr>
        <w:t>2026年3月20日</w:t>
      </w:r>
      <w:r>
        <w:rPr>
          <w:rFonts w:hint="eastAsia" w:ascii="宋体" w:hAnsi="宋体" w:cs="宋体"/>
          <w:color w:val="000000" w:themeColor="text1"/>
          <w:kern w:val="0"/>
          <w:sz w:val="24"/>
          <w:highlight w:val="none"/>
          <w:lang w:bidi="ar"/>
          <w14:textFill>
            <w14:solidFill>
              <w14:schemeClr w14:val="tx1"/>
            </w14:solidFill>
          </w14:textFill>
        </w:rPr>
        <w:t>至</w:t>
      </w:r>
      <w:r>
        <w:rPr>
          <w:rFonts w:hint="eastAsia" w:ascii="宋体" w:hAnsi="宋体" w:cs="宋体"/>
          <w:color w:val="000000" w:themeColor="text1"/>
          <w:kern w:val="0"/>
          <w:sz w:val="24"/>
          <w:highlight w:val="none"/>
          <w:lang w:eastAsia="zh-CN" w:bidi="ar"/>
          <w14:textFill>
            <w14:solidFill>
              <w14:schemeClr w14:val="tx1"/>
            </w14:solidFill>
          </w14:textFill>
        </w:rPr>
        <w:t>2026年3月31日</w:t>
      </w:r>
      <w:r>
        <w:rPr>
          <w:rFonts w:hint="eastAsia" w:ascii="宋体" w:hAnsi="宋体" w:cs="宋体"/>
          <w:color w:val="000000" w:themeColor="text1"/>
          <w:kern w:val="0"/>
          <w:sz w:val="24"/>
          <w:highlight w:val="none"/>
          <w:lang w:bidi="ar"/>
          <w14:textFill>
            <w14:solidFill>
              <w14:schemeClr w14:val="tx1"/>
            </w14:solidFill>
          </w14:textFill>
        </w:rPr>
        <w:t>08时30分（北京时间）。</w:t>
      </w:r>
    </w:p>
    <w:p w14:paraId="547325FA">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kern w:val="0"/>
          <w:sz w:val="24"/>
          <w:highlight w:val="none"/>
          <w:lang w:bidi="ar"/>
        </w:rPr>
        <w:t>3、本项目为不见面开标项目。开标当日，供应商无需到开标现场参加开标会议，供应商应当在投标截止时间前，登陆不见面开标大厅选择登陆三门峡</w:t>
      </w:r>
      <w:r>
        <w:rPr>
          <w:rFonts w:hint="eastAsia" w:ascii="宋体" w:hAnsi="宋体" w:cs="宋体"/>
          <w:color w:val="333333"/>
          <w:kern w:val="0"/>
          <w:sz w:val="24"/>
          <w:highlight w:val="none"/>
          <w:lang w:bidi="ar"/>
        </w:rPr>
        <w:t>市公共资源电子招投标系统进行登陆（网址http://120.194.249.36:10094/BidOpening/bidopeninghallaction/hall/login）,在线准时参加开标活动并进行响应文件解密等。每位供应商的解密时间为开标时间起30分钟内完成。</w:t>
      </w:r>
    </w:p>
    <w:p w14:paraId="69E05668">
      <w:pPr>
        <w:widowControl/>
        <w:spacing w:line="480" w:lineRule="atLeast"/>
        <w:ind w:firstLine="480"/>
        <w:jc w:val="left"/>
        <w:rPr>
          <w:rFonts w:ascii="宋体" w:hAnsi="宋体" w:cs="宋体"/>
          <w:color w:val="333333"/>
          <w:kern w:val="0"/>
          <w:sz w:val="24"/>
          <w:highlight w:val="none"/>
          <w:lang w:bidi="ar"/>
        </w:rPr>
      </w:pPr>
      <w:r>
        <w:rPr>
          <w:rFonts w:hint="eastAsia" w:ascii="宋体" w:hAnsi="宋体" w:cs="宋体"/>
          <w:color w:val="333333"/>
          <w:kern w:val="0"/>
          <w:sz w:val="24"/>
          <w:highlight w:val="none"/>
          <w:lang w:bidi="ar"/>
        </w:rPr>
        <w:t>4、磋商保证金：</w:t>
      </w:r>
    </w:p>
    <w:p w14:paraId="3037787B">
      <w:pPr>
        <w:spacing w:line="500" w:lineRule="exact"/>
        <w:ind w:firstLine="480" w:firstLineChars="200"/>
        <w:rPr>
          <w:rFonts w:hint="eastAsia" w:ascii="Calibri" w:hAnsi="Calibri"/>
          <w:kern w:val="0"/>
          <w:sz w:val="24"/>
          <w:highlight w:val="none"/>
        </w:rPr>
      </w:pPr>
      <w:r>
        <w:rPr>
          <w:rFonts w:hint="eastAsia" w:ascii="Calibri" w:hAnsi="Calibri"/>
          <w:kern w:val="0"/>
          <w:sz w:val="24"/>
          <w:highlight w:val="none"/>
        </w:rPr>
        <w:t>根据《河南省财政厅关于优化政府采购营商环境有关问题的通知》（豫财购【2019】4号）第6条的规定，磋商保证金不再收取。</w:t>
      </w:r>
    </w:p>
    <w:p w14:paraId="189252EE">
      <w:pPr>
        <w:widowControl/>
        <w:spacing w:line="480" w:lineRule="atLeast"/>
        <w:ind w:firstLine="480"/>
        <w:jc w:val="left"/>
        <w:rPr>
          <w:rFonts w:hint="eastAsia" w:ascii="宋体" w:hAnsi="宋体" w:cs="宋体"/>
          <w:color w:val="333333"/>
          <w:kern w:val="0"/>
          <w:sz w:val="24"/>
          <w:highlight w:val="none"/>
          <w:lang w:val="en-US" w:eastAsia="zh-CN" w:bidi="ar"/>
        </w:rPr>
      </w:pPr>
      <w:r>
        <w:rPr>
          <w:rFonts w:hint="eastAsia" w:ascii="宋体" w:hAnsi="宋体" w:cs="宋体"/>
          <w:color w:val="333333"/>
          <w:kern w:val="0"/>
          <w:sz w:val="24"/>
          <w:highlight w:val="none"/>
          <w:lang w:val="en-US" w:eastAsia="zh-CN" w:bidi="ar"/>
        </w:rPr>
        <w:t>5、本项目采用全电子化招标，不再收取招标文件费。</w:t>
      </w:r>
      <w:bookmarkStart w:id="241" w:name="_GoBack"/>
      <w:bookmarkEnd w:id="241"/>
    </w:p>
    <w:p w14:paraId="1CD5CC5E">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四、磋商文件的递交截止时间及开评标地点</w:t>
      </w:r>
    </w:p>
    <w:p w14:paraId="4B904E23">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r>
        <w:rPr>
          <w:rFonts w:hint="eastAsia" w:ascii="Calibri" w:hAnsi="Calibri"/>
          <w:color w:val="000000" w:themeColor="text1"/>
          <w:kern w:val="0"/>
          <w:sz w:val="24"/>
          <w:highlight w:val="none"/>
          <w14:textFill>
            <w14:solidFill>
              <w14:schemeClr w14:val="tx1"/>
            </w14:solidFill>
          </w14:textFill>
        </w:rPr>
        <w:t>1、响应文件递交的截止时间</w:t>
      </w:r>
      <w:r>
        <w:rPr>
          <w:rFonts w:hint="eastAsia" w:ascii="Calibri" w:hAnsi="Calibri"/>
          <w:color w:val="000000" w:themeColor="text1"/>
          <w:kern w:val="0"/>
          <w:sz w:val="24"/>
          <w:highlight w:val="none"/>
          <w14:textFill>
            <w14:solidFill>
              <w14:schemeClr w14:val="tx1"/>
            </w14:solidFill>
          </w14:textFill>
        </w:rPr>
        <w:t>：</w:t>
      </w:r>
      <w:r>
        <w:rPr>
          <w:rFonts w:hint="eastAsia" w:ascii="Calibri" w:hAnsi="Calibri"/>
          <w:color w:val="000000" w:themeColor="text1"/>
          <w:kern w:val="0"/>
          <w:sz w:val="24"/>
          <w:highlight w:val="none"/>
          <w:lang w:eastAsia="zh-CN"/>
          <w14:textFill>
            <w14:solidFill>
              <w14:schemeClr w14:val="tx1"/>
            </w14:solidFill>
          </w14:textFill>
        </w:rPr>
        <w:t>2026年3月31日</w:t>
      </w:r>
      <w:r>
        <w:rPr>
          <w:rFonts w:hint="eastAsia" w:ascii="Calibri" w:hAnsi="Calibri"/>
          <w:color w:val="000000" w:themeColor="text1"/>
          <w:kern w:val="0"/>
          <w:sz w:val="24"/>
          <w:highlight w:val="none"/>
          <w14:textFill>
            <w14:solidFill>
              <w14:schemeClr w14:val="tx1"/>
            </w14:solidFill>
          </w14:textFill>
        </w:rPr>
        <w:t>08时30分（北京时间）；</w:t>
      </w:r>
    </w:p>
    <w:p w14:paraId="050743C2">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2、地点：上传至三门峡市公共资源交易中心系统；</w:t>
      </w:r>
    </w:p>
    <w:p w14:paraId="0D8DF2B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3、开标地点：陕州区公共资源交易中心。</w:t>
      </w:r>
    </w:p>
    <w:p w14:paraId="6927DA72">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五、投标资料的提交</w:t>
      </w:r>
    </w:p>
    <w:p w14:paraId="3869BCEA">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w:t>
      </w:r>
      <w:r>
        <w:rPr>
          <w:rFonts w:hint="eastAsia" w:ascii="Calibri" w:hAnsi="Calibri"/>
          <w:kern w:val="0"/>
          <w:sz w:val="24"/>
          <w:highlight w:val="none"/>
          <w:lang w:eastAsia="zh-CN"/>
        </w:rPr>
        <w:t>符合国家相关规范及标准要求</w:t>
      </w:r>
      <w:r>
        <w:rPr>
          <w:rFonts w:hint="eastAsia" w:ascii="Calibri" w:hAnsi="Calibri"/>
          <w:kern w:val="0"/>
          <w:sz w:val="24"/>
          <w:highlight w:val="none"/>
        </w:rPr>
        <w:t>等情况的，由供应商承担责任。</w:t>
      </w:r>
    </w:p>
    <w:p w14:paraId="03F3B2D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六、其他事项</w:t>
      </w:r>
    </w:p>
    <w:p w14:paraId="3216189D">
      <w:pPr>
        <w:spacing w:line="500" w:lineRule="exact"/>
        <w:ind w:firstLine="480" w:firstLineChars="200"/>
        <w:rPr>
          <w:rFonts w:ascii="Calibri" w:hAnsi="Calibri"/>
          <w:kern w:val="0"/>
          <w:sz w:val="24"/>
          <w:highlight w:val="none"/>
        </w:rPr>
      </w:pPr>
      <w:bookmarkStart w:id="10" w:name="_Toc12114"/>
      <w:bookmarkStart w:id="11" w:name="_Toc28016"/>
      <w:bookmarkStart w:id="12" w:name="_Toc494288834"/>
      <w:bookmarkStart w:id="13" w:name="_Toc184635067"/>
      <w:r>
        <w:rPr>
          <w:rFonts w:hint="eastAsia" w:ascii="Calibri" w:hAnsi="Calibri"/>
          <w:kern w:val="0"/>
          <w:sz w:val="24"/>
          <w:highlight w:val="none"/>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2ABBB38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2、投标所发生一切费用由各投标人自行承担，并承担相应的风险和责任；</w:t>
      </w:r>
    </w:p>
    <w:p w14:paraId="4ED07A0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3、供应商递交的响应文件不论中标与否均不予退还。</w:t>
      </w:r>
    </w:p>
    <w:p w14:paraId="1CE3D415">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温馨提示：本项目为电子化、无纸化交易项目，开标时不再接受任何纸质资料，为保证您能投标成功，请需仔细阅读磋商文件和三门峡市公共资源交易中心官网业务办理指南。</w:t>
      </w:r>
    </w:p>
    <w:p w14:paraId="5A4D13EA">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七、磋商保证金</w:t>
      </w:r>
    </w:p>
    <w:p w14:paraId="572894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按照《河南省财政厅关于优化政府采购营商环境有关问题的通知》（豫财购[2019]4号文）的要求本项目不再收取磋商保证金。</w:t>
      </w:r>
    </w:p>
    <w:p w14:paraId="4DBF9E19">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八、发布磋商公告的媒介</w:t>
      </w:r>
      <w:bookmarkEnd w:id="10"/>
      <w:bookmarkEnd w:id="11"/>
      <w:bookmarkEnd w:id="12"/>
    </w:p>
    <w:bookmarkEnd w:id="13"/>
    <w:p w14:paraId="68D73D0C">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本次竞争性磋商公告同时在《三门峡市公共资源交易中心》、《河南省政府采购网》、《中国采购与招标网》等媒体上公开发布。</w:t>
      </w:r>
    </w:p>
    <w:p w14:paraId="29AACE9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九、联系方式</w:t>
      </w:r>
    </w:p>
    <w:p w14:paraId="28751F62">
      <w:pPr>
        <w:spacing w:line="460" w:lineRule="exact"/>
        <w:ind w:firstLine="480" w:firstLineChars="200"/>
        <w:rPr>
          <w:rFonts w:ascii="宋体" w:hAnsi="宋体" w:cs="宋体"/>
          <w:sz w:val="24"/>
          <w:highlight w:val="none"/>
        </w:rPr>
      </w:pPr>
      <w:r>
        <w:rPr>
          <w:rFonts w:hint="eastAsia" w:ascii="宋体" w:hAnsi="宋体" w:cs="宋体"/>
          <w:sz w:val="24"/>
          <w:highlight w:val="none"/>
        </w:rPr>
        <w:t>监督单位：三门峡市陕州区财政局政府采购监督管理科</w:t>
      </w:r>
    </w:p>
    <w:p w14:paraId="12508A59">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电话：0398-3839210 </w:t>
      </w:r>
    </w:p>
    <w:p w14:paraId="153388C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采购人：三门峡市陕州区农业农村局</w:t>
      </w:r>
    </w:p>
    <w:p w14:paraId="69B6BA67">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联系人：范女士</w:t>
      </w:r>
    </w:p>
    <w:p w14:paraId="62FA790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电话：15890281937</w:t>
      </w:r>
    </w:p>
    <w:p w14:paraId="0A6E2C2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地址：三门峡市陕州区神泉路中段</w:t>
      </w:r>
    </w:p>
    <w:p w14:paraId="450027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 xml:space="preserve">采购代理机构：国咨项目管理有限公司 </w:t>
      </w:r>
    </w:p>
    <w:p w14:paraId="322A94B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联系人：冉女士</w:t>
      </w:r>
    </w:p>
    <w:p w14:paraId="5D5E23CF">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电话：0371-55376966   17613053066</w:t>
      </w:r>
    </w:p>
    <w:p w14:paraId="723916BA">
      <w:pPr>
        <w:spacing w:line="500" w:lineRule="exact"/>
        <w:ind w:firstLine="480" w:firstLineChars="200"/>
        <w:rPr>
          <w:rFonts w:hint="eastAsia" w:ascii="Calibri" w:hAnsi="Calibri" w:eastAsia="宋体"/>
          <w:kern w:val="0"/>
          <w:sz w:val="24"/>
          <w:highlight w:val="none"/>
          <w:lang w:eastAsia="zh-CN"/>
        </w:rPr>
      </w:pPr>
      <w:r>
        <w:rPr>
          <w:rFonts w:hint="eastAsia" w:ascii="Calibri" w:hAnsi="Calibri"/>
          <w:kern w:val="0"/>
          <w:sz w:val="24"/>
          <w:highlight w:val="none"/>
        </w:rPr>
        <w:t>地址：</w:t>
      </w:r>
      <w:r>
        <w:rPr>
          <w:rFonts w:hint="eastAsia" w:ascii="Calibri" w:hAnsi="Calibri"/>
          <w:kern w:val="0"/>
          <w:sz w:val="24"/>
          <w:highlight w:val="none"/>
          <w:lang w:eastAsia="zh-CN"/>
        </w:rPr>
        <w:t>河南省郑州市管城回族区正商花都港湾16#3单元2楼西户</w:t>
      </w:r>
    </w:p>
    <w:p w14:paraId="154C90FD">
      <w:pPr>
        <w:spacing w:line="500" w:lineRule="exact"/>
        <w:ind w:firstLine="480" w:firstLineChars="200"/>
        <w:rPr>
          <w:rFonts w:ascii="Calibri" w:hAnsi="Calibri"/>
          <w:kern w:val="0"/>
          <w:sz w:val="24"/>
          <w:highlight w:val="none"/>
        </w:rPr>
      </w:pPr>
    </w:p>
    <w:p w14:paraId="539274F7">
      <w:pPr>
        <w:spacing w:line="460" w:lineRule="exact"/>
        <w:ind w:firstLine="480" w:firstLineChars="200"/>
        <w:jc w:val="right"/>
        <w:rPr>
          <w:rFonts w:ascii="宋体" w:hAnsi="宋体"/>
          <w:color w:val="FF0000"/>
          <w:sz w:val="24"/>
          <w:highlight w:val="none"/>
        </w:rPr>
      </w:pPr>
    </w:p>
    <w:p w14:paraId="03420176">
      <w:pPr>
        <w:keepNext/>
        <w:keepLines/>
        <w:jc w:val="center"/>
        <w:outlineLvl w:val="0"/>
        <w:rPr>
          <w:rFonts w:ascii="宋体" w:hAnsi="宋体"/>
          <w:b/>
          <w:bCs/>
          <w:color w:val="000000"/>
          <w:kern w:val="44"/>
          <w:sz w:val="36"/>
          <w:szCs w:val="36"/>
          <w:highlight w:val="none"/>
        </w:rPr>
      </w:pPr>
      <w:r>
        <w:rPr>
          <w:rFonts w:hint="eastAsia" w:ascii="宋体" w:hAnsi="宋体"/>
          <w:b/>
          <w:bCs/>
          <w:color w:val="000000"/>
          <w:kern w:val="44"/>
          <w:sz w:val="36"/>
          <w:szCs w:val="36"/>
          <w:highlight w:val="none"/>
        </w:rPr>
        <w:br w:type="page"/>
      </w:r>
      <w:bookmarkStart w:id="14" w:name="_Toc3187"/>
      <w:bookmarkEnd w:id="14"/>
      <w:bookmarkStart w:id="15" w:name="_Toc466566783"/>
      <w:bookmarkEnd w:id="15"/>
      <w:bookmarkStart w:id="16" w:name="_Toc9900_WPSOffice_Level1"/>
      <w:bookmarkStart w:id="17" w:name="_Toc15117_WPSOffice_Level1"/>
      <w:bookmarkStart w:id="18" w:name="_Toc18101"/>
      <w:bookmarkStart w:id="19" w:name="_Toc24425"/>
      <w:bookmarkStart w:id="20" w:name="_Toc16092_WPSOffice_Level1"/>
      <w:bookmarkStart w:id="21" w:name="_Toc9448"/>
      <w:bookmarkStart w:id="22" w:name="_Toc11439"/>
      <w:bookmarkStart w:id="23" w:name="_Toc31013_WPSOffice_Level1"/>
      <w:r>
        <w:rPr>
          <w:rFonts w:hint="eastAsia" w:ascii="宋体" w:hAnsi="宋体"/>
          <w:b/>
          <w:bCs/>
          <w:color w:val="000000"/>
          <w:kern w:val="44"/>
          <w:sz w:val="36"/>
          <w:szCs w:val="36"/>
          <w:highlight w:val="none"/>
        </w:rPr>
        <w:t>第二章  供应商须知</w:t>
      </w:r>
      <w:bookmarkEnd w:id="16"/>
      <w:bookmarkEnd w:id="17"/>
      <w:bookmarkEnd w:id="18"/>
      <w:bookmarkEnd w:id="19"/>
      <w:bookmarkEnd w:id="20"/>
      <w:bookmarkEnd w:id="21"/>
      <w:bookmarkEnd w:id="22"/>
      <w:bookmarkEnd w:id="23"/>
    </w:p>
    <w:p w14:paraId="6D785CEF">
      <w:pPr>
        <w:jc w:val="center"/>
        <w:outlineLvl w:val="1"/>
        <w:rPr>
          <w:rFonts w:ascii="宋体" w:hAnsi="宋体"/>
          <w:color w:val="000000"/>
          <w:sz w:val="24"/>
          <w:highlight w:val="none"/>
        </w:rPr>
      </w:pPr>
      <w:r>
        <w:rPr>
          <w:rFonts w:hint="eastAsia" w:ascii="宋体" w:hAnsi="宋体"/>
          <w:color w:val="000000"/>
          <w:sz w:val="24"/>
          <w:highlight w:val="none"/>
        </w:rPr>
        <w:t>供应商须知前附表</w:t>
      </w:r>
    </w:p>
    <w:tbl>
      <w:tblPr>
        <w:tblStyle w:val="1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3FD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AA4F606">
            <w:pPr>
              <w:jc w:val="center"/>
              <w:rPr>
                <w:rFonts w:ascii="宋体" w:hAnsi="宋体"/>
                <w:color w:val="000000"/>
                <w:sz w:val="24"/>
                <w:highlight w:val="none"/>
              </w:rPr>
            </w:pPr>
            <w:r>
              <w:rPr>
                <w:rFonts w:hint="eastAsia" w:ascii="宋体" w:hAnsi="宋体"/>
                <w:color w:val="000000"/>
                <w:sz w:val="24"/>
                <w:highlight w:val="none"/>
              </w:rPr>
              <w:t>条款号</w:t>
            </w:r>
          </w:p>
        </w:tc>
        <w:tc>
          <w:tcPr>
            <w:tcW w:w="1909" w:type="dxa"/>
            <w:tcBorders>
              <w:top w:val="single" w:color="auto" w:sz="4" w:space="0"/>
              <w:left w:val="nil"/>
              <w:bottom w:val="single" w:color="auto" w:sz="4" w:space="0"/>
              <w:right w:val="single" w:color="auto" w:sz="4" w:space="0"/>
            </w:tcBorders>
            <w:vAlign w:val="center"/>
          </w:tcPr>
          <w:p w14:paraId="25E1B6C4">
            <w:pPr>
              <w:jc w:val="center"/>
              <w:rPr>
                <w:rFonts w:ascii="宋体" w:hAnsi="宋体"/>
                <w:color w:val="000000"/>
                <w:sz w:val="24"/>
                <w:highlight w:val="none"/>
              </w:rPr>
            </w:pPr>
            <w:r>
              <w:rPr>
                <w:rFonts w:hint="eastAsia" w:ascii="宋体" w:hAnsi="宋体"/>
                <w:color w:val="000000"/>
                <w:sz w:val="24"/>
                <w:highlight w:val="none"/>
              </w:rPr>
              <w:t>条款名称</w:t>
            </w:r>
          </w:p>
        </w:tc>
        <w:tc>
          <w:tcPr>
            <w:tcW w:w="6887" w:type="dxa"/>
            <w:tcBorders>
              <w:top w:val="single" w:color="auto" w:sz="4" w:space="0"/>
              <w:left w:val="nil"/>
              <w:bottom w:val="single" w:color="auto" w:sz="4" w:space="0"/>
              <w:right w:val="single" w:color="auto" w:sz="4" w:space="0"/>
            </w:tcBorders>
            <w:vAlign w:val="center"/>
          </w:tcPr>
          <w:p w14:paraId="6089E3A2">
            <w:pPr>
              <w:jc w:val="center"/>
              <w:rPr>
                <w:rFonts w:ascii="宋体" w:hAnsi="宋体"/>
                <w:color w:val="000000"/>
                <w:sz w:val="24"/>
                <w:highlight w:val="none"/>
              </w:rPr>
            </w:pPr>
            <w:r>
              <w:rPr>
                <w:rFonts w:hint="eastAsia" w:ascii="宋体" w:hAnsi="宋体"/>
                <w:color w:val="000000"/>
                <w:sz w:val="24"/>
                <w:highlight w:val="none"/>
              </w:rPr>
              <w:t>编  列  内  容</w:t>
            </w:r>
          </w:p>
        </w:tc>
      </w:tr>
      <w:tr w14:paraId="6BE0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4807376">
            <w:pPr>
              <w:jc w:val="center"/>
              <w:rPr>
                <w:rFonts w:ascii="宋体" w:hAnsi="宋体"/>
                <w:color w:val="000000"/>
                <w:sz w:val="24"/>
                <w:highlight w:val="none"/>
              </w:rPr>
            </w:pPr>
            <w:r>
              <w:rPr>
                <w:rFonts w:hint="eastAsia" w:ascii="宋体" w:hAnsi="宋体"/>
                <w:color w:val="000000"/>
                <w:sz w:val="24"/>
                <w:highlight w:val="none"/>
              </w:rPr>
              <w:t>1</w:t>
            </w:r>
          </w:p>
        </w:tc>
        <w:tc>
          <w:tcPr>
            <w:tcW w:w="1909" w:type="dxa"/>
            <w:tcBorders>
              <w:top w:val="single" w:color="auto" w:sz="4" w:space="0"/>
              <w:left w:val="nil"/>
              <w:bottom w:val="single" w:color="auto" w:sz="4" w:space="0"/>
              <w:right w:val="single" w:color="auto" w:sz="4" w:space="0"/>
            </w:tcBorders>
            <w:vAlign w:val="center"/>
          </w:tcPr>
          <w:p w14:paraId="3145B49C">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w:t>
            </w:r>
          </w:p>
        </w:tc>
        <w:tc>
          <w:tcPr>
            <w:tcW w:w="6887" w:type="dxa"/>
            <w:tcBorders>
              <w:top w:val="single" w:color="auto" w:sz="4" w:space="0"/>
              <w:left w:val="nil"/>
              <w:bottom w:val="single" w:color="auto" w:sz="4" w:space="0"/>
              <w:right w:val="single" w:color="auto" w:sz="4" w:space="0"/>
            </w:tcBorders>
            <w:vAlign w:val="center"/>
          </w:tcPr>
          <w:p w14:paraId="20EDB001">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监督单位：三门峡市陕州区财政局政府采购监督管理科</w:t>
            </w:r>
          </w:p>
          <w:p w14:paraId="21763624">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电话：0398-3839210 </w:t>
            </w:r>
          </w:p>
        </w:tc>
      </w:tr>
      <w:tr w14:paraId="0C0B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77AB0C9">
            <w:pPr>
              <w:jc w:val="center"/>
              <w:rPr>
                <w:rFonts w:ascii="宋体" w:hAnsi="宋体"/>
                <w:color w:val="000000"/>
                <w:sz w:val="24"/>
                <w:highlight w:val="none"/>
              </w:rPr>
            </w:pPr>
            <w:r>
              <w:rPr>
                <w:rFonts w:hint="eastAsia" w:ascii="宋体" w:hAnsi="宋体"/>
                <w:color w:val="000000"/>
                <w:sz w:val="24"/>
                <w:highlight w:val="none"/>
              </w:rPr>
              <w:t>2</w:t>
            </w:r>
          </w:p>
        </w:tc>
        <w:tc>
          <w:tcPr>
            <w:tcW w:w="1909" w:type="dxa"/>
            <w:tcBorders>
              <w:top w:val="single" w:color="auto" w:sz="4" w:space="0"/>
              <w:left w:val="nil"/>
              <w:bottom w:val="single" w:color="auto" w:sz="4" w:space="0"/>
              <w:right w:val="single" w:color="auto" w:sz="4" w:space="0"/>
            </w:tcBorders>
            <w:vAlign w:val="center"/>
          </w:tcPr>
          <w:p w14:paraId="27E78234">
            <w:pPr>
              <w:jc w:val="center"/>
              <w:rPr>
                <w:rFonts w:ascii="宋体" w:hAnsi="宋体" w:cs="宋体"/>
                <w:sz w:val="24"/>
                <w:highlight w:val="none"/>
              </w:rPr>
            </w:pPr>
            <w:r>
              <w:rPr>
                <w:rFonts w:hint="eastAsia" w:ascii="宋体" w:hAnsi="宋体" w:cs="宋体"/>
                <w:sz w:val="24"/>
                <w:highlight w:val="none"/>
              </w:rPr>
              <w:t>采购人</w:t>
            </w:r>
          </w:p>
        </w:tc>
        <w:tc>
          <w:tcPr>
            <w:tcW w:w="6887" w:type="dxa"/>
            <w:tcBorders>
              <w:top w:val="single" w:color="auto" w:sz="4" w:space="0"/>
              <w:left w:val="nil"/>
              <w:bottom w:val="single" w:color="auto" w:sz="4" w:space="0"/>
              <w:right w:val="single" w:color="auto" w:sz="4" w:space="0"/>
            </w:tcBorders>
            <w:vAlign w:val="center"/>
          </w:tcPr>
          <w:p w14:paraId="7462DFC1">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采购人：三门峡市陕州区农业农村局</w:t>
            </w:r>
          </w:p>
          <w:p w14:paraId="42DE7149">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联系人：范女士</w:t>
            </w:r>
          </w:p>
          <w:p w14:paraId="438AA0C0">
            <w:pPr>
              <w:wordWrap w:val="0"/>
              <w:spacing w:line="240" w:lineRule="auto"/>
              <w:rPr>
                <w:rFonts w:ascii="宋体" w:hAnsi="宋体" w:cs="宋体"/>
                <w:sz w:val="24"/>
                <w:szCs w:val="20"/>
                <w:highlight w:val="none"/>
              </w:rPr>
            </w:pPr>
            <w:r>
              <w:rPr>
                <w:rFonts w:hint="eastAsia" w:ascii="宋体" w:hAnsi="宋体" w:cs="宋体"/>
                <w:sz w:val="24"/>
                <w:szCs w:val="20"/>
                <w:highlight w:val="none"/>
              </w:rPr>
              <w:t>电话：15890281937</w:t>
            </w:r>
          </w:p>
        </w:tc>
      </w:tr>
      <w:tr w14:paraId="377B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0E7113">
            <w:pPr>
              <w:jc w:val="center"/>
              <w:rPr>
                <w:rFonts w:ascii="宋体" w:hAnsi="宋体"/>
                <w:color w:val="000000"/>
                <w:sz w:val="24"/>
                <w:highlight w:val="none"/>
              </w:rPr>
            </w:pPr>
            <w:r>
              <w:rPr>
                <w:rFonts w:hint="eastAsia" w:ascii="宋体" w:hAnsi="宋体"/>
                <w:color w:val="000000"/>
                <w:sz w:val="24"/>
                <w:highlight w:val="none"/>
              </w:rPr>
              <w:t>3</w:t>
            </w:r>
          </w:p>
        </w:tc>
        <w:tc>
          <w:tcPr>
            <w:tcW w:w="1909" w:type="dxa"/>
            <w:tcBorders>
              <w:top w:val="single" w:color="auto" w:sz="4" w:space="0"/>
              <w:left w:val="nil"/>
              <w:bottom w:val="single" w:color="auto" w:sz="4" w:space="0"/>
              <w:right w:val="single" w:color="auto" w:sz="4" w:space="0"/>
            </w:tcBorders>
            <w:vAlign w:val="center"/>
          </w:tcPr>
          <w:p w14:paraId="61393E59">
            <w:pPr>
              <w:jc w:val="center"/>
              <w:rPr>
                <w:rFonts w:ascii="宋体" w:hAnsi="宋体"/>
                <w:sz w:val="24"/>
                <w:highlight w:val="none"/>
              </w:rPr>
            </w:pPr>
            <w:r>
              <w:rPr>
                <w:rFonts w:hint="eastAsia" w:ascii="宋体" w:hAnsi="宋体"/>
                <w:sz w:val="24"/>
                <w:highlight w:val="none"/>
              </w:rPr>
              <w:t>采购代理机构</w:t>
            </w:r>
          </w:p>
        </w:tc>
        <w:tc>
          <w:tcPr>
            <w:tcW w:w="6887" w:type="dxa"/>
            <w:tcBorders>
              <w:top w:val="single" w:color="auto" w:sz="4" w:space="0"/>
              <w:left w:val="nil"/>
              <w:bottom w:val="single" w:color="auto" w:sz="4" w:space="0"/>
              <w:right w:val="single" w:color="auto" w:sz="4" w:space="0"/>
            </w:tcBorders>
            <w:vAlign w:val="center"/>
          </w:tcPr>
          <w:p w14:paraId="1981E474">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采购代理机构：国咨项目管理有限公司 </w:t>
            </w:r>
          </w:p>
          <w:p w14:paraId="278F7F2F">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联系人：冉女士</w:t>
            </w:r>
          </w:p>
          <w:p w14:paraId="4E2B2B23">
            <w:pPr>
              <w:wordWrap w:val="0"/>
              <w:spacing w:line="240" w:lineRule="auto"/>
              <w:rPr>
                <w:rFonts w:ascii="宋体" w:hAnsi="宋体" w:cs="宋体"/>
                <w:sz w:val="24"/>
                <w:szCs w:val="20"/>
                <w:highlight w:val="none"/>
              </w:rPr>
            </w:pPr>
            <w:r>
              <w:rPr>
                <w:rFonts w:hint="eastAsia" w:ascii="宋体" w:hAnsi="宋体" w:cs="宋体"/>
                <w:sz w:val="24"/>
                <w:szCs w:val="20"/>
                <w:highlight w:val="none"/>
              </w:rPr>
              <w:t>电话：0371-55376966   17613053066</w:t>
            </w:r>
          </w:p>
          <w:p w14:paraId="689BD7D5">
            <w:pPr>
              <w:wordWrap w:val="0"/>
              <w:spacing w:line="240" w:lineRule="auto"/>
              <w:rPr>
                <w:rFonts w:hint="eastAsia" w:ascii="宋体" w:hAnsi="宋体" w:eastAsia="宋体" w:cs="宋体"/>
                <w:sz w:val="24"/>
                <w:szCs w:val="20"/>
                <w:highlight w:val="none"/>
                <w:lang w:eastAsia="zh-CN"/>
              </w:rPr>
            </w:pPr>
            <w:r>
              <w:rPr>
                <w:rFonts w:hint="eastAsia" w:ascii="宋体" w:hAnsi="宋体" w:cs="宋体"/>
                <w:sz w:val="24"/>
                <w:szCs w:val="20"/>
                <w:highlight w:val="none"/>
              </w:rPr>
              <w:t>地址：</w:t>
            </w:r>
            <w:r>
              <w:rPr>
                <w:rFonts w:hint="eastAsia" w:ascii="宋体" w:hAnsi="宋体" w:cs="宋体"/>
                <w:sz w:val="24"/>
                <w:szCs w:val="20"/>
                <w:highlight w:val="none"/>
                <w:lang w:eastAsia="zh-CN"/>
              </w:rPr>
              <w:t>河南省郑州市管城回族区正商花都港湾16#3单元2楼西户</w:t>
            </w:r>
          </w:p>
        </w:tc>
      </w:tr>
      <w:tr w14:paraId="016E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98B51A0">
            <w:pPr>
              <w:jc w:val="center"/>
              <w:rPr>
                <w:rFonts w:ascii="宋体" w:hAnsi="宋体"/>
                <w:color w:val="000000"/>
                <w:sz w:val="24"/>
                <w:highlight w:val="none"/>
              </w:rPr>
            </w:pPr>
            <w:r>
              <w:rPr>
                <w:rFonts w:hint="eastAsia" w:ascii="宋体" w:hAnsi="宋体"/>
                <w:color w:val="000000"/>
                <w:sz w:val="24"/>
                <w:highlight w:val="none"/>
              </w:rPr>
              <w:t>4</w:t>
            </w:r>
          </w:p>
        </w:tc>
        <w:tc>
          <w:tcPr>
            <w:tcW w:w="1909" w:type="dxa"/>
            <w:tcBorders>
              <w:top w:val="single" w:color="auto" w:sz="4" w:space="0"/>
              <w:left w:val="nil"/>
              <w:bottom w:val="single" w:color="auto" w:sz="4" w:space="0"/>
              <w:right w:val="single" w:color="auto" w:sz="4" w:space="0"/>
            </w:tcBorders>
            <w:vAlign w:val="center"/>
          </w:tcPr>
          <w:p w14:paraId="4961D6BE">
            <w:pPr>
              <w:jc w:val="center"/>
              <w:rPr>
                <w:rFonts w:ascii="宋体" w:hAnsi="宋体"/>
                <w:sz w:val="24"/>
                <w:highlight w:val="none"/>
              </w:rPr>
            </w:pPr>
            <w:r>
              <w:rPr>
                <w:rFonts w:hint="eastAsia" w:ascii="宋体" w:hAnsi="宋体"/>
                <w:sz w:val="24"/>
                <w:highlight w:val="none"/>
              </w:rPr>
              <w:t>项目名称</w:t>
            </w:r>
          </w:p>
        </w:tc>
        <w:tc>
          <w:tcPr>
            <w:tcW w:w="6887" w:type="dxa"/>
            <w:tcBorders>
              <w:top w:val="single" w:color="auto" w:sz="4" w:space="0"/>
              <w:left w:val="nil"/>
              <w:bottom w:val="single" w:color="auto" w:sz="4" w:space="0"/>
              <w:right w:val="single" w:color="auto" w:sz="4" w:space="0"/>
            </w:tcBorders>
            <w:vAlign w:val="center"/>
          </w:tcPr>
          <w:p w14:paraId="05D57A77">
            <w:pPr>
              <w:wordWrap w:val="0"/>
              <w:spacing w:line="240" w:lineRule="auto"/>
              <w:rPr>
                <w:rFonts w:ascii="宋体" w:hAnsi="宋体"/>
                <w:sz w:val="24"/>
                <w:highlight w:val="none"/>
              </w:rPr>
            </w:pPr>
            <w:r>
              <w:rPr>
                <w:rFonts w:hint="eastAsia" w:ascii="宋体" w:hAnsi="宋体" w:cs="宋体"/>
                <w:sz w:val="24"/>
                <w:szCs w:val="20"/>
                <w:highlight w:val="none"/>
                <w:lang w:eastAsia="zh-CN"/>
              </w:rPr>
              <w:t>陕州区2026年小麦“一喷三防”项目</w:t>
            </w:r>
          </w:p>
        </w:tc>
      </w:tr>
      <w:tr w14:paraId="15C2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6C4F07B">
            <w:pPr>
              <w:jc w:val="center"/>
              <w:rPr>
                <w:rFonts w:ascii="宋体" w:hAnsi="宋体"/>
                <w:color w:val="000000"/>
                <w:sz w:val="24"/>
                <w:highlight w:val="none"/>
              </w:rPr>
            </w:pPr>
            <w:r>
              <w:rPr>
                <w:rFonts w:hint="eastAsia" w:ascii="宋体" w:hAnsi="宋体"/>
                <w:color w:val="000000"/>
                <w:sz w:val="24"/>
                <w:highlight w:val="none"/>
              </w:rPr>
              <w:t>5</w:t>
            </w:r>
          </w:p>
        </w:tc>
        <w:tc>
          <w:tcPr>
            <w:tcW w:w="1909" w:type="dxa"/>
            <w:tcBorders>
              <w:top w:val="single" w:color="auto" w:sz="4" w:space="0"/>
              <w:left w:val="nil"/>
              <w:bottom w:val="single" w:color="auto" w:sz="4" w:space="0"/>
              <w:right w:val="single" w:color="auto" w:sz="4" w:space="0"/>
            </w:tcBorders>
            <w:vAlign w:val="center"/>
          </w:tcPr>
          <w:p w14:paraId="594F8D9A">
            <w:pPr>
              <w:jc w:val="center"/>
              <w:rPr>
                <w:rFonts w:ascii="宋体" w:hAnsi="宋体"/>
                <w:sz w:val="24"/>
                <w:highlight w:val="none"/>
              </w:rPr>
            </w:pPr>
            <w:r>
              <w:rPr>
                <w:rFonts w:hint="eastAsia" w:cs="宋体"/>
                <w:sz w:val="24"/>
                <w:highlight w:val="none"/>
              </w:rPr>
              <w:t>供货地点</w:t>
            </w:r>
          </w:p>
        </w:tc>
        <w:tc>
          <w:tcPr>
            <w:tcW w:w="6887" w:type="dxa"/>
            <w:tcBorders>
              <w:top w:val="single" w:color="auto" w:sz="4" w:space="0"/>
              <w:left w:val="nil"/>
              <w:bottom w:val="single" w:color="auto" w:sz="4" w:space="0"/>
              <w:right w:val="single" w:color="auto" w:sz="4" w:space="0"/>
            </w:tcBorders>
            <w:vAlign w:val="center"/>
          </w:tcPr>
          <w:p w14:paraId="22EFC797">
            <w:pPr>
              <w:jc w:val="left"/>
              <w:rPr>
                <w:rFonts w:ascii="宋体" w:hAnsi="宋体"/>
                <w:sz w:val="24"/>
                <w:highlight w:val="none"/>
              </w:rPr>
            </w:pPr>
            <w:r>
              <w:rPr>
                <w:rFonts w:hint="eastAsia" w:cs="宋体"/>
                <w:sz w:val="24"/>
                <w:highlight w:val="none"/>
              </w:rPr>
              <w:t>采购人指定地点</w:t>
            </w:r>
          </w:p>
        </w:tc>
      </w:tr>
      <w:tr w14:paraId="4C66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3992EA1">
            <w:pPr>
              <w:jc w:val="center"/>
              <w:rPr>
                <w:rFonts w:ascii="宋体" w:hAnsi="宋体"/>
                <w:color w:val="000000"/>
                <w:sz w:val="24"/>
                <w:highlight w:val="none"/>
              </w:rPr>
            </w:pPr>
            <w:r>
              <w:rPr>
                <w:rFonts w:hint="eastAsia" w:ascii="宋体" w:hAnsi="宋体"/>
                <w:color w:val="000000"/>
                <w:sz w:val="24"/>
                <w:highlight w:val="none"/>
              </w:rPr>
              <w:t>6</w:t>
            </w:r>
          </w:p>
        </w:tc>
        <w:tc>
          <w:tcPr>
            <w:tcW w:w="1909" w:type="dxa"/>
            <w:tcBorders>
              <w:top w:val="single" w:color="auto" w:sz="4" w:space="0"/>
              <w:left w:val="nil"/>
              <w:bottom w:val="single" w:color="auto" w:sz="4" w:space="0"/>
              <w:right w:val="single" w:color="auto" w:sz="4" w:space="0"/>
            </w:tcBorders>
            <w:vAlign w:val="center"/>
          </w:tcPr>
          <w:p w14:paraId="5864170E">
            <w:pPr>
              <w:jc w:val="center"/>
              <w:rPr>
                <w:rFonts w:ascii="宋体" w:hAnsi="宋体"/>
                <w:sz w:val="24"/>
                <w:highlight w:val="none"/>
              </w:rPr>
            </w:pPr>
            <w:r>
              <w:rPr>
                <w:rFonts w:hint="eastAsia" w:ascii="宋体" w:hAnsi="宋体"/>
                <w:sz w:val="24"/>
                <w:highlight w:val="none"/>
              </w:rPr>
              <w:t>资金来源</w:t>
            </w:r>
          </w:p>
        </w:tc>
        <w:tc>
          <w:tcPr>
            <w:tcW w:w="6887" w:type="dxa"/>
            <w:tcBorders>
              <w:top w:val="single" w:color="auto" w:sz="4" w:space="0"/>
              <w:left w:val="nil"/>
              <w:bottom w:val="single" w:color="auto" w:sz="4" w:space="0"/>
              <w:right w:val="single" w:color="auto" w:sz="4" w:space="0"/>
            </w:tcBorders>
            <w:vAlign w:val="center"/>
          </w:tcPr>
          <w:p w14:paraId="61CB34BA">
            <w:pPr>
              <w:rPr>
                <w:rFonts w:ascii="宋体" w:hAnsi="宋体"/>
                <w:sz w:val="24"/>
                <w:highlight w:val="none"/>
              </w:rPr>
            </w:pPr>
            <w:r>
              <w:rPr>
                <w:rFonts w:hint="eastAsia" w:ascii="宋体" w:hAnsi="宋体" w:cs="宋体"/>
                <w:sz w:val="24"/>
                <w:highlight w:val="none"/>
              </w:rPr>
              <w:t>财政资金</w:t>
            </w:r>
          </w:p>
        </w:tc>
      </w:tr>
      <w:tr w14:paraId="74D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E1396F6">
            <w:pPr>
              <w:jc w:val="center"/>
              <w:rPr>
                <w:rFonts w:ascii="宋体" w:hAnsi="宋体"/>
                <w:color w:val="000000"/>
                <w:sz w:val="24"/>
                <w:highlight w:val="none"/>
              </w:rPr>
            </w:pPr>
            <w:r>
              <w:rPr>
                <w:rFonts w:hint="eastAsia" w:ascii="宋体" w:hAnsi="宋体"/>
                <w:color w:val="000000"/>
                <w:sz w:val="24"/>
                <w:highlight w:val="none"/>
              </w:rPr>
              <w:t>7</w:t>
            </w:r>
          </w:p>
        </w:tc>
        <w:tc>
          <w:tcPr>
            <w:tcW w:w="1909" w:type="dxa"/>
            <w:tcBorders>
              <w:top w:val="single" w:color="auto" w:sz="4" w:space="0"/>
              <w:left w:val="nil"/>
              <w:bottom w:val="single" w:color="auto" w:sz="4" w:space="0"/>
              <w:right w:val="single" w:color="auto" w:sz="4" w:space="0"/>
            </w:tcBorders>
            <w:vAlign w:val="center"/>
          </w:tcPr>
          <w:p w14:paraId="5E42D9E6">
            <w:pPr>
              <w:jc w:val="center"/>
              <w:rPr>
                <w:rFonts w:ascii="宋体" w:hAnsi="宋体"/>
                <w:sz w:val="24"/>
                <w:highlight w:val="none"/>
              </w:rPr>
            </w:pPr>
            <w:r>
              <w:rPr>
                <w:rFonts w:hint="eastAsia" w:ascii="宋体" w:hAnsi="宋体"/>
                <w:sz w:val="24"/>
                <w:highlight w:val="none"/>
              </w:rPr>
              <w:t>资金落实情况</w:t>
            </w:r>
          </w:p>
        </w:tc>
        <w:tc>
          <w:tcPr>
            <w:tcW w:w="6887" w:type="dxa"/>
            <w:tcBorders>
              <w:top w:val="single" w:color="auto" w:sz="4" w:space="0"/>
              <w:left w:val="nil"/>
              <w:bottom w:val="single" w:color="auto" w:sz="4" w:space="0"/>
              <w:right w:val="single" w:color="auto" w:sz="4" w:space="0"/>
            </w:tcBorders>
            <w:vAlign w:val="center"/>
          </w:tcPr>
          <w:p w14:paraId="5824C06B">
            <w:pPr>
              <w:rPr>
                <w:rFonts w:ascii="宋体" w:hAnsi="宋体"/>
                <w:sz w:val="24"/>
                <w:highlight w:val="none"/>
              </w:rPr>
            </w:pPr>
            <w:r>
              <w:rPr>
                <w:rFonts w:hint="eastAsia" w:ascii="宋体" w:hAnsi="宋体"/>
                <w:sz w:val="24"/>
                <w:highlight w:val="none"/>
              </w:rPr>
              <w:t>已落实</w:t>
            </w:r>
          </w:p>
        </w:tc>
      </w:tr>
      <w:tr w14:paraId="5BDC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A84561B">
            <w:pPr>
              <w:jc w:val="center"/>
              <w:rPr>
                <w:rFonts w:ascii="宋体" w:hAnsi="宋体"/>
                <w:color w:val="000000"/>
                <w:sz w:val="24"/>
                <w:highlight w:val="none"/>
              </w:rPr>
            </w:pPr>
            <w:r>
              <w:rPr>
                <w:rFonts w:hint="eastAsia" w:ascii="宋体" w:hAnsi="宋体"/>
                <w:color w:val="000000"/>
                <w:sz w:val="24"/>
                <w:highlight w:val="none"/>
              </w:rPr>
              <w:t>8</w:t>
            </w:r>
          </w:p>
        </w:tc>
        <w:tc>
          <w:tcPr>
            <w:tcW w:w="1909" w:type="dxa"/>
            <w:tcBorders>
              <w:top w:val="single" w:color="auto" w:sz="4" w:space="0"/>
              <w:left w:val="nil"/>
              <w:bottom w:val="single" w:color="auto" w:sz="4" w:space="0"/>
              <w:right w:val="single" w:color="auto" w:sz="4" w:space="0"/>
            </w:tcBorders>
            <w:vAlign w:val="center"/>
          </w:tcPr>
          <w:p w14:paraId="2274FAC0">
            <w:pPr>
              <w:jc w:val="center"/>
              <w:rPr>
                <w:rFonts w:ascii="宋体" w:hAnsi="宋体"/>
                <w:sz w:val="24"/>
                <w:highlight w:val="none"/>
              </w:rPr>
            </w:pPr>
            <w:r>
              <w:rPr>
                <w:rFonts w:hint="eastAsia" w:ascii="宋体" w:hAnsi="宋体"/>
                <w:sz w:val="24"/>
                <w:highlight w:val="none"/>
              </w:rPr>
              <w:t>招标范围</w:t>
            </w:r>
          </w:p>
        </w:tc>
        <w:tc>
          <w:tcPr>
            <w:tcW w:w="6887" w:type="dxa"/>
            <w:tcBorders>
              <w:top w:val="single" w:color="auto" w:sz="4" w:space="0"/>
              <w:left w:val="nil"/>
              <w:bottom w:val="single" w:color="auto" w:sz="4" w:space="0"/>
              <w:right w:val="single" w:color="auto" w:sz="4" w:space="0"/>
            </w:tcBorders>
            <w:vAlign w:val="center"/>
          </w:tcPr>
          <w:p w14:paraId="23E81743">
            <w:pPr>
              <w:snapToGrid w:val="0"/>
              <w:spacing w:line="460" w:lineRule="exact"/>
              <w:jc w:val="left"/>
              <w:textAlignment w:val="baseline"/>
              <w:rPr>
                <w:rFonts w:ascii="宋体" w:hAnsi="宋体"/>
                <w:sz w:val="24"/>
                <w:highlight w:val="none"/>
              </w:rPr>
            </w:pPr>
            <w:r>
              <w:rPr>
                <w:rFonts w:hint="eastAsia" w:ascii="宋体" w:hAnsi="宋体"/>
                <w:sz w:val="24"/>
                <w:highlight w:val="none"/>
              </w:rPr>
              <w:t>竞争性磋商文件所包含的全部内容</w:t>
            </w:r>
          </w:p>
        </w:tc>
      </w:tr>
      <w:tr w14:paraId="05F7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49BD6D">
            <w:pPr>
              <w:jc w:val="center"/>
              <w:rPr>
                <w:rFonts w:ascii="宋体" w:hAnsi="宋体"/>
                <w:color w:val="000000"/>
                <w:sz w:val="24"/>
                <w:highlight w:val="none"/>
              </w:rPr>
            </w:pPr>
            <w:r>
              <w:rPr>
                <w:rFonts w:hint="eastAsia" w:ascii="宋体" w:hAnsi="宋体"/>
                <w:color w:val="000000"/>
                <w:sz w:val="24"/>
                <w:highlight w:val="none"/>
              </w:rPr>
              <w:t>9</w:t>
            </w:r>
          </w:p>
        </w:tc>
        <w:tc>
          <w:tcPr>
            <w:tcW w:w="1909" w:type="dxa"/>
            <w:tcBorders>
              <w:top w:val="single" w:color="auto" w:sz="4" w:space="0"/>
              <w:left w:val="nil"/>
              <w:bottom w:val="single" w:color="auto" w:sz="4" w:space="0"/>
              <w:right w:val="single" w:color="auto" w:sz="4" w:space="0"/>
            </w:tcBorders>
            <w:vAlign w:val="center"/>
          </w:tcPr>
          <w:p w14:paraId="4C85769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供货期及供货（服务）地点</w:t>
            </w:r>
          </w:p>
        </w:tc>
        <w:tc>
          <w:tcPr>
            <w:tcW w:w="6887" w:type="dxa"/>
            <w:tcBorders>
              <w:top w:val="single" w:color="auto" w:sz="4" w:space="0"/>
              <w:left w:val="nil"/>
              <w:bottom w:val="single" w:color="auto" w:sz="4" w:space="0"/>
              <w:right w:val="single" w:color="auto" w:sz="4" w:space="0"/>
            </w:tcBorders>
            <w:vAlign w:val="center"/>
          </w:tcPr>
          <w:p w14:paraId="53779B15">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35537D2D">
            <w:pP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供货（服务）地点：采购人指定地点</w:t>
            </w:r>
          </w:p>
        </w:tc>
      </w:tr>
      <w:tr w14:paraId="3F2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27DB57">
            <w:pPr>
              <w:jc w:val="center"/>
              <w:rPr>
                <w:rFonts w:ascii="宋体" w:hAnsi="宋体"/>
                <w:color w:val="000000"/>
                <w:sz w:val="24"/>
                <w:highlight w:val="none"/>
              </w:rPr>
            </w:pPr>
            <w:r>
              <w:rPr>
                <w:rFonts w:hint="eastAsia" w:ascii="宋体" w:hAnsi="宋体"/>
                <w:color w:val="000000"/>
                <w:sz w:val="24"/>
                <w:highlight w:val="none"/>
              </w:rPr>
              <w:t>10</w:t>
            </w:r>
          </w:p>
        </w:tc>
        <w:tc>
          <w:tcPr>
            <w:tcW w:w="1909" w:type="dxa"/>
            <w:tcBorders>
              <w:top w:val="single" w:color="auto" w:sz="4" w:space="0"/>
              <w:left w:val="nil"/>
              <w:bottom w:val="single" w:color="auto" w:sz="4" w:space="0"/>
              <w:right w:val="single" w:color="auto" w:sz="4" w:space="0"/>
            </w:tcBorders>
            <w:vAlign w:val="center"/>
          </w:tcPr>
          <w:p w14:paraId="7015AFF4">
            <w:pPr>
              <w:jc w:val="center"/>
              <w:rPr>
                <w:rFonts w:ascii="宋体" w:hAnsi="宋体"/>
                <w:sz w:val="24"/>
                <w:highlight w:val="none"/>
              </w:rPr>
            </w:pPr>
            <w:r>
              <w:rPr>
                <w:rFonts w:hint="eastAsia" w:ascii="宋体" w:hAnsi="宋体"/>
                <w:sz w:val="24"/>
                <w:highlight w:val="none"/>
              </w:rPr>
              <w:t>质量要求</w:t>
            </w:r>
          </w:p>
        </w:tc>
        <w:tc>
          <w:tcPr>
            <w:tcW w:w="6887" w:type="dxa"/>
            <w:tcBorders>
              <w:top w:val="single" w:color="auto" w:sz="4" w:space="0"/>
              <w:left w:val="nil"/>
              <w:bottom w:val="single" w:color="auto" w:sz="4" w:space="0"/>
              <w:right w:val="single" w:color="auto" w:sz="4" w:space="0"/>
            </w:tcBorders>
            <w:vAlign w:val="center"/>
          </w:tcPr>
          <w:p w14:paraId="5AC84729">
            <w:pPr>
              <w:spacing w:line="312" w:lineRule="auto"/>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4873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050241">
            <w:pPr>
              <w:spacing w:line="360" w:lineRule="auto"/>
              <w:jc w:val="center"/>
              <w:rPr>
                <w:rFonts w:ascii="宋体" w:hAnsi="宋体"/>
                <w:color w:val="000000"/>
                <w:sz w:val="24"/>
                <w:highlight w:val="none"/>
              </w:rPr>
            </w:pPr>
            <w:r>
              <w:rPr>
                <w:rFonts w:hint="eastAsia" w:ascii="宋体" w:hAnsi="宋体"/>
                <w:color w:val="000000"/>
                <w:sz w:val="24"/>
                <w:highlight w:val="none"/>
              </w:rPr>
              <w:t>11</w:t>
            </w:r>
          </w:p>
        </w:tc>
        <w:tc>
          <w:tcPr>
            <w:tcW w:w="1909" w:type="dxa"/>
            <w:tcBorders>
              <w:top w:val="single" w:color="auto" w:sz="4" w:space="0"/>
              <w:left w:val="nil"/>
              <w:bottom w:val="single" w:color="auto" w:sz="4" w:space="0"/>
              <w:right w:val="single" w:color="auto" w:sz="4" w:space="0"/>
            </w:tcBorders>
            <w:vAlign w:val="center"/>
          </w:tcPr>
          <w:p w14:paraId="274E0360">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采购内容</w:t>
            </w:r>
          </w:p>
        </w:tc>
        <w:tc>
          <w:tcPr>
            <w:tcW w:w="6887" w:type="dxa"/>
            <w:tcBorders>
              <w:top w:val="single" w:color="auto" w:sz="4" w:space="0"/>
              <w:left w:val="nil"/>
              <w:bottom w:val="single" w:color="auto" w:sz="4" w:space="0"/>
              <w:right w:val="single" w:color="auto" w:sz="4" w:space="0"/>
            </w:tcBorders>
            <w:vAlign w:val="center"/>
          </w:tcPr>
          <w:p w14:paraId="674A7F57">
            <w:pPr>
              <w:wordWrap w:val="0"/>
              <w:spacing w:line="240" w:lineRule="auto"/>
              <w:rPr>
                <w:rFonts w:ascii="宋体" w:hAnsi="宋体" w:cs="宋体"/>
                <w:sz w:val="24"/>
                <w:szCs w:val="20"/>
                <w:highlight w:val="none"/>
              </w:rPr>
            </w:pPr>
            <w:r>
              <w:rPr>
                <w:rFonts w:hint="eastAsia" w:ascii="宋体" w:hAnsi="宋体" w:cs="宋体"/>
                <w:sz w:val="24"/>
                <w:szCs w:val="20"/>
                <w:highlight w:val="none"/>
                <w:lang w:eastAsia="zh-CN"/>
              </w:rPr>
              <w:t>一标段、二标段为小麦病虫害专业化植保无人机防治服务作业（包含植保无人机防治服务费），三标段为小麦病虫害农资采购，详见采购清单。</w:t>
            </w:r>
          </w:p>
        </w:tc>
      </w:tr>
      <w:tr w14:paraId="47D5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BC7688">
            <w:pPr>
              <w:jc w:val="center"/>
              <w:rPr>
                <w:rFonts w:ascii="宋体" w:hAnsi="宋体"/>
                <w:color w:val="000000"/>
                <w:sz w:val="24"/>
                <w:highlight w:val="none"/>
              </w:rPr>
            </w:pPr>
            <w:r>
              <w:rPr>
                <w:rFonts w:hint="eastAsia" w:ascii="宋体" w:hAnsi="宋体"/>
                <w:color w:val="000000"/>
                <w:sz w:val="24"/>
                <w:highlight w:val="none"/>
              </w:rPr>
              <w:t>12</w:t>
            </w:r>
          </w:p>
        </w:tc>
        <w:tc>
          <w:tcPr>
            <w:tcW w:w="1909" w:type="dxa"/>
            <w:tcBorders>
              <w:top w:val="single" w:color="auto" w:sz="4" w:space="0"/>
              <w:left w:val="nil"/>
              <w:bottom w:val="single" w:color="auto" w:sz="4" w:space="0"/>
              <w:right w:val="single" w:color="auto" w:sz="4" w:space="0"/>
            </w:tcBorders>
            <w:vAlign w:val="center"/>
          </w:tcPr>
          <w:p w14:paraId="52D25F74">
            <w:pPr>
              <w:rPr>
                <w:rFonts w:ascii="宋体" w:hAnsi="宋体"/>
                <w:color w:val="000000"/>
                <w:sz w:val="24"/>
                <w:highlight w:val="none"/>
              </w:rPr>
            </w:pPr>
            <w:r>
              <w:rPr>
                <w:rFonts w:hint="eastAsia" w:ascii="宋体" w:hAnsi="宋体"/>
                <w:color w:val="000000"/>
                <w:sz w:val="24"/>
                <w:highlight w:val="none"/>
              </w:rPr>
              <w:t>响应人资质条件</w:t>
            </w:r>
          </w:p>
        </w:tc>
        <w:tc>
          <w:tcPr>
            <w:tcW w:w="6887" w:type="dxa"/>
            <w:tcBorders>
              <w:top w:val="single" w:color="auto" w:sz="4" w:space="0"/>
              <w:left w:val="nil"/>
              <w:bottom w:val="single" w:color="auto" w:sz="4" w:space="0"/>
              <w:right w:val="single" w:color="auto" w:sz="4" w:space="0"/>
            </w:tcBorders>
            <w:vAlign w:val="center"/>
          </w:tcPr>
          <w:p w14:paraId="1D5FBFB3">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0556D05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489CFEB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3C007B1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08D70C59">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41AE66A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2F262A6A">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6A2F0AE">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5726C536">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48B9AA8F">
            <w:pPr>
              <w:widowControl/>
              <w:spacing w:line="480" w:lineRule="exact"/>
              <w:ind w:firstLine="480" w:firstLineChars="200"/>
              <w:rPr>
                <w:highlight w:val="none"/>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tc>
      </w:tr>
      <w:tr w14:paraId="38F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3BF0C7B">
            <w:pPr>
              <w:jc w:val="center"/>
              <w:rPr>
                <w:rFonts w:ascii="宋体" w:hAnsi="宋体"/>
                <w:color w:val="000000"/>
                <w:sz w:val="24"/>
                <w:highlight w:val="none"/>
              </w:rPr>
            </w:pPr>
            <w:r>
              <w:rPr>
                <w:rFonts w:hint="eastAsia" w:ascii="宋体" w:hAnsi="宋体"/>
                <w:color w:val="000000"/>
                <w:sz w:val="24"/>
                <w:highlight w:val="none"/>
              </w:rPr>
              <w:t>13</w:t>
            </w:r>
          </w:p>
        </w:tc>
        <w:tc>
          <w:tcPr>
            <w:tcW w:w="1909" w:type="dxa"/>
            <w:tcBorders>
              <w:top w:val="single" w:color="auto" w:sz="4" w:space="0"/>
              <w:left w:val="nil"/>
              <w:bottom w:val="single" w:color="auto" w:sz="4" w:space="0"/>
              <w:right w:val="single" w:color="auto" w:sz="4" w:space="0"/>
            </w:tcBorders>
            <w:vAlign w:val="center"/>
          </w:tcPr>
          <w:p w14:paraId="7856EEEA">
            <w:pPr>
              <w:rPr>
                <w:rFonts w:ascii="宋体" w:hAnsi="宋体"/>
                <w:color w:val="000000"/>
                <w:sz w:val="24"/>
                <w:highlight w:val="none"/>
              </w:rPr>
            </w:pPr>
            <w:r>
              <w:rPr>
                <w:rFonts w:hint="eastAsia" w:ascii="宋体" w:hAnsi="宋体"/>
                <w:color w:val="000000"/>
                <w:sz w:val="24"/>
                <w:highlight w:val="none"/>
              </w:rPr>
              <w:t>是否接受联合体投标</w:t>
            </w:r>
          </w:p>
        </w:tc>
        <w:tc>
          <w:tcPr>
            <w:tcW w:w="6887" w:type="dxa"/>
            <w:tcBorders>
              <w:top w:val="single" w:color="auto" w:sz="4" w:space="0"/>
              <w:left w:val="nil"/>
              <w:bottom w:val="single" w:color="auto" w:sz="4" w:space="0"/>
              <w:right w:val="single" w:color="auto" w:sz="4" w:space="0"/>
            </w:tcBorders>
            <w:vAlign w:val="center"/>
          </w:tcPr>
          <w:p w14:paraId="5113D9CA">
            <w:pPr>
              <w:spacing w:line="312" w:lineRule="auto"/>
              <w:rPr>
                <w:rFonts w:ascii="宋体" w:hAnsi="宋体"/>
                <w:color w:val="000000"/>
                <w:sz w:val="24"/>
                <w:highlight w:val="none"/>
              </w:rPr>
            </w:pPr>
            <w:r>
              <w:rPr>
                <w:rFonts w:hint="eastAsia" w:ascii="宋体" w:hAnsi="宋体"/>
                <w:color w:val="000000"/>
                <w:sz w:val="24"/>
                <w:highlight w:val="none"/>
              </w:rPr>
              <w:t>■不接受</w:t>
            </w:r>
          </w:p>
        </w:tc>
      </w:tr>
      <w:tr w14:paraId="0D89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2AFA2E">
            <w:pPr>
              <w:jc w:val="center"/>
              <w:rPr>
                <w:rFonts w:ascii="宋体" w:hAnsi="宋体"/>
                <w:color w:val="000000"/>
                <w:sz w:val="24"/>
                <w:highlight w:val="none"/>
              </w:rPr>
            </w:pPr>
            <w:r>
              <w:rPr>
                <w:rFonts w:hint="eastAsia" w:ascii="宋体" w:hAnsi="宋体"/>
                <w:color w:val="000000"/>
                <w:sz w:val="24"/>
                <w:highlight w:val="none"/>
              </w:rPr>
              <w:t>14</w:t>
            </w:r>
          </w:p>
        </w:tc>
        <w:tc>
          <w:tcPr>
            <w:tcW w:w="1909" w:type="dxa"/>
            <w:tcBorders>
              <w:top w:val="single" w:color="auto" w:sz="4" w:space="0"/>
              <w:left w:val="nil"/>
              <w:bottom w:val="single" w:color="auto" w:sz="4" w:space="0"/>
              <w:right w:val="single" w:color="auto" w:sz="4" w:space="0"/>
            </w:tcBorders>
            <w:vAlign w:val="center"/>
          </w:tcPr>
          <w:p w14:paraId="7036E662">
            <w:pPr>
              <w:widowControl/>
              <w:spacing w:line="360" w:lineRule="auto"/>
              <w:rPr>
                <w:rFonts w:ascii="宋体" w:hAnsi="宋体"/>
                <w:color w:val="000000"/>
                <w:sz w:val="24"/>
                <w:highlight w:val="none"/>
              </w:rPr>
            </w:pPr>
            <w:r>
              <w:rPr>
                <w:rFonts w:hint="eastAsia" w:ascii="宋体" w:hAnsi="宋体" w:cs="宋体"/>
                <w:kern w:val="0"/>
                <w:sz w:val="24"/>
                <w:highlight w:val="none"/>
              </w:rPr>
              <w:t>报价及费用</w:t>
            </w:r>
          </w:p>
        </w:tc>
        <w:tc>
          <w:tcPr>
            <w:tcW w:w="6887" w:type="dxa"/>
            <w:tcBorders>
              <w:top w:val="single" w:color="auto" w:sz="4" w:space="0"/>
              <w:left w:val="nil"/>
              <w:bottom w:val="single" w:color="auto" w:sz="4" w:space="0"/>
              <w:right w:val="single" w:color="auto" w:sz="4" w:space="0"/>
            </w:tcBorders>
            <w:vAlign w:val="center"/>
          </w:tcPr>
          <w:p w14:paraId="1984B3CC">
            <w:pPr>
              <w:widowControl/>
              <w:spacing w:line="360" w:lineRule="auto"/>
              <w:jc w:val="left"/>
              <w:rPr>
                <w:rFonts w:ascii="宋体" w:hAnsi="宋体" w:cs="宋体"/>
                <w:sz w:val="24"/>
                <w:highlight w:val="none"/>
              </w:rPr>
            </w:pPr>
            <w:r>
              <w:rPr>
                <w:rFonts w:hint="eastAsia" w:ascii="宋体" w:hAnsi="宋体" w:cs="宋体"/>
                <w:kern w:val="0"/>
                <w:sz w:val="24"/>
                <w:highlight w:val="none"/>
              </w:rPr>
              <w:t>1．本项目应以人民币报价，供应商应就该项目完整投标（报价应包含货物费、运输费、技术指导费、税费等综合费用），采购人不另外支付其他任何费用；</w:t>
            </w:r>
          </w:p>
          <w:p w14:paraId="0B1C90B7">
            <w:pPr>
              <w:widowControl/>
              <w:spacing w:line="360" w:lineRule="auto"/>
              <w:jc w:val="left"/>
              <w:rPr>
                <w:rFonts w:ascii="宋体" w:hAnsi="宋体"/>
                <w:color w:val="000000"/>
                <w:sz w:val="24"/>
                <w:highlight w:val="none"/>
              </w:rPr>
            </w:pPr>
            <w:r>
              <w:rPr>
                <w:rFonts w:hint="eastAsia" w:ascii="宋体" w:hAnsi="宋体" w:cs="宋体"/>
                <w:kern w:val="0"/>
                <w:sz w:val="24"/>
                <w:highlight w:val="none"/>
              </w:rPr>
              <w:t>2.代理报酬的计算方法按以下方式执行：参照河南省招标投标协会豫招协会【2023】002号文件收费标准，由成交人支付。</w:t>
            </w:r>
          </w:p>
        </w:tc>
      </w:tr>
      <w:tr w14:paraId="4CC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EC78D7D">
            <w:pPr>
              <w:jc w:val="center"/>
              <w:rPr>
                <w:rFonts w:ascii="宋体" w:hAnsi="宋体"/>
                <w:color w:val="000000"/>
                <w:sz w:val="24"/>
                <w:highlight w:val="none"/>
              </w:rPr>
            </w:pPr>
            <w:r>
              <w:rPr>
                <w:rFonts w:hint="eastAsia" w:ascii="宋体" w:hAnsi="宋体"/>
                <w:color w:val="000000"/>
                <w:sz w:val="24"/>
                <w:highlight w:val="none"/>
              </w:rPr>
              <w:t>15</w:t>
            </w:r>
          </w:p>
        </w:tc>
        <w:tc>
          <w:tcPr>
            <w:tcW w:w="1909" w:type="dxa"/>
            <w:tcBorders>
              <w:top w:val="single" w:color="auto" w:sz="4" w:space="0"/>
              <w:left w:val="nil"/>
              <w:bottom w:val="single" w:color="auto" w:sz="4" w:space="0"/>
              <w:right w:val="single" w:color="auto" w:sz="4" w:space="0"/>
            </w:tcBorders>
            <w:vAlign w:val="center"/>
          </w:tcPr>
          <w:p w14:paraId="3D3677C2">
            <w:pPr>
              <w:rPr>
                <w:rFonts w:ascii="宋体" w:hAnsi="宋体"/>
                <w:color w:val="000000"/>
                <w:sz w:val="24"/>
                <w:highlight w:val="none"/>
              </w:rPr>
            </w:pPr>
            <w:r>
              <w:rPr>
                <w:rFonts w:hint="eastAsia" w:ascii="宋体" w:hAnsi="宋体"/>
                <w:color w:val="000000"/>
                <w:sz w:val="24"/>
                <w:highlight w:val="none"/>
              </w:rPr>
              <w:t>踏勘现场</w:t>
            </w:r>
          </w:p>
        </w:tc>
        <w:tc>
          <w:tcPr>
            <w:tcW w:w="6887" w:type="dxa"/>
            <w:tcBorders>
              <w:top w:val="single" w:color="auto" w:sz="4" w:space="0"/>
              <w:left w:val="nil"/>
              <w:bottom w:val="single" w:color="auto" w:sz="4" w:space="0"/>
              <w:right w:val="single" w:color="auto" w:sz="4" w:space="0"/>
            </w:tcBorders>
            <w:vAlign w:val="center"/>
          </w:tcPr>
          <w:p w14:paraId="7BEC4DB4">
            <w:pPr>
              <w:spacing w:line="312" w:lineRule="auto"/>
              <w:rPr>
                <w:rFonts w:ascii="宋体" w:hAnsi="宋体"/>
                <w:color w:val="000000"/>
                <w:sz w:val="24"/>
                <w:highlight w:val="none"/>
              </w:rPr>
            </w:pPr>
            <w:r>
              <w:rPr>
                <w:rFonts w:hint="eastAsia" w:ascii="宋体" w:hAnsi="宋体"/>
                <w:color w:val="000000"/>
                <w:sz w:val="24"/>
                <w:highlight w:val="none"/>
              </w:rPr>
              <w:t>■不组织</w:t>
            </w:r>
          </w:p>
        </w:tc>
      </w:tr>
      <w:tr w14:paraId="4FF7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D92AD">
            <w:pPr>
              <w:jc w:val="center"/>
              <w:rPr>
                <w:rFonts w:ascii="宋体" w:hAnsi="宋体"/>
                <w:color w:val="000000"/>
                <w:sz w:val="24"/>
                <w:highlight w:val="none"/>
              </w:rPr>
            </w:pPr>
            <w:r>
              <w:rPr>
                <w:rFonts w:hint="eastAsia" w:ascii="宋体" w:hAnsi="宋体"/>
                <w:color w:val="000000"/>
                <w:sz w:val="24"/>
                <w:highlight w:val="none"/>
              </w:rPr>
              <w:t>16</w:t>
            </w:r>
          </w:p>
        </w:tc>
        <w:tc>
          <w:tcPr>
            <w:tcW w:w="1909" w:type="dxa"/>
            <w:tcBorders>
              <w:top w:val="single" w:color="auto" w:sz="4" w:space="0"/>
              <w:left w:val="nil"/>
              <w:bottom w:val="single" w:color="auto" w:sz="4" w:space="0"/>
              <w:right w:val="single" w:color="auto" w:sz="4" w:space="0"/>
            </w:tcBorders>
            <w:vAlign w:val="center"/>
          </w:tcPr>
          <w:p w14:paraId="42C90018">
            <w:pPr>
              <w:rPr>
                <w:rFonts w:ascii="宋体" w:hAnsi="宋体"/>
                <w:color w:val="000000"/>
                <w:sz w:val="24"/>
                <w:highlight w:val="none"/>
              </w:rPr>
            </w:pPr>
            <w:r>
              <w:rPr>
                <w:rFonts w:hint="eastAsia" w:ascii="宋体" w:hAnsi="宋体"/>
                <w:color w:val="000000"/>
                <w:sz w:val="24"/>
                <w:highlight w:val="none"/>
              </w:rPr>
              <w:t>投标预备会</w:t>
            </w:r>
          </w:p>
        </w:tc>
        <w:tc>
          <w:tcPr>
            <w:tcW w:w="6887" w:type="dxa"/>
            <w:tcBorders>
              <w:top w:val="single" w:color="auto" w:sz="4" w:space="0"/>
              <w:left w:val="nil"/>
              <w:bottom w:val="single" w:color="auto" w:sz="4" w:space="0"/>
              <w:right w:val="single" w:color="auto" w:sz="4" w:space="0"/>
            </w:tcBorders>
            <w:vAlign w:val="center"/>
          </w:tcPr>
          <w:p w14:paraId="78880A56">
            <w:pPr>
              <w:spacing w:line="312" w:lineRule="auto"/>
              <w:rPr>
                <w:rFonts w:ascii="宋体" w:hAnsi="宋体"/>
                <w:color w:val="000000"/>
                <w:sz w:val="24"/>
                <w:highlight w:val="none"/>
              </w:rPr>
            </w:pPr>
            <w:r>
              <w:rPr>
                <w:rFonts w:hint="eastAsia" w:ascii="宋体" w:hAnsi="宋体"/>
                <w:color w:val="000000"/>
                <w:sz w:val="24"/>
                <w:highlight w:val="none"/>
              </w:rPr>
              <w:t>■不召开</w:t>
            </w:r>
          </w:p>
        </w:tc>
      </w:tr>
      <w:tr w14:paraId="73AC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A3F1F6">
            <w:pPr>
              <w:jc w:val="center"/>
              <w:rPr>
                <w:rFonts w:ascii="宋体" w:hAnsi="宋体"/>
                <w:color w:val="000000"/>
                <w:sz w:val="24"/>
                <w:highlight w:val="none"/>
              </w:rPr>
            </w:pPr>
            <w:r>
              <w:rPr>
                <w:rFonts w:hint="eastAsia" w:ascii="宋体" w:hAnsi="宋体"/>
                <w:color w:val="000000"/>
                <w:sz w:val="24"/>
                <w:highlight w:val="none"/>
              </w:rPr>
              <w:t>17</w:t>
            </w:r>
          </w:p>
        </w:tc>
        <w:tc>
          <w:tcPr>
            <w:tcW w:w="1909" w:type="dxa"/>
            <w:tcBorders>
              <w:top w:val="single" w:color="auto" w:sz="4" w:space="0"/>
              <w:left w:val="nil"/>
              <w:bottom w:val="single" w:color="auto" w:sz="4" w:space="0"/>
              <w:right w:val="single" w:color="auto" w:sz="4" w:space="0"/>
            </w:tcBorders>
            <w:vAlign w:val="center"/>
          </w:tcPr>
          <w:p w14:paraId="2261EA36">
            <w:pPr>
              <w:rPr>
                <w:rFonts w:ascii="宋体" w:hAnsi="宋体"/>
                <w:color w:val="000000"/>
                <w:sz w:val="24"/>
                <w:highlight w:val="none"/>
              </w:rPr>
            </w:pPr>
            <w:r>
              <w:rPr>
                <w:rFonts w:hint="eastAsia" w:ascii="宋体" w:hAnsi="宋体"/>
                <w:color w:val="000000"/>
                <w:sz w:val="24"/>
                <w:highlight w:val="none"/>
              </w:rPr>
              <w:t>分  包</w:t>
            </w:r>
          </w:p>
        </w:tc>
        <w:tc>
          <w:tcPr>
            <w:tcW w:w="6887" w:type="dxa"/>
            <w:tcBorders>
              <w:top w:val="single" w:color="auto" w:sz="4" w:space="0"/>
              <w:left w:val="nil"/>
              <w:bottom w:val="single" w:color="auto" w:sz="4" w:space="0"/>
              <w:right w:val="single" w:color="auto" w:sz="4" w:space="0"/>
            </w:tcBorders>
            <w:vAlign w:val="center"/>
          </w:tcPr>
          <w:p w14:paraId="76525555">
            <w:pPr>
              <w:spacing w:line="312" w:lineRule="auto"/>
              <w:rPr>
                <w:rFonts w:ascii="宋体" w:hAnsi="宋体"/>
                <w:color w:val="000000"/>
                <w:sz w:val="24"/>
                <w:highlight w:val="none"/>
              </w:rPr>
            </w:pPr>
            <w:r>
              <w:rPr>
                <w:rFonts w:hint="eastAsia" w:ascii="宋体" w:hAnsi="宋体"/>
                <w:color w:val="000000"/>
                <w:sz w:val="24"/>
                <w:highlight w:val="none"/>
              </w:rPr>
              <w:t>■不允许</w:t>
            </w:r>
          </w:p>
        </w:tc>
      </w:tr>
      <w:tr w14:paraId="2E1B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36DFB96">
            <w:pPr>
              <w:jc w:val="center"/>
              <w:rPr>
                <w:rFonts w:ascii="宋体" w:hAnsi="宋体"/>
                <w:color w:val="000000"/>
                <w:sz w:val="24"/>
                <w:highlight w:val="none"/>
              </w:rPr>
            </w:pPr>
            <w:r>
              <w:rPr>
                <w:rFonts w:hint="eastAsia" w:ascii="宋体" w:hAnsi="宋体"/>
                <w:color w:val="000000"/>
                <w:sz w:val="24"/>
                <w:highlight w:val="none"/>
              </w:rPr>
              <w:t>18</w:t>
            </w:r>
          </w:p>
        </w:tc>
        <w:tc>
          <w:tcPr>
            <w:tcW w:w="1909" w:type="dxa"/>
            <w:tcBorders>
              <w:top w:val="single" w:color="auto" w:sz="4" w:space="0"/>
              <w:left w:val="nil"/>
              <w:bottom w:val="single" w:color="auto" w:sz="4" w:space="0"/>
              <w:right w:val="single" w:color="auto" w:sz="4" w:space="0"/>
            </w:tcBorders>
            <w:vAlign w:val="center"/>
          </w:tcPr>
          <w:p w14:paraId="39F606DC">
            <w:pPr>
              <w:rPr>
                <w:rFonts w:ascii="宋体" w:hAnsi="宋体"/>
                <w:color w:val="000000"/>
                <w:sz w:val="24"/>
                <w:highlight w:val="none"/>
              </w:rPr>
            </w:pPr>
            <w:r>
              <w:rPr>
                <w:rFonts w:hint="eastAsia" w:ascii="宋体" w:hAnsi="宋体"/>
                <w:color w:val="000000"/>
                <w:sz w:val="24"/>
                <w:highlight w:val="none"/>
              </w:rPr>
              <w:t>偏  离</w:t>
            </w:r>
          </w:p>
        </w:tc>
        <w:tc>
          <w:tcPr>
            <w:tcW w:w="6887" w:type="dxa"/>
            <w:tcBorders>
              <w:top w:val="single" w:color="auto" w:sz="4" w:space="0"/>
              <w:left w:val="nil"/>
              <w:bottom w:val="single" w:color="auto" w:sz="4" w:space="0"/>
              <w:right w:val="single" w:color="auto" w:sz="4" w:space="0"/>
            </w:tcBorders>
            <w:vAlign w:val="center"/>
          </w:tcPr>
          <w:p w14:paraId="0F4BD268">
            <w:pPr>
              <w:spacing w:line="288" w:lineRule="auto"/>
              <w:rPr>
                <w:rFonts w:ascii="宋体" w:hAnsi="宋体"/>
                <w:color w:val="000000"/>
                <w:sz w:val="24"/>
                <w:highlight w:val="none"/>
              </w:rPr>
            </w:pPr>
            <w:r>
              <w:rPr>
                <w:rFonts w:hint="eastAsia" w:ascii="宋体" w:hAnsi="宋体"/>
                <w:color w:val="000000"/>
                <w:sz w:val="24"/>
                <w:highlight w:val="none"/>
              </w:rPr>
              <w:t>允许正偏离</w:t>
            </w:r>
          </w:p>
        </w:tc>
      </w:tr>
      <w:tr w14:paraId="5A1D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7687D74">
            <w:pPr>
              <w:jc w:val="center"/>
              <w:rPr>
                <w:rFonts w:ascii="宋体" w:hAnsi="宋体"/>
                <w:color w:val="000000"/>
                <w:sz w:val="24"/>
                <w:highlight w:val="none"/>
              </w:rPr>
            </w:pPr>
            <w:r>
              <w:rPr>
                <w:rFonts w:hint="eastAsia" w:ascii="宋体" w:hAnsi="宋体"/>
                <w:color w:val="000000"/>
                <w:sz w:val="24"/>
                <w:highlight w:val="none"/>
              </w:rPr>
              <w:t>19</w:t>
            </w:r>
          </w:p>
        </w:tc>
        <w:tc>
          <w:tcPr>
            <w:tcW w:w="1909" w:type="dxa"/>
            <w:tcBorders>
              <w:top w:val="single" w:color="auto" w:sz="4" w:space="0"/>
              <w:left w:val="nil"/>
              <w:bottom w:val="single" w:color="auto" w:sz="4" w:space="0"/>
              <w:right w:val="single" w:color="auto" w:sz="4" w:space="0"/>
            </w:tcBorders>
            <w:vAlign w:val="center"/>
          </w:tcPr>
          <w:p w14:paraId="61DECDEF">
            <w:pPr>
              <w:rPr>
                <w:rFonts w:ascii="宋体" w:hAnsi="宋体"/>
                <w:color w:val="000000"/>
                <w:sz w:val="24"/>
                <w:highlight w:val="none"/>
              </w:rPr>
            </w:pPr>
            <w:r>
              <w:rPr>
                <w:rFonts w:hint="eastAsia" w:ascii="宋体" w:hAnsi="宋体"/>
                <w:color w:val="000000"/>
                <w:sz w:val="24"/>
                <w:highlight w:val="none"/>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4E0DC549">
            <w:pPr>
              <w:rPr>
                <w:rFonts w:ascii="宋体" w:hAnsi="宋体"/>
                <w:sz w:val="24"/>
                <w:highlight w:val="none"/>
              </w:rPr>
            </w:pPr>
            <w:r>
              <w:rPr>
                <w:rFonts w:hint="eastAsia" w:ascii="宋体" w:hAnsi="宋体"/>
                <w:sz w:val="24"/>
                <w:highlight w:val="none"/>
              </w:rPr>
              <w:t>对竞争性磋商文件所作的澄清（含答疑）、修改，补充构成竞争性磋商文件的组成部分。</w:t>
            </w:r>
          </w:p>
        </w:tc>
      </w:tr>
      <w:tr w14:paraId="623F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0C75607">
            <w:pPr>
              <w:jc w:val="center"/>
              <w:rPr>
                <w:rFonts w:ascii="宋体" w:hAnsi="宋体"/>
                <w:color w:val="000000"/>
                <w:sz w:val="24"/>
                <w:highlight w:val="none"/>
              </w:rPr>
            </w:pPr>
            <w:r>
              <w:rPr>
                <w:rFonts w:hint="eastAsia" w:ascii="宋体" w:hAnsi="宋体"/>
                <w:color w:val="000000"/>
                <w:sz w:val="24"/>
                <w:highlight w:val="none"/>
              </w:rPr>
              <w:t>20</w:t>
            </w:r>
          </w:p>
        </w:tc>
        <w:tc>
          <w:tcPr>
            <w:tcW w:w="1909" w:type="dxa"/>
            <w:tcBorders>
              <w:top w:val="single" w:color="auto" w:sz="4" w:space="0"/>
              <w:left w:val="nil"/>
              <w:bottom w:val="single" w:color="auto" w:sz="4" w:space="0"/>
              <w:right w:val="single" w:color="auto" w:sz="4" w:space="0"/>
            </w:tcBorders>
            <w:vAlign w:val="center"/>
          </w:tcPr>
          <w:p w14:paraId="01F410D7">
            <w:pPr>
              <w:rPr>
                <w:rFonts w:ascii="宋体" w:hAnsi="宋体"/>
                <w:color w:val="000000"/>
                <w:sz w:val="24"/>
                <w:highlight w:val="none"/>
              </w:rPr>
            </w:pPr>
            <w:r>
              <w:rPr>
                <w:rFonts w:hint="eastAsia" w:ascii="宋体" w:hAnsi="宋体"/>
                <w:color w:val="000000"/>
                <w:sz w:val="24"/>
                <w:highlight w:val="none"/>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40C87EBE">
            <w:pPr>
              <w:spacing w:line="288" w:lineRule="auto"/>
              <w:rPr>
                <w:rFonts w:ascii="宋体" w:hAnsi="宋体"/>
                <w:sz w:val="24"/>
                <w:highlight w:val="none"/>
              </w:rPr>
            </w:pPr>
            <w:r>
              <w:rPr>
                <w:rFonts w:hint="eastAsia" w:ascii="宋体" w:hAnsi="宋体"/>
                <w:sz w:val="24"/>
                <w:highlight w:val="none"/>
              </w:rPr>
              <w:t>要求为投标截止时间</w:t>
            </w:r>
            <w:r>
              <w:rPr>
                <w:rFonts w:ascii="宋体" w:hAnsi="宋体"/>
                <w:sz w:val="24"/>
                <w:highlight w:val="none"/>
              </w:rPr>
              <w:t>5</w:t>
            </w:r>
            <w:r>
              <w:rPr>
                <w:rFonts w:hint="eastAsia" w:ascii="宋体" w:hAnsi="宋体"/>
                <w:sz w:val="24"/>
                <w:highlight w:val="none"/>
              </w:rPr>
              <w:t>日前</w:t>
            </w:r>
          </w:p>
        </w:tc>
      </w:tr>
      <w:tr w14:paraId="7076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709E5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274CDCB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266F0E83">
            <w:pPr>
              <w:spacing w:line="288"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2026年3月31</w:t>
            </w:r>
            <w:r>
              <w:rPr>
                <w:rFonts w:hint="eastAsia" w:ascii="宋体" w:hAnsi="宋体" w:cs="宋体"/>
                <w:color w:val="000000" w:themeColor="text1"/>
                <w:sz w:val="24"/>
                <w:highlight w:val="none"/>
                <w14:textFill>
                  <w14:solidFill>
                    <w14:schemeClr w14:val="tx1"/>
                  </w14:solidFill>
                </w14:textFill>
              </w:rPr>
              <w:t>日08时30分</w:t>
            </w:r>
          </w:p>
        </w:tc>
      </w:tr>
      <w:tr w14:paraId="589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53F7AA4">
            <w:pPr>
              <w:jc w:val="center"/>
              <w:rPr>
                <w:rFonts w:ascii="宋体" w:hAnsi="宋体"/>
                <w:color w:val="000000"/>
                <w:sz w:val="24"/>
                <w:highlight w:val="none"/>
              </w:rPr>
            </w:pPr>
            <w:r>
              <w:rPr>
                <w:rFonts w:hint="eastAsia" w:ascii="宋体" w:hAnsi="宋体"/>
                <w:color w:val="000000"/>
                <w:sz w:val="24"/>
                <w:highlight w:val="none"/>
              </w:rPr>
              <w:t>22</w:t>
            </w:r>
          </w:p>
        </w:tc>
        <w:tc>
          <w:tcPr>
            <w:tcW w:w="1909" w:type="dxa"/>
            <w:tcBorders>
              <w:top w:val="single" w:color="auto" w:sz="4" w:space="0"/>
              <w:left w:val="nil"/>
              <w:bottom w:val="single" w:color="auto" w:sz="4" w:space="0"/>
              <w:right w:val="single" w:color="auto" w:sz="4" w:space="0"/>
            </w:tcBorders>
            <w:vAlign w:val="center"/>
          </w:tcPr>
          <w:p w14:paraId="37F267FD">
            <w:pPr>
              <w:rPr>
                <w:rFonts w:ascii="宋体" w:hAnsi="宋体"/>
                <w:color w:val="000000"/>
                <w:sz w:val="24"/>
                <w:highlight w:val="none"/>
              </w:rPr>
            </w:pPr>
            <w:r>
              <w:rPr>
                <w:rFonts w:hint="eastAsia" w:ascii="宋体" w:hAnsi="宋体"/>
                <w:color w:val="000000"/>
                <w:sz w:val="24"/>
                <w:highlight w:val="none"/>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1A34C709">
            <w:pPr>
              <w:spacing w:line="288" w:lineRule="auto"/>
              <w:rPr>
                <w:rFonts w:ascii="宋体" w:hAnsi="宋体"/>
                <w:sz w:val="24"/>
                <w:highlight w:val="none"/>
                <w:u w:val="single"/>
              </w:rPr>
            </w:pPr>
            <w:r>
              <w:rPr>
                <w:rFonts w:hint="eastAsia" w:ascii="宋体" w:hAnsi="宋体"/>
                <w:sz w:val="24"/>
                <w:highlight w:val="none"/>
              </w:rPr>
              <w:t>在收到相应澄清文件后</w:t>
            </w:r>
            <w:r>
              <w:rPr>
                <w:rFonts w:hint="eastAsia" w:ascii="宋体" w:hAnsi="宋体"/>
                <w:sz w:val="24"/>
                <w:highlight w:val="none"/>
                <w:u w:val="single"/>
              </w:rPr>
              <w:t xml:space="preserve"> 24 </w:t>
            </w:r>
            <w:r>
              <w:rPr>
                <w:rFonts w:hint="eastAsia" w:ascii="宋体" w:hAnsi="宋体"/>
                <w:sz w:val="24"/>
                <w:highlight w:val="none"/>
              </w:rPr>
              <w:t>小时内</w:t>
            </w:r>
          </w:p>
        </w:tc>
      </w:tr>
      <w:tr w14:paraId="3805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F62B537">
            <w:pPr>
              <w:jc w:val="center"/>
              <w:rPr>
                <w:rFonts w:ascii="宋体" w:hAnsi="宋体"/>
                <w:color w:val="000000"/>
                <w:sz w:val="24"/>
                <w:highlight w:val="none"/>
              </w:rPr>
            </w:pPr>
            <w:r>
              <w:rPr>
                <w:rFonts w:hint="eastAsia" w:ascii="宋体" w:hAnsi="宋体"/>
                <w:color w:val="000000"/>
                <w:sz w:val="24"/>
                <w:highlight w:val="none"/>
              </w:rPr>
              <w:t>23</w:t>
            </w:r>
          </w:p>
        </w:tc>
        <w:tc>
          <w:tcPr>
            <w:tcW w:w="1909" w:type="dxa"/>
            <w:tcBorders>
              <w:top w:val="single" w:color="auto" w:sz="4" w:space="0"/>
              <w:left w:val="nil"/>
              <w:bottom w:val="single" w:color="auto" w:sz="4" w:space="0"/>
              <w:right w:val="single" w:color="auto" w:sz="4" w:space="0"/>
            </w:tcBorders>
            <w:vAlign w:val="center"/>
          </w:tcPr>
          <w:p w14:paraId="50079CCA">
            <w:pPr>
              <w:rPr>
                <w:rFonts w:ascii="宋体" w:hAnsi="宋体"/>
                <w:color w:val="000000"/>
                <w:sz w:val="24"/>
                <w:highlight w:val="none"/>
              </w:rPr>
            </w:pPr>
            <w:r>
              <w:rPr>
                <w:rFonts w:hint="eastAsia" w:ascii="宋体" w:hAnsi="宋体"/>
                <w:color w:val="000000"/>
                <w:sz w:val="24"/>
                <w:highlight w:val="none"/>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173C378F">
            <w:pPr>
              <w:spacing w:line="288" w:lineRule="auto"/>
              <w:rPr>
                <w:rFonts w:ascii="宋体" w:hAnsi="宋体"/>
                <w:sz w:val="24"/>
                <w:highlight w:val="none"/>
              </w:rPr>
            </w:pPr>
            <w:r>
              <w:rPr>
                <w:rFonts w:hint="eastAsia" w:ascii="宋体" w:hAnsi="宋体"/>
                <w:sz w:val="24"/>
                <w:highlight w:val="none"/>
              </w:rPr>
              <w:t>在收到相应修改文件后</w:t>
            </w:r>
            <w:r>
              <w:rPr>
                <w:rFonts w:hint="eastAsia" w:ascii="宋体" w:hAnsi="宋体"/>
                <w:sz w:val="24"/>
                <w:highlight w:val="none"/>
                <w:u w:val="single"/>
              </w:rPr>
              <w:t xml:space="preserve"> 24</w:t>
            </w:r>
            <w:r>
              <w:rPr>
                <w:rFonts w:hint="eastAsia" w:ascii="宋体" w:hAnsi="宋体"/>
                <w:sz w:val="24"/>
                <w:highlight w:val="none"/>
              </w:rPr>
              <w:t>小时内</w:t>
            </w:r>
          </w:p>
        </w:tc>
      </w:tr>
      <w:tr w14:paraId="69C7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179F4B4">
            <w:pPr>
              <w:jc w:val="center"/>
              <w:rPr>
                <w:rFonts w:ascii="宋体" w:hAnsi="宋体"/>
                <w:color w:val="000000"/>
                <w:sz w:val="24"/>
                <w:highlight w:val="none"/>
              </w:rPr>
            </w:pPr>
            <w:r>
              <w:rPr>
                <w:rFonts w:hint="eastAsia" w:ascii="宋体" w:hAnsi="宋体"/>
                <w:color w:val="000000"/>
                <w:sz w:val="24"/>
                <w:highlight w:val="none"/>
              </w:rPr>
              <w:t>24</w:t>
            </w:r>
          </w:p>
        </w:tc>
        <w:tc>
          <w:tcPr>
            <w:tcW w:w="1909" w:type="dxa"/>
            <w:tcBorders>
              <w:top w:val="single" w:color="auto" w:sz="4" w:space="0"/>
              <w:left w:val="nil"/>
              <w:bottom w:val="single" w:color="auto" w:sz="4" w:space="0"/>
              <w:right w:val="single" w:color="auto" w:sz="4" w:space="0"/>
            </w:tcBorders>
            <w:vAlign w:val="center"/>
          </w:tcPr>
          <w:p w14:paraId="2227F11D">
            <w:pPr>
              <w:rPr>
                <w:rFonts w:ascii="宋体" w:hAnsi="宋体"/>
                <w:color w:val="000000"/>
                <w:sz w:val="24"/>
                <w:highlight w:val="none"/>
              </w:rPr>
            </w:pPr>
            <w:r>
              <w:rPr>
                <w:rFonts w:hint="eastAsia" w:ascii="宋体" w:hAnsi="宋体"/>
                <w:color w:val="000000"/>
                <w:sz w:val="24"/>
                <w:highlight w:val="none"/>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C48DAF1">
            <w:pPr>
              <w:spacing w:line="288" w:lineRule="auto"/>
              <w:rPr>
                <w:rFonts w:ascii="宋体" w:hAnsi="宋体"/>
                <w:b/>
                <w:bCs/>
                <w:color w:val="000000"/>
                <w:sz w:val="24"/>
                <w:highlight w:val="none"/>
              </w:rPr>
            </w:pPr>
            <w:r>
              <w:rPr>
                <w:rFonts w:hint="eastAsia" w:ascii="宋体" w:hAnsi="宋体"/>
                <w:b/>
                <w:bCs/>
                <w:color w:val="000000"/>
                <w:sz w:val="24"/>
                <w:highlight w:val="none"/>
              </w:rPr>
              <w:t>/</w:t>
            </w:r>
          </w:p>
        </w:tc>
      </w:tr>
      <w:tr w14:paraId="4C37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4CBEA6">
            <w:pPr>
              <w:jc w:val="center"/>
              <w:rPr>
                <w:rFonts w:ascii="宋体" w:hAnsi="宋体"/>
                <w:color w:val="000000"/>
                <w:sz w:val="24"/>
                <w:highlight w:val="none"/>
              </w:rPr>
            </w:pPr>
            <w:r>
              <w:rPr>
                <w:rFonts w:hint="eastAsia" w:ascii="宋体" w:hAnsi="宋体"/>
                <w:color w:val="000000"/>
                <w:sz w:val="24"/>
                <w:highlight w:val="none"/>
              </w:rPr>
              <w:t>25</w:t>
            </w:r>
          </w:p>
        </w:tc>
        <w:tc>
          <w:tcPr>
            <w:tcW w:w="1909" w:type="dxa"/>
            <w:tcBorders>
              <w:top w:val="single" w:color="auto" w:sz="4" w:space="0"/>
              <w:left w:val="nil"/>
              <w:bottom w:val="single" w:color="auto" w:sz="4" w:space="0"/>
              <w:right w:val="single" w:color="auto" w:sz="4" w:space="0"/>
            </w:tcBorders>
            <w:vAlign w:val="center"/>
          </w:tcPr>
          <w:p w14:paraId="01D54C7E">
            <w:pPr>
              <w:rPr>
                <w:rFonts w:ascii="宋体" w:hAnsi="宋体"/>
                <w:color w:val="000000"/>
                <w:sz w:val="24"/>
                <w:highlight w:val="none"/>
              </w:rPr>
            </w:pPr>
            <w:r>
              <w:rPr>
                <w:rFonts w:hint="eastAsia" w:ascii="宋体" w:hAnsi="宋体"/>
                <w:color w:val="000000"/>
                <w:sz w:val="24"/>
                <w:highlight w:val="none"/>
              </w:rPr>
              <w:t>磋商有效期</w:t>
            </w:r>
          </w:p>
        </w:tc>
        <w:tc>
          <w:tcPr>
            <w:tcW w:w="6887" w:type="dxa"/>
            <w:tcBorders>
              <w:top w:val="single" w:color="auto" w:sz="4" w:space="0"/>
              <w:left w:val="nil"/>
              <w:bottom w:val="single" w:color="auto" w:sz="4" w:space="0"/>
              <w:right w:val="single" w:color="auto" w:sz="4" w:space="0"/>
            </w:tcBorders>
            <w:vAlign w:val="center"/>
          </w:tcPr>
          <w:p w14:paraId="7643B2FF">
            <w:pPr>
              <w:spacing w:line="288" w:lineRule="auto"/>
              <w:rPr>
                <w:rFonts w:ascii="宋体" w:hAnsi="宋体"/>
                <w:sz w:val="24"/>
                <w:highlight w:val="none"/>
              </w:rPr>
            </w:pPr>
            <w:r>
              <w:rPr>
                <w:rFonts w:hint="eastAsia" w:ascii="宋体" w:hAnsi="宋体"/>
                <w:sz w:val="24"/>
                <w:highlight w:val="none"/>
              </w:rPr>
              <w:t>磋商截止之日起60日历天</w:t>
            </w:r>
          </w:p>
        </w:tc>
      </w:tr>
      <w:tr w14:paraId="664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BA5EE52">
            <w:pPr>
              <w:jc w:val="center"/>
              <w:rPr>
                <w:rFonts w:ascii="宋体" w:hAnsi="宋体"/>
                <w:color w:val="000000"/>
                <w:sz w:val="24"/>
                <w:highlight w:val="none"/>
              </w:rPr>
            </w:pPr>
            <w:r>
              <w:rPr>
                <w:rFonts w:hint="eastAsia" w:ascii="宋体" w:hAnsi="宋体"/>
                <w:color w:val="000000"/>
                <w:sz w:val="24"/>
                <w:highlight w:val="none"/>
              </w:rPr>
              <w:t>26</w:t>
            </w:r>
          </w:p>
        </w:tc>
        <w:tc>
          <w:tcPr>
            <w:tcW w:w="1909" w:type="dxa"/>
            <w:tcBorders>
              <w:top w:val="single" w:color="auto" w:sz="4" w:space="0"/>
              <w:left w:val="nil"/>
              <w:bottom w:val="single" w:color="auto" w:sz="4" w:space="0"/>
              <w:right w:val="single" w:color="auto" w:sz="4" w:space="0"/>
            </w:tcBorders>
            <w:vAlign w:val="center"/>
          </w:tcPr>
          <w:p w14:paraId="530DB91F">
            <w:pPr>
              <w:rPr>
                <w:rFonts w:ascii="宋体" w:hAnsi="宋体"/>
                <w:color w:val="000000"/>
                <w:sz w:val="24"/>
                <w:highlight w:val="none"/>
              </w:rPr>
            </w:pPr>
            <w:r>
              <w:rPr>
                <w:rFonts w:hint="eastAsia" w:ascii="宋体" w:hAnsi="宋体"/>
                <w:color w:val="000000"/>
                <w:sz w:val="24"/>
                <w:highlight w:val="none"/>
              </w:rPr>
              <w:t>磋商保证金</w:t>
            </w:r>
          </w:p>
        </w:tc>
        <w:tc>
          <w:tcPr>
            <w:tcW w:w="6887" w:type="dxa"/>
            <w:tcBorders>
              <w:top w:val="single" w:color="auto" w:sz="4" w:space="0"/>
              <w:left w:val="nil"/>
              <w:bottom w:val="single" w:color="auto" w:sz="4" w:space="0"/>
              <w:right w:val="single" w:color="auto" w:sz="4" w:space="0"/>
            </w:tcBorders>
            <w:vAlign w:val="center"/>
          </w:tcPr>
          <w:p w14:paraId="5E5F2E2D">
            <w:pPr>
              <w:widowControl/>
              <w:spacing w:line="240" w:lineRule="auto"/>
              <w:rPr>
                <w:rFonts w:ascii="宋体" w:hAnsi="宋体"/>
                <w:sz w:val="24"/>
                <w:highlight w:val="none"/>
              </w:rPr>
            </w:pPr>
            <w:r>
              <w:rPr>
                <w:rFonts w:hint="eastAsia" w:ascii="宋体" w:hAnsi="宋体"/>
                <w:sz w:val="24"/>
                <w:highlight w:val="none"/>
              </w:rPr>
              <w:t>按照《河南省财政厅关于优化政府采购营商环境有关问题的通知》（豫财购[2019]4号文）的要求本项目不再收取磋商保证金。</w:t>
            </w:r>
          </w:p>
        </w:tc>
      </w:tr>
      <w:tr w14:paraId="0930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CBB9EA">
            <w:pPr>
              <w:jc w:val="center"/>
              <w:rPr>
                <w:rFonts w:ascii="宋体" w:hAnsi="宋体"/>
                <w:color w:val="000000"/>
                <w:sz w:val="24"/>
                <w:highlight w:val="none"/>
              </w:rPr>
            </w:pPr>
            <w:r>
              <w:rPr>
                <w:rFonts w:hint="eastAsia" w:ascii="宋体" w:hAnsi="宋体"/>
                <w:color w:val="000000"/>
                <w:sz w:val="24"/>
                <w:highlight w:val="none"/>
              </w:rPr>
              <w:t>27</w:t>
            </w:r>
          </w:p>
        </w:tc>
        <w:tc>
          <w:tcPr>
            <w:tcW w:w="1909" w:type="dxa"/>
            <w:tcBorders>
              <w:top w:val="single" w:color="auto" w:sz="4" w:space="0"/>
              <w:left w:val="nil"/>
              <w:bottom w:val="single" w:color="auto" w:sz="4" w:space="0"/>
              <w:right w:val="single" w:color="auto" w:sz="4" w:space="0"/>
            </w:tcBorders>
            <w:vAlign w:val="center"/>
          </w:tcPr>
          <w:p w14:paraId="6AA1218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1D320F45">
            <w:pPr>
              <w:spacing w:line="288" w:lineRule="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近年，指2023年1月1日以来</w:t>
            </w:r>
          </w:p>
        </w:tc>
      </w:tr>
      <w:tr w14:paraId="0E34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382B6D3">
            <w:pPr>
              <w:jc w:val="center"/>
              <w:rPr>
                <w:rFonts w:ascii="宋体" w:hAnsi="宋体"/>
                <w:color w:val="000000"/>
                <w:sz w:val="24"/>
                <w:highlight w:val="none"/>
              </w:rPr>
            </w:pPr>
            <w:r>
              <w:rPr>
                <w:rFonts w:hint="eastAsia" w:ascii="宋体" w:hAnsi="宋体"/>
                <w:color w:val="000000"/>
                <w:sz w:val="24"/>
                <w:highlight w:val="none"/>
              </w:rPr>
              <w:t>28</w:t>
            </w:r>
          </w:p>
        </w:tc>
        <w:tc>
          <w:tcPr>
            <w:tcW w:w="1909" w:type="dxa"/>
            <w:tcBorders>
              <w:top w:val="single" w:color="auto" w:sz="4" w:space="0"/>
              <w:left w:val="nil"/>
              <w:bottom w:val="single" w:color="auto" w:sz="4" w:space="0"/>
              <w:right w:val="single" w:color="auto" w:sz="4" w:space="0"/>
            </w:tcBorders>
            <w:vAlign w:val="center"/>
          </w:tcPr>
          <w:p w14:paraId="11AA9D37">
            <w:pPr>
              <w:rPr>
                <w:rFonts w:ascii="宋体" w:hAnsi="宋体"/>
                <w:color w:val="000000"/>
                <w:sz w:val="24"/>
                <w:highlight w:val="none"/>
              </w:rPr>
            </w:pPr>
            <w:r>
              <w:rPr>
                <w:rFonts w:hint="eastAsia" w:ascii="宋体" w:hAnsi="宋体"/>
                <w:color w:val="000000"/>
                <w:sz w:val="24"/>
                <w:highlight w:val="none"/>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2A915198">
            <w:pPr>
              <w:spacing w:line="288" w:lineRule="auto"/>
              <w:rPr>
                <w:rFonts w:hint="eastAsia" w:ascii="宋体" w:hAnsi="宋体" w:eastAsia="宋体"/>
                <w:color w:val="000000"/>
                <w:sz w:val="24"/>
                <w:highlight w:val="none"/>
                <w:u w:val="single"/>
                <w:lang w:eastAsia="zh-CN"/>
              </w:rPr>
            </w:pPr>
            <w:r>
              <w:rPr>
                <w:rFonts w:hint="eastAsia" w:ascii="宋体" w:hAnsi="宋体"/>
                <w:color w:val="000000"/>
                <w:sz w:val="24"/>
                <w:highlight w:val="none"/>
                <w:u w:val="single"/>
                <w:lang w:eastAsia="zh-CN"/>
              </w:rPr>
              <w:t>近年，指2023年1月1日以来</w:t>
            </w:r>
          </w:p>
        </w:tc>
      </w:tr>
      <w:tr w14:paraId="1840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5F4CDF">
            <w:pPr>
              <w:jc w:val="center"/>
              <w:rPr>
                <w:rFonts w:ascii="宋体" w:hAnsi="宋体"/>
                <w:color w:val="000000"/>
                <w:sz w:val="24"/>
                <w:highlight w:val="none"/>
              </w:rPr>
            </w:pPr>
            <w:r>
              <w:rPr>
                <w:rFonts w:hint="eastAsia" w:ascii="宋体" w:hAnsi="宋体"/>
                <w:color w:val="000000"/>
                <w:sz w:val="24"/>
                <w:highlight w:val="none"/>
              </w:rPr>
              <w:t>29</w:t>
            </w:r>
          </w:p>
        </w:tc>
        <w:tc>
          <w:tcPr>
            <w:tcW w:w="1909" w:type="dxa"/>
            <w:tcBorders>
              <w:top w:val="single" w:color="auto" w:sz="4" w:space="0"/>
              <w:left w:val="nil"/>
              <w:bottom w:val="single" w:color="auto" w:sz="4" w:space="0"/>
              <w:right w:val="single" w:color="auto" w:sz="4" w:space="0"/>
            </w:tcBorders>
            <w:vAlign w:val="center"/>
          </w:tcPr>
          <w:p w14:paraId="281F6D18">
            <w:pPr>
              <w:rPr>
                <w:rFonts w:ascii="宋体" w:hAnsi="宋体"/>
                <w:color w:val="000000"/>
                <w:sz w:val="24"/>
                <w:highlight w:val="none"/>
              </w:rPr>
            </w:pPr>
            <w:r>
              <w:rPr>
                <w:rFonts w:hint="eastAsia" w:ascii="宋体" w:hAnsi="宋体"/>
                <w:color w:val="000000"/>
                <w:sz w:val="24"/>
                <w:highlight w:val="none"/>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69E3C387">
            <w:pPr>
              <w:spacing w:line="288" w:lineRule="auto"/>
              <w:rPr>
                <w:rFonts w:ascii="宋体" w:hAnsi="宋体"/>
                <w:color w:val="000000"/>
                <w:sz w:val="24"/>
                <w:highlight w:val="none"/>
              </w:rPr>
            </w:pPr>
            <w:r>
              <w:rPr>
                <w:rFonts w:hint="eastAsia" w:ascii="宋体" w:hAnsi="宋体"/>
                <w:color w:val="000000"/>
                <w:sz w:val="24"/>
                <w:highlight w:val="none"/>
              </w:rPr>
              <w:t>■不允许</w:t>
            </w:r>
          </w:p>
        </w:tc>
      </w:tr>
      <w:tr w14:paraId="19AB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A95C1C6">
            <w:pPr>
              <w:jc w:val="center"/>
              <w:rPr>
                <w:rFonts w:ascii="宋体" w:hAnsi="宋体"/>
                <w:color w:val="000000"/>
                <w:sz w:val="24"/>
                <w:highlight w:val="none"/>
              </w:rPr>
            </w:pPr>
            <w:r>
              <w:rPr>
                <w:rFonts w:hint="eastAsia" w:ascii="宋体" w:hAnsi="宋体"/>
                <w:color w:val="000000"/>
                <w:sz w:val="24"/>
                <w:highlight w:val="none"/>
              </w:rPr>
              <w:t>30</w:t>
            </w:r>
          </w:p>
        </w:tc>
        <w:tc>
          <w:tcPr>
            <w:tcW w:w="1909" w:type="dxa"/>
            <w:tcBorders>
              <w:top w:val="single" w:color="auto" w:sz="4" w:space="0"/>
              <w:left w:val="nil"/>
              <w:bottom w:val="single" w:color="auto" w:sz="4" w:space="0"/>
              <w:right w:val="single" w:color="auto" w:sz="4" w:space="0"/>
            </w:tcBorders>
            <w:vAlign w:val="center"/>
          </w:tcPr>
          <w:p w14:paraId="2AD8F886">
            <w:pPr>
              <w:rPr>
                <w:rFonts w:ascii="宋体" w:hAnsi="宋体"/>
                <w:color w:val="000000"/>
                <w:sz w:val="24"/>
                <w:highlight w:val="none"/>
              </w:rPr>
            </w:pPr>
            <w:r>
              <w:rPr>
                <w:rFonts w:hint="eastAsia" w:ascii="宋体" w:hAnsi="宋体"/>
                <w:color w:val="000000"/>
                <w:sz w:val="24"/>
                <w:highlight w:val="none"/>
              </w:rPr>
              <w:t>签字和（或）盖章要求</w:t>
            </w:r>
          </w:p>
        </w:tc>
        <w:tc>
          <w:tcPr>
            <w:tcW w:w="6887" w:type="dxa"/>
            <w:tcBorders>
              <w:top w:val="single" w:color="auto" w:sz="4" w:space="0"/>
              <w:left w:val="nil"/>
              <w:bottom w:val="single" w:color="auto" w:sz="4" w:space="0"/>
              <w:right w:val="single" w:color="auto" w:sz="4" w:space="0"/>
            </w:tcBorders>
            <w:vAlign w:val="center"/>
          </w:tcPr>
          <w:p w14:paraId="1AFFA4AE">
            <w:pPr>
              <w:rPr>
                <w:rFonts w:ascii="宋体" w:hAnsi="宋体"/>
                <w:color w:val="000000"/>
                <w:sz w:val="24"/>
                <w:highlight w:val="none"/>
              </w:rPr>
            </w:pPr>
            <w:r>
              <w:rPr>
                <w:rFonts w:hint="eastAsia" w:ascii="宋体" w:hAnsi="宋体"/>
                <w:color w:val="000000"/>
                <w:sz w:val="24"/>
                <w:highlight w:val="none"/>
              </w:rPr>
              <w:t>电子化响应文件的签章：</w:t>
            </w:r>
          </w:p>
          <w:p w14:paraId="4B7CDB55">
            <w:pPr>
              <w:rPr>
                <w:rFonts w:ascii="宋体" w:hAnsi="宋体"/>
                <w:color w:val="000000"/>
                <w:sz w:val="24"/>
                <w:highlight w:val="none"/>
              </w:rPr>
            </w:pPr>
            <w:r>
              <w:rPr>
                <w:rFonts w:hint="eastAsia" w:ascii="宋体" w:hAnsi="宋体"/>
                <w:color w:val="000000"/>
                <w:sz w:val="24"/>
                <w:highlight w:val="none"/>
              </w:rPr>
              <w:t>1、响应人在生成电子化响应文件后，应对电子化响应文件进行签章，未对电子化文件进行签章的视为无效投标。</w:t>
            </w:r>
          </w:p>
          <w:p w14:paraId="76B8C22A">
            <w:pPr>
              <w:rPr>
                <w:rFonts w:ascii="宋体" w:hAnsi="宋体"/>
                <w:color w:val="000000"/>
                <w:sz w:val="24"/>
                <w:highlight w:val="none"/>
              </w:rPr>
            </w:pPr>
            <w:r>
              <w:rPr>
                <w:rFonts w:hint="eastAsia" w:ascii="宋体" w:hAnsi="宋体"/>
                <w:color w:val="000000"/>
                <w:sz w:val="24"/>
                <w:highlight w:val="none"/>
              </w:rPr>
              <w:t>2、竞争性磋商文件中要求</w:t>
            </w:r>
            <w:r>
              <w:rPr>
                <w:rFonts w:hint="eastAsia" w:ascii="宋体" w:hAnsi="宋体"/>
                <w:b/>
                <w:bCs/>
                <w:color w:val="000000"/>
                <w:sz w:val="24"/>
                <w:highlight w:val="none"/>
              </w:rPr>
              <w:t>法定代表人或授权委托人签字或盖章的，</w:t>
            </w:r>
            <w:r>
              <w:rPr>
                <w:rFonts w:hint="eastAsia" w:ascii="宋体" w:hAnsi="宋体"/>
                <w:color w:val="000000"/>
                <w:sz w:val="24"/>
                <w:highlight w:val="none"/>
              </w:rPr>
              <w:t>响应人在进行</w:t>
            </w:r>
            <w:r>
              <w:rPr>
                <w:rFonts w:hint="eastAsia" w:ascii="宋体" w:hAnsi="宋体"/>
                <w:b/>
                <w:bCs/>
                <w:color w:val="000000"/>
                <w:sz w:val="24"/>
                <w:highlight w:val="none"/>
              </w:rPr>
              <w:t>电子化响应文件签章时，以签盖法定代表人签章为准</w:t>
            </w:r>
            <w:r>
              <w:rPr>
                <w:rFonts w:hint="eastAsia" w:ascii="宋体" w:hAnsi="宋体"/>
                <w:color w:val="000000"/>
                <w:sz w:val="24"/>
                <w:highlight w:val="none"/>
              </w:rPr>
              <w:t>。</w:t>
            </w:r>
          </w:p>
        </w:tc>
      </w:tr>
      <w:tr w14:paraId="66EE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EEC4A31">
            <w:pPr>
              <w:jc w:val="center"/>
              <w:rPr>
                <w:rFonts w:ascii="宋体" w:hAnsi="宋体"/>
                <w:color w:val="000000"/>
                <w:sz w:val="24"/>
                <w:highlight w:val="none"/>
              </w:rPr>
            </w:pPr>
            <w:r>
              <w:rPr>
                <w:rFonts w:hint="eastAsia" w:ascii="宋体" w:hAnsi="宋体"/>
                <w:color w:val="000000"/>
                <w:sz w:val="24"/>
                <w:highlight w:val="none"/>
              </w:rPr>
              <w:t>31</w:t>
            </w:r>
          </w:p>
        </w:tc>
        <w:tc>
          <w:tcPr>
            <w:tcW w:w="1909" w:type="dxa"/>
            <w:tcBorders>
              <w:top w:val="single" w:color="auto" w:sz="4" w:space="0"/>
              <w:left w:val="nil"/>
              <w:bottom w:val="single" w:color="auto" w:sz="4" w:space="0"/>
              <w:right w:val="single" w:color="auto" w:sz="4" w:space="0"/>
            </w:tcBorders>
            <w:vAlign w:val="center"/>
          </w:tcPr>
          <w:p w14:paraId="06770BD8">
            <w:pPr>
              <w:rPr>
                <w:rFonts w:ascii="宋体" w:hAnsi="宋体"/>
                <w:color w:val="000000"/>
                <w:sz w:val="24"/>
                <w:highlight w:val="none"/>
              </w:rPr>
            </w:pPr>
            <w:r>
              <w:rPr>
                <w:rFonts w:hint="eastAsia" w:ascii="宋体" w:hAnsi="宋体"/>
                <w:color w:val="000000"/>
                <w:sz w:val="24"/>
                <w:highlight w:val="none"/>
              </w:rPr>
              <w:t>响应文件</w:t>
            </w:r>
          </w:p>
        </w:tc>
        <w:tc>
          <w:tcPr>
            <w:tcW w:w="6887" w:type="dxa"/>
            <w:tcBorders>
              <w:top w:val="single" w:color="auto" w:sz="4" w:space="0"/>
              <w:left w:val="nil"/>
              <w:bottom w:val="single" w:color="auto" w:sz="4" w:space="0"/>
              <w:right w:val="single" w:color="auto" w:sz="4" w:space="0"/>
            </w:tcBorders>
            <w:vAlign w:val="center"/>
          </w:tcPr>
          <w:p w14:paraId="11837768">
            <w:pPr>
              <w:rPr>
                <w:rFonts w:ascii="宋体" w:hAnsi="宋体"/>
                <w:color w:val="000000"/>
                <w:sz w:val="24"/>
                <w:highlight w:val="none"/>
              </w:rPr>
            </w:pPr>
            <w:r>
              <w:rPr>
                <w:rFonts w:hint="eastAsia" w:ascii="宋体" w:hAnsi="宋体"/>
                <w:color w:val="000000"/>
                <w:sz w:val="24"/>
                <w:highlight w:val="none"/>
              </w:rPr>
              <w:t>用CA在电子平台上传电子响应文件；</w:t>
            </w:r>
          </w:p>
          <w:p w14:paraId="33BE0696">
            <w:pPr>
              <w:rPr>
                <w:rFonts w:ascii="宋体" w:hAnsi="宋体"/>
                <w:color w:val="000000"/>
                <w:sz w:val="24"/>
                <w:highlight w:val="none"/>
              </w:rPr>
            </w:pPr>
            <w:r>
              <w:rPr>
                <w:rFonts w:hint="eastAsia" w:ascii="宋体" w:hAnsi="宋体"/>
                <w:color w:val="000000"/>
                <w:sz w:val="24"/>
                <w:highlight w:val="none"/>
              </w:rPr>
              <w:t>开标时不再递交纸质响应文件</w:t>
            </w:r>
          </w:p>
        </w:tc>
      </w:tr>
      <w:tr w14:paraId="7D6F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BDDF81A">
            <w:pPr>
              <w:jc w:val="center"/>
              <w:rPr>
                <w:rFonts w:ascii="宋体" w:hAnsi="宋体"/>
                <w:color w:val="000000"/>
                <w:sz w:val="24"/>
                <w:highlight w:val="none"/>
              </w:rPr>
            </w:pPr>
            <w:r>
              <w:rPr>
                <w:rFonts w:hint="eastAsia" w:ascii="宋体" w:hAnsi="宋体"/>
                <w:color w:val="000000"/>
                <w:sz w:val="24"/>
                <w:highlight w:val="none"/>
              </w:rPr>
              <w:t>32</w:t>
            </w:r>
          </w:p>
        </w:tc>
        <w:tc>
          <w:tcPr>
            <w:tcW w:w="1909" w:type="dxa"/>
            <w:tcBorders>
              <w:top w:val="single" w:color="auto" w:sz="4" w:space="0"/>
              <w:left w:val="nil"/>
              <w:bottom w:val="single" w:color="auto" w:sz="4" w:space="0"/>
              <w:right w:val="single" w:color="auto" w:sz="4" w:space="0"/>
            </w:tcBorders>
            <w:vAlign w:val="center"/>
          </w:tcPr>
          <w:p w14:paraId="7B8E7AEB">
            <w:pPr>
              <w:rPr>
                <w:rFonts w:ascii="宋体" w:hAnsi="宋体"/>
                <w:sz w:val="24"/>
                <w:highlight w:val="none"/>
              </w:rPr>
            </w:pPr>
            <w:r>
              <w:rPr>
                <w:rFonts w:hint="eastAsia" w:ascii="宋体" w:hAnsi="宋体"/>
                <w:sz w:val="24"/>
                <w:highlight w:val="none"/>
              </w:rPr>
              <w:t>开标时间及地点</w:t>
            </w:r>
          </w:p>
        </w:tc>
        <w:tc>
          <w:tcPr>
            <w:tcW w:w="6887" w:type="dxa"/>
            <w:tcBorders>
              <w:top w:val="single" w:color="auto" w:sz="4" w:space="0"/>
              <w:left w:val="nil"/>
              <w:bottom w:val="single" w:color="auto" w:sz="4" w:space="0"/>
              <w:right w:val="single" w:color="auto" w:sz="4" w:space="0"/>
            </w:tcBorders>
            <w:vAlign w:val="center"/>
          </w:tcPr>
          <w:p w14:paraId="215751F0">
            <w:pPr>
              <w:rPr>
                <w:rFonts w:ascii="宋体" w:hAnsi="宋体"/>
                <w:sz w:val="24"/>
                <w:highlight w:val="none"/>
              </w:rPr>
            </w:pPr>
            <w:r>
              <w:rPr>
                <w:rFonts w:hint="eastAsia" w:ascii="宋体" w:hAnsi="宋体"/>
                <w:sz w:val="24"/>
                <w:highlight w:val="none"/>
              </w:rPr>
              <w:t>响应文件递交截止时间及开标时间：</w:t>
            </w:r>
            <w:r>
              <w:rPr>
                <w:rFonts w:hint="eastAsia" w:ascii="宋体" w:hAnsi="宋体"/>
                <w:sz w:val="24"/>
                <w:highlight w:val="none"/>
                <w:lang w:eastAsia="zh-CN"/>
              </w:rPr>
              <w:t>2026年3月31日</w:t>
            </w:r>
            <w:r>
              <w:rPr>
                <w:rFonts w:hint="eastAsia" w:ascii="宋体" w:hAnsi="宋体"/>
                <w:sz w:val="24"/>
                <w:highlight w:val="none"/>
              </w:rPr>
              <w:t>08时30分；</w:t>
            </w:r>
          </w:p>
          <w:p w14:paraId="0B5172C9">
            <w:pPr>
              <w:rPr>
                <w:rFonts w:ascii="宋体" w:hAnsi="宋体"/>
                <w:sz w:val="24"/>
                <w:highlight w:val="none"/>
              </w:rPr>
            </w:pPr>
            <w:r>
              <w:rPr>
                <w:rFonts w:hint="eastAsia" w:ascii="宋体" w:hAnsi="宋体"/>
                <w:sz w:val="24"/>
                <w:highlight w:val="none"/>
              </w:rPr>
              <w:t>开标地点：陕州区公共资源交易中心</w:t>
            </w:r>
          </w:p>
          <w:p w14:paraId="0B491720">
            <w:pPr>
              <w:rPr>
                <w:rFonts w:ascii="宋体" w:hAnsi="宋体"/>
                <w:sz w:val="24"/>
                <w:highlight w:val="none"/>
              </w:rPr>
            </w:pPr>
            <w:r>
              <w:rPr>
                <w:rFonts w:hint="eastAsia" w:ascii="宋体" w:hAnsi="宋体"/>
                <w:sz w:val="24"/>
                <w:highlight w:val="none"/>
              </w:rPr>
              <w:t>评标地点：陕州区公共资源交易中心</w:t>
            </w:r>
          </w:p>
          <w:p w14:paraId="453F3269">
            <w:pPr>
              <w:rPr>
                <w:rFonts w:ascii="宋体" w:hAnsi="宋体"/>
                <w:sz w:val="24"/>
                <w:highlight w:val="none"/>
              </w:rPr>
            </w:pPr>
            <w:r>
              <w:rPr>
                <w:rFonts w:hint="eastAsia" w:ascii="宋体" w:hAnsi="宋体"/>
                <w:sz w:val="24"/>
                <w:highlight w:val="none"/>
              </w:rPr>
              <w:t>开标时，供应商必须持CA密钥在规定时间内对本单位的加密电子响应文件进行远程解密。本次项目实行远程不见面磋商。</w:t>
            </w:r>
          </w:p>
        </w:tc>
      </w:tr>
      <w:tr w14:paraId="6786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B0E86E9">
            <w:pPr>
              <w:jc w:val="center"/>
              <w:rPr>
                <w:rFonts w:ascii="宋体" w:hAnsi="宋体"/>
                <w:color w:val="000000"/>
                <w:sz w:val="24"/>
                <w:highlight w:val="none"/>
              </w:rPr>
            </w:pPr>
            <w:r>
              <w:rPr>
                <w:rFonts w:hint="eastAsia" w:ascii="宋体" w:hAnsi="宋体"/>
                <w:color w:val="000000"/>
                <w:sz w:val="24"/>
                <w:highlight w:val="none"/>
              </w:rPr>
              <w:t>33</w:t>
            </w:r>
          </w:p>
        </w:tc>
        <w:tc>
          <w:tcPr>
            <w:tcW w:w="1909" w:type="dxa"/>
            <w:tcBorders>
              <w:top w:val="single" w:color="auto" w:sz="4" w:space="0"/>
              <w:left w:val="nil"/>
              <w:bottom w:val="single" w:color="auto" w:sz="4" w:space="0"/>
              <w:right w:val="single" w:color="auto" w:sz="4" w:space="0"/>
            </w:tcBorders>
            <w:vAlign w:val="center"/>
          </w:tcPr>
          <w:p w14:paraId="097DB15E">
            <w:pPr>
              <w:rPr>
                <w:rFonts w:ascii="宋体" w:hAnsi="宋体"/>
                <w:color w:val="000000"/>
                <w:sz w:val="24"/>
                <w:highlight w:val="none"/>
              </w:rPr>
            </w:pPr>
            <w:r>
              <w:rPr>
                <w:rFonts w:hint="eastAsia" w:ascii="宋体" w:hAnsi="宋体"/>
                <w:color w:val="000000"/>
                <w:sz w:val="24"/>
                <w:highlight w:val="none"/>
              </w:rPr>
              <w:t>是否退还响应文件</w:t>
            </w:r>
          </w:p>
        </w:tc>
        <w:tc>
          <w:tcPr>
            <w:tcW w:w="6887" w:type="dxa"/>
            <w:tcBorders>
              <w:top w:val="single" w:color="auto" w:sz="4" w:space="0"/>
              <w:left w:val="nil"/>
              <w:bottom w:val="single" w:color="auto" w:sz="4" w:space="0"/>
              <w:right w:val="single" w:color="auto" w:sz="4" w:space="0"/>
            </w:tcBorders>
            <w:vAlign w:val="center"/>
          </w:tcPr>
          <w:p w14:paraId="59D8E50F">
            <w:pPr>
              <w:spacing w:line="288" w:lineRule="auto"/>
              <w:rPr>
                <w:rFonts w:ascii="宋体" w:hAnsi="宋体"/>
                <w:sz w:val="24"/>
                <w:highlight w:val="none"/>
              </w:rPr>
            </w:pPr>
            <w:r>
              <w:rPr>
                <w:rFonts w:hint="eastAsia" w:ascii="宋体" w:hAnsi="宋体"/>
                <w:sz w:val="24"/>
                <w:highlight w:val="none"/>
              </w:rPr>
              <w:t>否</w:t>
            </w:r>
          </w:p>
        </w:tc>
      </w:tr>
      <w:tr w14:paraId="1F3D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F2E96D1">
            <w:pPr>
              <w:jc w:val="center"/>
              <w:rPr>
                <w:rFonts w:ascii="宋体" w:hAnsi="宋体"/>
                <w:color w:val="000000"/>
                <w:sz w:val="24"/>
                <w:highlight w:val="none"/>
              </w:rPr>
            </w:pPr>
            <w:r>
              <w:rPr>
                <w:rFonts w:hint="eastAsia" w:ascii="宋体" w:hAnsi="宋体"/>
                <w:color w:val="000000"/>
                <w:sz w:val="24"/>
                <w:highlight w:val="none"/>
              </w:rPr>
              <w:t>34</w:t>
            </w:r>
          </w:p>
        </w:tc>
        <w:tc>
          <w:tcPr>
            <w:tcW w:w="1909" w:type="dxa"/>
            <w:tcBorders>
              <w:top w:val="single" w:color="auto" w:sz="4" w:space="0"/>
              <w:left w:val="nil"/>
              <w:bottom w:val="single" w:color="auto" w:sz="4" w:space="0"/>
              <w:right w:val="single" w:color="auto" w:sz="4" w:space="0"/>
            </w:tcBorders>
            <w:vAlign w:val="center"/>
          </w:tcPr>
          <w:p w14:paraId="22BD95E5">
            <w:pPr>
              <w:rPr>
                <w:rFonts w:ascii="宋体" w:hAnsi="宋体"/>
                <w:color w:val="000000"/>
                <w:sz w:val="24"/>
                <w:highlight w:val="none"/>
              </w:rPr>
            </w:pPr>
            <w:r>
              <w:rPr>
                <w:rFonts w:hint="eastAsia" w:ascii="宋体" w:hAnsi="宋体"/>
                <w:color w:val="000000"/>
                <w:sz w:val="24"/>
                <w:highlight w:val="none"/>
              </w:rPr>
              <w:t>开标程序</w:t>
            </w:r>
          </w:p>
        </w:tc>
        <w:tc>
          <w:tcPr>
            <w:tcW w:w="6887" w:type="dxa"/>
            <w:tcBorders>
              <w:top w:val="single" w:color="auto" w:sz="4" w:space="0"/>
              <w:left w:val="nil"/>
              <w:bottom w:val="single" w:color="auto" w:sz="4" w:space="0"/>
              <w:right w:val="single" w:color="auto" w:sz="4" w:space="0"/>
            </w:tcBorders>
            <w:vAlign w:val="center"/>
          </w:tcPr>
          <w:p w14:paraId="66BF67DC">
            <w:pPr>
              <w:jc w:val="left"/>
              <w:rPr>
                <w:rFonts w:ascii="宋体" w:hAnsi="宋体"/>
                <w:sz w:val="24"/>
                <w:highlight w:val="none"/>
              </w:rPr>
            </w:pPr>
            <w:r>
              <w:rPr>
                <w:rFonts w:hint="eastAsia" w:ascii="宋体" w:hAnsi="宋体"/>
                <w:sz w:val="24"/>
                <w:highlight w:val="none"/>
              </w:rPr>
              <w:t>主持人开标按下列程序进行开标：</w:t>
            </w:r>
          </w:p>
          <w:p w14:paraId="2C3578C4">
            <w:pPr>
              <w:jc w:val="left"/>
              <w:rPr>
                <w:rFonts w:ascii="宋体" w:hAnsi="宋体"/>
                <w:sz w:val="24"/>
                <w:highlight w:val="none"/>
              </w:rPr>
            </w:pPr>
            <w:r>
              <w:rPr>
                <w:rFonts w:hint="eastAsia" w:ascii="宋体" w:hAnsi="宋体"/>
                <w:sz w:val="24"/>
                <w:highlight w:val="none"/>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sz w:val="24"/>
                <w:highlight w:val="none"/>
              </w:rPr>
              <w:t>）,在线准时参加开标活动并进行投标文件解密等。每位投标人的解密时间为开标时间起30分钟内完成。</w:t>
            </w:r>
          </w:p>
        </w:tc>
      </w:tr>
      <w:tr w14:paraId="2833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A2AD258">
            <w:pPr>
              <w:jc w:val="center"/>
              <w:rPr>
                <w:rFonts w:ascii="宋体" w:hAnsi="宋体"/>
                <w:color w:val="000000"/>
                <w:sz w:val="24"/>
                <w:highlight w:val="none"/>
              </w:rPr>
            </w:pPr>
            <w:r>
              <w:rPr>
                <w:rFonts w:hint="eastAsia" w:ascii="宋体" w:hAnsi="宋体"/>
                <w:color w:val="000000"/>
                <w:sz w:val="24"/>
                <w:highlight w:val="none"/>
              </w:rPr>
              <w:t>35</w:t>
            </w:r>
          </w:p>
        </w:tc>
        <w:tc>
          <w:tcPr>
            <w:tcW w:w="1909" w:type="dxa"/>
            <w:tcBorders>
              <w:top w:val="single" w:color="auto" w:sz="4" w:space="0"/>
              <w:left w:val="nil"/>
              <w:bottom w:val="single" w:color="auto" w:sz="4" w:space="0"/>
              <w:right w:val="single" w:color="auto" w:sz="4" w:space="0"/>
            </w:tcBorders>
            <w:vAlign w:val="center"/>
          </w:tcPr>
          <w:p w14:paraId="0E4A3908">
            <w:pPr>
              <w:rPr>
                <w:rFonts w:ascii="宋体" w:hAnsi="宋体"/>
                <w:color w:val="000000"/>
                <w:sz w:val="24"/>
                <w:highlight w:val="none"/>
              </w:rPr>
            </w:pPr>
            <w:r>
              <w:rPr>
                <w:rFonts w:hint="eastAsia" w:ascii="宋体" w:hAnsi="宋体"/>
                <w:color w:val="000000"/>
                <w:sz w:val="24"/>
                <w:highlight w:val="none"/>
              </w:rPr>
              <w:t>磋商小组的组建</w:t>
            </w:r>
          </w:p>
        </w:tc>
        <w:tc>
          <w:tcPr>
            <w:tcW w:w="6887" w:type="dxa"/>
            <w:tcBorders>
              <w:top w:val="single" w:color="auto" w:sz="4" w:space="0"/>
              <w:left w:val="nil"/>
              <w:bottom w:val="single" w:color="auto" w:sz="4" w:space="0"/>
              <w:right w:val="single" w:color="auto" w:sz="4" w:space="0"/>
            </w:tcBorders>
            <w:vAlign w:val="center"/>
          </w:tcPr>
          <w:p w14:paraId="2D2A760B">
            <w:pPr>
              <w:rPr>
                <w:rFonts w:ascii="宋体" w:hAnsi="宋体"/>
                <w:color w:val="000000"/>
                <w:sz w:val="24"/>
                <w:highlight w:val="none"/>
              </w:rPr>
            </w:pPr>
            <w:r>
              <w:rPr>
                <w:rFonts w:hint="eastAsia" w:ascii="宋体" w:hAnsi="宋体" w:cs="宋体"/>
                <w:sz w:val="24"/>
                <w:szCs w:val="20"/>
                <w:highlight w:val="none"/>
              </w:rPr>
              <w:t>磋商小组成员3人，其中采购人代表 1 人，其余技术、经济等方面的专家 2 人从三门峡市综合评标专家库中随机抽取。</w:t>
            </w:r>
          </w:p>
        </w:tc>
      </w:tr>
      <w:tr w14:paraId="1A2B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7185738">
            <w:pPr>
              <w:jc w:val="center"/>
              <w:rPr>
                <w:rFonts w:ascii="宋体" w:hAnsi="宋体"/>
                <w:color w:val="000000"/>
                <w:sz w:val="24"/>
                <w:highlight w:val="none"/>
              </w:rPr>
            </w:pPr>
            <w:r>
              <w:rPr>
                <w:rFonts w:hint="eastAsia" w:ascii="宋体" w:hAnsi="宋体"/>
                <w:color w:val="000000"/>
                <w:sz w:val="24"/>
                <w:highlight w:val="none"/>
              </w:rPr>
              <w:t>36</w:t>
            </w:r>
          </w:p>
        </w:tc>
        <w:tc>
          <w:tcPr>
            <w:tcW w:w="1909" w:type="dxa"/>
            <w:tcBorders>
              <w:top w:val="single" w:color="auto" w:sz="4" w:space="0"/>
              <w:left w:val="nil"/>
              <w:bottom w:val="single" w:color="auto" w:sz="4" w:space="0"/>
              <w:right w:val="single" w:color="auto" w:sz="4" w:space="0"/>
            </w:tcBorders>
            <w:vAlign w:val="center"/>
          </w:tcPr>
          <w:p w14:paraId="736310E8">
            <w:pPr>
              <w:rPr>
                <w:rFonts w:ascii="宋体" w:hAnsi="宋体"/>
                <w:color w:val="000000"/>
                <w:sz w:val="24"/>
                <w:highlight w:val="none"/>
              </w:rPr>
            </w:pPr>
            <w:r>
              <w:rPr>
                <w:rFonts w:hint="eastAsia" w:ascii="宋体" w:hAnsi="宋体"/>
                <w:color w:val="000000"/>
                <w:sz w:val="24"/>
                <w:highlight w:val="none"/>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70619961">
            <w:pPr>
              <w:spacing w:line="288" w:lineRule="auto"/>
              <w:rPr>
                <w:rFonts w:ascii="宋体" w:hAnsi="宋体"/>
                <w:color w:val="000000"/>
                <w:sz w:val="24"/>
                <w:highlight w:val="none"/>
              </w:rPr>
            </w:pPr>
            <w:r>
              <w:rPr>
                <w:rFonts w:hint="eastAsia" w:ascii="宋体" w:hAnsi="宋体"/>
                <w:color w:val="000000"/>
                <w:sz w:val="24"/>
                <w:highlight w:val="none"/>
              </w:rPr>
              <w:t>否，按顺序推荐的中标候选人数：</w:t>
            </w:r>
            <w:r>
              <w:rPr>
                <w:rFonts w:hint="eastAsia" w:ascii="宋体" w:hAnsi="宋体"/>
                <w:color w:val="000000"/>
                <w:sz w:val="24"/>
                <w:highlight w:val="none"/>
                <w:u w:val="single"/>
              </w:rPr>
              <w:t>3名</w:t>
            </w:r>
          </w:p>
        </w:tc>
      </w:tr>
      <w:tr w14:paraId="5938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7709DE3">
            <w:pPr>
              <w:spacing w:line="312" w:lineRule="auto"/>
              <w:jc w:val="center"/>
              <w:rPr>
                <w:rFonts w:ascii="宋体" w:hAnsi="宋体"/>
                <w:color w:val="000000"/>
                <w:sz w:val="24"/>
                <w:highlight w:val="none"/>
              </w:rPr>
            </w:pPr>
            <w:r>
              <w:rPr>
                <w:rFonts w:hint="eastAsia" w:ascii="宋体" w:hAnsi="宋体"/>
                <w:color w:val="000000"/>
                <w:sz w:val="24"/>
                <w:highlight w:val="none"/>
              </w:rPr>
              <w:t>37</w:t>
            </w:r>
          </w:p>
        </w:tc>
        <w:tc>
          <w:tcPr>
            <w:tcW w:w="1909" w:type="dxa"/>
            <w:tcBorders>
              <w:top w:val="single" w:color="auto" w:sz="4" w:space="0"/>
              <w:left w:val="nil"/>
              <w:bottom w:val="single" w:color="auto" w:sz="4" w:space="0"/>
              <w:right w:val="single" w:color="auto" w:sz="4" w:space="0"/>
            </w:tcBorders>
            <w:vAlign w:val="center"/>
          </w:tcPr>
          <w:p w14:paraId="7ABC0251">
            <w:pPr>
              <w:spacing w:line="312" w:lineRule="auto"/>
              <w:rPr>
                <w:rFonts w:ascii="宋体" w:hAnsi="宋体"/>
                <w:color w:val="000000"/>
                <w:sz w:val="24"/>
                <w:highlight w:val="none"/>
              </w:rPr>
            </w:pPr>
            <w:r>
              <w:rPr>
                <w:rFonts w:hint="eastAsia" w:ascii="宋体" w:hAnsi="宋体" w:cs="宋体"/>
                <w:sz w:val="24"/>
                <w:highlight w:val="none"/>
              </w:rPr>
              <w:t>采购预算金额及</w:t>
            </w:r>
            <w:r>
              <w:rPr>
                <w:rFonts w:hint="eastAsia" w:ascii="宋体" w:hAnsi="宋体" w:cs="宋体"/>
                <w:bCs/>
                <w:sz w:val="24"/>
                <w:highlight w:val="none"/>
              </w:rPr>
              <w:t>最高限价</w:t>
            </w:r>
          </w:p>
        </w:tc>
        <w:tc>
          <w:tcPr>
            <w:tcW w:w="6887" w:type="dxa"/>
            <w:tcBorders>
              <w:top w:val="single" w:color="auto" w:sz="4" w:space="0"/>
              <w:left w:val="nil"/>
              <w:bottom w:val="single" w:color="auto" w:sz="4" w:space="0"/>
              <w:right w:val="single" w:color="auto" w:sz="4" w:space="0"/>
            </w:tcBorders>
            <w:vAlign w:val="center"/>
          </w:tcPr>
          <w:p w14:paraId="20463AEE">
            <w:pPr>
              <w:wordWrap w:val="0"/>
              <w:spacing w:line="240" w:lineRule="auto"/>
              <w:jc w:val="left"/>
              <w:rPr>
                <w:rFonts w:ascii="宋体" w:hAnsi="宋体" w:cs="宋体"/>
                <w:sz w:val="24"/>
                <w:szCs w:val="20"/>
                <w:highlight w:val="none"/>
              </w:rPr>
            </w:pPr>
            <w:r>
              <w:rPr>
                <w:rFonts w:hint="eastAsia" w:ascii="宋体" w:hAnsi="宋体" w:cs="宋体"/>
                <w:sz w:val="24"/>
                <w:szCs w:val="20"/>
                <w:highlight w:val="none"/>
              </w:rPr>
              <w:t>招标控制价：￥</w:t>
            </w:r>
            <w:r>
              <w:rPr>
                <w:rFonts w:hint="eastAsia" w:ascii="宋体" w:hAnsi="宋体" w:cs="宋体"/>
                <w:sz w:val="24"/>
                <w:szCs w:val="20"/>
                <w:highlight w:val="none"/>
                <w:lang w:eastAsia="zh-CN"/>
              </w:rPr>
              <w:t>600000.00元</w:t>
            </w:r>
          </w:p>
          <w:p w14:paraId="5F718A28">
            <w:pPr>
              <w:rPr>
                <w:rFonts w:ascii="宋体" w:hAnsi="宋体"/>
                <w:sz w:val="24"/>
                <w:highlight w:val="none"/>
              </w:rPr>
            </w:pPr>
            <w:r>
              <w:rPr>
                <w:rFonts w:hint="eastAsia" w:ascii="宋体" w:hAnsi="宋体" w:cs="宋体"/>
                <w:sz w:val="24"/>
                <w:szCs w:val="20"/>
                <w:highlight w:val="none"/>
              </w:rPr>
              <w:t>本次竞争性磋商分为两轮报价。磋商供应商响应性文件中的报价作为第一次报价，不得高于项目预算金额且不公开；第二轮报价不得高于第一轮报价,参与评标报价以最终报价为准。</w:t>
            </w:r>
          </w:p>
        </w:tc>
      </w:tr>
      <w:tr w14:paraId="3AFD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0B7E58">
            <w:pPr>
              <w:spacing w:line="312" w:lineRule="auto"/>
              <w:jc w:val="center"/>
              <w:rPr>
                <w:rFonts w:ascii="宋体" w:hAnsi="宋体"/>
                <w:color w:val="000000"/>
                <w:sz w:val="24"/>
                <w:highlight w:val="none"/>
              </w:rPr>
            </w:pPr>
            <w:r>
              <w:rPr>
                <w:rFonts w:hint="eastAsia" w:ascii="宋体" w:hAnsi="宋体"/>
                <w:color w:val="000000"/>
                <w:sz w:val="24"/>
                <w:highlight w:val="none"/>
              </w:rPr>
              <w:t>38</w:t>
            </w:r>
          </w:p>
        </w:tc>
        <w:tc>
          <w:tcPr>
            <w:tcW w:w="1909" w:type="dxa"/>
            <w:tcBorders>
              <w:top w:val="single" w:color="auto" w:sz="4" w:space="0"/>
              <w:left w:val="nil"/>
              <w:bottom w:val="single" w:color="auto" w:sz="4" w:space="0"/>
              <w:right w:val="single" w:color="auto" w:sz="4" w:space="0"/>
            </w:tcBorders>
            <w:vAlign w:val="center"/>
          </w:tcPr>
          <w:p w14:paraId="677F4413">
            <w:pPr>
              <w:spacing w:line="312" w:lineRule="auto"/>
              <w:rPr>
                <w:rFonts w:ascii="宋体" w:hAnsi="宋体" w:cs="宋体"/>
                <w:sz w:val="24"/>
                <w:highlight w:val="none"/>
              </w:rPr>
            </w:pPr>
            <w:r>
              <w:rPr>
                <w:rFonts w:hint="eastAsia" w:ascii="宋体" w:hAnsi="宋体" w:cs="宋体"/>
                <w:sz w:val="24"/>
                <w:highlight w:val="none"/>
              </w:rPr>
              <w:t>付款方式</w:t>
            </w:r>
          </w:p>
        </w:tc>
        <w:tc>
          <w:tcPr>
            <w:tcW w:w="6887" w:type="dxa"/>
            <w:tcBorders>
              <w:top w:val="single" w:color="auto" w:sz="4" w:space="0"/>
              <w:left w:val="nil"/>
              <w:bottom w:val="single" w:color="auto" w:sz="4" w:space="0"/>
              <w:right w:val="single" w:color="auto" w:sz="4" w:space="0"/>
            </w:tcBorders>
            <w:vAlign w:val="center"/>
          </w:tcPr>
          <w:p w14:paraId="64FBBFCE">
            <w:pPr>
              <w:rPr>
                <w:rFonts w:ascii="宋体" w:hAnsi="宋体" w:cs="宋体"/>
                <w:sz w:val="24"/>
                <w:szCs w:val="20"/>
                <w:highlight w:val="none"/>
              </w:rPr>
            </w:pPr>
            <w:r>
              <w:rPr>
                <w:rFonts w:hint="eastAsia" w:ascii="宋体" w:hAnsi="宋体" w:cs="宋体"/>
                <w:sz w:val="24"/>
                <w:szCs w:val="20"/>
                <w:highlight w:val="none"/>
              </w:rPr>
              <w:t>供货完成后经三门峡市陕州区农业农村局组织人员验收</w:t>
            </w:r>
            <w:r>
              <w:rPr>
                <w:rFonts w:hint="eastAsia" w:ascii="宋体" w:hAnsi="宋体" w:cs="宋体"/>
                <w:sz w:val="24"/>
                <w:szCs w:val="20"/>
                <w:highlight w:val="none"/>
                <w:lang w:eastAsia="zh-CN"/>
              </w:rPr>
              <w:t>符合国家相关规范及标准要求</w:t>
            </w:r>
            <w:r>
              <w:rPr>
                <w:rFonts w:hint="eastAsia" w:ascii="宋体" w:hAnsi="宋体" w:cs="宋体"/>
                <w:sz w:val="24"/>
                <w:szCs w:val="20"/>
                <w:highlight w:val="none"/>
              </w:rPr>
              <w:t>后，由采购人和供应商双方自行商定。</w:t>
            </w:r>
          </w:p>
        </w:tc>
      </w:tr>
      <w:tr w14:paraId="52A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4E267C">
            <w:pPr>
              <w:spacing w:line="312" w:lineRule="auto"/>
              <w:jc w:val="center"/>
              <w:rPr>
                <w:rFonts w:ascii="宋体" w:hAnsi="宋体"/>
                <w:color w:val="000000"/>
                <w:sz w:val="24"/>
                <w:highlight w:val="none"/>
              </w:rPr>
            </w:pPr>
            <w:r>
              <w:rPr>
                <w:rFonts w:hint="eastAsia" w:ascii="宋体" w:hAnsi="宋体"/>
                <w:color w:val="000000"/>
                <w:sz w:val="24"/>
                <w:highlight w:val="none"/>
              </w:rPr>
              <w:t>39</w:t>
            </w:r>
          </w:p>
        </w:tc>
        <w:tc>
          <w:tcPr>
            <w:tcW w:w="1909" w:type="dxa"/>
            <w:tcBorders>
              <w:top w:val="single" w:color="auto" w:sz="4" w:space="0"/>
              <w:left w:val="nil"/>
              <w:bottom w:val="single" w:color="auto" w:sz="4" w:space="0"/>
              <w:right w:val="single" w:color="auto" w:sz="4" w:space="0"/>
            </w:tcBorders>
            <w:vAlign w:val="center"/>
          </w:tcPr>
          <w:p w14:paraId="7A3FD3DF">
            <w:pPr>
              <w:spacing w:line="312" w:lineRule="auto"/>
              <w:ind w:firstLine="372"/>
              <w:rPr>
                <w:rFonts w:ascii="宋体" w:hAnsi="宋体" w:cs="宋体"/>
                <w:sz w:val="24"/>
                <w:highlight w:val="none"/>
              </w:rPr>
            </w:pPr>
            <w:r>
              <w:rPr>
                <w:rFonts w:hint="eastAsia" w:ascii="宋体" w:hAnsi="宋体" w:cs="宋体"/>
                <w:sz w:val="24"/>
                <w:highlight w:val="none"/>
              </w:rPr>
              <w:t>重新招标</w:t>
            </w:r>
          </w:p>
        </w:tc>
        <w:tc>
          <w:tcPr>
            <w:tcW w:w="6887" w:type="dxa"/>
            <w:tcBorders>
              <w:top w:val="single" w:color="auto" w:sz="4" w:space="0"/>
              <w:left w:val="nil"/>
              <w:bottom w:val="single" w:color="auto" w:sz="4" w:space="0"/>
              <w:right w:val="single" w:color="auto" w:sz="4" w:space="0"/>
            </w:tcBorders>
            <w:vAlign w:val="center"/>
          </w:tcPr>
          <w:p w14:paraId="74F74A9F">
            <w:pPr>
              <w:tabs>
                <w:tab w:val="left" w:pos="1463"/>
              </w:tabs>
              <w:rPr>
                <w:rFonts w:ascii="宋体" w:hAnsi="宋体" w:cs="宋体"/>
                <w:sz w:val="24"/>
                <w:szCs w:val="20"/>
                <w:highlight w:val="none"/>
              </w:rPr>
            </w:pPr>
            <w:r>
              <w:rPr>
                <w:rFonts w:hint="eastAsia" w:ascii="宋体" w:hAnsi="宋体" w:cs="宋体"/>
                <w:sz w:val="24"/>
                <w:szCs w:val="20"/>
                <w:highlight w:val="none"/>
              </w:rPr>
              <w:t>出现下列情形之一的，采购人或者招标代理机构应当终止竞争性磋商活动，发布项目终止公告并说明原因，重新开展招标活动：</w:t>
            </w:r>
          </w:p>
          <w:p w14:paraId="6A8EF77A">
            <w:pPr>
              <w:tabs>
                <w:tab w:val="left" w:pos="1463"/>
              </w:tabs>
              <w:rPr>
                <w:rFonts w:ascii="宋体" w:hAnsi="宋体" w:cs="宋体"/>
                <w:sz w:val="24"/>
                <w:szCs w:val="20"/>
                <w:highlight w:val="none"/>
              </w:rPr>
            </w:pPr>
            <w:r>
              <w:rPr>
                <w:rFonts w:hint="eastAsia" w:ascii="宋体" w:hAnsi="宋体" w:cs="宋体"/>
                <w:sz w:val="24"/>
                <w:szCs w:val="20"/>
                <w:highlight w:val="none"/>
              </w:rPr>
              <w:t>（一）因情况变化，不再符合规定的竞争性磋商采购方式适用情形的；</w:t>
            </w:r>
          </w:p>
          <w:p w14:paraId="57D283C5">
            <w:pPr>
              <w:tabs>
                <w:tab w:val="left" w:pos="1463"/>
              </w:tabs>
              <w:rPr>
                <w:rFonts w:ascii="宋体" w:hAnsi="宋体" w:cs="宋体"/>
                <w:sz w:val="24"/>
                <w:szCs w:val="20"/>
                <w:highlight w:val="none"/>
              </w:rPr>
            </w:pPr>
            <w:r>
              <w:rPr>
                <w:rFonts w:hint="eastAsia" w:ascii="宋体" w:hAnsi="宋体" w:cs="宋体"/>
                <w:sz w:val="24"/>
                <w:szCs w:val="20"/>
                <w:highlight w:val="none"/>
              </w:rPr>
              <w:t>（二）出现影响采购公正的违法、违规行为的；</w:t>
            </w:r>
          </w:p>
          <w:p w14:paraId="40AF69C6">
            <w:pPr>
              <w:tabs>
                <w:tab w:val="left" w:pos="1463"/>
              </w:tabs>
              <w:rPr>
                <w:rFonts w:ascii="宋体" w:hAnsi="宋体" w:cs="宋体"/>
                <w:sz w:val="24"/>
                <w:szCs w:val="20"/>
                <w:highlight w:val="none"/>
              </w:rPr>
            </w:pPr>
            <w:r>
              <w:rPr>
                <w:rFonts w:hint="eastAsia" w:ascii="宋体" w:hAnsi="宋体" w:cs="宋体"/>
                <w:sz w:val="24"/>
                <w:szCs w:val="20"/>
                <w:highlight w:val="none"/>
              </w:rPr>
              <w:t>（三）除《政府采购竞争性磋商采购方式管理暂行办法》第二十一条第三款规定的情形外，在采购过程中符合要求的供应商或者报价未超过采购预算的供应商不足3家的。</w:t>
            </w:r>
          </w:p>
        </w:tc>
      </w:tr>
      <w:tr w14:paraId="387C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D5FF307">
            <w:pPr>
              <w:spacing w:line="312" w:lineRule="auto"/>
              <w:jc w:val="center"/>
              <w:rPr>
                <w:rFonts w:ascii="宋体" w:hAnsi="宋体"/>
                <w:color w:val="000000"/>
                <w:sz w:val="24"/>
                <w:highlight w:val="none"/>
              </w:rPr>
            </w:pPr>
            <w:r>
              <w:rPr>
                <w:rFonts w:hint="eastAsia" w:ascii="宋体" w:hAnsi="宋体"/>
                <w:color w:val="000000"/>
                <w:sz w:val="24"/>
                <w:highlight w:val="none"/>
              </w:rPr>
              <w:t>40</w:t>
            </w:r>
          </w:p>
        </w:tc>
        <w:tc>
          <w:tcPr>
            <w:tcW w:w="1909" w:type="dxa"/>
            <w:tcBorders>
              <w:top w:val="single" w:color="auto" w:sz="4" w:space="0"/>
              <w:left w:val="nil"/>
              <w:bottom w:val="single" w:color="auto" w:sz="4" w:space="0"/>
              <w:right w:val="single" w:color="auto" w:sz="4" w:space="0"/>
            </w:tcBorders>
            <w:vAlign w:val="center"/>
          </w:tcPr>
          <w:p w14:paraId="1749F79F">
            <w:pPr>
              <w:jc w:val="left"/>
              <w:rPr>
                <w:rFonts w:ascii="宋体" w:hAnsi="宋体"/>
                <w:color w:val="000000"/>
                <w:sz w:val="24"/>
                <w:highlight w:val="none"/>
              </w:rPr>
            </w:pPr>
            <w:r>
              <w:rPr>
                <w:rFonts w:hint="eastAsia" w:ascii="宋体" w:hAnsi="宋体"/>
                <w:color w:val="000000"/>
                <w:sz w:val="24"/>
                <w:highlight w:val="none"/>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5CBA69DC">
            <w:pPr>
              <w:ind w:right="-153" w:rightChars="-73"/>
              <w:jc w:val="left"/>
              <w:rPr>
                <w:rFonts w:ascii="宋体" w:hAnsi="宋体"/>
                <w:color w:val="000000"/>
                <w:sz w:val="24"/>
                <w:highlight w:val="none"/>
              </w:rPr>
            </w:pPr>
            <w:r>
              <w:rPr>
                <w:rFonts w:hint="eastAsia" w:ascii="宋体" w:hAnsi="宋体"/>
                <w:color w:val="000000"/>
                <w:sz w:val="24"/>
                <w:highlight w:val="none"/>
              </w:rPr>
              <w:t>在符合相关法律法规的前题下，竞争性磋商文件的解释权归采购人所有。本竞争性磋商文件中其他部分内容与响应人须知前附表不一致的，以响应人须知前附表为准。</w:t>
            </w:r>
          </w:p>
        </w:tc>
      </w:tr>
      <w:tr w14:paraId="5A2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CE2A83">
            <w:pPr>
              <w:jc w:val="center"/>
              <w:rPr>
                <w:rFonts w:ascii="宋体" w:hAnsi="宋体"/>
                <w:b/>
                <w:bCs/>
                <w:color w:val="000000"/>
                <w:sz w:val="24"/>
                <w:highlight w:val="none"/>
              </w:rPr>
            </w:pPr>
            <w:r>
              <w:rPr>
                <w:rFonts w:hint="eastAsia" w:ascii="宋体" w:hAnsi="宋体"/>
                <w:color w:val="000000"/>
                <w:sz w:val="24"/>
                <w:highlight w:val="none"/>
              </w:rPr>
              <w:t>41</w:t>
            </w:r>
          </w:p>
        </w:tc>
        <w:tc>
          <w:tcPr>
            <w:tcW w:w="1909" w:type="dxa"/>
            <w:tcBorders>
              <w:top w:val="single" w:color="auto" w:sz="4" w:space="0"/>
              <w:left w:val="nil"/>
              <w:bottom w:val="single" w:color="auto" w:sz="4" w:space="0"/>
              <w:right w:val="single" w:color="auto" w:sz="4" w:space="0"/>
            </w:tcBorders>
            <w:vAlign w:val="center"/>
          </w:tcPr>
          <w:p w14:paraId="6DEF7D28">
            <w:pPr>
              <w:jc w:val="center"/>
              <w:rPr>
                <w:rFonts w:ascii="宋体" w:hAnsi="宋体"/>
                <w:color w:val="000000"/>
                <w:sz w:val="24"/>
                <w:highlight w:val="none"/>
              </w:rPr>
            </w:pPr>
            <w:r>
              <w:rPr>
                <w:rFonts w:hint="eastAsia" w:ascii="宋体" w:hAnsi="宋体"/>
                <w:color w:val="000000"/>
                <w:sz w:val="24"/>
                <w:highlight w:val="none"/>
              </w:rPr>
              <w:t>答疑</w:t>
            </w:r>
          </w:p>
        </w:tc>
        <w:tc>
          <w:tcPr>
            <w:tcW w:w="6887" w:type="dxa"/>
            <w:tcBorders>
              <w:top w:val="single" w:color="auto" w:sz="4" w:space="0"/>
              <w:left w:val="nil"/>
              <w:bottom w:val="single" w:color="auto" w:sz="4" w:space="0"/>
              <w:right w:val="single" w:color="auto" w:sz="4" w:space="0"/>
            </w:tcBorders>
            <w:vAlign w:val="center"/>
          </w:tcPr>
          <w:p w14:paraId="14558FE9">
            <w:pPr>
              <w:ind w:right="-153" w:rightChars="-73"/>
              <w:jc w:val="left"/>
              <w:rPr>
                <w:rFonts w:ascii="宋体" w:hAnsi="宋体"/>
                <w:b/>
                <w:bCs/>
                <w:color w:val="000000"/>
                <w:sz w:val="24"/>
                <w:highlight w:val="none"/>
              </w:rPr>
            </w:pPr>
            <w:r>
              <w:rPr>
                <w:rFonts w:hint="eastAsia" w:ascii="宋体" w:hAnsi="宋体"/>
                <w:color w:val="000000"/>
                <w:sz w:val="24"/>
                <w:highlight w:val="none"/>
              </w:rPr>
              <w:t>需要解答的疑问以书面形式加盖单位公章递交至采购人或代理机构，逾期提交的问题概不做回复。采购人将需要解答的内容以公告形式发至所有潜在响应人。</w:t>
            </w:r>
          </w:p>
        </w:tc>
      </w:tr>
      <w:tr w14:paraId="73B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1133A1B6">
            <w:pPr>
              <w:rPr>
                <w:rFonts w:ascii="宋体" w:hAnsi="宋体"/>
                <w:color w:val="000000"/>
                <w:sz w:val="24"/>
                <w:highlight w:val="none"/>
              </w:rPr>
            </w:pPr>
            <w:r>
              <w:rPr>
                <w:rFonts w:hint="eastAsia" w:ascii="宋体" w:hAnsi="宋体"/>
                <w:color w:val="000000"/>
                <w:sz w:val="24"/>
                <w:highlight w:val="none"/>
              </w:rPr>
              <w:t>42 电子化交易注意事项</w:t>
            </w:r>
          </w:p>
        </w:tc>
      </w:tr>
      <w:tr w14:paraId="3339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9EEBCF8">
            <w:pPr>
              <w:jc w:val="center"/>
              <w:rPr>
                <w:rFonts w:ascii="宋体" w:hAnsi="宋体"/>
                <w:color w:val="000000"/>
                <w:sz w:val="24"/>
                <w:highlight w:val="none"/>
              </w:rPr>
            </w:pPr>
          </w:p>
        </w:tc>
        <w:tc>
          <w:tcPr>
            <w:tcW w:w="8796" w:type="dxa"/>
            <w:gridSpan w:val="2"/>
            <w:tcBorders>
              <w:top w:val="single" w:color="auto" w:sz="4" w:space="0"/>
              <w:left w:val="nil"/>
              <w:bottom w:val="single" w:color="auto" w:sz="4" w:space="0"/>
              <w:right w:val="single" w:color="auto" w:sz="4" w:space="0"/>
            </w:tcBorders>
            <w:vAlign w:val="center"/>
          </w:tcPr>
          <w:p w14:paraId="1F58ECC9">
            <w:pPr>
              <w:widowControl/>
              <w:snapToGrid w:val="0"/>
              <w:spacing w:line="460" w:lineRule="exact"/>
              <w:rPr>
                <w:rFonts w:ascii="宋体" w:hAnsi="宋体"/>
                <w:sz w:val="24"/>
                <w:highlight w:val="none"/>
              </w:rPr>
            </w:pPr>
            <w:r>
              <w:rPr>
                <w:rFonts w:hint="eastAsia" w:ascii="宋体" w:hAnsi="宋体"/>
                <w:sz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3CFED905">
            <w:pPr>
              <w:widowControl/>
              <w:snapToGrid w:val="0"/>
              <w:spacing w:line="460" w:lineRule="exact"/>
              <w:rPr>
                <w:rFonts w:ascii="宋体" w:hAnsi="宋体"/>
                <w:sz w:val="24"/>
                <w:highlight w:val="none"/>
              </w:rPr>
            </w:pPr>
            <w:r>
              <w:rPr>
                <w:rFonts w:hint="eastAsia" w:ascii="宋体" w:hAnsi="宋体"/>
                <w:sz w:val="24"/>
                <w:highlight w:val="none"/>
              </w:rPr>
              <w:t>电子化响应性文件具体制作教材请供应商通过CA证书登录三门峡市公共资源电子化交易系统在 “交易智库”中下载操作流程</w:t>
            </w:r>
          </w:p>
          <w:p w14:paraId="15C4A7E0">
            <w:pPr>
              <w:widowControl/>
              <w:snapToGrid w:val="0"/>
              <w:spacing w:line="460" w:lineRule="exact"/>
              <w:rPr>
                <w:rFonts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4E58633F">
            <w:pPr>
              <w:widowControl/>
              <w:snapToGrid w:val="0"/>
              <w:spacing w:line="460" w:lineRule="exact"/>
              <w:ind w:firstLine="573"/>
              <w:rPr>
                <w:rFonts w:ascii="宋体" w:hAnsi="宋体"/>
                <w:sz w:val="24"/>
                <w:highlight w:val="none"/>
              </w:rPr>
            </w:pPr>
            <w:r>
              <w:rPr>
                <w:rFonts w:hint="eastAsia" w:ascii="宋体" w:hAnsi="宋体"/>
                <w:sz w:val="24"/>
                <w:highlight w:val="none"/>
              </w:rPr>
              <w:t>一、电子化投标</w:t>
            </w:r>
          </w:p>
          <w:p w14:paraId="7FB232C4">
            <w:pPr>
              <w:widowControl/>
              <w:snapToGrid w:val="0"/>
              <w:spacing w:line="460" w:lineRule="exact"/>
              <w:ind w:firstLine="573"/>
              <w:rPr>
                <w:rFonts w:ascii="宋体" w:hAnsi="宋体"/>
                <w:sz w:val="24"/>
                <w:highlight w:val="none"/>
              </w:rPr>
            </w:pPr>
            <w:r>
              <w:rPr>
                <w:rFonts w:hint="eastAsia" w:ascii="宋体" w:hAnsi="宋体"/>
                <w:sz w:val="24"/>
                <w:highlight w:val="none"/>
              </w:rPr>
              <w:t>（一）电子化响应性文件的签章</w:t>
            </w:r>
          </w:p>
          <w:p w14:paraId="20EE628D">
            <w:pPr>
              <w:widowControl/>
              <w:snapToGrid w:val="0"/>
              <w:spacing w:line="460" w:lineRule="exact"/>
              <w:ind w:firstLine="573"/>
              <w:rPr>
                <w:rFonts w:ascii="宋体" w:hAnsi="宋体"/>
                <w:sz w:val="24"/>
                <w:highlight w:val="none"/>
              </w:rPr>
            </w:pPr>
            <w:r>
              <w:rPr>
                <w:rFonts w:hint="eastAsia" w:ascii="宋体" w:hAnsi="宋体"/>
                <w:sz w:val="24"/>
                <w:highlight w:val="none"/>
              </w:rPr>
              <w:t>1、供应商在生成电子化响应性文件后，应对电子化响应性文件进行签章，未进行签章的视为无效投标。</w:t>
            </w:r>
          </w:p>
          <w:p w14:paraId="51DF1264">
            <w:pPr>
              <w:widowControl/>
              <w:snapToGrid w:val="0"/>
              <w:spacing w:line="460" w:lineRule="exact"/>
              <w:ind w:firstLine="573"/>
              <w:rPr>
                <w:rFonts w:ascii="宋体" w:hAnsi="宋体"/>
                <w:sz w:val="24"/>
                <w:highlight w:val="none"/>
              </w:rPr>
            </w:pPr>
            <w:r>
              <w:rPr>
                <w:rFonts w:hint="eastAsia" w:ascii="宋体" w:hAnsi="宋体"/>
                <w:sz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5B7CBFD2">
            <w:pPr>
              <w:widowControl/>
              <w:snapToGrid w:val="0"/>
              <w:spacing w:line="460" w:lineRule="exact"/>
              <w:ind w:firstLine="573"/>
              <w:rPr>
                <w:rFonts w:ascii="宋体" w:hAnsi="宋体"/>
                <w:sz w:val="24"/>
                <w:highlight w:val="none"/>
              </w:rPr>
            </w:pPr>
            <w:r>
              <w:rPr>
                <w:rFonts w:hint="eastAsia" w:ascii="宋体" w:hAnsi="宋体"/>
                <w:sz w:val="24"/>
                <w:highlight w:val="none"/>
              </w:rPr>
              <w:t>（二）电子化响应性文件的格式及上传投标</w:t>
            </w:r>
          </w:p>
          <w:p w14:paraId="0BF306EC">
            <w:pPr>
              <w:widowControl/>
              <w:snapToGrid w:val="0"/>
              <w:spacing w:line="460" w:lineRule="exact"/>
              <w:ind w:firstLine="573"/>
              <w:rPr>
                <w:rFonts w:ascii="宋体" w:hAnsi="宋体"/>
                <w:sz w:val="24"/>
                <w:highlight w:val="none"/>
              </w:rPr>
            </w:pPr>
            <w:r>
              <w:rPr>
                <w:rFonts w:hint="eastAsia" w:ascii="宋体" w:hAnsi="宋体"/>
                <w:sz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0CBFBDE">
            <w:pPr>
              <w:widowControl/>
              <w:snapToGrid w:val="0"/>
              <w:spacing w:line="460" w:lineRule="exact"/>
              <w:ind w:firstLine="573"/>
              <w:rPr>
                <w:rFonts w:ascii="宋体" w:hAnsi="宋体"/>
                <w:sz w:val="24"/>
                <w:highlight w:val="none"/>
              </w:rPr>
            </w:pPr>
            <w:r>
              <w:rPr>
                <w:rFonts w:hint="eastAsia" w:ascii="宋体" w:hAnsi="宋体"/>
                <w:sz w:val="24"/>
                <w:highlight w:val="none"/>
              </w:rPr>
              <w:t>注：供应商投报多个标段的，需要每个标段单独制作电子响应性文件。</w:t>
            </w:r>
          </w:p>
          <w:p w14:paraId="2E8E7C74">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2、电子化响应性文件应在投标截止时间前成功上传至三门峡市公共资源电子化交易系统。至投标截止时间止，仍未上传成功的电子化响应性文件将不予接收。</w:t>
            </w:r>
          </w:p>
          <w:p w14:paraId="59881A42">
            <w:pPr>
              <w:widowControl/>
              <w:snapToGrid w:val="0"/>
              <w:spacing w:line="460" w:lineRule="exact"/>
              <w:ind w:firstLine="573"/>
              <w:rPr>
                <w:rFonts w:ascii="宋体" w:hAnsi="宋体"/>
                <w:sz w:val="24"/>
                <w:highlight w:val="none"/>
              </w:rPr>
            </w:pPr>
            <w:r>
              <w:rPr>
                <w:rFonts w:hint="eastAsia" w:ascii="宋体" w:hAnsi="宋体"/>
                <w:sz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2E515085">
            <w:pPr>
              <w:widowControl/>
              <w:snapToGrid w:val="0"/>
              <w:spacing w:line="460" w:lineRule="exact"/>
              <w:ind w:firstLine="573"/>
              <w:rPr>
                <w:rFonts w:ascii="宋体" w:hAnsi="宋体"/>
                <w:sz w:val="24"/>
                <w:highlight w:val="none"/>
              </w:rPr>
            </w:pPr>
            <w:r>
              <w:rPr>
                <w:rFonts w:hint="eastAsia" w:ascii="宋体" w:hAnsi="宋体"/>
                <w:sz w:val="24"/>
                <w:highlight w:val="none"/>
              </w:rPr>
              <w:t>技术联系电话：400-998-0000</w:t>
            </w:r>
          </w:p>
          <w:p w14:paraId="575381D8">
            <w:pPr>
              <w:widowControl/>
              <w:snapToGrid w:val="0"/>
              <w:spacing w:line="460" w:lineRule="exact"/>
              <w:ind w:firstLine="573"/>
              <w:rPr>
                <w:rFonts w:ascii="宋体" w:hAnsi="宋体"/>
                <w:sz w:val="24"/>
                <w:highlight w:val="none"/>
              </w:rPr>
            </w:pPr>
            <w:r>
              <w:rPr>
                <w:rFonts w:hint="eastAsia" w:ascii="宋体" w:hAnsi="宋体"/>
                <w:sz w:val="24"/>
                <w:highlight w:val="none"/>
              </w:rPr>
              <w:t>主体库咨询电话:0398-3117815</w:t>
            </w:r>
          </w:p>
          <w:p w14:paraId="51909894">
            <w:pPr>
              <w:widowControl/>
              <w:snapToGrid w:val="0"/>
              <w:spacing w:line="460" w:lineRule="exact"/>
              <w:ind w:firstLine="573"/>
              <w:rPr>
                <w:rFonts w:ascii="宋体" w:hAnsi="宋体"/>
                <w:sz w:val="24"/>
                <w:highlight w:val="none"/>
              </w:rPr>
            </w:pPr>
            <w:r>
              <w:rPr>
                <w:rFonts w:hint="eastAsia" w:ascii="宋体" w:hAnsi="宋体"/>
                <w:sz w:val="24"/>
                <w:highlight w:val="none"/>
              </w:rPr>
              <w:t>CA证书制发:0398-2181635</w:t>
            </w:r>
          </w:p>
          <w:p w14:paraId="31EF7237">
            <w:pPr>
              <w:widowControl/>
              <w:snapToGrid w:val="0"/>
              <w:spacing w:line="460" w:lineRule="exact"/>
              <w:ind w:firstLine="573"/>
              <w:rPr>
                <w:rFonts w:ascii="宋体" w:hAnsi="宋体"/>
                <w:sz w:val="24"/>
                <w:highlight w:val="none"/>
              </w:rPr>
            </w:pPr>
            <w:r>
              <w:rPr>
                <w:rFonts w:hint="eastAsia" w:ascii="宋体" w:hAnsi="宋体"/>
                <w:sz w:val="24"/>
                <w:highlight w:val="none"/>
              </w:rPr>
              <w:t>科技信息科:0398-3117095</w:t>
            </w:r>
          </w:p>
          <w:p w14:paraId="3791F81A">
            <w:pPr>
              <w:widowControl/>
              <w:snapToGrid w:val="0"/>
              <w:spacing w:line="460" w:lineRule="exact"/>
              <w:ind w:firstLine="573"/>
              <w:rPr>
                <w:rFonts w:ascii="宋体" w:hAnsi="宋体"/>
                <w:sz w:val="24"/>
                <w:highlight w:val="none"/>
              </w:rPr>
            </w:pPr>
            <w:r>
              <w:rPr>
                <w:rFonts w:hint="eastAsia" w:ascii="宋体" w:hAnsi="宋体"/>
                <w:sz w:val="24"/>
                <w:highlight w:val="none"/>
              </w:rPr>
              <w:t>（三）电子化项目开标、解密、唱标、评标</w:t>
            </w:r>
          </w:p>
          <w:p w14:paraId="2872160A">
            <w:pPr>
              <w:widowControl/>
              <w:snapToGrid w:val="0"/>
              <w:spacing w:line="460" w:lineRule="exact"/>
              <w:ind w:firstLine="573"/>
              <w:rPr>
                <w:rFonts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4022D83">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621C09BA">
            <w:pPr>
              <w:widowControl/>
              <w:snapToGrid w:val="0"/>
              <w:spacing w:line="460" w:lineRule="exact"/>
              <w:ind w:firstLine="573"/>
              <w:rPr>
                <w:rFonts w:ascii="宋体" w:hAnsi="宋体"/>
                <w:sz w:val="24"/>
                <w:highlight w:val="none"/>
              </w:rPr>
            </w:pPr>
            <w:r>
              <w:rPr>
                <w:rFonts w:hint="eastAsia" w:ascii="宋体" w:hAnsi="宋体"/>
                <w:sz w:val="24"/>
                <w:highlight w:val="none"/>
              </w:rPr>
              <w:t>3、电子化响应性文件解密异常的处理</w:t>
            </w:r>
          </w:p>
          <w:p w14:paraId="2E8B2E4D">
            <w:pPr>
              <w:widowControl/>
              <w:snapToGrid w:val="0"/>
              <w:spacing w:line="460" w:lineRule="exact"/>
              <w:ind w:firstLine="573"/>
              <w:rPr>
                <w:rFonts w:ascii="宋体" w:hAnsi="宋体"/>
                <w:sz w:val="24"/>
                <w:highlight w:val="none"/>
              </w:rPr>
            </w:pPr>
            <w:r>
              <w:rPr>
                <w:rFonts w:hint="eastAsia" w:ascii="宋体" w:hAnsi="宋体"/>
                <w:sz w:val="24"/>
                <w:highlight w:val="none"/>
              </w:rPr>
              <w:t>如出现供应商的电子响应性文件无法解密等异常情况，供应商应及时致电中介服务机构说明。响应性文件异常，按以下步骤进行处理：</w:t>
            </w:r>
          </w:p>
          <w:p w14:paraId="3CCF8C82">
            <w:pPr>
              <w:widowControl/>
              <w:snapToGrid w:val="0"/>
              <w:spacing w:line="460" w:lineRule="exact"/>
              <w:ind w:firstLine="573"/>
              <w:rPr>
                <w:rFonts w:ascii="宋体" w:hAnsi="宋体"/>
                <w:sz w:val="24"/>
                <w:highlight w:val="none"/>
              </w:rPr>
            </w:pPr>
            <w:r>
              <w:rPr>
                <w:rFonts w:hint="eastAsia" w:ascii="宋体" w:hAnsi="宋体"/>
                <w:sz w:val="24"/>
                <w:highlight w:val="none"/>
              </w:rPr>
              <w:t>（1）首先由技术人员进行问题排查。</w:t>
            </w:r>
          </w:p>
          <w:p w14:paraId="118B0CB2">
            <w:pPr>
              <w:widowControl/>
              <w:snapToGrid w:val="0"/>
              <w:spacing w:line="460" w:lineRule="exact"/>
              <w:ind w:firstLine="573"/>
              <w:rPr>
                <w:rFonts w:ascii="宋体" w:hAnsi="宋体"/>
                <w:sz w:val="24"/>
                <w:highlight w:val="none"/>
              </w:rPr>
            </w:pPr>
            <w:r>
              <w:rPr>
                <w:rFonts w:hint="eastAsia" w:ascii="宋体" w:hAnsi="宋体"/>
                <w:sz w:val="24"/>
                <w:highlight w:val="none"/>
              </w:rPr>
              <w:t>（2）经技术人员排查后，是供应商文件自身问题导致响应性文件无法解密的，该响应性文件将不予接收、解密和唱标。开标会议继续进行。</w:t>
            </w:r>
          </w:p>
          <w:p w14:paraId="680A662F">
            <w:pPr>
              <w:widowControl/>
              <w:snapToGrid w:val="0"/>
              <w:spacing w:line="460" w:lineRule="exact"/>
              <w:ind w:firstLine="573"/>
              <w:rPr>
                <w:rFonts w:ascii="宋体" w:hAnsi="宋体"/>
                <w:sz w:val="24"/>
                <w:highlight w:val="none"/>
              </w:rPr>
            </w:pPr>
            <w:r>
              <w:rPr>
                <w:rFonts w:hint="eastAsia" w:ascii="宋体" w:hAnsi="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16CCC6">
            <w:pPr>
              <w:widowControl/>
              <w:snapToGrid w:val="0"/>
              <w:spacing w:line="460" w:lineRule="exact"/>
              <w:ind w:firstLine="573"/>
              <w:rPr>
                <w:rFonts w:ascii="宋体" w:hAnsi="宋体"/>
                <w:sz w:val="24"/>
                <w:highlight w:val="none"/>
              </w:rPr>
            </w:pPr>
            <w:r>
              <w:rPr>
                <w:rFonts w:hint="eastAsia" w:ascii="宋体" w:hAnsi="宋体"/>
                <w:sz w:val="24"/>
                <w:highlight w:val="none"/>
              </w:rPr>
              <w:t>4、待所有供应商响应性文件解密完成后，由中介服务机构操作，对所有已解密响应性文件进行唱标。</w:t>
            </w:r>
          </w:p>
          <w:p w14:paraId="5F82BBD1">
            <w:pPr>
              <w:widowControl/>
              <w:snapToGrid w:val="0"/>
              <w:spacing w:line="460" w:lineRule="exact"/>
              <w:ind w:firstLine="573"/>
              <w:rPr>
                <w:rFonts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1BF25AB4">
            <w:pPr>
              <w:widowControl/>
              <w:snapToGrid w:val="0"/>
              <w:spacing w:line="460" w:lineRule="exact"/>
              <w:ind w:firstLine="573"/>
              <w:rPr>
                <w:rFonts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5BD3638">
            <w:pPr>
              <w:widowControl/>
              <w:snapToGrid w:val="0"/>
              <w:spacing w:line="460" w:lineRule="exact"/>
              <w:ind w:firstLine="573"/>
              <w:rPr>
                <w:rFonts w:ascii="宋体" w:hAnsi="宋体"/>
                <w:sz w:val="24"/>
                <w:highlight w:val="none"/>
              </w:rPr>
            </w:pPr>
            <w:r>
              <w:rPr>
                <w:rFonts w:hint="eastAsia" w:ascii="宋体" w:hAnsi="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E794EB6">
            <w:pPr>
              <w:widowControl/>
              <w:snapToGrid w:val="0"/>
              <w:spacing w:line="460" w:lineRule="exact"/>
              <w:ind w:firstLine="573"/>
              <w:rPr>
                <w:rFonts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0B7FDA33">
            <w:pPr>
              <w:ind w:firstLine="480" w:firstLineChars="200"/>
              <w:rPr>
                <w:rFonts w:ascii="宋体" w:hAnsi="宋体"/>
                <w:b/>
                <w:bCs/>
                <w:color w:val="000000"/>
                <w:kern w:val="0"/>
                <w:sz w:val="24"/>
                <w:highlight w:val="none"/>
              </w:rPr>
            </w:pPr>
            <w:r>
              <w:rPr>
                <w:rFonts w:hint="eastAsia" w:ascii="宋体" w:hAnsi="宋体"/>
                <w:sz w:val="24"/>
                <w:highlight w:val="none"/>
              </w:rPr>
              <w:t>提示：本项目为电子化、无纸化交易项目，供应商时不再接受任何纸质资料，为保证您能投标成功，请需仔细阅读以上条款。</w:t>
            </w:r>
          </w:p>
        </w:tc>
      </w:tr>
    </w:tbl>
    <w:p w14:paraId="7C8F9A96">
      <w:pPr>
        <w:spacing w:line="500" w:lineRule="exact"/>
        <w:ind w:firstLine="480" w:firstLineChars="200"/>
        <w:rPr>
          <w:rFonts w:ascii="宋体" w:hAnsi="宋体" w:cs="宋体"/>
          <w:color w:val="000000"/>
          <w:sz w:val="24"/>
          <w:highlight w:val="none"/>
        </w:rPr>
      </w:pPr>
      <w:bookmarkStart w:id="24" w:name="_Toc184635071"/>
      <w:bookmarkEnd w:id="24"/>
      <w:r>
        <w:rPr>
          <w:rFonts w:hint="eastAsia" w:ascii="宋体" w:hAnsi="宋体" w:cs="宋体"/>
          <w:color w:val="000000"/>
          <w:sz w:val="24"/>
          <w:highlight w:val="none"/>
        </w:rPr>
        <w:br w:type="page"/>
      </w:r>
      <w:bookmarkStart w:id="25" w:name="_Toc184635093"/>
      <w:bookmarkEnd w:id="25"/>
    </w:p>
    <w:p w14:paraId="263B438A">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1、总则</w:t>
      </w:r>
    </w:p>
    <w:p w14:paraId="7FBC1CA3">
      <w:pPr>
        <w:wordWrap w:val="0"/>
        <w:spacing w:line="360" w:lineRule="auto"/>
        <w:ind w:firstLine="480" w:firstLineChars="200"/>
        <w:rPr>
          <w:rFonts w:ascii="宋体" w:hAnsi="宋体" w:cs="宋体"/>
          <w:sz w:val="24"/>
          <w:highlight w:val="none"/>
        </w:rPr>
      </w:pPr>
      <w:bookmarkStart w:id="26" w:name="_Toc152045531"/>
      <w:bookmarkStart w:id="27" w:name="_Toc144974499"/>
      <w:bookmarkStart w:id="28" w:name="_Toc152042307"/>
      <w:bookmarkStart w:id="29" w:name="_Toc179632548"/>
      <w:r>
        <w:rPr>
          <w:rFonts w:hint="eastAsia" w:ascii="宋体" w:hAnsi="宋体" w:cs="宋体"/>
          <w:sz w:val="24"/>
          <w:highlight w:val="none"/>
        </w:rPr>
        <w:t>1.1项目概况</w:t>
      </w:r>
    </w:p>
    <w:p w14:paraId="351DC7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1.1.1根据根据《中华人民共和国政府采购法》、《政府采购非招标采购方式管理办法》等有关法律、法规和规章的规定，本招标项目已具备磋商条件，现对本项目进行竞争性磋商。</w:t>
      </w:r>
    </w:p>
    <w:p w14:paraId="2AF5F9A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1.1.2本项目采购人：见供应商须知前附表。</w:t>
      </w:r>
    </w:p>
    <w:p w14:paraId="1532942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1.1.3本项目采购代理机构：见供应商须知前附表。</w:t>
      </w:r>
    </w:p>
    <w:p w14:paraId="1BCB687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1.1.4本项目名称：见供应商须知前附表。</w:t>
      </w:r>
    </w:p>
    <w:bookmarkEnd w:id="26"/>
    <w:bookmarkEnd w:id="27"/>
    <w:bookmarkEnd w:id="28"/>
    <w:bookmarkEnd w:id="29"/>
    <w:p w14:paraId="0287CEF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1.2资金来源和落实情况</w:t>
      </w:r>
    </w:p>
    <w:p w14:paraId="2156478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1.2.1本项目的资金来源：见供应商须知前附表。</w:t>
      </w:r>
    </w:p>
    <w:p w14:paraId="3F5E06B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1.2.2本项目的资金落实情况：见供应商须知前附表。</w:t>
      </w:r>
    </w:p>
    <w:p w14:paraId="654A601D">
      <w:pPr>
        <w:wordWrap w:val="0"/>
        <w:spacing w:line="360" w:lineRule="auto"/>
        <w:ind w:firstLine="480" w:firstLineChars="200"/>
        <w:rPr>
          <w:rFonts w:ascii="宋体" w:hAnsi="宋体" w:cs="宋体"/>
          <w:sz w:val="24"/>
          <w:highlight w:val="none"/>
        </w:rPr>
      </w:pPr>
      <w:bookmarkStart w:id="30" w:name="_Toc179632549"/>
      <w:bookmarkStart w:id="31" w:name="_Toc144974500"/>
      <w:bookmarkStart w:id="32" w:name="_Toc152045532"/>
      <w:bookmarkStart w:id="33" w:name="_Toc152042308"/>
      <w:r>
        <w:rPr>
          <w:rFonts w:hint="eastAsia" w:ascii="宋体" w:hAnsi="宋体" w:cs="宋体"/>
          <w:sz w:val="24"/>
          <w:highlight w:val="none"/>
        </w:rPr>
        <w:t>1.3采购内容、采购要求、实施期限、供货（服务）地点和质量标准</w:t>
      </w:r>
    </w:p>
    <w:p w14:paraId="3229335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1.3.1本项目采购内容：见供应商须知前附表。</w:t>
      </w:r>
    </w:p>
    <w:p w14:paraId="14BE7C3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1.3.2本项目的质量标准：见供应商须知前附表</w:t>
      </w:r>
    </w:p>
    <w:p w14:paraId="113956E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1.3.3本项目的实施期限：见供应商须知前附表。</w:t>
      </w:r>
    </w:p>
    <w:p w14:paraId="51D92D4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1.3.4本项目供货（服务）地点：见供应商须知前附表。</w:t>
      </w:r>
    </w:p>
    <w:bookmarkEnd w:id="30"/>
    <w:bookmarkEnd w:id="31"/>
    <w:bookmarkEnd w:id="32"/>
    <w:bookmarkEnd w:id="33"/>
    <w:p w14:paraId="1D1CF175">
      <w:pPr>
        <w:wordWrap w:val="0"/>
        <w:spacing w:line="360" w:lineRule="auto"/>
        <w:ind w:firstLine="480" w:firstLineChars="200"/>
        <w:rPr>
          <w:rFonts w:ascii="宋体" w:hAnsi="宋体" w:cs="宋体"/>
          <w:sz w:val="24"/>
          <w:highlight w:val="none"/>
        </w:rPr>
      </w:pPr>
      <w:bookmarkStart w:id="34" w:name="_Toc179632550"/>
      <w:bookmarkStart w:id="35" w:name="_Toc144974501"/>
      <w:bookmarkStart w:id="36" w:name="_Toc152042309"/>
      <w:bookmarkStart w:id="37" w:name="_Toc152045533"/>
      <w:r>
        <w:rPr>
          <w:rFonts w:hint="eastAsia" w:ascii="宋体" w:hAnsi="宋体" w:cs="宋体"/>
          <w:sz w:val="24"/>
          <w:highlight w:val="none"/>
        </w:rPr>
        <w:t>1.4供应商资格要求</w:t>
      </w:r>
      <w:bookmarkEnd w:id="34"/>
      <w:bookmarkEnd w:id="35"/>
      <w:bookmarkEnd w:id="36"/>
      <w:bookmarkEnd w:id="37"/>
      <w:r>
        <w:rPr>
          <w:rFonts w:hint="eastAsia" w:ascii="宋体" w:hAnsi="宋体" w:cs="宋体"/>
          <w:sz w:val="24"/>
          <w:highlight w:val="none"/>
        </w:rPr>
        <w:t>：见供应商须知前附表。</w:t>
      </w:r>
    </w:p>
    <w:p w14:paraId="1D772BB2">
      <w:pPr>
        <w:wordWrap w:val="0"/>
        <w:spacing w:line="360" w:lineRule="auto"/>
        <w:ind w:firstLine="480" w:firstLineChars="200"/>
        <w:rPr>
          <w:rFonts w:ascii="宋体" w:hAnsi="宋体" w:cs="宋体"/>
          <w:sz w:val="24"/>
          <w:highlight w:val="none"/>
        </w:rPr>
      </w:pPr>
      <w:bookmarkStart w:id="38" w:name="_Toc144974503"/>
      <w:bookmarkStart w:id="39" w:name="_Toc179632552"/>
      <w:bookmarkStart w:id="40" w:name="_Toc152042311"/>
      <w:bookmarkStart w:id="41" w:name="_Toc152045535"/>
      <w:r>
        <w:rPr>
          <w:rFonts w:hint="eastAsia" w:ascii="宋体" w:hAnsi="宋体" w:cs="宋体"/>
          <w:sz w:val="24"/>
          <w:highlight w:val="none"/>
        </w:rPr>
        <w:t>1.5费用承担</w:t>
      </w:r>
      <w:bookmarkEnd w:id="38"/>
      <w:bookmarkEnd w:id="39"/>
      <w:bookmarkEnd w:id="40"/>
      <w:bookmarkEnd w:id="41"/>
    </w:p>
    <w:p w14:paraId="6C1EFCB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供应商准备和参加投标活动发生的费用自理。</w:t>
      </w:r>
    </w:p>
    <w:p w14:paraId="42941C7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1.6保密</w:t>
      </w:r>
    </w:p>
    <w:p w14:paraId="697B93C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参与招标投标活动的各方应对竞争性磋商文件和响应性文件中的商业和技术等秘密保密，违者应对由此造成的后果承担法律责任。</w:t>
      </w:r>
    </w:p>
    <w:p w14:paraId="2745BEE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1.7语言文字</w:t>
      </w:r>
    </w:p>
    <w:p w14:paraId="20FC0A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除专用术语外，与招标投标有关的语言均使用中文。专用术语应附有中文注释。</w:t>
      </w:r>
    </w:p>
    <w:p w14:paraId="23F89F2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1.8计量单位</w:t>
      </w:r>
    </w:p>
    <w:p w14:paraId="3C95CA4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所有计量均采用中华人民共和国法定计量单位。</w:t>
      </w:r>
    </w:p>
    <w:p w14:paraId="7C657AF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1.9踏勘现场</w:t>
      </w:r>
    </w:p>
    <w:p w14:paraId="082E2C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3132445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1.10投标预备会</w:t>
      </w:r>
    </w:p>
    <w:p w14:paraId="25F9F46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338B706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1.11分包</w:t>
      </w:r>
    </w:p>
    <w:p w14:paraId="3AB5918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0ACC27D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1.12偏离</w:t>
      </w:r>
    </w:p>
    <w:p w14:paraId="786E44C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7932BEF0">
      <w:pPr>
        <w:wordWrap w:val="0"/>
        <w:spacing w:line="360" w:lineRule="auto"/>
        <w:ind w:firstLine="480" w:firstLineChars="200"/>
        <w:rPr>
          <w:rFonts w:ascii="宋体" w:hAnsi="宋体" w:cs="宋体"/>
          <w:kern w:val="10"/>
          <w:sz w:val="24"/>
          <w:highlight w:val="none"/>
        </w:rPr>
      </w:pPr>
      <w:bookmarkStart w:id="42" w:name="_Toc516499647"/>
      <w:r>
        <w:rPr>
          <w:rFonts w:hint="eastAsia" w:ascii="宋体" w:hAnsi="宋体" w:cs="宋体"/>
          <w:kern w:val="10"/>
          <w:sz w:val="24"/>
          <w:highlight w:val="none"/>
        </w:rPr>
        <w:t>2、竞争性磋商文件</w:t>
      </w:r>
      <w:bookmarkEnd w:id="42"/>
    </w:p>
    <w:p w14:paraId="3BB3B31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2.1竞争性磋商文件的组成</w:t>
      </w:r>
    </w:p>
    <w:p w14:paraId="6094914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本竞争性磋商文件包括：</w:t>
      </w:r>
    </w:p>
    <w:p w14:paraId="76C6E1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(1）竞争性磋商公告；</w:t>
      </w:r>
    </w:p>
    <w:p w14:paraId="6DE774E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(2）供应商须知；</w:t>
      </w:r>
    </w:p>
    <w:p w14:paraId="240460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(3）评标办法；</w:t>
      </w:r>
    </w:p>
    <w:p w14:paraId="6C6835A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(4）合同条款及格式；</w:t>
      </w:r>
    </w:p>
    <w:p w14:paraId="346FABB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(5）采购清单；</w:t>
      </w:r>
    </w:p>
    <w:p w14:paraId="5B852B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(6）响应文件格式；</w:t>
      </w:r>
    </w:p>
    <w:p w14:paraId="7F1F530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根据本章第2.2款和第2.3款对竞争性磋商文件所作的澄清、修改，构成竞争性磋商文件的组成部分。</w:t>
      </w:r>
    </w:p>
    <w:p w14:paraId="70F39FB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2.2竞争性磋商文件的澄清</w:t>
      </w:r>
    </w:p>
    <w:p w14:paraId="06CE16E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7F57A0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2.3竞争性磋商文件的修改</w:t>
      </w:r>
    </w:p>
    <w:p w14:paraId="6F1306FF">
      <w:pPr>
        <w:wordWrap w:val="0"/>
        <w:spacing w:line="360" w:lineRule="auto"/>
        <w:ind w:firstLine="480" w:firstLineChars="200"/>
        <w:rPr>
          <w:rFonts w:ascii="宋体" w:hAnsi="宋体" w:cs="宋体"/>
          <w:sz w:val="24"/>
          <w:highlight w:val="none"/>
        </w:rPr>
      </w:pPr>
      <w:bookmarkStart w:id="43" w:name="_Toc516499648"/>
      <w:r>
        <w:rPr>
          <w:rFonts w:hint="eastAsia" w:ascii="宋体" w:hAnsi="宋体" w:cs="宋体"/>
          <w:sz w:val="24"/>
          <w:highlight w:val="none"/>
        </w:rPr>
        <w:t>2.3.1在投标截止时间5天前，采购人可以修改竞争性磋商文件，并以变更公告形式通知所有已购买竞争性竞争性磋商文件的供应商。</w:t>
      </w:r>
    </w:p>
    <w:p w14:paraId="513F679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2.3.2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07AB617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2.3.3为使供应商在准备竞争性磋商文件时有合理的时间考虑竞争性磋商文件的修改，招标代理机构可酌情推迟投标截止时间和开标时间，但应当至少在投标截止时间三个日历天前将变更时间以发布变更公告的形式通知所有供应商。该修改内容为竞争性磋商文件的组成部分。在此情况下，采购人和供应商受投标截止期制约的所有权利和义务均应延长至新的截止日期。</w:t>
      </w:r>
    </w:p>
    <w:p w14:paraId="09B4859E">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3、响应性文件</w:t>
      </w:r>
      <w:bookmarkEnd w:id="43"/>
    </w:p>
    <w:p w14:paraId="6AA2FB4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3.1响应性文件的组成</w:t>
      </w:r>
    </w:p>
    <w:p w14:paraId="5BD79BE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3.1.1响应性文件应包括下列内容：见响应文件格式</w:t>
      </w:r>
    </w:p>
    <w:p w14:paraId="122FA5F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3.2投标报价</w:t>
      </w:r>
    </w:p>
    <w:p w14:paraId="473CA073">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3.2.1本项目的磋商报价采用本须知前附表所规定的方式进行报价。</w:t>
      </w:r>
    </w:p>
    <w:p w14:paraId="02328DD2">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3.2.2参考相关收费标准结合供应商自身情况自主报价，但不得低于本企业成本。</w:t>
      </w:r>
    </w:p>
    <w:p w14:paraId="3C6913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3.2.3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7D5636A2">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3.2.4投标的报价及合同所有款项的支付均以人民币计算。</w:t>
      </w:r>
    </w:p>
    <w:p w14:paraId="5E2A8AD0">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3.2.5应当由供应商完成的而供应商在报价组成中没有详细列出的工作内容，其报价均视为包含在报价组成已列出的项目之中，采购人不另行支付。</w:t>
      </w:r>
    </w:p>
    <w:p w14:paraId="05CCF4EE">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3.2.6</w:t>
      </w:r>
      <w:r>
        <w:rPr>
          <w:rFonts w:hint="eastAsia" w:ascii="宋体" w:hAnsi="宋体" w:cs="宋体"/>
          <w:b/>
          <w:sz w:val="24"/>
          <w:highlight w:val="none"/>
        </w:rPr>
        <w:t>本次磋商允许供应商有二次报价，</w:t>
      </w:r>
      <w:r>
        <w:rPr>
          <w:rFonts w:hint="eastAsia" w:ascii="宋体" w:hAnsi="宋体" w:cs="宋体"/>
          <w:b/>
          <w:bCs/>
          <w:sz w:val="24"/>
          <w:highlight w:val="none"/>
        </w:rPr>
        <w:t>供应商响应性文件中的报价作为第一次报价，不得高于项目预算金额且不公开；第二轮报价不得高于第一轮报价,</w:t>
      </w:r>
      <w:r>
        <w:rPr>
          <w:rFonts w:hint="eastAsia" w:ascii="宋体" w:hAnsi="宋体" w:cs="宋体"/>
          <w:b/>
          <w:sz w:val="24"/>
          <w:highlight w:val="none"/>
        </w:rPr>
        <w:t>最后一次报价为最终报价，</w:t>
      </w:r>
      <w:r>
        <w:rPr>
          <w:rFonts w:hint="eastAsia" w:ascii="宋体" w:hAnsi="宋体" w:cs="宋体"/>
          <w:b/>
          <w:bCs/>
          <w:sz w:val="24"/>
          <w:highlight w:val="none"/>
        </w:rPr>
        <w:t>成交价以最终报价为准。</w:t>
      </w:r>
      <w:r>
        <w:rPr>
          <w:rFonts w:hint="eastAsia" w:ascii="宋体" w:hAnsi="宋体" w:cs="宋体"/>
          <w:b/>
          <w:sz w:val="24"/>
          <w:highlight w:val="none"/>
        </w:rPr>
        <w:t>最终报价是供应商响应文件的有效组成部分</w:t>
      </w:r>
      <w:r>
        <w:rPr>
          <w:rFonts w:hint="eastAsia" w:ascii="宋体" w:hAnsi="宋体" w:cs="宋体"/>
          <w:sz w:val="24"/>
          <w:highlight w:val="none"/>
        </w:rPr>
        <w:t>。</w:t>
      </w:r>
    </w:p>
    <w:p w14:paraId="6AF0A8CA">
      <w:pPr>
        <w:wordWrap w:val="0"/>
        <w:spacing w:line="360" w:lineRule="auto"/>
        <w:ind w:firstLine="480" w:firstLineChars="200"/>
        <w:rPr>
          <w:rFonts w:ascii="宋体" w:hAnsi="宋体" w:cs="宋体"/>
          <w:b/>
          <w:bCs/>
          <w:sz w:val="24"/>
          <w:highlight w:val="none"/>
        </w:rPr>
      </w:pPr>
      <w:r>
        <w:rPr>
          <w:rFonts w:hint="eastAsia" w:ascii="宋体" w:hAnsi="宋体" w:cs="宋体"/>
          <w:sz w:val="24"/>
          <w:highlight w:val="none"/>
        </w:rPr>
        <w:t>3.2.7供应商的磋商报价不得高于磋商控制价，否则为废标</w:t>
      </w:r>
    </w:p>
    <w:p w14:paraId="03F7239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3.3磋商有效期</w:t>
      </w:r>
    </w:p>
    <w:p w14:paraId="62023B49">
      <w:pPr>
        <w:tabs>
          <w:tab w:val="left" w:pos="100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3.3.1自磋商截止时间起60日历天。在磋商有效期内，供应商不得要求撤销或修改其响应文件。</w:t>
      </w:r>
    </w:p>
    <w:p w14:paraId="099D3399">
      <w:pPr>
        <w:tabs>
          <w:tab w:val="left" w:pos="78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17DA7DE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3.4磋商保证金</w:t>
      </w:r>
    </w:p>
    <w:p w14:paraId="221E683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按照《河南省财政厅关于优化政府采购营商环境有关问题的通知》（豫财购[2019]4号文）的要求本项目不再收取磋商保证金。</w:t>
      </w:r>
    </w:p>
    <w:p w14:paraId="39AF4F7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3.5资格审查资料</w:t>
      </w:r>
    </w:p>
    <w:p w14:paraId="3D99746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见供应商须知前附表供应商资格要求</w:t>
      </w:r>
    </w:p>
    <w:p w14:paraId="2D11872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3.6备选投标方案</w:t>
      </w:r>
    </w:p>
    <w:p w14:paraId="626EB1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255EDFF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3.7响应性文件的编制</w:t>
      </w:r>
    </w:p>
    <w:p w14:paraId="7C181F7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3.7.1响应性文件应按第六章“响应性文件格式”进行编写，如有必要，可以增加附页，作为响应性文件的组成部分。</w:t>
      </w:r>
    </w:p>
    <w:p w14:paraId="5B8BF4E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3.7.2响应性文件应当对竞争性磋商文件有关实施期限、磋商有效期、质量标准、招标范围、响应性文件的编制等实质性内容作出响应。响应性文件不响应本竞争性磋商文件的实质性要求和条件的，其投标将被拒绝。</w:t>
      </w:r>
    </w:p>
    <w:p w14:paraId="284E45C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3.7.3竞争性磋商文件中要求供应商盖章的，以签盖单位章为准；要求法定代表人或授权委托人签字或盖章的，以签盖法定代表人电子签章为准。</w:t>
      </w:r>
    </w:p>
    <w:p w14:paraId="526138BC">
      <w:pPr>
        <w:wordWrap w:val="0"/>
        <w:spacing w:line="360" w:lineRule="auto"/>
        <w:ind w:firstLine="480" w:firstLineChars="200"/>
        <w:rPr>
          <w:rFonts w:ascii="宋体" w:hAnsi="宋体" w:cs="宋体"/>
          <w:kern w:val="10"/>
          <w:sz w:val="24"/>
          <w:highlight w:val="none"/>
        </w:rPr>
      </w:pPr>
      <w:bookmarkStart w:id="44" w:name="_Toc516499649"/>
      <w:r>
        <w:rPr>
          <w:rFonts w:hint="eastAsia" w:ascii="宋体" w:hAnsi="宋体" w:cs="宋体"/>
          <w:kern w:val="10"/>
          <w:sz w:val="24"/>
          <w:highlight w:val="none"/>
        </w:rPr>
        <w:t>4、投标</w:t>
      </w:r>
      <w:bookmarkEnd w:id="44"/>
    </w:p>
    <w:p w14:paraId="2272FB2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4.1电子响应性文件的递交</w:t>
      </w:r>
    </w:p>
    <w:p w14:paraId="26359F5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4.1.1供应商应在规定的投标截止时间前递交响应性文件。</w:t>
      </w:r>
    </w:p>
    <w:p w14:paraId="250DF49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4.1.2供应商递交响应性文件的地点：见供应商须知前附表。</w:t>
      </w:r>
    </w:p>
    <w:p w14:paraId="149D70D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4.1.3逾期送达的或者未送达指定地点的响应性文件，采购人不予受理。</w:t>
      </w:r>
    </w:p>
    <w:p w14:paraId="7AB4CF8C">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5．磋商</w:t>
      </w:r>
    </w:p>
    <w:p w14:paraId="104A226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5.1磋商时间和地点</w:t>
      </w:r>
    </w:p>
    <w:p w14:paraId="5178FAE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59E9C2A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5.2磋商程序</w:t>
      </w:r>
    </w:p>
    <w:p w14:paraId="2E18C16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5.2.1采购人按须知前附表规定的时间和地点磋商；</w:t>
      </w:r>
    </w:p>
    <w:p w14:paraId="60E80B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5.2.2电子化项目开标操作流程</w:t>
      </w:r>
    </w:p>
    <w:p w14:paraId="0D152279">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cs="宋体"/>
          <w:sz w:val="24"/>
          <w:highlight w:val="none"/>
        </w:rPr>
        <w:t>）,在线准时参加开标活动并进行响应性文件解密等</w:t>
      </w:r>
    </w:p>
    <w:p w14:paraId="5B2B6C4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电子化响应性文件采用一次加密方式。开标时，由供应商使用CA证书，在规定时间内对其电子化响应性文件进行解密。每位供应商的解密时间为开标时间起30分钟内，如在规定时间内未完成解密的，其响应性文件不予开标、唱标。</w:t>
      </w:r>
    </w:p>
    <w:p w14:paraId="56F0D2B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（3）电子化响应性文件解密异常的处理</w:t>
      </w:r>
    </w:p>
    <w:p w14:paraId="707501D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如出现供应商的电子响应性文件无法解密等异常情况，供应商应及时致电中介服务机构说明。响应性文件异常，按以下步骤进行处理：</w:t>
      </w:r>
    </w:p>
    <w:p w14:paraId="02FDDED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1.首先由技术人员进行问题排查。</w:t>
      </w:r>
    </w:p>
    <w:p w14:paraId="23CBC1B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2.经技术人员排查后，是供应商文件自身问题导致响应性文件无法解密的，该响应性文件将不予接收、解密和唱标。开标会议继续进行。</w:t>
      </w:r>
    </w:p>
    <w:p w14:paraId="5D73EDE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6ECE12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（4）待所有供应商响应性文件解密完成后，由中介服务机构操作，对所有已解密响应性文件进行唱标。</w:t>
      </w:r>
    </w:p>
    <w:p w14:paraId="703ED7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0E276D9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9B22AF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2E5875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（7）如磋商小组对需要回复的供应商连续三次致电未接通的，视为供应商放弃回复，磋商小组将自行对需要回复的内容进行认定。</w:t>
      </w:r>
    </w:p>
    <w:p w14:paraId="249136D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5.2.3响应性文件有下列情况之一的,采购人将不予接收：</w:t>
      </w:r>
    </w:p>
    <w:p w14:paraId="68F5423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5.2.3.1响应性文件递交截止时间后上传的；</w:t>
      </w:r>
    </w:p>
    <w:p w14:paraId="03A9349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5.2.4按照响应性文件上传顺序进行解密；</w:t>
      </w:r>
    </w:p>
    <w:p w14:paraId="186106F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5.2.5经确认无误后，按照报送时间顺序确定磋商顺序；</w:t>
      </w:r>
    </w:p>
    <w:p w14:paraId="5B405C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6.磋商细则</w:t>
      </w:r>
    </w:p>
    <w:p w14:paraId="192F18C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6.1采购人按照上传响应性文件时间的顺序，决定磋商顺序；</w:t>
      </w:r>
    </w:p>
    <w:p w14:paraId="1C5A6E1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03CDFF1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6.3本次磋商中，响应性文件中的报价为第一次报价。</w:t>
      </w:r>
    </w:p>
    <w:p w14:paraId="102FEA1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62EBB9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6.5本项目采用综合评分法，磋商小组成员综合评审各供应商提交的响应性文件，按总得分由高到低的顺序推荐3名成交候选人，并编写评审报告。</w:t>
      </w:r>
    </w:p>
    <w:p w14:paraId="5046191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7、磋商</w:t>
      </w:r>
    </w:p>
    <w:p w14:paraId="596A9AE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7.1磋商小组由采购人依法组建，负责磋商。根据《政府采购竞争性磋商采购方式管理办法》的规定，磋商小组应当履行以下义务：</w:t>
      </w:r>
    </w:p>
    <w:p w14:paraId="52D5D4E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（一）遵纪守法，客观、公正、廉洁地履行职责；</w:t>
      </w:r>
    </w:p>
    <w:p w14:paraId="42309BE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根据竞争性磋商文件的规定独立进行评审，对个人的评审意见承担法律责任；磋商小组将综合分析、评审供应商的各项指标，而不以单项指标的优劣评定出成交候选人或成交人。</w:t>
      </w:r>
    </w:p>
    <w:p w14:paraId="6DB3871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参与磋商报告的起草；</w:t>
      </w:r>
    </w:p>
    <w:p w14:paraId="49AAFC9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配合采购人、代理机构答复供应商提出的质疑；</w:t>
      </w:r>
    </w:p>
    <w:p w14:paraId="3026ED5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配合财政部门的投诉处理和监督检查工作。</w:t>
      </w:r>
    </w:p>
    <w:p w14:paraId="656C178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7.2磋商小组由有关技术、经济方面的专家组成。磋商小组人数及技术、经济专家的确定方式见供应商须知前附表。</w:t>
      </w:r>
    </w:p>
    <w:p w14:paraId="550D666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7.3磋商原则</w:t>
      </w:r>
    </w:p>
    <w:p w14:paraId="550B13A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7.3.1严格按照竞争性磋商文件中的所有相关规定；按照“客观、公正、审慎”的原则进行磋商。</w:t>
      </w:r>
    </w:p>
    <w:p w14:paraId="25A5408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7.3.2反对不正当竞争。</w:t>
      </w:r>
    </w:p>
    <w:p w14:paraId="0B2D6A3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8、磋商过程的保密</w:t>
      </w:r>
    </w:p>
    <w:p w14:paraId="3E5EE5F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8.1响应性文件的审查、澄清、评价和比较的有关资料以及成交候选人的推荐情况，与评标有关的其他任何情况均应严格保密。</w:t>
      </w:r>
    </w:p>
    <w:p w14:paraId="1651E60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8.2在响应性文件的评审和比较、成交候选人推荐以及授予合同的过程中，供应商向采购人和磋商小组施加影响的任何行为，都将会导致其投标被拒绝。</w:t>
      </w:r>
    </w:p>
    <w:p w14:paraId="247E72C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8.3采购人不对未成交人就评标过程以及未能成交原因作出任何解释。未成交人不得向磋商小组成员和其他有关人员索问评标过程的情况和资料。</w:t>
      </w:r>
    </w:p>
    <w:p w14:paraId="027BE64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9、响应性文件的澄清</w:t>
      </w:r>
    </w:p>
    <w:p w14:paraId="326B05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p w14:paraId="293BC79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10、响应性文件的初步评审</w:t>
      </w:r>
    </w:p>
    <w:p w14:paraId="756C8E0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10.1根据初步评审要求经审查有效的响应性文件，才能提交磋商小组进行评审。</w:t>
      </w:r>
    </w:p>
    <w:p w14:paraId="51C1C9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D923A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10.3如果响应性文件实质上不响应竞争性磋商文件的要求，采购人将予以拒绝，并且不允许供应商通过修改或撤消其不符合要求的差异或保留，使之成为具有响应性的投标。</w:t>
      </w:r>
    </w:p>
    <w:p w14:paraId="54ACF00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11.响应性文件计算错误的修正</w:t>
      </w:r>
    </w:p>
    <w:p w14:paraId="1EAA5BC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11.1磋商小组将对确定为实质上响应竞争性磋商文件要求的响应性文件进行校核，看其是否有计算或表达上的错误，修正错误的原则如下：</w:t>
      </w:r>
    </w:p>
    <w:p w14:paraId="4579CB9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11.1.1如果数字表示的金额和用文字表示的金额不一致时，应以文字表示的金额为准；</w:t>
      </w:r>
    </w:p>
    <w:p w14:paraId="37F1931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11.1.2当单价与数量的乘积与合价不一致时，以单价为准，除非磋商小组认为单价有明显的小数点错误，此时应以标出的合价为准，并修改单价。</w:t>
      </w:r>
    </w:p>
    <w:p w14:paraId="3CDF6BC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4CF1B08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12.响应性文件的评审、比较和否决</w:t>
      </w:r>
    </w:p>
    <w:p w14:paraId="28EE7F5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12.1磋商小组仅对在实质上响应竞争性磋商文件要求的响应性文件进行评估和比较。</w:t>
      </w:r>
    </w:p>
    <w:p w14:paraId="18102C1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116674E6">
      <w:pPr>
        <w:wordWrap w:val="0"/>
        <w:spacing w:line="360" w:lineRule="auto"/>
        <w:ind w:firstLine="480" w:firstLineChars="200"/>
        <w:rPr>
          <w:rFonts w:ascii="宋体" w:hAnsi="宋体" w:cs="宋体"/>
          <w:snapToGrid w:val="0"/>
          <w:kern w:val="0"/>
          <w:sz w:val="24"/>
          <w:highlight w:val="none"/>
          <w:shd w:val="clear" w:color="auto" w:fill="FFFFFF"/>
        </w:rPr>
      </w:pPr>
      <w:r>
        <w:rPr>
          <w:rFonts w:hint="eastAsia" w:ascii="宋体" w:hAnsi="宋体" w:cs="宋体"/>
          <w:sz w:val="24"/>
          <w:highlight w:val="none"/>
        </w:rPr>
        <w:t>12.3.1</w:t>
      </w:r>
      <w:r>
        <w:rPr>
          <w:rFonts w:hint="eastAsia" w:ascii="宋体" w:hAnsi="宋体" w:cs="宋体"/>
          <w:snapToGrid w:val="0"/>
          <w:kern w:val="0"/>
          <w:sz w:val="24"/>
          <w:highlight w:val="none"/>
          <w:shd w:val="clear" w:color="auto" w:fill="FFFFFF"/>
        </w:rPr>
        <w:t>磋商小组应当要求所有实质性响应的供应商在规定时间内提交最后报价，提交最后报价的供应商不得少于3家。</w:t>
      </w:r>
    </w:p>
    <w:p w14:paraId="6C8ED1D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12.3.2出现下列情形之一的，采购人或者招标代理机构应当终止竞争性磋商活动，发布项目终止公告并说明原因，重新开展招标活动：</w:t>
      </w:r>
    </w:p>
    <w:p w14:paraId="5C0991D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（一）因情况变化，不再符合规定的竞争性磋商采购方式适用情形的；</w:t>
      </w:r>
    </w:p>
    <w:p w14:paraId="38C5A67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（二）出现影响采购公正的违法、违规行为的；</w:t>
      </w:r>
    </w:p>
    <w:p w14:paraId="6EC860B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（三）除《政府采购竞争性磋商采购方式管理暂行办法》第二十一条第三款规定的情形外，在采购过程中符合要求的供应商或者报价未超过采购预算的供应商不足3家的。</w:t>
      </w:r>
    </w:p>
    <w:p w14:paraId="1A0F534C">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13、成交原则</w:t>
      </w:r>
    </w:p>
    <w:p w14:paraId="3A5673BF">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72D6E229">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14、评审报告</w:t>
      </w:r>
    </w:p>
    <w:p w14:paraId="44EF9E88">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磋商小组组应当根据评审记录和评审结果编写评审报告，其主要内容包括：</w:t>
      </w:r>
    </w:p>
    <w:p w14:paraId="0BEEE6AE">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14.1招标活动的具体方式和相关情况，以及参加招标活动的供应商名单；</w:t>
      </w:r>
    </w:p>
    <w:p w14:paraId="6A92BC17">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14.2评审日期和地点，磋商小组成员名单；</w:t>
      </w:r>
    </w:p>
    <w:p w14:paraId="61312DB9">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14.3评审情况记录和说明，包括对供应商的资格审查情况、响应文件评审情况、磋商情况、报价情况等；</w:t>
      </w:r>
    </w:p>
    <w:p w14:paraId="29CC8D3B">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14.4提出的成交候选人的名单及理由。</w:t>
      </w:r>
    </w:p>
    <w:p w14:paraId="24C061F4">
      <w:pPr>
        <w:wordWrap w:val="0"/>
        <w:spacing w:line="360" w:lineRule="auto"/>
        <w:ind w:firstLine="480" w:firstLineChars="200"/>
        <w:rPr>
          <w:rFonts w:ascii="宋体" w:hAnsi="宋体" w:cs="宋体"/>
          <w:sz w:val="24"/>
          <w:highlight w:val="none"/>
        </w:rPr>
      </w:pPr>
      <w:r>
        <w:rPr>
          <w:rFonts w:hint="eastAsia" w:ascii="宋体" w:hAnsi="宋体" w:cs="宋体"/>
          <w:bCs/>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sz w:val="24"/>
          <w:highlight w:val="none"/>
        </w:rPr>
        <w:t>。</w:t>
      </w:r>
    </w:p>
    <w:p w14:paraId="2023757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15、确定成交人</w:t>
      </w:r>
    </w:p>
    <w:p w14:paraId="316F2E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15.1招标代理机构应当在磋商结束后1个工作日内将评审报告送采购人。采购人应当在收到评审报告后2个工作日内，按照磋商评审报告中推荐的成交候选人顺序确定成交人，并将结果发布网上。</w:t>
      </w:r>
    </w:p>
    <w:p w14:paraId="4BE4F05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15.2采购人也可以授权磋商小组直接确定成交供应商。磋商小组直接确定成交供应商的应在磋商文件中写明。</w:t>
      </w:r>
    </w:p>
    <w:p w14:paraId="088C078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16、成交结果公告</w:t>
      </w:r>
    </w:p>
    <w:p w14:paraId="16E856B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16.1采购人应当在成交人确定后2个工作日内，在公告发布的同一媒介上发布成交结果，同时向成交供应商发出成交通知书，并将磋商文件随成交结果同时公告，公告期限1个工作日。</w:t>
      </w:r>
    </w:p>
    <w:p w14:paraId="4B00C07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16.2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9122E2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17、合同授予</w:t>
      </w:r>
    </w:p>
    <w:p w14:paraId="09C2DFD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17.1成交结果公示的同时，采购人以书面形式向成交人发出成交通知书。</w:t>
      </w:r>
    </w:p>
    <w:p w14:paraId="1B7AEA5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17.2供应商的最后一轮报价为成交价，成交价即为合同价。</w:t>
      </w:r>
    </w:p>
    <w:p w14:paraId="1ABEE58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17.3采购人和成交人应当自成交通知书发出之日起2个工作日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950780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17.4在签订合同过程中，如发现成交供应商以他人名义磋商或者以其他方式弄虚作假，骗取成交的，采购人有权取消其成交资格。</w:t>
      </w:r>
    </w:p>
    <w:p w14:paraId="6C1E92B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18、履约保证金</w:t>
      </w:r>
    </w:p>
    <w:p w14:paraId="65B03A3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7729EBD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19、合同授予</w:t>
      </w:r>
    </w:p>
    <w:p w14:paraId="52C1E4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19.1成交供应商在收到成交通知书后2个工作日内应与采购人签订承包合同。</w:t>
      </w:r>
    </w:p>
    <w:p w14:paraId="47CF70D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竞争性磋商文件成交供应商的响应性文件及其相关澄清、补遗文件等，均为签订合同的依据。</w:t>
      </w:r>
    </w:p>
    <w:p w14:paraId="3D95AC2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5DCCBF0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19.3在签订合同过程中，如发现成交供应商以他人名义磋商或者以其他方式弄虚作假，骗取成交的，采购人有权取消其成交资格。</w:t>
      </w:r>
    </w:p>
    <w:p w14:paraId="11C447B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20、纪律和监督</w:t>
      </w:r>
    </w:p>
    <w:p w14:paraId="560D003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20.1对采购人的纪律要求</w:t>
      </w:r>
    </w:p>
    <w:p w14:paraId="310516A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采购人不得泄漏竞争性磋商中应当保密的情况和资料，不得与供应商串通损害国家利益、社会公共利益或者他人合法权益。</w:t>
      </w:r>
    </w:p>
    <w:p w14:paraId="03636ED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20.2对供应商的纪律要求</w:t>
      </w:r>
    </w:p>
    <w:p w14:paraId="740EB0C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59F9B57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20.3对磋商小组成员的纪律要求</w:t>
      </w:r>
    </w:p>
    <w:p w14:paraId="1EA7518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63366D3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20.4对与磋商活动有关的工作人员的纪律要求</w:t>
      </w:r>
    </w:p>
    <w:p w14:paraId="054FD15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726E89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20.5投诉</w:t>
      </w:r>
    </w:p>
    <w:p w14:paraId="71F52C6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供应商和其他利害关系人认为本次竞争性磋商违反法律、法规和规章规定的，有权向有关行政监督部门投诉。</w:t>
      </w:r>
    </w:p>
    <w:p w14:paraId="756FE4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21、质疑程序及处理</w:t>
      </w:r>
    </w:p>
    <w:p w14:paraId="0A98E8B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35C386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（一）对可以质疑的磋商文件提出质疑的，为收到磋商文件之日或者磋商文件公告期限届满之日；</w:t>
      </w:r>
    </w:p>
    <w:p w14:paraId="06B211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（二）对采购过程提出质疑的，为各采购程序环节结束之日；</w:t>
      </w:r>
    </w:p>
    <w:p w14:paraId="1B37DFB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（三）对成交结果提出质疑的，为成交结果公告期限届满之日。</w:t>
      </w:r>
    </w:p>
    <w:p w14:paraId="20F522E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21.2质疑书应当包括下列主要内容，并按照“谁主张、谁举证”的原则，附上相关证明材料。否则，采购人不予受理：</w:t>
      </w:r>
    </w:p>
    <w:p w14:paraId="12DFAC3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（一）质疑供应商全称、地址、法定代表人、联系人及联系电话、邮政编码等；</w:t>
      </w:r>
    </w:p>
    <w:p w14:paraId="7E0FFDC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（二）被质疑采购项目的名称、编号；</w:t>
      </w:r>
    </w:p>
    <w:p w14:paraId="34BC229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（三）质疑的具体事项、明确的请求和主张；</w:t>
      </w:r>
    </w:p>
    <w:p w14:paraId="7D66A6E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（四）质疑所依据的法律依据（具体条款）、具体事实和具体理由。质疑书依据理由部分只有主观陈述、推理、猜测等，而没有提供客观事实依据、法律依据的；</w:t>
      </w:r>
    </w:p>
    <w:p w14:paraId="33FCC0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B3F0B9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（六）充足有效的相关证明材料；如果涉及到产品功能或技术指标的，应出具相关制造商的证明文件；</w:t>
      </w:r>
    </w:p>
    <w:p w14:paraId="499E772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（七）质疑材料中有外文资料的，应一并附上中文译本，并以中文译本为准。</w:t>
      </w:r>
    </w:p>
    <w:p w14:paraId="2EB24E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（八）提起质疑的日期</w:t>
      </w:r>
    </w:p>
    <w:p w14:paraId="6B4421B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FA07E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21.4供应商委托代理人办理质疑事宜，应当提交授权委托书，并载明委托代理的具体权限和事项。授权委托书应当由委托人签字并加盖单位公章。</w:t>
      </w:r>
    </w:p>
    <w:p w14:paraId="5E03325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A5B8C9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389AA7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4DE964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552066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21.9质疑供应商对采购人的答复不满意以及采购人未在规定的时间内做出答复的，可以在答复期满后15个工作日内向财政部门投诉。</w:t>
      </w:r>
    </w:p>
    <w:p w14:paraId="33DBC8B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22、需要补充的其他内容</w:t>
      </w:r>
    </w:p>
    <w:p w14:paraId="5B42ED3E">
      <w:pPr>
        <w:wordWrap w:val="0"/>
        <w:spacing w:line="360" w:lineRule="auto"/>
        <w:rPr>
          <w:rFonts w:ascii="宋体" w:hAnsi="宋体"/>
          <w:b/>
          <w:sz w:val="36"/>
          <w:szCs w:val="36"/>
          <w:highlight w:val="none"/>
        </w:rPr>
      </w:pPr>
      <w:r>
        <w:rPr>
          <w:rFonts w:hint="eastAsia" w:ascii="宋体" w:hAnsi="宋体" w:cs="宋体"/>
          <w:sz w:val="24"/>
          <w:highlight w:val="none"/>
        </w:rPr>
        <w:t>需要补充的其他内容：见&lt;供应商须知前附表&gt;。</w:t>
      </w:r>
    </w:p>
    <w:p w14:paraId="65575CCF">
      <w:pPr>
        <w:keepNext/>
        <w:keepLines/>
        <w:spacing w:after="360" w:line="500" w:lineRule="exact"/>
        <w:jc w:val="center"/>
        <w:outlineLvl w:val="0"/>
        <w:rPr>
          <w:rFonts w:ascii="宋体" w:hAnsi="宋体"/>
          <w:b/>
          <w:bCs/>
          <w:color w:val="000000"/>
          <w:kern w:val="44"/>
          <w:sz w:val="28"/>
          <w:szCs w:val="28"/>
          <w:highlight w:val="none"/>
        </w:rPr>
      </w:pPr>
      <w:r>
        <w:rPr>
          <w:rFonts w:hint="eastAsia" w:ascii="宋体" w:hAnsi="宋体" w:cs="宋体"/>
          <w:b/>
          <w:bCs/>
          <w:color w:val="000000"/>
          <w:sz w:val="24"/>
          <w:highlight w:val="none"/>
        </w:rPr>
        <w:br w:type="page"/>
      </w:r>
      <w:bookmarkStart w:id="45" w:name="_Toc866"/>
      <w:bookmarkStart w:id="46" w:name="_Toc27381_WPSOffice_Level1"/>
      <w:bookmarkStart w:id="47" w:name="_Toc25845"/>
      <w:bookmarkStart w:id="48" w:name="_Toc3631_WPSOffice_Level1"/>
      <w:bookmarkStart w:id="49" w:name="_Toc31119_WPSOffice_Level1"/>
      <w:bookmarkStart w:id="50" w:name="_Toc13441_WPSOffice_Level1"/>
      <w:bookmarkStart w:id="51" w:name="_Toc26927"/>
      <w:bookmarkStart w:id="52" w:name="_Toc12664"/>
      <w:r>
        <w:rPr>
          <w:rFonts w:hint="eastAsia" w:ascii="宋体" w:hAnsi="宋体"/>
          <w:b/>
          <w:bCs/>
          <w:color w:val="000000"/>
          <w:kern w:val="44"/>
          <w:sz w:val="28"/>
          <w:szCs w:val="28"/>
          <w:highlight w:val="none"/>
        </w:rPr>
        <w:t>第三章 评标办法</w:t>
      </w:r>
      <w:bookmarkEnd w:id="45"/>
      <w:bookmarkEnd w:id="46"/>
      <w:bookmarkEnd w:id="47"/>
      <w:bookmarkEnd w:id="48"/>
      <w:bookmarkEnd w:id="49"/>
      <w:bookmarkEnd w:id="50"/>
      <w:bookmarkEnd w:id="51"/>
      <w:bookmarkEnd w:id="52"/>
      <w:r>
        <w:rPr>
          <w:rFonts w:hint="eastAsia" w:ascii="宋体" w:hAnsi="宋体"/>
          <w:b/>
          <w:bCs/>
          <w:color w:val="000000"/>
          <w:kern w:val="44"/>
          <w:sz w:val="28"/>
          <w:szCs w:val="28"/>
          <w:highlight w:val="none"/>
        </w:rPr>
        <w:t>（综合评分法）</w:t>
      </w:r>
    </w:p>
    <w:p w14:paraId="4B2B1879">
      <w:pPr>
        <w:keepNext/>
        <w:keepLines/>
        <w:spacing w:line="500" w:lineRule="exact"/>
        <w:outlineLvl w:val="1"/>
        <w:rPr>
          <w:rFonts w:ascii="宋体" w:hAnsi="宋体" w:cs="宋体"/>
          <w:b/>
          <w:color w:val="000000"/>
          <w:sz w:val="24"/>
          <w:highlight w:val="none"/>
        </w:rPr>
      </w:pPr>
      <w:bookmarkStart w:id="53" w:name="_Toc179632622"/>
      <w:bookmarkEnd w:id="53"/>
      <w:bookmarkStart w:id="54" w:name="_Toc144974571"/>
      <w:bookmarkEnd w:id="54"/>
      <w:bookmarkStart w:id="55" w:name="_Toc375053349"/>
      <w:bookmarkEnd w:id="55"/>
      <w:bookmarkStart w:id="56" w:name="_Toc179632618"/>
      <w:bookmarkEnd w:id="56"/>
      <w:bookmarkStart w:id="57" w:name="_Toc152045600"/>
      <w:bookmarkEnd w:id="57"/>
      <w:bookmarkStart w:id="58" w:name="_Toc144974567"/>
      <w:bookmarkEnd w:id="58"/>
      <w:bookmarkStart w:id="59" w:name="_Toc375053347"/>
      <w:bookmarkEnd w:id="59"/>
      <w:bookmarkStart w:id="60" w:name="_Toc466566705"/>
      <w:bookmarkEnd w:id="60"/>
      <w:bookmarkStart w:id="61" w:name="_Toc466566709"/>
      <w:bookmarkEnd w:id="61"/>
      <w:bookmarkStart w:id="62" w:name="_Toc466566794"/>
      <w:bookmarkEnd w:id="62"/>
      <w:bookmarkStart w:id="63" w:name="_Toc466566798"/>
      <w:bookmarkEnd w:id="63"/>
      <w:bookmarkStart w:id="64" w:name="_Toc152045604"/>
      <w:bookmarkEnd w:id="64"/>
      <w:r>
        <w:rPr>
          <w:rFonts w:hint="eastAsia" w:ascii="宋体" w:hAnsi="宋体" w:cs="宋体"/>
          <w:b/>
          <w:color w:val="000000"/>
          <w:sz w:val="24"/>
          <w:highlight w:val="none"/>
        </w:rPr>
        <w:t>一、评标方法</w:t>
      </w:r>
    </w:p>
    <w:p w14:paraId="0A66F8AE">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本次评标采用综合评估法。磋商小组对满足磋商文件实质性要求和提交最后报价的响应文件，按本章节规定的评分标准进行综合评分，并按得分由高到低顺序推荐3名中标候选人。</w:t>
      </w:r>
    </w:p>
    <w:p w14:paraId="0FEF86B2">
      <w:pPr>
        <w:keepNext/>
        <w:keepLines/>
        <w:spacing w:line="460" w:lineRule="exact"/>
        <w:outlineLvl w:val="1"/>
        <w:rPr>
          <w:rFonts w:ascii="宋体" w:hAnsi="宋体" w:cs="宋体"/>
          <w:b/>
          <w:color w:val="000000"/>
          <w:sz w:val="24"/>
          <w:highlight w:val="none"/>
        </w:rPr>
      </w:pPr>
      <w:bookmarkStart w:id="65" w:name="_Toc152042378"/>
      <w:bookmarkEnd w:id="65"/>
      <w:bookmarkStart w:id="66" w:name="_Toc152045601"/>
      <w:bookmarkEnd w:id="66"/>
      <w:bookmarkStart w:id="67" w:name="_Toc179632619"/>
      <w:bookmarkEnd w:id="67"/>
      <w:bookmarkStart w:id="68" w:name="_Toc466566795"/>
      <w:bookmarkEnd w:id="68"/>
      <w:bookmarkStart w:id="69" w:name="_Toc144974568"/>
      <w:bookmarkEnd w:id="69"/>
      <w:bookmarkStart w:id="70" w:name="_Toc466566706"/>
      <w:bookmarkEnd w:id="70"/>
      <w:bookmarkStart w:id="71" w:name="_Toc375053348"/>
      <w:r>
        <w:rPr>
          <w:rFonts w:hint="eastAsia" w:ascii="宋体" w:hAnsi="宋体" w:cs="宋体"/>
          <w:b/>
          <w:color w:val="000000"/>
          <w:sz w:val="24"/>
          <w:highlight w:val="none"/>
        </w:rPr>
        <w:t>二、评审标准</w:t>
      </w:r>
      <w:bookmarkEnd w:id="71"/>
    </w:p>
    <w:p w14:paraId="1C44B0E0">
      <w:pPr>
        <w:pStyle w:val="28"/>
        <w:spacing w:line="460" w:lineRule="exact"/>
        <w:rPr>
          <w:rFonts w:eastAsia="宋体"/>
          <w:b/>
          <w:bCs/>
          <w:color w:val="000000"/>
          <w:highlight w:val="none"/>
        </w:rPr>
      </w:pPr>
      <w:bookmarkStart w:id="72" w:name="_Toc152045602"/>
      <w:bookmarkEnd w:id="72"/>
      <w:bookmarkStart w:id="73" w:name="_Toc401512220"/>
      <w:bookmarkEnd w:id="73"/>
      <w:bookmarkStart w:id="74" w:name="_Toc387498744"/>
      <w:bookmarkEnd w:id="74"/>
      <w:bookmarkStart w:id="75" w:name="_Toc401926481"/>
      <w:bookmarkEnd w:id="75"/>
      <w:bookmarkStart w:id="76" w:name="_Toc179632620"/>
      <w:bookmarkEnd w:id="76"/>
      <w:bookmarkStart w:id="77" w:name="_Toc152042379"/>
      <w:bookmarkEnd w:id="77"/>
      <w:bookmarkStart w:id="78" w:name="_Toc423358128"/>
      <w:bookmarkEnd w:id="78"/>
      <w:bookmarkStart w:id="79" w:name="_Toc144974569"/>
      <w:bookmarkEnd w:id="79"/>
      <w:bookmarkStart w:id="80" w:name="_Toc418605425"/>
      <w:bookmarkEnd w:id="80"/>
      <w:bookmarkStart w:id="81" w:name="_Toc421698380"/>
      <w:bookmarkEnd w:id="81"/>
      <w:bookmarkStart w:id="82" w:name="_Toc389384083"/>
      <w:bookmarkEnd w:id="82"/>
      <w:bookmarkStart w:id="83" w:name="_Toc421805013"/>
      <w:bookmarkEnd w:id="83"/>
      <w:bookmarkStart w:id="84" w:name="_Toc466566707"/>
      <w:bookmarkEnd w:id="84"/>
      <w:bookmarkStart w:id="85" w:name="_Toc418608946"/>
      <w:bookmarkEnd w:id="85"/>
      <w:bookmarkStart w:id="86" w:name="_Toc466566796"/>
      <w:r>
        <w:rPr>
          <w:rFonts w:hint="eastAsia" w:eastAsia="宋体"/>
          <w:b/>
          <w:bCs/>
          <w:color w:val="000000"/>
          <w:highlight w:val="none"/>
        </w:rPr>
        <w:t>2.1 初步评审标准</w:t>
      </w:r>
      <w:bookmarkEnd w:id="86"/>
    </w:p>
    <w:p w14:paraId="1FDA55C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2.1.1资格评审标准：见附表1。</w:t>
      </w:r>
    </w:p>
    <w:p w14:paraId="02C9A68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2.1.2形式审查标准：见附表1。</w:t>
      </w:r>
    </w:p>
    <w:p w14:paraId="74928A4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2.1.3响应性评审标准：见附表1。</w:t>
      </w:r>
    </w:p>
    <w:p w14:paraId="5278568E">
      <w:pPr>
        <w:pStyle w:val="28"/>
        <w:spacing w:line="460" w:lineRule="exact"/>
        <w:rPr>
          <w:rFonts w:eastAsia="宋体"/>
          <w:b/>
          <w:bCs/>
          <w:color w:val="000000"/>
          <w:highlight w:val="none"/>
        </w:rPr>
      </w:pPr>
      <w:bookmarkStart w:id="87" w:name="_Toc144974570"/>
      <w:bookmarkEnd w:id="87"/>
      <w:bookmarkStart w:id="88" w:name="_Toc401512221"/>
      <w:bookmarkEnd w:id="88"/>
      <w:bookmarkStart w:id="89" w:name="_Toc387498745"/>
      <w:bookmarkEnd w:id="89"/>
      <w:bookmarkStart w:id="90" w:name="_Toc179632621"/>
      <w:bookmarkEnd w:id="90"/>
      <w:bookmarkStart w:id="91" w:name="_Toc423358129"/>
      <w:bookmarkEnd w:id="91"/>
      <w:bookmarkStart w:id="92" w:name="_Toc152042380"/>
      <w:bookmarkEnd w:id="92"/>
      <w:bookmarkStart w:id="93" w:name="_Toc401926482"/>
      <w:bookmarkEnd w:id="93"/>
      <w:bookmarkStart w:id="94" w:name="_Toc389384084"/>
      <w:bookmarkEnd w:id="94"/>
      <w:bookmarkStart w:id="95" w:name="_Toc418608947"/>
      <w:bookmarkEnd w:id="95"/>
      <w:bookmarkStart w:id="96" w:name="_Toc466566797"/>
      <w:bookmarkEnd w:id="96"/>
      <w:bookmarkStart w:id="97" w:name="_Toc466566708"/>
      <w:bookmarkEnd w:id="97"/>
      <w:bookmarkStart w:id="98" w:name="_Toc421805014"/>
      <w:bookmarkEnd w:id="98"/>
      <w:bookmarkStart w:id="99" w:name="_Toc152045603"/>
      <w:bookmarkEnd w:id="99"/>
      <w:bookmarkStart w:id="100" w:name="_Toc418605426"/>
      <w:bookmarkEnd w:id="100"/>
      <w:bookmarkStart w:id="101" w:name="_Toc421698381"/>
      <w:r>
        <w:rPr>
          <w:rFonts w:hint="eastAsia" w:eastAsia="宋体"/>
          <w:b/>
          <w:bCs/>
          <w:color w:val="000000"/>
          <w:highlight w:val="none"/>
        </w:rPr>
        <w:t>2.2 分值构成与评分标准</w:t>
      </w:r>
      <w:bookmarkEnd w:id="101"/>
    </w:p>
    <w:p w14:paraId="765D0845">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2.2.1分值构成</w:t>
      </w:r>
    </w:p>
    <w:p w14:paraId="3997F4E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满分100分其中：</w:t>
      </w:r>
    </w:p>
    <w:p w14:paraId="3F3ACDF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（1）商务标的权重占30%</w:t>
      </w:r>
    </w:p>
    <w:p w14:paraId="3580778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（2）技术标的权重占40%</w:t>
      </w:r>
    </w:p>
    <w:p w14:paraId="1BF03E0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（3）综合标的权重占30%</w:t>
      </w:r>
    </w:p>
    <w:p w14:paraId="4DF7569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2.2.2评标基准价计算</w:t>
      </w:r>
    </w:p>
    <w:p w14:paraId="3A04725F">
      <w:pPr>
        <w:spacing w:line="460" w:lineRule="exact"/>
        <w:ind w:firstLine="960" w:firstLineChars="400"/>
        <w:rPr>
          <w:rFonts w:ascii="宋体" w:hAnsi="宋体"/>
          <w:color w:val="000000"/>
          <w:sz w:val="24"/>
          <w:highlight w:val="none"/>
        </w:rPr>
      </w:pPr>
      <w:r>
        <w:rPr>
          <w:rFonts w:hint="eastAsia" w:ascii="宋体" w:hAnsi="宋体"/>
          <w:color w:val="000000"/>
          <w:sz w:val="24"/>
          <w:highlight w:val="none"/>
        </w:rPr>
        <w:t>评标基准价计算方法：见附表2；</w:t>
      </w:r>
    </w:p>
    <w:p w14:paraId="274B390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2.2.3评分标准：见附表2；</w:t>
      </w:r>
    </w:p>
    <w:p w14:paraId="73023A13">
      <w:pPr>
        <w:keepNext/>
        <w:keepLines/>
        <w:spacing w:line="460" w:lineRule="exact"/>
        <w:outlineLvl w:val="1"/>
        <w:rPr>
          <w:rFonts w:ascii="宋体" w:hAnsi="宋体" w:cs="宋体"/>
          <w:bCs/>
          <w:color w:val="000000"/>
          <w:sz w:val="24"/>
          <w:highlight w:val="none"/>
        </w:rPr>
      </w:pPr>
      <w:bookmarkStart w:id="102" w:name="_Toc152042381"/>
      <w:r>
        <w:rPr>
          <w:rFonts w:hint="eastAsia" w:ascii="宋体" w:hAnsi="宋体" w:cs="宋体"/>
          <w:bCs/>
          <w:color w:val="000000"/>
          <w:sz w:val="24"/>
          <w:highlight w:val="none"/>
        </w:rPr>
        <w:t>三、评标程序</w:t>
      </w:r>
      <w:bookmarkEnd w:id="102"/>
    </w:p>
    <w:p w14:paraId="480E8B18">
      <w:pPr>
        <w:pStyle w:val="28"/>
        <w:spacing w:line="460" w:lineRule="exact"/>
        <w:rPr>
          <w:rFonts w:eastAsia="宋体"/>
          <w:b/>
          <w:bCs/>
          <w:color w:val="000000"/>
          <w:highlight w:val="none"/>
        </w:rPr>
      </w:pPr>
      <w:bookmarkStart w:id="103" w:name="_Toc418608949"/>
      <w:bookmarkEnd w:id="103"/>
      <w:bookmarkStart w:id="104" w:name="_Toc152042382"/>
      <w:bookmarkEnd w:id="104"/>
      <w:bookmarkStart w:id="105" w:name="_Toc466566710"/>
      <w:bookmarkEnd w:id="105"/>
      <w:bookmarkStart w:id="106" w:name="_Toc144974572"/>
      <w:bookmarkEnd w:id="106"/>
      <w:bookmarkStart w:id="107" w:name="_Toc423358131"/>
      <w:bookmarkEnd w:id="107"/>
      <w:bookmarkStart w:id="108" w:name="_Toc418605428"/>
      <w:bookmarkEnd w:id="108"/>
      <w:bookmarkStart w:id="109" w:name="_Toc421805016"/>
      <w:bookmarkEnd w:id="109"/>
      <w:bookmarkStart w:id="110" w:name="_Toc389384086"/>
      <w:bookmarkEnd w:id="110"/>
      <w:bookmarkStart w:id="111" w:name="_Toc387498747"/>
      <w:bookmarkEnd w:id="111"/>
      <w:bookmarkStart w:id="112" w:name="_Toc466566799"/>
      <w:bookmarkEnd w:id="112"/>
      <w:bookmarkStart w:id="113" w:name="_Toc152045605"/>
      <w:bookmarkEnd w:id="113"/>
      <w:bookmarkStart w:id="114" w:name="_Toc179632623"/>
      <w:bookmarkEnd w:id="114"/>
      <w:bookmarkStart w:id="115" w:name="_Toc421698383"/>
      <w:bookmarkEnd w:id="115"/>
      <w:bookmarkStart w:id="116" w:name="_Toc401512223"/>
      <w:bookmarkEnd w:id="116"/>
      <w:bookmarkStart w:id="117" w:name="_Toc401926484"/>
      <w:r>
        <w:rPr>
          <w:rFonts w:hint="eastAsia" w:eastAsia="宋体"/>
          <w:b/>
          <w:bCs/>
          <w:color w:val="000000"/>
          <w:highlight w:val="none"/>
        </w:rPr>
        <w:t>3.1 初步评审</w:t>
      </w:r>
      <w:bookmarkEnd w:id="117"/>
    </w:p>
    <w:p w14:paraId="712B2DDF">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3.1.1 由磋商小组应该以响应人响应文件为准。磋商小组依据本章第2.1款规定的标准对响应文件进行初步评审。有一项不符合评审标准的，其投标将被否决。</w:t>
      </w:r>
    </w:p>
    <w:p w14:paraId="5FFD481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3.1.2 磋商小组依据本章第2.1.1项、第2.1.2项、第2.1.3项规定的评审标准对响应文件进行初步评审。有一项不符合评审标准的，其投标将被否决。</w:t>
      </w:r>
    </w:p>
    <w:p w14:paraId="2FFC20B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3.1.3响应人有以下情形之一的，其投标将被否决：</w:t>
      </w:r>
    </w:p>
    <w:p w14:paraId="3CB7CA41">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（1）串通投标或弄虚作假或有其他违法行为的；</w:t>
      </w:r>
    </w:p>
    <w:p w14:paraId="5ED0D61F">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（2）不按磋商小组要求澄清、说明或补正的。</w:t>
      </w:r>
    </w:p>
    <w:p w14:paraId="2DB93B6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3.1.4投标报价有算术错误的，磋商小组按以下原则对投标报价进行修正，修正的价格经响应人书面确认后具有约束力。响应人不接受修正价格的，其投标将被否决。</w:t>
      </w:r>
    </w:p>
    <w:p w14:paraId="693FFEA1">
      <w:pPr>
        <w:spacing w:line="460" w:lineRule="exact"/>
        <w:ind w:firstLine="480" w:firstLineChars="200"/>
        <w:rPr>
          <w:rFonts w:ascii="宋体" w:hAnsi="宋体"/>
          <w:color w:val="000000"/>
          <w:sz w:val="24"/>
          <w:highlight w:val="none"/>
        </w:rPr>
      </w:pPr>
      <w:bookmarkStart w:id="118" w:name="_Toc152042383"/>
      <w:bookmarkEnd w:id="118"/>
      <w:r>
        <w:rPr>
          <w:rFonts w:hint="eastAsia" w:ascii="宋体" w:hAnsi="宋体"/>
          <w:color w:val="000000"/>
          <w:sz w:val="24"/>
          <w:highlight w:val="none"/>
        </w:rPr>
        <w:t>（1）响应文件中的大写金额与小写金额不一致的，以大写金额为准；</w:t>
      </w:r>
    </w:p>
    <w:p w14:paraId="20F75005">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（2）总价金额与依据单价计算出的结果不一致的，以单价金额为准修正总价，但单价金额小数点有明显错误的除外。</w:t>
      </w:r>
    </w:p>
    <w:p w14:paraId="64C78F9D">
      <w:pPr>
        <w:spacing w:line="460" w:lineRule="exact"/>
        <w:ind w:firstLine="480" w:firstLineChars="200"/>
        <w:rPr>
          <w:rFonts w:ascii="宋体" w:hAnsi="宋体"/>
          <w:color w:val="000000"/>
          <w:sz w:val="24"/>
          <w:highlight w:val="none"/>
        </w:rPr>
      </w:pPr>
      <w:bookmarkStart w:id="119" w:name="_Toc179632624"/>
      <w:bookmarkEnd w:id="119"/>
      <w:bookmarkStart w:id="120" w:name="_Toc152042384"/>
      <w:bookmarkEnd w:id="120"/>
      <w:bookmarkStart w:id="121" w:name="_Toc152045606"/>
      <w:bookmarkEnd w:id="121"/>
      <w:bookmarkStart w:id="122" w:name="_Toc144974573"/>
      <w:r>
        <w:rPr>
          <w:rFonts w:hint="eastAsia" w:ascii="宋体" w:hAnsi="宋体"/>
          <w:color w:val="000000"/>
          <w:sz w:val="24"/>
          <w:highlight w:val="none"/>
        </w:rPr>
        <w:t>3.1.5通过初步评审的响应人通过CA锁在系统中提交二次报价。</w:t>
      </w:r>
    </w:p>
    <w:p w14:paraId="01232A6B">
      <w:pPr>
        <w:spacing w:line="460" w:lineRule="exact"/>
        <w:rPr>
          <w:rFonts w:ascii="宋体" w:hAnsi="宋体"/>
          <w:b/>
          <w:bCs/>
          <w:color w:val="000000"/>
          <w:sz w:val="24"/>
          <w:highlight w:val="none"/>
        </w:rPr>
      </w:pPr>
      <w:r>
        <w:rPr>
          <w:rFonts w:hint="eastAsia" w:ascii="宋体" w:hAnsi="宋体"/>
          <w:b/>
          <w:bCs/>
          <w:color w:val="000000"/>
          <w:sz w:val="24"/>
          <w:highlight w:val="none"/>
        </w:rPr>
        <w:t>3.2 详细评审</w:t>
      </w:r>
      <w:bookmarkEnd w:id="122"/>
    </w:p>
    <w:p w14:paraId="722CF21D">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3.2.1 磋商小组按本章附表2规定的量化因素和分值进行打分，并计算出综合评估得分。</w:t>
      </w:r>
    </w:p>
    <w:p w14:paraId="7FE0C18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778EED5">
      <w:pPr>
        <w:pStyle w:val="28"/>
        <w:spacing w:line="460" w:lineRule="exact"/>
        <w:rPr>
          <w:rFonts w:eastAsia="宋体"/>
          <w:b/>
          <w:bCs/>
          <w:color w:val="000000"/>
          <w:highlight w:val="none"/>
        </w:rPr>
      </w:pPr>
      <w:bookmarkStart w:id="123" w:name="_Toc389384087"/>
      <w:bookmarkEnd w:id="123"/>
      <w:bookmarkStart w:id="124" w:name="_Toc418608950"/>
      <w:bookmarkEnd w:id="124"/>
      <w:bookmarkStart w:id="125" w:name="_Toc423358132"/>
      <w:bookmarkEnd w:id="125"/>
      <w:bookmarkStart w:id="126" w:name="_Toc401512224"/>
      <w:bookmarkEnd w:id="126"/>
      <w:bookmarkStart w:id="127" w:name="_Toc401926485"/>
      <w:bookmarkEnd w:id="127"/>
      <w:bookmarkStart w:id="128" w:name="_Toc421805017"/>
      <w:bookmarkEnd w:id="128"/>
      <w:bookmarkStart w:id="129" w:name="_Toc152045607"/>
      <w:bookmarkEnd w:id="129"/>
      <w:bookmarkStart w:id="130" w:name="_Toc152042385"/>
      <w:bookmarkEnd w:id="130"/>
      <w:bookmarkStart w:id="131" w:name="_Toc466566800"/>
      <w:bookmarkEnd w:id="131"/>
      <w:bookmarkStart w:id="132" w:name="_Toc418605429"/>
      <w:bookmarkEnd w:id="132"/>
      <w:bookmarkStart w:id="133" w:name="_Toc387498748"/>
      <w:bookmarkEnd w:id="133"/>
      <w:bookmarkStart w:id="134" w:name="_Toc466566711"/>
      <w:bookmarkEnd w:id="134"/>
      <w:bookmarkStart w:id="135" w:name="_Toc144974575"/>
      <w:bookmarkEnd w:id="135"/>
      <w:bookmarkStart w:id="136" w:name="_Toc179632625"/>
      <w:bookmarkEnd w:id="136"/>
      <w:bookmarkStart w:id="137" w:name="_Toc421698384"/>
      <w:r>
        <w:rPr>
          <w:rFonts w:hint="eastAsia" w:eastAsia="宋体"/>
          <w:b/>
          <w:bCs/>
          <w:color w:val="000000"/>
          <w:highlight w:val="none"/>
        </w:rPr>
        <w:t>3.3 响应文件的澄清</w:t>
      </w:r>
      <w:bookmarkEnd w:id="137"/>
      <w:r>
        <w:rPr>
          <w:rFonts w:hint="eastAsia" w:eastAsia="宋体"/>
          <w:b/>
          <w:bCs/>
          <w:color w:val="000000"/>
          <w:highlight w:val="none"/>
        </w:rPr>
        <w:t>和补正</w:t>
      </w:r>
    </w:p>
    <w:p w14:paraId="2F8BCF3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AFC3CB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3.3.2 澄清、说明和补正不得改变响应文件的实质性内容（算术性错误修正的除外）。响应人的书面澄清、说明和补正属于响应文件的组成部分。</w:t>
      </w:r>
    </w:p>
    <w:p w14:paraId="42926DB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3.3.3 磋商小组对响应人提交的澄清、说明或补正有疑问的，可以要求响应人进一步澄清、说明或补正，直至满足磋商小组的要求。</w:t>
      </w:r>
    </w:p>
    <w:p w14:paraId="1D3F0A3E">
      <w:pPr>
        <w:pStyle w:val="28"/>
        <w:spacing w:line="460" w:lineRule="exact"/>
        <w:rPr>
          <w:rFonts w:eastAsia="宋体"/>
          <w:b/>
          <w:bCs/>
          <w:color w:val="000000"/>
          <w:highlight w:val="none"/>
        </w:rPr>
      </w:pPr>
      <w:bookmarkStart w:id="138" w:name="_Toc421805018"/>
      <w:bookmarkEnd w:id="138"/>
      <w:bookmarkStart w:id="139" w:name="_Toc423358133"/>
      <w:bookmarkEnd w:id="139"/>
      <w:bookmarkStart w:id="140" w:name="_Toc401926486"/>
      <w:bookmarkEnd w:id="140"/>
      <w:bookmarkStart w:id="141" w:name="_Toc152042386"/>
      <w:bookmarkEnd w:id="141"/>
      <w:bookmarkStart w:id="142" w:name="_Toc418608951"/>
      <w:bookmarkEnd w:id="142"/>
      <w:bookmarkStart w:id="143" w:name="_Toc418605430"/>
      <w:bookmarkEnd w:id="143"/>
      <w:bookmarkStart w:id="144" w:name="_Toc144974576"/>
      <w:bookmarkEnd w:id="144"/>
      <w:bookmarkStart w:id="145" w:name="_Toc387498749"/>
      <w:bookmarkEnd w:id="145"/>
      <w:bookmarkStart w:id="146" w:name="_Toc401512225"/>
      <w:bookmarkEnd w:id="146"/>
      <w:bookmarkStart w:id="147" w:name="_Toc389384088"/>
      <w:bookmarkEnd w:id="147"/>
      <w:bookmarkStart w:id="148" w:name="_Toc152045608"/>
      <w:bookmarkEnd w:id="148"/>
      <w:bookmarkStart w:id="149" w:name="_Toc179632626"/>
      <w:bookmarkEnd w:id="149"/>
      <w:bookmarkStart w:id="150" w:name="_Toc466566801"/>
      <w:bookmarkEnd w:id="150"/>
      <w:bookmarkStart w:id="151" w:name="_Toc421698385"/>
      <w:bookmarkEnd w:id="151"/>
      <w:bookmarkStart w:id="152" w:name="_Toc466566712"/>
      <w:r>
        <w:rPr>
          <w:rFonts w:hint="eastAsia" w:eastAsia="宋体"/>
          <w:b/>
          <w:bCs/>
          <w:color w:val="000000"/>
          <w:highlight w:val="none"/>
        </w:rPr>
        <w:t>3.4 评标结果</w:t>
      </w:r>
      <w:bookmarkEnd w:id="152"/>
    </w:p>
    <w:p w14:paraId="77D925C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3.4.1磋商小组按照得分由高到低的顺序推荐3名中标候选人。</w:t>
      </w:r>
    </w:p>
    <w:p w14:paraId="5086972A">
      <w:pPr>
        <w:spacing w:after="317" w:afterLines="100"/>
        <w:ind w:firstLine="480" w:firstLineChars="200"/>
        <w:rPr>
          <w:rFonts w:ascii="宋体" w:hAnsi="宋体" w:cs="宋体"/>
          <w:color w:val="000000"/>
          <w:sz w:val="24"/>
          <w:highlight w:val="none"/>
        </w:rPr>
      </w:pPr>
      <w:r>
        <w:rPr>
          <w:rFonts w:hint="eastAsia" w:ascii="宋体" w:hAnsi="宋体"/>
          <w:color w:val="000000"/>
          <w:sz w:val="24"/>
          <w:highlight w:val="none"/>
        </w:rPr>
        <w:t>3.4.2 磋商小组完成评标后，应当向招标人提交书面评标报告。</w:t>
      </w:r>
    </w:p>
    <w:p w14:paraId="7AB523C5">
      <w:pPr>
        <w:spacing w:after="317" w:afterLines="100"/>
        <w:outlineLvl w:val="1"/>
        <w:rPr>
          <w:b/>
          <w:bCs/>
          <w:color w:val="000000"/>
          <w:highlight w:val="none"/>
        </w:rPr>
      </w:pPr>
      <w:r>
        <w:rPr>
          <w:rFonts w:hint="eastAsia" w:ascii="宋体" w:hAnsi="宋体" w:cs="宋体"/>
          <w:color w:val="000000"/>
          <w:sz w:val="24"/>
          <w:highlight w:val="none"/>
        </w:rPr>
        <w:br w:type="page"/>
      </w:r>
      <w:r>
        <w:rPr>
          <w:rFonts w:hint="eastAsia"/>
          <w:b/>
          <w:bCs/>
          <w:color w:val="000000"/>
          <w:highlight w:val="none"/>
        </w:rPr>
        <w:t>附表1初步评审表</w:t>
      </w:r>
    </w:p>
    <w:tbl>
      <w:tblPr>
        <w:tblStyle w:val="11"/>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96"/>
        <w:gridCol w:w="2467"/>
        <w:gridCol w:w="6348"/>
      </w:tblGrid>
      <w:tr w14:paraId="53F2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05" w:type="dxa"/>
            <w:gridSpan w:val="2"/>
            <w:vAlign w:val="center"/>
          </w:tcPr>
          <w:p w14:paraId="4A3E407A">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条款号</w:t>
            </w:r>
          </w:p>
        </w:tc>
        <w:tc>
          <w:tcPr>
            <w:tcW w:w="2467" w:type="dxa"/>
            <w:vAlign w:val="center"/>
          </w:tcPr>
          <w:p w14:paraId="41A4D23D">
            <w:pPr>
              <w:spacing w:line="360" w:lineRule="auto"/>
              <w:ind w:firstLine="60" w:firstLineChars="25"/>
              <w:jc w:val="center"/>
              <w:rPr>
                <w:rFonts w:ascii="Courier New" w:hAnsi="宋体"/>
                <w:color w:val="000000"/>
                <w:kern w:val="0"/>
                <w:sz w:val="24"/>
                <w:highlight w:val="none"/>
              </w:rPr>
            </w:pPr>
            <w:r>
              <w:rPr>
                <w:rFonts w:hint="eastAsia" w:ascii="Courier New" w:hAnsi="宋体"/>
                <w:color w:val="000000"/>
                <w:kern w:val="0"/>
                <w:sz w:val="24"/>
                <w:highlight w:val="none"/>
              </w:rPr>
              <w:t>评审因素</w:t>
            </w:r>
          </w:p>
        </w:tc>
        <w:tc>
          <w:tcPr>
            <w:tcW w:w="6348" w:type="dxa"/>
            <w:vAlign w:val="center"/>
          </w:tcPr>
          <w:p w14:paraId="3A88D466">
            <w:pPr>
              <w:spacing w:line="360" w:lineRule="auto"/>
              <w:ind w:firstLine="1920" w:firstLineChars="800"/>
              <w:jc w:val="left"/>
              <w:rPr>
                <w:rFonts w:ascii="Courier New" w:hAnsi="宋体"/>
                <w:color w:val="000000"/>
                <w:kern w:val="0"/>
                <w:sz w:val="24"/>
                <w:highlight w:val="none"/>
              </w:rPr>
            </w:pPr>
            <w:r>
              <w:rPr>
                <w:rFonts w:hint="eastAsia" w:ascii="Courier New" w:hAnsi="宋体"/>
                <w:color w:val="000000"/>
                <w:kern w:val="0"/>
                <w:sz w:val="24"/>
                <w:highlight w:val="none"/>
              </w:rPr>
              <w:t>评审标准</w:t>
            </w:r>
          </w:p>
        </w:tc>
      </w:tr>
      <w:tr w14:paraId="5E7F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09" w:type="dxa"/>
            <w:vMerge w:val="restart"/>
            <w:vAlign w:val="center"/>
          </w:tcPr>
          <w:p w14:paraId="4C3BB228">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2.1.1</w:t>
            </w:r>
          </w:p>
        </w:tc>
        <w:tc>
          <w:tcPr>
            <w:tcW w:w="796" w:type="dxa"/>
            <w:vMerge w:val="restart"/>
            <w:vAlign w:val="center"/>
          </w:tcPr>
          <w:p w14:paraId="109A7237">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资格</w:t>
            </w:r>
          </w:p>
          <w:p w14:paraId="0DA058A9">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评审</w:t>
            </w:r>
          </w:p>
          <w:p w14:paraId="2E3F069E">
            <w:pPr>
              <w:spacing w:line="360" w:lineRule="auto"/>
              <w:rPr>
                <w:rFonts w:ascii="宋体" w:hAnsi="宋体"/>
                <w:color w:val="000000"/>
                <w:sz w:val="24"/>
                <w:highlight w:val="none"/>
              </w:rPr>
            </w:pPr>
            <w:r>
              <w:rPr>
                <w:rFonts w:hint="eastAsia" w:ascii="宋体" w:hAnsi="宋体"/>
                <w:color w:val="000000"/>
                <w:sz w:val="24"/>
                <w:highlight w:val="none"/>
              </w:rPr>
              <w:t>标准</w:t>
            </w:r>
          </w:p>
        </w:tc>
        <w:tc>
          <w:tcPr>
            <w:tcW w:w="2467" w:type="dxa"/>
            <w:vAlign w:val="center"/>
          </w:tcPr>
          <w:p w14:paraId="0532C395">
            <w:pPr>
              <w:widowControl/>
              <w:spacing w:line="480" w:lineRule="exact"/>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符合二十二条规定</w:t>
            </w:r>
          </w:p>
        </w:tc>
        <w:tc>
          <w:tcPr>
            <w:tcW w:w="6348" w:type="dxa"/>
            <w:vAlign w:val="center"/>
          </w:tcPr>
          <w:p w14:paraId="72B3810C">
            <w:pPr>
              <w:spacing w:line="480" w:lineRule="exact"/>
              <w:rPr>
                <w:rFonts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满足《中华人民共和国政府采购法》第二十二条规定</w:t>
            </w:r>
          </w:p>
        </w:tc>
      </w:tr>
      <w:tr w14:paraId="052A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09" w:type="dxa"/>
            <w:vMerge w:val="continue"/>
            <w:vAlign w:val="center"/>
          </w:tcPr>
          <w:p w14:paraId="5608DEBA">
            <w:pPr>
              <w:widowControl/>
              <w:jc w:val="left"/>
              <w:rPr>
                <w:rFonts w:ascii="宋体" w:hAnsi="宋体" w:cs="Courier New"/>
                <w:color w:val="000000"/>
                <w:sz w:val="24"/>
                <w:highlight w:val="none"/>
              </w:rPr>
            </w:pPr>
          </w:p>
        </w:tc>
        <w:tc>
          <w:tcPr>
            <w:tcW w:w="796" w:type="dxa"/>
            <w:vMerge w:val="continue"/>
            <w:vAlign w:val="center"/>
          </w:tcPr>
          <w:p w14:paraId="7F013CAC">
            <w:pPr>
              <w:widowControl/>
              <w:jc w:val="left"/>
              <w:rPr>
                <w:rFonts w:ascii="宋体" w:hAnsi="宋体"/>
                <w:color w:val="000000"/>
                <w:sz w:val="24"/>
                <w:highlight w:val="none"/>
              </w:rPr>
            </w:pPr>
          </w:p>
        </w:tc>
        <w:tc>
          <w:tcPr>
            <w:tcW w:w="2467" w:type="dxa"/>
            <w:vAlign w:val="center"/>
          </w:tcPr>
          <w:p w14:paraId="29C920F9">
            <w:pPr>
              <w:widowControl/>
              <w:spacing w:line="480" w:lineRule="exact"/>
              <w:jc w:val="left"/>
              <w:rPr>
                <w:rFonts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w:t>
            </w:r>
          </w:p>
        </w:tc>
        <w:tc>
          <w:tcPr>
            <w:tcW w:w="6348" w:type="dxa"/>
          </w:tcPr>
          <w:p w14:paraId="1F881CFE">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供应商具有独立企业法人资格, 具备有效的营业执照、税务登记证、组织机构代码证或三证合一的营业执照；</w:t>
            </w:r>
          </w:p>
        </w:tc>
      </w:tr>
      <w:tr w14:paraId="5264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09" w:type="dxa"/>
            <w:vMerge w:val="continue"/>
            <w:vAlign w:val="center"/>
          </w:tcPr>
          <w:p w14:paraId="28A7DA72">
            <w:pPr>
              <w:widowControl/>
              <w:jc w:val="left"/>
              <w:rPr>
                <w:rFonts w:ascii="宋体" w:hAnsi="宋体" w:cs="Courier New"/>
                <w:color w:val="000000"/>
                <w:sz w:val="24"/>
                <w:highlight w:val="none"/>
              </w:rPr>
            </w:pPr>
          </w:p>
        </w:tc>
        <w:tc>
          <w:tcPr>
            <w:tcW w:w="796" w:type="dxa"/>
            <w:vMerge w:val="continue"/>
            <w:vAlign w:val="center"/>
          </w:tcPr>
          <w:p w14:paraId="7B1173A8">
            <w:pPr>
              <w:widowControl/>
              <w:jc w:val="left"/>
              <w:rPr>
                <w:rFonts w:ascii="宋体" w:hAnsi="宋体"/>
                <w:color w:val="000000"/>
                <w:sz w:val="24"/>
                <w:highlight w:val="none"/>
              </w:rPr>
            </w:pPr>
          </w:p>
        </w:tc>
        <w:tc>
          <w:tcPr>
            <w:tcW w:w="2467" w:type="dxa"/>
            <w:vAlign w:val="center"/>
          </w:tcPr>
          <w:p w14:paraId="3810443F">
            <w:pPr>
              <w:widowControl/>
              <w:spacing w:line="480" w:lineRule="exact"/>
              <w:jc w:val="left"/>
              <w:rPr>
                <w:rFonts w:hint="eastAsia"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资格要求</w:t>
            </w:r>
          </w:p>
        </w:tc>
        <w:tc>
          <w:tcPr>
            <w:tcW w:w="6348" w:type="dxa"/>
          </w:tcPr>
          <w:p w14:paraId="078D1AEC">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一标段、二标段</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需</w:t>
            </w:r>
            <w:r>
              <w:rPr>
                <w:rFonts w:hint="eastAsia" w:ascii="宋体" w:hAnsi="宋体"/>
                <w:color w:val="000000" w:themeColor="text1"/>
                <w:sz w:val="24"/>
                <w:highlight w:val="none"/>
                <w14:textFill>
                  <w14:solidFill>
                    <w14:schemeClr w14:val="tx1"/>
                  </w14:solidFill>
                </w14:textFill>
              </w:rPr>
              <w:t>具有飞防服务作业经历的服务公司，</w:t>
            </w:r>
            <w:r>
              <w:rPr>
                <w:rFonts w:hint="eastAsia" w:ascii="宋体" w:hAnsi="宋体"/>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olor w:val="000000" w:themeColor="text1"/>
                <w:sz w:val="24"/>
                <w:highlight w:val="none"/>
                <w14:textFill>
                  <w14:solidFill>
                    <w14:schemeClr w14:val="tx1"/>
                  </w14:solidFill>
                </w14:textFill>
              </w:rPr>
              <w:t>具有完成飞防服务作业的能力，</w:t>
            </w:r>
            <w:r>
              <w:rPr>
                <w:rFonts w:hint="eastAsia" w:ascii="宋体" w:hAnsi="宋体"/>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并在有效期内</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提供本批次生产检验合格报告</w:t>
            </w:r>
            <w:r>
              <w:rPr>
                <w:rFonts w:hint="eastAsia" w:ascii="宋体" w:hAnsi="宋体"/>
                <w:color w:val="000000" w:themeColor="text1"/>
                <w:sz w:val="24"/>
                <w:highlight w:val="none"/>
                <w14:textFill>
                  <w14:solidFill>
                    <w14:schemeClr w14:val="tx1"/>
                  </w14:solidFill>
                </w14:textFill>
              </w:rPr>
              <w:t>。</w:t>
            </w:r>
          </w:p>
        </w:tc>
      </w:tr>
      <w:tr w14:paraId="5E53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09" w:type="dxa"/>
            <w:vMerge w:val="continue"/>
            <w:vAlign w:val="center"/>
          </w:tcPr>
          <w:p w14:paraId="5A8B9E4B">
            <w:pPr>
              <w:widowControl/>
              <w:jc w:val="left"/>
              <w:rPr>
                <w:rFonts w:ascii="宋体" w:hAnsi="宋体" w:cs="Courier New"/>
                <w:color w:val="000000"/>
                <w:sz w:val="24"/>
                <w:highlight w:val="none"/>
              </w:rPr>
            </w:pPr>
          </w:p>
        </w:tc>
        <w:tc>
          <w:tcPr>
            <w:tcW w:w="796" w:type="dxa"/>
            <w:vMerge w:val="continue"/>
            <w:vAlign w:val="center"/>
          </w:tcPr>
          <w:p w14:paraId="231ED876">
            <w:pPr>
              <w:widowControl/>
              <w:jc w:val="left"/>
              <w:rPr>
                <w:rFonts w:ascii="宋体" w:hAnsi="宋体"/>
                <w:color w:val="000000"/>
                <w:sz w:val="24"/>
                <w:highlight w:val="none"/>
              </w:rPr>
            </w:pPr>
          </w:p>
        </w:tc>
        <w:tc>
          <w:tcPr>
            <w:tcW w:w="2467" w:type="dxa"/>
            <w:vAlign w:val="center"/>
          </w:tcPr>
          <w:p w14:paraId="158445B0">
            <w:pPr>
              <w:widowControl/>
              <w:spacing w:line="24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承诺书</w:t>
            </w:r>
          </w:p>
        </w:tc>
        <w:tc>
          <w:tcPr>
            <w:tcW w:w="6348" w:type="dxa"/>
          </w:tcPr>
          <w:p w14:paraId="1585D2E4">
            <w:pPr>
              <w:widowControl/>
              <w:spacing w:line="48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具有履行合同所必需的设备和专业技术能力（需提供承诺书）；</w:t>
            </w:r>
          </w:p>
        </w:tc>
      </w:tr>
      <w:tr w14:paraId="1897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909" w:type="dxa"/>
            <w:vMerge w:val="continue"/>
            <w:vAlign w:val="center"/>
          </w:tcPr>
          <w:p w14:paraId="2D3BD01E">
            <w:pPr>
              <w:widowControl/>
              <w:jc w:val="left"/>
              <w:rPr>
                <w:rFonts w:ascii="宋体" w:hAnsi="宋体" w:cs="Courier New"/>
                <w:color w:val="000000"/>
                <w:sz w:val="24"/>
                <w:highlight w:val="none"/>
              </w:rPr>
            </w:pPr>
          </w:p>
        </w:tc>
        <w:tc>
          <w:tcPr>
            <w:tcW w:w="796" w:type="dxa"/>
            <w:vMerge w:val="continue"/>
            <w:vAlign w:val="center"/>
          </w:tcPr>
          <w:p w14:paraId="19027C44">
            <w:pPr>
              <w:widowControl/>
              <w:jc w:val="left"/>
              <w:rPr>
                <w:rFonts w:ascii="宋体" w:hAnsi="宋体"/>
                <w:color w:val="000000"/>
                <w:sz w:val="24"/>
                <w:highlight w:val="none"/>
              </w:rPr>
            </w:pPr>
          </w:p>
        </w:tc>
        <w:tc>
          <w:tcPr>
            <w:tcW w:w="2467" w:type="dxa"/>
            <w:vAlign w:val="center"/>
          </w:tcPr>
          <w:p w14:paraId="0A869FC6">
            <w:pPr>
              <w:widowControl/>
              <w:spacing w:line="240" w:lineRule="auto"/>
              <w:jc w:val="left"/>
              <w:rPr>
                <w:rFonts w:ascii="宋体" w:hAnsi="宋体" w:cs="宋体"/>
                <w:sz w:val="24"/>
                <w:highlight w:val="none"/>
              </w:rPr>
            </w:pPr>
            <w:r>
              <w:rPr>
                <w:rFonts w:hint="eastAsia" w:ascii="宋体" w:hAnsi="宋体" w:cs="宋体"/>
                <w:sz w:val="24"/>
                <w:highlight w:val="none"/>
              </w:rPr>
              <w:t>信用中国查询</w:t>
            </w:r>
          </w:p>
        </w:tc>
        <w:tc>
          <w:tcPr>
            <w:tcW w:w="6348" w:type="dxa"/>
          </w:tcPr>
          <w:p w14:paraId="7B949D25">
            <w:pPr>
              <w:widowControl/>
              <w:spacing w:line="480" w:lineRule="exact"/>
              <w:rPr>
                <w:rFonts w:ascii="宋体" w:hAnsi="宋体" w:cs="宋体"/>
                <w:sz w:val="24"/>
                <w:highlight w:val="none"/>
              </w:rPr>
            </w:pPr>
            <w:r>
              <w:rPr>
                <w:rFonts w:hint="eastAsia" w:ascii="宋体" w:hAnsi="宋体" w:cs="宋体"/>
                <w:bCs/>
                <w:sz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606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09" w:type="dxa"/>
            <w:vMerge w:val="continue"/>
            <w:vAlign w:val="center"/>
          </w:tcPr>
          <w:p w14:paraId="431EA1E4">
            <w:pPr>
              <w:widowControl/>
              <w:jc w:val="left"/>
              <w:rPr>
                <w:rFonts w:ascii="宋体" w:hAnsi="宋体" w:cs="Courier New"/>
                <w:color w:val="000000"/>
                <w:sz w:val="24"/>
                <w:highlight w:val="none"/>
              </w:rPr>
            </w:pPr>
          </w:p>
        </w:tc>
        <w:tc>
          <w:tcPr>
            <w:tcW w:w="796" w:type="dxa"/>
            <w:vMerge w:val="continue"/>
            <w:vAlign w:val="center"/>
          </w:tcPr>
          <w:p w14:paraId="73C8C316">
            <w:pPr>
              <w:widowControl/>
              <w:jc w:val="left"/>
              <w:rPr>
                <w:rFonts w:ascii="宋体" w:hAnsi="宋体"/>
                <w:color w:val="000000"/>
                <w:sz w:val="24"/>
                <w:highlight w:val="none"/>
              </w:rPr>
            </w:pPr>
          </w:p>
        </w:tc>
        <w:tc>
          <w:tcPr>
            <w:tcW w:w="2467" w:type="dxa"/>
            <w:vAlign w:val="center"/>
          </w:tcPr>
          <w:p w14:paraId="2472EE15">
            <w:pPr>
              <w:widowControl/>
              <w:spacing w:line="240" w:lineRule="auto"/>
              <w:jc w:val="left"/>
              <w:rPr>
                <w:rFonts w:hint="eastAsia" w:ascii="宋体" w:hAnsi="宋体" w:cs="宋体"/>
                <w:sz w:val="24"/>
                <w:highlight w:val="none"/>
              </w:rPr>
            </w:pPr>
            <w:r>
              <w:rPr>
                <w:rFonts w:hint="eastAsia" w:ascii="宋体" w:hAnsi="宋体" w:eastAsia="宋体" w:cs="宋体"/>
                <w:spacing w:val="-1"/>
                <w:sz w:val="24"/>
                <w:szCs w:val="24"/>
                <w:highlight w:val="none"/>
                <w:lang w:eastAsia="zh-CN"/>
              </w:rPr>
              <w:t>国家企业信用信息公示系统</w:t>
            </w:r>
          </w:p>
        </w:tc>
        <w:tc>
          <w:tcPr>
            <w:tcW w:w="6348" w:type="dxa"/>
          </w:tcPr>
          <w:p w14:paraId="4B818AB5">
            <w:pPr>
              <w:widowControl/>
              <w:spacing w:line="480" w:lineRule="exact"/>
              <w:rPr>
                <w:rFonts w:hint="eastAsia" w:ascii="宋体" w:hAnsi="宋体" w:cs="宋体"/>
                <w:bCs/>
                <w:sz w:val="24"/>
                <w:highlight w:val="none"/>
              </w:rPr>
            </w:pPr>
            <w:r>
              <w:rPr>
                <w:rFonts w:hint="eastAsia" w:ascii="宋体" w:hAnsi="宋体" w:cs="宋体"/>
                <w:color w:val="auto"/>
                <w:sz w:val="24"/>
                <w:highlight w:val="none"/>
                <w:lang w:eastAsia="zh-CN"/>
              </w:rPr>
              <w:t>单位负责人为同一人或者存在直接控股、管理关系的不同投标人，不得参加同一合同项下的采购活动；（提供“国家企业信用信息公示系统”中查询的相关信息（查询信息需包含公司基本</w:t>
            </w:r>
            <w:r>
              <w:rPr>
                <w:rFonts w:hint="eastAsia" w:ascii="宋体" w:hAnsi="宋体" w:eastAsia="宋体" w:cs="宋体"/>
                <w:color w:val="auto"/>
                <w:sz w:val="24"/>
                <w:szCs w:val="24"/>
                <w:highlight w:val="none"/>
                <w:lang w:eastAsia="zh-CN"/>
              </w:rPr>
              <w:t>信息、股东信息及股权变更信息等相关信息，査询时间自公告发布之日起至投标截止时间前））；</w:t>
            </w:r>
          </w:p>
        </w:tc>
      </w:tr>
      <w:tr w14:paraId="458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continue"/>
            <w:vAlign w:val="center"/>
          </w:tcPr>
          <w:p w14:paraId="75446E3F">
            <w:pPr>
              <w:widowControl/>
              <w:jc w:val="left"/>
              <w:rPr>
                <w:rFonts w:hint="eastAsia" w:ascii="宋体" w:hAnsi="宋体" w:cs="Courier New"/>
                <w:color w:val="000000"/>
                <w:sz w:val="24"/>
                <w:highlight w:val="none"/>
              </w:rPr>
            </w:pPr>
          </w:p>
        </w:tc>
        <w:tc>
          <w:tcPr>
            <w:tcW w:w="796" w:type="dxa"/>
            <w:vMerge w:val="continue"/>
            <w:vAlign w:val="center"/>
          </w:tcPr>
          <w:p w14:paraId="31044B70">
            <w:pPr>
              <w:widowControl/>
              <w:jc w:val="left"/>
              <w:rPr>
                <w:rFonts w:hint="eastAsia" w:ascii="宋体" w:hAnsi="宋体"/>
                <w:color w:val="000000"/>
                <w:sz w:val="24"/>
                <w:highlight w:val="none"/>
              </w:rPr>
            </w:pPr>
          </w:p>
        </w:tc>
        <w:tc>
          <w:tcPr>
            <w:tcW w:w="2467" w:type="dxa"/>
            <w:vAlign w:val="center"/>
          </w:tcPr>
          <w:p w14:paraId="59743248">
            <w:pPr>
              <w:spacing w:line="271" w:lineRule="auto"/>
              <w:jc w:val="left"/>
              <w:rPr>
                <w:rFonts w:hint="eastAsia" w:ascii="Courier New" w:hAnsi="宋体" w:eastAsia="宋体"/>
                <w:kern w:val="0"/>
                <w:sz w:val="24"/>
                <w:highlight w:val="none"/>
                <w:lang w:eastAsia="zh-CN"/>
              </w:rPr>
            </w:pPr>
            <w:r>
              <w:rPr>
                <w:rFonts w:hint="eastAsia" w:ascii="Courier New" w:hAnsi="宋体"/>
                <w:kern w:val="0"/>
                <w:sz w:val="24"/>
                <w:highlight w:val="none"/>
                <w:lang w:eastAsia="zh-CN"/>
              </w:rPr>
              <w:t>非联合体投标</w:t>
            </w:r>
          </w:p>
        </w:tc>
        <w:tc>
          <w:tcPr>
            <w:tcW w:w="6348" w:type="dxa"/>
            <w:vAlign w:val="center"/>
          </w:tcPr>
          <w:p w14:paraId="6F36EDB3">
            <w:pPr>
              <w:spacing w:line="271" w:lineRule="auto"/>
              <w:jc w:val="left"/>
              <w:rPr>
                <w:rFonts w:hint="eastAsia" w:ascii="Courier New" w:hAnsi="宋体"/>
                <w:kern w:val="0"/>
                <w:sz w:val="24"/>
                <w:highlight w:val="none"/>
              </w:rPr>
            </w:pPr>
            <w:r>
              <w:rPr>
                <w:rFonts w:hint="eastAsia" w:ascii="Courier New" w:hAnsi="宋体"/>
                <w:kern w:val="0"/>
                <w:sz w:val="24"/>
                <w:highlight w:val="none"/>
              </w:rPr>
              <w:t>本项目不接受联合体投标；</w:t>
            </w:r>
          </w:p>
        </w:tc>
      </w:tr>
      <w:tr w14:paraId="404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restart"/>
            <w:vAlign w:val="center"/>
          </w:tcPr>
          <w:p w14:paraId="67D7D1F5">
            <w:pPr>
              <w:widowControl/>
              <w:jc w:val="left"/>
              <w:rPr>
                <w:rFonts w:ascii="宋体" w:hAnsi="宋体" w:cs="Courier New"/>
                <w:color w:val="000000"/>
                <w:sz w:val="24"/>
                <w:highlight w:val="none"/>
              </w:rPr>
            </w:pPr>
            <w:r>
              <w:rPr>
                <w:rFonts w:hint="eastAsia" w:ascii="宋体" w:hAnsi="宋体" w:cs="Courier New"/>
                <w:color w:val="000000"/>
                <w:sz w:val="24"/>
                <w:highlight w:val="none"/>
              </w:rPr>
              <w:t>2.1.2</w:t>
            </w:r>
          </w:p>
        </w:tc>
        <w:tc>
          <w:tcPr>
            <w:tcW w:w="796" w:type="dxa"/>
            <w:vMerge w:val="restart"/>
            <w:vAlign w:val="center"/>
          </w:tcPr>
          <w:p w14:paraId="0E9BE186">
            <w:pPr>
              <w:widowControl/>
              <w:jc w:val="left"/>
              <w:rPr>
                <w:rFonts w:ascii="宋体" w:hAnsi="宋体"/>
                <w:color w:val="000000"/>
                <w:sz w:val="24"/>
                <w:highlight w:val="none"/>
              </w:rPr>
            </w:pPr>
            <w:r>
              <w:rPr>
                <w:rFonts w:hint="eastAsia" w:ascii="宋体" w:hAnsi="宋体"/>
                <w:color w:val="000000"/>
                <w:sz w:val="24"/>
                <w:highlight w:val="none"/>
              </w:rPr>
              <w:t>形式评审标准</w:t>
            </w:r>
          </w:p>
        </w:tc>
        <w:tc>
          <w:tcPr>
            <w:tcW w:w="2467" w:type="dxa"/>
            <w:vAlign w:val="center"/>
          </w:tcPr>
          <w:p w14:paraId="6345461D">
            <w:pPr>
              <w:spacing w:line="271" w:lineRule="auto"/>
              <w:jc w:val="left"/>
              <w:rPr>
                <w:rFonts w:ascii="Courier New" w:hAnsi="宋体"/>
                <w:kern w:val="0"/>
                <w:sz w:val="24"/>
                <w:highlight w:val="none"/>
              </w:rPr>
            </w:pPr>
            <w:r>
              <w:rPr>
                <w:rFonts w:hint="eastAsia" w:ascii="Courier New" w:hAnsi="宋体"/>
                <w:kern w:val="0"/>
                <w:sz w:val="24"/>
                <w:highlight w:val="none"/>
              </w:rPr>
              <w:t>响应人名称</w:t>
            </w:r>
          </w:p>
        </w:tc>
        <w:tc>
          <w:tcPr>
            <w:tcW w:w="6348" w:type="dxa"/>
            <w:vAlign w:val="center"/>
          </w:tcPr>
          <w:p w14:paraId="3D1035C1">
            <w:pPr>
              <w:spacing w:line="271" w:lineRule="auto"/>
              <w:jc w:val="left"/>
              <w:rPr>
                <w:rFonts w:ascii="Courier New" w:hAnsi="宋体"/>
                <w:kern w:val="0"/>
                <w:sz w:val="24"/>
                <w:highlight w:val="none"/>
              </w:rPr>
            </w:pPr>
            <w:r>
              <w:rPr>
                <w:rFonts w:hint="eastAsia" w:ascii="Courier New" w:hAnsi="宋体"/>
                <w:kern w:val="0"/>
                <w:sz w:val="24"/>
                <w:highlight w:val="none"/>
              </w:rPr>
              <w:t>与营业执照一致</w:t>
            </w:r>
          </w:p>
        </w:tc>
      </w:tr>
      <w:tr w14:paraId="0C9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vMerge w:val="continue"/>
            <w:vAlign w:val="center"/>
          </w:tcPr>
          <w:p w14:paraId="0B709327">
            <w:pPr>
              <w:widowControl/>
              <w:jc w:val="left"/>
              <w:rPr>
                <w:rFonts w:ascii="宋体" w:hAnsi="宋体" w:cs="Courier New"/>
                <w:color w:val="000000"/>
                <w:sz w:val="24"/>
                <w:highlight w:val="none"/>
              </w:rPr>
            </w:pPr>
          </w:p>
        </w:tc>
        <w:tc>
          <w:tcPr>
            <w:tcW w:w="796" w:type="dxa"/>
            <w:vMerge w:val="continue"/>
            <w:vAlign w:val="center"/>
          </w:tcPr>
          <w:p w14:paraId="2E5C517A">
            <w:pPr>
              <w:widowControl/>
              <w:jc w:val="left"/>
              <w:rPr>
                <w:rFonts w:ascii="宋体" w:hAnsi="宋体"/>
                <w:color w:val="000000"/>
                <w:sz w:val="24"/>
                <w:highlight w:val="none"/>
              </w:rPr>
            </w:pPr>
          </w:p>
        </w:tc>
        <w:tc>
          <w:tcPr>
            <w:tcW w:w="2467" w:type="dxa"/>
            <w:vAlign w:val="center"/>
          </w:tcPr>
          <w:p w14:paraId="01AD6A1F">
            <w:pPr>
              <w:spacing w:line="271" w:lineRule="auto"/>
              <w:jc w:val="left"/>
              <w:rPr>
                <w:rFonts w:ascii="Courier New" w:hAnsi="宋体"/>
                <w:kern w:val="0"/>
                <w:sz w:val="24"/>
                <w:highlight w:val="none"/>
              </w:rPr>
            </w:pPr>
            <w:r>
              <w:rPr>
                <w:rFonts w:hint="eastAsia" w:ascii="Courier New" w:hAnsi="宋体"/>
                <w:kern w:val="0"/>
                <w:sz w:val="24"/>
                <w:highlight w:val="none"/>
              </w:rPr>
              <w:t>磋商函签字盖章</w:t>
            </w:r>
          </w:p>
        </w:tc>
        <w:tc>
          <w:tcPr>
            <w:tcW w:w="6348" w:type="dxa"/>
            <w:vAlign w:val="center"/>
          </w:tcPr>
          <w:p w14:paraId="5D27EA29">
            <w:pPr>
              <w:spacing w:line="271" w:lineRule="auto"/>
              <w:jc w:val="left"/>
              <w:rPr>
                <w:rFonts w:ascii="Courier New" w:hAnsi="宋体"/>
                <w:kern w:val="0"/>
                <w:sz w:val="24"/>
                <w:highlight w:val="none"/>
              </w:rPr>
            </w:pPr>
            <w:r>
              <w:rPr>
                <w:rFonts w:hint="eastAsia" w:ascii="Courier New" w:hAnsi="宋体"/>
                <w:kern w:val="0"/>
                <w:sz w:val="24"/>
                <w:highlight w:val="none"/>
              </w:rPr>
              <w:t>有单位及法定代表人签电子章</w:t>
            </w:r>
          </w:p>
        </w:tc>
      </w:tr>
      <w:tr w14:paraId="60BD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9" w:type="dxa"/>
            <w:vMerge w:val="continue"/>
            <w:vAlign w:val="center"/>
          </w:tcPr>
          <w:p w14:paraId="06D2FF74">
            <w:pPr>
              <w:widowControl/>
              <w:jc w:val="left"/>
              <w:rPr>
                <w:rFonts w:ascii="宋体" w:hAnsi="宋体" w:cs="Courier New"/>
                <w:color w:val="000000"/>
                <w:sz w:val="24"/>
                <w:highlight w:val="none"/>
              </w:rPr>
            </w:pPr>
          </w:p>
        </w:tc>
        <w:tc>
          <w:tcPr>
            <w:tcW w:w="796" w:type="dxa"/>
            <w:vMerge w:val="continue"/>
            <w:vAlign w:val="center"/>
          </w:tcPr>
          <w:p w14:paraId="639F02F4">
            <w:pPr>
              <w:widowControl/>
              <w:jc w:val="left"/>
              <w:rPr>
                <w:rFonts w:ascii="宋体" w:hAnsi="宋体"/>
                <w:color w:val="000000"/>
                <w:sz w:val="24"/>
                <w:highlight w:val="none"/>
              </w:rPr>
            </w:pPr>
          </w:p>
        </w:tc>
        <w:tc>
          <w:tcPr>
            <w:tcW w:w="2467" w:type="dxa"/>
            <w:vAlign w:val="center"/>
          </w:tcPr>
          <w:p w14:paraId="06D5493F">
            <w:pPr>
              <w:spacing w:line="271" w:lineRule="auto"/>
              <w:jc w:val="left"/>
              <w:rPr>
                <w:rFonts w:ascii="Courier New" w:hAnsi="宋体"/>
                <w:kern w:val="0"/>
                <w:sz w:val="24"/>
                <w:highlight w:val="none"/>
              </w:rPr>
            </w:pPr>
            <w:r>
              <w:rPr>
                <w:rFonts w:hint="eastAsia" w:ascii="Courier New" w:hAnsi="宋体"/>
                <w:kern w:val="0"/>
                <w:sz w:val="24"/>
                <w:highlight w:val="none"/>
              </w:rPr>
              <w:t>报价唯一</w:t>
            </w:r>
          </w:p>
        </w:tc>
        <w:tc>
          <w:tcPr>
            <w:tcW w:w="6348" w:type="dxa"/>
            <w:vAlign w:val="center"/>
          </w:tcPr>
          <w:p w14:paraId="16CEC9FE">
            <w:pPr>
              <w:spacing w:line="271" w:lineRule="auto"/>
              <w:jc w:val="left"/>
              <w:rPr>
                <w:rFonts w:ascii="Courier New" w:hAnsi="宋体"/>
                <w:kern w:val="0"/>
                <w:sz w:val="24"/>
                <w:highlight w:val="none"/>
              </w:rPr>
            </w:pPr>
            <w:r>
              <w:rPr>
                <w:rFonts w:hint="eastAsia" w:ascii="Courier New" w:hAnsi="宋体"/>
                <w:kern w:val="0"/>
                <w:sz w:val="24"/>
                <w:highlight w:val="none"/>
              </w:rPr>
              <w:t>响应文件中只能有一个有效报价，且不超过采购预算价</w:t>
            </w:r>
          </w:p>
        </w:tc>
      </w:tr>
      <w:tr w14:paraId="450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 w:type="dxa"/>
            <w:vMerge w:val="restart"/>
            <w:vAlign w:val="center"/>
          </w:tcPr>
          <w:p w14:paraId="40D0471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2.1.3</w:t>
            </w:r>
          </w:p>
        </w:tc>
        <w:tc>
          <w:tcPr>
            <w:tcW w:w="796" w:type="dxa"/>
            <w:vMerge w:val="restart"/>
            <w:vAlign w:val="center"/>
          </w:tcPr>
          <w:p w14:paraId="207B8CAF">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响应</w:t>
            </w:r>
          </w:p>
          <w:p w14:paraId="10EB8D4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性评</w:t>
            </w:r>
          </w:p>
          <w:p w14:paraId="512E624B">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审标</w:t>
            </w:r>
          </w:p>
          <w:p w14:paraId="07398E3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准</w:t>
            </w:r>
          </w:p>
        </w:tc>
        <w:tc>
          <w:tcPr>
            <w:tcW w:w="2467" w:type="dxa"/>
            <w:vAlign w:val="center"/>
          </w:tcPr>
          <w:p w14:paraId="3F5ED42F">
            <w:pPr>
              <w:spacing w:line="271" w:lineRule="auto"/>
              <w:jc w:val="left"/>
              <w:rPr>
                <w:rFonts w:ascii="Courier New" w:hAnsi="宋体"/>
                <w:color w:val="000000" w:themeColor="text1"/>
                <w:kern w:val="0"/>
                <w:sz w:val="24"/>
                <w:highlight w:val="none"/>
                <w14:textFill>
                  <w14:solidFill>
                    <w14:schemeClr w14:val="tx1"/>
                  </w14:solidFill>
                </w14:textFill>
              </w:rPr>
            </w:pPr>
            <w:r>
              <w:rPr>
                <w:rFonts w:hint="eastAsia" w:ascii="Courier New" w:hAnsi="宋体"/>
                <w:color w:val="000000" w:themeColor="text1"/>
                <w:kern w:val="0"/>
                <w:sz w:val="24"/>
                <w:highlight w:val="none"/>
                <w14:textFill>
                  <w14:solidFill>
                    <w14:schemeClr w14:val="tx1"/>
                  </w14:solidFill>
                </w14:textFill>
              </w:rPr>
              <w:t>供货期</w:t>
            </w:r>
          </w:p>
        </w:tc>
        <w:tc>
          <w:tcPr>
            <w:tcW w:w="6348" w:type="dxa"/>
            <w:vAlign w:val="center"/>
          </w:tcPr>
          <w:p w14:paraId="081FDD46">
            <w:pPr>
              <w:spacing w:line="380" w:lineRule="exact"/>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tc>
      </w:tr>
      <w:tr w14:paraId="70F1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09" w:type="dxa"/>
            <w:vMerge w:val="continue"/>
            <w:vAlign w:val="center"/>
          </w:tcPr>
          <w:p w14:paraId="2A7DFCB0">
            <w:pPr>
              <w:widowControl/>
              <w:jc w:val="left"/>
              <w:rPr>
                <w:rFonts w:ascii="宋体" w:hAnsi="宋体" w:cs="Courier New"/>
                <w:color w:val="000000"/>
                <w:sz w:val="24"/>
                <w:highlight w:val="none"/>
              </w:rPr>
            </w:pPr>
          </w:p>
        </w:tc>
        <w:tc>
          <w:tcPr>
            <w:tcW w:w="796" w:type="dxa"/>
            <w:vMerge w:val="continue"/>
            <w:vAlign w:val="center"/>
          </w:tcPr>
          <w:p w14:paraId="354B60E4">
            <w:pPr>
              <w:widowControl/>
              <w:jc w:val="left"/>
              <w:rPr>
                <w:rFonts w:ascii="宋体" w:hAnsi="宋体" w:cs="Courier New"/>
                <w:color w:val="000000"/>
                <w:sz w:val="24"/>
                <w:highlight w:val="none"/>
              </w:rPr>
            </w:pPr>
          </w:p>
        </w:tc>
        <w:tc>
          <w:tcPr>
            <w:tcW w:w="2467" w:type="dxa"/>
            <w:vAlign w:val="center"/>
          </w:tcPr>
          <w:p w14:paraId="1D5D4641">
            <w:pPr>
              <w:spacing w:line="271" w:lineRule="auto"/>
              <w:jc w:val="left"/>
              <w:rPr>
                <w:rFonts w:ascii="Courier New" w:hAnsi="宋体"/>
                <w:kern w:val="0"/>
                <w:sz w:val="24"/>
                <w:highlight w:val="none"/>
              </w:rPr>
            </w:pPr>
            <w:r>
              <w:rPr>
                <w:rFonts w:hint="eastAsia" w:ascii="Courier New" w:hAnsi="宋体"/>
                <w:kern w:val="0"/>
                <w:sz w:val="24"/>
                <w:highlight w:val="none"/>
              </w:rPr>
              <w:t>质量标准</w:t>
            </w:r>
          </w:p>
        </w:tc>
        <w:tc>
          <w:tcPr>
            <w:tcW w:w="6348" w:type="dxa"/>
            <w:vAlign w:val="center"/>
          </w:tcPr>
          <w:p w14:paraId="706F7EAF">
            <w:pPr>
              <w:spacing w:line="380" w:lineRule="exact"/>
              <w:jc w:val="left"/>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0002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09" w:type="dxa"/>
            <w:vMerge w:val="continue"/>
            <w:vAlign w:val="center"/>
          </w:tcPr>
          <w:p w14:paraId="1B9E798C">
            <w:pPr>
              <w:widowControl/>
              <w:jc w:val="left"/>
              <w:rPr>
                <w:rFonts w:ascii="宋体" w:hAnsi="宋体" w:cs="Courier New"/>
                <w:color w:val="000000"/>
                <w:sz w:val="24"/>
                <w:highlight w:val="none"/>
              </w:rPr>
            </w:pPr>
          </w:p>
        </w:tc>
        <w:tc>
          <w:tcPr>
            <w:tcW w:w="796" w:type="dxa"/>
            <w:vMerge w:val="continue"/>
            <w:vAlign w:val="center"/>
          </w:tcPr>
          <w:p w14:paraId="582EBF16">
            <w:pPr>
              <w:widowControl/>
              <w:jc w:val="left"/>
              <w:rPr>
                <w:rFonts w:ascii="宋体" w:hAnsi="宋体" w:cs="Courier New"/>
                <w:color w:val="000000"/>
                <w:sz w:val="24"/>
                <w:highlight w:val="none"/>
              </w:rPr>
            </w:pPr>
          </w:p>
        </w:tc>
        <w:tc>
          <w:tcPr>
            <w:tcW w:w="2467" w:type="dxa"/>
            <w:vAlign w:val="center"/>
          </w:tcPr>
          <w:p w14:paraId="6F8B0C7B">
            <w:pPr>
              <w:spacing w:line="271" w:lineRule="auto"/>
              <w:jc w:val="left"/>
              <w:rPr>
                <w:rFonts w:ascii="Courier New" w:hAnsi="宋体"/>
                <w:kern w:val="0"/>
                <w:sz w:val="24"/>
                <w:highlight w:val="none"/>
              </w:rPr>
            </w:pPr>
            <w:r>
              <w:rPr>
                <w:rFonts w:hint="eastAsia" w:ascii="Courier New" w:hAnsi="宋体"/>
                <w:kern w:val="0"/>
                <w:sz w:val="24"/>
                <w:highlight w:val="none"/>
              </w:rPr>
              <w:t>采购预算价</w:t>
            </w:r>
          </w:p>
        </w:tc>
        <w:tc>
          <w:tcPr>
            <w:tcW w:w="6348" w:type="dxa"/>
            <w:vAlign w:val="center"/>
          </w:tcPr>
          <w:p w14:paraId="359BDB35">
            <w:pPr>
              <w:jc w:val="left"/>
              <w:rPr>
                <w:rFonts w:ascii="Courier New" w:hAnsi="宋体"/>
                <w:kern w:val="0"/>
                <w:sz w:val="24"/>
                <w:highlight w:val="none"/>
              </w:rPr>
            </w:pPr>
            <w:r>
              <w:rPr>
                <w:rFonts w:hint="eastAsia" w:ascii="Courier New" w:hAnsi="宋体"/>
                <w:kern w:val="0"/>
                <w:sz w:val="24"/>
                <w:highlight w:val="none"/>
              </w:rPr>
              <w:t>响应人投标报价不得高于采购人公布的采购预算价，否则其投标将予否决。</w:t>
            </w:r>
          </w:p>
        </w:tc>
      </w:tr>
      <w:tr w14:paraId="7BAE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vMerge w:val="continue"/>
            <w:vAlign w:val="center"/>
          </w:tcPr>
          <w:p w14:paraId="21E868EA">
            <w:pPr>
              <w:widowControl/>
              <w:jc w:val="left"/>
              <w:rPr>
                <w:rFonts w:ascii="宋体" w:hAnsi="宋体" w:cs="Courier New"/>
                <w:color w:val="000000"/>
                <w:sz w:val="24"/>
                <w:highlight w:val="none"/>
              </w:rPr>
            </w:pPr>
          </w:p>
        </w:tc>
        <w:tc>
          <w:tcPr>
            <w:tcW w:w="796" w:type="dxa"/>
            <w:vMerge w:val="continue"/>
            <w:vAlign w:val="center"/>
          </w:tcPr>
          <w:p w14:paraId="4728D164">
            <w:pPr>
              <w:widowControl/>
              <w:jc w:val="left"/>
              <w:rPr>
                <w:rFonts w:ascii="宋体" w:hAnsi="宋体" w:cs="Courier New"/>
                <w:color w:val="000000"/>
                <w:sz w:val="24"/>
                <w:highlight w:val="none"/>
              </w:rPr>
            </w:pPr>
          </w:p>
        </w:tc>
        <w:tc>
          <w:tcPr>
            <w:tcW w:w="2467" w:type="dxa"/>
            <w:vAlign w:val="center"/>
          </w:tcPr>
          <w:p w14:paraId="388A1581">
            <w:pPr>
              <w:spacing w:line="271" w:lineRule="auto"/>
              <w:jc w:val="left"/>
              <w:rPr>
                <w:rFonts w:ascii="Courier New" w:hAnsi="宋体"/>
                <w:color w:val="000000"/>
                <w:kern w:val="0"/>
                <w:sz w:val="24"/>
                <w:highlight w:val="none"/>
              </w:rPr>
            </w:pPr>
            <w:r>
              <w:rPr>
                <w:rFonts w:hint="eastAsia" w:ascii="Courier New" w:hAnsi="宋体"/>
                <w:color w:val="000000"/>
                <w:kern w:val="0"/>
                <w:sz w:val="24"/>
                <w:highlight w:val="none"/>
              </w:rPr>
              <w:t>其他</w:t>
            </w:r>
          </w:p>
        </w:tc>
        <w:tc>
          <w:tcPr>
            <w:tcW w:w="6348" w:type="dxa"/>
            <w:vAlign w:val="center"/>
          </w:tcPr>
          <w:p w14:paraId="631C3867">
            <w:pPr>
              <w:jc w:val="left"/>
              <w:rPr>
                <w:rFonts w:ascii="Courier New" w:hAnsi="宋体"/>
                <w:color w:val="000000"/>
                <w:kern w:val="0"/>
                <w:sz w:val="24"/>
                <w:highlight w:val="none"/>
              </w:rPr>
            </w:pPr>
            <w:r>
              <w:rPr>
                <w:rFonts w:hint="eastAsia" w:ascii="Courier New" w:hAnsi="宋体"/>
                <w:color w:val="000000"/>
                <w:kern w:val="0"/>
                <w:sz w:val="24"/>
                <w:highlight w:val="none"/>
              </w:rPr>
              <w:t>竞争性磋商文件要求的其他内容</w:t>
            </w:r>
          </w:p>
        </w:tc>
      </w:tr>
    </w:tbl>
    <w:p w14:paraId="35449EB6">
      <w:pPr>
        <w:keepNext/>
        <w:keepLines/>
        <w:spacing w:after="360" w:line="500" w:lineRule="exact"/>
        <w:ind w:firstLine="482" w:firstLineChars="200"/>
        <w:outlineLvl w:val="1"/>
        <w:rPr>
          <w:rFonts w:ascii="宋体" w:hAnsi="宋体" w:cs="Arial"/>
          <w:color w:val="000000"/>
          <w:sz w:val="24"/>
          <w:highlight w:val="none"/>
        </w:rPr>
      </w:pPr>
      <w:r>
        <w:rPr>
          <w:rFonts w:hint="eastAsia" w:ascii="宋体" w:hAnsi="宋体" w:cs="Arial"/>
          <w:b/>
          <w:color w:val="000000"/>
          <w:sz w:val="24"/>
          <w:highlight w:val="none"/>
        </w:rPr>
        <w:br w:type="page"/>
      </w:r>
      <w:r>
        <w:rPr>
          <w:rFonts w:hint="eastAsia" w:ascii="宋体" w:hAnsi="宋体"/>
          <w:color w:val="000000"/>
          <w:sz w:val="24"/>
          <w:highlight w:val="none"/>
        </w:rPr>
        <w:t>附表2</w:t>
      </w:r>
      <w:r>
        <w:rPr>
          <w:rFonts w:hint="eastAsia" w:ascii="宋体" w:hAnsi="宋体" w:cs="Arial"/>
          <w:color w:val="000000"/>
          <w:sz w:val="24"/>
          <w:highlight w:val="none"/>
        </w:rPr>
        <w:t>详细评审标准</w:t>
      </w:r>
    </w:p>
    <w:tbl>
      <w:tblPr>
        <w:tblStyle w:val="11"/>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245"/>
        <w:gridCol w:w="1200"/>
        <w:gridCol w:w="6394"/>
      </w:tblGrid>
      <w:tr w14:paraId="67ED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1009" w:type="dxa"/>
            <w:vAlign w:val="center"/>
          </w:tcPr>
          <w:p w14:paraId="4A55E1F1">
            <w:pPr>
              <w:widowControl/>
              <w:spacing w:line="312" w:lineRule="auto"/>
              <w:rPr>
                <w:rFonts w:ascii="宋体" w:hAnsi="宋体" w:cs="宋体"/>
                <w:sz w:val="24"/>
                <w:highlight w:val="none"/>
              </w:rPr>
            </w:pPr>
            <w:r>
              <w:rPr>
                <w:rFonts w:hint="eastAsia" w:ascii="宋体" w:hAnsi="宋体" w:cs="宋体"/>
                <w:sz w:val="24"/>
                <w:highlight w:val="none"/>
              </w:rPr>
              <w:t>详细磋商</w:t>
            </w:r>
          </w:p>
        </w:tc>
        <w:tc>
          <w:tcPr>
            <w:tcW w:w="1245" w:type="dxa"/>
            <w:vAlign w:val="center"/>
          </w:tcPr>
          <w:p w14:paraId="3FB64FC5">
            <w:pPr>
              <w:widowControl/>
              <w:spacing w:line="312" w:lineRule="auto"/>
              <w:rPr>
                <w:rFonts w:ascii="宋体" w:hAnsi="宋体" w:cs="宋体"/>
                <w:sz w:val="24"/>
                <w:highlight w:val="none"/>
              </w:rPr>
            </w:pPr>
          </w:p>
        </w:tc>
        <w:tc>
          <w:tcPr>
            <w:tcW w:w="7594" w:type="dxa"/>
            <w:gridSpan w:val="2"/>
            <w:vAlign w:val="center"/>
          </w:tcPr>
          <w:p w14:paraId="40418AC1">
            <w:pPr>
              <w:spacing w:line="360" w:lineRule="auto"/>
              <w:ind w:firstLine="480" w:firstLineChars="200"/>
              <w:rPr>
                <w:rFonts w:ascii="宋体" w:hAnsi="宋体" w:cs="宋体"/>
                <w:b/>
                <w:bCs/>
                <w:color w:val="000000"/>
                <w:sz w:val="24"/>
                <w:highlight w:val="none"/>
              </w:rPr>
            </w:pPr>
            <w:r>
              <w:rPr>
                <w:rFonts w:hint="eastAsia" w:ascii="宋体" w:hAnsi="宋体" w:cs="宋体"/>
                <w:kern w:val="0"/>
                <w:sz w:val="24"/>
                <w:highlight w:val="none"/>
              </w:rPr>
              <w:t>1.供应商对所参加磋商项目根据市场行情自主报价，分二次报价，一次报价须按照磋商文件的报价格式填报，</w:t>
            </w:r>
            <w:r>
              <w:rPr>
                <w:rFonts w:hint="eastAsia" w:ascii="宋体" w:hAnsi="宋体" w:cs="宋体"/>
                <w:sz w:val="24"/>
                <w:highlight w:val="none"/>
              </w:rPr>
              <w:t>第二次报价待磋商小组发出指令后供应商在规定的时间内进行远程报价,若未在规定的时间内进行二次报价或高于一次报价的，则视为第二次报价同等于第一次报价。</w:t>
            </w:r>
          </w:p>
          <w:p w14:paraId="3DC223E4">
            <w:pPr>
              <w:wordWrap w:val="0"/>
              <w:topLinePunct/>
              <w:autoSpaceDE w:val="0"/>
              <w:autoSpaceDN w:val="0"/>
              <w:adjustRightInd w:val="0"/>
              <w:spacing w:line="360" w:lineRule="auto"/>
              <w:jc w:val="left"/>
              <w:rPr>
                <w:rFonts w:ascii="宋体" w:hAnsi="宋体" w:cs="宋体"/>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注：1、最后报价不得超出采购预算金额；2、最后报价明显低于成本价的，供应商需做出合理说明，否则将承担不被接受的风险</w:t>
            </w:r>
            <w:r>
              <w:rPr>
                <w:rFonts w:hint="eastAsia" w:ascii="宋体" w:hAnsi="宋体" w:cs="宋体"/>
                <w:b/>
                <w:bCs/>
                <w:kern w:val="0"/>
                <w:sz w:val="24"/>
                <w:highlight w:val="none"/>
              </w:rPr>
              <w:t>）。</w:t>
            </w:r>
          </w:p>
          <w:p w14:paraId="59442D93">
            <w:pPr>
              <w:widowControl/>
              <w:spacing w:line="312" w:lineRule="auto"/>
              <w:ind w:firstLine="480" w:firstLineChars="200"/>
              <w:rPr>
                <w:rFonts w:ascii="宋体" w:hAnsi="宋体" w:cs="宋体"/>
                <w:sz w:val="24"/>
                <w:highlight w:val="none"/>
              </w:rPr>
            </w:pPr>
            <w:r>
              <w:rPr>
                <w:rFonts w:hint="eastAsia" w:ascii="宋体" w:hAnsi="宋体" w:cs="宋体"/>
                <w:bCs/>
                <w:kern w:val="0"/>
                <w:sz w:val="24"/>
                <w:highlight w:val="none"/>
              </w:rPr>
              <w:t>2.经磋商确定最终采购需求和提交最后报价的供应商后，由磋商小组采用综合评分法对提交最后报价的供应商的响应文件和最后报价按照本章第2.2款内容进行详细性评审。</w:t>
            </w:r>
          </w:p>
        </w:tc>
      </w:tr>
      <w:tr w14:paraId="5962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9" w:type="dxa"/>
            <w:vAlign w:val="center"/>
          </w:tcPr>
          <w:p w14:paraId="65B172C0">
            <w:pPr>
              <w:widowControl/>
              <w:spacing w:line="312" w:lineRule="auto"/>
              <w:rPr>
                <w:rFonts w:ascii="宋体" w:hAnsi="宋体" w:cs="宋体"/>
                <w:sz w:val="24"/>
                <w:highlight w:val="none"/>
              </w:rPr>
            </w:pPr>
            <w:r>
              <w:rPr>
                <w:rFonts w:hint="eastAsia" w:ascii="宋体" w:hAnsi="宋体" w:cs="宋体"/>
                <w:sz w:val="24"/>
                <w:highlight w:val="none"/>
              </w:rPr>
              <w:t>条款号</w:t>
            </w:r>
          </w:p>
        </w:tc>
        <w:tc>
          <w:tcPr>
            <w:tcW w:w="1245" w:type="dxa"/>
            <w:vAlign w:val="center"/>
          </w:tcPr>
          <w:p w14:paraId="56EA65BE">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评标项目</w:t>
            </w:r>
          </w:p>
        </w:tc>
        <w:tc>
          <w:tcPr>
            <w:tcW w:w="1200" w:type="dxa"/>
            <w:vAlign w:val="center"/>
          </w:tcPr>
          <w:p w14:paraId="63DC5F27">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评标分值</w:t>
            </w:r>
          </w:p>
        </w:tc>
        <w:tc>
          <w:tcPr>
            <w:tcW w:w="6394" w:type="dxa"/>
            <w:vAlign w:val="center"/>
          </w:tcPr>
          <w:p w14:paraId="7C3C8D27">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评标方法描述</w:t>
            </w:r>
          </w:p>
        </w:tc>
      </w:tr>
      <w:tr w14:paraId="28B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jc w:val="center"/>
        </w:trPr>
        <w:tc>
          <w:tcPr>
            <w:tcW w:w="1009" w:type="dxa"/>
            <w:vAlign w:val="center"/>
          </w:tcPr>
          <w:p w14:paraId="7DCB5333">
            <w:pPr>
              <w:widowControl/>
              <w:spacing w:line="312" w:lineRule="auto"/>
              <w:rPr>
                <w:rFonts w:ascii="宋体" w:hAnsi="宋体" w:cs="宋体"/>
                <w:sz w:val="24"/>
                <w:highlight w:val="none"/>
              </w:rPr>
            </w:pPr>
            <w:r>
              <w:rPr>
                <w:rFonts w:hint="eastAsia" w:ascii="宋体" w:hAnsi="宋体" w:cs="宋体"/>
                <w:sz w:val="24"/>
                <w:highlight w:val="none"/>
              </w:rPr>
              <w:t>2.2.1</w:t>
            </w:r>
          </w:p>
          <w:p w14:paraId="4DA8D746">
            <w:pPr>
              <w:widowControl/>
              <w:spacing w:line="312" w:lineRule="auto"/>
              <w:rPr>
                <w:rFonts w:ascii="宋体" w:hAnsi="宋体" w:cs="宋体"/>
                <w:sz w:val="24"/>
                <w:highlight w:val="none"/>
              </w:rPr>
            </w:pPr>
          </w:p>
        </w:tc>
        <w:tc>
          <w:tcPr>
            <w:tcW w:w="1245" w:type="dxa"/>
            <w:vAlign w:val="center"/>
          </w:tcPr>
          <w:p w14:paraId="716F4974">
            <w:pPr>
              <w:widowControl/>
              <w:spacing w:line="312" w:lineRule="auto"/>
              <w:rPr>
                <w:rFonts w:ascii="宋体" w:hAnsi="宋体" w:cs="宋体"/>
                <w:sz w:val="24"/>
                <w:highlight w:val="none"/>
              </w:rPr>
            </w:pPr>
            <w:r>
              <w:rPr>
                <w:rFonts w:hint="eastAsia" w:asciiTheme="minorEastAsia" w:hAnsiTheme="minorEastAsia" w:eastAsiaTheme="minorEastAsia" w:cstheme="minorEastAsia"/>
                <w:sz w:val="24"/>
                <w:highlight w:val="none"/>
              </w:rPr>
              <w:t>价格部分（</w:t>
            </w:r>
            <w:r>
              <w:rPr>
                <w:rFonts w:hint="eastAsia" w:ascii="宋体" w:hAnsi="宋体" w:cs="宋体"/>
                <w:sz w:val="24"/>
                <w:highlight w:val="none"/>
              </w:rPr>
              <w:t>30分）</w:t>
            </w:r>
          </w:p>
        </w:tc>
        <w:tc>
          <w:tcPr>
            <w:tcW w:w="1200" w:type="dxa"/>
            <w:vAlign w:val="center"/>
          </w:tcPr>
          <w:p w14:paraId="0BBDE26B">
            <w:pPr>
              <w:widowControl/>
              <w:spacing w:line="312" w:lineRule="auto"/>
              <w:rPr>
                <w:rFonts w:ascii="宋体" w:hAnsi="宋体" w:cs="宋体"/>
                <w:sz w:val="24"/>
                <w:highlight w:val="none"/>
              </w:rPr>
            </w:pPr>
            <w:r>
              <w:rPr>
                <w:rFonts w:hint="eastAsia" w:ascii="宋体" w:hAnsi="宋体" w:cs="宋体"/>
                <w:sz w:val="24"/>
                <w:highlight w:val="none"/>
              </w:rPr>
              <w:t>磋商报价评分标准（30分）</w:t>
            </w:r>
          </w:p>
        </w:tc>
        <w:tc>
          <w:tcPr>
            <w:tcW w:w="6394" w:type="dxa"/>
            <w:vAlign w:val="center"/>
          </w:tcPr>
          <w:p w14:paraId="6AAF6536">
            <w:pPr>
              <w:spacing w:after="25" w:line="277" w:lineRule="auto"/>
              <w:rPr>
                <w:rFonts w:ascii="宋体" w:hAnsi="宋体" w:cs="宋体"/>
                <w:sz w:val="24"/>
                <w:highlight w:val="none"/>
              </w:rPr>
            </w:pPr>
            <w:r>
              <w:rPr>
                <w:rFonts w:hint="eastAsia" w:ascii="宋体" w:hAnsi="宋体" w:cs="宋体"/>
                <w:sz w:val="24"/>
                <w:highlight w:val="none"/>
              </w:rPr>
              <w:t>价格分采用低价优先法计算，即满足磋商文件要求且二次磋商报价最低的为磋商基准价，其价格分为满分。其他供应商的价格分统一按照下列公式计算：</w:t>
            </w:r>
          </w:p>
          <w:p w14:paraId="7D592D0A">
            <w:pPr>
              <w:spacing w:after="25" w:line="277" w:lineRule="auto"/>
              <w:rPr>
                <w:rFonts w:ascii="宋体" w:hAnsi="宋体" w:cs="宋体"/>
                <w:sz w:val="24"/>
                <w:highlight w:val="none"/>
              </w:rPr>
            </w:pPr>
            <w:r>
              <w:rPr>
                <w:rFonts w:hint="eastAsia" w:ascii="宋体" w:hAnsi="宋体" w:cs="宋体"/>
                <w:sz w:val="24"/>
                <w:highlight w:val="none"/>
              </w:rPr>
              <w:t>磋商报价得分=(磋商基准价／最后磋商报价)×30</w:t>
            </w:r>
          </w:p>
          <w:p w14:paraId="5A5B5B71">
            <w:pPr>
              <w:spacing w:line="360" w:lineRule="auto"/>
              <w:rPr>
                <w:rFonts w:ascii="宋体" w:hAnsi="宋体" w:cs="宋体"/>
                <w:b/>
                <w:sz w:val="24"/>
                <w:highlight w:val="none"/>
              </w:rPr>
            </w:pPr>
            <w:r>
              <w:rPr>
                <w:rFonts w:hint="eastAsia" w:ascii="宋体" w:hAnsi="宋体"/>
                <w:sz w:val="24"/>
                <w:highlight w:val="none"/>
              </w:rPr>
              <w:t>1、</w:t>
            </w:r>
            <w:r>
              <w:rPr>
                <w:rFonts w:ascii="宋体" w:hAnsi="宋体"/>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6002124B">
            <w:pPr>
              <w:spacing w:line="360" w:lineRule="auto"/>
              <w:rPr>
                <w:rFonts w:ascii="宋体" w:hAnsi="宋体" w:cs="宋体"/>
                <w:b/>
                <w:sz w:val="24"/>
                <w:highlight w:val="none"/>
              </w:rPr>
            </w:pPr>
            <w:r>
              <w:rPr>
                <w:rFonts w:hint="eastAsia" w:ascii="宋体" w:hAnsi="宋体" w:eastAsiaTheme="minorEastAsia"/>
                <w:sz w:val="24"/>
                <w:highlight w:val="none"/>
              </w:rPr>
              <w:t>2</w:t>
            </w:r>
            <w:r>
              <w:rPr>
                <w:rFonts w:hint="eastAsia" w:asciiTheme="minorEastAsia" w:hAnsiTheme="minorEastAsia" w:eastAsiaTheme="minorEastAsia" w:cstheme="minorEastAsia"/>
                <w:sz w:val="24"/>
                <w:highlight w:val="none"/>
              </w:rPr>
              <w:t>、超出采购人预算价的响应报价为无效报价。</w:t>
            </w:r>
          </w:p>
        </w:tc>
      </w:tr>
      <w:tr w14:paraId="375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jc w:val="center"/>
        </w:trPr>
        <w:tc>
          <w:tcPr>
            <w:tcW w:w="1009" w:type="dxa"/>
            <w:vMerge w:val="restart"/>
            <w:vAlign w:val="bottom"/>
          </w:tcPr>
          <w:p w14:paraId="7E6C8D04">
            <w:pPr>
              <w:spacing w:line="312" w:lineRule="auto"/>
              <w:jc w:val="center"/>
              <w:rPr>
                <w:rFonts w:ascii="宋体" w:hAnsi="宋体" w:cs="宋体"/>
                <w:sz w:val="24"/>
                <w:highlight w:val="none"/>
              </w:rPr>
            </w:pPr>
            <w:r>
              <w:rPr>
                <w:rFonts w:hint="eastAsia" w:ascii="宋体" w:hAnsi="宋体" w:cs="宋体"/>
                <w:sz w:val="24"/>
                <w:highlight w:val="none"/>
              </w:rPr>
              <w:t>2.2.2</w:t>
            </w:r>
          </w:p>
          <w:p w14:paraId="39CD17E2">
            <w:pPr>
              <w:spacing w:line="312" w:lineRule="auto"/>
              <w:jc w:val="center"/>
              <w:rPr>
                <w:rFonts w:ascii="宋体" w:hAnsi="宋体" w:cs="宋体"/>
                <w:sz w:val="24"/>
                <w:highlight w:val="none"/>
              </w:rPr>
            </w:pPr>
          </w:p>
          <w:p w14:paraId="15748B96">
            <w:pPr>
              <w:spacing w:line="312" w:lineRule="auto"/>
              <w:jc w:val="center"/>
              <w:rPr>
                <w:rFonts w:ascii="宋体" w:hAnsi="宋体" w:cs="宋体"/>
                <w:sz w:val="24"/>
                <w:highlight w:val="none"/>
              </w:rPr>
            </w:pPr>
          </w:p>
          <w:p w14:paraId="1DE34295">
            <w:pPr>
              <w:spacing w:line="312" w:lineRule="auto"/>
              <w:jc w:val="center"/>
              <w:rPr>
                <w:rFonts w:ascii="宋体" w:hAnsi="宋体" w:cs="宋体"/>
                <w:sz w:val="24"/>
                <w:highlight w:val="none"/>
              </w:rPr>
            </w:pPr>
          </w:p>
          <w:p w14:paraId="51F3CF9B">
            <w:pPr>
              <w:spacing w:line="312" w:lineRule="auto"/>
              <w:jc w:val="center"/>
              <w:rPr>
                <w:rFonts w:ascii="宋体" w:hAnsi="宋体" w:cs="宋体"/>
                <w:sz w:val="24"/>
                <w:highlight w:val="none"/>
              </w:rPr>
            </w:pPr>
          </w:p>
          <w:p w14:paraId="78FD4F00">
            <w:pPr>
              <w:spacing w:line="312" w:lineRule="auto"/>
              <w:jc w:val="center"/>
              <w:rPr>
                <w:rFonts w:ascii="宋体" w:hAnsi="宋体" w:cs="宋体"/>
                <w:sz w:val="24"/>
                <w:highlight w:val="none"/>
              </w:rPr>
            </w:pPr>
          </w:p>
          <w:p w14:paraId="64FA68D6">
            <w:pPr>
              <w:spacing w:line="312" w:lineRule="auto"/>
              <w:jc w:val="center"/>
              <w:rPr>
                <w:rFonts w:ascii="宋体" w:hAnsi="宋体" w:cs="宋体"/>
                <w:sz w:val="24"/>
                <w:highlight w:val="none"/>
              </w:rPr>
            </w:pPr>
          </w:p>
          <w:p w14:paraId="269F192C">
            <w:pPr>
              <w:spacing w:line="312" w:lineRule="auto"/>
              <w:jc w:val="center"/>
              <w:rPr>
                <w:rFonts w:ascii="宋体" w:hAnsi="宋体" w:cs="宋体"/>
                <w:sz w:val="24"/>
                <w:highlight w:val="none"/>
              </w:rPr>
            </w:pPr>
          </w:p>
          <w:p w14:paraId="62AF6D91">
            <w:pPr>
              <w:spacing w:line="312" w:lineRule="auto"/>
              <w:jc w:val="center"/>
              <w:rPr>
                <w:rFonts w:ascii="宋体" w:hAnsi="宋体" w:cs="宋体"/>
                <w:sz w:val="24"/>
                <w:highlight w:val="none"/>
              </w:rPr>
            </w:pPr>
          </w:p>
          <w:p w14:paraId="0B041DA4">
            <w:pPr>
              <w:spacing w:line="312" w:lineRule="auto"/>
              <w:jc w:val="center"/>
              <w:rPr>
                <w:rFonts w:ascii="宋体" w:hAnsi="宋体" w:cs="宋体"/>
                <w:sz w:val="24"/>
                <w:highlight w:val="none"/>
              </w:rPr>
            </w:pPr>
          </w:p>
          <w:p w14:paraId="3A0E8DB8">
            <w:pPr>
              <w:spacing w:line="312" w:lineRule="auto"/>
              <w:jc w:val="center"/>
              <w:rPr>
                <w:rFonts w:asciiTheme="minorEastAsia" w:hAnsiTheme="minorEastAsia" w:eastAsiaTheme="minorEastAsia" w:cstheme="minorEastAsia"/>
                <w:sz w:val="24"/>
                <w:highlight w:val="none"/>
              </w:rPr>
            </w:pPr>
          </w:p>
          <w:p w14:paraId="124D4066">
            <w:pPr>
              <w:spacing w:line="312" w:lineRule="auto"/>
              <w:jc w:val="center"/>
              <w:rPr>
                <w:rFonts w:asciiTheme="minorEastAsia" w:hAnsiTheme="minorEastAsia" w:eastAsiaTheme="minorEastAsia" w:cstheme="minorEastAsia"/>
                <w:sz w:val="24"/>
                <w:highlight w:val="none"/>
              </w:rPr>
            </w:pPr>
          </w:p>
          <w:p w14:paraId="2997D815">
            <w:pPr>
              <w:spacing w:line="312" w:lineRule="auto"/>
              <w:jc w:val="center"/>
              <w:rPr>
                <w:rFonts w:asciiTheme="minorEastAsia" w:hAnsiTheme="minorEastAsia" w:eastAsiaTheme="minorEastAsia" w:cstheme="minorEastAsia"/>
                <w:sz w:val="24"/>
                <w:highlight w:val="none"/>
              </w:rPr>
            </w:pPr>
          </w:p>
          <w:p w14:paraId="3740B269">
            <w:pPr>
              <w:spacing w:line="312" w:lineRule="auto"/>
              <w:jc w:val="center"/>
              <w:rPr>
                <w:rFonts w:asciiTheme="minorEastAsia" w:hAnsiTheme="minorEastAsia" w:eastAsiaTheme="minorEastAsia" w:cstheme="minorEastAsia"/>
                <w:sz w:val="24"/>
                <w:highlight w:val="none"/>
              </w:rPr>
            </w:pPr>
          </w:p>
          <w:p w14:paraId="7C644C7E">
            <w:pPr>
              <w:spacing w:line="312" w:lineRule="auto"/>
              <w:jc w:val="center"/>
              <w:rPr>
                <w:rFonts w:asciiTheme="minorEastAsia" w:hAnsiTheme="minorEastAsia" w:eastAsiaTheme="minorEastAsia" w:cstheme="minorEastAsia"/>
                <w:sz w:val="24"/>
                <w:highlight w:val="none"/>
              </w:rPr>
            </w:pPr>
          </w:p>
          <w:p w14:paraId="6BA626D5">
            <w:pPr>
              <w:spacing w:line="312" w:lineRule="auto"/>
              <w:jc w:val="center"/>
              <w:rPr>
                <w:rFonts w:ascii="宋体" w:hAnsi="宋体" w:cs="宋体"/>
                <w:sz w:val="24"/>
                <w:highlight w:val="none"/>
              </w:rPr>
            </w:pPr>
          </w:p>
        </w:tc>
        <w:tc>
          <w:tcPr>
            <w:tcW w:w="1245" w:type="dxa"/>
            <w:vMerge w:val="restart"/>
            <w:vAlign w:val="center"/>
          </w:tcPr>
          <w:p w14:paraId="176558A1">
            <w:pPr>
              <w:spacing w:line="312" w:lineRule="auto"/>
              <w:jc w:val="center"/>
              <w:rPr>
                <w:rFonts w:ascii="宋体" w:hAnsi="宋体" w:cs="宋体"/>
                <w:sz w:val="24"/>
                <w:highlight w:val="none"/>
              </w:rPr>
            </w:pPr>
            <w:r>
              <w:rPr>
                <w:rFonts w:hint="eastAsia" w:ascii="宋体" w:hAnsi="宋体" w:cs="宋体"/>
                <w:sz w:val="24"/>
                <w:highlight w:val="none"/>
              </w:rPr>
              <w:t>技术部分（40分）</w:t>
            </w:r>
          </w:p>
        </w:tc>
        <w:tc>
          <w:tcPr>
            <w:tcW w:w="1200" w:type="dxa"/>
            <w:vAlign w:val="center"/>
          </w:tcPr>
          <w:p w14:paraId="291EABE9">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6B0DA15A">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7B584577">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24F4E5F3">
            <w:pPr>
              <w:pStyle w:val="29"/>
              <w:tabs>
                <w:tab w:val="left" w:pos="6853"/>
                <w:tab w:val="left" w:pos="8587"/>
                <w:tab w:val="left" w:pos="8599"/>
              </w:tabs>
              <w:spacing w:line="240" w:lineRule="auto"/>
              <w:ind w:firstLine="0"/>
              <w:rPr>
                <w:color w:val="00000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服务方案（25分）</w:t>
            </w:r>
          </w:p>
        </w:tc>
        <w:tc>
          <w:tcPr>
            <w:tcW w:w="6394" w:type="dxa"/>
            <w:vAlign w:val="center"/>
          </w:tcPr>
          <w:p w14:paraId="7C3E5572">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1、服务方案针对本项目的特点，考虑周全、措施到位、条理清晰、思路明确、表述准确，方案技术含量高。</w:t>
            </w:r>
          </w:p>
          <w:p w14:paraId="0507FE1B">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注：服务方案全面、详尽、合理、有保障、完全满足项目要求的，得7-9分；方案不全面、或者不详尽的，得4-6分；</w:t>
            </w:r>
          </w:p>
          <w:p w14:paraId="391B6A5C">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方案不合理或者技术质量无保障的，得1-3分；缺项的不得分。</w:t>
            </w:r>
          </w:p>
          <w:p w14:paraId="64480DE6">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2、提供将货物统一进行送货或服务到指定地点的配送实施办法且供货前对各项目村统一组织技术培训措施、</w:t>
            </w:r>
            <w:r>
              <w:rPr>
                <w:rFonts w:hint="eastAsia"/>
                <w:color w:val="auto"/>
                <w:kern w:val="1"/>
                <w:sz w:val="24"/>
                <w:szCs w:val="24"/>
                <w:highlight w:val="none"/>
                <w:lang w:eastAsia="zh-CN"/>
              </w:rPr>
              <w:t>配合项目实施针对使用货物的单位和个人正确说明货物的用途、使用方法和注意事项等措施方案</w:t>
            </w:r>
          </w:p>
          <w:p w14:paraId="4D425968">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注：方案全面、详尽、合理、有保障、完全满足项目要求的，得7-8分；方案不全面、或者不详尽的，得4-6分；方案不合理或者技术质量无保障的，得1-3分；缺项的不得分。</w:t>
            </w:r>
          </w:p>
          <w:p w14:paraId="00820070">
            <w:pPr>
              <w:pStyle w:val="29"/>
              <w:numPr>
                <w:ilvl w:val="0"/>
                <w:numId w:val="2"/>
              </w:numPr>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因服务质量问题引起纠纷时提供的应急解决方案及实施过程中注意事项及中毒急救措施方案。</w:t>
            </w:r>
          </w:p>
          <w:p w14:paraId="37DD3FFB">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注：服务方案全面、详尽、合理、有保障、完全满足项目要求的，得7-8分；方案不全面、或者不详尽的，得4-6分；方案不合理或者技术质量无保障的，得1-3分；缺项的不得分。</w:t>
            </w:r>
          </w:p>
        </w:tc>
      </w:tr>
      <w:tr w14:paraId="679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009" w:type="dxa"/>
            <w:vMerge w:val="continue"/>
            <w:vAlign w:val="center"/>
          </w:tcPr>
          <w:p w14:paraId="49A1F47F">
            <w:pPr>
              <w:spacing w:line="312" w:lineRule="auto"/>
              <w:rPr>
                <w:rFonts w:ascii="宋体" w:hAnsi="宋体" w:cs="宋体"/>
                <w:sz w:val="24"/>
                <w:highlight w:val="none"/>
              </w:rPr>
            </w:pPr>
          </w:p>
        </w:tc>
        <w:tc>
          <w:tcPr>
            <w:tcW w:w="1245" w:type="dxa"/>
            <w:vMerge w:val="continue"/>
            <w:vAlign w:val="center"/>
          </w:tcPr>
          <w:p w14:paraId="2BE988AE">
            <w:pPr>
              <w:spacing w:line="312" w:lineRule="auto"/>
              <w:rPr>
                <w:rFonts w:ascii="宋体" w:hAnsi="宋体" w:cs="宋体"/>
                <w:sz w:val="24"/>
                <w:highlight w:val="none"/>
              </w:rPr>
            </w:pPr>
          </w:p>
        </w:tc>
        <w:tc>
          <w:tcPr>
            <w:tcW w:w="1200" w:type="dxa"/>
            <w:vAlign w:val="center"/>
          </w:tcPr>
          <w:p w14:paraId="1C0D8D8B">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p>
          <w:p w14:paraId="7AA9EDB0">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（15分）</w:t>
            </w:r>
          </w:p>
        </w:tc>
        <w:tc>
          <w:tcPr>
            <w:tcW w:w="6394" w:type="dxa"/>
            <w:vAlign w:val="center"/>
          </w:tcPr>
          <w:p w14:paraId="3F73F332">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具有履行合同所必需的设备和专业技术能力（需提供证明材料）</w:t>
            </w:r>
          </w:p>
          <w:p w14:paraId="12A1A6D7">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注：设备和专业技术能力全面、详尽、合理、有保障、完全满足项目要求的，得9-15分；</w:t>
            </w:r>
          </w:p>
          <w:p w14:paraId="1BA4E64F">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不全面、或者不详尽的，得5-8分；</w:t>
            </w:r>
          </w:p>
          <w:p w14:paraId="533937AB">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无保障的，得1-4分；缺项的不得分。</w:t>
            </w:r>
          </w:p>
        </w:tc>
      </w:tr>
      <w:tr w14:paraId="7DF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9" w:type="dxa"/>
            <w:vMerge w:val="restart"/>
            <w:vAlign w:val="center"/>
          </w:tcPr>
          <w:p w14:paraId="1A4835D6">
            <w:pPr>
              <w:spacing w:line="312" w:lineRule="auto"/>
              <w:rPr>
                <w:rFonts w:ascii="宋体" w:hAnsi="宋体" w:cs="宋体"/>
                <w:sz w:val="24"/>
                <w:highlight w:val="none"/>
              </w:rPr>
            </w:pPr>
            <w:r>
              <w:rPr>
                <w:rFonts w:hint="eastAsia" w:ascii="宋体" w:hAnsi="宋体" w:cs="宋体"/>
                <w:sz w:val="24"/>
                <w:highlight w:val="none"/>
              </w:rPr>
              <w:t>2.2.3</w:t>
            </w:r>
          </w:p>
        </w:tc>
        <w:tc>
          <w:tcPr>
            <w:tcW w:w="1245" w:type="dxa"/>
            <w:vMerge w:val="restart"/>
            <w:vAlign w:val="center"/>
          </w:tcPr>
          <w:p w14:paraId="7193D5A4">
            <w:pPr>
              <w:spacing w:line="312" w:lineRule="auto"/>
              <w:rPr>
                <w:rFonts w:ascii="宋体" w:hAnsi="宋体" w:cs="宋体"/>
                <w:sz w:val="24"/>
                <w:highlight w:val="none"/>
              </w:rPr>
            </w:pPr>
            <w:r>
              <w:rPr>
                <w:rFonts w:hint="eastAsia" w:ascii="宋体" w:hAnsi="宋体" w:cs="宋体"/>
                <w:sz w:val="24"/>
                <w:highlight w:val="none"/>
              </w:rPr>
              <w:t>商务部分（30分）</w:t>
            </w:r>
          </w:p>
        </w:tc>
        <w:tc>
          <w:tcPr>
            <w:tcW w:w="1200" w:type="dxa"/>
            <w:vAlign w:val="center"/>
          </w:tcPr>
          <w:p w14:paraId="02114BA3">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售后服务方案（17分）</w:t>
            </w:r>
          </w:p>
        </w:tc>
        <w:tc>
          <w:tcPr>
            <w:tcW w:w="6394" w:type="dxa"/>
            <w:vAlign w:val="center"/>
          </w:tcPr>
          <w:p w14:paraId="54FCA12F">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有优惠条件、良好的服务信誉，24小时服务热线、质保期内，出现任何问题，无条件负责、提供农药包装废弃物回收处理、产品质量保障等承诺。售后服务方案合理且可行得12-17分、基本合理、可行得5-11分，一般得1-4分，没有得0分。</w:t>
            </w:r>
          </w:p>
          <w:p w14:paraId="6219FAAE">
            <w:pPr>
              <w:pStyle w:val="29"/>
              <w:tabs>
                <w:tab w:val="left" w:pos="6853"/>
                <w:tab w:val="left" w:pos="8587"/>
                <w:tab w:val="left" w:pos="8599"/>
              </w:tabs>
              <w:spacing w:line="240" w:lineRule="auto"/>
              <w:ind w:firstLine="0"/>
              <w:rPr>
                <w:color w:val="auto"/>
                <w:sz w:val="24"/>
                <w:szCs w:val="24"/>
                <w:highlight w:val="none"/>
                <w:lang w:val="en-US" w:eastAsia="zh-CN"/>
              </w:rPr>
            </w:pPr>
          </w:p>
        </w:tc>
      </w:tr>
      <w:tr w14:paraId="41BF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009" w:type="dxa"/>
            <w:vMerge w:val="continue"/>
            <w:vAlign w:val="center"/>
          </w:tcPr>
          <w:p w14:paraId="48C2CCE0">
            <w:pPr>
              <w:spacing w:line="312" w:lineRule="auto"/>
              <w:rPr>
                <w:rFonts w:ascii="宋体" w:hAnsi="宋体" w:cs="宋体"/>
                <w:sz w:val="24"/>
                <w:highlight w:val="none"/>
              </w:rPr>
            </w:pPr>
          </w:p>
        </w:tc>
        <w:tc>
          <w:tcPr>
            <w:tcW w:w="1245" w:type="dxa"/>
            <w:vMerge w:val="continue"/>
            <w:vAlign w:val="center"/>
          </w:tcPr>
          <w:p w14:paraId="3270856A">
            <w:pPr>
              <w:spacing w:line="312" w:lineRule="auto"/>
              <w:rPr>
                <w:rFonts w:ascii="宋体" w:hAnsi="宋体" w:cs="宋体"/>
                <w:sz w:val="24"/>
                <w:highlight w:val="none"/>
              </w:rPr>
            </w:pPr>
          </w:p>
        </w:tc>
        <w:tc>
          <w:tcPr>
            <w:tcW w:w="1200" w:type="dxa"/>
            <w:vAlign w:val="center"/>
          </w:tcPr>
          <w:p w14:paraId="223347E0">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服务承诺（5分）</w:t>
            </w:r>
          </w:p>
        </w:tc>
        <w:tc>
          <w:tcPr>
            <w:tcW w:w="6394" w:type="dxa"/>
            <w:vAlign w:val="center"/>
          </w:tcPr>
          <w:p w14:paraId="24D41793">
            <w:pPr>
              <w:pStyle w:val="29"/>
              <w:tabs>
                <w:tab w:val="left" w:pos="6853"/>
                <w:tab w:val="left" w:pos="8587"/>
                <w:tab w:val="left" w:pos="8599"/>
              </w:tabs>
              <w:spacing w:line="240" w:lineRule="auto"/>
              <w:ind w:firstLine="0"/>
              <w:rPr>
                <w:b/>
                <w:bCs/>
                <w:color w:val="auto"/>
                <w:sz w:val="24"/>
                <w:szCs w:val="24"/>
                <w:highlight w:val="none"/>
                <w:lang w:val="en-US" w:eastAsia="zh-CN"/>
              </w:rPr>
            </w:pPr>
            <w:r>
              <w:rPr>
                <w:rFonts w:hint="eastAsia"/>
                <w:color w:val="auto"/>
                <w:sz w:val="24"/>
                <w:szCs w:val="24"/>
                <w:highlight w:val="none"/>
                <w:lang w:val="en-US" w:eastAsia="zh-CN"/>
              </w:rPr>
              <w:t>服务承诺符合本项目特点，有详尽服务措施，健全的服务制度合理且可行得4-5分，基本合理、可行得2-3分，一般得1分，没有得0分。</w:t>
            </w:r>
          </w:p>
        </w:tc>
      </w:tr>
      <w:tr w14:paraId="34E8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09" w:type="dxa"/>
            <w:vMerge w:val="continue"/>
            <w:vAlign w:val="center"/>
          </w:tcPr>
          <w:p w14:paraId="1C2F7695">
            <w:pPr>
              <w:spacing w:line="312" w:lineRule="auto"/>
              <w:rPr>
                <w:rFonts w:ascii="宋体" w:hAnsi="宋体" w:cs="宋体"/>
                <w:sz w:val="24"/>
                <w:highlight w:val="none"/>
              </w:rPr>
            </w:pPr>
          </w:p>
        </w:tc>
        <w:tc>
          <w:tcPr>
            <w:tcW w:w="1245" w:type="dxa"/>
            <w:vMerge w:val="continue"/>
            <w:vAlign w:val="center"/>
          </w:tcPr>
          <w:p w14:paraId="27E5DB2B">
            <w:pPr>
              <w:spacing w:line="312" w:lineRule="auto"/>
              <w:rPr>
                <w:rFonts w:ascii="宋体" w:hAnsi="宋体" w:cs="宋体"/>
                <w:sz w:val="24"/>
                <w:highlight w:val="none"/>
              </w:rPr>
            </w:pPr>
          </w:p>
        </w:tc>
        <w:tc>
          <w:tcPr>
            <w:tcW w:w="1200" w:type="dxa"/>
            <w:vAlign w:val="center"/>
          </w:tcPr>
          <w:p w14:paraId="0755347F">
            <w:pPr>
              <w:wordWrap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企业业绩（8分）</w:t>
            </w:r>
          </w:p>
        </w:tc>
        <w:tc>
          <w:tcPr>
            <w:tcW w:w="6394" w:type="dxa"/>
            <w:vAlign w:val="center"/>
          </w:tcPr>
          <w:p w14:paraId="6EA08DBD">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供应商自2023年1月1日以来承接过类似项目的，每个得4分，最多得8分（投标文件中须提供中标通知书或合同协议书，以合同签订日期为准）</w:t>
            </w:r>
          </w:p>
        </w:tc>
      </w:tr>
      <w:tr w14:paraId="22A6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9848" w:type="dxa"/>
            <w:gridSpan w:val="4"/>
            <w:vAlign w:val="center"/>
          </w:tcPr>
          <w:p w14:paraId="60F38ECC">
            <w:pPr>
              <w:widowControl/>
              <w:spacing w:line="312" w:lineRule="auto"/>
              <w:rPr>
                <w:rFonts w:ascii="宋体" w:hAnsi="宋体" w:cs="宋体"/>
                <w:bCs/>
                <w:sz w:val="24"/>
                <w:highlight w:val="none"/>
              </w:rPr>
            </w:pPr>
            <w:r>
              <w:rPr>
                <w:rFonts w:hint="eastAsia" w:ascii="宋体" w:hAnsi="宋体" w:cs="宋体"/>
                <w:bCs/>
                <w:sz w:val="24"/>
                <w:highlight w:val="none"/>
              </w:rPr>
              <w:t>1、投标综合得分＝磋商报价得分+技术部分得分+商务部分得分。</w:t>
            </w:r>
          </w:p>
          <w:p w14:paraId="5E397F3A">
            <w:pPr>
              <w:widowControl/>
              <w:spacing w:line="312" w:lineRule="auto"/>
              <w:rPr>
                <w:rFonts w:ascii="宋体" w:hAnsi="宋体" w:cs="宋体"/>
                <w:b/>
                <w:sz w:val="24"/>
                <w:highlight w:val="none"/>
              </w:rPr>
            </w:pPr>
            <w:r>
              <w:rPr>
                <w:rFonts w:hint="eastAsia" w:ascii="宋体" w:hAnsi="宋体" w:cs="宋体"/>
                <w:bCs/>
                <w:sz w:val="24"/>
                <w:highlight w:val="none"/>
              </w:rPr>
              <w:t>2、本办法计算过程中分值按四舍五入保留两位小数，结果按四舍五入保留两位小数，所有评委打分的算术平均值即为供应商的最终得分。</w:t>
            </w:r>
          </w:p>
        </w:tc>
      </w:tr>
    </w:tbl>
    <w:p w14:paraId="674B980B">
      <w:pPr>
        <w:keepNext/>
        <w:keepLines/>
        <w:spacing w:after="360" w:line="500" w:lineRule="exact"/>
        <w:ind w:firstLine="480" w:firstLineChars="200"/>
        <w:jc w:val="center"/>
        <w:rPr>
          <w:rFonts w:ascii="宋体" w:hAnsi="宋体"/>
          <w:color w:val="000000"/>
          <w:szCs w:val="28"/>
          <w:highlight w:val="none"/>
        </w:rPr>
      </w:pPr>
      <w:r>
        <w:rPr>
          <w:rFonts w:hint="eastAsia" w:ascii="宋体" w:hAnsi="宋体" w:cs="Arial"/>
          <w:color w:val="000000"/>
          <w:sz w:val="24"/>
          <w:highlight w:val="none"/>
        </w:rPr>
        <w:br w:type="page"/>
      </w:r>
      <w:bookmarkStart w:id="153" w:name="_Toc12315"/>
      <w:bookmarkStart w:id="154" w:name="_Toc10927"/>
      <w:bookmarkStart w:id="155" w:name="_Toc18684_WPSOffice_Level1"/>
      <w:bookmarkStart w:id="156" w:name="_Toc5821_WPSOffice_Level1"/>
      <w:bookmarkStart w:id="157" w:name="_Toc1239_WPSOffice_Level1"/>
      <w:bookmarkStart w:id="158" w:name="_Toc9297_WPSOffice_Level1"/>
      <w:r>
        <w:rPr>
          <w:rFonts w:hint="eastAsia" w:ascii="宋体" w:hAnsi="宋体"/>
          <w:b/>
          <w:bCs/>
          <w:color w:val="000000"/>
          <w:sz w:val="28"/>
          <w:szCs w:val="28"/>
          <w:highlight w:val="none"/>
        </w:rPr>
        <w:t>第四章 合同条款及格式</w:t>
      </w:r>
      <w:bookmarkEnd w:id="153"/>
      <w:bookmarkEnd w:id="154"/>
      <w:bookmarkEnd w:id="155"/>
      <w:bookmarkEnd w:id="156"/>
      <w:bookmarkEnd w:id="157"/>
      <w:bookmarkEnd w:id="158"/>
      <w:bookmarkStart w:id="159" w:name="_Toc267251442"/>
      <w:bookmarkEnd w:id="159"/>
    </w:p>
    <w:p w14:paraId="2A550821">
      <w:pPr>
        <w:keepNext/>
        <w:keepLines/>
        <w:spacing w:after="360" w:line="500" w:lineRule="exact"/>
        <w:ind w:firstLine="562" w:firstLineChars="200"/>
        <w:jc w:val="center"/>
        <w:rPr>
          <w:rFonts w:ascii="宋体" w:hAnsi="宋体"/>
          <w:b/>
          <w:bCs/>
          <w:color w:val="000000"/>
          <w:sz w:val="28"/>
          <w:szCs w:val="28"/>
          <w:highlight w:val="none"/>
        </w:rPr>
      </w:pPr>
      <w:bookmarkStart w:id="160" w:name="_Toc374947236"/>
      <w:bookmarkEnd w:id="160"/>
      <w:bookmarkStart w:id="161" w:name="_Toc423959285"/>
      <w:bookmarkEnd w:id="161"/>
      <w:bookmarkStart w:id="162" w:name="_Toc447871549"/>
      <w:bookmarkEnd w:id="162"/>
      <w:bookmarkStart w:id="163" w:name="_Toc498499550"/>
      <w:bookmarkEnd w:id="163"/>
      <w:bookmarkStart w:id="164" w:name="_Toc489024028"/>
      <w:bookmarkEnd w:id="164"/>
      <w:bookmarkStart w:id="165" w:name="_Toc375040612"/>
      <w:bookmarkEnd w:id="165"/>
      <w:bookmarkStart w:id="166" w:name="_Toc445390634"/>
      <w:bookmarkEnd w:id="166"/>
      <w:bookmarkStart w:id="167" w:name="_Toc375041753"/>
      <w:bookmarkEnd w:id="167"/>
      <w:bookmarkStart w:id="168" w:name="_Toc384309409"/>
      <w:bookmarkEnd w:id="168"/>
      <w:bookmarkStart w:id="169" w:name="_Toc375041310"/>
      <w:bookmarkEnd w:id="169"/>
      <w:bookmarkStart w:id="170" w:name="_Toc29427"/>
      <w:bookmarkEnd w:id="170"/>
      <w:bookmarkStart w:id="171" w:name="_Toc375041559"/>
      <w:bookmarkEnd w:id="171"/>
      <w:bookmarkStart w:id="172" w:name="_Toc20854_WPSOffice_Level1"/>
      <w:bookmarkStart w:id="173" w:name="_Toc31038_WPSOffice_Level1"/>
      <w:bookmarkStart w:id="174" w:name="_Toc18894"/>
      <w:bookmarkStart w:id="175" w:name="_Toc30729"/>
      <w:bookmarkStart w:id="176" w:name="_Toc16486"/>
      <w:bookmarkStart w:id="177" w:name="_Toc14702_WPSOffice_Level1"/>
      <w:r>
        <w:rPr>
          <w:rFonts w:hint="eastAsia" w:ascii="宋体" w:hAnsi="宋体"/>
          <w:b/>
          <w:bCs/>
          <w:color w:val="000000"/>
          <w:sz w:val="28"/>
          <w:szCs w:val="28"/>
          <w:highlight w:val="none"/>
        </w:rPr>
        <w:t>（此格式仅供参考）</w:t>
      </w:r>
    </w:p>
    <w:p w14:paraId="6DA7E8F1">
      <w:pPr>
        <w:rPr>
          <w:highlight w:val="none"/>
        </w:rPr>
      </w:pPr>
      <w:r>
        <w:rPr>
          <w:rFonts w:hint="eastAsia"/>
          <w:highlight w:val="none"/>
        </w:rPr>
        <w:t xml:space="preserve">项目名称：                          招标编号：              </w:t>
      </w:r>
    </w:p>
    <w:p w14:paraId="31422491">
      <w:pPr>
        <w:rPr>
          <w:highlight w:val="none"/>
        </w:rPr>
      </w:pPr>
      <w:r>
        <w:rPr>
          <w:rFonts w:hint="eastAsia"/>
          <w:highlight w:val="none"/>
        </w:rPr>
        <w:t>甲方：                   （采购人）</w:t>
      </w:r>
    </w:p>
    <w:p w14:paraId="3B49D2A1">
      <w:pPr>
        <w:rPr>
          <w:highlight w:val="none"/>
        </w:rPr>
      </w:pPr>
      <w:r>
        <w:rPr>
          <w:rFonts w:hint="eastAsia"/>
          <w:highlight w:val="none"/>
        </w:rPr>
        <w:t>乙方：                   （成交供应商）</w:t>
      </w:r>
    </w:p>
    <w:p w14:paraId="78817FC6">
      <w:pPr>
        <w:rPr>
          <w:highlight w:val="none"/>
        </w:rPr>
      </w:pPr>
      <w:r>
        <w:rPr>
          <w:rFonts w:hint="eastAsia"/>
          <w:highlight w:val="none"/>
        </w:rPr>
        <w:t>甲、乙双方根据《中华人民共和国政府采购法》、《中华人民共和国合同法》等法律法规的规定，按照          （项目名称）的招标结果签订本合同。</w:t>
      </w:r>
    </w:p>
    <w:p w14:paraId="5976607D">
      <w:pPr>
        <w:rPr>
          <w:highlight w:val="none"/>
        </w:rPr>
      </w:pPr>
      <w:r>
        <w:rPr>
          <w:rFonts w:hint="eastAsia"/>
          <w:highlight w:val="none"/>
        </w:rPr>
        <w:t>1.货物内容</w:t>
      </w:r>
    </w:p>
    <w:p w14:paraId="617A74C1">
      <w:pPr>
        <w:rPr>
          <w:highlight w:val="none"/>
        </w:rPr>
      </w:pPr>
      <w:r>
        <w:rPr>
          <w:rFonts w:hint="eastAsia"/>
          <w:highlight w:val="none"/>
        </w:rPr>
        <w:t xml:space="preserve">1.1 货物名称：          </w:t>
      </w:r>
    </w:p>
    <w:p w14:paraId="190910CD">
      <w:pPr>
        <w:rPr>
          <w:highlight w:val="none"/>
        </w:rPr>
      </w:pPr>
      <w:r>
        <w:rPr>
          <w:rFonts w:hint="eastAsia"/>
          <w:highlight w:val="none"/>
        </w:rPr>
        <w:t xml:space="preserve">1.2教材名称（版次）：          </w:t>
      </w:r>
    </w:p>
    <w:p w14:paraId="51B07645">
      <w:pPr>
        <w:rPr>
          <w:highlight w:val="none"/>
        </w:rPr>
      </w:pPr>
      <w:r>
        <w:rPr>
          <w:rFonts w:hint="eastAsia"/>
          <w:highlight w:val="none"/>
        </w:rPr>
        <w:t xml:space="preserve">1.3数量（单位）：          </w:t>
      </w:r>
    </w:p>
    <w:p w14:paraId="6480700C">
      <w:pPr>
        <w:rPr>
          <w:highlight w:val="none"/>
        </w:rPr>
      </w:pPr>
      <w:r>
        <w:rPr>
          <w:rFonts w:hint="eastAsia"/>
          <w:highlight w:val="none"/>
        </w:rPr>
        <w:t>2.合同金额：         。</w:t>
      </w:r>
    </w:p>
    <w:p w14:paraId="3CFC8522">
      <w:pPr>
        <w:rPr>
          <w:highlight w:val="none"/>
        </w:rPr>
      </w:pPr>
      <w:r>
        <w:rPr>
          <w:rFonts w:hint="eastAsia"/>
          <w:highlight w:val="none"/>
        </w:rPr>
        <w:t>3.技术资料</w:t>
      </w:r>
    </w:p>
    <w:p w14:paraId="373E8662">
      <w:pPr>
        <w:rPr>
          <w:highlight w:val="none"/>
        </w:rPr>
      </w:pPr>
      <w:r>
        <w:rPr>
          <w:rFonts w:hint="eastAsia"/>
          <w:highlight w:val="none"/>
        </w:rPr>
        <w:t>3.1乙方按招标文件规定的时间向甲方提供使用货物的有关技术资料。</w:t>
      </w:r>
    </w:p>
    <w:p w14:paraId="1980932A">
      <w:pPr>
        <w:rPr>
          <w:highlight w:val="none"/>
        </w:rPr>
      </w:pPr>
      <w:r>
        <w:rPr>
          <w:rFonts w:hint="eastAsia"/>
          <w:highlight w:val="none"/>
        </w:rPr>
        <w:t>3.2 没有甲方事先书面同意，乙方不得将由甲方提供的有关合同或任何合同条文、规格、计划、图纸、样品或资料提供给与履行本合同无关的任何其他人。</w:t>
      </w:r>
    </w:p>
    <w:p w14:paraId="2E97A74B">
      <w:pPr>
        <w:rPr>
          <w:highlight w:val="none"/>
        </w:rPr>
      </w:pPr>
      <w:r>
        <w:rPr>
          <w:rFonts w:hint="eastAsia"/>
          <w:highlight w:val="none"/>
        </w:rPr>
        <w:t>4.知识产权</w:t>
      </w:r>
    </w:p>
    <w:p w14:paraId="1A92FD95">
      <w:pPr>
        <w:rPr>
          <w:highlight w:val="none"/>
        </w:rPr>
      </w:pPr>
      <w:r>
        <w:rPr>
          <w:rFonts w:hint="eastAsia"/>
          <w:highlight w:val="none"/>
        </w:rPr>
        <w:t>乙方保证所提供的货物或其任何一部分均不会侵犯任何第三方的知识产权。</w:t>
      </w:r>
    </w:p>
    <w:p w14:paraId="5E60BCD4">
      <w:pPr>
        <w:rPr>
          <w:highlight w:val="none"/>
        </w:rPr>
      </w:pPr>
      <w:r>
        <w:rPr>
          <w:rFonts w:hint="eastAsia"/>
          <w:highlight w:val="none"/>
        </w:rPr>
        <w:t>5.产权担保</w:t>
      </w:r>
    </w:p>
    <w:p w14:paraId="3724B43C">
      <w:pPr>
        <w:rPr>
          <w:highlight w:val="none"/>
        </w:rPr>
      </w:pPr>
      <w:r>
        <w:rPr>
          <w:rFonts w:hint="eastAsia"/>
          <w:highlight w:val="none"/>
        </w:rPr>
        <w:t>乙方保证所交付的货物的所有权完全属于乙方且无任何抵押、查封等产权瑕疵。</w:t>
      </w:r>
    </w:p>
    <w:p w14:paraId="4F2979EB">
      <w:pPr>
        <w:rPr>
          <w:highlight w:val="none"/>
        </w:rPr>
      </w:pPr>
      <w:r>
        <w:rPr>
          <w:rFonts w:hint="eastAsia"/>
          <w:highlight w:val="none"/>
        </w:rPr>
        <w:t>6.转包或分包</w:t>
      </w:r>
    </w:p>
    <w:p w14:paraId="0DA24C1E">
      <w:pPr>
        <w:rPr>
          <w:highlight w:val="none"/>
        </w:rPr>
      </w:pPr>
      <w:r>
        <w:rPr>
          <w:rFonts w:hint="eastAsia"/>
          <w:highlight w:val="none"/>
        </w:rPr>
        <w:t>6.1本合同范围的货物，由乙方直接供应，不得转让他人供应。</w:t>
      </w:r>
    </w:p>
    <w:p w14:paraId="74A4C9C0">
      <w:pPr>
        <w:rPr>
          <w:highlight w:val="none"/>
        </w:rPr>
      </w:pPr>
      <w:r>
        <w:rPr>
          <w:rFonts w:hint="eastAsia"/>
          <w:highlight w:val="none"/>
        </w:rPr>
        <w:t>6.2 除非得到甲方的书面同意，乙方不得部分分包给他人供应。</w:t>
      </w:r>
    </w:p>
    <w:p w14:paraId="019ADB16">
      <w:pPr>
        <w:rPr>
          <w:highlight w:val="none"/>
        </w:rPr>
      </w:pPr>
      <w:r>
        <w:rPr>
          <w:rFonts w:hint="eastAsia"/>
          <w:highlight w:val="none"/>
        </w:rPr>
        <w:t>6.3如有转让和未经甲方同意的分包行为，甲方有权给予终止合同。</w:t>
      </w:r>
    </w:p>
    <w:p w14:paraId="595B4777">
      <w:pPr>
        <w:rPr>
          <w:highlight w:val="none"/>
        </w:rPr>
      </w:pPr>
      <w:r>
        <w:rPr>
          <w:rFonts w:hint="eastAsia"/>
          <w:highlight w:val="none"/>
        </w:rPr>
        <w:t>7.交货期、交货方式及交货地点</w:t>
      </w:r>
    </w:p>
    <w:p w14:paraId="0341DB60">
      <w:pPr>
        <w:rPr>
          <w:highlight w:val="none"/>
        </w:rPr>
      </w:pPr>
      <w:r>
        <w:rPr>
          <w:rFonts w:hint="eastAsia"/>
          <w:highlight w:val="none"/>
        </w:rPr>
        <w:t>1、乙方于     年    月    日之前将货物按甲方要求在甲方指定地点交货，满足采购人需求并具备使用条件。</w:t>
      </w:r>
    </w:p>
    <w:p w14:paraId="1C78F7CB">
      <w:pPr>
        <w:rPr>
          <w:highlight w:val="none"/>
        </w:rPr>
      </w:pPr>
      <w:r>
        <w:rPr>
          <w:rFonts w:hint="eastAsia"/>
          <w:highlight w:val="none"/>
        </w:rPr>
        <w:t>2、乙方负责所供货物包装、运输、安装和调试，并承担所发生的费用；甲方为乙方现场安装提供水、电等便利条件。</w:t>
      </w:r>
    </w:p>
    <w:p w14:paraId="3FE16BF2">
      <w:pPr>
        <w:rPr>
          <w:highlight w:val="none"/>
        </w:rPr>
      </w:pPr>
      <w:r>
        <w:rPr>
          <w:rFonts w:hint="eastAsia"/>
          <w:highlight w:val="none"/>
        </w:rPr>
        <w:t>3、教材上架过程中若发生安全事故由乙方承担。</w:t>
      </w:r>
    </w:p>
    <w:p w14:paraId="5B327923">
      <w:pPr>
        <w:rPr>
          <w:highlight w:val="none"/>
        </w:rPr>
      </w:pPr>
      <w:r>
        <w:rPr>
          <w:rFonts w:hint="eastAsia"/>
          <w:highlight w:val="none"/>
        </w:rPr>
        <w:t>4、乙方交货过程中应服从甲方的管理，遵守国家法律法规和学校相关制度，否则一切后果均由乙方承担。</w:t>
      </w:r>
    </w:p>
    <w:p w14:paraId="4C1277CE">
      <w:pPr>
        <w:rPr>
          <w:highlight w:val="none"/>
        </w:rPr>
      </w:pPr>
      <w:r>
        <w:rPr>
          <w:rFonts w:hint="eastAsia"/>
          <w:highlight w:val="none"/>
        </w:rPr>
        <w:t>5、货物交付使用前，乙方负责对提供货物进行看管，并承担货物的丢失、损毁等风险。</w:t>
      </w:r>
    </w:p>
    <w:p w14:paraId="4C78CEDB">
      <w:pPr>
        <w:rPr>
          <w:highlight w:val="none"/>
        </w:rPr>
      </w:pPr>
      <w:r>
        <w:rPr>
          <w:rFonts w:hint="eastAsia"/>
          <w:highlight w:val="none"/>
        </w:rPr>
        <w:t>8.货款支付：双方协商。</w:t>
      </w:r>
    </w:p>
    <w:p w14:paraId="55186355">
      <w:pPr>
        <w:rPr>
          <w:highlight w:val="none"/>
        </w:rPr>
      </w:pPr>
      <w:r>
        <w:rPr>
          <w:rFonts w:hint="eastAsia"/>
          <w:highlight w:val="none"/>
        </w:rPr>
        <w:t>9.税费</w:t>
      </w:r>
    </w:p>
    <w:p w14:paraId="6A47BD5B">
      <w:pPr>
        <w:rPr>
          <w:highlight w:val="none"/>
        </w:rPr>
      </w:pPr>
      <w:r>
        <w:rPr>
          <w:rFonts w:hint="eastAsia"/>
          <w:highlight w:val="none"/>
        </w:rPr>
        <w:t>本合同执行中相关的一切税费均由乙方负担。</w:t>
      </w:r>
    </w:p>
    <w:p w14:paraId="44504453">
      <w:pPr>
        <w:rPr>
          <w:highlight w:val="none"/>
        </w:rPr>
      </w:pPr>
      <w:r>
        <w:rPr>
          <w:rFonts w:hint="eastAsia"/>
          <w:highlight w:val="none"/>
        </w:rPr>
        <w:t>10.质量保证及售后服务</w:t>
      </w:r>
    </w:p>
    <w:p w14:paraId="382097F9">
      <w:pPr>
        <w:rPr>
          <w:highlight w:val="none"/>
        </w:rPr>
      </w:pPr>
      <w:r>
        <w:rPr>
          <w:rFonts w:hint="eastAsia"/>
          <w:highlight w:val="none"/>
        </w:rPr>
        <w:t>10.1、所有教材免费质保期为     年（自验收</w:t>
      </w:r>
      <w:r>
        <w:rPr>
          <w:rFonts w:hint="eastAsia"/>
          <w:highlight w:val="none"/>
          <w:lang w:eastAsia="zh-CN"/>
        </w:rPr>
        <w:t>符合国家相关规范及标准要求</w:t>
      </w:r>
      <w:r>
        <w:rPr>
          <w:rFonts w:hint="eastAsia"/>
          <w:highlight w:val="none"/>
        </w:rPr>
        <w:t>并交付给甲方之日起计算），终身维护、维修。</w:t>
      </w:r>
    </w:p>
    <w:p w14:paraId="303C7A3F">
      <w:pPr>
        <w:rPr>
          <w:highlight w:val="none"/>
        </w:rPr>
      </w:pPr>
      <w:r>
        <w:rPr>
          <w:rFonts w:hint="eastAsia"/>
          <w:highlight w:val="none"/>
        </w:rPr>
        <w:t>10.2、在质保期内，因产品质量造成的问题，供货方免费维修。产品存在质量问题，甲方有权要求乙方换货。</w:t>
      </w:r>
    </w:p>
    <w:p w14:paraId="2F302D0C">
      <w:pPr>
        <w:rPr>
          <w:highlight w:val="none"/>
        </w:rPr>
      </w:pPr>
      <w:r>
        <w:rPr>
          <w:rFonts w:hint="eastAsia"/>
          <w:highlight w:val="none"/>
        </w:rPr>
        <w:t>10.3、其它。</w:t>
      </w:r>
    </w:p>
    <w:p w14:paraId="247BA956">
      <w:pPr>
        <w:rPr>
          <w:highlight w:val="none"/>
        </w:rPr>
      </w:pPr>
      <w:r>
        <w:rPr>
          <w:rFonts w:hint="eastAsia"/>
          <w:highlight w:val="none"/>
        </w:rPr>
        <w:t>11. 包装与运输</w:t>
      </w:r>
    </w:p>
    <w:p w14:paraId="17CE21EE">
      <w:pPr>
        <w:rPr>
          <w:highlight w:val="none"/>
        </w:rPr>
      </w:pPr>
      <w:r>
        <w:rPr>
          <w:rFonts w:hint="eastAsia"/>
          <w:highlight w:val="none"/>
        </w:rPr>
        <w:t>教材交付使用前发生的所有与教材相关的运输、安装及安全保障事项等均由乙方负责；教材包装应符合抗震、防潮、防冻、防锈以及长途运输等要求，对由于包装不当或防护措施不力而导致的商品损坏、损失、腐蚀等损失均由乙方承担；在教材交付使用前所发生的所有与教材相关的经济纠纷及法律责任均与甲方无关。</w:t>
      </w:r>
    </w:p>
    <w:p w14:paraId="6559B7A7">
      <w:pPr>
        <w:rPr>
          <w:highlight w:val="none"/>
        </w:rPr>
      </w:pPr>
      <w:r>
        <w:rPr>
          <w:rFonts w:hint="eastAsia"/>
          <w:highlight w:val="none"/>
        </w:rPr>
        <w:t>12.索赔</w:t>
      </w:r>
    </w:p>
    <w:p w14:paraId="3CE9FDD8">
      <w:pPr>
        <w:rPr>
          <w:highlight w:val="none"/>
        </w:rPr>
      </w:pPr>
      <w:r>
        <w:rPr>
          <w:rFonts w:hint="eastAsia"/>
          <w:highlight w:val="none"/>
        </w:rPr>
        <w:t>12.1 如果货物的质量、规格、数量等与合同不符，或在质保期内证实货物存有缺陷，包括潜在的缺陷或使用不符合要求的材料等，甲方有权根据有资质的权威质检机构的检验结果向乙方提出索赔(但责任应由保险公司或运输部门承担的除外)。</w:t>
      </w:r>
    </w:p>
    <w:p w14:paraId="445C14C5">
      <w:pPr>
        <w:rPr>
          <w:highlight w:val="none"/>
        </w:rPr>
      </w:pPr>
      <w:r>
        <w:rPr>
          <w:rFonts w:hint="eastAsia"/>
          <w:highlight w:val="none"/>
        </w:rPr>
        <w:t> 12.2 在根据合同第11条规定的检验期和质保期内，如果乙方对甲方提出的索赔负有责任，乙方应按照甲方同意的下列一种或多种方式解决索赔事宜：</w:t>
      </w:r>
    </w:p>
    <w:p w14:paraId="27EB43FE">
      <w:pPr>
        <w:rPr>
          <w:highlight w:val="none"/>
        </w:rPr>
      </w:pPr>
      <w:r>
        <w:rPr>
          <w:rFonts w:hint="eastAsia"/>
          <w:highlight w:val="none"/>
        </w:rPr>
        <w:t> 12.2.1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BB2DCF">
      <w:pPr>
        <w:rPr>
          <w:highlight w:val="none"/>
        </w:rPr>
      </w:pPr>
      <w:r>
        <w:rPr>
          <w:rFonts w:hint="eastAsia"/>
          <w:highlight w:val="none"/>
        </w:rPr>
        <w:t> 12.2.2 根据货物低劣程度、损坏程度以及甲方所遭受损失的数额，经双方商定降低货物的价格，或由有权的部门评估，以降低后的价格或评估价格为准。</w:t>
      </w:r>
    </w:p>
    <w:p w14:paraId="43360DB9">
      <w:pPr>
        <w:rPr>
          <w:highlight w:val="none"/>
        </w:rPr>
      </w:pPr>
      <w:r>
        <w:rPr>
          <w:rFonts w:hint="eastAsia"/>
          <w:highlight w:val="none"/>
        </w:rPr>
        <w:t>12.2.3 用符合规格、质量和性能要求的新零件、部件或货物来更换有缺陷的部分或/和修补缺陷部分，乙方承担一切费用和风险并负担甲方所发生的一切直接费用。同时，乙方方应按合同第12条规定，相应延长修补或更换件的质保期。</w:t>
      </w:r>
    </w:p>
    <w:p w14:paraId="4DE95DAD">
      <w:pPr>
        <w:rPr>
          <w:highlight w:val="none"/>
        </w:rPr>
      </w:pPr>
      <w:r>
        <w:rPr>
          <w:rFonts w:hint="eastAsia"/>
          <w:highlight w:val="none"/>
        </w:rPr>
        <w:t> 12.2.4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3A90672">
      <w:pPr>
        <w:rPr>
          <w:highlight w:val="none"/>
        </w:rPr>
      </w:pPr>
      <w:r>
        <w:rPr>
          <w:rFonts w:hint="eastAsia"/>
          <w:highlight w:val="none"/>
        </w:rPr>
        <w:t>13.违约责任</w:t>
      </w:r>
    </w:p>
    <w:p w14:paraId="647D70DF">
      <w:pPr>
        <w:rPr>
          <w:highlight w:val="none"/>
        </w:rPr>
      </w:pPr>
      <w:r>
        <w:rPr>
          <w:rFonts w:hint="eastAsia"/>
          <w:highlight w:val="none"/>
        </w:rPr>
        <w:t>13.1 甲方无正当理由拒收货物的，甲方向乙方偿付拒收货款总值的百分之五违约金。</w:t>
      </w:r>
    </w:p>
    <w:p w14:paraId="4C5F9B01">
      <w:pPr>
        <w:rPr>
          <w:highlight w:val="none"/>
        </w:rPr>
      </w:pPr>
      <w:r>
        <w:rPr>
          <w:rFonts w:hint="eastAsia"/>
          <w:highlight w:val="none"/>
        </w:rPr>
        <w:t>13.2 甲方无故逾期验收和办理货款支付手续的,甲方按逾期付款总额每日万分之五向乙方支付违约金。</w:t>
      </w:r>
    </w:p>
    <w:p w14:paraId="116B8F23">
      <w:pPr>
        <w:rPr>
          <w:highlight w:val="none"/>
        </w:rPr>
      </w:pPr>
      <w:r>
        <w:rPr>
          <w:rFonts w:hint="eastAsia"/>
          <w:highlight w:val="none"/>
        </w:rPr>
        <w:t>13.3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5174FCE">
      <w:pPr>
        <w:rPr>
          <w:highlight w:val="none"/>
        </w:rPr>
      </w:pPr>
      <w:r>
        <w:rPr>
          <w:rFonts w:hint="eastAsia"/>
          <w:highlight w:val="none"/>
        </w:rPr>
        <w:t>14不可抗力事件处理</w:t>
      </w:r>
    </w:p>
    <w:p w14:paraId="0AFEEA7E">
      <w:pPr>
        <w:rPr>
          <w:highlight w:val="none"/>
        </w:rPr>
      </w:pPr>
      <w:r>
        <w:rPr>
          <w:rFonts w:hint="eastAsia"/>
          <w:highlight w:val="none"/>
        </w:rPr>
        <w:t>14.1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F740203">
      <w:pPr>
        <w:rPr>
          <w:highlight w:val="none"/>
        </w:rPr>
      </w:pPr>
      <w:r>
        <w:rPr>
          <w:rFonts w:hint="eastAsia"/>
          <w:highlight w:val="none"/>
        </w:rPr>
        <w:t>14.2 本合同中的不可抗力指不能预见、不能避免并不能克服的客观情况。包括但不限于：自然灾害如地震、台风、洪水、火灾；政府行为、法律规定或其适用的变化或者其他任何无法预见、避免或者控制的事件。</w:t>
      </w:r>
    </w:p>
    <w:p w14:paraId="2ED6E9FA">
      <w:pPr>
        <w:rPr>
          <w:highlight w:val="none"/>
        </w:rPr>
      </w:pPr>
      <w:r>
        <w:rPr>
          <w:rFonts w:hint="eastAsia"/>
          <w:highlight w:val="none"/>
        </w:rPr>
        <w:t>15.合同纠纷处理</w:t>
      </w:r>
    </w:p>
    <w:p w14:paraId="272FF1A3">
      <w:pPr>
        <w:rPr>
          <w:highlight w:val="none"/>
        </w:rPr>
      </w:pPr>
      <w:r>
        <w:rPr>
          <w:rFonts w:hint="eastAsia"/>
          <w:highlight w:val="none"/>
        </w:rPr>
        <w:t>因本合同或与本合同有关的一切事项发生争议，由双方友好协商解决。协商不成的，任何一方均可选择以下方式解决：</w:t>
      </w:r>
    </w:p>
    <w:p w14:paraId="7B2E27BB">
      <w:pPr>
        <w:rPr>
          <w:highlight w:val="none"/>
        </w:rPr>
      </w:pPr>
      <w:r>
        <w:rPr>
          <w:rFonts w:hint="eastAsia"/>
          <w:highlight w:val="none"/>
        </w:rPr>
        <w:t>15.1 向合同签订地人民法院提起诉讼。</w:t>
      </w:r>
    </w:p>
    <w:p w14:paraId="35C27800">
      <w:pPr>
        <w:rPr>
          <w:highlight w:val="none"/>
        </w:rPr>
      </w:pPr>
      <w:r>
        <w:rPr>
          <w:rFonts w:hint="eastAsia"/>
          <w:highlight w:val="none"/>
        </w:rPr>
        <w:t>16.违约解除合同</w:t>
      </w:r>
    </w:p>
    <w:p w14:paraId="19674EB4">
      <w:pPr>
        <w:rPr>
          <w:highlight w:val="none"/>
        </w:rPr>
      </w:pPr>
      <w:r>
        <w:rPr>
          <w:rFonts w:hint="eastAsia"/>
          <w:highlight w:val="none"/>
        </w:rPr>
        <w:t>16.1在乙方违约的情况下，甲方可向乙方发出书面通知，部分或全部终止合同，同时保留向对方追诉的权利。</w:t>
      </w:r>
    </w:p>
    <w:p w14:paraId="2C7ECDFD">
      <w:pPr>
        <w:rPr>
          <w:highlight w:val="none"/>
        </w:rPr>
      </w:pPr>
      <w:r>
        <w:rPr>
          <w:rFonts w:hint="eastAsia"/>
          <w:highlight w:val="none"/>
        </w:rPr>
        <w:t>16.1.1 乙方未能在合同规定的限期或甲方同意延长的限期内提供全部或部分货物，按合同第14.3的规定可以解除合同的。</w:t>
      </w:r>
    </w:p>
    <w:p w14:paraId="0D237F60">
      <w:pPr>
        <w:rPr>
          <w:highlight w:val="none"/>
        </w:rPr>
      </w:pPr>
      <w:r>
        <w:rPr>
          <w:rFonts w:hint="eastAsia"/>
          <w:highlight w:val="none"/>
        </w:rPr>
        <w:t>16.1.2 乙方有转让和未经甲方同意的分包行为，按合同第7.3的规定可以解除合同的。</w:t>
      </w:r>
    </w:p>
    <w:p w14:paraId="2FC5E876">
      <w:pPr>
        <w:rPr>
          <w:highlight w:val="none"/>
        </w:rPr>
      </w:pPr>
      <w:r>
        <w:rPr>
          <w:rFonts w:hint="eastAsia"/>
          <w:highlight w:val="none"/>
        </w:rPr>
        <w:t>16.1.3 乙方未能履行合同规定的其它主要义务的。</w:t>
      </w:r>
    </w:p>
    <w:p w14:paraId="1BD60C29">
      <w:pPr>
        <w:rPr>
          <w:highlight w:val="none"/>
        </w:rPr>
      </w:pPr>
      <w:r>
        <w:rPr>
          <w:rFonts w:hint="eastAsia"/>
          <w:highlight w:val="none"/>
        </w:rPr>
        <w:t>16.1.4 在本合同履行过程中有腐败和欺诈行为的。</w:t>
      </w:r>
    </w:p>
    <w:p w14:paraId="2674A6A8">
      <w:pPr>
        <w:rPr>
          <w:highlight w:val="none"/>
        </w:rPr>
      </w:pPr>
      <w:r>
        <w:rPr>
          <w:rFonts w:hint="eastAsia"/>
          <w:highlight w:val="none"/>
        </w:rPr>
        <w:t>16.2 在甲方根据上述第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B331DD0">
      <w:pPr>
        <w:rPr>
          <w:highlight w:val="none"/>
        </w:rPr>
      </w:pPr>
      <w:r>
        <w:rPr>
          <w:rFonts w:hint="eastAsia"/>
          <w:highlight w:val="none"/>
        </w:rPr>
        <w:t>17.其他约定</w:t>
      </w:r>
    </w:p>
    <w:p w14:paraId="5553F21E">
      <w:pPr>
        <w:rPr>
          <w:highlight w:val="none"/>
        </w:rPr>
      </w:pPr>
      <w:r>
        <w:rPr>
          <w:rFonts w:hint="eastAsia"/>
          <w:highlight w:val="none"/>
        </w:rPr>
        <w:t>17.1 本采购项目的招标文件、成交供应商的响应文件以及相关的澄清确认函（如果有的话）均为本合同不可分割的一部分，与本合同具有同等法律效力。</w:t>
      </w:r>
    </w:p>
    <w:p w14:paraId="7A3C8B5B">
      <w:pPr>
        <w:rPr>
          <w:highlight w:val="none"/>
        </w:rPr>
      </w:pPr>
      <w:r>
        <w:rPr>
          <w:rFonts w:hint="eastAsia"/>
          <w:highlight w:val="none"/>
        </w:rPr>
        <w:t>17.2 本合同未尽事宜，双方另行补充。</w:t>
      </w:r>
    </w:p>
    <w:p w14:paraId="0493C003">
      <w:pPr>
        <w:rPr>
          <w:highlight w:val="none"/>
        </w:rPr>
      </w:pPr>
      <w:r>
        <w:rPr>
          <w:rFonts w:hint="eastAsia"/>
          <w:highlight w:val="none"/>
        </w:rPr>
        <w:t>17.3本合同正本一式 肆 份，具有同等法律效力，甲、乙双方各执 贰 份。自采购合同签订之日起7个工作日内，甲方按照有关规定将合同副本报同级财政部门备案。</w:t>
      </w:r>
    </w:p>
    <w:p w14:paraId="545B5B39">
      <w:pPr>
        <w:rPr>
          <w:highlight w:val="none"/>
        </w:rPr>
      </w:pPr>
      <w:r>
        <w:rPr>
          <w:rFonts w:hint="eastAsia"/>
          <w:highlight w:val="none"/>
        </w:rPr>
        <w:t xml:space="preserve">17.4 签定地点：                         </w:t>
      </w:r>
    </w:p>
    <w:p w14:paraId="5C78B4F8">
      <w:pPr>
        <w:rPr>
          <w:highlight w:val="none"/>
        </w:rPr>
      </w:pPr>
    </w:p>
    <w:p w14:paraId="7E784B15">
      <w:pPr>
        <w:rPr>
          <w:highlight w:val="none"/>
        </w:rPr>
      </w:pPr>
      <w:r>
        <w:rPr>
          <w:rFonts w:hint="eastAsia"/>
          <w:highlight w:val="none"/>
        </w:rPr>
        <w:t>甲方：                            乙方：</w:t>
      </w:r>
    </w:p>
    <w:p w14:paraId="44D136F9">
      <w:pPr>
        <w:rPr>
          <w:highlight w:val="none"/>
        </w:rPr>
      </w:pPr>
      <w:r>
        <w:rPr>
          <w:rFonts w:hint="eastAsia"/>
          <w:highlight w:val="none"/>
        </w:rPr>
        <w:t>单位地址：                        单位地址：</w:t>
      </w:r>
    </w:p>
    <w:p w14:paraId="54E18A67">
      <w:pPr>
        <w:rPr>
          <w:highlight w:val="none"/>
        </w:rPr>
      </w:pPr>
      <w:r>
        <w:rPr>
          <w:rFonts w:hint="eastAsia"/>
          <w:highlight w:val="none"/>
        </w:rPr>
        <w:t>法定代表人：                      法定代表人：</w:t>
      </w:r>
    </w:p>
    <w:p w14:paraId="2ABAB5F8">
      <w:pPr>
        <w:rPr>
          <w:highlight w:val="none"/>
        </w:rPr>
      </w:pPr>
      <w:r>
        <w:rPr>
          <w:rFonts w:hint="eastAsia"/>
          <w:highlight w:val="none"/>
        </w:rPr>
        <w:t>委托代理人：                      委托代理人：</w:t>
      </w:r>
    </w:p>
    <w:p w14:paraId="61864DE6">
      <w:pPr>
        <w:rPr>
          <w:highlight w:val="none"/>
        </w:rPr>
      </w:pPr>
      <w:r>
        <w:rPr>
          <w:rFonts w:hint="eastAsia"/>
          <w:highlight w:val="none"/>
        </w:rPr>
        <w:t>电   话：                         电  话：</w:t>
      </w:r>
    </w:p>
    <w:p w14:paraId="473D0622">
      <w:pPr>
        <w:rPr>
          <w:highlight w:val="none"/>
        </w:rPr>
      </w:pPr>
    </w:p>
    <w:p w14:paraId="2281FFCB">
      <w:pPr>
        <w:rPr>
          <w:highlight w:val="none"/>
        </w:rPr>
      </w:pPr>
    </w:p>
    <w:p w14:paraId="3314C743">
      <w:pPr>
        <w:rPr>
          <w:highlight w:val="none"/>
        </w:rPr>
      </w:pPr>
      <w:r>
        <w:rPr>
          <w:rFonts w:hint="eastAsia"/>
          <w:highlight w:val="none"/>
        </w:rPr>
        <w:t>签订日期：  年  月   日</w:t>
      </w:r>
    </w:p>
    <w:p w14:paraId="41A18E7C">
      <w:pPr>
        <w:wordWrap w:val="0"/>
        <w:spacing w:line="360" w:lineRule="auto"/>
        <w:jc w:val="center"/>
        <w:rPr>
          <w:rFonts w:ascii="宋体" w:hAnsi="宋体"/>
          <w:b/>
          <w:bCs/>
          <w:color w:val="000000"/>
          <w:kern w:val="44"/>
          <w:sz w:val="28"/>
          <w:highlight w:val="none"/>
        </w:rPr>
      </w:pPr>
      <w:r>
        <w:rPr>
          <w:rFonts w:hint="eastAsia" w:ascii="宋体" w:hAnsi="宋体"/>
          <w:b/>
          <w:bCs/>
          <w:color w:val="000000"/>
          <w:kern w:val="44"/>
          <w:sz w:val="28"/>
          <w:highlight w:val="none"/>
        </w:rPr>
        <w:br w:type="page"/>
      </w:r>
      <w:bookmarkEnd w:id="172"/>
      <w:bookmarkEnd w:id="173"/>
      <w:bookmarkEnd w:id="174"/>
      <w:bookmarkEnd w:id="175"/>
      <w:bookmarkEnd w:id="176"/>
      <w:bookmarkEnd w:id="177"/>
      <w:bookmarkStart w:id="178" w:name="_Toc25827"/>
    </w:p>
    <w:p w14:paraId="59B976EA">
      <w:pPr>
        <w:numPr>
          <w:ilvl w:val="0"/>
          <w:numId w:val="3"/>
        </w:numPr>
        <w:wordWrap w:val="0"/>
        <w:spacing w:line="360" w:lineRule="auto"/>
        <w:jc w:val="center"/>
        <w:rPr>
          <w:rFonts w:ascii="宋体" w:hAnsi="宋体"/>
          <w:b/>
          <w:bCs/>
          <w:color w:val="000000"/>
          <w:sz w:val="28"/>
          <w:szCs w:val="28"/>
          <w:highlight w:val="none"/>
        </w:rPr>
      </w:pPr>
      <w:r>
        <w:rPr>
          <w:rFonts w:hint="eastAsia" w:ascii="宋体" w:hAnsi="宋体"/>
          <w:b/>
          <w:bCs/>
          <w:color w:val="000000"/>
          <w:sz w:val="28"/>
          <w:szCs w:val="28"/>
          <w:highlight w:val="none"/>
        </w:rPr>
        <w:t xml:space="preserve"> 采购清单</w:t>
      </w:r>
    </w:p>
    <w:p w14:paraId="417CC94E">
      <w:pPr>
        <w:jc w:val="center"/>
        <w:rPr>
          <w:rFonts w:hint="eastAsia" w:ascii="宋体" w:hAnsi="宋体" w:eastAsia="宋体"/>
          <w:b/>
          <w:sz w:val="28"/>
          <w:szCs w:val="28"/>
          <w:highlight w:val="none"/>
          <w:lang w:eastAsia="zh-CN"/>
        </w:rPr>
      </w:pPr>
      <w:r>
        <w:rPr>
          <w:rFonts w:hint="eastAsia" w:ascii="宋体" w:hAnsi="宋体" w:eastAsia="宋体"/>
          <w:b/>
          <w:sz w:val="28"/>
          <w:szCs w:val="28"/>
          <w:highlight w:val="none"/>
        </w:rPr>
        <w:t>陕州区2026年小麦“一喷三防”项目</w:t>
      </w:r>
    </w:p>
    <w:p w14:paraId="4D2EBA26">
      <w:pPr>
        <w:jc w:val="center"/>
        <w:rPr>
          <w:rFonts w:hint="eastAsia" w:ascii="宋体" w:hAnsi="宋体" w:eastAsia="宋体"/>
          <w:b/>
          <w:sz w:val="28"/>
          <w:szCs w:val="28"/>
          <w:highlight w:val="none"/>
          <w:lang w:eastAsia="zh-CN"/>
        </w:rPr>
      </w:pPr>
      <w:r>
        <w:rPr>
          <w:rFonts w:hint="eastAsia" w:ascii="宋体" w:hAnsi="宋体" w:eastAsia="宋体"/>
          <w:b/>
          <w:sz w:val="28"/>
          <w:szCs w:val="28"/>
          <w:highlight w:val="none"/>
          <w:lang w:eastAsia="zh-CN"/>
        </w:rPr>
        <w:t>（一、二、三标段）</w:t>
      </w:r>
      <w:r>
        <w:rPr>
          <w:rFonts w:hint="eastAsia" w:ascii="宋体" w:hAnsi="宋体" w:eastAsia="宋体"/>
          <w:b/>
          <w:sz w:val="28"/>
          <w:szCs w:val="28"/>
          <w:highlight w:val="none"/>
        </w:rPr>
        <w:t>采购</w:t>
      </w:r>
      <w:r>
        <w:rPr>
          <w:rFonts w:hint="eastAsia" w:ascii="宋体" w:hAnsi="宋体" w:eastAsia="宋体"/>
          <w:b/>
          <w:sz w:val="28"/>
          <w:szCs w:val="28"/>
          <w:highlight w:val="none"/>
          <w:lang w:eastAsia="zh-CN"/>
        </w:rPr>
        <w:t>清单</w:t>
      </w:r>
    </w:p>
    <w:p w14:paraId="227C7EC5">
      <w:pPr>
        <w:keepNext/>
        <w:keepLines/>
        <w:spacing w:line="660" w:lineRule="exact"/>
        <w:jc w:val="center"/>
        <w:outlineLvl w:val="0"/>
        <w:rPr>
          <w:rFonts w:ascii="宋体" w:hAnsi="宋体"/>
          <w:b/>
          <w:bCs/>
          <w:color w:val="000000"/>
          <w:kern w:val="44"/>
          <w:sz w:val="28"/>
          <w:highlight w:val="none"/>
        </w:rPr>
      </w:pPr>
    </w:p>
    <w:tbl>
      <w:tblPr>
        <w:tblStyle w:val="1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40"/>
        <w:gridCol w:w="1730"/>
        <w:gridCol w:w="1243"/>
        <w:gridCol w:w="1199"/>
        <w:gridCol w:w="1894"/>
      </w:tblGrid>
      <w:tr w14:paraId="797D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0" w:type="dxa"/>
            <w:vAlign w:val="center"/>
          </w:tcPr>
          <w:p w14:paraId="798628E8">
            <w:pPr>
              <w:jc w:val="center"/>
              <w:rPr>
                <w:rFonts w:ascii="宋体" w:hAnsi="宋体"/>
                <w:sz w:val="28"/>
                <w:highlight w:val="none"/>
              </w:rPr>
            </w:pPr>
            <w:r>
              <w:rPr>
                <w:rFonts w:hint="eastAsia" w:ascii="宋体" w:hAnsi="宋体"/>
                <w:sz w:val="28"/>
                <w:highlight w:val="none"/>
              </w:rPr>
              <w:t>标段</w:t>
            </w:r>
          </w:p>
        </w:tc>
        <w:tc>
          <w:tcPr>
            <w:tcW w:w="1740" w:type="dxa"/>
            <w:vAlign w:val="center"/>
          </w:tcPr>
          <w:p w14:paraId="656FE69B">
            <w:pPr>
              <w:jc w:val="center"/>
              <w:rPr>
                <w:rFonts w:ascii="宋体" w:hAnsi="宋体"/>
                <w:sz w:val="28"/>
                <w:highlight w:val="none"/>
              </w:rPr>
            </w:pPr>
            <w:r>
              <w:rPr>
                <w:rFonts w:hint="eastAsia" w:ascii="宋体" w:hAnsi="宋体"/>
                <w:sz w:val="28"/>
                <w:highlight w:val="none"/>
              </w:rPr>
              <w:t>采购内容</w:t>
            </w:r>
          </w:p>
        </w:tc>
        <w:tc>
          <w:tcPr>
            <w:tcW w:w="1730" w:type="dxa"/>
            <w:vAlign w:val="center"/>
          </w:tcPr>
          <w:p w14:paraId="4FBC1194">
            <w:pPr>
              <w:jc w:val="center"/>
              <w:rPr>
                <w:rFonts w:hint="eastAsia" w:ascii="宋体" w:hAnsi="宋体" w:eastAsia="宋体"/>
                <w:sz w:val="28"/>
                <w:highlight w:val="none"/>
                <w:lang w:eastAsia="zh-CN"/>
              </w:rPr>
            </w:pPr>
            <w:r>
              <w:rPr>
                <w:rFonts w:hint="eastAsia" w:ascii="宋体" w:hAnsi="宋体"/>
                <w:sz w:val="28"/>
                <w:highlight w:val="none"/>
                <w:lang w:eastAsia="zh-CN"/>
              </w:rPr>
              <w:t>数量（亩</w:t>
            </w:r>
            <w:r>
              <w:rPr>
                <w:rFonts w:hint="eastAsia" w:ascii="宋体" w:hAnsi="宋体"/>
                <w:sz w:val="28"/>
                <w:highlight w:val="none"/>
                <w:lang w:val="en-US" w:eastAsia="zh-CN"/>
              </w:rPr>
              <w:t>/公斤</w:t>
            </w:r>
            <w:r>
              <w:rPr>
                <w:rFonts w:hint="eastAsia" w:ascii="宋体" w:hAnsi="宋体"/>
                <w:sz w:val="28"/>
                <w:highlight w:val="none"/>
                <w:lang w:eastAsia="zh-CN"/>
              </w:rPr>
              <w:t>）</w:t>
            </w:r>
          </w:p>
        </w:tc>
        <w:tc>
          <w:tcPr>
            <w:tcW w:w="1243" w:type="dxa"/>
            <w:vAlign w:val="center"/>
          </w:tcPr>
          <w:p w14:paraId="1922EBBE">
            <w:pPr>
              <w:jc w:val="center"/>
              <w:rPr>
                <w:rFonts w:ascii="宋体" w:hAnsi="宋体"/>
                <w:sz w:val="28"/>
                <w:highlight w:val="none"/>
              </w:rPr>
            </w:pPr>
            <w:r>
              <w:rPr>
                <w:rFonts w:hint="eastAsia" w:ascii="宋体" w:hAnsi="宋体"/>
                <w:sz w:val="28"/>
                <w:highlight w:val="none"/>
              </w:rPr>
              <w:t>单价（元</w:t>
            </w:r>
            <w:r>
              <w:rPr>
                <w:rFonts w:hint="eastAsia" w:ascii="宋体" w:hAnsi="宋体"/>
                <w:sz w:val="28"/>
                <w:highlight w:val="none"/>
                <w:lang w:val="en-US" w:eastAsia="zh-CN"/>
              </w:rPr>
              <w:t>/亩/公斤</w:t>
            </w:r>
            <w:r>
              <w:rPr>
                <w:rFonts w:hint="eastAsia" w:ascii="宋体" w:hAnsi="宋体"/>
                <w:sz w:val="28"/>
                <w:highlight w:val="none"/>
              </w:rPr>
              <w:t>）</w:t>
            </w:r>
          </w:p>
        </w:tc>
        <w:tc>
          <w:tcPr>
            <w:tcW w:w="1199" w:type="dxa"/>
            <w:vAlign w:val="center"/>
          </w:tcPr>
          <w:p w14:paraId="0AAD5AF9">
            <w:pPr>
              <w:jc w:val="center"/>
              <w:rPr>
                <w:rFonts w:ascii="宋体" w:hAnsi="宋体"/>
                <w:sz w:val="28"/>
                <w:highlight w:val="none"/>
              </w:rPr>
            </w:pPr>
            <w:r>
              <w:rPr>
                <w:rFonts w:hint="eastAsia" w:ascii="宋体" w:hAnsi="宋体"/>
                <w:sz w:val="28"/>
                <w:highlight w:val="none"/>
              </w:rPr>
              <w:t>金额（元）</w:t>
            </w:r>
          </w:p>
        </w:tc>
        <w:tc>
          <w:tcPr>
            <w:tcW w:w="1894" w:type="dxa"/>
            <w:vAlign w:val="center"/>
          </w:tcPr>
          <w:p w14:paraId="4636F68D">
            <w:pPr>
              <w:jc w:val="center"/>
              <w:rPr>
                <w:rFonts w:ascii="宋体" w:hAnsi="宋体"/>
                <w:sz w:val="28"/>
                <w:highlight w:val="none"/>
              </w:rPr>
            </w:pPr>
            <w:r>
              <w:rPr>
                <w:rFonts w:hint="eastAsia" w:ascii="宋体" w:hAnsi="宋体"/>
                <w:sz w:val="28"/>
                <w:highlight w:val="none"/>
              </w:rPr>
              <w:t>备注</w:t>
            </w:r>
          </w:p>
        </w:tc>
      </w:tr>
      <w:tr w14:paraId="7CEB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970" w:type="dxa"/>
            <w:vAlign w:val="center"/>
          </w:tcPr>
          <w:p w14:paraId="673531B7">
            <w:pPr>
              <w:jc w:val="center"/>
              <w:rPr>
                <w:rFonts w:hint="eastAsia" w:eastAsiaTheme="minorEastAsia"/>
                <w:highlight w:val="none"/>
                <w:lang w:eastAsia="zh-CN"/>
              </w:rPr>
            </w:pPr>
            <w:r>
              <w:rPr>
                <w:rFonts w:hint="eastAsia"/>
                <w:highlight w:val="none"/>
                <w:lang w:eastAsia="zh-CN"/>
              </w:rPr>
              <w:t>一标段</w:t>
            </w:r>
          </w:p>
        </w:tc>
        <w:tc>
          <w:tcPr>
            <w:tcW w:w="1740" w:type="dxa"/>
            <w:vAlign w:val="center"/>
          </w:tcPr>
          <w:p w14:paraId="2716A5F5">
            <w:pPr>
              <w:jc w:val="center"/>
              <w:rPr>
                <w:highlight w:val="none"/>
              </w:rPr>
            </w:pPr>
            <w:r>
              <w:rPr>
                <w:rFonts w:hint="eastAsia"/>
                <w:highlight w:val="none"/>
              </w:rPr>
              <w:t>植保无人机防治服务</w:t>
            </w:r>
            <w:r>
              <w:rPr>
                <w:rFonts w:hint="eastAsia"/>
                <w:highlight w:val="none"/>
                <w:lang w:eastAsia="zh-CN"/>
              </w:rPr>
              <w:t>费含助剂</w:t>
            </w:r>
          </w:p>
        </w:tc>
        <w:tc>
          <w:tcPr>
            <w:tcW w:w="1730" w:type="dxa"/>
            <w:vAlign w:val="center"/>
          </w:tcPr>
          <w:p w14:paraId="08CB40DC">
            <w:pPr>
              <w:jc w:val="center"/>
              <w:rPr>
                <w:rFonts w:hint="default"/>
                <w:highlight w:val="none"/>
                <w:lang w:val="en-US"/>
              </w:rPr>
            </w:pPr>
            <w:r>
              <w:rPr>
                <w:rFonts w:hint="eastAsia"/>
                <w:highlight w:val="none"/>
                <w:lang w:val="en-US" w:eastAsia="zh-CN"/>
              </w:rPr>
              <w:t>20000</w:t>
            </w:r>
          </w:p>
        </w:tc>
        <w:tc>
          <w:tcPr>
            <w:tcW w:w="1243" w:type="dxa"/>
            <w:vAlign w:val="center"/>
          </w:tcPr>
          <w:p w14:paraId="0E5EC440">
            <w:pPr>
              <w:jc w:val="center"/>
              <w:rPr>
                <w:rFonts w:hint="default"/>
                <w:highlight w:val="none"/>
                <w:lang w:val="en-US"/>
              </w:rPr>
            </w:pPr>
          </w:p>
        </w:tc>
        <w:tc>
          <w:tcPr>
            <w:tcW w:w="1199" w:type="dxa"/>
            <w:vAlign w:val="center"/>
          </w:tcPr>
          <w:p w14:paraId="707DA254">
            <w:pPr>
              <w:jc w:val="center"/>
              <w:rPr>
                <w:rFonts w:hint="default" w:eastAsiaTheme="minorEastAsia"/>
                <w:highlight w:val="none"/>
                <w:lang w:val="en-US" w:eastAsia="zh-CN"/>
              </w:rPr>
            </w:pPr>
          </w:p>
        </w:tc>
        <w:tc>
          <w:tcPr>
            <w:tcW w:w="1894" w:type="dxa"/>
            <w:vAlign w:val="center"/>
          </w:tcPr>
          <w:p w14:paraId="6EC581A3">
            <w:pPr>
              <w:jc w:val="center"/>
              <w:rPr>
                <w:rFonts w:eastAsiaTheme="minorEastAsia"/>
                <w:highlight w:val="none"/>
              </w:rPr>
            </w:pPr>
            <w:r>
              <w:rPr>
                <w:rFonts w:hint="eastAsia"/>
                <w:highlight w:val="none"/>
                <w:lang w:eastAsia="zh-CN"/>
              </w:rPr>
              <w:t>菜园乡、张茅乡、硖石乡</w:t>
            </w:r>
          </w:p>
        </w:tc>
      </w:tr>
      <w:tr w14:paraId="5F9C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970" w:type="dxa"/>
            <w:vAlign w:val="center"/>
          </w:tcPr>
          <w:p w14:paraId="3A6A6741">
            <w:pPr>
              <w:jc w:val="center"/>
              <w:rPr>
                <w:rFonts w:hint="eastAsia" w:eastAsiaTheme="minorEastAsia"/>
                <w:highlight w:val="none"/>
                <w:lang w:eastAsia="zh-CN"/>
              </w:rPr>
            </w:pPr>
            <w:r>
              <w:rPr>
                <w:rFonts w:hint="eastAsia"/>
                <w:highlight w:val="none"/>
                <w:lang w:eastAsia="zh-CN"/>
              </w:rPr>
              <w:t>二标段</w:t>
            </w:r>
          </w:p>
        </w:tc>
        <w:tc>
          <w:tcPr>
            <w:tcW w:w="1740" w:type="dxa"/>
            <w:vAlign w:val="center"/>
          </w:tcPr>
          <w:p w14:paraId="66CAE455">
            <w:pPr>
              <w:jc w:val="center"/>
              <w:rPr>
                <w:highlight w:val="none"/>
              </w:rPr>
            </w:pPr>
            <w:r>
              <w:rPr>
                <w:rFonts w:hint="eastAsia"/>
                <w:highlight w:val="none"/>
              </w:rPr>
              <w:t>植保无人机防治服务</w:t>
            </w:r>
            <w:r>
              <w:rPr>
                <w:rFonts w:hint="eastAsia"/>
                <w:highlight w:val="none"/>
                <w:lang w:eastAsia="zh-CN"/>
              </w:rPr>
              <w:t>费含助剂</w:t>
            </w:r>
          </w:p>
        </w:tc>
        <w:tc>
          <w:tcPr>
            <w:tcW w:w="1730" w:type="dxa"/>
            <w:vAlign w:val="center"/>
          </w:tcPr>
          <w:p w14:paraId="5D1CB53E">
            <w:pPr>
              <w:jc w:val="center"/>
              <w:rPr>
                <w:rFonts w:hint="default"/>
                <w:highlight w:val="none"/>
                <w:lang w:val="en-US"/>
              </w:rPr>
            </w:pPr>
            <w:r>
              <w:rPr>
                <w:rFonts w:hint="eastAsia"/>
                <w:highlight w:val="none"/>
                <w:lang w:val="en-US" w:eastAsia="zh-CN"/>
              </w:rPr>
              <w:t>20000</w:t>
            </w:r>
          </w:p>
        </w:tc>
        <w:tc>
          <w:tcPr>
            <w:tcW w:w="1243" w:type="dxa"/>
            <w:vAlign w:val="center"/>
          </w:tcPr>
          <w:p w14:paraId="7948394F">
            <w:pPr>
              <w:jc w:val="center"/>
              <w:rPr>
                <w:rFonts w:hint="default" w:eastAsiaTheme="minorEastAsia"/>
                <w:highlight w:val="none"/>
                <w:lang w:val="en-US" w:eastAsia="zh-CN"/>
              </w:rPr>
            </w:pPr>
          </w:p>
        </w:tc>
        <w:tc>
          <w:tcPr>
            <w:tcW w:w="1199" w:type="dxa"/>
            <w:vAlign w:val="center"/>
          </w:tcPr>
          <w:p w14:paraId="68334083">
            <w:pPr>
              <w:jc w:val="center"/>
              <w:rPr>
                <w:rFonts w:hint="default" w:eastAsiaTheme="minorEastAsia"/>
                <w:highlight w:val="none"/>
                <w:lang w:val="en-US" w:eastAsia="zh-CN"/>
              </w:rPr>
            </w:pPr>
          </w:p>
        </w:tc>
        <w:tc>
          <w:tcPr>
            <w:tcW w:w="1894" w:type="dxa"/>
            <w:vAlign w:val="center"/>
          </w:tcPr>
          <w:p w14:paraId="747776DD">
            <w:pPr>
              <w:jc w:val="center"/>
              <w:rPr>
                <w:rFonts w:hint="eastAsia" w:eastAsiaTheme="minorEastAsia"/>
                <w:highlight w:val="none"/>
                <w:lang w:eastAsia="zh-CN"/>
              </w:rPr>
            </w:pPr>
            <w:r>
              <w:rPr>
                <w:rFonts w:hint="eastAsia"/>
                <w:highlight w:val="none"/>
                <w:lang w:eastAsia="zh-CN"/>
              </w:rPr>
              <w:t>观音堂镇、西李村乡、宫前乡、王家后乡、西张村镇</w:t>
            </w:r>
          </w:p>
        </w:tc>
      </w:tr>
      <w:tr w14:paraId="3097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restart"/>
            <w:vAlign w:val="center"/>
          </w:tcPr>
          <w:p w14:paraId="4AF5CBBF">
            <w:pPr>
              <w:jc w:val="center"/>
              <w:rPr>
                <w:rFonts w:hint="eastAsia"/>
                <w:highlight w:val="none"/>
                <w:lang w:eastAsia="zh-CN"/>
              </w:rPr>
            </w:pPr>
            <w:r>
              <w:rPr>
                <w:rFonts w:hint="eastAsia"/>
                <w:highlight w:val="none"/>
                <w:lang w:eastAsia="zh-CN"/>
              </w:rPr>
              <w:t>三标段</w:t>
            </w:r>
          </w:p>
          <w:p w14:paraId="61FB540E">
            <w:pPr>
              <w:jc w:val="center"/>
              <w:rPr>
                <w:rFonts w:hint="eastAsia"/>
                <w:highlight w:val="none"/>
                <w:lang w:eastAsia="zh-CN"/>
              </w:rPr>
            </w:pPr>
          </w:p>
        </w:tc>
        <w:tc>
          <w:tcPr>
            <w:tcW w:w="1740" w:type="dxa"/>
            <w:vAlign w:val="center"/>
          </w:tcPr>
          <w:p w14:paraId="027241B0">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40%丙硫菌唑·戊唑醇悬浮剂</w:t>
            </w:r>
          </w:p>
        </w:tc>
        <w:tc>
          <w:tcPr>
            <w:tcW w:w="1730" w:type="dxa"/>
            <w:vAlign w:val="center"/>
          </w:tcPr>
          <w:p w14:paraId="5140228A">
            <w:pPr>
              <w:jc w:val="center"/>
              <w:rPr>
                <w:rFonts w:hint="default" w:eastAsiaTheme="minorEastAsia"/>
                <w:highlight w:val="none"/>
                <w:lang w:val="en-US" w:eastAsia="zh-CN"/>
              </w:rPr>
            </w:pPr>
            <w:r>
              <w:rPr>
                <w:rFonts w:hint="eastAsia"/>
                <w:highlight w:val="none"/>
                <w:lang w:val="en-US" w:eastAsia="zh-CN"/>
              </w:rPr>
              <w:t>1600</w:t>
            </w:r>
          </w:p>
        </w:tc>
        <w:tc>
          <w:tcPr>
            <w:tcW w:w="1243" w:type="dxa"/>
            <w:vAlign w:val="center"/>
          </w:tcPr>
          <w:p w14:paraId="2512B3D0">
            <w:pPr>
              <w:jc w:val="center"/>
              <w:rPr>
                <w:rFonts w:hint="default" w:eastAsiaTheme="minorEastAsia"/>
                <w:highlight w:val="none"/>
                <w:lang w:val="en-US" w:eastAsia="zh-CN"/>
              </w:rPr>
            </w:pPr>
          </w:p>
        </w:tc>
        <w:tc>
          <w:tcPr>
            <w:tcW w:w="1199" w:type="dxa"/>
            <w:vAlign w:val="center"/>
          </w:tcPr>
          <w:p w14:paraId="27556011">
            <w:pPr>
              <w:jc w:val="center"/>
              <w:rPr>
                <w:rFonts w:hint="default" w:eastAsiaTheme="minorEastAsia"/>
                <w:highlight w:val="none"/>
                <w:lang w:val="en-US" w:eastAsia="zh-CN"/>
              </w:rPr>
            </w:pPr>
          </w:p>
        </w:tc>
        <w:tc>
          <w:tcPr>
            <w:tcW w:w="1894" w:type="dxa"/>
            <w:vMerge w:val="restart"/>
            <w:vAlign w:val="center"/>
          </w:tcPr>
          <w:p w14:paraId="0246020B">
            <w:pPr>
              <w:tabs>
                <w:tab w:val="left" w:pos="231"/>
              </w:tabs>
              <w:jc w:val="left"/>
              <w:rPr>
                <w:rFonts w:hint="eastAsia" w:eastAsiaTheme="minorEastAsia"/>
                <w:highlight w:val="none"/>
                <w:lang w:eastAsia="zh-CN"/>
              </w:rPr>
            </w:pPr>
            <w:r>
              <w:rPr>
                <w:rFonts w:hint="eastAsia"/>
                <w:highlight w:val="none"/>
                <w:lang w:eastAsia="zh-CN"/>
              </w:rPr>
              <w:tab/>
            </w:r>
            <w:r>
              <w:rPr>
                <w:rFonts w:hint="eastAsia"/>
                <w:highlight w:val="none"/>
                <w:lang w:val="en-US" w:eastAsia="zh-CN"/>
              </w:rPr>
              <w:t>生产许可证或生产批准证、农药登记证、产品标准证“三证”齐全，并在有效期内；提供本批次生产企业检验合格报告</w:t>
            </w:r>
            <w:r>
              <w:rPr>
                <w:rFonts w:hint="eastAsia" w:ascii="宋体" w:hAnsi="宋体" w:eastAsia="宋体" w:cs="宋体"/>
                <w:i w:val="0"/>
                <w:iCs w:val="0"/>
                <w:color w:val="000000"/>
                <w:kern w:val="0"/>
                <w:sz w:val="24"/>
                <w:szCs w:val="24"/>
                <w:highlight w:val="none"/>
                <w:u w:val="none"/>
                <w:lang w:val="en-US" w:eastAsia="zh-CN" w:bidi="ar"/>
              </w:rPr>
              <w:t>。</w:t>
            </w:r>
          </w:p>
        </w:tc>
      </w:tr>
      <w:tr w14:paraId="063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continue"/>
            <w:vAlign w:val="center"/>
          </w:tcPr>
          <w:p w14:paraId="60119C40">
            <w:pPr>
              <w:jc w:val="center"/>
              <w:rPr>
                <w:rFonts w:hint="eastAsia" w:eastAsiaTheme="minorEastAsia"/>
                <w:highlight w:val="none"/>
                <w:lang w:eastAsia="zh-CN"/>
              </w:rPr>
            </w:pPr>
          </w:p>
        </w:tc>
        <w:tc>
          <w:tcPr>
            <w:tcW w:w="1740" w:type="dxa"/>
            <w:vAlign w:val="center"/>
          </w:tcPr>
          <w:p w14:paraId="560F3FC2">
            <w:pPr>
              <w:keepNext w:val="0"/>
              <w:keepLines w:val="0"/>
              <w:widowControl/>
              <w:suppressLineNumbers w:val="0"/>
              <w:jc w:val="both"/>
              <w:textAlignment w:val="center"/>
              <w:rPr>
                <w:highlight w:val="none"/>
              </w:rPr>
            </w:pPr>
            <w:r>
              <w:rPr>
                <w:rFonts w:hint="default" w:ascii="Calibri" w:hAnsi="Calibri" w:eastAsia="宋体" w:cs="Calibri"/>
                <w:i w:val="0"/>
                <w:iCs w:val="0"/>
                <w:color w:val="000000"/>
                <w:kern w:val="0"/>
                <w:sz w:val="24"/>
                <w:szCs w:val="24"/>
                <w:highlight w:val="none"/>
                <w:u w:val="none"/>
                <w:lang w:val="en-US" w:eastAsia="zh-CN" w:bidi="ar"/>
              </w:rPr>
              <w:t>10%</w:t>
            </w:r>
            <w:r>
              <w:rPr>
                <w:rStyle w:val="40"/>
                <w:highlight w:val="none"/>
                <w:lang w:val="en-US" w:eastAsia="zh-CN" w:bidi="ar"/>
              </w:rPr>
              <w:t>联苯</w:t>
            </w:r>
            <w:r>
              <w:rPr>
                <w:rStyle w:val="32"/>
                <w:rFonts w:eastAsia="宋体"/>
                <w:highlight w:val="none"/>
                <w:lang w:val="en-US" w:eastAsia="zh-CN" w:bidi="ar"/>
              </w:rPr>
              <w:t>.</w:t>
            </w:r>
            <w:r>
              <w:rPr>
                <w:rStyle w:val="40"/>
                <w:highlight w:val="none"/>
                <w:lang w:val="en-US" w:eastAsia="zh-CN" w:bidi="ar"/>
              </w:rPr>
              <w:t>噻虫胺悬浮剂</w:t>
            </w:r>
          </w:p>
        </w:tc>
        <w:tc>
          <w:tcPr>
            <w:tcW w:w="1730" w:type="dxa"/>
            <w:vAlign w:val="center"/>
          </w:tcPr>
          <w:p w14:paraId="768AC123">
            <w:pPr>
              <w:jc w:val="center"/>
              <w:rPr>
                <w:rFonts w:hint="default" w:eastAsiaTheme="minorEastAsia"/>
                <w:highlight w:val="none"/>
                <w:lang w:val="en-US" w:eastAsia="zh-CN"/>
              </w:rPr>
            </w:pPr>
            <w:r>
              <w:rPr>
                <w:rFonts w:hint="eastAsia"/>
                <w:highlight w:val="none"/>
                <w:lang w:val="en-US" w:eastAsia="zh-CN"/>
              </w:rPr>
              <w:t>1000</w:t>
            </w:r>
          </w:p>
        </w:tc>
        <w:tc>
          <w:tcPr>
            <w:tcW w:w="1243" w:type="dxa"/>
            <w:vAlign w:val="center"/>
          </w:tcPr>
          <w:p w14:paraId="56044FED">
            <w:pPr>
              <w:jc w:val="center"/>
              <w:rPr>
                <w:rFonts w:hint="default" w:eastAsiaTheme="minorEastAsia"/>
                <w:highlight w:val="none"/>
                <w:lang w:val="en-US" w:eastAsia="zh-CN"/>
              </w:rPr>
            </w:pPr>
          </w:p>
        </w:tc>
        <w:tc>
          <w:tcPr>
            <w:tcW w:w="1199" w:type="dxa"/>
            <w:vAlign w:val="center"/>
          </w:tcPr>
          <w:p w14:paraId="69C0C101">
            <w:pPr>
              <w:jc w:val="center"/>
              <w:rPr>
                <w:rFonts w:hint="default" w:eastAsiaTheme="minorEastAsia"/>
                <w:highlight w:val="none"/>
                <w:lang w:val="en-US" w:eastAsia="zh-CN"/>
              </w:rPr>
            </w:pPr>
          </w:p>
        </w:tc>
        <w:tc>
          <w:tcPr>
            <w:tcW w:w="1894" w:type="dxa"/>
            <w:vMerge w:val="continue"/>
            <w:vAlign w:val="center"/>
          </w:tcPr>
          <w:p w14:paraId="2DB526AA">
            <w:pPr>
              <w:jc w:val="center"/>
              <w:rPr>
                <w:rFonts w:eastAsiaTheme="minorEastAsia"/>
                <w:highlight w:val="none"/>
              </w:rPr>
            </w:pPr>
          </w:p>
        </w:tc>
      </w:tr>
      <w:tr w14:paraId="069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continue"/>
            <w:vAlign w:val="center"/>
          </w:tcPr>
          <w:p w14:paraId="0DDC4D75">
            <w:pPr>
              <w:jc w:val="center"/>
              <w:rPr>
                <w:rFonts w:hint="eastAsia"/>
                <w:highlight w:val="none"/>
                <w:lang w:eastAsia="zh-CN"/>
              </w:rPr>
            </w:pPr>
          </w:p>
        </w:tc>
        <w:tc>
          <w:tcPr>
            <w:tcW w:w="1740" w:type="dxa"/>
            <w:vAlign w:val="center"/>
          </w:tcPr>
          <w:p w14:paraId="0581DCAB">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99%磷酸二氢钾（闪溶）</w:t>
            </w:r>
          </w:p>
        </w:tc>
        <w:tc>
          <w:tcPr>
            <w:tcW w:w="1730" w:type="dxa"/>
            <w:vAlign w:val="center"/>
          </w:tcPr>
          <w:p w14:paraId="7A8F1B95">
            <w:pPr>
              <w:jc w:val="center"/>
              <w:rPr>
                <w:rFonts w:hint="default" w:eastAsiaTheme="minorEastAsia"/>
                <w:highlight w:val="none"/>
                <w:lang w:val="en-US" w:eastAsia="zh-CN"/>
              </w:rPr>
            </w:pPr>
            <w:r>
              <w:rPr>
                <w:rFonts w:hint="eastAsia"/>
                <w:highlight w:val="none"/>
                <w:lang w:val="en-US" w:eastAsia="zh-CN"/>
              </w:rPr>
              <w:t>4000</w:t>
            </w:r>
          </w:p>
        </w:tc>
        <w:tc>
          <w:tcPr>
            <w:tcW w:w="1243" w:type="dxa"/>
            <w:vAlign w:val="center"/>
          </w:tcPr>
          <w:p w14:paraId="0ECAC348">
            <w:pPr>
              <w:jc w:val="center"/>
              <w:rPr>
                <w:rFonts w:hint="default" w:eastAsiaTheme="minorEastAsia"/>
                <w:highlight w:val="none"/>
                <w:lang w:val="en-US" w:eastAsia="zh-CN"/>
              </w:rPr>
            </w:pPr>
          </w:p>
        </w:tc>
        <w:tc>
          <w:tcPr>
            <w:tcW w:w="1199" w:type="dxa"/>
            <w:vAlign w:val="center"/>
          </w:tcPr>
          <w:p w14:paraId="283C8DDA">
            <w:pPr>
              <w:jc w:val="center"/>
              <w:rPr>
                <w:rFonts w:hint="default" w:eastAsiaTheme="minorEastAsia"/>
                <w:highlight w:val="none"/>
                <w:lang w:val="en-US" w:eastAsia="zh-CN"/>
              </w:rPr>
            </w:pPr>
          </w:p>
        </w:tc>
        <w:tc>
          <w:tcPr>
            <w:tcW w:w="1894" w:type="dxa"/>
            <w:vMerge w:val="continue"/>
            <w:vAlign w:val="center"/>
          </w:tcPr>
          <w:p w14:paraId="27970856">
            <w:pPr>
              <w:jc w:val="center"/>
              <w:rPr>
                <w:rFonts w:eastAsiaTheme="minorEastAsia"/>
                <w:highlight w:val="none"/>
              </w:rPr>
            </w:pPr>
          </w:p>
        </w:tc>
      </w:tr>
      <w:tr w14:paraId="5275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70" w:type="dxa"/>
            <w:vMerge w:val="continue"/>
            <w:vAlign w:val="center"/>
          </w:tcPr>
          <w:p w14:paraId="158EE5D2">
            <w:pPr>
              <w:jc w:val="center"/>
              <w:rPr>
                <w:rFonts w:hint="eastAsia"/>
                <w:highlight w:val="none"/>
                <w:lang w:eastAsia="zh-CN"/>
              </w:rPr>
            </w:pPr>
          </w:p>
        </w:tc>
        <w:tc>
          <w:tcPr>
            <w:tcW w:w="1740" w:type="dxa"/>
            <w:vAlign w:val="center"/>
          </w:tcPr>
          <w:p w14:paraId="2A7766F6">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0.01%24表芸苔素内酯可溶液剂</w:t>
            </w:r>
          </w:p>
        </w:tc>
        <w:tc>
          <w:tcPr>
            <w:tcW w:w="1730" w:type="dxa"/>
            <w:vAlign w:val="center"/>
          </w:tcPr>
          <w:p w14:paraId="7E86544C">
            <w:pPr>
              <w:jc w:val="center"/>
              <w:rPr>
                <w:rFonts w:hint="default" w:eastAsiaTheme="minorEastAsia"/>
                <w:highlight w:val="none"/>
                <w:lang w:val="en-US" w:eastAsia="zh-CN"/>
              </w:rPr>
            </w:pPr>
            <w:r>
              <w:rPr>
                <w:rFonts w:hint="eastAsia"/>
                <w:highlight w:val="none"/>
                <w:lang w:val="en-US" w:eastAsia="zh-CN"/>
              </w:rPr>
              <w:t>400</w:t>
            </w:r>
          </w:p>
        </w:tc>
        <w:tc>
          <w:tcPr>
            <w:tcW w:w="1243" w:type="dxa"/>
            <w:vAlign w:val="center"/>
          </w:tcPr>
          <w:p w14:paraId="2ABA6D88">
            <w:pPr>
              <w:jc w:val="center"/>
              <w:rPr>
                <w:rFonts w:hint="default" w:eastAsiaTheme="minorEastAsia"/>
                <w:highlight w:val="none"/>
                <w:lang w:val="en-US" w:eastAsia="zh-CN"/>
              </w:rPr>
            </w:pPr>
          </w:p>
        </w:tc>
        <w:tc>
          <w:tcPr>
            <w:tcW w:w="1199" w:type="dxa"/>
            <w:vAlign w:val="center"/>
          </w:tcPr>
          <w:p w14:paraId="18B0764E">
            <w:pPr>
              <w:jc w:val="center"/>
              <w:rPr>
                <w:rFonts w:hint="default" w:eastAsiaTheme="minorEastAsia"/>
                <w:highlight w:val="none"/>
                <w:lang w:val="en-US" w:eastAsia="zh-CN"/>
              </w:rPr>
            </w:pPr>
          </w:p>
        </w:tc>
        <w:tc>
          <w:tcPr>
            <w:tcW w:w="1894" w:type="dxa"/>
            <w:vMerge w:val="continue"/>
            <w:vAlign w:val="center"/>
          </w:tcPr>
          <w:p w14:paraId="6983D9EF">
            <w:pPr>
              <w:jc w:val="center"/>
              <w:rPr>
                <w:rFonts w:eastAsiaTheme="minorEastAsia"/>
                <w:highlight w:val="none"/>
              </w:rPr>
            </w:pPr>
          </w:p>
        </w:tc>
      </w:tr>
    </w:tbl>
    <w:p w14:paraId="55839DBA">
      <w:pPr>
        <w:pStyle w:val="2"/>
        <w:numPr>
          <w:ilvl w:val="1"/>
          <w:numId w:val="0"/>
        </w:numPr>
        <w:ind w:left="1800" w:leftChars="0"/>
        <w:rPr>
          <w:highlight w:val="none"/>
        </w:rPr>
      </w:pPr>
    </w:p>
    <w:p w14:paraId="5E6B9B8E">
      <w:pPr>
        <w:wordWrap w:val="0"/>
        <w:spacing w:line="480" w:lineRule="auto"/>
        <w:rPr>
          <w:rFonts w:ascii="宋体" w:hAnsi="宋体"/>
          <w:color w:val="000000"/>
          <w:sz w:val="24"/>
          <w:highlight w:val="none"/>
        </w:rPr>
      </w:pPr>
      <w:r>
        <w:rPr>
          <w:rFonts w:hint="eastAsia" w:asciiTheme="minorEastAsia" w:hAnsiTheme="minorEastAsia" w:eastAsiaTheme="minorEastAsia" w:cstheme="minorEastAsia"/>
          <w:sz w:val="28"/>
          <w:szCs w:val="21"/>
          <w:highlight w:val="none"/>
        </w:rPr>
        <w:t>注:采购预算价含货物费、运输费、技术指导费、税费等相关费用</w:t>
      </w:r>
      <w:r>
        <w:rPr>
          <w:rFonts w:hint="eastAsia" w:asciiTheme="minorEastAsia" w:hAnsiTheme="minorEastAsia" w:eastAsiaTheme="minorEastAsia" w:cstheme="minorEastAsia"/>
          <w:sz w:val="32"/>
          <w:szCs w:val="32"/>
          <w:highlight w:val="none"/>
        </w:rPr>
        <w:t>。</w:t>
      </w:r>
      <w:r>
        <w:rPr>
          <w:rFonts w:hint="eastAsia" w:ascii="宋体" w:hAnsi="宋体"/>
          <w:color w:val="000000"/>
          <w:sz w:val="24"/>
          <w:highlight w:val="none"/>
        </w:rPr>
        <w:br w:type="page"/>
      </w:r>
    </w:p>
    <w:bookmarkEnd w:id="178"/>
    <w:p w14:paraId="6E07BCDC">
      <w:pPr>
        <w:wordWrap w:val="0"/>
        <w:spacing w:line="360" w:lineRule="auto"/>
        <w:jc w:val="center"/>
        <w:rPr>
          <w:rFonts w:ascii="宋体" w:hAnsi="宋体"/>
          <w:b/>
          <w:bCs/>
          <w:color w:val="000000"/>
          <w:kern w:val="44"/>
          <w:sz w:val="28"/>
          <w:highlight w:val="none"/>
        </w:rPr>
      </w:pPr>
      <w:bookmarkStart w:id="179" w:name="_Toc23111_WPSOffice_Level1"/>
      <w:bookmarkStart w:id="180" w:name="_Toc14552"/>
      <w:bookmarkStart w:id="181" w:name="_Toc19658_WPSOffice_Level1"/>
      <w:bookmarkStart w:id="182" w:name="_Toc24079"/>
      <w:bookmarkStart w:id="183" w:name="_Toc11299"/>
      <w:bookmarkStart w:id="184" w:name="_Toc10775"/>
      <w:bookmarkStart w:id="185" w:name="_Toc6104_WPSOffice_Level1"/>
      <w:r>
        <w:rPr>
          <w:rFonts w:hint="eastAsia" w:ascii="宋体" w:hAnsi="宋体"/>
          <w:b/>
          <w:bCs/>
          <w:color w:val="000000"/>
          <w:kern w:val="44"/>
          <w:sz w:val="28"/>
          <w:highlight w:val="none"/>
        </w:rPr>
        <w:t>响应文件格式</w:t>
      </w:r>
      <w:bookmarkEnd w:id="179"/>
      <w:bookmarkEnd w:id="180"/>
      <w:bookmarkEnd w:id="181"/>
      <w:bookmarkEnd w:id="182"/>
      <w:bookmarkEnd w:id="183"/>
      <w:bookmarkEnd w:id="184"/>
      <w:bookmarkEnd w:id="185"/>
    </w:p>
    <w:p w14:paraId="11E82E1A">
      <w:pPr>
        <w:rPr>
          <w:rFonts w:ascii="宋体" w:hAnsi="宋体"/>
          <w:color w:val="000000"/>
          <w:highlight w:val="none"/>
        </w:rPr>
      </w:pPr>
    </w:p>
    <w:p w14:paraId="21D3B8DF">
      <w:pPr>
        <w:jc w:val="center"/>
        <w:rPr>
          <w:rFonts w:ascii="宋体" w:hAnsi="宋体"/>
          <w:color w:val="000000"/>
          <w:highlight w:val="none"/>
        </w:rPr>
      </w:pPr>
    </w:p>
    <w:p w14:paraId="1CBC5337">
      <w:pPr>
        <w:jc w:val="center"/>
        <w:rPr>
          <w:rFonts w:ascii="宋体" w:hAnsi="宋体"/>
          <w:color w:val="000000"/>
          <w:highlight w:val="none"/>
        </w:rPr>
      </w:pPr>
    </w:p>
    <w:p w14:paraId="416E5813">
      <w:pPr>
        <w:jc w:val="center"/>
        <w:rPr>
          <w:rFonts w:ascii="宋体" w:hAnsi="宋体"/>
          <w:color w:val="000000"/>
          <w:highlight w:val="none"/>
        </w:rPr>
      </w:pPr>
    </w:p>
    <w:p w14:paraId="1806DB7B">
      <w:pPr>
        <w:jc w:val="center"/>
        <w:rPr>
          <w:rFonts w:ascii="宋体" w:hAnsi="宋体"/>
          <w:color w:val="000000"/>
          <w:highlight w:val="none"/>
        </w:rPr>
      </w:pPr>
    </w:p>
    <w:p w14:paraId="3985A090">
      <w:pPr>
        <w:jc w:val="center"/>
        <w:rPr>
          <w:rFonts w:ascii="宋体" w:hAnsi="宋体"/>
          <w:b/>
          <w:bCs/>
          <w:color w:val="000000"/>
          <w:sz w:val="36"/>
          <w:szCs w:val="36"/>
          <w:highlight w:val="none"/>
          <w:u w:val="single"/>
        </w:rPr>
      </w:pPr>
      <w:bookmarkStart w:id="186" w:name="_Toc8780"/>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 xml:space="preserve">项目名称 </w:t>
      </w:r>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标段</w:t>
      </w:r>
    </w:p>
    <w:bookmarkEnd w:id="186"/>
    <w:p w14:paraId="3B2FC51D">
      <w:pPr>
        <w:spacing w:line="500" w:lineRule="exact"/>
        <w:ind w:firstLine="883" w:firstLineChars="200"/>
        <w:rPr>
          <w:rFonts w:ascii="宋体" w:hAnsi="宋体"/>
          <w:b/>
          <w:bCs/>
          <w:color w:val="000000"/>
          <w:kern w:val="0"/>
          <w:sz w:val="44"/>
          <w:szCs w:val="44"/>
          <w:highlight w:val="none"/>
        </w:rPr>
      </w:pPr>
      <w:bookmarkStart w:id="187" w:name="_Toc1593_WPSOffice_Level1"/>
      <w:bookmarkStart w:id="188" w:name="_Toc26968_WPSOffice_Level1"/>
    </w:p>
    <w:p w14:paraId="57513BC1">
      <w:pPr>
        <w:spacing w:line="500" w:lineRule="exact"/>
        <w:ind w:firstLine="883" w:firstLineChars="200"/>
        <w:rPr>
          <w:rFonts w:ascii="宋体" w:hAnsi="宋体"/>
          <w:b/>
          <w:bCs/>
          <w:color w:val="000000"/>
          <w:kern w:val="0"/>
          <w:sz w:val="44"/>
          <w:szCs w:val="44"/>
          <w:highlight w:val="none"/>
        </w:rPr>
      </w:pPr>
    </w:p>
    <w:bookmarkEnd w:id="187"/>
    <w:bookmarkEnd w:id="188"/>
    <w:p w14:paraId="5D1AF9D6">
      <w:pPr>
        <w:spacing w:line="360" w:lineRule="auto"/>
        <w:jc w:val="center"/>
        <w:rPr>
          <w:rFonts w:ascii="宋体" w:hAnsi="宋体"/>
          <w:b/>
          <w:bCs/>
          <w:color w:val="000000"/>
          <w:sz w:val="44"/>
          <w:szCs w:val="44"/>
          <w:highlight w:val="none"/>
        </w:rPr>
      </w:pPr>
      <w:r>
        <w:rPr>
          <w:rFonts w:hint="eastAsia" w:ascii="宋体" w:hAnsi="宋体"/>
          <w:b/>
          <w:bCs/>
          <w:color w:val="000000"/>
          <w:sz w:val="44"/>
          <w:szCs w:val="44"/>
          <w:highlight w:val="none"/>
        </w:rPr>
        <w:t>响 应 性 文 件</w:t>
      </w:r>
    </w:p>
    <w:p w14:paraId="18A21CD9">
      <w:pPr>
        <w:jc w:val="center"/>
        <w:rPr>
          <w:rFonts w:ascii="宋体" w:hAnsi="宋体"/>
          <w:color w:val="000000"/>
          <w:highlight w:val="none"/>
        </w:rPr>
      </w:pPr>
    </w:p>
    <w:p w14:paraId="769B9C4D">
      <w:pPr>
        <w:jc w:val="center"/>
        <w:rPr>
          <w:rFonts w:ascii="宋体" w:hAnsi="宋体"/>
          <w:color w:val="000000"/>
          <w:highlight w:val="none"/>
        </w:rPr>
      </w:pPr>
    </w:p>
    <w:p w14:paraId="02736FEA">
      <w:pPr>
        <w:jc w:val="center"/>
        <w:rPr>
          <w:rFonts w:ascii="宋体" w:hAnsi="宋体"/>
          <w:color w:val="000000"/>
          <w:sz w:val="28"/>
          <w:szCs w:val="36"/>
          <w:highlight w:val="none"/>
        </w:rPr>
      </w:pPr>
      <w:bookmarkStart w:id="189" w:name="_Toc19063"/>
      <w:r>
        <w:rPr>
          <w:rFonts w:hint="eastAsia" w:ascii="宋体" w:hAnsi="宋体"/>
          <w:color w:val="000000"/>
          <w:sz w:val="28"/>
          <w:szCs w:val="36"/>
          <w:highlight w:val="none"/>
        </w:rPr>
        <w:t>项目编号：</w:t>
      </w:r>
      <w:bookmarkEnd w:id="189"/>
    </w:p>
    <w:p w14:paraId="77BB4443">
      <w:pPr>
        <w:jc w:val="center"/>
        <w:rPr>
          <w:rFonts w:ascii="宋体" w:hAnsi="宋体"/>
          <w:color w:val="000000"/>
          <w:highlight w:val="none"/>
        </w:rPr>
      </w:pPr>
    </w:p>
    <w:p w14:paraId="54FA1152">
      <w:pPr>
        <w:jc w:val="center"/>
        <w:rPr>
          <w:rFonts w:ascii="宋体" w:hAnsi="宋体"/>
          <w:color w:val="000000"/>
          <w:highlight w:val="none"/>
        </w:rPr>
      </w:pPr>
    </w:p>
    <w:p w14:paraId="124EADFE">
      <w:pPr>
        <w:jc w:val="center"/>
        <w:rPr>
          <w:rFonts w:ascii="宋体" w:hAnsi="宋体"/>
          <w:color w:val="000000"/>
          <w:highlight w:val="none"/>
        </w:rPr>
      </w:pPr>
    </w:p>
    <w:p w14:paraId="46E92035">
      <w:pPr>
        <w:jc w:val="center"/>
        <w:rPr>
          <w:rFonts w:ascii="宋体" w:hAnsi="宋体"/>
          <w:color w:val="000000"/>
          <w:highlight w:val="none"/>
        </w:rPr>
      </w:pPr>
    </w:p>
    <w:p w14:paraId="5B29F207">
      <w:pPr>
        <w:rPr>
          <w:rFonts w:ascii="宋体" w:hAnsi="宋体"/>
          <w:color w:val="000000"/>
          <w:highlight w:val="none"/>
        </w:rPr>
      </w:pPr>
    </w:p>
    <w:p w14:paraId="0B03B475">
      <w:pPr>
        <w:jc w:val="center"/>
        <w:rPr>
          <w:rFonts w:ascii="宋体" w:hAnsi="宋体"/>
          <w:color w:val="000000"/>
          <w:highlight w:val="none"/>
        </w:rPr>
      </w:pPr>
    </w:p>
    <w:p w14:paraId="3978E5B7">
      <w:pPr>
        <w:jc w:val="center"/>
        <w:rPr>
          <w:rFonts w:ascii="宋体" w:hAnsi="宋体"/>
          <w:color w:val="000000"/>
          <w:highlight w:val="none"/>
        </w:rPr>
      </w:pPr>
    </w:p>
    <w:p w14:paraId="201A1CF9">
      <w:pPr>
        <w:jc w:val="center"/>
        <w:rPr>
          <w:rFonts w:ascii="宋体" w:hAnsi="宋体"/>
          <w:color w:val="000000"/>
          <w:highlight w:val="none"/>
        </w:rPr>
      </w:pPr>
    </w:p>
    <w:p w14:paraId="4DAA4B5A">
      <w:pPr>
        <w:spacing w:line="360" w:lineRule="auto"/>
        <w:jc w:val="center"/>
        <w:rPr>
          <w:rFonts w:ascii="宋体" w:hAnsi="宋体"/>
          <w:b/>
          <w:bCs/>
          <w:color w:val="000000"/>
          <w:sz w:val="24"/>
          <w:szCs w:val="32"/>
          <w:highlight w:val="none"/>
        </w:rPr>
      </w:pPr>
      <w:bookmarkStart w:id="190" w:name="_Toc17571_WPSOffice_Level1"/>
      <w:bookmarkStart w:id="191" w:name="_Toc19405_WPSOffice_Level1"/>
      <w:bookmarkStart w:id="192" w:name="_Toc26563"/>
      <w:r>
        <w:rPr>
          <w:rFonts w:hint="eastAsia" w:ascii="宋体" w:hAnsi="宋体"/>
          <w:b/>
          <w:bCs/>
          <w:color w:val="000000"/>
          <w:sz w:val="24"/>
          <w:szCs w:val="32"/>
          <w:highlight w:val="none"/>
        </w:rPr>
        <w:t>供应商：（电子签章）</w:t>
      </w:r>
      <w:bookmarkEnd w:id="190"/>
      <w:bookmarkEnd w:id="191"/>
      <w:bookmarkEnd w:id="192"/>
    </w:p>
    <w:p w14:paraId="19A4BE83">
      <w:pPr>
        <w:spacing w:line="360" w:lineRule="auto"/>
        <w:jc w:val="center"/>
        <w:rPr>
          <w:rFonts w:ascii="宋体" w:hAnsi="宋体"/>
          <w:b/>
          <w:bCs/>
          <w:color w:val="000000"/>
          <w:sz w:val="24"/>
          <w:szCs w:val="32"/>
          <w:highlight w:val="none"/>
        </w:rPr>
      </w:pPr>
    </w:p>
    <w:p w14:paraId="42814E9D">
      <w:pPr>
        <w:spacing w:line="360" w:lineRule="auto"/>
        <w:jc w:val="center"/>
        <w:rPr>
          <w:rFonts w:ascii="宋体" w:hAnsi="宋体"/>
          <w:b/>
          <w:bCs/>
          <w:color w:val="000000"/>
          <w:sz w:val="24"/>
          <w:szCs w:val="32"/>
          <w:highlight w:val="none"/>
        </w:rPr>
      </w:pPr>
      <w:bookmarkStart w:id="193" w:name="_Toc25492"/>
      <w:bookmarkStart w:id="194" w:name="_Toc14380_WPSOffice_Level1"/>
      <w:bookmarkStart w:id="195" w:name="_Toc30056_WPSOffice_Level1"/>
      <w:r>
        <w:rPr>
          <w:rFonts w:hint="eastAsia" w:ascii="宋体" w:hAnsi="宋体"/>
          <w:b/>
          <w:bCs/>
          <w:color w:val="000000"/>
          <w:sz w:val="24"/>
          <w:szCs w:val="32"/>
          <w:highlight w:val="none"/>
        </w:rPr>
        <w:t>法定代表人或其委托代理人：（电子签章）</w:t>
      </w:r>
      <w:bookmarkEnd w:id="193"/>
      <w:bookmarkEnd w:id="194"/>
      <w:bookmarkEnd w:id="195"/>
    </w:p>
    <w:p w14:paraId="5281D31C">
      <w:pPr>
        <w:jc w:val="center"/>
        <w:rPr>
          <w:rFonts w:ascii="宋体" w:hAnsi="宋体"/>
          <w:b/>
          <w:bCs/>
          <w:color w:val="000000"/>
          <w:highlight w:val="none"/>
        </w:rPr>
      </w:pPr>
    </w:p>
    <w:p w14:paraId="52CAE58A">
      <w:pPr>
        <w:jc w:val="center"/>
        <w:rPr>
          <w:rFonts w:ascii="宋体" w:hAnsi="宋体"/>
          <w:b/>
          <w:bCs/>
          <w:color w:val="000000"/>
          <w:highlight w:val="none"/>
        </w:rPr>
      </w:pPr>
    </w:p>
    <w:p w14:paraId="0D593EAC">
      <w:pPr>
        <w:jc w:val="center"/>
        <w:rPr>
          <w:rFonts w:ascii="宋体" w:hAnsi="宋体"/>
          <w:b/>
          <w:bCs/>
          <w:color w:val="000000"/>
          <w:highlight w:val="none"/>
        </w:rPr>
      </w:pPr>
      <w:bookmarkStart w:id="196" w:name="_Toc24324_WPSOffice_Level1"/>
      <w:bookmarkStart w:id="197" w:name="_Toc21318_WPSOffice_Level1"/>
      <w:r>
        <w:rPr>
          <w:rFonts w:hint="eastAsia" w:ascii="宋体" w:hAnsi="宋体"/>
          <w:b/>
          <w:bCs/>
          <w:color w:val="000000"/>
          <w:highlight w:val="none"/>
        </w:rPr>
        <w:t>年   月  日</w:t>
      </w:r>
      <w:bookmarkEnd w:id="196"/>
      <w:bookmarkEnd w:id="197"/>
    </w:p>
    <w:p w14:paraId="79123106">
      <w:pPr>
        <w:rPr>
          <w:rFonts w:ascii="宋体" w:hAnsi="宋体"/>
          <w:b/>
          <w:bCs/>
          <w:color w:val="000000"/>
          <w:sz w:val="28"/>
          <w:szCs w:val="28"/>
          <w:highlight w:val="none"/>
        </w:rPr>
      </w:pPr>
      <w:bookmarkStart w:id="198" w:name="_Toc11929_WPSOffice_Level1"/>
      <w:bookmarkStart w:id="199" w:name="_Toc20232_WPSOffice_Level1"/>
      <w:r>
        <w:rPr>
          <w:rFonts w:hint="eastAsia" w:ascii="宋体" w:hAnsi="宋体"/>
          <w:b/>
          <w:bCs/>
          <w:color w:val="000000"/>
          <w:sz w:val="28"/>
          <w:szCs w:val="28"/>
          <w:highlight w:val="none"/>
        </w:rPr>
        <w:br w:type="page"/>
      </w:r>
    </w:p>
    <w:p w14:paraId="37EFA137">
      <w:pPr>
        <w:spacing w:before="317" w:beforeLines="100" w:after="317" w:afterLines="100"/>
        <w:jc w:val="center"/>
        <w:outlineLvl w:val="1"/>
        <w:rPr>
          <w:rFonts w:ascii="宋体" w:hAnsi="宋体"/>
          <w:b/>
          <w:bCs/>
          <w:color w:val="000000"/>
          <w:sz w:val="28"/>
          <w:szCs w:val="28"/>
          <w:highlight w:val="none"/>
        </w:rPr>
      </w:pPr>
      <w:r>
        <w:rPr>
          <w:rFonts w:hint="eastAsia" w:ascii="宋体" w:hAnsi="宋体"/>
          <w:b/>
          <w:bCs/>
          <w:color w:val="000000"/>
          <w:sz w:val="28"/>
          <w:szCs w:val="28"/>
          <w:highlight w:val="none"/>
        </w:rPr>
        <w:t>目    录</w:t>
      </w:r>
      <w:bookmarkEnd w:id="198"/>
      <w:bookmarkEnd w:id="199"/>
    </w:p>
    <w:p w14:paraId="772ACB11">
      <w:pPr>
        <w:jc w:val="center"/>
        <w:rPr>
          <w:b/>
          <w:bCs/>
          <w:color w:val="000000"/>
          <w:sz w:val="24"/>
          <w:highlight w:val="none"/>
        </w:rPr>
      </w:pPr>
      <w:bookmarkStart w:id="200" w:name="_Toc384309419"/>
      <w:bookmarkEnd w:id="200"/>
      <w:bookmarkStart w:id="201" w:name="_Toc375040623"/>
      <w:bookmarkEnd w:id="201"/>
      <w:bookmarkStart w:id="202" w:name="_Toc375040687"/>
      <w:bookmarkEnd w:id="202"/>
      <w:bookmarkStart w:id="203" w:name="_Toc375041763"/>
      <w:bookmarkEnd w:id="203"/>
      <w:bookmarkStart w:id="204" w:name="_Toc374947247"/>
      <w:bookmarkEnd w:id="204"/>
      <w:bookmarkStart w:id="205" w:name="_Toc375041569"/>
      <w:bookmarkEnd w:id="205"/>
      <w:bookmarkStart w:id="206" w:name="_Toc23029"/>
      <w:bookmarkStart w:id="207" w:name="_Toc375041320"/>
      <w:r>
        <w:rPr>
          <w:rFonts w:hint="eastAsia" w:ascii="宋体" w:hAnsi="宋体"/>
          <w:b/>
          <w:bCs/>
          <w:color w:val="000000"/>
          <w:sz w:val="24"/>
          <w:highlight w:val="none"/>
        </w:rPr>
        <w:t>（自拟）</w:t>
      </w:r>
      <w:bookmarkEnd w:id="206"/>
      <w:bookmarkEnd w:id="207"/>
    </w:p>
    <w:p w14:paraId="57078008">
      <w:pPr>
        <w:rPr>
          <w:color w:val="000000"/>
          <w:highlight w:val="none"/>
        </w:rPr>
      </w:pPr>
    </w:p>
    <w:p w14:paraId="6A557828">
      <w:pPr>
        <w:rPr>
          <w:rFonts w:ascii="宋体" w:hAnsi="宋体"/>
          <w:b/>
          <w:bCs/>
          <w:color w:val="000000"/>
          <w:sz w:val="24"/>
          <w:highlight w:val="none"/>
        </w:rPr>
      </w:pPr>
    </w:p>
    <w:p w14:paraId="10B51D8B">
      <w:pPr>
        <w:jc w:val="center"/>
        <w:rPr>
          <w:rFonts w:ascii="宋体" w:hAnsi="宋体"/>
          <w:b/>
          <w:bCs/>
          <w:color w:val="000000"/>
          <w:sz w:val="24"/>
          <w:highlight w:val="none"/>
        </w:rPr>
      </w:pPr>
    </w:p>
    <w:p w14:paraId="356DF368">
      <w:pPr>
        <w:jc w:val="center"/>
        <w:rPr>
          <w:rFonts w:ascii="宋体" w:hAnsi="宋体"/>
          <w:b/>
          <w:bCs/>
          <w:color w:val="000000"/>
          <w:sz w:val="24"/>
          <w:highlight w:val="none"/>
        </w:rPr>
      </w:pPr>
    </w:p>
    <w:p w14:paraId="412BC3F7">
      <w:pPr>
        <w:jc w:val="center"/>
        <w:rPr>
          <w:rFonts w:ascii="宋体" w:hAnsi="宋体"/>
          <w:b/>
          <w:bCs/>
          <w:color w:val="000000"/>
          <w:sz w:val="24"/>
          <w:highlight w:val="none"/>
        </w:rPr>
      </w:pPr>
    </w:p>
    <w:p w14:paraId="4E0165F7">
      <w:pPr>
        <w:jc w:val="center"/>
        <w:rPr>
          <w:rFonts w:ascii="宋体" w:hAnsi="宋体"/>
          <w:b/>
          <w:bCs/>
          <w:color w:val="000000"/>
          <w:sz w:val="24"/>
          <w:highlight w:val="none"/>
        </w:rPr>
      </w:pPr>
    </w:p>
    <w:p w14:paraId="31C960BC">
      <w:pPr>
        <w:jc w:val="center"/>
        <w:rPr>
          <w:rFonts w:ascii="宋体" w:hAnsi="宋体"/>
          <w:b/>
          <w:bCs/>
          <w:color w:val="000000"/>
          <w:sz w:val="24"/>
          <w:highlight w:val="none"/>
        </w:rPr>
      </w:pPr>
    </w:p>
    <w:p w14:paraId="10B35280">
      <w:pPr>
        <w:rPr>
          <w:rFonts w:ascii="宋体" w:hAnsi="宋体"/>
          <w:b/>
          <w:bCs/>
          <w:color w:val="000000"/>
          <w:sz w:val="24"/>
          <w:highlight w:val="none"/>
        </w:rPr>
      </w:pPr>
    </w:p>
    <w:p w14:paraId="0447CA88">
      <w:pPr>
        <w:keepNext/>
        <w:keepLines/>
        <w:rPr>
          <w:color w:val="000000"/>
          <w:highlight w:val="none"/>
        </w:rPr>
      </w:pPr>
    </w:p>
    <w:p w14:paraId="49C153B7">
      <w:pPr>
        <w:keepNext/>
        <w:keepLines/>
        <w:spacing w:line="660" w:lineRule="exact"/>
        <w:jc w:val="center"/>
        <w:outlineLvl w:val="0"/>
        <w:rPr>
          <w:b/>
          <w:bCs/>
          <w:color w:val="000000"/>
          <w:kern w:val="44"/>
          <w:sz w:val="28"/>
          <w:highlight w:val="none"/>
        </w:rPr>
      </w:pPr>
      <w:r>
        <w:rPr>
          <w:rFonts w:hint="eastAsia" w:ascii="宋体" w:hAnsi="宋体"/>
          <w:b/>
          <w:bCs/>
          <w:color w:val="000000"/>
          <w:kern w:val="44"/>
          <w:sz w:val="28"/>
          <w:highlight w:val="none"/>
        </w:rPr>
        <w:br w:type="page"/>
      </w:r>
      <w:bookmarkStart w:id="208" w:name="_Toc10757_WPSOffice_Level1"/>
      <w:bookmarkStart w:id="209" w:name="_Toc7048_WPSOffice_Level1"/>
      <w:bookmarkStart w:id="210" w:name="_Toc19081"/>
      <w:bookmarkStart w:id="211" w:name="_Toc19376"/>
      <w:bookmarkStart w:id="212" w:name="_Toc18703"/>
      <w:bookmarkStart w:id="213" w:name="_Toc30927"/>
      <w:r>
        <w:rPr>
          <w:rFonts w:hint="eastAsia" w:ascii="宋体" w:hAnsi="宋体"/>
          <w:b/>
          <w:bCs/>
          <w:color w:val="000000"/>
          <w:kern w:val="44"/>
          <w:sz w:val="28"/>
          <w:highlight w:val="none"/>
        </w:rPr>
        <w:t>一、磋商函</w:t>
      </w:r>
      <w:bookmarkEnd w:id="208"/>
      <w:bookmarkEnd w:id="209"/>
      <w:bookmarkEnd w:id="210"/>
      <w:bookmarkEnd w:id="211"/>
      <w:bookmarkEnd w:id="212"/>
      <w:bookmarkEnd w:id="213"/>
      <w:bookmarkStart w:id="214" w:name="_Toc375041570"/>
      <w:bookmarkEnd w:id="214"/>
      <w:bookmarkStart w:id="215" w:name="_Toc375041321"/>
      <w:bookmarkEnd w:id="215"/>
    </w:p>
    <w:p w14:paraId="20EFEF2A">
      <w:pPr>
        <w:spacing w:line="440" w:lineRule="exact"/>
        <w:jc w:val="left"/>
        <w:rPr>
          <w:rFonts w:ascii="宋体" w:hAnsi="宋体"/>
          <w:color w:val="000000"/>
          <w:sz w:val="24"/>
          <w:highlight w:val="none"/>
        </w:rPr>
      </w:pPr>
      <w:r>
        <w:rPr>
          <w:rFonts w:hint="eastAsia" w:ascii="宋体" w:hAnsi="宋体"/>
          <w:color w:val="000000"/>
          <w:sz w:val="24"/>
          <w:highlight w:val="none"/>
        </w:rPr>
        <w:t>致：（采购人名称）</w:t>
      </w:r>
    </w:p>
    <w:p w14:paraId="58559047">
      <w:pPr>
        <w:spacing w:line="420" w:lineRule="exact"/>
        <w:ind w:firstLine="480" w:firstLineChars="200"/>
        <w:rPr>
          <w:rFonts w:ascii="宋体" w:hAnsi="宋体"/>
          <w:color w:val="000000"/>
          <w:sz w:val="24"/>
          <w:highlight w:val="none"/>
          <w:u w:val="single"/>
        </w:rPr>
      </w:pPr>
      <w:r>
        <w:rPr>
          <w:rFonts w:hint="eastAsia" w:ascii="宋体" w:hAnsi="宋体"/>
          <w:color w:val="000000"/>
          <w:sz w:val="24"/>
          <w:highlight w:val="none"/>
        </w:rPr>
        <w:t>1.我方已仔细研究了</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标段竞争性磋商文件的全部内容，愿以人民币</w:t>
      </w:r>
      <w:r>
        <w:rPr>
          <w:rFonts w:hint="eastAsia" w:ascii="宋体" w:hAnsi="宋体"/>
          <w:color w:val="000000"/>
          <w:sz w:val="24"/>
          <w:highlight w:val="none"/>
          <w:u w:val="single"/>
        </w:rPr>
        <w:t xml:space="preserve">（大写）    （小写）     </w:t>
      </w:r>
      <w:r>
        <w:rPr>
          <w:rFonts w:hint="eastAsia" w:ascii="宋体" w:hAnsi="宋体"/>
          <w:color w:val="000000"/>
          <w:sz w:val="24"/>
          <w:highlight w:val="none"/>
        </w:rPr>
        <w:t>元的投标报价。</w:t>
      </w:r>
      <w:r>
        <w:rPr>
          <w:rFonts w:hint="eastAsia" w:ascii="宋体" w:hAnsi="宋体"/>
          <w:color w:val="000000"/>
          <w:sz w:val="24"/>
          <w:highlight w:val="none"/>
          <w:lang w:eastAsia="zh-CN"/>
        </w:rPr>
        <w:t>服务期</w:t>
      </w:r>
      <w:r>
        <w:rPr>
          <w:rFonts w:hint="eastAsia" w:ascii="宋体" w:hAnsi="宋体"/>
          <w:color w:val="000000"/>
          <w:sz w:val="24"/>
          <w:highlight w:val="none"/>
          <w:lang w:val="en-US" w:eastAsia="zh-CN"/>
        </w:rPr>
        <w:t>/</w:t>
      </w:r>
      <w:r>
        <w:rPr>
          <w:rFonts w:hint="eastAsia" w:ascii="宋体" w:hAnsi="宋体"/>
          <w:color w:val="000000"/>
          <w:sz w:val="24"/>
          <w:highlight w:val="none"/>
        </w:rPr>
        <w:t>供货期</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color w:val="000000"/>
          <w:sz w:val="24"/>
          <w:highlight w:val="none"/>
        </w:rPr>
        <w:t>按采购磋商文件的条件要求供货并修补任何缺陷</w:t>
      </w:r>
      <w:r>
        <w:rPr>
          <w:rFonts w:hint="eastAsia" w:ascii="宋体" w:hAnsi="宋体"/>
          <w:color w:val="000000"/>
          <w:sz w:val="24"/>
          <w:highlight w:val="none"/>
        </w:rPr>
        <w:t>，质量标准</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47C92F1">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2．我方承诺在投标有效期日历天内不修改、撤销响应文件。</w:t>
      </w:r>
    </w:p>
    <w:p w14:paraId="14899F84">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3．如我方中标：</w:t>
      </w:r>
    </w:p>
    <w:p w14:paraId="74BB7BB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（1）我方承诺在收到通知后7日内领取中标通知书，并在中标通知书规定的期限内与你方签订合同，逾期可视为放弃中标。</w:t>
      </w:r>
    </w:p>
    <w:p w14:paraId="3B3A4FF4">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（2）随同本投标函递交的投标函附录属于合同文件的组成部分。</w:t>
      </w:r>
    </w:p>
    <w:p w14:paraId="0128134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（3）我方承诺在合同约定的期限内完成全部服务（采购）内容。</w:t>
      </w:r>
    </w:p>
    <w:p w14:paraId="2DAE861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（4）我方承诺并理解采购人不以最低投标价为中标价的唯一选择。</w:t>
      </w:r>
    </w:p>
    <w:p w14:paraId="2C65C6B6">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4．我方在此声明，所递交的响应文件及有关资料内容完整、真实和准确。</w:t>
      </w:r>
    </w:p>
    <w:p w14:paraId="51166368">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5．    （其他补充说明）。</w:t>
      </w:r>
    </w:p>
    <w:p w14:paraId="66BD29E0">
      <w:pPr>
        <w:wordWrap w:val="0"/>
        <w:spacing w:line="420" w:lineRule="exact"/>
        <w:rPr>
          <w:rFonts w:ascii="宋体" w:hAnsi="宋体"/>
          <w:color w:val="000000"/>
          <w:sz w:val="24"/>
          <w:highlight w:val="none"/>
        </w:rPr>
      </w:pPr>
    </w:p>
    <w:p w14:paraId="0A50AC23">
      <w:pPr>
        <w:wordWrap w:val="0"/>
        <w:spacing w:line="420" w:lineRule="exact"/>
        <w:rPr>
          <w:rFonts w:ascii="宋体" w:hAnsi="宋体"/>
          <w:color w:val="000000"/>
          <w:sz w:val="24"/>
          <w:highlight w:val="none"/>
        </w:rPr>
      </w:pPr>
    </w:p>
    <w:p w14:paraId="6A30133C">
      <w:pPr>
        <w:wordWrap w:val="0"/>
        <w:spacing w:line="420" w:lineRule="exact"/>
        <w:rPr>
          <w:rFonts w:ascii="宋体" w:hAnsi="宋体"/>
          <w:color w:val="000000"/>
          <w:sz w:val="24"/>
          <w:highlight w:val="none"/>
        </w:rPr>
      </w:pPr>
      <w:r>
        <w:rPr>
          <w:rFonts w:hint="eastAsia" w:ascii="宋体" w:hAnsi="宋体"/>
          <w:color w:val="000000"/>
          <w:sz w:val="24"/>
          <w:highlight w:val="none"/>
        </w:rPr>
        <w:t>供应商：  （电子签章）</w:t>
      </w:r>
    </w:p>
    <w:p w14:paraId="6105751C">
      <w:pPr>
        <w:spacing w:line="480" w:lineRule="exact"/>
        <w:rPr>
          <w:rFonts w:ascii="宋体" w:hAnsi="宋体"/>
          <w:color w:val="000000"/>
          <w:sz w:val="24"/>
          <w:highlight w:val="none"/>
        </w:rPr>
      </w:pPr>
      <w:r>
        <w:rPr>
          <w:rFonts w:hint="eastAsia" w:ascii="宋体" w:hAnsi="宋体"/>
          <w:color w:val="000000"/>
          <w:sz w:val="24"/>
          <w:highlight w:val="none"/>
        </w:rPr>
        <w:t>法定代表人或其委托代理人： （电子签章）</w:t>
      </w:r>
    </w:p>
    <w:p w14:paraId="29C8E681">
      <w:pPr>
        <w:spacing w:line="480" w:lineRule="exact"/>
        <w:rPr>
          <w:rFonts w:ascii="宋体" w:hAnsi="宋体" w:cs="宋体"/>
          <w:sz w:val="24"/>
          <w:szCs w:val="20"/>
          <w:highlight w:val="none"/>
          <w:u w:val="single"/>
        </w:rPr>
      </w:pPr>
      <w:r>
        <w:rPr>
          <w:rFonts w:hint="eastAsia" w:ascii="宋体" w:hAnsi="宋体" w:cs="宋体"/>
          <w:sz w:val="24"/>
          <w:szCs w:val="20"/>
          <w:highlight w:val="none"/>
        </w:rPr>
        <w:t>地    址：</w:t>
      </w:r>
      <w:r>
        <w:rPr>
          <w:rFonts w:hint="eastAsia" w:ascii="宋体" w:hAnsi="宋体" w:cs="宋体"/>
          <w:sz w:val="24"/>
          <w:szCs w:val="20"/>
          <w:highlight w:val="none"/>
          <w:u w:val="single"/>
        </w:rPr>
        <w:t xml:space="preserve">                                    </w:t>
      </w:r>
    </w:p>
    <w:p w14:paraId="4BB5E0ED">
      <w:pPr>
        <w:wordWrap w:val="0"/>
        <w:spacing w:line="420" w:lineRule="exact"/>
        <w:rPr>
          <w:rFonts w:ascii="宋体" w:hAnsi="宋体"/>
          <w:color w:val="000000"/>
          <w:sz w:val="24"/>
          <w:highlight w:val="none"/>
        </w:rPr>
      </w:pPr>
      <w:r>
        <w:rPr>
          <w:rFonts w:hint="eastAsia" w:ascii="宋体" w:hAnsi="宋体"/>
          <w:color w:val="000000"/>
          <w:sz w:val="24"/>
          <w:highlight w:val="none"/>
        </w:rPr>
        <w:t>日  期：  年  月  日</w:t>
      </w:r>
    </w:p>
    <w:p w14:paraId="3C1C56FF">
      <w:pPr>
        <w:spacing w:line="420" w:lineRule="exact"/>
        <w:rPr>
          <w:color w:val="000000"/>
          <w:sz w:val="24"/>
          <w:highlight w:val="none"/>
        </w:rPr>
      </w:pPr>
    </w:p>
    <w:p w14:paraId="514E6575">
      <w:pPr>
        <w:keepNext/>
        <w:keepLines/>
        <w:spacing w:line="660" w:lineRule="exact"/>
        <w:jc w:val="center"/>
        <w:outlineLvl w:val="0"/>
        <w:rPr>
          <w:b/>
          <w:bCs/>
          <w:color w:val="000000"/>
          <w:kern w:val="44"/>
          <w:sz w:val="28"/>
          <w:highlight w:val="none"/>
        </w:rPr>
      </w:pPr>
      <w:bookmarkStart w:id="216" w:name="_Toc19955_WPSOffice_Level1"/>
      <w:r>
        <w:rPr>
          <w:rFonts w:hint="eastAsia" w:ascii="宋体" w:hAnsi="宋体"/>
          <w:b/>
          <w:bCs/>
          <w:color w:val="000000"/>
          <w:kern w:val="44"/>
          <w:sz w:val="28"/>
          <w:highlight w:val="none"/>
        </w:rPr>
        <w:br w:type="page"/>
      </w:r>
      <w:bookmarkStart w:id="217" w:name="_Toc2580"/>
      <w:bookmarkStart w:id="218" w:name="_Toc7842"/>
      <w:bookmarkStart w:id="219" w:name="_Toc32484_WPSOffice_Level1"/>
      <w:bookmarkStart w:id="220" w:name="_Toc12006"/>
      <w:bookmarkStart w:id="221" w:name="_Toc15071"/>
      <w:r>
        <w:rPr>
          <w:rFonts w:hint="eastAsia" w:ascii="宋体" w:hAnsi="宋体"/>
          <w:b/>
          <w:bCs/>
          <w:color w:val="000000"/>
          <w:kern w:val="44"/>
          <w:sz w:val="28"/>
          <w:highlight w:val="none"/>
        </w:rPr>
        <w:t>二、磋商函附录</w:t>
      </w:r>
      <w:bookmarkEnd w:id="216"/>
      <w:bookmarkEnd w:id="217"/>
      <w:bookmarkEnd w:id="218"/>
      <w:bookmarkEnd w:id="219"/>
      <w:bookmarkEnd w:id="220"/>
      <w:bookmarkEnd w:id="221"/>
    </w:p>
    <w:tbl>
      <w:tblPr>
        <w:tblStyle w:val="11"/>
        <w:tblW w:w="9281" w:type="dxa"/>
        <w:jc w:val="center"/>
        <w:tblLayout w:type="fixed"/>
        <w:tblCellMar>
          <w:top w:w="0" w:type="dxa"/>
          <w:left w:w="108" w:type="dxa"/>
          <w:bottom w:w="0" w:type="dxa"/>
          <w:right w:w="108" w:type="dxa"/>
        </w:tblCellMar>
      </w:tblPr>
      <w:tblGrid>
        <w:gridCol w:w="3163"/>
        <w:gridCol w:w="6118"/>
      </w:tblGrid>
      <w:tr w14:paraId="0ECDE94B">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96FC01C">
            <w:pPr>
              <w:spacing w:line="440" w:lineRule="exact"/>
              <w:jc w:val="center"/>
              <w:rPr>
                <w:rFonts w:ascii="宋体" w:hAnsi="宋体" w:cs="宋体"/>
                <w:sz w:val="24"/>
                <w:highlight w:val="none"/>
              </w:rPr>
            </w:pPr>
            <w:r>
              <w:rPr>
                <w:rFonts w:hint="eastAsia" w:ascii="宋体" w:hAnsi="宋体" w:cs="宋体"/>
                <w:sz w:val="24"/>
                <w:highlight w:val="none"/>
              </w:rPr>
              <w:t>项目名称及标段</w:t>
            </w:r>
          </w:p>
        </w:tc>
        <w:tc>
          <w:tcPr>
            <w:tcW w:w="6118" w:type="dxa"/>
            <w:tcBorders>
              <w:top w:val="single" w:color="auto" w:sz="4" w:space="0"/>
              <w:left w:val="nil"/>
              <w:bottom w:val="single" w:color="auto" w:sz="4" w:space="0"/>
              <w:right w:val="single" w:color="auto" w:sz="4" w:space="0"/>
            </w:tcBorders>
            <w:vAlign w:val="center"/>
          </w:tcPr>
          <w:p w14:paraId="7EB6CB6B">
            <w:pPr>
              <w:spacing w:line="440" w:lineRule="exact"/>
              <w:jc w:val="center"/>
              <w:rPr>
                <w:rFonts w:ascii="宋体" w:hAnsi="宋体" w:cs="宋体"/>
                <w:sz w:val="24"/>
                <w:highlight w:val="none"/>
              </w:rPr>
            </w:pPr>
          </w:p>
        </w:tc>
      </w:tr>
      <w:tr w14:paraId="6DE3C32B">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2CC187E9">
            <w:pPr>
              <w:spacing w:line="440" w:lineRule="exact"/>
              <w:jc w:val="center"/>
              <w:rPr>
                <w:rFonts w:ascii="宋体" w:hAnsi="宋体" w:cs="宋体"/>
                <w:sz w:val="24"/>
                <w:highlight w:val="none"/>
              </w:rPr>
            </w:pPr>
            <w:r>
              <w:rPr>
                <w:rFonts w:hint="eastAsia" w:ascii="宋体" w:hAnsi="宋体" w:cs="宋体"/>
                <w:sz w:val="24"/>
                <w:highlight w:val="none"/>
              </w:rPr>
              <w:t>供应商名称</w:t>
            </w:r>
          </w:p>
        </w:tc>
        <w:tc>
          <w:tcPr>
            <w:tcW w:w="6118" w:type="dxa"/>
            <w:tcBorders>
              <w:top w:val="single" w:color="auto" w:sz="4" w:space="0"/>
              <w:left w:val="nil"/>
              <w:bottom w:val="single" w:color="auto" w:sz="4" w:space="0"/>
              <w:right w:val="single" w:color="auto" w:sz="4" w:space="0"/>
            </w:tcBorders>
          </w:tcPr>
          <w:p w14:paraId="44DBE185">
            <w:pPr>
              <w:spacing w:line="440" w:lineRule="exact"/>
              <w:jc w:val="left"/>
              <w:rPr>
                <w:rFonts w:ascii="宋体" w:hAnsi="宋体" w:cs="宋体"/>
                <w:sz w:val="24"/>
                <w:highlight w:val="none"/>
              </w:rPr>
            </w:pPr>
          </w:p>
        </w:tc>
      </w:tr>
      <w:tr w14:paraId="0EC1CE0C">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24F30E7">
            <w:pPr>
              <w:spacing w:line="440" w:lineRule="exact"/>
              <w:jc w:val="center"/>
              <w:rPr>
                <w:rFonts w:ascii="宋体" w:hAnsi="宋体" w:cs="宋体"/>
                <w:sz w:val="24"/>
                <w:highlight w:val="none"/>
              </w:rPr>
            </w:pPr>
            <w:r>
              <w:rPr>
                <w:rFonts w:hint="eastAsia" w:ascii="宋体" w:hAnsi="宋体" w:cs="宋体"/>
                <w:sz w:val="24"/>
                <w:highlight w:val="none"/>
              </w:rPr>
              <w:t>供应商地址</w:t>
            </w:r>
          </w:p>
        </w:tc>
        <w:tc>
          <w:tcPr>
            <w:tcW w:w="6118" w:type="dxa"/>
            <w:tcBorders>
              <w:top w:val="single" w:color="auto" w:sz="4" w:space="0"/>
              <w:left w:val="nil"/>
              <w:bottom w:val="single" w:color="auto" w:sz="4" w:space="0"/>
              <w:right w:val="single" w:color="auto" w:sz="4" w:space="0"/>
            </w:tcBorders>
          </w:tcPr>
          <w:p w14:paraId="25E617AF">
            <w:pPr>
              <w:spacing w:line="440" w:lineRule="exact"/>
              <w:jc w:val="left"/>
              <w:rPr>
                <w:rFonts w:ascii="宋体" w:hAnsi="宋体" w:cs="宋体"/>
                <w:sz w:val="24"/>
                <w:highlight w:val="none"/>
              </w:rPr>
            </w:pPr>
          </w:p>
        </w:tc>
      </w:tr>
      <w:tr w14:paraId="25FFC29D">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B5B6BB9">
            <w:pPr>
              <w:spacing w:line="440" w:lineRule="exact"/>
              <w:jc w:val="center"/>
              <w:rPr>
                <w:rFonts w:ascii="宋体" w:hAnsi="宋体" w:cs="宋体"/>
                <w:sz w:val="24"/>
                <w:highlight w:val="none"/>
              </w:rPr>
            </w:pPr>
            <w:r>
              <w:rPr>
                <w:rFonts w:hint="eastAsia" w:ascii="宋体" w:hAnsi="宋体" w:cs="宋体"/>
                <w:sz w:val="24"/>
                <w:highlight w:val="none"/>
              </w:rPr>
              <w:t>供应商统一社会信用代码</w:t>
            </w:r>
          </w:p>
        </w:tc>
        <w:tc>
          <w:tcPr>
            <w:tcW w:w="6118" w:type="dxa"/>
            <w:tcBorders>
              <w:top w:val="single" w:color="auto" w:sz="4" w:space="0"/>
              <w:left w:val="nil"/>
              <w:bottom w:val="single" w:color="auto" w:sz="4" w:space="0"/>
              <w:right w:val="single" w:color="auto" w:sz="4" w:space="0"/>
            </w:tcBorders>
          </w:tcPr>
          <w:p w14:paraId="26785492">
            <w:pPr>
              <w:spacing w:line="440" w:lineRule="exact"/>
              <w:jc w:val="left"/>
              <w:rPr>
                <w:rFonts w:ascii="宋体" w:hAnsi="宋体" w:cs="宋体"/>
                <w:sz w:val="24"/>
                <w:highlight w:val="none"/>
              </w:rPr>
            </w:pPr>
          </w:p>
        </w:tc>
      </w:tr>
      <w:tr w14:paraId="4DE50E4D">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24287906">
            <w:pPr>
              <w:spacing w:line="440" w:lineRule="exact"/>
              <w:jc w:val="center"/>
              <w:rPr>
                <w:rFonts w:ascii="宋体" w:hAnsi="宋体" w:cs="宋体"/>
                <w:sz w:val="24"/>
                <w:highlight w:val="none"/>
              </w:rPr>
            </w:pPr>
            <w:r>
              <w:rPr>
                <w:rFonts w:hint="eastAsia" w:ascii="宋体" w:hAnsi="宋体" w:cs="宋体"/>
                <w:sz w:val="24"/>
                <w:highlight w:val="none"/>
              </w:rPr>
              <w:t>磋商总报价（元）（供应商应在此填列第一次报价，但以供应商最后一次的投标报价为成交价）</w:t>
            </w:r>
          </w:p>
        </w:tc>
        <w:tc>
          <w:tcPr>
            <w:tcW w:w="6118" w:type="dxa"/>
            <w:tcBorders>
              <w:top w:val="single" w:color="auto" w:sz="4" w:space="0"/>
              <w:left w:val="nil"/>
              <w:bottom w:val="single" w:color="auto" w:sz="4" w:space="0"/>
              <w:right w:val="single" w:color="auto" w:sz="4" w:space="0"/>
            </w:tcBorders>
            <w:vAlign w:val="center"/>
          </w:tcPr>
          <w:p w14:paraId="04042C63">
            <w:pPr>
              <w:spacing w:line="440" w:lineRule="exact"/>
              <w:rPr>
                <w:rFonts w:ascii="宋体" w:hAnsi="宋体" w:cs="宋体"/>
                <w:sz w:val="24"/>
                <w:highlight w:val="none"/>
              </w:rPr>
            </w:pPr>
            <w:r>
              <w:rPr>
                <w:rFonts w:hint="eastAsia" w:ascii="宋体" w:hAnsi="宋体" w:cs="宋体"/>
                <w:sz w:val="24"/>
                <w:highlight w:val="none"/>
              </w:rPr>
              <w:t>大写：</w:t>
            </w:r>
          </w:p>
        </w:tc>
      </w:tr>
      <w:tr w14:paraId="666AFE92">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558C1376">
            <w:pPr>
              <w:widowControl/>
              <w:spacing w:line="240" w:lineRule="auto"/>
              <w:jc w:val="left"/>
              <w:rPr>
                <w:rFonts w:ascii="宋体" w:hAnsi="宋体" w:cs="宋体"/>
                <w:sz w:val="24"/>
                <w:highlight w:val="none"/>
              </w:rPr>
            </w:pPr>
          </w:p>
        </w:tc>
        <w:tc>
          <w:tcPr>
            <w:tcW w:w="6118" w:type="dxa"/>
            <w:tcBorders>
              <w:top w:val="single" w:color="auto" w:sz="4" w:space="0"/>
              <w:left w:val="nil"/>
              <w:bottom w:val="single" w:color="auto" w:sz="4" w:space="0"/>
              <w:right w:val="single" w:color="auto" w:sz="4" w:space="0"/>
            </w:tcBorders>
            <w:vAlign w:val="center"/>
          </w:tcPr>
          <w:p w14:paraId="7583F8BE">
            <w:pPr>
              <w:spacing w:line="440" w:lineRule="exact"/>
              <w:rPr>
                <w:rFonts w:ascii="宋体" w:hAnsi="宋体" w:cs="宋体"/>
                <w:sz w:val="24"/>
                <w:highlight w:val="none"/>
              </w:rPr>
            </w:pPr>
            <w:r>
              <w:rPr>
                <w:rFonts w:hint="eastAsia" w:ascii="宋体" w:hAnsi="宋体" w:cs="宋体"/>
                <w:sz w:val="24"/>
                <w:highlight w:val="none"/>
              </w:rPr>
              <w:t xml:space="preserve">小写：        </w:t>
            </w:r>
          </w:p>
        </w:tc>
      </w:tr>
      <w:tr w14:paraId="08092CF7">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32B2BBB">
            <w:pPr>
              <w:spacing w:line="440" w:lineRule="exact"/>
              <w:jc w:val="center"/>
              <w:rPr>
                <w:rFonts w:ascii="宋体" w:hAnsi="宋体" w:cs="宋体"/>
                <w:sz w:val="24"/>
                <w:highlight w:val="none"/>
              </w:rPr>
            </w:pPr>
            <w:r>
              <w:rPr>
                <w:rFonts w:hint="eastAsia" w:ascii="宋体" w:hAnsi="宋体" w:cs="宋体"/>
                <w:sz w:val="24"/>
                <w:highlight w:val="none"/>
              </w:rPr>
              <w:t>质量标准</w:t>
            </w:r>
          </w:p>
        </w:tc>
        <w:tc>
          <w:tcPr>
            <w:tcW w:w="6118" w:type="dxa"/>
            <w:tcBorders>
              <w:top w:val="single" w:color="auto" w:sz="4" w:space="0"/>
              <w:left w:val="nil"/>
              <w:bottom w:val="single" w:color="auto" w:sz="4" w:space="0"/>
              <w:right w:val="single" w:color="auto" w:sz="4" w:space="0"/>
            </w:tcBorders>
          </w:tcPr>
          <w:p w14:paraId="0A67C4C8">
            <w:pPr>
              <w:spacing w:line="440" w:lineRule="exact"/>
              <w:jc w:val="left"/>
              <w:rPr>
                <w:rFonts w:ascii="宋体" w:hAnsi="宋体" w:cs="宋体"/>
                <w:sz w:val="24"/>
                <w:highlight w:val="none"/>
              </w:rPr>
            </w:pPr>
          </w:p>
        </w:tc>
      </w:tr>
      <w:tr w14:paraId="25563B0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A7C1575">
            <w:pPr>
              <w:spacing w:line="440" w:lineRule="exact"/>
              <w:ind w:left="79"/>
              <w:jc w:val="center"/>
              <w:rPr>
                <w:rFonts w:ascii="宋体" w:hAnsi="宋体" w:cs="宋体"/>
                <w:sz w:val="24"/>
                <w:highlight w:val="none"/>
              </w:rPr>
            </w:pPr>
            <w:r>
              <w:rPr>
                <w:rFonts w:hint="eastAsia" w:ascii="宋体" w:hAnsi="宋体" w:cs="宋体"/>
                <w:sz w:val="24"/>
                <w:highlight w:val="none"/>
              </w:rPr>
              <w:t>供货期</w:t>
            </w:r>
          </w:p>
        </w:tc>
        <w:tc>
          <w:tcPr>
            <w:tcW w:w="6118" w:type="dxa"/>
            <w:tcBorders>
              <w:top w:val="single" w:color="auto" w:sz="4" w:space="0"/>
              <w:left w:val="nil"/>
              <w:bottom w:val="single" w:color="auto" w:sz="4" w:space="0"/>
              <w:right w:val="single" w:color="auto" w:sz="4" w:space="0"/>
            </w:tcBorders>
          </w:tcPr>
          <w:p w14:paraId="4A926F5F">
            <w:pPr>
              <w:spacing w:line="440" w:lineRule="exact"/>
              <w:jc w:val="left"/>
              <w:rPr>
                <w:rFonts w:ascii="宋体" w:hAnsi="宋体" w:cs="宋体"/>
                <w:sz w:val="24"/>
                <w:highlight w:val="none"/>
              </w:rPr>
            </w:pPr>
          </w:p>
        </w:tc>
      </w:tr>
      <w:tr w14:paraId="5783B473">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61A8C5">
            <w:pPr>
              <w:spacing w:line="440" w:lineRule="exact"/>
              <w:ind w:left="79"/>
              <w:jc w:val="center"/>
              <w:rPr>
                <w:rFonts w:ascii="宋体" w:hAnsi="宋体" w:cs="宋体"/>
                <w:sz w:val="24"/>
                <w:highlight w:val="none"/>
              </w:rPr>
            </w:pPr>
            <w:r>
              <w:rPr>
                <w:rFonts w:hint="eastAsia" w:ascii="宋体" w:hAnsi="宋体" w:cs="宋体"/>
                <w:sz w:val="24"/>
                <w:highlight w:val="none"/>
              </w:rPr>
              <w:t>供货（服务）地点</w:t>
            </w:r>
          </w:p>
        </w:tc>
        <w:tc>
          <w:tcPr>
            <w:tcW w:w="6118" w:type="dxa"/>
            <w:tcBorders>
              <w:top w:val="single" w:color="auto" w:sz="4" w:space="0"/>
              <w:left w:val="nil"/>
              <w:bottom w:val="single" w:color="auto" w:sz="4" w:space="0"/>
              <w:right w:val="single" w:color="auto" w:sz="4" w:space="0"/>
            </w:tcBorders>
          </w:tcPr>
          <w:p w14:paraId="111F5231">
            <w:pPr>
              <w:spacing w:line="440" w:lineRule="exact"/>
              <w:jc w:val="left"/>
              <w:rPr>
                <w:rFonts w:ascii="宋体" w:hAnsi="宋体" w:cs="宋体"/>
                <w:sz w:val="24"/>
                <w:highlight w:val="none"/>
              </w:rPr>
            </w:pPr>
          </w:p>
        </w:tc>
      </w:tr>
      <w:tr w14:paraId="3EA3BACE">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37A2538">
            <w:pPr>
              <w:spacing w:line="440" w:lineRule="exact"/>
              <w:ind w:left="79"/>
              <w:jc w:val="center"/>
              <w:rPr>
                <w:rFonts w:ascii="宋体" w:hAnsi="宋体" w:cs="宋体"/>
                <w:sz w:val="24"/>
                <w:highlight w:val="none"/>
              </w:rPr>
            </w:pPr>
            <w:r>
              <w:rPr>
                <w:rFonts w:hint="eastAsia" w:ascii="宋体" w:hAnsi="宋体" w:cs="宋体"/>
                <w:sz w:val="24"/>
                <w:highlight w:val="none"/>
              </w:rPr>
              <w:t>磋商有效期（日历天）</w:t>
            </w:r>
          </w:p>
        </w:tc>
        <w:tc>
          <w:tcPr>
            <w:tcW w:w="6118" w:type="dxa"/>
            <w:tcBorders>
              <w:top w:val="single" w:color="auto" w:sz="4" w:space="0"/>
              <w:left w:val="nil"/>
              <w:bottom w:val="single" w:color="auto" w:sz="4" w:space="0"/>
              <w:right w:val="single" w:color="auto" w:sz="4" w:space="0"/>
            </w:tcBorders>
            <w:vAlign w:val="center"/>
          </w:tcPr>
          <w:p w14:paraId="13946E11">
            <w:pPr>
              <w:spacing w:line="440" w:lineRule="exact"/>
              <w:jc w:val="center"/>
              <w:rPr>
                <w:rFonts w:ascii="宋体" w:hAnsi="宋体" w:cs="宋体"/>
                <w:sz w:val="24"/>
                <w:highlight w:val="none"/>
              </w:rPr>
            </w:pPr>
          </w:p>
        </w:tc>
      </w:tr>
      <w:tr w14:paraId="5AF7494D">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2F3E764">
            <w:pPr>
              <w:spacing w:line="440" w:lineRule="exact"/>
              <w:ind w:left="80"/>
              <w:jc w:val="center"/>
              <w:rPr>
                <w:rFonts w:ascii="宋体" w:hAnsi="宋体"/>
                <w:color w:val="000000"/>
                <w:sz w:val="24"/>
                <w:highlight w:val="none"/>
              </w:rPr>
            </w:pPr>
            <w:r>
              <w:rPr>
                <w:rFonts w:hint="eastAsia" w:ascii="宋体" w:hAnsi="宋体"/>
                <w:color w:val="000000"/>
                <w:sz w:val="24"/>
                <w:highlight w:val="none"/>
              </w:rPr>
              <w:t>备注</w:t>
            </w:r>
          </w:p>
        </w:tc>
        <w:tc>
          <w:tcPr>
            <w:tcW w:w="6118" w:type="dxa"/>
            <w:tcBorders>
              <w:top w:val="single" w:color="auto" w:sz="4" w:space="0"/>
              <w:left w:val="nil"/>
              <w:bottom w:val="single" w:color="auto" w:sz="4" w:space="0"/>
              <w:right w:val="single" w:color="auto" w:sz="4" w:space="0"/>
            </w:tcBorders>
          </w:tcPr>
          <w:p w14:paraId="7EAC29C4">
            <w:pPr>
              <w:spacing w:line="440" w:lineRule="exact"/>
              <w:jc w:val="left"/>
              <w:rPr>
                <w:rFonts w:ascii="宋体" w:hAnsi="宋体" w:cs="宋体"/>
                <w:sz w:val="24"/>
                <w:highlight w:val="none"/>
              </w:rPr>
            </w:pPr>
          </w:p>
        </w:tc>
      </w:tr>
    </w:tbl>
    <w:p w14:paraId="1CC9ACC9">
      <w:pPr>
        <w:rPr>
          <w:rFonts w:ascii="宋体" w:hAnsi="宋体"/>
          <w:color w:val="000000"/>
          <w:sz w:val="24"/>
          <w:highlight w:val="none"/>
        </w:rPr>
      </w:pPr>
    </w:p>
    <w:p w14:paraId="6BC35B0C">
      <w:pPr>
        <w:jc w:val="right"/>
        <w:rPr>
          <w:rFonts w:ascii="宋体" w:hAnsi="宋体"/>
          <w:color w:val="000000"/>
          <w:sz w:val="24"/>
          <w:highlight w:val="none"/>
        </w:rPr>
      </w:pPr>
      <w:r>
        <w:rPr>
          <w:rFonts w:hint="eastAsia" w:ascii="宋体" w:hAnsi="宋体"/>
          <w:color w:val="000000"/>
          <w:sz w:val="24"/>
          <w:highlight w:val="none"/>
        </w:rPr>
        <w:t>供应商：（电子签章）</w:t>
      </w:r>
    </w:p>
    <w:p w14:paraId="59FF8E12">
      <w:pPr>
        <w:jc w:val="right"/>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39624B62">
      <w:pPr>
        <w:jc w:val="center"/>
        <w:rPr>
          <w:rFonts w:ascii="宋体" w:hAnsi="宋体"/>
          <w:b/>
          <w:bCs/>
          <w:color w:val="000000"/>
          <w:kern w:val="44"/>
          <w:sz w:val="32"/>
          <w:szCs w:val="32"/>
          <w:highlight w:val="none"/>
        </w:rPr>
      </w:pPr>
      <w:r>
        <w:rPr>
          <w:rFonts w:hint="eastAsia" w:ascii="宋体" w:hAnsi="宋体"/>
          <w:color w:val="000000"/>
          <w:sz w:val="24"/>
          <w:highlight w:val="none"/>
        </w:rPr>
        <w:t xml:space="preserve">                                                     年   月   日</w:t>
      </w:r>
    </w:p>
    <w:p w14:paraId="4B77D085">
      <w:pPr>
        <w:spacing w:line="396" w:lineRule="auto"/>
        <w:jc w:val="center"/>
        <w:outlineLvl w:val="0"/>
        <w:rPr>
          <w:b/>
          <w:bCs/>
          <w:color w:val="000000"/>
          <w:kern w:val="44"/>
          <w:sz w:val="32"/>
          <w:szCs w:val="32"/>
          <w:highlight w:val="none"/>
        </w:rPr>
      </w:pPr>
      <w:bookmarkStart w:id="222" w:name="_Toc24265_WPSOffice_Level1"/>
      <w:bookmarkStart w:id="223" w:name="_Toc9326_WPSOffice_Level1"/>
      <w:r>
        <w:rPr>
          <w:rFonts w:hint="eastAsia" w:ascii="宋体" w:hAnsi="宋体"/>
          <w:b/>
          <w:bCs/>
          <w:color w:val="000000"/>
          <w:kern w:val="44"/>
          <w:sz w:val="32"/>
          <w:szCs w:val="32"/>
          <w:highlight w:val="none"/>
        </w:rPr>
        <w:br w:type="page"/>
      </w:r>
      <w:bookmarkStart w:id="224" w:name="_Toc12878"/>
      <w:r>
        <w:rPr>
          <w:rFonts w:hint="eastAsia" w:ascii="宋体" w:hAnsi="宋体"/>
          <w:b/>
          <w:bCs/>
          <w:color w:val="000000"/>
          <w:kern w:val="44"/>
          <w:sz w:val="32"/>
          <w:szCs w:val="32"/>
          <w:highlight w:val="none"/>
        </w:rPr>
        <w:t>三、法定代表人身份证明</w:t>
      </w:r>
      <w:bookmarkEnd w:id="222"/>
      <w:bookmarkEnd w:id="223"/>
      <w:bookmarkEnd w:id="224"/>
    </w:p>
    <w:p w14:paraId="4DD74C8C">
      <w:pPr>
        <w:spacing w:line="500" w:lineRule="exact"/>
        <w:rPr>
          <w:rFonts w:ascii="宋体" w:hAnsi="宋体"/>
          <w:color w:val="000000"/>
          <w:highlight w:val="none"/>
        </w:rPr>
      </w:pPr>
    </w:p>
    <w:p w14:paraId="2BE6A468">
      <w:pPr>
        <w:spacing w:line="500" w:lineRule="exact"/>
        <w:rPr>
          <w:rFonts w:ascii="宋体" w:hAnsi="宋体"/>
          <w:color w:val="000000"/>
          <w:sz w:val="24"/>
          <w:highlight w:val="none"/>
          <w:u w:val="single"/>
        </w:rPr>
      </w:pPr>
      <w:r>
        <w:rPr>
          <w:rFonts w:hint="eastAsia" w:ascii="宋体" w:hAnsi="宋体"/>
          <w:color w:val="000000"/>
          <w:sz w:val="24"/>
          <w:highlight w:val="none"/>
        </w:rPr>
        <w:t>供应商：</w:t>
      </w:r>
    </w:p>
    <w:p w14:paraId="1863DA4B">
      <w:pPr>
        <w:spacing w:line="500" w:lineRule="exact"/>
        <w:rPr>
          <w:rFonts w:ascii="宋体" w:hAnsi="宋体"/>
          <w:color w:val="000000"/>
          <w:sz w:val="24"/>
          <w:highlight w:val="none"/>
          <w:u w:val="single"/>
        </w:rPr>
      </w:pPr>
      <w:r>
        <w:rPr>
          <w:rFonts w:hint="eastAsia" w:ascii="宋体" w:hAnsi="宋体"/>
          <w:color w:val="000000"/>
          <w:sz w:val="24"/>
          <w:highlight w:val="none"/>
        </w:rPr>
        <w:t>单位性质：</w:t>
      </w:r>
    </w:p>
    <w:p w14:paraId="1C5F073C">
      <w:pPr>
        <w:spacing w:line="500" w:lineRule="exact"/>
        <w:rPr>
          <w:rFonts w:ascii="宋体" w:hAnsi="宋体"/>
          <w:color w:val="000000"/>
          <w:sz w:val="24"/>
          <w:highlight w:val="none"/>
        </w:rPr>
      </w:pPr>
      <w:r>
        <w:rPr>
          <w:rFonts w:hint="eastAsia" w:ascii="宋体" w:hAnsi="宋体"/>
          <w:color w:val="000000"/>
          <w:sz w:val="24"/>
          <w:highlight w:val="none"/>
        </w:rPr>
        <w:t>地    址：</w:t>
      </w:r>
    </w:p>
    <w:p w14:paraId="647C508F">
      <w:pPr>
        <w:spacing w:line="500" w:lineRule="exact"/>
        <w:rPr>
          <w:rFonts w:ascii="宋体" w:hAnsi="宋体"/>
          <w:color w:val="000000"/>
          <w:sz w:val="24"/>
          <w:highlight w:val="none"/>
        </w:rPr>
      </w:pPr>
      <w:r>
        <w:rPr>
          <w:rFonts w:hint="eastAsia" w:ascii="宋体" w:hAnsi="宋体"/>
          <w:color w:val="000000"/>
          <w:sz w:val="24"/>
          <w:highlight w:val="none"/>
        </w:rPr>
        <w:t>成立时间：</w:t>
      </w:r>
    </w:p>
    <w:p w14:paraId="2F4E6166">
      <w:pPr>
        <w:spacing w:line="500" w:lineRule="exact"/>
        <w:rPr>
          <w:rFonts w:ascii="宋体" w:hAnsi="宋体"/>
          <w:color w:val="000000"/>
          <w:sz w:val="24"/>
          <w:highlight w:val="none"/>
        </w:rPr>
      </w:pPr>
      <w:r>
        <w:rPr>
          <w:rFonts w:hint="eastAsia" w:ascii="宋体" w:hAnsi="宋体"/>
          <w:color w:val="000000"/>
          <w:sz w:val="24"/>
          <w:highlight w:val="none"/>
        </w:rPr>
        <w:t>经营期限：</w:t>
      </w:r>
    </w:p>
    <w:p w14:paraId="5D6984EA">
      <w:pPr>
        <w:spacing w:line="500" w:lineRule="exact"/>
        <w:rPr>
          <w:rFonts w:ascii="宋体" w:hAnsi="宋体"/>
          <w:color w:val="000000"/>
          <w:sz w:val="24"/>
          <w:highlight w:val="none"/>
          <w:u w:val="single"/>
        </w:rPr>
      </w:pPr>
      <w:r>
        <w:rPr>
          <w:rFonts w:hint="eastAsia" w:ascii="宋体" w:hAnsi="宋体"/>
          <w:color w:val="000000"/>
          <w:sz w:val="24"/>
          <w:highlight w:val="none"/>
        </w:rPr>
        <w:t>姓    名：性        别：</w:t>
      </w:r>
    </w:p>
    <w:p w14:paraId="0B6F8148">
      <w:pPr>
        <w:spacing w:line="500" w:lineRule="exact"/>
        <w:rPr>
          <w:rFonts w:ascii="宋体" w:hAnsi="宋体"/>
          <w:color w:val="000000"/>
          <w:sz w:val="24"/>
          <w:highlight w:val="none"/>
          <w:u w:val="single"/>
        </w:rPr>
      </w:pPr>
      <w:r>
        <w:rPr>
          <w:rFonts w:hint="eastAsia" w:ascii="宋体" w:hAnsi="宋体"/>
          <w:color w:val="000000"/>
          <w:sz w:val="24"/>
          <w:highlight w:val="none"/>
        </w:rPr>
        <w:t>年    龄：职        务：</w:t>
      </w:r>
    </w:p>
    <w:p w14:paraId="195AAD99">
      <w:pPr>
        <w:spacing w:line="500" w:lineRule="exact"/>
        <w:rPr>
          <w:rFonts w:ascii="宋体" w:hAnsi="宋体"/>
          <w:color w:val="000000"/>
          <w:sz w:val="24"/>
          <w:highlight w:val="none"/>
        </w:rPr>
      </w:pPr>
      <w:r>
        <w:rPr>
          <w:rFonts w:hint="eastAsia" w:ascii="宋体" w:hAnsi="宋体"/>
          <w:color w:val="000000"/>
          <w:sz w:val="24"/>
          <w:highlight w:val="none"/>
        </w:rPr>
        <w:t>系      （</w:t>
      </w:r>
      <w:r>
        <w:rPr>
          <w:rFonts w:hint="eastAsia" w:ascii="宋体" w:hAnsi="宋体" w:cs="宋体"/>
          <w:sz w:val="24"/>
          <w:highlight w:val="none"/>
        </w:rPr>
        <w:t>供应商</w:t>
      </w:r>
      <w:r>
        <w:rPr>
          <w:rFonts w:hint="eastAsia" w:ascii="宋体" w:hAnsi="宋体"/>
          <w:color w:val="000000"/>
          <w:sz w:val="24"/>
          <w:highlight w:val="none"/>
        </w:rPr>
        <w:t>名称）的法定代表人。</w:t>
      </w:r>
    </w:p>
    <w:p w14:paraId="226A5F4E">
      <w:pPr>
        <w:spacing w:line="500" w:lineRule="exact"/>
        <w:rPr>
          <w:rFonts w:ascii="宋体" w:hAnsi="宋体"/>
          <w:color w:val="000000"/>
          <w:sz w:val="24"/>
          <w:highlight w:val="none"/>
        </w:rPr>
      </w:pPr>
      <w:r>
        <w:rPr>
          <w:rFonts w:hint="eastAsia" w:ascii="宋体" w:hAnsi="宋体"/>
          <w:color w:val="000000"/>
          <w:sz w:val="24"/>
          <w:highlight w:val="none"/>
        </w:rPr>
        <w:t>特此证明。</w:t>
      </w:r>
    </w:p>
    <w:p w14:paraId="5F70EC8F">
      <w:pPr>
        <w:spacing w:line="500" w:lineRule="exact"/>
        <w:rPr>
          <w:rFonts w:ascii="宋体" w:hAnsi="宋体"/>
          <w:color w:val="000000"/>
          <w:sz w:val="24"/>
          <w:highlight w:val="none"/>
        </w:rPr>
      </w:pPr>
    </w:p>
    <w:p w14:paraId="3F5E0A9B">
      <w:pPr>
        <w:spacing w:line="500" w:lineRule="exact"/>
        <w:rPr>
          <w:rFonts w:ascii="宋体" w:hAnsi="宋体"/>
          <w:color w:val="000000"/>
          <w:sz w:val="24"/>
          <w:highlight w:val="none"/>
        </w:rPr>
      </w:pPr>
    </w:p>
    <w:p w14:paraId="4CC68214">
      <w:pPr>
        <w:wordWrap w:val="0"/>
        <w:spacing w:line="500" w:lineRule="exact"/>
        <w:jc w:val="right"/>
        <w:rPr>
          <w:rFonts w:ascii="宋体" w:hAnsi="宋体"/>
          <w:color w:val="000000"/>
          <w:sz w:val="24"/>
          <w:highlight w:val="none"/>
        </w:rPr>
      </w:pPr>
      <w:r>
        <w:rPr>
          <w:rFonts w:hint="eastAsia" w:ascii="宋体" w:hAnsi="宋体"/>
          <w:color w:val="000000"/>
          <w:sz w:val="24"/>
          <w:highlight w:val="none"/>
        </w:rPr>
        <w:t>供应商：（电子签章）</w:t>
      </w:r>
    </w:p>
    <w:p w14:paraId="30CC65C3">
      <w:pPr>
        <w:wordWrap w:val="0"/>
        <w:spacing w:line="500" w:lineRule="exact"/>
        <w:jc w:val="right"/>
        <w:rPr>
          <w:rFonts w:ascii="宋体" w:hAnsi="宋体"/>
          <w:color w:val="000000"/>
          <w:sz w:val="24"/>
          <w:highlight w:val="none"/>
        </w:rPr>
      </w:pPr>
    </w:p>
    <w:p w14:paraId="7BE98B07">
      <w:pPr>
        <w:wordWrap w:val="0"/>
        <w:spacing w:line="500" w:lineRule="exact"/>
        <w:jc w:val="right"/>
        <w:rPr>
          <w:rFonts w:ascii="宋体" w:hAnsi="宋体"/>
          <w:color w:val="000000"/>
          <w:sz w:val="24"/>
          <w:highlight w:val="none"/>
        </w:rPr>
      </w:pPr>
      <w:r>
        <w:rPr>
          <w:rFonts w:hint="eastAsia" w:ascii="宋体" w:hAnsi="宋体"/>
          <w:color w:val="000000"/>
          <w:sz w:val="24"/>
          <w:highlight w:val="none"/>
        </w:rPr>
        <w:t xml:space="preserve">年    月   日          </w:t>
      </w:r>
    </w:p>
    <w:p w14:paraId="5E2889F9">
      <w:pPr>
        <w:rPr>
          <w:color w:val="000000"/>
          <w:sz w:val="24"/>
          <w:highlight w:val="none"/>
        </w:rPr>
      </w:pPr>
      <w:bookmarkStart w:id="225" w:name="_Toc466566809"/>
      <w:bookmarkEnd w:id="225"/>
      <w:bookmarkStart w:id="226" w:name="_Toc466566719"/>
      <w:bookmarkEnd w:id="226"/>
    </w:p>
    <w:p w14:paraId="6349BB8B">
      <w:pPr>
        <w:rPr>
          <w:color w:val="000000"/>
          <w:highlight w:val="none"/>
        </w:rPr>
      </w:pPr>
    </w:p>
    <w:p w14:paraId="21E1F043">
      <w:pPr>
        <w:rPr>
          <w:color w:val="000000"/>
          <w:highlight w:val="none"/>
        </w:rPr>
      </w:pPr>
    </w:p>
    <w:p w14:paraId="2E9C6E60">
      <w:pPr>
        <w:rPr>
          <w:color w:val="000000"/>
          <w:highlight w:val="none"/>
        </w:rPr>
      </w:pPr>
    </w:p>
    <w:p w14:paraId="32166AE1">
      <w:pPr>
        <w:rPr>
          <w:color w:val="000000"/>
          <w:highlight w:val="none"/>
        </w:rPr>
      </w:pPr>
    </w:p>
    <w:p w14:paraId="7DC1DF48">
      <w:pPr>
        <w:rPr>
          <w:color w:val="000000"/>
          <w:highlight w:val="none"/>
        </w:rPr>
      </w:pPr>
    </w:p>
    <w:p w14:paraId="2444EF2B">
      <w:pPr>
        <w:rPr>
          <w:color w:val="000000"/>
          <w:highlight w:val="none"/>
        </w:rPr>
      </w:pPr>
    </w:p>
    <w:p w14:paraId="79429E8C">
      <w:pPr>
        <w:rPr>
          <w:color w:val="000000"/>
          <w:highlight w:val="none"/>
        </w:rPr>
      </w:pPr>
    </w:p>
    <w:p w14:paraId="3153D039">
      <w:pPr>
        <w:rPr>
          <w:color w:val="000000"/>
          <w:highlight w:val="none"/>
        </w:rPr>
      </w:pPr>
    </w:p>
    <w:p w14:paraId="2564967A">
      <w:pPr>
        <w:rPr>
          <w:color w:val="000000"/>
          <w:highlight w:val="none"/>
        </w:rPr>
      </w:pPr>
    </w:p>
    <w:p w14:paraId="42EDE756">
      <w:pPr>
        <w:rPr>
          <w:color w:val="000000"/>
          <w:highlight w:val="none"/>
        </w:rPr>
      </w:pPr>
    </w:p>
    <w:p w14:paraId="590EEEEC">
      <w:pPr>
        <w:rPr>
          <w:color w:val="000000"/>
          <w:highlight w:val="none"/>
        </w:rPr>
      </w:pPr>
    </w:p>
    <w:p w14:paraId="2677CA87">
      <w:pPr>
        <w:rPr>
          <w:color w:val="000000"/>
          <w:highlight w:val="none"/>
        </w:rPr>
      </w:pPr>
    </w:p>
    <w:p w14:paraId="76577556">
      <w:pPr>
        <w:keepNext/>
        <w:keepLines/>
        <w:spacing w:line="660" w:lineRule="exact"/>
        <w:jc w:val="center"/>
        <w:outlineLvl w:val="0"/>
        <w:rPr>
          <w:b/>
          <w:bCs/>
          <w:color w:val="000000"/>
          <w:kern w:val="44"/>
          <w:sz w:val="28"/>
          <w:highlight w:val="none"/>
        </w:rPr>
      </w:pPr>
      <w:r>
        <w:rPr>
          <w:rFonts w:hint="eastAsia"/>
          <w:b/>
          <w:bCs/>
          <w:color w:val="000000"/>
          <w:kern w:val="44"/>
          <w:sz w:val="28"/>
          <w:highlight w:val="none"/>
        </w:rPr>
        <w:br w:type="page"/>
      </w:r>
      <w:bookmarkStart w:id="227" w:name="_Toc20977"/>
      <w:bookmarkStart w:id="228" w:name="_Toc27519"/>
      <w:bookmarkStart w:id="229" w:name="_Toc29951"/>
      <w:bookmarkStart w:id="230" w:name="_Toc18398_WPSOffice_Level1"/>
      <w:bookmarkStart w:id="231" w:name="_Toc12151"/>
      <w:bookmarkStart w:id="232" w:name="_Toc30554_WPSOffice_Level1"/>
      <w:r>
        <w:rPr>
          <w:rFonts w:hint="eastAsia" w:ascii="宋体" w:hAnsi="宋体"/>
          <w:b/>
          <w:bCs/>
          <w:color w:val="000000"/>
          <w:kern w:val="44"/>
          <w:sz w:val="28"/>
          <w:highlight w:val="none"/>
        </w:rPr>
        <w:t>四、授权委托书</w:t>
      </w:r>
      <w:bookmarkEnd w:id="227"/>
      <w:bookmarkEnd w:id="228"/>
      <w:bookmarkEnd w:id="229"/>
      <w:bookmarkEnd w:id="230"/>
      <w:bookmarkEnd w:id="231"/>
      <w:bookmarkEnd w:id="232"/>
    </w:p>
    <w:p w14:paraId="4293BD45">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本人</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sz w:val="24"/>
          <w:highlight w:val="none"/>
        </w:rPr>
        <w:t>供应商</w:t>
      </w:r>
      <w:r>
        <w:rPr>
          <w:rFonts w:hint="eastAsia" w:ascii="宋体" w:hAnsi="宋体"/>
          <w:color w:val="000000"/>
          <w:sz w:val="24"/>
          <w:highlight w:val="none"/>
        </w:rPr>
        <w:t>名称）的法定代表人，现委托</w:t>
      </w:r>
      <w:r>
        <w:rPr>
          <w:rFonts w:hint="eastAsia" w:ascii="宋体" w:hAnsi="宋体"/>
          <w:color w:val="000000"/>
          <w:sz w:val="24"/>
          <w:highlight w:val="none"/>
          <w:u w:val="single"/>
        </w:rPr>
        <w:t xml:space="preserve">     </w:t>
      </w:r>
      <w:r>
        <w:rPr>
          <w:rFonts w:hint="eastAsia" w:ascii="宋体" w:hAnsi="宋体"/>
          <w:color w:val="000000"/>
          <w:sz w:val="24"/>
          <w:highlight w:val="none"/>
        </w:rPr>
        <w:t>（姓名）为我方代理人。代理人根据授权，以我方名义签署、澄清、说明、补正、递交、撤回、修改</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标段（所投标段）响应文件、签订合同和处理有关事宜，其法律后果由我方承担。</w:t>
      </w:r>
    </w:p>
    <w:p w14:paraId="0B1ACBD0">
      <w:pPr>
        <w:spacing w:before="317" w:beforeLines="100"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代理人无转委托权。</w:t>
      </w:r>
    </w:p>
    <w:p w14:paraId="58423A2A">
      <w:pPr>
        <w:spacing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附：法定代表人身份证复印件、被授权委托人身份证复印件</w:t>
      </w:r>
    </w:p>
    <w:p w14:paraId="26C512FD">
      <w:pPr>
        <w:spacing w:line="500" w:lineRule="exact"/>
        <w:rPr>
          <w:rFonts w:ascii="宋体" w:hAnsi="宋体"/>
          <w:color w:val="000000"/>
          <w:sz w:val="24"/>
          <w:highlight w:val="none"/>
        </w:rPr>
      </w:pPr>
    </w:p>
    <w:p w14:paraId="15EC0D3B">
      <w:pPr>
        <w:ind w:firstLine="2700" w:firstLineChars="1125"/>
        <w:rPr>
          <w:rFonts w:ascii="宋体" w:hAnsi="宋体"/>
          <w:color w:val="000000"/>
          <w:sz w:val="24"/>
          <w:highlight w:val="none"/>
        </w:rPr>
      </w:pPr>
      <w:r>
        <w:rPr>
          <w:rFonts w:hint="eastAsia" w:ascii="宋体" w:hAnsi="宋体"/>
          <w:color w:val="000000"/>
          <w:sz w:val="24"/>
          <w:highlight w:val="none"/>
        </w:rPr>
        <w:t>供应商：（电子签章）</w:t>
      </w:r>
    </w:p>
    <w:p w14:paraId="1822DB43">
      <w:pPr>
        <w:ind w:firstLine="2700" w:firstLineChars="1125"/>
        <w:rPr>
          <w:rFonts w:ascii="宋体" w:hAnsi="宋体"/>
          <w:color w:val="000000"/>
          <w:sz w:val="24"/>
          <w:highlight w:val="none"/>
        </w:rPr>
      </w:pPr>
    </w:p>
    <w:p w14:paraId="17F2CCE3">
      <w:pPr>
        <w:ind w:firstLine="2700" w:firstLineChars="1125"/>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34B92712">
      <w:pPr>
        <w:ind w:firstLine="2700" w:firstLineChars="1125"/>
        <w:rPr>
          <w:rFonts w:ascii="宋体" w:hAnsi="宋体"/>
          <w:color w:val="000000"/>
          <w:sz w:val="24"/>
          <w:highlight w:val="none"/>
        </w:rPr>
      </w:pPr>
    </w:p>
    <w:p w14:paraId="0852A605">
      <w:pPr>
        <w:ind w:firstLine="2700" w:firstLineChars="1125"/>
        <w:rPr>
          <w:rFonts w:ascii="宋体" w:hAnsi="宋体"/>
          <w:color w:val="000000"/>
          <w:sz w:val="24"/>
          <w:highlight w:val="none"/>
        </w:rPr>
      </w:pPr>
    </w:p>
    <w:p w14:paraId="0F6D6630">
      <w:pPr>
        <w:ind w:firstLine="4380" w:firstLineChars="1825"/>
        <w:rPr>
          <w:rFonts w:ascii="宋体" w:hAnsi="宋体"/>
          <w:color w:val="000000"/>
          <w:sz w:val="24"/>
          <w:highlight w:val="none"/>
        </w:rPr>
      </w:pPr>
      <w:r>
        <w:rPr>
          <w:rFonts w:hint="eastAsia" w:ascii="宋体" w:hAnsi="宋体"/>
          <w:color w:val="000000"/>
          <w:sz w:val="24"/>
          <w:highlight w:val="none"/>
        </w:rPr>
        <w:t>年  月  日</w:t>
      </w:r>
    </w:p>
    <w:p w14:paraId="2F33117E">
      <w:pPr>
        <w:widowControl/>
        <w:jc w:val="left"/>
        <w:rPr>
          <w:rFonts w:ascii="宋体" w:hAnsi="宋体"/>
          <w:color w:val="000000"/>
          <w:kern w:val="0"/>
          <w:sz w:val="24"/>
          <w:highlight w:val="none"/>
        </w:rPr>
      </w:pPr>
    </w:p>
    <w:p w14:paraId="1D5891D0">
      <w:pPr>
        <w:widowControl/>
        <w:jc w:val="left"/>
        <w:rPr>
          <w:rFonts w:ascii="宋体" w:hAnsi="宋体"/>
          <w:color w:val="000000"/>
          <w:kern w:val="0"/>
          <w:sz w:val="24"/>
          <w:highlight w:val="none"/>
        </w:rPr>
      </w:pPr>
    </w:p>
    <w:p w14:paraId="6FB62114">
      <w:pPr>
        <w:widowControl/>
        <w:jc w:val="left"/>
        <w:rPr>
          <w:rFonts w:ascii="宋体" w:hAnsi="宋体"/>
          <w:color w:val="000000"/>
          <w:kern w:val="0"/>
          <w:sz w:val="24"/>
          <w:highlight w:val="none"/>
        </w:rPr>
      </w:pPr>
    </w:p>
    <w:p w14:paraId="34B9B1FA">
      <w:pPr>
        <w:rPr>
          <w:rFonts w:ascii="宋体" w:hAnsi="宋体"/>
          <w:color w:val="000000"/>
          <w:highlight w:val="none"/>
        </w:rPr>
        <w:sectPr>
          <w:footerReference r:id="rId6" w:type="first"/>
          <w:footerReference r:id="rId5" w:type="default"/>
          <w:pgSz w:w="11906" w:h="16838"/>
          <w:pgMar w:top="1440" w:right="1361" w:bottom="1440" w:left="1587" w:header="851" w:footer="992" w:gutter="0"/>
          <w:pgNumType w:start="1"/>
          <w:cols w:space="720" w:num="1"/>
          <w:docGrid w:type="lines" w:linePitch="317" w:charSpace="0"/>
        </w:sectPr>
      </w:pPr>
    </w:p>
    <w:p w14:paraId="2C4B054F">
      <w:pPr>
        <w:spacing w:line="540" w:lineRule="exact"/>
        <w:jc w:val="center"/>
        <w:rPr>
          <w:rFonts w:ascii="宋体" w:hAnsi="宋体" w:cs="宋体"/>
          <w:b/>
          <w:sz w:val="32"/>
          <w:szCs w:val="32"/>
          <w:highlight w:val="none"/>
        </w:rPr>
      </w:pPr>
      <w:bookmarkStart w:id="233" w:name="_Toc27298"/>
      <w:bookmarkStart w:id="234" w:name="_Toc8764_WPSOffice_Level1"/>
      <w:bookmarkStart w:id="235" w:name="_Toc29941_WPSOffice_Level1"/>
      <w:bookmarkStart w:id="236" w:name="_Toc466566721"/>
      <w:bookmarkStart w:id="237" w:name="_Toc27393"/>
      <w:bookmarkStart w:id="238" w:name="_Toc5638"/>
      <w:bookmarkStart w:id="239" w:name="_Toc23737"/>
      <w:r>
        <w:rPr>
          <w:rFonts w:hint="eastAsia" w:ascii="宋体" w:hAnsi="宋体" w:cs="宋体"/>
          <w:b/>
          <w:bCs/>
          <w:sz w:val="32"/>
          <w:szCs w:val="32"/>
          <w:highlight w:val="none"/>
        </w:rPr>
        <w:t>五、</w:t>
      </w:r>
      <w:r>
        <w:rPr>
          <w:rFonts w:hint="eastAsia" w:ascii="宋体" w:hAnsi="宋体" w:cs="宋体"/>
          <w:b/>
          <w:sz w:val="32"/>
          <w:szCs w:val="32"/>
          <w:highlight w:val="none"/>
        </w:rPr>
        <w:t>磋商承诺函</w:t>
      </w:r>
    </w:p>
    <w:p w14:paraId="4561753C">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致（采购人及采购代理机构）：</w:t>
      </w:r>
    </w:p>
    <w:p w14:paraId="68B6513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我公司作为本次采购项目的供应商，根据招标文件要求，现郑重承诺如下：</w:t>
      </w:r>
    </w:p>
    <w:p w14:paraId="5F431F3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一、具备《中华人民共和国政府采购法》第二十二条第一款和本项目规定的条件：</w:t>
      </w:r>
    </w:p>
    <w:p w14:paraId="39F76DF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（一）具有独立承担民事责任的能力；</w:t>
      </w:r>
    </w:p>
    <w:p w14:paraId="7B8F62A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（二）具有良好的商业信誉和健全的财务会计制度；</w:t>
      </w:r>
    </w:p>
    <w:p w14:paraId="403907A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（三）具有履行合同所必需的设备和专业技术能力；</w:t>
      </w:r>
    </w:p>
    <w:p w14:paraId="3CADE4D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（四）有依法缴纳税收和社会保障资金的良好记录；</w:t>
      </w:r>
    </w:p>
    <w:p w14:paraId="3DA7DCC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（五）参加政府采购活动前三年内，在经营活动中没有重大违法记录；</w:t>
      </w:r>
    </w:p>
    <w:p w14:paraId="021B4DF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（六）法律、行政法规规定的其他条件；</w:t>
      </w:r>
    </w:p>
    <w:p w14:paraId="3890617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（七）根据采购项目提出的特殊条件。</w:t>
      </w:r>
    </w:p>
    <w:p w14:paraId="281085E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0317D7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三、参加本次招标采购活动，不存在与单位负责人为同一人或者存在直接控股、管理关系的其他供应商参与同一合同项下的政府采购活动的行为。</w:t>
      </w:r>
    </w:p>
    <w:p w14:paraId="5194DE47">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四、参加本次招标采购活动，不存在为采购项目提供整体设计、规范编制或者项目管理、监理、检测等服务的行为。</w:t>
      </w:r>
    </w:p>
    <w:p w14:paraId="34A306C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五、参加本次招标采购活动，不存在和其他供应商在同一合同项下的采购项目中，同时委托同一个自然人、同一家庭的人员、同一单位的人员作为代理人的行为。</w:t>
      </w:r>
    </w:p>
    <w:p w14:paraId="2B8A563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六、供应商参加本次政府采购活动要求在近三年内供应商和其法定代表人没有行贿犯罪行为。</w:t>
      </w:r>
    </w:p>
    <w:p w14:paraId="398EC2D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七、参加本次招标采购活动，不存在联合体投标。</w:t>
      </w:r>
    </w:p>
    <w:p w14:paraId="7910731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八、投标文件中提供的能够给予我公司带来优惠、好处的任何材料资料和技术、服务、商务等响应承诺情况都是真实的、有效的、合法的。</w:t>
      </w:r>
    </w:p>
    <w:p w14:paraId="6D11947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52EB5B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十、存在以下行为之一的愿意接受相关部门的处理：</w:t>
      </w:r>
    </w:p>
    <w:p w14:paraId="3E59B23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（一）磋商有效期内撤销投标文件的；</w:t>
      </w:r>
    </w:p>
    <w:p w14:paraId="19A9990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（二）在采购人确定中标人以前放弃中标候选资格的；</w:t>
      </w:r>
    </w:p>
    <w:p w14:paraId="2F02461D">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（三）由于中标人的原因未能按照招标文件的规定与采购人签订合同；</w:t>
      </w:r>
    </w:p>
    <w:p w14:paraId="37884E0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（四）在投标文件中提供虚假材料谋取中标；</w:t>
      </w:r>
    </w:p>
    <w:p w14:paraId="40601FB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（五）与采购人、其他供应商或者采购代理机构恶意串通的；</w:t>
      </w:r>
    </w:p>
    <w:p w14:paraId="2801C4F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（六）磋商有效期内，供应商在政府采购活动中有违法、违规、违纪行为。</w:t>
      </w:r>
    </w:p>
    <w:p w14:paraId="18C668E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由此产生的一切法律后果和责任由我公司承担。我公司声明放弃对此提出任何异议和追索的权利。</w:t>
      </w:r>
    </w:p>
    <w:p w14:paraId="617C2E6C">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本公司对上述承诺的内容事项真实性负责。如经查实上述承诺的内容事项存在虚假，我公司愿意接受以提供虚假材料谋取中标追究法律责任。</w:t>
      </w:r>
    </w:p>
    <w:p w14:paraId="1A7EEA2C">
      <w:pPr>
        <w:spacing w:line="360" w:lineRule="auto"/>
        <w:ind w:firstLine="480" w:firstLineChars="200"/>
        <w:rPr>
          <w:rFonts w:ascii="宋体" w:hAnsi="宋体" w:cs="宋体"/>
          <w:sz w:val="24"/>
          <w:szCs w:val="32"/>
          <w:highlight w:val="none"/>
        </w:rPr>
      </w:pPr>
    </w:p>
    <w:p w14:paraId="5B56A30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3EC453F5">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61FB190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w:t>
      </w:r>
    </w:p>
    <w:p w14:paraId="7D125CFB">
      <w:pPr>
        <w:rPr>
          <w:rFonts w:ascii="宋体" w:hAnsi="宋体"/>
          <w:b/>
          <w:bCs/>
          <w:color w:val="000000"/>
          <w:kern w:val="44"/>
          <w:sz w:val="28"/>
          <w:highlight w:val="none"/>
        </w:rPr>
      </w:pPr>
    </w:p>
    <w:p w14:paraId="7D3697D8">
      <w:pPr>
        <w:rPr>
          <w:rFonts w:ascii="宋体" w:hAnsi="宋体"/>
          <w:b/>
          <w:bCs/>
          <w:color w:val="000000"/>
          <w:kern w:val="44"/>
          <w:sz w:val="28"/>
          <w:highlight w:val="none"/>
        </w:rPr>
      </w:pPr>
      <w:r>
        <w:rPr>
          <w:rFonts w:hint="eastAsia" w:ascii="宋体" w:hAnsi="宋体"/>
          <w:b/>
          <w:bCs/>
          <w:color w:val="000000"/>
          <w:kern w:val="44"/>
          <w:sz w:val="28"/>
          <w:highlight w:val="none"/>
        </w:rPr>
        <w:br w:type="page"/>
      </w:r>
    </w:p>
    <w:p w14:paraId="09A43B0A">
      <w:pPr>
        <w:jc w:val="center"/>
        <w:rPr>
          <w:rFonts w:ascii="宋体" w:hAnsi="宋体"/>
          <w:b/>
          <w:bCs/>
          <w:color w:val="000000"/>
          <w:kern w:val="44"/>
          <w:sz w:val="28"/>
          <w:highlight w:val="none"/>
        </w:rPr>
      </w:pPr>
      <w:r>
        <w:rPr>
          <w:rFonts w:hint="eastAsia" w:ascii="宋体" w:hAnsi="宋体"/>
          <w:b/>
          <w:bCs/>
          <w:color w:val="000000"/>
          <w:kern w:val="44"/>
          <w:sz w:val="28"/>
          <w:highlight w:val="none"/>
        </w:rPr>
        <w:t>六、供应商资格审查资料</w:t>
      </w:r>
    </w:p>
    <w:p w14:paraId="3E3AED15">
      <w:pPr>
        <w:widowControl/>
        <w:spacing w:line="480" w:lineRule="exact"/>
        <w:ind w:firstLine="480" w:firstLineChars="200"/>
        <w:rPr>
          <w:rFonts w:ascii="宋体" w:hAnsi="宋体" w:cs="宋体"/>
          <w:bCs/>
          <w:sz w:val="24"/>
          <w:highlight w:val="none"/>
        </w:rPr>
      </w:pPr>
    </w:p>
    <w:p w14:paraId="1B246CC5">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67635649">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3CA23304">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593F8FEC">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038F284F">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0CA0605C">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96F334A">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B4433FA">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1FF6FCC4">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5A00477A">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60A96194">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p>
    <w:p w14:paraId="6576A086">
      <w:pPr>
        <w:keepNext/>
        <w:keepLines/>
        <w:spacing w:line="660" w:lineRule="exact"/>
        <w:jc w:val="center"/>
        <w:outlineLvl w:val="0"/>
        <w:rPr>
          <w:rFonts w:ascii="宋体" w:hAnsi="宋体"/>
          <w:b/>
          <w:bCs/>
          <w:color w:val="000000"/>
          <w:kern w:val="44"/>
          <w:sz w:val="28"/>
          <w:highlight w:val="none"/>
        </w:rPr>
      </w:pPr>
      <w:r>
        <w:rPr>
          <w:rFonts w:hint="eastAsia" w:ascii="宋体" w:hAnsi="宋体"/>
          <w:b/>
          <w:bCs/>
          <w:color w:val="000000"/>
          <w:kern w:val="44"/>
          <w:sz w:val="28"/>
          <w:highlight w:val="none"/>
        </w:rPr>
        <w:t>七、</w:t>
      </w:r>
      <w:bookmarkEnd w:id="233"/>
      <w:bookmarkEnd w:id="234"/>
      <w:bookmarkEnd w:id="235"/>
      <w:bookmarkEnd w:id="236"/>
      <w:bookmarkEnd w:id="237"/>
      <w:bookmarkEnd w:id="238"/>
      <w:bookmarkEnd w:id="239"/>
      <w:r>
        <w:rPr>
          <w:rFonts w:hint="eastAsia" w:ascii="宋体" w:hAnsi="宋体"/>
          <w:b/>
          <w:bCs/>
          <w:color w:val="000000"/>
          <w:kern w:val="44"/>
          <w:sz w:val="28"/>
          <w:highlight w:val="none"/>
        </w:rPr>
        <w:t>报价明细表</w:t>
      </w:r>
      <w:r>
        <w:rPr>
          <w:rFonts w:hint="eastAsia" w:ascii="宋体" w:hAnsi="宋体"/>
          <w:b/>
          <w:bCs/>
          <w:color w:val="000000"/>
          <w:kern w:val="44"/>
          <w:sz w:val="28"/>
          <w:highlight w:val="none"/>
        </w:rPr>
        <w:br w:type="textWrapping"/>
      </w:r>
    </w:p>
    <w:tbl>
      <w:tblPr>
        <w:tblStyle w:val="1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54"/>
        <w:gridCol w:w="1916"/>
        <w:gridCol w:w="1717"/>
        <w:gridCol w:w="1450"/>
        <w:gridCol w:w="1169"/>
      </w:tblGrid>
      <w:tr w14:paraId="4839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0" w:type="dxa"/>
            <w:vAlign w:val="center"/>
          </w:tcPr>
          <w:p w14:paraId="5D065CFF">
            <w:pPr>
              <w:jc w:val="center"/>
              <w:rPr>
                <w:rFonts w:ascii="宋体" w:hAnsi="宋体"/>
                <w:sz w:val="28"/>
                <w:highlight w:val="none"/>
              </w:rPr>
            </w:pPr>
            <w:r>
              <w:rPr>
                <w:rFonts w:hint="eastAsia" w:ascii="宋体" w:hAnsi="宋体"/>
                <w:sz w:val="28"/>
                <w:highlight w:val="none"/>
              </w:rPr>
              <w:t>标段</w:t>
            </w:r>
          </w:p>
        </w:tc>
        <w:tc>
          <w:tcPr>
            <w:tcW w:w="1554" w:type="dxa"/>
            <w:vAlign w:val="center"/>
          </w:tcPr>
          <w:p w14:paraId="1A1F82B9">
            <w:pPr>
              <w:jc w:val="center"/>
              <w:rPr>
                <w:rFonts w:ascii="宋体" w:hAnsi="宋体"/>
                <w:sz w:val="28"/>
                <w:highlight w:val="none"/>
              </w:rPr>
            </w:pPr>
            <w:r>
              <w:rPr>
                <w:rFonts w:hint="eastAsia" w:ascii="宋体" w:hAnsi="宋体"/>
                <w:sz w:val="28"/>
                <w:highlight w:val="none"/>
              </w:rPr>
              <w:t>采购内容</w:t>
            </w:r>
          </w:p>
        </w:tc>
        <w:tc>
          <w:tcPr>
            <w:tcW w:w="1916" w:type="dxa"/>
            <w:vAlign w:val="center"/>
          </w:tcPr>
          <w:p w14:paraId="291EA16A">
            <w:pPr>
              <w:jc w:val="center"/>
              <w:rPr>
                <w:rFonts w:hint="eastAsia" w:ascii="宋体" w:hAnsi="宋体" w:eastAsia="宋体"/>
                <w:sz w:val="28"/>
                <w:highlight w:val="none"/>
                <w:lang w:eastAsia="zh-CN"/>
              </w:rPr>
            </w:pPr>
            <w:r>
              <w:rPr>
                <w:rFonts w:hint="eastAsia" w:ascii="宋体" w:hAnsi="宋体"/>
                <w:sz w:val="28"/>
                <w:highlight w:val="none"/>
                <w:lang w:eastAsia="zh-CN"/>
              </w:rPr>
              <w:t>数量（亩</w:t>
            </w:r>
            <w:r>
              <w:rPr>
                <w:rFonts w:hint="eastAsia" w:ascii="宋体" w:hAnsi="宋体"/>
                <w:sz w:val="28"/>
                <w:highlight w:val="none"/>
                <w:lang w:val="en-US" w:eastAsia="zh-CN"/>
              </w:rPr>
              <w:t>/公斤</w:t>
            </w:r>
            <w:r>
              <w:rPr>
                <w:rFonts w:hint="eastAsia" w:ascii="宋体" w:hAnsi="宋体"/>
                <w:sz w:val="28"/>
                <w:highlight w:val="none"/>
                <w:lang w:eastAsia="zh-CN"/>
              </w:rPr>
              <w:t>）</w:t>
            </w:r>
          </w:p>
        </w:tc>
        <w:tc>
          <w:tcPr>
            <w:tcW w:w="1717" w:type="dxa"/>
            <w:vAlign w:val="center"/>
          </w:tcPr>
          <w:p w14:paraId="44B1D411">
            <w:pPr>
              <w:jc w:val="center"/>
              <w:rPr>
                <w:rFonts w:ascii="宋体" w:hAnsi="宋体"/>
                <w:sz w:val="28"/>
                <w:highlight w:val="none"/>
              </w:rPr>
            </w:pPr>
            <w:r>
              <w:rPr>
                <w:rFonts w:hint="eastAsia" w:ascii="宋体" w:hAnsi="宋体"/>
                <w:sz w:val="28"/>
                <w:highlight w:val="none"/>
              </w:rPr>
              <w:t>单价（元</w:t>
            </w:r>
            <w:r>
              <w:rPr>
                <w:rFonts w:hint="eastAsia" w:ascii="宋体" w:hAnsi="宋体"/>
                <w:sz w:val="28"/>
                <w:highlight w:val="none"/>
                <w:lang w:val="en-US" w:eastAsia="zh-CN"/>
              </w:rPr>
              <w:t>/亩/公斤</w:t>
            </w:r>
            <w:r>
              <w:rPr>
                <w:rFonts w:hint="eastAsia" w:ascii="宋体" w:hAnsi="宋体"/>
                <w:sz w:val="28"/>
                <w:highlight w:val="none"/>
              </w:rPr>
              <w:t>）</w:t>
            </w:r>
          </w:p>
        </w:tc>
        <w:tc>
          <w:tcPr>
            <w:tcW w:w="1450" w:type="dxa"/>
            <w:vAlign w:val="center"/>
          </w:tcPr>
          <w:p w14:paraId="468407AC">
            <w:pPr>
              <w:jc w:val="center"/>
              <w:rPr>
                <w:rFonts w:ascii="宋体" w:hAnsi="宋体"/>
                <w:sz w:val="28"/>
                <w:highlight w:val="none"/>
              </w:rPr>
            </w:pPr>
            <w:r>
              <w:rPr>
                <w:rFonts w:hint="eastAsia" w:ascii="宋体" w:hAnsi="宋体"/>
                <w:sz w:val="28"/>
                <w:highlight w:val="none"/>
              </w:rPr>
              <w:t>金额（元）</w:t>
            </w:r>
          </w:p>
        </w:tc>
        <w:tc>
          <w:tcPr>
            <w:tcW w:w="1169" w:type="dxa"/>
            <w:vAlign w:val="center"/>
          </w:tcPr>
          <w:p w14:paraId="10E46D2D">
            <w:pPr>
              <w:jc w:val="center"/>
              <w:rPr>
                <w:rFonts w:ascii="宋体" w:hAnsi="宋体"/>
                <w:sz w:val="28"/>
                <w:highlight w:val="none"/>
              </w:rPr>
            </w:pPr>
            <w:r>
              <w:rPr>
                <w:rFonts w:hint="eastAsia" w:ascii="宋体" w:hAnsi="宋体"/>
                <w:sz w:val="28"/>
                <w:highlight w:val="none"/>
              </w:rPr>
              <w:t>备注</w:t>
            </w:r>
          </w:p>
        </w:tc>
      </w:tr>
      <w:tr w14:paraId="42D2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70" w:type="dxa"/>
            <w:vAlign w:val="center"/>
          </w:tcPr>
          <w:p w14:paraId="139A32F6">
            <w:pPr>
              <w:jc w:val="center"/>
              <w:rPr>
                <w:highlight w:val="none"/>
              </w:rPr>
            </w:pPr>
          </w:p>
        </w:tc>
        <w:tc>
          <w:tcPr>
            <w:tcW w:w="1554" w:type="dxa"/>
            <w:vAlign w:val="center"/>
          </w:tcPr>
          <w:p w14:paraId="2472544C">
            <w:pPr>
              <w:jc w:val="center"/>
              <w:rPr>
                <w:highlight w:val="none"/>
              </w:rPr>
            </w:pPr>
          </w:p>
        </w:tc>
        <w:tc>
          <w:tcPr>
            <w:tcW w:w="1916" w:type="dxa"/>
            <w:vAlign w:val="center"/>
          </w:tcPr>
          <w:p w14:paraId="5CD41B0C">
            <w:pPr>
              <w:jc w:val="left"/>
              <w:rPr>
                <w:highlight w:val="none"/>
              </w:rPr>
            </w:pPr>
          </w:p>
        </w:tc>
        <w:tc>
          <w:tcPr>
            <w:tcW w:w="1717" w:type="dxa"/>
            <w:vAlign w:val="center"/>
          </w:tcPr>
          <w:p w14:paraId="0E93DA41">
            <w:pPr>
              <w:jc w:val="center"/>
              <w:rPr>
                <w:highlight w:val="none"/>
              </w:rPr>
            </w:pPr>
          </w:p>
        </w:tc>
        <w:tc>
          <w:tcPr>
            <w:tcW w:w="1450" w:type="dxa"/>
            <w:vAlign w:val="center"/>
          </w:tcPr>
          <w:p w14:paraId="0044FBAF">
            <w:pPr>
              <w:jc w:val="center"/>
              <w:rPr>
                <w:highlight w:val="none"/>
              </w:rPr>
            </w:pPr>
          </w:p>
        </w:tc>
        <w:tc>
          <w:tcPr>
            <w:tcW w:w="1169" w:type="dxa"/>
            <w:vAlign w:val="center"/>
          </w:tcPr>
          <w:p w14:paraId="0ADC3183">
            <w:pPr>
              <w:jc w:val="center"/>
              <w:rPr>
                <w:rFonts w:eastAsiaTheme="minorEastAsia"/>
                <w:highlight w:val="none"/>
              </w:rPr>
            </w:pPr>
          </w:p>
        </w:tc>
      </w:tr>
    </w:tbl>
    <w:p w14:paraId="0998C234">
      <w:pPr>
        <w:adjustRightInd w:val="0"/>
        <w:spacing w:line="560" w:lineRule="exact"/>
        <w:rPr>
          <w:rFonts w:ascii="宋体" w:hAnsi="宋体" w:cs="宋体"/>
          <w:kern w:val="0"/>
          <w:sz w:val="24"/>
          <w:szCs w:val="20"/>
          <w:highlight w:val="none"/>
        </w:rPr>
      </w:pPr>
    </w:p>
    <w:p w14:paraId="20420599">
      <w:pPr>
        <w:adjustRightInd w:val="0"/>
        <w:spacing w:line="560" w:lineRule="exact"/>
        <w:rPr>
          <w:rFonts w:ascii="宋体" w:hAnsi="宋体"/>
          <w:bCs/>
          <w:sz w:val="24"/>
          <w:highlight w:val="none"/>
        </w:rPr>
      </w:pPr>
      <w:r>
        <w:rPr>
          <w:rFonts w:hint="eastAsia" w:ascii="宋体" w:hAnsi="宋体" w:cs="宋体"/>
          <w:kern w:val="0"/>
          <w:sz w:val="24"/>
          <w:szCs w:val="20"/>
          <w:highlight w:val="none"/>
        </w:rPr>
        <w:t>说明：1.</w:t>
      </w:r>
      <w:r>
        <w:rPr>
          <w:rFonts w:hint="eastAsia" w:ascii="宋体" w:hAnsi="宋体"/>
          <w:bCs/>
          <w:sz w:val="24"/>
          <w:highlight w:val="none"/>
        </w:rPr>
        <w:t xml:space="preserve"> 报价合计金额应与投标报价表一致。</w:t>
      </w:r>
    </w:p>
    <w:p w14:paraId="346B9DE8">
      <w:pPr>
        <w:adjustRightInd w:val="0"/>
        <w:spacing w:line="560" w:lineRule="exact"/>
        <w:ind w:firstLine="720" w:firstLineChars="300"/>
        <w:rPr>
          <w:rFonts w:ascii="宋体" w:hAnsi="宋体" w:cs="宋体"/>
          <w:kern w:val="0"/>
          <w:sz w:val="24"/>
          <w:szCs w:val="20"/>
          <w:highlight w:val="none"/>
        </w:rPr>
      </w:pPr>
      <w:r>
        <w:rPr>
          <w:rFonts w:hint="eastAsia" w:ascii="宋体" w:hAnsi="宋体"/>
          <w:bCs/>
          <w:sz w:val="24"/>
          <w:highlight w:val="none"/>
        </w:rPr>
        <w:t>2. 供应商可根据实际情况增减行。</w:t>
      </w:r>
    </w:p>
    <w:p w14:paraId="72F44BFE">
      <w:pPr>
        <w:spacing w:line="440" w:lineRule="atLeast"/>
        <w:rPr>
          <w:rFonts w:ascii="宋体" w:hAnsi="宋体"/>
          <w:color w:val="000000"/>
          <w:highlight w:val="none"/>
        </w:rPr>
      </w:pPr>
      <w:r>
        <w:rPr>
          <w:rFonts w:hint="eastAsia" w:ascii="宋体" w:hAnsi="宋体" w:cs="宋体"/>
          <w:kern w:val="0"/>
          <w:sz w:val="24"/>
          <w:szCs w:val="20"/>
          <w:highlight w:val="none"/>
        </w:rPr>
        <w:t xml:space="preserve">      3.</w:t>
      </w:r>
      <w:r>
        <w:rPr>
          <w:rFonts w:hint="eastAsia" w:ascii="宋体" w:hAnsi="宋体" w:cs="宋体"/>
          <w:sz w:val="24"/>
          <w:highlight w:val="none"/>
        </w:rPr>
        <w:t xml:space="preserve"> 投标报价中包含此项目相关的所有费用。</w:t>
      </w:r>
    </w:p>
    <w:p w14:paraId="1A3577E0">
      <w:pPr>
        <w:spacing w:line="440" w:lineRule="atLeast"/>
        <w:ind w:firstLine="420" w:firstLineChars="200"/>
        <w:jc w:val="center"/>
        <w:rPr>
          <w:rFonts w:ascii="宋体" w:hAnsi="宋体"/>
          <w:color w:val="000000"/>
          <w:highlight w:val="none"/>
        </w:rPr>
      </w:pPr>
    </w:p>
    <w:p w14:paraId="5B1A605E">
      <w:pPr>
        <w:spacing w:line="440" w:lineRule="atLeast"/>
        <w:ind w:firstLine="420" w:firstLineChars="200"/>
        <w:jc w:val="center"/>
        <w:rPr>
          <w:rFonts w:ascii="宋体" w:hAnsi="宋体"/>
          <w:color w:val="000000"/>
          <w:highlight w:val="none"/>
        </w:rPr>
      </w:pPr>
    </w:p>
    <w:p w14:paraId="6228D01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0CD9D32E">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2D4298B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日期：年  月   日</w:t>
      </w:r>
    </w:p>
    <w:p w14:paraId="1E7966AA">
      <w:pPr>
        <w:rPr>
          <w:rFonts w:ascii="宋体" w:hAnsi="宋体"/>
          <w:color w:val="000000"/>
          <w:highlight w:val="none"/>
        </w:rPr>
      </w:pPr>
      <w:r>
        <w:rPr>
          <w:rFonts w:hint="eastAsia" w:ascii="宋体" w:hAnsi="宋体" w:cs="宋体"/>
          <w:sz w:val="24"/>
          <w:szCs w:val="32"/>
          <w:highlight w:val="none"/>
        </w:rPr>
        <w:br w:type="page"/>
      </w:r>
    </w:p>
    <w:p w14:paraId="0126C8A2">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八、技术部分</w:t>
      </w:r>
    </w:p>
    <w:p w14:paraId="7AB57B05">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7A8D6060">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九、</w:t>
      </w:r>
      <w:bookmarkStart w:id="240" w:name="_Toc16770593"/>
      <w:r>
        <w:rPr>
          <w:rFonts w:hint="eastAsia" w:ascii="宋体" w:hAnsi="宋体"/>
          <w:b/>
          <w:bCs/>
          <w:color w:val="000000"/>
          <w:kern w:val="44"/>
          <w:sz w:val="28"/>
          <w:szCs w:val="28"/>
          <w:highlight w:val="none"/>
        </w:rPr>
        <w:t>商务部分</w:t>
      </w:r>
    </w:p>
    <w:p w14:paraId="2301C7CB">
      <w:pPr>
        <w:jc w:val="center"/>
        <w:rPr>
          <w:rFonts w:ascii="宋体" w:hAnsi="宋体"/>
          <w:b/>
          <w:bCs/>
          <w:color w:val="000000"/>
          <w:kern w:val="44"/>
          <w:sz w:val="28"/>
          <w:szCs w:val="28"/>
          <w:highlight w:val="none"/>
        </w:rPr>
      </w:pPr>
    </w:p>
    <w:p w14:paraId="5B4ECEE6">
      <w:pPr>
        <w:jc w:val="center"/>
        <w:rPr>
          <w:rFonts w:ascii="宋体" w:hAnsi="宋体"/>
          <w:b/>
          <w:bCs/>
          <w:color w:val="000000"/>
          <w:kern w:val="44"/>
          <w:sz w:val="28"/>
          <w:szCs w:val="28"/>
          <w:highlight w:val="none"/>
        </w:rPr>
      </w:pPr>
    </w:p>
    <w:p w14:paraId="260AE1AA">
      <w:pP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4ED9F667">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十、供应商认为有必要提供的其他资料</w:t>
      </w:r>
      <w:bookmarkEnd w:id="240"/>
    </w:p>
    <w:p w14:paraId="4D41D301">
      <w:pPr>
        <w:pStyle w:val="4"/>
        <w:rPr>
          <w:rFonts w:ascii="宋体" w:hAnsi="宋体" w:cs="宋体"/>
          <w:sz w:val="24"/>
          <w:szCs w:val="24"/>
          <w:highlight w:val="none"/>
        </w:rPr>
      </w:pPr>
      <w:r>
        <w:rPr>
          <w:rFonts w:hint="eastAsia" w:ascii="宋体" w:hAnsi="宋体" w:cs="宋体"/>
          <w:sz w:val="24"/>
          <w:szCs w:val="24"/>
          <w:highlight w:val="none"/>
        </w:rPr>
        <w:t>（一）招标文件要求提供的其他材料</w:t>
      </w:r>
    </w:p>
    <w:p w14:paraId="071AAE41">
      <w:pPr>
        <w:pStyle w:val="4"/>
        <w:rPr>
          <w:rFonts w:ascii="宋体" w:hAnsi="宋体" w:cs="宋体"/>
          <w:sz w:val="24"/>
          <w:szCs w:val="24"/>
          <w:highlight w:val="none"/>
        </w:rPr>
      </w:pPr>
      <w:r>
        <w:rPr>
          <w:rFonts w:hint="eastAsia" w:ascii="宋体" w:hAnsi="宋体" w:cs="宋体"/>
          <w:sz w:val="24"/>
          <w:szCs w:val="24"/>
          <w:highlight w:val="none"/>
        </w:rPr>
        <w:t>（二）供应商认为需要提供的其他材料</w:t>
      </w:r>
    </w:p>
    <w:p w14:paraId="377EE3A2">
      <w:pPr>
        <w:rPr>
          <w:highlight w:val="none"/>
        </w:rPr>
      </w:pPr>
    </w:p>
    <w:sectPr>
      <w:headerReference r:id="rId7" w:type="default"/>
      <w:footerReference r:id="rId8" w:type="default"/>
      <w:pgSz w:w="11906" w:h="16838"/>
      <w:pgMar w:top="1440" w:right="1361" w:bottom="1440" w:left="1587" w:header="851" w:footer="454" w:gutter="0"/>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E4E5">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991B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1991B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660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20C5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E20C5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9E1B">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AF08">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8DAF08">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27F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left"/>
      <w:pPr>
        <w:ind w:left="1800" w:firstLine="0"/>
      </w:pPr>
      <w:rPr>
        <w:rFonts w:hint="eastAsia" w:ascii="黑体" w:hAnsi="Times New Roman" w:eastAsia="黑体"/>
        <w:sz w:val="32"/>
      </w:rPr>
    </w:lvl>
    <w:lvl w:ilvl="1" w:tentative="0">
      <w:start w:val="1"/>
      <w:numFmt w:val="upperLetter"/>
      <w:pStyle w:val="2"/>
      <w:suff w:val="nothing"/>
      <w:lvlText w:val="%2"/>
      <w:lvlJc w:val="left"/>
      <w:pPr>
        <w:ind w:left="1680" w:firstLine="0"/>
      </w:pPr>
      <w:rPr>
        <w:rFonts w:hint="eastAsia" w:ascii="CG Times" w:hAnsi="CG Times"/>
        <w:b/>
        <w:i w:val="0"/>
        <w:sz w:val="28"/>
      </w:rPr>
    </w:lvl>
    <w:lvl w:ilvl="2" w:tentative="0">
      <w:start w:val="1"/>
      <w:numFmt w:val="decimal"/>
      <w:suff w:val="nothing"/>
      <w:lvlText w:val="%3"/>
      <w:lvlJc w:val="left"/>
      <w:pPr>
        <w:ind w:left="1800" w:firstLine="0"/>
      </w:pPr>
      <w:rPr>
        <w:rFonts w:hint="eastAsia" w:ascii="宋体" w:hAnsi="Times New Roman"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suff w:val="nothing"/>
      <w:lvlText w:val=""/>
      <w:lvlJc w:val="left"/>
      <w:pPr>
        <w:ind w:left="1800" w:firstLine="0"/>
      </w:pPr>
      <w:rPr>
        <w:rFonts w:hint="eastAsia"/>
      </w:rPr>
    </w:lvl>
    <w:lvl w:ilvl="5" w:tentative="0">
      <w:start w:val="1"/>
      <w:numFmt w:val="none"/>
      <w:suff w:val="nothing"/>
      <w:lvlText w:val=""/>
      <w:lvlJc w:val="left"/>
      <w:pPr>
        <w:ind w:left="1800" w:firstLine="0"/>
      </w:pPr>
      <w:rPr>
        <w:rFonts w:hint="eastAsia"/>
      </w:rPr>
    </w:lvl>
    <w:lvl w:ilvl="6" w:tentative="0">
      <w:start w:val="1"/>
      <w:numFmt w:val="none"/>
      <w:suff w:val="nothing"/>
      <w:lvlText w:val=""/>
      <w:lvlJc w:val="left"/>
      <w:pPr>
        <w:ind w:left="1800" w:firstLine="0"/>
      </w:pPr>
      <w:rPr>
        <w:rFonts w:hint="eastAsia"/>
      </w:rPr>
    </w:lvl>
    <w:lvl w:ilvl="7" w:tentative="0">
      <w:start w:val="1"/>
      <w:numFmt w:val="none"/>
      <w:suff w:val="nothing"/>
      <w:lvlText w:val=""/>
      <w:lvlJc w:val="left"/>
      <w:pPr>
        <w:ind w:left="1800" w:firstLine="0"/>
      </w:pPr>
      <w:rPr>
        <w:rFonts w:hint="eastAsia"/>
      </w:rPr>
    </w:lvl>
    <w:lvl w:ilvl="8" w:tentative="0">
      <w:start w:val="1"/>
      <w:numFmt w:val="none"/>
      <w:suff w:val="nothing"/>
      <w:lvlText w:val=""/>
      <w:lvlJc w:val="left"/>
      <w:pPr>
        <w:ind w:left="1800" w:firstLine="0"/>
      </w:pPr>
      <w:rPr>
        <w:rFonts w:hint="eastAsia"/>
      </w:rPr>
    </w:lvl>
  </w:abstractNum>
  <w:abstractNum w:abstractNumId="1">
    <w:nsid w:val="27F1030B"/>
    <w:multiLevelType w:val="singleLevel"/>
    <w:tmpl w:val="27F1030B"/>
    <w:lvl w:ilvl="0" w:tentative="0">
      <w:start w:val="3"/>
      <w:numFmt w:val="decimal"/>
      <w:suff w:val="nothing"/>
      <w:lvlText w:val="%1、"/>
      <w:lvlJc w:val="left"/>
    </w:lvl>
  </w:abstractNum>
  <w:abstractNum w:abstractNumId="2">
    <w:nsid w:val="2F1DA5BA"/>
    <w:multiLevelType w:val="singleLevel"/>
    <w:tmpl w:val="2F1DA5BA"/>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172A27"/>
    <w:rsid w:val="00172A27"/>
    <w:rsid w:val="002F7E91"/>
    <w:rsid w:val="004C3503"/>
    <w:rsid w:val="00AE7FE2"/>
    <w:rsid w:val="00E92234"/>
    <w:rsid w:val="018F2EE2"/>
    <w:rsid w:val="01D54ECF"/>
    <w:rsid w:val="038F6958"/>
    <w:rsid w:val="039F2BD8"/>
    <w:rsid w:val="03B40087"/>
    <w:rsid w:val="040D7A92"/>
    <w:rsid w:val="043528F0"/>
    <w:rsid w:val="046935B2"/>
    <w:rsid w:val="04DC52CD"/>
    <w:rsid w:val="064F2C3F"/>
    <w:rsid w:val="06CE2492"/>
    <w:rsid w:val="07C974BA"/>
    <w:rsid w:val="0815450F"/>
    <w:rsid w:val="08713341"/>
    <w:rsid w:val="0A5661A7"/>
    <w:rsid w:val="0ADE033B"/>
    <w:rsid w:val="0AE778EA"/>
    <w:rsid w:val="0B8205BE"/>
    <w:rsid w:val="0CF12CA2"/>
    <w:rsid w:val="0DFE5677"/>
    <w:rsid w:val="0E9B1423"/>
    <w:rsid w:val="0EFE16F2"/>
    <w:rsid w:val="0FB06207"/>
    <w:rsid w:val="0FEF7E67"/>
    <w:rsid w:val="101C7A12"/>
    <w:rsid w:val="10523A58"/>
    <w:rsid w:val="10AC30D2"/>
    <w:rsid w:val="13F74C74"/>
    <w:rsid w:val="14321BD6"/>
    <w:rsid w:val="15AC6F30"/>
    <w:rsid w:val="15D867EB"/>
    <w:rsid w:val="16CA259A"/>
    <w:rsid w:val="17EF431F"/>
    <w:rsid w:val="1A2B3E85"/>
    <w:rsid w:val="1B323353"/>
    <w:rsid w:val="1BD23E31"/>
    <w:rsid w:val="1BF07F59"/>
    <w:rsid w:val="1C19181A"/>
    <w:rsid w:val="1CC334CA"/>
    <w:rsid w:val="1E18187B"/>
    <w:rsid w:val="1E764BA4"/>
    <w:rsid w:val="1EE00481"/>
    <w:rsid w:val="1F050C35"/>
    <w:rsid w:val="1F1951D4"/>
    <w:rsid w:val="1FB93013"/>
    <w:rsid w:val="1FC30797"/>
    <w:rsid w:val="2179348A"/>
    <w:rsid w:val="22360110"/>
    <w:rsid w:val="231A3FCD"/>
    <w:rsid w:val="23F52C20"/>
    <w:rsid w:val="27427F2B"/>
    <w:rsid w:val="274A3DA9"/>
    <w:rsid w:val="274A5031"/>
    <w:rsid w:val="274E4B21"/>
    <w:rsid w:val="29073217"/>
    <w:rsid w:val="291A2C18"/>
    <w:rsid w:val="293027CD"/>
    <w:rsid w:val="294D1F58"/>
    <w:rsid w:val="296040B0"/>
    <w:rsid w:val="2B1C0D4E"/>
    <w:rsid w:val="2BAF34DE"/>
    <w:rsid w:val="2C74081C"/>
    <w:rsid w:val="2D9D2B31"/>
    <w:rsid w:val="30792583"/>
    <w:rsid w:val="319C0B7F"/>
    <w:rsid w:val="32731DB1"/>
    <w:rsid w:val="32AC4DF2"/>
    <w:rsid w:val="32DC56D7"/>
    <w:rsid w:val="332D2530"/>
    <w:rsid w:val="338531C9"/>
    <w:rsid w:val="343706EB"/>
    <w:rsid w:val="34481BD7"/>
    <w:rsid w:val="38517C85"/>
    <w:rsid w:val="386C3D8E"/>
    <w:rsid w:val="3A4678DA"/>
    <w:rsid w:val="3C5C6F51"/>
    <w:rsid w:val="3CD613E9"/>
    <w:rsid w:val="3DC116A6"/>
    <w:rsid w:val="3DC9292C"/>
    <w:rsid w:val="3E321602"/>
    <w:rsid w:val="3E9B7103"/>
    <w:rsid w:val="40BA7295"/>
    <w:rsid w:val="40EE3A49"/>
    <w:rsid w:val="41374AB5"/>
    <w:rsid w:val="41E70FD0"/>
    <w:rsid w:val="42306E93"/>
    <w:rsid w:val="424F2038"/>
    <w:rsid w:val="427B7848"/>
    <w:rsid w:val="42EE59C9"/>
    <w:rsid w:val="43966C7B"/>
    <w:rsid w:val="43E35F70"/>
    <w:rsid w:val="45004ECC"/>
    <w:rsid w:val="45CA5C05"/>
    <w:rsid w:val="45DE61D5"/>
    <w:rsid w:val="47163D7B"/>
    <w:rsid w:val="47B02F47"/>
    <w:rsid w:val="47E769A3"/>
    <w:rsid w:val="48223458"/>
    <w:rsid w:val="482956CE"/>
    <w:rsid w:val="49200EFF"/>
    <w:rsid w:val="49987240"/>
    <w:rsid w:val="49DC7359"/>
    <w:rsid w:val="4A2523B4"/>
    <w:rsid w:val="4A301A0D"/>
    <w:rsid w:val="4A9625C6"/>
    <w:rsid w:val="4B007631"/>
    <w:rsid w:val="4B46721A"/>
    <w:rsid w:val="4BA02BCB"/>
    <w:rsid w:val="4BE3519F"/>
    <w:rsid w:val="4C5B2226"/>
    <w:rsid w:val="4DE12DCB"/>
    <w:rsid w:val="4E1C29D4"/>
    <w:rsid w:val="4F17685E"/>
    <w:rsid w:val="4F1B1A78"/>
    <w:rsid w:val="4FC44DB3"/>
    <w:rsid w:val="508036EE"/>
    <w:rsid w:val="51120B65"/>
    <w:rsid w:val="525B061E"/>
    <w:rsid w:val="52A37E9A"/>
    <w:rsid w:val="55780F88"/>
    <w:rsid w:val="563B7430"/>
    <w:rsid w:val="56B62747"/>
    <w:rsid w:val="576113C5"/>
    <w:rsid w:val="586A79B6"/>
    <w:rsid w:val="5C024577"/>
    <w:rsid w:val="5D9C4A3C"/>
    <w:rsid w:val="5E0D49C3"/>
    <w:rsid w:val="5E207EFE"/>
    <w:rsid w:val="5F323016"/>
    <w:rsid w:val="60347691"/>
    <w:rsid w:val="606D5311"/>
    <w:rsid w:val="60DB2B05"/>
    <w:rsid w:val="61083D46"/>
    <w:rsid w:val="611F6193"/>
    <w:rsid w:val="615351A9"/>
    <w:rsid w:val="61677C92"/>
    <w:rsid w:val="62585B87"/>
    <w:rsid w:val="62E3632F"/>
    <w:rsid w:val="630B4D17"/>
    <w:rsid w:val="63367C3C"/>
    <w:rsid w:val="63FE69AC"/>
    <w:rsid w:val="640B10C9"/>
    <w:rsid w:val="65500FBB"/>
    <w:rsid w:val="6557682B"/>
    <w:rsid w:val="65593EFD"/>
    <w:rsid w:val="65CB2089"/>
    <w:rsid w:val="67FC364E"/>
    <w:rsid w:val="69B55D5F"/>
    <w:rsid w:val="6A5512F0"/>
    <w:rsid w:val="6A8D4C80"/>
    <w:rsid w:val="6AEA6B50"/>
    <w:rsid w:val="6B12488F"/>
    <w:rsid w:val="6B4A24D7"/>
    <w:rsid w:val="6B914D59"/>
    <w:rsid w:val="6BE446D9"/>
    <w:rsid w:val="6C9248FC"/>
    <w:rsid w:val="6CAF5B7C"/>
    <w:rsid w:val="6D111675"/>
    <w:rsid w:val="6D7B7DF7"/>
    <w:rsid w:val="6DA7761A"/>
    <w:rsid w:val="6E4C21AC"/>
    <w:rsid w:val="6F267A47"/>
    <w:rsid w:val="710F1453"/>
    <w:rsid w:val="71215823"/>
    <w:rsid w:val="72905789"/>
    <w:rsid w:val="7451325C"/>
    <w:rsid w:val="75100DF4"/>
    <w:rsid w:val="76202D2F"/>
    <w:rsid w:val="77024937"/>
    <w:rsid w:val="77EF5AEB"/>
    <w:rsid w:val="788E31EC"/>
    <w:rsid w:val="79434D70"/>
    <w:rsid w:val="7C0114D8"/>
    <w:rsid w:val="7C6838C5"/>
    <w:rsid w:val="7C9D386B"/>
    <w:rsid w:val="7D3E6C4C"/>
    <w:rsid w:val="7EA321D2"/>
    <w:rsid w:val="7F6C3854"/>
    <w:rsid w:val="7FF4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line="413" w:lineRule="auto"/>
      <w:outlineLvl w:val="1"/>
    </w:pPr>
    <w:rPr>
      <w:rFonts w:ascii="Arial" w:hAnsi="Arial" w:eastAsia="黑体" w:cs="Times New Roman"/>
      <w:b/>
      <w:sz w:val="32"/>
    </w:rPr>
  </w:style>
  <w:style w:type="paragraph" w:styleId="3">
    <w:name w:val="heading 3"/>
    <w:basedOn w:val="1"/>
    <w:next w:val="1"/>
    <w:qFormat/>
    <w:uiPriority w:val="99"/>
    <w:pPr>
      <w:keepNext/>
      <w:keepLines/>
      <w:jc w:val="left"/>
      <w:outlineLvl w:val="2"/>
    </w:pPr>
    <w:rPr>
      <w:rFonts w:ascii="宋体" w:hAnsi="宋体" w:cs="宋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eastAsia="仿宋"/>
      <w:sz w:val="20"/>
    </w:rPr>
  </w:style>
  <w:style w:type="paragraph" w:styleId="7">
    <w:name w:val="footer"/>
    <w:basedOn w:val="1"/>
    <w:unhideWhenUsed/>
    <w:qFormat/>
    <w:uiPriority w:val="99"/>
    <w:pPr>
      <w:snapToGrid w:val="0"/>
      <w:jc w:val="left"/>
    </w:pPr>
    <w:rPr>
      <w:sz w:val="18"/>
      <w:szCs w:val="18"/>
    </w:rPr>
  </w:style>
  <w:style w:type="paragraph" w:styleId="8">
    <w:name w:val="header"/>
    <w:basedOn w:val="1"/>
    <w:unhideWhenUsed/>
    <w:qFormat/>
    <w:uiPriority w:val="0"/>
    <w:pPr>
      <w:pBdr>
        <w:bottom w:val="single" w:color="auto" w:sz="6" w:space="1"/>
      </w:pBdr>
      <w:snapToGrid w:val="0"/>
      <w:jc w:val="center"/>
    </w:pPr>
    <w:rPr>
      <w:sz w:val="18"/>
      <w:szCs w:val="18"/>
    </w:rPr>
  </w:style>
  <w:style w:type="paragraph" w:styleId="9">
    <w:name w:val="Body Text 2"/>
    <w:basedOn w:val="1"/>
    <w:next w:val="6"/>
    <w:qFormat/>
    <w:uiPriority w:val="0"/>
    <w:pPr>
      <w:widowControl/>
      <w:spacing w:before="100" w:beforeAutospacing="1" w:after="100" w:afterAutospacing="1"/>
    </w:pPr>
    <w:rPr>
      <w:kern w:val="0"/>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rPr>
      <w:bdr w:val="single" w:color="888888" w:sz="2" w:space="0"/>
      <w:shd w:val="clear" w:color="auto" w:fill="F2F4F9"/>
    </w:rPr>
  </w:style>
  <w:style w:type="character" w:styleId="21">
    <w:name w:val="Hyperlink"/>
    <w:basedOn w:val="13"/>
    <w:qFormat/>
    <w:uiPriority w:val="0"/>
    <w:rPr>
      <w:color w:val="0000FF"/>
      <w:u w:val="none"/>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Default"/>
    <w:basedOn w:val="6"/>
    <w:next w:val="1"/>
    <w:qFormat/>
    <w:uiPriority w:val="0"/>
    <w:pPr>
      <w:autoSpaceDE w:val="0"/>
      <w:autoSpaceDN w:val="0"/>
      <w:adjustRightInd w:val="0"/>
    </w:pPr>
    <w:rPr>
      <w:rFonts w:hAnsi="Times New Roman" w:eastAsia="宋体"/>
      <w:color w:val="000000"/>
      <w:sz w:val="24"/>
      <w:szCs w:val="2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样式 标题 3 + (中文) 黑体 小四 非加粗 段前: 7.8 磅 段后: 0 磅 行距: 固定值 20 磅"/>
    <w:basedOn w:val="3"/>
    <w:qFormat/>
    <w:uiPriority w:val="0"/>
    <w:rPr>
      <w:rFonts w:eastAsia="黑体"/>
      <w:b w:val="0"/>
      <w:bCs w:val="0"/>
    </w:rPr>
  </w:style>
  <w:style w:type="paragraph" w:customStyle="1" w:styleId="29">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character" w:customStyle="1" w:styleId="32">
    <w:name w:val="font11"/>
    <w:basedOn w:val="13"/>
    <w:qFormat/>
    <w:uiPriority w:val="0"/>
    <w:rPr>
      <w:rFonts w:hint="eastAsia" w:ascii="宋体" w:hAnsi="宋体" w:eastAsia="宋体" w:cs="宋体"/>
      <w:color w:val="000000"/>
      <w:sz w:val="24"/>
      <w:szCs w:val="24"/>
      <w:u w:val="none"/>
    </w:rPr>
  </w:style>
  <w:style w:type="character" w:customStyle="1" w:styleId="33">
    <w:name w:val="font21"/>
    <w:basedOn w:val="13"/>
    <w:qFormat/>
    <w:uiPriority w:val="0"/>
    <w:rPr>
      <w:rFonts w:ascii="微软雅黑" w:hAnsi="微软雅黑" w:eastAsia="微软雅黑" w:cs="微软雅黑"/>
      <w:color w:val="000000"/>
      <w:sz w:val="24"/>
      <w:szCs w:val="24"/>
      <w:u w:val="none"/>
    </w:rPr>
  </w:style>
  <w:style w:type="paragraph" w:customStyle="1" w:styleId="34">
    <w:name w:val="Heading #3|1"/>
    <w:basedOn w:val="1"/>
    <w:qFormat/>
    <w:uiPriority w:val="0"/>
    <w:pPr>
      <w:spacing w:after="60"/>
      <w:jc w:val="center"/>
      <w:outlineLvl w:val="2"/>
    </w:pPr>
    <w:rPr>
      <w:rFonts w:ascii="宋体" w:hAnsi="宋体" w:cs="宋体"/>
      <w:sz w:val="28"/>
      <w:szCs w:val="28"/>
      <w:lang w:val="zh-TW" w:eastAsia="zh-TW" w:bidi="zh-TW"/>
    </w:rPr>
  </w:style>
  <w:style w:type="character" w:customStyle="1" w:styleId="35">
    <w:name w:val="hover1"/>
    <w:basedOn w:val="13"/>
    <w:qFormat/>
    <w:uiPriority w:val="0"/>
    <w:rPr>
      <w:color w:val="2590EB"/>
    </w:rPr>
  </w:style>
  <w:style w:type="character" w:customStyle="1" w:styleId="36">
    <w:name w:val="hover2"/>
    <w:basedOn w:val="13"/>
    <w:qFormat/>
    <w:uiPriority w:val="0"/>
    <w:rPr>
      <w:color w:val="2590EB"/>
    </w:rPr>
  </w:style>
  <w:style w:type="character" w:customStyle="1" w:styleId="37">
    <w:name w:val="hover3"/>
    <w:basedOn w:val="13"/>
    <w:qFormat/>
    <w:uiPriority w:val="0"/>
  </w:style>
  <w:style w:type="character" w:customStyle="1" w:styleId="38">
    <w:name w:val="mini-outputtext1"/>
    <w:basedOn w:val="13"/>
    <w:qFormat/>
    <w:uiPriority w:val="0"/>
  </w:style>
  <w:style w:type="character" w:customStyle="1" w:styleId="39">
    <w:name w:val="hover"/>
    <w:basedOn w:val="13"/>
    <w:qFormat/>
    <w:uiPriority w:val="0"/>
    <w:rPr>
      <w:color w:val="2590EB"/>
    </w:rPr>
  </w:style>
  <w:style w:type="character" w:customStyle="1" w:styleId="4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24607</Words>
  <Characters>26458</Characters>
  <Lines>195</Lines>
  <Paragraphs>55</Paragraphs>
  <TotalTime>38</TotalTime>
  <ScaleCrop>false</ScaleCrop>
  <LinksUpToDate>false</LinksUpToDate>
  <CharactersWithSpaces>27158</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辉怕暇僦</cp:lastModifiedBy>
  <dcterms:modified xsi:type="dcterms:W3CDTF">2026-03-19T08:39:01Z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0BB830301B7C449099B184948E4BE5C5_13</vt:lpwstr>
  </property>
  <property fmtid="{D5CDD505-2E9C-101B-9397-08002B2CF9AE}" pid="4" name="KSOTemplateDocerSaveRecord">
    <vt:lpwstr>eyJoZGlkIjoiMzI1OWRhYmJhNWI2Y2JmMjljYjMxMDA3MmU1MTlkMTAifQ==</vt:lpwstr>
  </property>
</Properties>
</file>