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D0AE0">
      <w:pPr>
        <w:bidi w:val="0"/>
        <w:jc w:val="center"/>
        <w:rPr>
          <w:rFonts w:hint="eastAsia"/>
          <w:b/>
          <w:bCs/>
          <w:sz w:val="44"/>
          <w:szCs w:val="44"/>
          <w:lang w:val="en-US" w:eastAsia="zh-CN"/>
        </w:rPr>
      </w:pPr>
      <w:r>
        <w:rPr>
          <w:rFonts w:hint="eastAsia"/>
          <w:b/>
          <w:bCs/>
          <w:sz w:val="44"/>
          <w:szCs w:val="44"/>
          <w:lang w:val="en-US" w:eastAsia="zh-CN"/>
        </w:rPr>
        <w:drawing>
          <wp:anchor distT="0" distB="0" distL="114300" distR="114300" simplePos="0" relativeHeight="251659264" behindDoc="0" locked="0" layoutInCell="1" allowOverlap="1">
            <wp:simplePos x="0" y="0"/>
            <wp:positionH relativeFrom="column">
              <wp:posOffset>-614680</wp:posOffset>
            </wp:positionH>
            <wp:positionV relativeFrom="paragraph">
              <wp:posOffset>-657225</wp:posOffset>
            </wp:positionV>
            <wp:extent cx="7342505" cy="10571480"/>
            <wp:effectExtent l="0" t="0" r="10795" b="1270"/>
            <wp:wrapNone/>
            <wp:docPr id="3" name="图片 3" descr="Scan2026032715245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an20260327152451_001"/>
                    <pic:cNvPicPr>
                      <a:picLocks noChangeAspect="1"/>
                    </pic:cNvPicPr>
                  </pic:nvPicPr>
                  <pic:blipFill>
                    <a:blip r:embed="rId6"/>
                    <a:stretch>
                      <a:fillRect/>
                    </a:stretch>
                  </pic:blipFill>
                  <pic:spPr>
                    <a:xfrm>
                      <a:off x="0" y="0"/>
                      <a:ext cx="7342505" cy="10571480"/>
                    </a:xfrm>
                    <a:prstGeom prst="rect">
                      <a:avLst/>
                    </a:prstGeom>
                  </pic:spPr>
                </pic:pic>
              </a:graphicData>
            </a:graphic>
          </wp:anchor>
        </w:drawing>
      </w:r>
    </w:p>
    <w:p w14:paraId="55ED332D">
      <w:pPr>
        <w:bidi w:val="0"/>
        <w:jc w:val="center"/>
        <w:rPr>
          <w:rFonts w:hint="eastAsia"/>
          <w:b/>
          <w:bCs/>
          <w:sz w:val="44"/>
          <w:szCs w:val="44"/>
          <w:lang w:val="en-US" w:eastAsia="zh-CN"/>
        </w:rPr>
      </w:pPr>
    </w:p>
    <w:p w14:paraId="75A15EC8">
      <w:pPr>
        <w:bidi w:val="0"/>
        <w:jc w:val="center"/>
        <w:rPr>
          <w:rFonts w:hint="eastAsia"/>
          <w:b/>
          <w:bCs/>
          <w:sz w:val="44"/>
          <w:szCs w:val="44"/>
          <w:lang w:eastAsia="zh-CN"/>
        </w:rPr>
      </w:pPr>
      <w:r>
        <w:rPr>
          <w:rFonts w:hint="eastAsia"/>
          <w:b/>
          <w:bCs/>
          <w:sz w:val="44"/>
          <w:szCs w:val="44"/>
          <w:lang w:val="en-US" w:eastAsia="zh-CN"/>
        </w:rPr>
        <w:t>义马市国土空间总体规划动态调整完善项目</w:t>
      </w:r>
    </w:p>
    <w:p w14:paraId="68896E20">
      <w:pPr>
        <w:pageBreakBefore w:val="0"/>
        <w:wordWrap/>
        <w:overflowPunct/>
        <w:topLinePunct w:val="0"/>
        <w:bidi w:val="0"/>
        <w:spacing w:before="48"/>
        <w:ind w:right="1157"/>
        <w:jc w:val="center"/>
        <w:outlineLvl w:val="9"/>
        <w:rPr>
          <w:rFonts w:ascii="宋体" w:hAnsi="宋体" w:eastAsia="宋体" w:cs="宋体"/>
          <w:b/>
          <w:bCs/>
          <w:sz w:val="40"/>
          <w:szCs w:val="40"/>
        </w:rPr>
      </w:pPr>
    </w:p>
    <w:p w14:paraId="285EEF45">
      <w:pPr>
        <w:pStyle w:val="7"/>
        <w:rPr>
          <w:rFonts w:ascii="宋体" w:hAnsi="宋体" w:eastAsia="宋体" w:cs="宋体"/>
          <w:b/>
          <w:bCs/>
          <w:sz w:val="40"/>
          <w:szCs w:val="40"/>
        </w:rPr>
      </w:pPr>
    </w:p>
    <w:p w14:paraId="3BC5DB0F"/>
    <w:p w14:paraId="3DDAFF04">
      <w:pPr>
        <w:pStyle w:val="7"/>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竞争性磋商文件</w:t>
      </w:r>
    </w:p>
    <w:p w14:paraId="0525E615">
      <w:pPr>
        <w:rPr>
          <w:rFonts w:hint="eastAsia" w:ascii="宋体" w:hAnsi="宋体" w:eastAsia="宋体" w:cs="宋体"/>
          <w:b/>
          <w:bCs/>
          <w:sz w:val="28"/>
          <w:szCs w:val="28"/>
          <w:lang w:val="en-US" w:eastAsia="zh-CN"/>
        </w:rPr>
      </w:pPr>
    </w:p>
    <w:p w14:paraId="4590C17D">
      <w:pPr>
        <w:jc w:val="center"/>
        <w:rPr>
          <w:rFonts w:hint="eastAsia" w:ascii="宋体" w:hAnsi="宋体" w:eastAsia="宋体" w:cs="宋体"/>
          <w:b/>
          <w:bCs/>
          <w:sz w:val="28"/>
          <w:szCs w:val="28"/>
          <w:lang w:val="en-US" w:eastAsia="zh-CN"/>
        </w:rPr>
      </w:pPr>
      <w:r>
        <w:rPr>
          <w:rFonts w:hint="eastAsia" w:ascii="仿宋" w:hAnsi="仿宋" w:eastAsia="仿宋" w:cs="仿宋"/>
          <w:b/>
          <w:bCs/>
          <w:color w:val="auto"/>
          <w:kern w:val="0"/>
          <w:sz w:val="28"/>
          <w:szCs w:val="28"/>
          <w:highlight w:val="none"/>
        </w:rPr>
        <w:t>项目编号：义马竞磋采购-2026-10</w:t>
      </w:r>
      <w:r>
        <w:rPr>
          <w:rFonts w:hint="eastAsia" w:ascii="仿宋" w:hAnsi="仿宋" w:eastAsia="仿宋" w:cs="仿宋"/>
          <w:b/>
          <w:bCs/>
          <w:color w:val="auto"/>
          <w:kern w:val="0"/>
          <w:sz w:val="28"/>
          <w:szCs w:val="28"/>
          <w:highlight w:val="none"/>
          <w:lang w:val="en-US" w:eastAsia="zh-CN"/>
        </w:rPr>
        <w:t>、YMGZ[2026]024-ZC023</w:t>
      </w:r>
    </w:p>
    <w:p w14:paraId="4B81C18B">
      <w:pPr>
        <w:pStyle w:val="7"/>
        <w:rPr>
          <w:rFonts w:hint="eastAsia" w:ascii="宋体" w:hAnsi="宋体" w:eastAsia="宋体" w:cs="宋体"/>
          <w:b/>
          <w:bCs/>
          <w:sz w:val="28"/>
          <w:szCs w:val="28"/>
          <w:lang w:val="en-US" w:eastAsia="zh-CN"/>
        </w:rPr>
      </w:pPr>
    </w:p>
    <w:p w14:paraId="02213DF3">
      <w:pPr>
        <w:jc w:val="center"/>
        <w:rPr>
          <w:rFonts w:cs="Times New Roman"/>
          <w:szCs w:val="21"/>
        </w:rPr>
      </w:pPr>
      <w:r>
        <w:rPr>
          <w:rFonts w:cs="Times New Roman"/>
          <w:szCs w:val="21"/>
        </w:rPr>
        <w:drawing>
          <wp:inline distT="0" distB="0" distL="0" distR="0">
            <wp:extent cx="2915920" cy="2398395"/>
            <wp:effectExtent l="0" t="0" r="17780" b="1905"/>
            <wp:docPr id="2" name="图片 2" descr="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
                    <pic:cNvPicPr>
                      <a:picLocks noChangeAspect="1" noChangeArrowheads="1"/>
                    </pic:cNvPicPr>
                  </pic:nvPicPr>
                  <pic:blipFill>
                    <a:blip r:embed="rId7"/>
                    <a:srcRect/>
                    <a:stretch>
                      <a:fillRect/>
                    </a:stretch>
                  </pic:blipFill>
                  <pic:spPr>
                    <a:xfrm>
                      <a:off x="0" y="0"/>
                      <a:ext cx="2915920" cy="2398395"/>
                    </a:xfrm>
                    <a:prstGeom prst="rect">
                      <a:avLst/>
                    </a:prstGeom>
                    <a:noFill/>
                    <a:ln w="9525">
                      <a:noFill/>
                      <a:miter lim="800000"/>
                      <a:headEnd/>
                      <a:tailEnd/>
                    </a:ln>
                  </pic:spPr>
                </pic:pic>
              </a:graphicData>
            </a:graphic>
          </wp:inline>
        </w:drawing>
      </w:r>
    </w:p>
    <w:p w14:paraId="423A3F6B">
      <w:pPr>
        <w:pStyle w:val="7"/>
        <w:rPr>
          <w:rFonts w:cs="Times New Roman"/>
          <w:szCs w:val="21"/>
        </w:rPr>
      </w:pPr>
    </w:p>
    <w:p w14:paraId="67BDF137">
      <w:pPr>
        <w:rPr>
          <w:rFonts w:cs="Times New Roman"/>
          <w:szCs w:val="21"/>
        </w:rPr>
      </w:pPr>
    </w:p>
    <w:p w14:paraId="4070A3BC">
      <w:pPr>
        <w:rPr>
          <w:rFonts w:cs="Times New Roman"/>
          <w:szCs w:val="21"/>
        </w:rPr>
      </w:pPr>
    </w:p>
    <w:p w14:paraId="1ED13178">
      <w:pPr>
        <w:rPr>
          <w:rFonts w:cs="Times New Roman"/>
          <w:szCs w:val="21"/>
        </w:rPr>
      </w:pPr>
    </w:p>
    <w:p w14:paraId="7E97C10E">
      <w:pPr>
        <w:pStyle w:val="7"/>
        <w:rPr>
          <w:rFonts w:cs="Times New Roman"/>
          <w:szCs w:val="21"/>
        </w:rPr>
      </w:pPr>
    </w:p>
    <w:p w14:paraId="462EB011">
      <w:pPr>
        <w:ind w:left="0" w:leftChars="0" w:firstLine="2107" w:firstLineChars="656"/>
        <w:jc w:val="left"/>
        <w:rPr>
          <w:rFonts w:hint="eastAsia" w:ascii="宋体" w:hAnsi="宋体" w:cs="宋体"/>
          <w:b/>
          <w:bCs/>
          <w:color w:val="auto"/>
          <w:sz w:val="32"/>
          <w:szCs w:val="32"/>
          <w:lang w:eastAsia="zh-CN"/>
        </w:rPr>
      </w:pPr>
      <w:r>
        <w:rPr>
          <w:rFonts w:hint="eastAsia" w:ascii="宋体" w:hAnsi="宋体" w:cs="宋体"/>
          <w:b/>
          <w:bCs/>
          <w:color w:val="auto"/>
          <w:sz w:val="32"/>
          <w:szCs w:val="32"/>
          <w:lang w:val="en-US" w:eastAsia="zh-CN"/>
        </w:rPr>
        <w:t>采购</w:t>
      </w:r>
      <w:r>
        <w:rPr>
          <w:rFonts w:hint="eastAsia" w:ascii="宋体" w:hAnsi="宋体" w:cs="宋体"/>
          <w:b/>
          <w:bCs/>
          <w:color w:val="auto"/>
          <w:sz w:val="32"/>
          <w:szCs w:val="32"/>
        </w:rPr>
        <w:t>人：</w:t>
      </w:r>
      <w:r>
        <w:rPr>
          <w:rFonts w:hint="eastAsia" w:ascii="宋体" w:hAnsi="宋体" w:cs="宋体"/>
          <w:b/>
          <w:bCs/>
          <w:color w:val="auto"/>
          <w:sz w:val="32"/>
          <w:szCs w:val="32"/>
          <w:lang w:eastAsia="zh-CN"/>
        </w:rPr>
        <w:t>义马市自然资源和规划局</w:t>
      </w:r>
    </w:p>
    <w:p w14:paraId="02CD7823">
      <w:pPr>
        <w:ind w:left="0" w:leftChars="0" w:firstLine="2107" w:firstLineChars="656"/>
        <w:jc w:val="left"/>
        <w:rPr>
          <w:rFonts w:hint="eastAsia" w:ascii="宋体" w:hAnsi="宋体" w:cs="宋体"/>
          <w:b/>
          <w:bCs/>
          <w:color w:val="auto"/>
          <w:sz w:val="32"/>
          <w:szCs w:val="32"/>
          <w:lang w:eastAsia="zh-CN"/>
        </w:rPr>
      </w:pPr>
    </w:p>
    <w:p w14:paraId="5153CCCA">
      <w:pPr>
        <w:ind w:left="0" w:leftChars="0" w:firstLine="2107" w:firstLineChars="656"/>
        <w:jc w:val="left"/>
        <w:rPr>
          <w:rFonts w:hint="eastAsia" w:ascii="宋体" w:hAnsi="宋体" w:cs="宋体"/>
          <w:b/>
          <w:bCs/>
          <w:color w:val="auto"/>
          <w:sz w:val="32"/>
          <w:szCs w:val="32"/>
          <w:lang w:eastAsia="zh-CN"/>
        </w:rPr>
      </w:pPr>
      <w:r>
        <w:rPr>
          <w:rFonts w:hint="eastAsia" w:ascii="宋体" w:hAnsi="宋体" w:cs="宋体"/>
          <w:b/>
          <w:bCs/>
          <w:color w:val="auto"/>
          <w:sz w:val="32"/>
          <w:szCs w:val="32"/>
        </w:rPr>
        <w:t>代理机构：</w:t>
      </w:r>
      <w:r>
        <w:rPr>
          <w:rFonts w:hint="eastAsia" w:ascii="宋体" w:hAnsi="宋体" w:cs="宋体"/>
          <w:b/>
          <w:bCs/>
          <w:color w:val="auto"/>
          <w:sz w:val="32"/>
          <w:szCs w:val="32"/>
          <w:lang w:eastAsia="zh-CN"/>
        </w:rPr>
        <w:t>中基建安工程管理有限公司</w:t>
      </w:r>
    </w:p>
    <w:p w14:paraId="187C6B04">
      <w:pPr>
        <w:ind w:left="0" w:leftChars="0" w:firstLine="2107" w:firstLineChars="656"/>
        <w:jc w:val="left"/>
        <w:rPr>
          <w:rFonts w:hint="eastAsia" w:ascii="宋体" w:hAnsi="宋体" w:cs="宋体"/>
          <w:b/>
          <w:bCs/>
          <w:color w:val="auto"/>
          <w:sz w:val="32"/>
          <w:szCs w:val="32"/>
          <w:lang w:eastAsia="zh-CN"/>
        </w:rPr>
      </w:pPr>
    </w:p>
    <w:p w14:paraId="72EEE467">
      <w:pPr>
        <w:ind w:left="0" w:leftChars="0" w:firstLine="2107" w:firstLineChars="656"/>
        <w:jc w:val="left"/>
        <w:rPr>
          <w:rFonts w:hint="default" w:ascii="宋体" w:hAnsi="宋体" w:cs="宋体"/>
          <w:b/>
          <w:bCs/>
          <w:color w:val="auto"/>
          <w:sz w:val="32"/>
          <w:szCs w:val="32"/>
          <w:lang w:val="en-US" w:eastAsia="zh-CN"/>
        </w:rPr>
        <w:sectPr>
          <w:pgSz w:w="11910" w:h="16840"/>
          <w:pgMar w:top="1134" w:right="1134" w:bottom="1134" w:left="1134" w:header="720" w:footer="720" w:gutter="0"/>
          <w:pgNumType w:start="1"/>
          <w:cols w:space="0" w:num="1"/>
          <w:rtlGutter w:val="0"/>
          <w:docGrid w:linePitch="0" w:charSpace="0"/>
        </w:sectPr>
      </w:pPr>
      <w:r>
        <w:rPr>
          <w:rFonts w:hint="eastAsia" w:ascii="宋体" w:hAnsi="宋体" w:cs="宋体"/>
          <w:b/>
          <w:bCs/>
          <w:color w:val="auto"/>
          <w:sz w:val="32"/>
          <w:szCs w:val="32"/>
          <w:lang w:val="en-US" w:eastAsia="zh-CN"/>
        </w:rPr>
        <w:t>日期：二〇二六年三月</w:t>
      </w:r>
    </w:p>
    <w:p w14:paraId="7A70556A">
      <w:pPr>
        <w:pageBreakBefore w:val="0"/>
        <w:wordWrap/>
        <w:overflowPunct/>
        <w:topLinePunct w:val="0"/>
        <w:bidi w:val="0"/>
        <w:spacing w:before="48"/>
        <w:ind w:right="1157"/>
        <w:jc w:val="center"/>
        <w:outlineLvl w:val="9"/>
        <w:rPr>
          <w:rFonts w:ascii="宋体" w:hAnsi="宋体" w:eastAsia="宋体" w:cs="宋体"/>
          <w:b/>
          <w:bCs/>
          <w:color w:val="000000"/>
          <w:sz w:val="40"/>
          <w:szCs w:val="40"/>
        </w:rPr>
      </w:pPr>
      <w:r>
        <w:rPr>
          <w:rFonts w:hint="eastAsia" w:ascii="宋体" w:hAnsi="宋体" w:eastAsia="宋体" w:cs="宋体"/>
          <w:b/>
          <w:bCs/>
          <w:color w:val="000000"/>
          <w:sz w:val="40"/>
          <w:szCs w:val="40"/>
        </w:rPr>
        <w:t>目 录</w:t>
      </w:r>
    </w:p>
    <w:p w14:paraId="72B95DAA">
      <w:pPr>
        <w:pStyle w:val="16"/>
        <w:tabs>
          <w:tab w:val="right" w:leader="dot" w:pos="9660"/>
        </w:tabs>
        <w:rPr>
          <w:rFonts w:hint="eastAsia" w:asciiTheme="minorEastAsia" w:hAnsiTheme="minorEastAsia" w:eastAsiaTheme="minorEastAsia" w:cstheme="minorEastAsia"/>
          <w:sz w:val="28"/>
          <w:szCs w:val="28"/>
        </w:rPr>
      </w:pPr>
      <w:r>
        <w:rPr>
          <w:rFonts w:ascii="宋体" w:hAnsi="宋体" w:eastAsia="宋体" w:cs="宋体"/>
          <w:color w:val="000000"/>
          <w:sz w:val="32"/>
          <w:szCs w:val="32"/>
        </w:rPr>
        <w:fldChar w:fldCharType="begin"/>
      </w:r>
      <w:r>
        <w:rPr>
          <w:rFonts w:ascii="宋体" w:hAnsi="宋体" w:eastAsia="宋体" w:cs="宋体"/>
          <w:color w:val="000000"/>
          <w:sz w:val="32"/>
          <w:szCs w:val="32"/>
        </w:rPr>
        <w:instrText xml:space="preserve">TOC \o "1-1" \h \u </w:instrText>
      </w:r>
      <w:r>
        <w:rPr>
          <w:rFonts w:ascii="宋体" w:hAnsi="宋体" w:eastAsia="宋体" w:cs="宋体"/>
          <w:color w:val="000000"/>
          <w:sz w:val="32"/>
          <w:szCs w:val="32"/>
        </w:rPr>
        <w:fldChar w:fldCharType="separate"/>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sz w:val="28"/>
          <w:szCs w:val="28"/>
        </w:rPr>
        <w:instrText xml:space="preserve"> HYPERLINK \l _Toc3199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第一章</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_Toc3199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fldChar w:fldCharType="end"/>
      </w:r>
    </w:p>
    <w:p w14:paraId="74E8DBD0">
      <w:pPr>
        <w:pStyle w:val="16"/>
        <w:tabs>
          <w:tab w:val="right" w:leader="dot" w:pos="966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sz w:val="28"/>
          <w:szCs w:val="28"/>
        </w:rPr>
        <w:instrText xml:space="preserve"> HYPERLINK \l _Toc12075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第二章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_Toc12075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fldChar w:fldCharType="end"/>
      </w:r>
    </w:p>
    <w:p w14:paraId="4A726806">
      <w:pPr>
        <w:pStyle w:val="16"/>
        <w:tabs>
          <w:tab w:val="right" w:leader="dot" w:pos="966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sz w:val="28"/>
          <w:szCs w:val="28"/>
        </w:rPr>
        <w:instrText xml:space="preserve"> HYPERLINK \l _Toc11759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第三章</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评标办法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_Toc11759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fldChar w:fldCharType="end"/>
      </w:r>
    </w:p>
    <w:p w14:paraId="71FF6E84">
      <w:pPr>
        <w:pStyle w:val="16"/>
        <w:tabs>
          <w:tab w:val="right" w:leader="dot" w:pos="966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sz w:val="28"/>
          <w:szCs w:val="28"/>
        </w:rPr>
        <w:instrText xml:space="preserve"> HYPERLINK \l _Toc32251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第四章</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合同主要条款及格式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_Toc32251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fldChar w:fldCharType="end"/>
      </w:r>
    </w:p>
    <w:p w14:paraId="63F4729C">
      <w:pPr>
        <w:pStyle w:val="16"/>
        <w:tabs>
          <w:tab w:val="right" w:leader="dot" w:pos="9660"/>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sz w:val="28"/>
          <w:szCs w:val="28"/>
        </w:rPr>
        <w:instrText xml:space="preserve"> HYPERLINK \l _Toc26305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第五章</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服务需求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_Toc26305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fldChar w:fldCharType="end"/>
      </w:r>
    </w:p>
    <w:p w14:paraId="4EA48715">
      <w:pPr>
        <w:pStyle w:val="16"/>
        <w:tabs>
          <w:tab w:val="right" w:leader="dot" w:pos="9660"/>
        </w:tabs>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sz w:val="28"/>
          <w:szCs w:val="28"/>
        </w:rPr>
        <w:instrText xml:space="preserve"> HYPERLINK \l _Toc10205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第六章</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Cs/>
          <w:sz w:val="28"/>
          <w:szCs w:val="28"/>
        </w:rPr>
        <w:t>电子化响应文件内容及格式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_Toc10205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fldChar w:fldCharType="end"/>
      </w:r>
    </w:p>
    <w:p w14:paraId="6DADEC78">
      <w:pPr>
        <w:pageBreakBefore w:val="0"/>
        <w:wordWrap/>
        <w:overflowPunct/>
        <w:topLinePunct w:val="0"/>
        <w:bidi w:val="0"/>
        <w:outlineLvl w:val="9"/>
        <w:rPr>
          <w:rFonts w:ascii="宋体" w:hAnsi="宋体" w:eastAsia="宋体" w:cs="宋体"/>
          <w:color w:val="000000"/>
          <w:sz w:val="32"/>
          <w:szCs w:val="32"/>
        </w:rPr>
      </w:pPr>
      <w:r>
        <w:rPr>
          <w:rFonts w:ascii="宋体" w:hAnsi="宋体" w:eastAsia="宋体" w:cs="宋体"/>
          <w:color w:val="000000"/>
          <w:szCs w:val="32"/>
        </w:rPr>
        <w:fldChar w:fldCharType="end"/>
      </w:r>
    </w:p>
    <w:p w14:paraId="03B2082F">
      <w:pPr>
        <w:pageBreakBefore w:val="0"/>
        <w:wordWrap/>
        <w:overflowPunct/>
        <w:topLinePunct w:val="0"/>
        <w:bidi w:val="0"/>
        <w:outlineLvl w:val="9"/>
        <w:rPr>
          <w:rFonts w:ascii="宋体" w:hAnsi="宋体" w:eastAsia="宋体" w:cs="宋体"/>
          <w:b/>
          <w:bCs/>
          <w:sz w:val="28"/>
          <w:szCs w:val="28"/>
        </w:rPr>
      </w:pPr>
      <w:bookmarkStart w:id="0" w:name="OLE_LINK1"/>
      <w:r>
        <w:rPr>
          <w:rFonts w:ascii="宋体" w:hAnsi="宋体" w:eastAsia="宋体" w:cs="宋体"/>
          <w:b/>
          <w:bCs/>
          <w:sz w:val="28"/>
          <w:szCs w:val="28"/>
        </w:rPr>
        <w:br w:type="page"/>
      </w:r>
    </w:p>
    <w:p w14:paraId="62D653B5">
      <w:pPr>
        <w:keepNext w:val="0"/>
        <w:keepLines w:val="0"/>
        <w:pageBreakBefore w:val="0"/>
        <w:widowControl w:val="0"/>
        <w:tabs>
          <w:tab w:val="left" w:pos="1125"/>
        </w:tabs>
        <w:kinsoku/>
        <w:wordWrap/>
        <w:overflowPunct/>
        <w:topLinePunct w:val="0"/>
        <w:autoSpaceDE/>
        <w:autoSpaceDN/>
        <w:bidi w:val="0"/>
        <w:adjustRightInd/>
        <w:snapToGrid/>
        <w:ind w:right="17"/>
        <w:jc w:val="center"/>
        <w:textAlignment w:val="auto"/>
        <w:outlineLvl w:val="0"/>
        <w:rPr>
          <w:rFonts w:ascii="宋体" w:hAnsi="宋体" w:eastAsia="宋体" w:cs="宋体"/>
          <w:b/>
          <w:bCs/>
          <w:sz w:val="28"/>
          <w:szCs w:val="28"/>
        </w:rPr>
      </w:pPr>
      <w:bookmarkStart w:id="1" w:name="_Toc3199"/>
      <w:r>
        <w:rPr>
          <w:rFonts w:ascii="宋体" w:hAnsi="宋体" w:eastAsia="宋体" w:cs="宋体"/>
          <w:b/>
          <w:bCs/>
          <w:sz w:val="28"/>
          <w:szCs w:val="28"/>
        </w:rPr>
        <w:t>第一章</w:t>
      </w:r>
      <w:r>
        <w:rPr>
          <w:rFonts w:hint="eastAsia" w:ascii="宋体" w:hAnsi="宋体" w:eastAsia="宋体" w:cs="宋体"/>
          <w:b/>
          <w:bCs/>
          <w:sz w:val="28"/>
          <w:szCs w:val="28"/>
          <w:lang w:eastAsia="zh-CN"/>
        </w:rPr>
        <w:t>、</w:t>
      </w:r>
      <w:r>
        <w:rPr>
          <w:rFonts w:ascii="宋体" w:hAnsi="宋体" w:eastAsia="宋体" w:cs="宋体"/>
          <w:b/>
          <w:bCs/>
          <w:sz w:val="28"/>
          <w:szCs w:val="28"/>
        </w:rPr>
        <w:t>竞争性磋商公告</w:t>
      </w:r>
      <w:bookmarkEnd w:id="1"/>
    </w:p>
    <w:p w14:paraId="4D4D6B3B">
      <w:pPr>
        <w:pageBreakBefore w:val="0"/>
        <w:wordWrap/>
        <w:overflowPunct/>
        <w:topLinePunct w:val="0"/>
        <w:bidi w:val="0"/>
        <w:adjustRightInd w:val="0"/>
        <w:snapToGrid w:val="0"/>
        <w:spacing w:line="336" w:lineRule="auto"/>
        <w:ind w:firstLine="480" w:firstLineChars="200"/>
        <w:outlineLvl w:val="9"/>
        <w:rPr>
          <w:rFonts w:ascii="宋体" w:hAnsi="宋体" w:eastAsia="宋体" w:cs="宋体"/>
          <w:color w:val="auto"/>
          <w:kern w:val="0"/>
          <w:sz w:val="24"/>
          <w:szCs w:val="24"/>
          <w:highlight w:val="none"/>
        </w:rPr>
      </w:pPr>
      <w:r>
        <w:rPr>
          <w:rFonts w:hint="eastAsia" w:ascii="宋体" w:hAnsi="宋体" w:eastAsia="宋体" w:cs="宋体"/>
          <w:color w:val="000000"/>
          <w:kern w:val="0"/>
          <w:sz w:val="24"/>
          <w:szCs w:val="24"/>
          <w:lang w:eastAsia="zh-CN"/>
        </w:rPr>
        <w:t>义马市国土空间总体规划动态调整完善项目</w:t>
      </w:r>
      <w:r>
        <w:rPr>
          <w:rFonts w:hint="eastAsia" w:ascii="宋体" w:hAnsi="宋体" w:eastAsia="宋体" w:cs="宋体"/>
          <w:kern w:val="0"/>
          <w:sz w:val="24"/>
          <w:szCs w:val="24"/>
        </w:rPr>
        <w:t>的潜在响应人应在三门峡市公共资源交易中心网（网址：http://gzjy.smx.go</w:t>
      </w:r>
      <w:r>
        <w:rPr>
          <w:rFonts w:hint="eastAsia" w:ascii="宋体" w:hAnsi="宋体" w:eastAsia="宋体" w:cs="宋体"/>
          <w:kern w:val="0"/>
          <w:sz w:val="24"/>
          <w:szCs w:val="24"/>
          <w:highlight w:val="none"/>
        </w:rPr>
        <w:t>v.cn/）获取磋商文件</w:t>
      </w:r>
      <w:r>
        <w:rPr>
          <w:rFonts w:hint="eastAsia" w:ascii="宋体" w:hAnsi="宋体" w:eastAsia="宋体" w:cs="宋体"/>
          <w:color w:val="auto"/>
          <w:kern w:val="0"/>
          <w:sz w:val="24"/>
          <w:szCs w:val="24"/>
          <w:highlight w:val="none"/>
        </w:rPr>
        <w:t>，并于</w:t>
      </w:r>
      <w:r>
        <w:rPr>
          <w:rFonts w:hint="eastAsia" w:ascii="宋体" w:hAnsi="宋体" w:eastAsia="宋体" w:cs="宋体"/>
          <w:color w:val="auto"/>
          <w:kern w:val="0"/>
          <w:sz w:val="24"/>
          <w:szCs w:val="24"/>
          <w:highlight w:val="none"/>
          <w:lang w:eastAsia="zh-CN"/>
        </w:rPr>
        <w:t>2026年4月9日08时30分</w:t>
      </w:r>
      <w:r>
        <w:rPr>
          <w:rFonts w:hint="eastAsia" w:ascii="宋体" w:hAnsi="宋体" w:eastAsia="宋体" w:cs="宋体"/>
          <w:color w:val="auto"/>
          <w:kern w:val="0"/>
          <w:sz w:val="24"/>
          <w:szCs w:val="24"/>
          <w:highlight w:val="none"/>
        </w:rPr>
        <w:t>（北京时间）前递交磋商文件。</w:t>
      </w:r>
    </w:p>
    <w:p w14:paraId="46C30D88">
      <w:pPr>
        <w:pageBreakBefore w:val="0"/>
        <w:wordWrap/>
        <w:overflowPunct/>
        <w:topLinePunct w:val="0"/>
        <w:bidi w:val="0"/>
        <w:adjustRightInd w:val="0"/>
        <w:snapToGrid w:val="0"/>
        <w:spacing w:line="336"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rPr>
        <w:t>一、项目基本情况：</w:t>
      </w:r>
    </w:p>
    <w:p w14:paraId="46382D84">
      <w:pPr>
        <w:pageBreakBefore w:val="0"/>
        <w:widowControl/>
        <w:wordWrap/>
        <w:overflowPunct/>
        <w:topLinePunct w:val="0"/>
        <w:bidi w:val="0"/>
        <w:adjustRightInd w:val="0"/>
        <w:snapToGrid w:val="0"/>
        <w:spacing w:line="336" w:lineRule="auto"/>
        <w:ind w:firstLine="480" w:firstLineChars="200"/>
        <w:jc w:val="left"/>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1、项目编号：义马竞磋采购-2026-10</w:t>
      </w:r>
      <w:r>
        <w:rPr>
          <w:rFonts w:hint="eastAsia" w:ascii="宋体" w:hAnsi="宋体" w:eastAsia="宋体" w:cs="宋体"/>
          <w:color w:val="auto"/>
          <w:kern w:val="0"/>
          <w:sz w:val="24"/>
          <w:szCs w:val="24"/>
          <w:highlight w:val="none"/>
          <w:lang w:val="en-US" w:eastAsia="zh-CN"/>
        </w:rPr>
        <w:t>、YMGZ[2026]024-ZC023</w:t>
      </w:r>
    </w:p>
    <w:p w14:paraId="28C98350">
      <w:pPr>
        <w:pageBreakBefore w:val="0"/>
        <w:wordWrap/>
        <w:overflowPunct/>
        <w:topLinePunct w:val="0"/>
        <w:bidi w:val="0"/>
        <w:adjustRightInd w:val="0"/>
        <w:snapToGrid w:val="0"/>
        <w:spacing w:line="336" w:lineRule="auto"/>
        <w:ind w:firstLine="480" w:firstLineChars="200"/>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eastAsia="宋体" w:cs="宋体"/>
          <w:color w:val="auto"/>
          <w:kern w:val="0"/>
          <w:sz w:val="24"/>
          <w:szCs w:val="24"/>
          <w:highlight w:val="none"/>
          <w:lang w:eastAsia="zh-CN"/>
        </w:rPr>
        <w:t>义马市国土空间总体规划动态调整完善项目</w:t>
      </w:r>
    </w:p>
    <w:p w14:paraId="3D4BCCC2">
      <w:pPr>
        <w:pageBreakBefore w:val="0"/>
        <w:wordWrap/>
        <w:overflowPunct/>
        <w:topLinePunct w:val="0"/>
        <w:bidi w:val="0"/>
        <w:adjustRightInd w:val="0"/>
        <w:snapToGrid w:val="0"/>
        <w:spacing w:line="336" w:lineRule="auto"/>
        <w:ind w:firstLine="480" w:firstLineChars="200"/>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88F5791">
      <w:pPr>
        <w:pageBreakBefore w:val="0"/>
        <w:wordWrap/>
        <w:overflowPunct/>
        <w:topLinePunct w:val="0"/>
        <w:bidi w:val="0"/>
        <w:adjustRightInd w:val="0"/>
        <w:snapToGrid w:val="0"/>
        <w:spacing w:line="336" w:lineRule="auto"/>
        <w:ind w:firstLine="480" w:firstLineChars="200"/>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r>
        <w:rPr>
          <w:rFonts w:hint="eastAsia" w:ascii="宋体" w:hAnsi="宋体" w:eastAsia="宋体" w:cs="宋体"/>
          <w:color w:val="auto"/>
          <w:kern w:val="0"/>
          <w:sz w:val="24"/>
          <w:szCs w:val="24"/>
          <w:highlight w:val="none"/>
          <w:lang w:eastAsia="zh-CN"/>
        </w:rPr>
        <w:t>700000.00</w:t>
      </w:r>
      <w:r>
        <w:rPr>
          <w:rFonts w:hint="eastAsia" w:ascii="宋体" w:hAnsi="宋体" w:eastAsia="宋体" w:cs="宋体"/>
          <w:color w:val="auto"/>
          <w:kern w:val="0"/>
          <w:sz w:val="24"/>
          <w:szCs w:val="24"/>
          <w:highlight w:val="none"/>
        </w:rPr>
        <w:t>元</w:t>
      </w:r>
    </w:p>
    <w:p w14:paraId="1FFC3283">
      <w:pPr>
        <w:pageBreakBefore w:val="0"/>
        <w:wordWrap/>
        <w:overflowPunct/>
        <w:topLinePunct w:val="0"/>
        <w:bidi w:val="0"/>
        <w:adjustRightInd w:val="0"/>
        <w:snapToGrid w:val="0"/>
        <w:spacing w:line="336" w:lineRule="auto"/>
        <w:ind w:firstLine="480" w:firstLineChars="200"/>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eastAsia="zh-CN"/>
        </w:rPr>
        <w:t>700000.00</w:t>
      </w:r>
      <w:r>
        <w:rPr>
          <w:rFonts w:hint="eastAsia" w:ascii="宋体" w:hAnsi="宋体" w:eastAsia="宋体" w:cs="宋体"/>
          <w:color w:val="auto"/>
          <w:kern w:val="0"/>
          <w:sz w:val="24"/>
          <w:szCs w:val="24"/>
          <w:highlight w:val="none"/>
        </w:rPr>
        <w:t>元</w:t>
      </w:r>
    </w:p>
    <w:tbl>
      <w:tblPr>
        <w:tblStyle w:val="22"/>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582"/>
        <w:gridCol w:w="3021"/>
        <w:gridCol w:w="1879"/>
        <w:gridCol w:w="1455"/>
        <w:gridCol w:w="1688"/>
      </w:tblGrid>
      <w:tr w14:paraId="58D8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85" w:type="dxa"/>
            <w:noWrap/>
            <w:vAlign w:val="center"/>
          </w:tcPr>
          <w:p w14:paraId="2C7F4544">
            <w:pPr>
              <w:pageBreakBefore w:val="0"/>
              <w:wordWrap/>
              <w:overflowPunct/>
              <w:topLinePunct w:val="0"/>
              <w:bidi w:val="0"/>
              <w:adjustRightInd w:val="0"/>
              <w:snapToGrid w:val="0"/>
              <w:spacing w:line="336" w:lineRule="auto"/>
              <w:jc w:val="center"/>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582" w:type="dxa"/>
            <w:noWrap/>
            <w:vAlign w:val="center"/>
          </w:tcPr>
          <w:p w14:paraId="37AA8D20">
            <w:pPr>
              <w:pageBreakBefore w:val="0"/>
              <w:wordWrap/>
              <w:overflowPunct/>
              <w:topLinePunct w:val="0"/>
              <w:bidi w:val="0"/>
              <w:adjustRightInd w:val="0"/>
              <w:snapToGrid w:val="0"/>
              <w:spacing w:line="336" w:lineRule="auto"/>
              <w:jc w:val="center"/>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3021" w:type="dxa"/>
            <w:noWrap/>
            <w:vAlign w:val="center"/>
          </w:tcPr>
          <w:p w14:paraId="34A55C78">
            <w:pPr>
              <w:pageBreakBefore w:val="0"/>
              <w:wordWrap/>
              <w:overflowPunct/>
              <w:topLinePunct w:val="0"/>
              <w:bidi w:val="0"/>
              <w:adjustRightInd w:val="0"/>
              <w:snapToGrid w:val="0"/>
              <w:spacing w:line="336" w:lineRule="auto"/>
              <w:jc w:val="center"/>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79" w:type="dxa"/>
            <w:noWrap/>
            <w:vAlign w:val="center"/>
          </w:tcPr>
          <w:p w14:paraId="0AB2DD10">
            <w:pPr>
              <w:pageBreakBefore w:val="0"/>
              <w:wordWrap/>
              <w:overflowPunct/>
              <w:topLinePunct w:val="0"/>
              <w:bidi w:val="0"/>
              <w:adjustRightInd w:val="0"/>
              <w:snapToGrid w:val="0"/>
              <w:spacing w:line="336"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w:t>
            </w:r>
          </w:p>
          <w:p w14:paraId="6FFC4D63">
            <w:pPr>
              <w:pageBreakBefore w:val="0"/>
              <w:wordWrap/>
              <w:overflowPunct/>
              <w:topLinePunct w:val="0"/>
              <w:bidi w:val="0"/>
              <w:adjustRightInd w:val="0"/>
              <w:snapToGrid w:val="0"/>
              <w:spacing w:line="336" w:lineRule="auto"/>
              <w:jc w:val="center"/>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（元）</w:t>
            </w:r>
          </w:p>
        </w:tc>
        <w:tc>
          <w:tcPr>
            <w:tcW w:w="1455" w:type="dxa"/>
            <w:noWrap/>
            <w:vAlign w:val="center"/>
          </w:tcPr>
          <w:p w14:paraId="14987254">
            <w:pPr>
              <w:pageBreakBefore w:val="0"/>
              <w:wordWrap/>
              <w:overflowPunct/>
              <w:topLinePunct w:val="0"/>
              <w:bidi w:val="0"/>
              <w:adjustRightInd w:val="0"/>
              <w:snapToGrid w:val="0"/>
              <w:spacing w:line="336" w:lineRule="auto"/>
              <w:jc w:val="center"/>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c>
          <w:tcPr>
            <w:tcW w:w="1688" w:type="dxa"/>
            <w:noWrap/>
            <w:vAlign w:val="center"/>
          </w:tcPr>
          <w:p w14:paraId="09C91A8B">
            <w:pPr>
              <w:pageBreakBefore w:val="0"/>
              <w:wordWrap/>
              <w:overflowPunct/>
              <w:topLinePunct w:val="0"/>
              <w:bidi w:val="0"/>
              <w:adjustRightInd w:val="0"/>
              <w:snapToGrid w:val="0"/>
              <w:spacing w:line="336" w:lineRule="auto"/>
              <w:jc w:val="center"/>
              <w:outlineLvl w:val="9"/>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是否专门面向中小企业</w:t>
            </w:r>
          </w:p>
        </w:tc>
      </w:tr>
      <w:tr w14:paraId="53DA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85" w:type="dxa"/>
            <w:noWrap/>
            <w:vAlign w:val="center"/>
          </w:tcPr>
          <w:p w14:paraId="23614100">
            <w:pPr>
              <w:pageBreakBefore w:val="0"/>
              <w:wordWrap/>
              <w:overflowPunct/>
              <w:topLinePunct w:val="0"/>
              <w:bidi w:val="0"/>
              <w:adjustRightInd w:val="0"/>
              <w:snapToGrid w:val="0"/>
              <w:spacing w:line="336" w:lineRule="auto"/>
              <w:jc w:val="center"/>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582" w:type="dxa"/>
            <w:noWrap/>
            <w:vAlign w:val="center"/>
          </w:tcPr>
          <w:p w14:paraId="154D1AFB">
            <w:pPr>
              <w:pageBreakBefore w:val="0"/>
              <w:wordWrap/>
              <w:overflowPunct/>
              <w:topLinePunct w:val="0"/>
              <w:bidi w:val="0"/>
              <w:adjustRightInd w:val="0"/>
              <w:snapToGrid w:val="0"/>
              <w:spacing w:line="336" w:lineRule="auto"/>
              <w:jc w:val="center"/>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YMGZ[2026]024-ZC023-1</w:t>
            </w:r>
          </w:p>
        </w:tc>
        <w:tc>
          <w:tcPr>
            <w:tcW w:w="3021" w:type="dxa"/>
            <w:noWrap/>
            <w:vAlign w:val="center"/>
          </w:tcPr>
          <w:p w14:paraId="0FDEEB98">
            <w:pPr>
              <w:pageBreakBefore w:val="0"/>
              <w:wordWrap/>
              <w:overflowPunct/>
              <w:topLinePunct w:val="0"/>
              <w:bidi w:val="0"/>
              <w:adjustRightInd w:val="0"/>
              <w:snapToGrid w:val="0"/>
              <w:spacing w:line="336" w:lineRule="auto"/>
              <w:jc w:val="center"/>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义马市国土空间总体规划动态调整完善项目</w:t>
            </w:r>
          </w:p>
        </w:tc>
        <w:tc>
          <w:tcPr>
            <w:tcW w:w="1879" w:type="dxa"/>
            <w:noWrap/>
            <w:vAlign w:val="center"/>
          </w:tcPr>
          <w:p w14:paraId="3B6BC42B">
            <w:pPr>
              <w:pageBreakBefore w:val="0"/>
              <w:wordWrap/>
              <w:overflowPunct/>
              <w:topLinePunct w:val="0"/>
              <w:bidi w:val="0"/>
              <w:adjustRightInd w:val="0"/>
              <w:snapToGrid w:val="0"/>
              <w:spacing w:line="336" w:lineRule="auto"/>
              <w:jc w:val="center"/>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700000.00</w:t>
            </w:r>
          </w:p>
        </w:tc>
        <w:tc>
          <w:tcPr>
            <w:tcW w:w="1455" w:type="dxa"/>
            <w:noWrap/>
            <w:vAlign w:val="center"/>
          </w:tcPr>
          <w:p w14:paraId="6E174292">
            <w:pPr>
              <w:pageBreakBefore w:val="0"/>
              <w:wordWrap/>
              <w:overflowPunct/>
              <w:topLinePunct w:val="0"/>
              <w:bidi w:val="0"/>
              <w:adjustRightInd w:val="0"/>
              <w:snapToGrid w:val="0"/>
              <w:spacing w:line="336" w:lineRule="auto"/>
              <w:jc w:val="center"/>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700000.00</w:t>
            </w:r>
          </w:p>
        </w:tc>
        <w:tc>
          <w:tcPr>
            <w:tcW w:w="1688" w:type="dxa"/>
            <w:noWrap/>
            <w:vAlign w:val="center"/>
          </w:tcPr>
          <w:p w14:paraId="01D6280C">
            <w:pPr>
              <w:pageBreakBefore w:val="0"/>
              <w:wordWrap/>
              <w:overflowPunct/>
              <w:topLinePunct w:val="0"/>
              <w:bidi w:val="0"/>
              <w:adjustRightInd w:val="0"/>
              <w:snapToGrid w:val="0"/>
              <w:spacing w:line="336" w:lineRule="auto"/>
              <w:jc w:val="center"/>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否</w:t>
            </w:r>
          </w:p>
        </w:tc>
      </w:tr>
    </w:tbl>
    <w:p w14:paraId="1FEBE491">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rPr>
        <w:t>5、采购需求（包括但不限于标的的名称、数量、简要技术需求或服务要求等）：</w:t>
      </w:r>
    </w:p>
    <w:p w14:paraId="073CF359">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5.1、项目概况：</w:t>
      </w:r>
      <w:r>
        <w:rPr>
          <w:rFonts w:hint="eastAsia" w:ascii="宋体" w:hAnsi="宋体" w:eastAsia="宋体" w:cs="宋体"/>
          <w:color w:val="auto"/>
          <w:kern w:val="0"/>
          <w:sz w:val="24"/>
          <w:szCs w:val="24"/>
          <w:lang w:eastAsia="zh-CN"/>
        </w:rPr>
        <w:t>义马市国土空间总体规划动态调整完善项目</w:t>
      </w:r>
      <w:r>
        <w:rPr>
          <w:rFonts w:hint="eastAsia" w:ascii="宋体" w:hAnsi="宋体" w:eastAsia="宋体" w:cs="宋体"/>
          <w:color w:val="auto"/>
          <w:kern w:val="0"/>
          <w:sz w:val="24"/>
          <w:szCs w:val="24"/>
        </w:rPr>
        <w:t>，位于三门峡市</w:t>
      </w:r>
      <w:r>
        <w:rPr>
          <w:rFonts w:hint="eastAsia" w:ascii="宋体" w:hAnsi="宋体" w:eastAsia="宋体" w:cs="宋体"/>
          <w:color w:val="auto"/>
          <w:kern w:val="0"/>
          <w:sz w:val="24"/>
          <w:szCs w:val="24"/>
          <w:lang w:val="en-US" w:eastAsia="zh-CN"/>
        </w:rPr>
        <w:t>义马市</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为深入贯彻落实党的二十届四中全会精神，在义马市国土空间规划中充分体现“十五五”规划指导方针和目标任务要求，维护依法审批的国土空间总体规划的权威性、严肃性，提高规划对经济社会发展的适应性，全面统筹发展规划和各专项规划的空间需求，基于国土空间规划体检评估结果，我单位拟开展义马市国土空间总体规划动态调整完善项目。</w:t>
      </w:r>
    </w:p>
    <w:p w14:paraId="3859810A">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、资金来源：财政资金，已落实</w:t>
      </w:r>
      <w:r>
        <w:rPr>
          <w:rFonts w:hint="eastAsia" w:ascii="宋体" w:hAnsi="宋体" w:eastAsia="宋体" w:cs="宋体"/>
          <w:color w:val="auto"/>
          <w:kern w:val="0"/>
          <w:sz w:val="24"/>
          <w:szCs w:val="24"/>
          <w:lang w:eastAsia="zh-CN"/>
        </w:rPr>
        <w:t>；</w:t>
      </w:r>
    </w:p>
    <w:p w14:paraId="44EEB536">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、服务地点：三门峡市</w:t>
      </w:r>
      <w:r>
        <w:rPr>
          <w:rFonts w:hint="eastAsia" w:ascii="宋体" w:hAnsi="宋体" w:eastAsia="宋体" w:cs="宋体"/>
          <w:color w:val="auto"/>
          <w:kern w:val="0"/>
          <w:sz w:val="24"/>
          <w:szCs w:val="24"/>
          <w:lang w:val="en-US" w:eastAsia="zh-CN"/>
        </w:rPr>
        <w:t>义马市</w:t>
      </w:r>
      <w:r>
        <w:rPr>
          <w:rFonts w:hint="eastAsia" w:ascii="宋体" w:hAnsi="宋体" w:eastAsia="宋体" w:cs="宋体"/>
          <w:color w:val="auto"/>
          <w:kern w:val="0"/>
          <w:sz w:val="24"/>
          <w:szCs w:val="24"/>
          <w:lang w:eastAsia="zh-CN"/>
        </w:rPr>
        <w:t>；</w:t>
      </w:r>
    </w:p>
    <w:p w14:paraId="270A6993">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、合同履行期限</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服务周期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100日历天</w:t>
      </w:r>
      <w:r>
        <w:rPr>
          <w:rFonts w:hint="eastAsia" w:ascii="宋体" w:hAnsi="宋体" w:eastAsia="宋体" w:cs="宋体"/>
          <w:color w:val="auto"/>
          <w:kern w:val="0"/>
          <w:sz w:val="24"/>
          <w:szCs w:val="24"/>
          <w:lang w:eastAsia="zh-CN"/>
        </w:rPr>
        <w:t>；</w:t>
      </w:r>
    </w:p>
    <w:p w14:paraId="53993644">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、质量要求：</w:t>
      </w:r>
      <w:r>
        <w:rPr>
          <w:rFonts w:hint="eastAsia" w:ascii="宋体" w:hAnsi="宋体" w:eastAsia="宋体" w:cs="宋体"/>
          <w:color w:val="auto"/>
          <w:kern w:val="0"/>
          <w:sz w:val="24"/>
          <w:szCs w:val="24"/>
          <w:lang w:eastAsia="zh-CN"/>
        </w:rPr>
        <w:t>符合国家、省、市规范、技术要求，通过主管部门审查，完成报批工作；</w:t>
      </w:r>
    </w:p>
    <w:p w14:paraId="724D054A">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、本项目是否接受联合体投标：否</w:t>
      </w:r>
      <w:r>
        <w:rPr>
          <w:rFonts w:hint="eastAsia" w:ascii="宋体" w:hAnsi="宋体" w:eastAsia="宋体" w:cs="宋体"/>
          <w:color w:val="auto"/>
          <w:kern w:val="0"/>
          <w:sz w:val="24"/>
          <w:szCs w:val="24"/>
          <w:lang w:eastAsia="zh-CN"/>
        </w:rPr>
        <w:t>；</w:t>
      </w:r>
    </w:p>
    <w:p w14:paraId="41796FEA">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、是否接受进口产品：否</w:t>
      </w:r>
      <w:r>
        <w:rPr>
          <w:rFonts w:hint="eastAsia" w:ascii="宋体" w:hAnsi="宋体" w:eastAsia="宋体" w:cs="宋体"/>
          <w:color w:val="auto"/>
          <w:kern w:val="0"/>
          <w:sz w:val="24"/>
          <w:szCs w:val="24"/>
          <w:lang w:eastAsia="zh-CN"/>
        </w:rPr>
        <w:t>；</w:t>
      </w:r>
    </w:p>
    <w:p w14:paraId="22DF8E6D">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、是否专门面向中小企业：</w:t>
      </w:r>
      <w:r>
        <w:rPr>
          <w:rFonts w:hint="eastAsia" w:ascii="宋体" w:hAnsi="宋体" w:eastAsia="宋体" w:cs="宋体"/>
          <w:color w:val="auto"/>
          <w:kern w:val="0"/>
          <w:sz w:val="24"/>
          <w:szCs w:val="24"/>
          <w:lang w:val="en-US" w:eastAsia="zh-CN"/>
        </w:rPr>
        <w:t>否</w:t>
      </w:r>
      <w:r>
        <w:rPr>
          <w:rFonts w:hint="eastAsia" w:ascii="宋体" w:hAnsi="宋体" w:eastAsia="宋体" w:cs="宋体"/>
          <w:color w:val="auto"/>
          <w:kern w:val="0"/>
          <w:sz w:val="24"/>
          <w:szCs w:val="24"/>
          <w:lang w:eastAsia="zh-CN"/>
        </w:rPr>
        <w:t>。</w:t>
      </w:r>
    </w:p>
    <w:p w14:paraId="5CD2013A">
      <w:pPr>
        <w:pageBreakBefore w:val="0"/>
        <w:wordWrap/>
        <w:overflowPunct/>
        <w:topLinePunct w:val="0"/>
        <w:bidi w:val="0"/>
        <w:adjustRightInd w:val="0"/>
        <w:snapToGrid w:val="0"/>
        <w:spacing w:line="300" w:lineRule="auto"/>
        <w:ind w:firstLine="480" w:firstLineChars="200"/>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r>
        <w:rPr>
          <w:rFonts w:hint="eastAsia" w:ascii="宋体" w:hAnsi="宋体" w:cs="宋体"/>
          <w:color w:val="auto"/>
          <w:sz w:val="24"/>
          <w:szCs w:val="24"/>
        </w:rPr>
        <w:t>本项目执行的政府采购政策：对小微企业、监狱、残疾人福利性单位的价格给予20%的扣除，用扣除后的价格参与评审</w:t>
      </w:r>
      <w:r>
        <w:rPr>
          <w:rFonts w:hint="eastAsia" w:ascii="宋体" w:hAnsi="宋体" w:cs="宋体"/>
          <w:color w:val="auto"/>
          <w:sz w:val="24"/>
          <w:szCs w:val="24"/>
          <w:lang w:eastAsia="zh-CN"/>
        </w:rPr>
        <w:t>。</w:t>
      </w:r>
    </w:p>
    <w:p w14:paraId="49CC90B4">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rPr>
        <w:t>二、申请人资格要求：</w:t>
      </w:r>
    </w:p>
    <w:p w14:paraId="30DD486C">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rPr>
        <w:t>1、满足《中华人民共和国政府采购法》第二十二条规定；</w:t>
      </w:r>
    </w:p>
    <w:p w14:paraId="7110CEC6">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、本项目的特定资格要求</w:t>
      </w:r>
    </w:p>
    <w:p w14:paraId="05ACE10A">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供应商须具有有效的营业执照或事业单位法人证书</w:t>
      </w:r>
      <w:r>
        <w:rPr>
          <w:rFonts w:hint="eastAsia" w:ascii="宋体" w:hAnsi="宋体" w:eastAsia="宋体" w:cs="宋体"/>
          <w:color w:val="auto"/>
          <w:kern w:val="0"/>
          <w:sz w:val="24"/>
          <w:szCs w:val="24"/>
        </w:rPr>
        <w:t>；</w:t>
      </w:r>
    </w:p>
    <w:p w14:paraId="69CDEE30">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供应商应具备城乡规划（国土空间规划）编制乙级或以上资质；</w:t>
      </w:r>
    </w:p>
    <w:p w14:paraId="4EF7CC88">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.3、项目负责人</w:t>
      </w:r>
      <w:r>
        <w:rPr>
          <w:rFonts w:hint="eastAsia" w:ascii="宋体" w:hAnsi="宋体" w:eastAsia="宋体" w:cs="宋体"/>
          <w:color w:val="auto"/>
          <w:kern w:val="0"/>
          <w:sz w:val="24"/>
          <w:szCs w:val="24"/>
          <w:lang w:eastAsia="zh-CN"/>
        </w:rPr>
        <w:t>须同时具有注册城乡（市）规划师及相关专业高级或以上职称</w:t>
      </w:r>
      <w:r>
        <w:rPr>
          <w:rFonts w:hint="eastAsia" w:ascii="宋体" w:hAnsi="宋体" w:eastAsia="宋体" w:cs="宋体"/>
          <w:color w:val="auto"/>
          <w:kern w:val="0"/>
          <w:sz w:val="24"/>
          <w:szCs w:val="24"/>
        </w:rPr>
        <w:t>，提供劳动合同及社保证明；</w:t>
      </w:r>
    </w:p>
    <w:p w14:paraId="02948A26">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供应商</w:t>
      </w:r>
      <w:r>
        <w:rPr>
          <w:rFonts w:hint="eastAsia" w:ascii="宋体" w:hAnsi="宋体" w:eastAsia="宋体" w:cs="宋体"/>
          <w:color w:val="auto"/>
          <w:kern w:val="0"/>
          <w:sz w:val="24"/>
          <w:szCs w:val="24"/>
        </w:rPr>
        <w:t>自行出具本</w:t>
      </w:r>
      <w:r>
        <w:rPr>
          <w:rFonts w:hint="eastAsia" w:ascii="宋体" w:hAnsi="宋体" w:eastAsia="宋体" w:cs="宋体"/>
          <w:color w:val="auto"/>
          <w:kern w:val="0"/>
          <w:sz w:val="24"/>
          <w:szCs w:val="24"/>
          <w:lang w:eastAsia="zh-CN"/>
        </w:rPr>
        <w:t>单位无商业贿赂和不正当竞争行为的承诺书</w:t>
      </w:r>
      <w:r>
        <w:rPr>
          <w:rFonts w:hint="eastAsia" w:ascii="宋体" w:hAnsi="宋体" w:eastAsia="宋体" w:cs="宋体"/>
          <w:color w:val="auto"/>
          <w:kern w:val="0"/>
          <w:sz w:val="24"/>
          <w:szCs w:val="24"/>
        </w:rPr>
        <w:t>；</w:t>
      </w:r>
    </w:p>
    <w:p w14:paraId="432A1AE1">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.5、</w:t>
      </w:r>
      <w:r>
        <w:rPr>
          <w:rFonts w:hint="eastAsia" w:ascii="宋体" w:hAnsi="宋体" w:eastAsia="宋体" w:cs="宋体"/>
          <w:color w:val="auto"/>
          <w:sz w:val="24"/>
        </w:rPr>
        <w:t>供应商没有被列入失信被执行人名单【以“中国执行信息公开网”（</w:t>
      </w:r>
      <w:r>
        <w:rPr>
          <w:rFonts w:hint="eastAsia" w:ascii="宋体" w:hAnsi="宋体" w:eastAsia="宋体" w:cs="宋体"/>
          <w:color w:val="auto"/>
          <w:sz w:val="24"/>
          <w:lang w:eastAsia="zh-CN"/>
        </w:rPr>
        <w:t>https://zxgk.court.gov.cn/</w:t>
      </w:r>
      <w:r>
        <w:rPr>
          <w:rFonts w:hint="eastAsia" w:ascii="宋体" w:hAnsi="宋体" w:eastAsia="宋体" w:cs="宋体"/>
          <w:color w:val="auto"/>
          <w:sz w:val="24"/>
        </w:rPr>
        <w:t>）查询结果为准】、</w:t>
      </w:r>
      <w:r>
        <w:rPr>
          <w:rFonts w:hint="eastAsia" w:ascii="宋体" w:hAnsi="宋体" w:eastAsia="宋体" w:cs="宋体"/>
          <w:color w:val="auto"/>
          <w:sz w:val="24"/>
          <w:lang w:eastAsia="zh-CN"/>
        </w:rPr>
        <w:t>重大税收违法失信主体</w:t>
      </w:r>
      <w:r>
        <w:rPr>
          <w:rFonts w:hint="eastAsia" w:ascii="宋体" w:hAnsi="宋体" w:eastAsia="宋体" w:cs="宋体"/>
          <w:color w:val="auto"/>
          <w:sz w:val="24"/>
        </w:rPr>
        <w:t>【以“信用中国”网站（www.creditchina.gov.cn）查询结果为准】、</w:t>
      </w:r>
      <w:r>
        <w:rPr>
          <w:rFonts w:hint="eastAsia" w:ascii="宋体" w:hAnsi="宋体" w:eastAsia="宋体" w:cs="宋体"/>
          <w:color w:val="auto"/>
          <w:sz w:val="24"/>
          <w:lang w:eastAsia="zh-CN"/>
        </w:rPr>
        <w:t>政府采购严重违法失信行为记录名单</w:t>
      </w:r>
      <w:r>
        <w:rPr>
          <w:rFonts w:hint="eastAsia" w:ascii="宋体" w:hAnsi="宋体" w:eastAsia="宋体" w:cs="宋体"/>
          <w:color w:val="auto"/>
          <w:sz w:val="24"/>
        </w:rPr>
        <w:t>【以“中国政府采购网”网站（http://www.ccgp.gov.cn/）查询结果为准】</w:t>
      </w:r>
      <w:r>
        <w:rPr>
          <w:rFonts w:hint="eastAsia" w:ascii="宋体" w:hAnsi="宋体" w:cs="宋体"/>
          <w:color w:val="auto"/>
          <w:sz w:val="24"/>
          <w:lang w:eastAsia="zh-CN"/>
        </w:rPr>
        <w:t>（</w:t>
      </w:r>
      <w:r>
        <w:rPr>
          <w:rFonts w:hint="eastAsia" w:ascii="宋体" w:hAnsi="宋体" w:cs="宋体"/>
          <w:color w:val="auto"/>
          <w:sz w:val="24"/>
          <w:lang w:val="en-US" w:eastAsia="zh-CN"/>
        </w:rPr>
        <w:t>查询时间自公告发布之日起至响应文件递交截止之日止</w:t>
      </w:r>
      <w:r>
        <w:rPr>
          <w:rFonts w:hint="eastAsia" w:ascii="宋体" w:hAnsi="宋体" w:cs="宋体"/>
          <w:color w:val="auto"/>
          <w:sz w:val="24"/>
          <w:lang w:eastAsia="zh-CN"/>
        </w:rPr>
        <w:t>）</w:t>
      </w:r>
      <w:r>
        <w:rPr>
          <w:rFonts w:hint="eastAsia" w:ascii="宋体" w:hAnsi="宋体" w:eastAsia="宋体" w:cs="宋体"/>
          <w:color w:val="auto"/>
          <w:kern w:val="0"/>
          <w:sz w:val="24"/>
          <w:szCs w:val="24"/>
        </w:rPr>
        <w:t>；</w:t>
      </w:r>
    </w:p>
    <w:p w14:paraId="7D729E78">
      <w:pPr>
        <w:pageBreakBefore w:val="0"/>
        <w:wordWrap/>
        <w:overflowPunct/>
        <w:topLinePunct w:val="0"/>
        <w:bidi w:val="0"/>
        <w:adjustRightInd w:val="0"/>
        <w:snapToGrid w:val="0"/>
        <w:spacing w:line="300" w:lineRule="auto"/>
        <w:ind w:firstLine="480" w:firstLineChars="200"/>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2.6、</w:t>
      </w:r>
      <w:r>
        <w:rPr>
          <w:rFonts w:hint="eastAsia" w:ascii="宋体" w:hAnsi="宋体" w:eastAsia="宋体" w:cs="宋体"/>
          <w:color w:val="auto"/>
          <w:sz w:val="24"/>
        </w:rPr>
        <w:t>供应商及法定代表人不得存在行贿犯罪记录【以中国裁判文书网（http://wenshu.court.gov.cn/）</w:t>
      </w:r>
      <w:r>
        <w:rPr>
          <w:rFonts w:hint="eastAsia" w:ascii="宋体" w:hAnsi="宋体" w:eastAsia="宋体" w:cs="宋体"/>
          <w:color w:val="auto"/>
          <w:sz w:val="24"/>
          <w:lang w:eastAsia="zh-CN"/>
        </w:rPr>
        <w:t>查询截图或提供无行贿犯罪记录承诺书为准</w:t>
      </w:r>
      <w:r>
        <w:rPr>
          <w:rFonts w:hint="eastAsia" w:ascii="宋体" w:hAnsi="宋体" w:cs="宋体"/>
          <w:color w:val="auto"/>
          <w:sz w:val="24"/>
          <w:lang w:eastAsia="zh-CN"/>
        </w:rPr>
        <w:t>，</w:t>
      </w:r>
      <w:r>
        <w:rPr>
          <w:rFonts w:hint="eastAsia" w:ascii="宋体" w:hAnsi="宋体" w:cs="宋体"/>
          <w:color w:val="auto"/>
          <w:sz w:val="24"/>
          <w:lang w:val="en-US" w:eastAsia="zh-CN"/>
        </w:rPr>
        <w:t>查询或承诺对象：企业、法定代表人</w:t>
      </w:r>
      <w:r>
        <w:rPr>
          <w:rFonts w:hint="eastAsia" w:ascii="宋体" w:hAnsi="宋体" w:eastAsia="宋体" w:cs="宋体"/>
          <w:color w:val="auto"/>
          <w:sz w:val="24"/>
        </w:rPr>
        <w:t>】；</w:t>
      </w:r>
    </w:p>
    <w:p w14:paraId="41295CAD">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w:t>
      </w:r>
      <w:r>
        <w:rPr>
          <w:rFonts w:hint="eastAsia" w:ascii="宋体" w:hAnsi="宋体" w:cs="宋体"/>
          <w:color w:val="auto"/>
          <w:sz w:val="24"/>
          <w:szCs w:val="24"/>
          <w:lang w:eastAsia="zh-CN"/>
        </w:rPr>
        <w:t>单位负责人为同一人或者存在直接控股、管理关系的不同供应商，不得参加同一合同项下的采购活动（提供“国家企业信用信息公示系统”中查询相关信息</w:t>
      </w:r>
      <w:r>
        <w:rPr>
          <w:rFonts w:hint="eastAsia" w:ascii="宋体" w:hAnsi="宋体" w:cs="宋体"/>
          <w:color w:val="auto"/>
          <w:sz w:val="24"/>
          <w:szCs w:val="24"/>
          <w:lang w:val="en-US" w:eastAsia="zh-CN"/>
        </w:rPr>
        <w:t>网页截图</w:t>
      </w:r>
      <w:r>
        <w:rPr>
          <w:rFonts w:hint="eastAsia" w:ascii="宋体" w:hAnsi="宋体" w:cs="宋体"/>
          <w:color w:val="auto"/>
          <w:sz w:val="24"/>
          <w:szCs w:val="24"/>
          <w:lang w:eastAsia="zh-CN"/>
        </w:rPr>
        <w:t>，查询</w:t>
      </w:r>
      <w:r>
        <w:rPr>
          <w:rFonts w:hint="eastAsia" w:ascii="宋体" w:hAnsi="宋体" w:cs="宋体"/>
          <w:color w:val="auto"/>
          <w:sz w:val="24"/>
          <w:szCs w:val="24"/>
          <w:lang w:val="en-US" w:eastAsia="zh-CN"/>
        </w:rPr>
        <w:t>截图</w:t>
      </w:r>
      <w:r>
        <w:rPr>
          <w:rFonts w:hint="eastAsia" w:ascii="宋体" w:hAnsi="宋体" w:cs="宋体"/>
          <w:color w:val="auto"/>
          <w:sz w:val="24"/>
          <w:szCs w:val="24"/>
          <w:lang w:eastAsia="zh-CN"/>
        </w:rPr>
        <w:t>需</w:t>
      </w:r>
      <w:r>
        <w:rPr>
          <w:rFonts w:hint="eastAsia" w:ascii="宋体" w:hAnsi="宋体" w:cs="宋体"/>
          <w:color w:val="auto"/>
          <w:sz w:val="24"/>
          <w:szCs w:val="24"/>
          <w:lang w:val="en-US" w:eastAsia="zh-CN"/>
        </w:rPr>
        <w:t>显示</w:t>
      </w:r>
      <w:r>
        <w:rPr>
          <w:rFonts w:hint="eastAsia" w:ascii="宋体" w:hAnsi="宋体" w:cs="宋体"/>
          <w:color w:val="auto"/>
          <w:sz w:val="24"/>
          <w:szCs w:val="24"/>
          <w:lang w:eastAsia="zh-CN"/>
        </w:rPr>
        <w:t>公司基本信息、股东信息及股权变更信息等相关信息</w:t>
      </w:r>
      <w:r>
        <w:rPr>
          <w:rFonts w:hint="eastAsia" w:ascii="宋体" w:hAnsi="宋体" w:cs="宋体"/>
          <w:color w:val="auto"/>
          <w:sz w:val="24"/>
          <w:lang w:eastAsia="zh-CN"/>
        </w:rPr>
        <w:t>，</w:t>
      </w:r>
      <w:r>
        <w:rPr>
          <w:rFonts w:hint="eastAsia" w:ascii="宋体" w:hAnsi="宋体" w:cs="宋体"/>
          <w:color w:val="auto"/>
          <w:sz w:val="24"/>
          <w:lang w:val="en-US" w:eastAsia="zh-CN"/>
        </w:rPr>
        <w:t>查询时间自本项目磋商公告发布之日起至响应文件递交截止之日止</w:t>
      </w:r>
      <w:r>
        <w:rPr>
          <w:rFonts w:hint="eastAsia" w:ascii="宋体" w:hAnsi="宋体" w:cs="宋体"/>
          <w:color w:val="auto"/>
          <w:sz w:val="24"/>
          <w:szCs w:val="24"/>
          <w:lang w:eastAsia="zh-CN"/>
        </w:rPr>
        <w:t>）</w:t>
      </w:r>
      <w:r>
        <w:rPr>
          <w:rFonts w:hint="eastAsia" w:ascii="宋体" w:hAnsi="宋体" w:eastAsia="宋体" w:cs="宋体"/>
          <w:color w:val="auto"/>
          <w:kern w:val="0"/>
          <w:sz w:val="24"/>
          <w:szCs w:val="24"/>
        </w:rPr>
        <w:t>；</w:t>
      </w:r>
    </w:p>
    <w:p w14:paraId="09EAD647">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highlight w:val="none"/>
        </w:rPr>
      </w:pPr>
      <w:r>
        <w:rPr>
          <w:rFonts w:hint="eastAsia" w:ascii="宋体" w:hAnsi="宋体" w:eastAsia="宋体" w:cs="宋体"/>
          <w:color w:val="auto"/>
          <w:sz w:val="24"/>
          <w:szCs w:val="24"/>
        </w:rPr>
        <w:t>温馨提醒：本项目为资格后审，资格审查由采购人依法组建的磋商小组负责。各供应商</w:t>
      </w:r>
      <w:r>
        <w:rPr>
          <w:rFonts w:hint="eastAsia" w:ascii="宋体" w:hAnsi="宋体" w:eastAsia="宋体" w:cs="宋体"/>
          <w:color w:val="auto"/>
          <w:sz w:val="24"/>
          <w:szCs w:val="24"/>
          <w:highlight w:val="none"/>
        </w:rPr>
        <w:t>应认真阅读本项目供应商资格要求，避免无资格投标而造成不必要的损失。</w:t>
      </w:r>
    </w:p>
    <w:p w14:paraId="69C4FC2D">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三、获取采购文件：</w:t>
      </w:r>
    </w:p>
    <w:p w14:paraId="584662E4">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2026年3月28日至2026年4月</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w:t>
      </w:r>
      <w:bookmarkStart w:id="29" w:name="_GoBack"/>
      <w:bookmarkEnd w:id="29"/>
      <w:r>
        <w:rPr>
          <w:rFonts w:hint="eastAsia" w:ascii="宋体" w:hAnsi="宋体" w:eastAsia="宋体" w:cs="宋体"/>
          <w:color w:val="auto"/>
          <w:kern w:val="0"/>
          <w:sz w:val="24"/>
          <w:szCs w:val="24"/>
          <w:highlight w:val="none"/>
        </w:rPr>
        <w:t>每天上午00:00至1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，下午12:00至23:59（北京时间，法定节</w:t>
      </w:r>
      <w:r>
        <w:rPr>
          <w:rFonts w:hint="eastAsia" w:ascii="宋体" w:hAnsi="宋体" w:eastAsia="宋体" w:cs="宋体"/>
          <w:kern w:val="0"/>
          <w:sz w:val="24"/>
          <w:szCs w:val="24"/>
          <w:highlight w:val="none"/>
        </w:rPr>
        <w:t>假日除外。）</w:t>
      </w:r>
    </w:p>
    <w:p w14:paraId="59CD3E74">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highlight w:val="none"/>
        </w:rPr>
      </w:pPr>
      <w:r>
        <w:rPr>
          <w:rFonts w:hint="eastAsia" w:ascii="宋体" w:hAnsi="宋体" w:eastAsia="宋体" w:cs="宋体"/>
          <w:kern w:val="0"/>
          <w:sz w:val="24"/>
          <w:szCs w:val="24"/>
          <w:highlight w:val="none"/>
        </w:rPr>
        <w:t>2、地点：三门峡市公共资源交易中心网（网址：http://gzjy.smx.gov.cn/）</w:t>
      </w:r>
    </w:p>
    <w:p w14:paraId="577B8200">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highlight w:val="none"/>
        </w:rPr>
      </w:pPr>
      <w:r>
        <w:rPr>
          <w:rFonts w:hint="eastAsia" w:ascii="宋体" w:hAnsi="宋体" w:eastAsia="宋体" w:cs="宋体"/>
          <w:kern w:val="0"/>
          <w:sz w:val="24"/>
          <w:szCs w:val="24"/>
          <w:highlight w:val="none"/>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7C595963">
      <w:pPr>
        <w:pageBreakBefore w:val="0"/>
        <w:wordWrap/>
        <w:overflowPunct/>
        <w:topLinePunct w:val="0"/>
        <w:bidi w:val="0"/>
        <w:adjustRightInd w:val="0"/>
        <w:snapToGrid w:val="0"/>
        <w:spacing w:line="300" w:lineRule="auto"/>
        <w:ind w:firstLine="480" w:firstLineChars="200"/>
        <w:outlineLvl w:val="9"/>
        <w:rPr>
          <w:rFonts w:ascii="Times New Roman" w:hAnsi="Times New Roman" w:eastAsia="宋体" w:cs="宋体"/>
          <w:sz w:val="24"/>
          <w:szCs w:val="21"/>
          <w:highlight w:val="none"/>
        </w:rPr>
      </w:pPr>
      <w:r>
        <w:rPr>
          <w:rFonts w:hint="eastAsia" w:ascii="宋体" w:hAnsi="宋体" w:eastAsia="宋体" w:cs="宋体"/>
          <w:kern w:val="0"/>
          <w:sz w:val="24"/>
          <w:szCs w:val="24"/>
          <w:highlight w:val="none"/>
        </w:rPr>
        <w:t>4、售价：根据《关于进一步加强公共资源交易管理持续优化营商环境的通知》（三公管办〔2020〕2号）文件的要求,</w:t>
      </w:r>
      <w:r>
        <w:rPr>
          <w:rFonts w:hint="eastAsia" w:ascii="宋体" w:hAnsi="宋体" w:eastAsia="宋体" w:cs="宋体"/>
          <w:kern w:val="0"/>
          <w:sz w:val="24"/>
          <w:szCs w:val="24"/>
          <w:highlight w:val="none"/>
          <w:lang w:val="en-US" w:eastAsia="zh-CN"/>
        </w:rPr>
        <w:t>本项目</w:t>
      </w:r>
      <w:r>
        <w:rPr>
          <w:rFonts w:hint="eastAsia" w:ascii="宋体" w:hAnsi="宋体" w:eastAsia="宋体" w:cs="宋体"/>
          <w:kern w:val="0"/>
          <w:sz w:val="24"/>
          <w:szCs w:val="24"/>
          <w:highlight w:val="none"/>
        </w:rPr>
        <w:t>磋商文件费用不再收取。</w:t>
      </w:r>
    </w:p>
    <w:p w14:paraId="2022EB88">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highlight w:val="none"/>
        </w:rPr>
      </w:pPr>
      <w:r>
        <w:rPr>
          <w:rFonts w:hint="eastAsia" w:ascii="宋体" w:hAnsi="宋体" w:eastAsia="宋体" w:cs="宋体"/>
          <w:kern w:val="0"/>
          <w:sz w:val="24"/>
          <w:szCs w:val="24"/>
          <w:highlight w:val="none"/>
        </w:rPr>
        <w:t>四、响应文件提交：</w:t>
      </w:r>
    </w:p>
    <w:p w14:paraId="4695F9BF">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000000"/>
          <w:kern w:val="0"/>
          <w:sz w:val="24"/>
          <w:szCs w:val="24"/>
          <w:highlight w:val="none"/>
        </w:rPr>
      </w:pPr>
      <w:r>
        <w:rPr>
          <w:rFonts w:hint="eastAsia" w:ascii="宋体" w:hAnsi="宋体" w:eastAsia="宋体" w:cs="宋体"/>
          <w:kern w:val="0"/>
          <w:sz w:val="24"/>
          <w:szCs w:val="24"/>
          <w:highlight w:val="none"/>
        </w:rPr>
        <w:t>1、截止</w:t>
      </w:r>
      <w:r>
        <w:rPr>
          <w:rFonts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2026年4月9日08时30分</w:t>
      </w:r>
      <w:r>
        <w:rPr>
          <w:rFonts w:hint="eastAsia" w:ascii="宋体" w:hAnsi="宋体" w:eastAsia="宋体" w:cs="宋体"/>
          <w:color w:val="000000"/>
          <w:kern w:val="0"/>
          <w:sz w:val="24"/>
          <w:szCs w:val="24"/>
          <w:highlight w:val="none"/>
        </w:rPr>
        <w:t>（北京时间）</w:t>
      </w:r>
    </w:p>
    <w:p w14:paraId="6502F412">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2、地点：</w:t>
      </w:r>
      <w:r>
        <w:rPr>
          <w:rFonts w:hint="eastAsia" w:ascii="宋体" w:hAnsi="宋体" w:eastAsia="宋体" w:cs="宋体"/>
          <w:kern w:val="0"/>
          <w:sz w:val="24"/>
          <w:szCs w:val="24"/>
          <w:highlight w:val="none"/>
        </w:rPr>
        <w:t>三门峡市公共资源交易中心网（网址：http://gzjy.smx.gov.cn/</w:t>
      </w:r>
      <w:r>
        <w:rPr>
          <w:rFonts w:hint="eastAsia" w:ascii="宋体" w:hAnsi="宋体" w:eastAsia="宋体" w:cs="宋体"/>
          <w:color w:val="000000"/>
          <w:kern w:val="0"/>
          <w:sz w:val="24"/>
          <w:szCs w:val="24"/>
          <w:highlight w:val="none"/>
        </w:rPr>
        <w:t>）</w:t>
      </w:r>
    </w:p>
    <w:p w14:paraId="70F6F153">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highlight w:val="none"/>
        </w:rPr>
      </w:pPr>
      <w:r>
        <w:rPr>
          <w:rFonts w:hint="eastAsia" w:ascii="宋体" w:hAnsi="宋体" w:eastAsia="宋体" w:cs="宋体"/>
          <w:kern w:val="0"/>
          <w:sz w:val="24"/>
          <w:szCs w:val="24"/>
          <w:highlight w:val="none"/>
        </w:rPr>
        <w:t>五、响应文件开启：</w:t>
      </w:r>
    </w:p>
    <w:p w14:paraId="40B7B903">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2026年4月9日08时30分</w:t>
      </w:r>
      <w:r>
        <w:rPr>
          <w:rFonts w:hint="eastAsia" w:ascii="宋体" w:hAnsi="宋体" w:eastAsia="宋体" w:cs="宋体"/>
          <w:color w:val="000000"/>
          <w:kern w:val="0"/>
          <w:sz w:val="24"/>
          <w:szCs w:val="24"/>
          <w:highlight w:val="none"/>
        </w:rPr>
        <w:t>（北京时间）</w:t>
      </w:r>
    </w:p>
    <w:p w14:paraId="16AA54D1">
      <w:pPr>
        <w:pageBreakBefore w:val="0"/>
        <w:wordWrap/>
        <w:overflowPunct/>
        <w:topLinePunct w:val="0"/>
        <w:bidi w:val="0"/>
        <w:adjustRightInd w:val="0"/>
        <w:snapToGrid w:val="0"/>
        <w:spacing w:line="300" w:lineRule="auto"/>
        <w:ind w:firstLine="480" w:firstLineChars="200"/>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highlight w:val="none"/>
        </w:rPr>
        <w:t>2、地点：</w:t>
      </w:r>
      <w:r>
        <w:rPr>
          <w:rFonts w:hint="eastAsia" w:ascii="宋体" w:hAnsi="宋体" w:eastAsia="宋体" w:cs="宋体"/>
          <w:color w:val="auto"/>
          <w:kern w:val="0"/>
          <w:sz w:val="24"/>
          <w:szCs w:val="24"/>
          <w:highlight w:val="none"/>
          <w:lang w:val="en-US" w:eastAsia="zh-CN"/>
        </w:rPr>
        <w:t>义马</w:t>
      </w:r>
      <w:r>
        <w:rPr>
          <w:rFonts w:hint="eastAsia" w:ascii="宋体" w:hAnsi="宋体" w:eastAsia="宋体" w:cs="宋体"/>
          <w:color w:val="auto"/>
          <w:kern w:val="0"/>
          <w:sz w:val="24"/>
          <w:szCs w:val="24"/>
          <w:highlight w:val="none"/>
        </w:rPr>
        <w:t>市公共资源交易中心</w:t>
      </w:r>
      <w:r>
        <w:rPr>
          <w:rFonts w:hint="eastAsia" w:ascii="宋体" w:hAnsi="宋体" w:eastAsia="宋体" w:cs="宋体"/>
          <w:color w:val="auto"/>
          <w:kern w:val="0"/>
          <w:sz w:val="24"/>
          <w:szCs w:val="24"/>
          <w:highlight w:val="none"/>
          <w:lang w:val="en-US" w:eastAsia="zh-CN"/>
        </w:rPr>
        <w:t>开标二室</w:t>
      </w:r>
    </w:p>
    <w:p w14:paraId="4D370D06">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六、发布公告的媒介及公告期限：</w:t>
      </w:r>
    </w:p>
    <w:p w14:paraId="730BC00B">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本次竞争性磋商公告同时在《中国采购与招标网》、《河南省政府采购网》、《三门峡市公共资源交易中心网》上发布。</w:t>
      </w:r>
    </w:p>
    <w:p w14:paraId="54DA3677">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七、其他补充事宜</w:t>
      </w:r>
    </w:p>
    <w:p w14:paraId="0DB01996">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1、供应商应仔细阅读操作手册，在本公告中要求的截止时间前完成网上磋商响应文件的递交等工作。因供应商操作不当等问题造成的无法下载磋商文件、无法投标等一切后果，由供应商自行承担；</w:t>
      </w:r>
    </w:p>
    <w:p w14:paraId="42193D88">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本项目实行资格后审，审查内容以投标截止时间前在三门峡市公共资源交易平台“响应文件”上传的信息为准。同时，供应商须自行完善主体库资料。响应文件中上传的信息真实有效，扫描件清晰可辨。否则，由此造成应得分而未得分或资格审查不合格等情况的，由供应商承担责任。</w:t>
      </w:r>
    </w:p>
    <w:p w14:paraId="458CE0FF">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根据《河南省财政厅关于优化政府采购营商环境有关问题的通知》（豫财购【2019】4号）第6条的规定，磋商保证金不再收取。供应商应以响应承诺函的形式替代保证金，承诺函应明确承诺事项及违背承诺的责任。</w:t>
      </w:r>
    </w:p>
    <w:p w14:paraId="6F61C76F">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4、供应商递交的响应文件不论中标与否均不予退还；</w:t>
      </w:r>
    </w:p>
    <w:p w14:paraId="26D73AF1">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5、开标所发生的一切费用由供应商自行承担，并承担相应的风险和责任。</w:t>
      </w:r>
    </w:p>
    <w:p w14:paraId="326BFA28">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八、凡对本次磋商提出询问，请按照以下方式联系：</w:t>
      </w:r>
    </w:p>
    <w:p w14:paraId="65C8F39B">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1、采购人信息：</w:t>
      </w:r>
    </w:p>
    <w:p w14:paraId="71014435">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采购人：</w:t>
      </w:r>
      <w:r>
        <w:rPr>
          <w:rFonts w:hint="eastAsia" w:ascii="宋体" w:hAnsi="宋体" w:eastAsia="宋体" w:cs="宋体"/>
          <w:kern w:val="0"/>
          <w:sz w:val="24"/>
          <w:szCs w:val="24"/>
          <w:lang w:eastAsia="zh-CN"/>
        </w:rPr>
        <w:t>义马市自然资源和规划局</w:t>
      </w:r>
    </w:p>
    <w:p w14:paraId="147FFCDB">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地址：义马市千秋路</w:t>
      </w:r>
    </w:p>
    <w:p w14:paraId="1396FDAF">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eastAsia="zh-CN"/>
        </w:rPr>
        <w:t>范先生</w:t>
      </w:r>
    </w:p>
    <w:p w14:paraId="4039496C">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w:t>
      </w:r>
      <w:r>
        <w:rPr>
          <w:rFonts w:hint="eastAsia" w:ascii="宋体" w:hAnsi="宋体" w:eastAsia="宋体" w:cs="宋体"/>
          <w:kern w:val="0"/>
          <w:sz w:val="24"/>
          <w:szCs w:val="24"/>
          <w:highlight w:val="none"/>
          <w:lang w:val="en-US" w:eastAsia="zh-CN"/>
        </w:rPr>
        <w:t>方式</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15539806560</w:t>
      </w:r>
    </w:p>
    <w:p w14:paraId="352E53A6">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2、采购代理机构信息：</w:t>
      </w:r>
    </w:p>
    <w:p w14:paraId="7EB7A706">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采购代理机构：中基建安工程管理有限公司</w:t>
      </w:r>
    </w:p>
    <w:p w14:paraId="7526EC2F">
      <w:pPr>
        <w:pageBreakBefore w:val="0"/>
        <w:wordWrap/>
        <w:overflowPunct/>
        <w:topLinePunct w:val="0"/>
        <w:bidi w:val="0"/>
        <w:adjustRightInd w:val="0"/>
        <w:snapToGrid w:val="0"/>
        <w:spacing w:line="300" w:lineRule="auto"/>
        <w:ind w:firstLine="480" w:firstLineChars="200"/>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地址：河南自贸试验区郑州片区（郑东）心怡路319号易元国际B座16层1624号</w:t>
      </w:r>
    </w:p>
    <w:p w14:paraId="09441623">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联系人：李女士</w:t>
      </w:r>
    </w:p>
    <w:p w14:paraId="06765FAF">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联系电话：18703809283</w:t>
      </w:r>
    </w:p>
    <w:p w14:paraId="786D0432">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、监督单位信息：</w:t>
      </w:r>
    </w:p>
    <w:p w14:paraId="081E3554">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名称：义马市财政局政府采购监督管理科</w:t>
      </w:r>
    </w:p>
    <w:p w14:paraId="00193129">
      <w:pPr>
        <w:pageBreakBefore w:val="0"/>
        <w:wordWrap/>
        <w:overflowPunct/>
        <w:topLinePunct w:val="0"/>
        <w:bidi w:val="0"/>
        <w:adjustRightInd w:val="0"/>
        <w:snapToGrid w:val="0"/>
        <w:spacing w:line="300" w:lineRule="auto"/>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联系方式：0398-5832143</w:t>
      </w:r>
    </w:p>
    <w:bookmarkEnd w:id="0"/>
    <w:p w14:paraId="10C99A47">
      <w:pPr>
        <w:keepNext w:val="0"/>
        <w:keepLines w:val="0"/>
        <w:pageBreakBefore w:val="0"/>
        <w:widowControl w:val="0"/>
        <w:tabs>
          <w:tab w:val="left" w:pos="1283"/>
        </w:tabs>
        <w:kinsoku/>
        <w:wordWrap/>
        <w:overflowPunct/>
        <w:topLinePunct w:val="0"/>
        <w:autoSpaceDE/>
        <w:autoSpaceDN/>
        <w:bidi w:val="0"/>
        <w:adjustRightInd/>
        <w:snapToGrid/>
        <w:spacing w:before="55"/>
        <w:ind w:right="23"/>
        <w:jc w:val="center"/>
        <w:textAlignment w:val="auto"/>
        <w:outlineLvl w:val="0"/>
        <w:rPr>
          <w:rFonts w:ascii="Calibri" w:hAnsi="Calibri" w:eastAsia="宋体" w:cs="Times New Roman"/>
          <w:b/>
          <w:sz w:val="32"/>
          <w:szCs w:val="24"/>
        </w:rPr>
      </w:pPr>
      <w:r>
        <w:rPr>
          <w:rFonts w:ascii="Calibri" w:hAnsi="Calibri" w:eastAsia="宋体" w:cs="Times New Roman"/>
          <w:b/>
          <w:sz w:val="32"/>
          <w:szCs w:val="24"/>
        </w:rPr>
        <w:br w:type="page"/>
      </w:r>
      <w:bookmarkStart w:id="2" w:name="_Toc12075"/>
      <w:r>
        <w:rPr>
          <w:rFonts w:ascii="Calibri" w:hAnsi="Calibri" w:eastAsia="宋体" w:cs="Times New Roman"/>
          <w:b/>
          <w:sz w:val="32"/>
          <w:szCs w:val="24"/>
        </w:rPr>
        <w:t>第二章</w:t>
      </w:r>
      <w:r>
        <w:rPr>
          <w:rFonts w:hint="eastAsia" w:ascii="Calibri" w:hAnsi="Calibri" w:eastAsia="宋体" w:cs="Times New Roman"/>
          <w:b/>
          <w:sz w:val="32"/>
          <w:szCs w:val="24"/>
          <w:lang w:eastAsia="zh-CN"/>
        </w:rPr>
        <w:t>、</w:t>
      </w:r>
      <w:r>
        <w:rPr>
          <w:rFonts w:ascii="Calibri" w:hAnsi="Calibri" w:eastAsia="宋体" w:cs="Times New Roman"/>
          <w:b/>
          <w:sz w:val="32"/>
          <w:szCs w:val="24"/>
        </w:rPr>
        <w:t>供应商须知</w:t>
      </w:r>
      <w:bookmarkEnd w:id="2"/>
    </w:p>
    <w:p w14:paraId="3E21D6EC">
      <w:pPr>
        <w:pageBreakBefore w:val="0"/>
        <w:wordWrap/>
        <w:overflowPunct/>
        <w:topLinePunct w:val="0"/>
        <w:bidi w:val="0"/>
        <w:spacing w:before="210" w:after="3"/>
        <w:ind w:left="755" w:right="776"/>
        <w:jc w:val="center"/>
        <w:outlineLvl w:val="9"/>
        <w:rPr>
          <w:rFonts w:ascii="宋体" w:hAnsi="宋体" w:eastAsia="宋体" w:cs="宋体"/>
          <w:b/>
          <w:bCs/>
          <w:sz w:val="28"/>
          <w:szCs w:val="32"/>
        </w:rPr>
      </w:pPr>
      <w:r>
        <w:rPr>
          <w:rFonts w:ascii="宋体" w:hAnsi="宋体" w:eastAsia="宋体" w:cs="宋体"/>
          <w:b/>
          <w:bCs/>
          <w:sz w:val="28"/>
          <w:szCs w:val="32"/>
        </w:rPr>
        <w:t>供应商须知前附表</w:t>
      </w:r>
    </w:p>
    <w:tbl>
      <w:tblPr>
        <w:tblStyle w:val="22"/>
        <w:tblW w:w="9584" w:type="dxa"/>
        <w:jc w:val="center"/>
        <w:tblLayout w:type="fixed"/>
        <w:tblCellMar>
          <w:top w:w="0" w:type="dxa"/>
          <w:left w:w="108" w:type="dxa"/>
          <w:bottom w:w="0" w:type="dxa"/>
          <w:right w:w="108" w:type="dxa"/>
        </w:tblCellMar>
      </w:tblPr>
      <w:tblGrid>
        <w:gridCol w:w="1101"/>
        <w:gridCol w:w="2017"/>
        <w:gridCol w:w="6466"/>
      </w:tblGrid>
      <w:tr w14:paraId="177A71B8">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09DB9F2">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条款号</w:t>
            </w:r>
          </w:p>
        </w:tc>
        <w:tc>
          <w:tcPr>
            <w:tcW w:w="2017" w:type="dxa"/>
            <w:tcBorders>
              <w:top w:val="single" w:color="auto" w:sz="4" w:space="0"/>
              <w:left w:val="nil"/>
              <w:bottom w:val="single" w:color="auto" w:sz="4" w:space="0"/>
              <w:right w:val="single" w:color="auto" w:sz="4" w:space="0"/>
            </w:tcBorders>
            <w:vAlign w:val="center"/>
          </w:tcPr>
          <w:p w14:paraId="5B09007F">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条款名称</w:t>
            </w:r>
          </w:p>
        </w:tc>
        <w:tc>
          <w:tcPr>
            <w:tcW w:w="6466" w:type="dxa"/>
            <w:tcBorders>
              <w:top w:val="single" w:color="auto" w:sz="4" w:space="0"/>
              <w:left w:val="nil"/>
              <w:bottom w:val="single" w:color="auto" w:sz="4" w:space="0"/>
              <w:right w:val="single" w:color="auto" w:sz="4" w:space="0"/>
            </w:tcBorders>
            <w:vAlign w:val="center"/>
          </w:tcPr>
          <w:p w14:paraId="4BF4A83F">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编列内容</w:t>
            </w:r>
          </w:p>
        </w:tc>
      </w:tr>
      <w:tr w14:paraId="2511A3D2">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vAlign w:val="center"/>
          </w:tcPr>
          <w:p w14:paraId="6237E80A">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1.1</w:t>
            </w:r>
          </w:p>
        </w:tc>
        <w:tc>
          <w:tcPr>
            <w:tcW w:w="2017" w:type="dxa"/>
            <w:tcBorders>
              <w:top w:val="nil"/>
              <w:left w:val="nil"/>
              <w:bottom w:val="single" w:color="auto" w:sz="4" w:space="0"/>
              <w:right w:val="single" w:color="auto" w:sz="4" w:space="0"/>
            </w:tcBorders>
            <w:vAlign w:val="center"/>
          </w:tcPr>
          <w:p w14:paraId="4C902C62">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采购人</w:t>
            </w:r>
          </w:p>
        </w:tc>
        <w:tc>
          <w:tcPr>
            <w:tcW w:w="6466" w:type="dxa"/>
            <w:tcBorders>
              <w:top w:val="single" w:color="auto" w:sz="4" w:space="0"/>
              <w:left w:val="nil"/>
              <w:bottom w:val="single" w:color="auto" w:sz="4" w:space="0"/>
              <w:right w:val="single" w:color="auto" w:sz="4" w:space="0"/>
            </w:tcBorders>
            <w:vAlign w:val="center"/>
          </w:tcPr>
          <w:p w14:paraId="75E53E8E">
            <w:pPr>
              <w:pageBreakBefore w:val="0"/>
              <w:wordWrap/>
              <w:overflowPunct/>
              <w:topLinePunct w:val="0"/>
              <w:bidi w:val="0"/>
              <w:spacing w:before="6" w:line="360" w:lineRule="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采购人：</w:t>
            </w:r>
            <w:r>
              <w:rPr>
                <w:rFonts w:hint="eastAsia" w:ascii="宋体" w:hAnsi="宋体" w:eastAsia="宋体" w:cs="宋体"/>
                <w:b w:val="0"/>
                <w:bCs w:val="0"/>
                <w:sz w:val="24"/>
                <w:szCs w:val="24"/>
                <w:lang w:eastAsia="zh-CN"/>
              </w:rPr>
              <w:t>义马市自然资源和规划局</w:t>
            </w:r>
          </w:p>
          <w:p w14:paraId="021D1D73">
            <w:pPr>
              <w:pageBreakBefore w:val="0"/>
              <w:wordWrap/>
              <w:overflowPunct/>
              <w:topLinePunct w:val="0"/>
              <w:bidi w:val="0"/>
              <w:spacing w:before="6"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r>
              <w:rPr>
                <w:rFonts w:hint="eastAsia" w:ascii="宋体" w:hAnsi="宋体" w:eastAsia="宋体" w:cs="宋体"/>
                <w:b w:val="0"/>
                <w:bCs w:val="0"/>
                <w:kern w:val="0"/>
                <w:sz w:val="24"/>
                <w:szCs w:val="24"/>
                <w:highlight w:val="none"/>
                <w:lang w:val="en-US" w:eastAsia="zh-CN"/>
              </w:rPr>
              <w:t>义马市千秋路</w:t>
            </w:r>
          </w:p>
          <w:p w14:paraId="7A8EB799">
            <w:pPr>
              <w:pageBreakBefore w:val="0"/>
              <w:wordWrap/>
              <w:overflowPunct/>
              <w:topLinePunct w:val="0"/>
              <w:bidi w:val="0"/>
              <w:spacing w:before="6" w:line="360" w:lineRule="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联系人：</w:t>
            </w:r>
            <w:r>
              <w:rPr>
                <w:rFonts w:hint="eastAsia" w:ascii="宋体" w:hAnsi="宋体" w:eastAsia="宋体" w:cs="宋体"/>
                <w:b w:val="0"/>
                <w:bCs w:val="0"/>
                <w:kern w:val="0"/>
                <w:sz w:val="24"/>
                <w:szCs w:val="24"/>
                <w:highlight w:val="none"/>
                <w:lang w:eastAsia="zh-CN"/>
              </w:rPr>
              <w:t>范先生</w:t>
            </w:r>
          </w:p>
          <w:p w14:paraId="2780818D">
            <w:pPr>
              <w:pageBreakBefore w:val="0"/>
              <w:wordWrap/>
              <w:overflowPunct/>
              <w:topLinePunct w:val="0"/>
              <w:bidi w:val="0"/>
              <w:spacing w:before="6" w:line="360" w:lineRule="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联系电话：</w:t>
            </w:r>
            <w:r>
              <w:rPr>
                <w:rFonts w:hint="eastAsia" w:ascii="宋体" w:hAnsi="宋体" w:eastAsia="宋体" w:cs="宋体"/>
                <w:b w:val="0"/>
                <w:bCs w:val="0"/>
                <w:kern w:val="0"/>
                <w:sz w:val="24"/>
                <w:szCs w:val="24"/>
                <w:highlight w:val="none"/>
                <w:lang w:eastAsia="zh-CN"/>
              </w:rPr>
              <w:t>15539806560</w:t>
            </w:r>
          </w:p>
        </w:tc>
      </w:tr>
      <w:tr w14:paraId="14162891">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vAlign w:val="center"/>
          </w:tcPr>
          <w:p w14:paraId="15243CD3">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1.2</w:t>
            </w:r>
          </w:p>
        </w:tc>
        <w:tc>
          <w:tcPr>
            <w:tcW w:w="2017" w:type="dxa"/>
            <w:tcBorders>
              <w:top w:val="nil"/>
              <w:left w:val="nil"/>
              <w:bottom w:val="single" w:color="auto" w:sz="4" w:space="0"/>
              <w:right w:val="single" w:color="auto" w:sz="4" w:space="0"/>
            </w:tcBorders>
            <w:vAlign w:val="center"/>
          </w:tcPr>
          <w:p w14:paraId="52529B96">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采购代理机构</w:t>
            </w:r>
          </w:p>
        </w:tc>
        <w:tc>
          <w:tcPr>
            <w:tcW w:w="6466" w:type="dxa"/>
            <w:tcBorders>
              <w:top w:val="single" w:color="auto" w:sz="4" w:space="0"/>
              <w:left w:val="nil"/>
              <w:bottom w:val="single" w:color="auto" w:sz="4" w:space="0"/>
              <w:right w:val="single" w:color="auto" w:sz="4" w:space="0"/>
            </w:tcBorders>
            <w:vAlign w:val="center"/>
          </w:tcPr>
          <w:p w14:paraId="17A16F60">
            <w:pPr>
              <w:pageBreakBefore w:val="0"/>
              <w:wordWrap/>
              <w:overflowPunct/>
              <w:topLinePunct w:val="0"/>
              <w:bidi w:val="0"/>
              <w:spacing w:before="6"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采购代理机构：中基建安工程管理有限公司</w:t>
            </w:r>
          </w:p>
          <w:p w14:paraId="3587BFCD">
            <w:pPr>
              <w:pageBreakBefore w:val="0"/>
              <w:wordWrap/>
              <w:overflowPunct/>
              <w:topLinePunct w:val="0"/>
              <w:bidi w:val="0"/>
              <w:spacing w:before="6"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地址：河南自贸试验区郑州片区（郑东）心怡路319号易元国际B座16层1624号</w:t>
            </w:r>
          </w:p>
          <w:p w14:paraId="58BA6AAE">
            <w:pPr>
              <w:pageBreakBefore w:val="0"/>
              <w:wordWrap/>
              <w:overflowPunct/>
              <w:topLinePunct w:val="0"/>
              <w:bidi w:val="0"/>
              <w:spacing w:before="6"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联系人：李女士</w:t>
            </w:r>
          </w:p>
          <w:p w14:paraId="4443B6B3">
            <w:pPr>
              <w:pageBreakBefore w:val="0"/>
              <w:wordWrap/>
              <w:overflowPunct/>
              <w:topLinePunct w:val="0"/>
              <w:bidi w:val="0"/>
              <w:spacing w:before="6"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联系电话：18703809283</w:t>
            </w:r>
          </w:p>
        </w:tc>
      </w:tr>
      <w:tr w14:paraId="04E153F1">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vAlign w:val="center"/>
          </w:tcPr>
          <w:p w14:paraId="70AD83B2">
            <w:pPr>
              <w:pageBreakBefore w:val="0"/>
              <w:widowControl/>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1.3</w:t>
            </w:r>
          </w:p>
        </w:tc>
        <w:tc>
          <w:tcPr>
            <w:tcW w:w="2017" w:type="dxa"/>
            <w:tcBorders>
              <w:top w:val="nil"/>
              <w:left w:val="nil"/>
              <w:bottom w:val="single" w:color="auto" w:sz="4" w:space="0"/>
              <w:right w:val="single" w:color="auto" w:sz="4" w:space="0"/>
            </w:tcBorders>
            <w:vAlign w:val="center"/>
          </w:tcPr>
          <w:p w14:paraId="379C05BA">
            <w:pPr>
              <w:pageBreakBefore w:val="0"/>
              <w:widowControl/>
              <w:wordWrap/>
              <w:overflowPunct/>
              <w:topLinePunct w:val="0"/>
              <w:bidi w:val="0"/>
              <w:spacing w:line="360" w:lineRule="auto"/>
              <w:jc w:val="center"/>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预算金额</w:t>
            </w:r>
          </w:p>
        </w:tc>
        <w:tc>
          <w:tcPr>
            <w:tcW w:w="6466" w:type="dxa"/>
            <w:tcBorders>
              <w:top w:val="single" w:color="auto" w:sz="4" w:space="0"/>
              <w:left w:val="nil"/>
              <w:bottom w:val="single" w:color="auto" w:sz="4" w:space="0"/>
              <w:right w:val="single" w:color="auto" w:sz="4" w:space="0"/>
            </w:tcBorders>
            <w:vAlign w:val="center"/>
          </w:tcPr>
          <w:p w14:paraId="7380AED1">
            <w:pPr>
              <w:pageBreakBefore w:val="0"/>
              <w:wordWrap/>
              <w:overflowPunct/>
              <w:topLinePunct w:val="0"/>
              <w:bidi w:val="0"/>
              <w:spacing w:line="360" w:lineRule="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700000.00</w:t>
            </w:r>
            <w:r>
              <w:rPr>
                <w:rFonts w:hint="eastAsia" w:ascii="宋体" w:hAnsi="宋体" w:eastAsia="宋体" w:cs="宋体"/>
                <w:b w:val="0"/>
                <w:bCs w:val="0"/>
                <w:color w:val="000000"/>
                <w:sz w:val="24"/>
                <w:szCs w:val="24"/>
              </w:rPr>
              <w:t>元</w:t>
            </w:r>
          </w:p>
        </w:tc>
      </w:tr>
      <w:tr w14:paraId="23A5D408">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ADA5CFD">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w:t>
            </w:r>
          </w:p>
        </w:tc>
        <w:tc>
          <w:tcPr>
            <w:tcW w:w="2017" w:type="dxa"/>
            <w:tcBorders>
              <w:top w:val="single" w:color="auto" w:sz="4" w:space="0"/>
              <w:left w:val="nil"/>
              <w:bottom w:val="single" w:color="auto" w:sz="4" w:space="0"/>
              <w:right w:val="single" w:color="auto" w:sz="4" w:space="0"/>
            </w:tcBorders>
            <w:vAlign w:val="center"/>
          </w:tcPr>
          <w:p w14:paraId="54828F9D">
            <w:pPr>
              <w:pageBreakBefore w:val="0"/>
              <w:wordWrap/>
              <w:overflowPunct/>
              <w:topLinePunct w:val="0"/>
              <w:bidi w:val="0"/>
              <w:spacing w:line="360" w:lineRule="auto"/>
              <w:jc w:val="center"/>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项目名称及项目编号</w:t>
            </w:r>
          </w:p>
        </w:tc>
        <w:tc>
          <w:tcPr>
            <w:tcW w:w="6466" w:type="dxa"/>
            <w:tcBorders>
              <w:top w:val="single" w:color="auto" w:sz="4" w:space="0"/>
              <w:left w:val="nil"/>
              <w:bottom w:val="single" w:color="auto" w:sz="4" w:space="0"/>
              <w:right w:val="single" w:color="auto" w:sz="4" w:space="0"/>
            </w:tcBorders>
            <w:vAlign w:val="center"/>
          </w:tcPr>
          <w:p w14:paraId="0407F09F">
            <w:pPr>
              <w:pageBreakBefore w:val="0"/>
              <w:wordWrap/>
              <w:overflowPunct/>
              <w:topLinePunct w:val="0"/>
              <w:bidi w:val="0"/>
              <w:spacing w:line="360" w:lineRule="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项目名称：</w:t>
            </w:r>
            <w:r>
              <w:rPr>
                <w:rFonts w:hint="eastAsia" w:ascii="宋体" w:hAnsi="宋体" w:eastAsia="宋体" w:cs="宋体"/>
                <w:b w:val="0"/>
                <w:bCs w:val="0"/>
                <w:sz w:val="24"/>
                <w:szCs w:val="24"/>
                <w:highlight w:val="none"/>
                <w:lang w:eastAsia="zh-CN"/>
              </w:rPr>
              <w:t>义马市国土空间总体规划动态调整完善项目</w:t>
            </w:r>
          </w:p>
          <w:p w14:paraId="1612C334">
            <w:pPr>
              <w:pageBreakBefore w:val="0"/>
              <w:wordWrap/>
              <w:overflowPunct/>
              <w:topLinePunct w:val="0"/>
              <w:bidi w:val="0"/>
              <w:spacing w:line="360" w:lineRule="auto"/>
              <w:outlineLvl w:val="9"/>
              <w:rPr>
                <w:rFonts w:hint="eastAsia" w:ascii="宋体" w:hAnsi="宋体" w:eastAsia="宋体" w:cs="宋体"/>
                <w:b w:val="0"/>
                <w:bCs w:val="0"/>
                <w:color w:val="000000"/>
                <w:sz w:val="24"/>
                <w:szCs w:val="24"/>
                <w:highlight w:val="none"/>
                <w:shd w:val="clear" w:color="auto" w:fill="FFFFFF"/>
              </w:rPr>
            </w:pPr>
            <w:r>
              <w:rPr>
                <w:rFonts w:hint="eastAsia" w:ascii="宋体" w:hAnsi="宋体" w:eastAsia="宋体" w:cs="宋体"/>
                <w:b w:val="0"/>
                <w:bCs w:val="0"/>
                <w:color w:val="000000"/>
                <w:sz w:val="24"/>
                <w:szCs w:val="24"/>
                <w:highlight w:val="none"/>
                <w:shd w:val="clear" w:color="auto" w:fill="FFFFFF"/>
              </w:rPr>
              <w:t>项目</w:t>
            </w:r>
            <w:r>
              <w:rPr>
                <w:rFonts w:hint="eastAsia" w:ascii="宋体" w:hAnsi="宋体" w:eastAsia="宋体" w:cs="宋体"/>
                <w:b w:val="0"/>
                <w:bCs w:val="0"/>
                <w:sz w:val="24"/>
                <w:szCs w:val="24"/>
                <w:highlight w:val="none"/>
                <w:shd w:val="clear" w:color="auto" w:fill="FFFFFF"/>
              </w:rPr>
              <w:t>编号：</w:t>
            </w:r>
            <w:r>
              <w:rPr>
                <w:rFonts w:hint="eastAsia" w:ascii="宋体" w:hAnsi="宋体" w:eastAsia="宋体" w:cs="宋体"/>
                <w:color w:val="auto"/>
                <w:kern w:val="0"/>
                <w:sz w:val="24"/>
                <w:szCs w:val="24"/>
                <w:highlight w:val="none"/>
              </w:rPr>
              <w:t>义马竞磋采购-2026-10</w:t>
            </w:r>
            <w:r>
              <w:rPr>
                <w:rFonts w:hint="eastAsia" w:ascii="宋体" w:hAnsi="宋体" w:eastAsia="宋体" w:cs="宋体"/>
                <w:color w:val="auto"/>
                <w:kern w:val="0"/>
                <w:sz w:val="24"/>
                <w:szCs w:val="24"/>
                <w:highlight w:val="none"/>
                <w:lang w:val="en-US" w:eastAsia="zh-CN"/>
              </w:rPr>
              <w:t>、YMGZ[2026]024-ZC023</w:t>
            </w:r>
          </w:p>
        </w:tc>
      </w:tr>
      <w:tr w14:paraId="03E3222B">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9BD4035">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1.5</w:t>
            </w:r>
          </w:p>
        </w:tc>
        <w:tc>
          <w:tcPr>
            <w:tcW w:w="2017" w:type="dxa"/>
            <w:tcBorders>
              <w:top w:val="single" w:color="auto" w:sz="4" w:space="0"/>
              <w:left w:val="nil"/>
              <w:bottom w:val="single" w:color="auto" w:sz="4" w:space="0"/>
              <w:right w:val="single" w:color="auto" w:sz="4" w:space="0"/>
            </w:tcBorders>
            <w:vAlign w:val="center"/>
          </w:tcPr>
          <w:p w14:paraId="6E8DBDC9">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kern w:val="0"/>
                <w:sz w:val="24"/>
                <w:szCs w:val="24"/>
              </w:rPr>
              <w:t>项目概况</w:t>
            </w:r>
          </w:p>
        </w:tc>
        <w:tc>
          <w:tcPr>
            <w:tcW w:w="6466" w:type="dxa"/>
            <w:tcBorders>
              <w:top w:val="single" w:color="auto" w:sz="4" w:space="0"/>
              <w:left w:val="nil"/>
              <w:bottom w:val="single" w:color="auto" w:sz="4" w:space="0"/>
              <w:right w:val="single" w:color="auto" w:sz="4" w:space="0"/>
            </w:tcBorders>
            <w:vAlign w:val="center"/>
          </w:tcPr>
          <w:p w14:paraId="7D0927EF">
            <w:pPr>
              <w:pageBreakBefore w:val="0"/>
              <w:wordWrap/>
              <w:overflowPunct/>
              <w:topLinePunct w:val="0"/>
              <w:bidi w:val="0"/>
              <w:spacing w:line="360" w:lineRule="auto"/>
              <w:jc w:val="left"/>
              <w:outlineLvl w:val="9"/>
              <w:rPr>
                <w:rFonts w:hint="eastAsia" w:ascii="宋体" w:hAnsi="宋体" w:eastAsia="宋体" w:cs="宋体"/>
                <w:b w:val="0"/>
                <w:bCs w:val="0"/>
                <w:sz w:val="24"/>
                <w:szCs w:val="24"/>
              </w:rPr>
            </w:pPr>
            <w:r>
              <w:rPr>
                <w:rFonts w:hint="eastAsia" w:ascii="宋体" w:hAnsi="宋体" w:eastAsia="宋体" w:cs="宋体"/>
                <w:b w:val="0"/>
                <w:bCs w:val="0"/>
                <w:kern w:val="0"/>
                <w:sz w:val="24"/>
                <w:szCs w:val="24"/>
                <w:lang w:eastAsia="zh-CN"/>
              </w:rPr>
              <w:t>义马市国土空间总体规划动态调整完善项目</w:t>
            </w:r>
            <w:r>
              <w:rPr>
                <w:rFonts w:hint="eastAsia" w:ascii="宋体" w:hAnsi="宋体" w:eastAsia="宋体" w:cs="宋体"/>
                <w:b w:val="0"/>
                <w:bCs w:val="0"/>
                <w:kern w:val="0"/>
                <w:sz w:val="24"/>
                <w:szCs w:val="24"/>
              </w:rPr>
              <w:t>，位于三门峡市</w:t>
            </w:r>
            <w:r>
              <w:rPr>
                <w:rFonts w:hint="eastAsia" w:ascii="宋体" w:hAnsi="宋体" w:eastAsia="宋体" w:cs="宋体"/>
                <w:b w:val="0"/>
                <w:bCs w:val="0"/>
                <w:kern w:val="0"/>
                <w:sz w:val="24"/>
                <w:szCs w:val="24"/>
                <w:lang w:val="en-US" w:eastAsia="zh-CN"/>
              </w:rPr>
              <w:t>义马市</w:t>
            </w:r>
            <w:r>
              <w:rPr>
                <w:rFonts w:hint="eastAsia" w:ascii="宋体" w:hAnsi="宋体" w:eastAsia="宋体" w:cs="宋体"/>
                <w:b w:val="0"/>
                <w:bCs w:val="0"/>
                <w:kern w:val="0"/>
                <w:sz w:val="24"/>
                <w:szCs w:val="24"/>
              </w:rPr>
              <w:t>，</w:t>
            </w:r>
            <w:r>
              <w:rPr>
                <w:rFonts w:hint="eastAsia" w:ascii="宋体" w:hAnsi="宋体" w:eastAsia="宋体" w:cs="宋体"/>
                <w:b w:val="0"/>
                <w:bCs w:val="0"/>
                <w:kern w:val="0"/>
                <w:sz w:val="24"/>
                <w:szCs w:val="24"/>
                <w:lang w:val="en-US" w:eastAsia="zh-CN"/>
              </w:rPr>
              <w:t>为深入贯彻落实党的二十届四中全会精神，在义马市国土空间规划中充分体现“十五五”规划指导方针和目标任务要求，维护依法审批的国土空间总体规划的权威性、严肃性，提高规划对经济社会发展的适应性，全面统筹发展规划和各专项规划的空间需求，基于国土空间规划体检评估结果，我单位拟开展义马市国土空间总体规划动态调整完善项目。</w:t>
            </w:r>
          </w:p>
        </w:tc>
      </w:tr>
      <w:tr w14:paraId="11188C39">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20C377E">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1.6</w:t>
            </w:r>
          </w:p>
        </w:tc>
        <w:tc>
          <w:tcPr>
            <w:tcW w:w="2017" w:type="dxa"/>
            <w:tcBorders>
              <w:top w:val="single" w:color="auto" w:sz="4" w:space="0"/>
              <w:left w:val="nil"/>
              <w:bottom w:val="single" w:color="auto" w:sz="4" w:space="0"/>
              <w:right w:val="single" w:color="auto" w:sz="4" w:space="0"/>
            </w:tcBorders>
            <w:vAlign w:val="center"/>
          </w:tcPr>
          <w:p w14:paraId="1C69BE71">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资金来源</w:t>
            </w:r>
          </w:p>
        </w:tc>
        <w:tc>
          <w:tcPr>
            <w:tcW w:w="6466" w:type="dxa"/>
            <w:tcBorders>
              <w:top w:val="single" w:color="auto" w:sz="4" w:space="0"/>
              <w:left w:val="nil"/>
              <w:bottom w:val="single" w:color="auto" w:sz="4" w:space="0"/>
              <w:right w:val="single" w:color="auto" w:sz="4" w:space="0"/>
            </w:tcBorders>
            <w:vAlign w:val="center"/>
          </w:tcPr>
          <w:p w14:paraId="5C38C6D3">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kern w:val="0"/>
                <w:sz w:val="24"/>
                <w:szCs w:val="24"/>
              </w:rPr>
              <w:t>财政资金，已落实</w:t>
            </w:r>
          </w:p>
        </w:tc>
      </w:tr>
      <w:tr w14:paraId="5E81D76D">
        <w:tblPrEx>
          <w:tblCellMar>
            <w:top w:w="0" w:type="dxa"/>
            <w:left w:w="108" w:type="dxa"/>
            <w:bottom w:w="0" w:type="dxa"/>
            <w:right w:w="108" w:type="dxa"/>
          </w:tblCellMar>
        </w:tblPrEx>
        <w:trPr>
          <w:trHeight w:val="567" w:hRule="atLeast"/>
          <w:jc w:val="center"/>
        </w:trPr>
        <w:tc>
          <w:tcPr>
            <w:tcW w:w="1101" w:type="dxa"/>
            <w:tcBorders>
              <w:top w:val="nil"/>
              <w:left w:val="single" w:color="auto" w:sz="4" w:space="0"/>
              <w:bottom w:val="single" w:color="auto" w:sz="4" w:space="0"/>
              <w:right w:val="single" w:color="auto" w:sz="4" w:space="0"/>
            </w:tcBorders>
            <w:vAlign w:val="center"/>
          </w:tcPr>
          <w:p w14:paraId="1F7516EA">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w:t>
            </w:r>
          </w:p>
        </w:tc>
        <w:tc>
          <w:tcPr>
            <w:tcW w:w="2017" w:type="dxa"/>
            <w:tcBorders>
              <w:top w:val="nil"/>
              <w:left w:val="nil"/>
              <w:bottom w:val="single" w:color="auto" w:sz="4" w:space="0"/>
              <w:right w:val="single" w:color="auto" w:sz="4" w:space="0"/>
            </w:tcBorders>
            <w:vAlign w:val="center"/>
          </w:tcPr>
          <w:p w14:paraId="70DEAF33">
            <w:pPr>
              <w:keepLines/>
              <w:pageBreakBefore w:val="0"/>
              <w:wordWrap/>
              <w:overflowPunct/>
              <w:topLinePunct w:val="0"/>
              <w:bidi w:val="0"/>
              <w:spacing w:line="360" w:lineRule="auto"/>
              <w:jc w:val="center"/>
              <w:outlineLvl w:val="9"/>
              <w:rPr>
                <w:rFonts w:hint="eastAsia" w:ascii="宋体" w:hAnsi="宋体" w:eastAsia="宋体" w:cs="宋体"/>
                <w:b w:val="0"/>
                <w:bCs w:val="0"/>
                <w:kern w:val="0"/>
                <w:sz w:val="24"/>
                <w:szCs w:val="24"/>
              </w:rPr>
            </w:pPr>
            <w:r>
              <w:rPr>
                <w:rFonts w:hint="eastAsia" w:ascii="宋体" w:hAnsi="宋体" w:eastAsia="宋体" w:cs="宋体"/>
                <w:b w:val="0"/>
                <w:bCs w:val="0"/>
                <w:sz w:val="24"/>
                <w:szCs w:val="24"/>
              </w:rPr>
              <w:t>服务地点</w:t>
            </w:r>
          </w:p>
        </w:tc>
        <w:tc>
          <w:tcPr>
            <w:tcW w:w="6466" w:type="dxa"/>
            <w:tcBorders>
              <w:top w:val="nil"/>
              <w:left w:val="nil"/>
              <w:bottom w:val="single" w:color="auto" w:sz="4" w:space="0"/>
              <w:right w:val="single" w:color="auto" w:sz="4" w:space="0"/>
            </w:tcBorders>
            <w:vAlign w:val="center"/>
          </w:tcPr>
          <w:p w14:paraId="600698C5">
            <w:pPr>
              <w:pageBreakBefore w:val="0"/>
              <w:wordWrap/>
              <w:overflowPunct/>
              <w:topLinePunct w:val="0"/>
              <w:bidi w:val="0"/>
              <w:spacing w:line="360" w:lineRule="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三门峡市</w:t>
            </w:r>
            <w:r>
              <w:rPr>
                <w:rFonts w:hint="eastAsia" w:ascii="宋体" w:hAnsi="宋体" w:eastAsia="宋体" w:cs="宋体"/>
                <w:b w:val="0"/>
                <w:bCs w:val="0"/>
                <w:sz w:val="24"/>
                <w:szCs w:val="24"/>
                <w:lang w:val="en-US" w:eastAsia="zh-CN"/>
              </w:rPr>
              <w:t>义马市</w:t>
            </w:r>
          </w:p>
        </w:tc>
      </w:tr>
      <w:tr w14:paraId="7A8D3F77">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C2E38AB">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1.8</w:t>
            </w:r>
          </w:p>
        </w:tc>
        <w:tc>
          <w:tcPr>
            <w:tcW w:w="2017" w:type="dxa"/>
            <w:tcBorders>
              <w:top w:val="single" w:color="auto" w:sz="4" w:space="0"/>
              <w:left w:val="nil"/>
              <w:bottom w:val="single" w:color="auto" w:sz="4" w:space="0"/>
              <w:right w:val="single" w:color="auto" w:sz="4" w:space="0"/>
            </w:tcBorders>
            <w:vAlign w:val="center"/>
          </w:tcPr>
          <w:p w14:paraId="2D5FFB1C">
            <w:pPr>
              <w:keepLines/>
              <w:pageBreakBefore w:val="0"/>
              <w:wordWrap/>
              <w:overflowPunct/>
              <w:topLinePunct w:val="0"/>
              <w:bidi w:val="0"/>
              <w:spacing w:line="360" w:lineRule="auto"/>
              <w:jc w:val="center"/>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服务周期</w:t>
            </w:r>
          </w:p>
        </w:tc>
        <w:tc>
          <w:tcPr>
            <w:tcW w:w="6466" w:type="dxa"/>
            <w:tcBorders>
              <w:top w:val="single" w:color="auto" w:sz="4" w:space="0"/>
              <w:left w:val="nil"/>
              <w:bottom w:val="single" w:color="auto" w:sz="4" w:space="0"/>
              <w:right w:val="single" w:color="auto" w:sz="4" w:space="0"/>
            </w:tcBorders>
            <w:vAlign w:val="center"/>
          </w:tcPr>
          <w:p w14:paraId="07C3900E">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rPr>
              <w:t>100日历天</w:t>
            </w:r>
          </w:p>
        </w:tc>
      </w:tr>
      <w:tr w14:paraId="3780E142">
        <w:tblPrEx>
          <w:tblCellMar>
            <w:top w:w="0" w:type="dxa"/>
            <w:left w:w="108" w:type="dxa"/>
            <w:bottom w:w="0" w:type="dxa"/>
            <w:right w:w="108" w:type="dxa"/>
          </w:tblCellMar>
        </w:tblPrEx>
        <w:trPr>
          <w:trHeight w:val="1093"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CCFEA02">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1.9</w:t>
            </w:r>
          </w:p>
        </w:tc>
        <w:tc>
          <w:tcPr>
            <w:tcW w:w="2017" w:type="dxa"/>
            <w:tcBorders>
              <w:top w:val="single" w:color="auto" w:sz="4" w:space="0"/>
              <w:left w:val="nil"/>
              <w:bottom w:val="single" w:color="auto" w:sz="4" w:space="0"/>
              <w:right w:val="single" w:color="auto" w:sz="4" w:space="0"/>
            </w:tcBorders>
            <w:vAlign w:val="center"/>
          </w:tcPr>
          <w:p w14:paraId="6F1448FE">
            <w:pPr>
              <w:keepLines/>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质量要求</w:t>
            </w:r>
          </w:p>
        </w:tc>
        <w:tc>
          <w:tcPr>
            <w:tcW w:w="6466" w:type="dxa"/>
            <w:tcBorders>
              <w:top w:val="single" w:color="auto" w:sz="4" w:space="0"/>
              <w:left w:val="nil"/>
              <w:bottom w:val="single" w:color="auto" w:sz="4" w:space="0"/>
              <w:right w:val="single" w:color="auto" w:sz="4" w:space="0"/>
            </w:tcBorders>
            <w:vAlign w:val="center"/>
          </w:tcPr>
          <w:p w14:paraId="03809136">
            <w:pPr>
              <w:keepLines/>
              <w:pageBreakBefore w:val="0"/>
              <w:wordWrap/>
              <w:overflowPunct/>
              <w:topLinePunct w:val="0"/>
              <w:bidi w:val="0"/>
              <w:spacing w:line="360" w:lineRule="auto"/>
              <w:jc w:val="left"/>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符合国家、省、市规范、技术要求，通过主管部门审查，完成报批工作</w:t>
            </w:r>
          </w:p>
        </w:tc>
      </w:tr>
      <w:tr w14:paraId="37277C66">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A69972B">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2.0</w:t>
            </w:r>
          </w:p>
        </w:tc>
        <w:tc>
          <w:tcPr>
            <w:tcW w:w="2017" w:type="dxa"/>
            <w:tcBorders>
              <w:top w:val="single" w:color="auto" w:sz="4" w:space="0"/>
              <w:left w:val="nil"/>
              <w:bottom w:val="single" w:color="auto" w:sz="4" w:space="0"/>
              <w:right w:val="single" w:color="auto" w:sz="4" w:space="0"/>
            </w:tcBorders>
            <w:vAlign w:val="center"/>
          </w:tcPr>
          <w:p w14:paraId="20E8C990">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资格要求</w:t>
            </w:r>
          </w:p>
        </w:tc>
        <w:tc>
          <w:tcPr>
            <w:tcW w:w="6466" w:type="dxa"/>
            <w:tcBorders>
              <w:top w:val="single" w:color="auto" w:sz="4" w:space="0"/>
              <w:left w:val="nil"/>
              <w:bottom w:val="single" w:color="auto" w:sz="4" w:space="0"/>
              <w:right w:val="single" w:color="auto" w:sz="4" w:space="0"/>
            </w:tcBorders>
            <w:vAlign w:val="center"/>
          </w:tcPr>
          <w:p w14:paraId="6FE01AC8">
            <w:pPr>
              <w:pageBreakBefore w:val="0"/>
              <w:wordWrap/>
              <w:overflowPunct/>
              <w:topLinePunct w:val="0"/>
              <w:bidi w:val="0"/>
              <w:adjustRightInd w:val="0"/>
              <w:snapToGrid w:val="0"/>
              <w:spacing w:line="300" w:lineRule="auto"/>
              <w:outlineLvl w:val="9"/>
              <w:rPr>
                <w:rFonts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14:paraId="175AD7D6">
            <w:pPr>
              <w:pageBreakBefore w:val="0"/>
              <w:wordWrap/>
              <w:overflowPunct/>
              <w:topLinePunct w:val="0"/>
              <w:bidi w:val="0"/>
              <w:adjustRightInd w:val="0"/>
              <w:snapToGrid w:val="0"/>
              <w:spacing w:line="300" w:lineRule="auto"/>
              <w:outlineLvl w:val="9"/>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、本项目的特定资格要求</w:t>
            </w:r>
          </w:p>
          <w:p w14:paraId="1EEBF85B">
            <w:pPr>
              <w:pageBreakBefore w:val="0"/>
              <w:wordWrap/>
              <w:overflowPunct/>
              <w:topLinePunct w:val="0"/>
              <w:bidi w:val="0"/>
              <w:adjustRightInd w:val="0"/>
              <w:snapToGrid w:val="0"/>
              <w:spacing w:line="300" w:lineRule="auto"/>
              <w:outlineLvl w:val="9"/>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.1、</w:t>
            </w:r>
            <w:r>
              <w:rPr>
                <w:rFonts w:hint="eastAsia" w:ascii="宋体" w:hAnsi="宋体" w:eastAsia="宋体" w:cs="宋体"/>
                <w:kern w:val="0"/>
                <w:sz w:val="24"/>
                <w:szCs w:val="24"/>
                <w:lang w:eastAsia="zh-CN"/>
              </w:rPr>
              <w:t>供应商须具有有效的营业执照或事业单位法人证书</w:t>
            </w:r>
            <w:r>
              <w:rPr>
                <w:rFonts w:hint="eastAsia" w:ascii="宋体" w:hAnsi="宋体" w:eastAsia="宋体" w:cs="宋体"/>
                <w:color w:val="auto"/>
                <w:kern w:val="0"/>
                <w:sz w:val="24"/>
                <w:szCs w:val="24"/>
              </w:rPr>
              <w:t>；</w:t>
            </w:r>
          </w:p>
          <w:p w14:paraId="6EB437EF">
            <w:pPr>
              <w:pageBreakBefore w:val="0"/>
              <w:wordWrap/>
              <w:overflowPunct/>
              <w:topLinePunct w:val="0"/>
              <w:bidi w:val="0"/>
              <w:adjustRightInd w:val="0"/>
              <w:snapToGrid w:val="0"/>
              <w:spacing w:line="300" w:lineRule="auto"/>
              <w:outlineLvl w:val="9"/>
              <w:rPr>
                <w:rFonts w:hint="eastAsia" w:ascii="宋体" w:hAnsi="宋体" w:eastAsia="宋体" w:cs="宋体"/>
                <w:color w:val="auto"/>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.2、</w:t>
            </w:r>
            <w:r>
              <w:rPr>
                <w:rFonts w:hint="eastAsia" w:ascii="宋体" w:hAnsi="宋体" w:eastAsia="宋体" w:cs="宋体"/>
                <w:kern w:val="0"/>
                <w:sz w:val="24"/>
                <w:szCs w:val="24"/>
                <w:lang w:eastAsia="zh-CN"/>
              </w:rPr>
              <w:t>供应商应具</w:t>
            </w:r>
            <w:r>
              <w:rPr>
                <w:rFonts w:hint="eastAsia" w:ascii="宋体" w:hAnsi="宋体" w:eastAsia="宋体" w:cs="宋体"/>
                <w:color w:val="auto"/>
                <w:kern w:val="0"/>
                <w:sz w:val="24"/>
                <w:szCs w:val="24"/>
                <w:lang w:eastAsia="zh-CN"/>
              </w:rPr>
              <w:t>备城乡规划（国土空间规划）编制乙级或以上资质；</w:t>
            </w:r>
          </w:p>
          <w:p w14:paraId="4F9A238F">
            <w:pPr>
              <w:pageBreakBefore w:val="0"/>
              <w:wordWrap/>
              <w:overflowPunct/>
              <w:topLinePunct w:val="0"/>
              <w:bidi w:val="0"/>
              <w:adjustRightInd w:val="0"/>
              <w:snapToGrid w:val="0"/>
              <w:spacing w:line="300" w:lineRule="auto"/>
              <w:outlineLvl w:val="9"/>
              <w:rPr>
                <w:rFonts w:ascii="宋体" w:hAnsi="宋体" w:eastAsia="宋体" w:cs="宋体"/>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.3、项目负责人</w:t>
            </w:r>
            <w:r>
              <w:rPr>
                <w:rFonts w:hint="eastAsia" w:ascii="宋体" w:hAnsi="宋体" w:eastAsia="宋体" w:cs="宋体"/>
                <w:color w:val="auto"/>
                <w:kern w:val="0"/>
                <w:sz w:val="24"/>
                <w:szCs w:val="24"/>
                <w:lang w:eastAsia="zh-CN"/>
              </w:rPr>
              <w:t>须同时具有注册城乡（市）规划师及相关专业高级或以上职称</w:t>
            </w:r>
            <w:r>
              <w:rPr>
                <w:rFonts w:hint="eastAsia" w:ascii="宋体" w:hAnsi="宋体" w:eastAsia="宋体" w:cs="宋体"/>
                <w:color w:val="auto"/>
                <w:kern w:val="0"/>
                <w:sz w:val="24"/>
                <w:szCs w:val="24"/>
              </w:rPr>
              <w:t>，提供劳</w:t>
            </w:r>
            <w:r>
              <w:rPr>
                <w:rFonts w:hint="eastAsia" w:ascii="宋体" w:hAnsi="宋体" w:eastAsia="宋体" w:cs="宋体"/>
                <w:kern w:val="0"/>
                <w:sz w:val="24"/>
                <w:szCs w:val="24"/>
              </w:rPr>
              <w:t>动合同及社保证明；</w:t>
            </w:r>
          </w:p>
          <w:p w14:paraId="74F3CD9A">
            <w:pPr>
              <w:pageBreakBefore w:val="0"/>
              <w:wordWrap/>
              <w:overflowPunct/>
              <w:topLinePunct w:val="0"/>
              <w:bidi w:val="0"/>
              <w:adjustRightInd w:val="0"/>
              <w:snapToGrid w:val="0"/>
              <w:spacing w:line="300" w:lineRule="auto"/>
              <w:outlineLvl w:val="9"/>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自行出具本</w:t>
            </w:r>
            <w:r>
              <w:rPr>
                <w:rFonts w:hint="eastAsia" w:ascii="宋体" w:hAnsi="宋体" w:eastAsia="宋体" w:cs="宋体"/>
                <w:kern w:val="0"/>
                <w:sz w:val="24"/>
                <w:szCs w:val="24"/>
                <w:lang w:eastAsia="zh-CN"/>
              </w:rPr>
              <w:t>单位无商业贿赂和不正当竞争行为的承诺书</w:t>
            </w:r>
            <w:r>
              <w:rPr>
                <w:rFonts w:hint="eastAsia" w:ascii="宋体" w:hAnsi="宋体" w:eastAsia="宋体" w:cs="宋体"/>
                <w:kern w:val="0"/>
                <w:sz w:val="24"/>
                <w:szCs w:val="24"/>
              </w:rPr>
              <w:t>；</w:t>
            </w:r>
          </w:p>
          <w:p w14:paraId="59AD2EF5">
            <w:pPr>
              <w:pageBreakBefore w:val="0"/>
              <w:wordWrap/>
              <w:overflowPunct/>
              <w:topLinePunct w:val="0"/>
              <w:bidi w:val="0"/>
              <w:adjustRightInd w:val="0"/>
              <w:snapToGrid w:val="0"/>
              <w:spacing w:line="300" w:lineRule="auto"/>
              <w:outlineLvl w:val="9"/>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.5、</w:t>
            </w:r>
            <w:r>
              <w:rPr>
                <w:rFonts w:hint="eastAsia" w:ascii="宋体" w:hAnsi="宋体" w:eastAsia="宋体" w:cs="宋体"/>
                <w:sz w:val="24"/>
              </w:rPr>
              <w:t>供应商没有被列入失信被执行人名单【以“中国执行信息公开网”（</w:t>
            </w:r>
            <w:r>
              <w:rPr>
                <w:rFonts w:hint="eastAsia" w:ascii="宋体" w:hAnsi="宋体" w:eastAsia="宋体" w:cs="宋体"/>
                <w:sz w:val="24"/>
                <w:lang w:eastAsia="zh-CN"/>
              </w:rPr>
              <w:t>https://zxgk.court.gov.cn/</w:t>
            </w:r>
            <w:r>
              <w:rPr>
                <w:rFonts w:hint="eastAsia" w:ascii="宋体" w:hAnsi="宋体" w:eastAsia="宋体" w:cs="宋体"/>
                <w:sz w:val="24"/>
              </w:rPr>
              <w:t>）查询结果为准】、</w:t>
            </w:r>
            <w:r>
              <w:rPr>
                <w:rFonts w:hint="eastAsia" w:ascii="宋体" w:hAnsi="宋体" w:eastAsia="宋体" w:cs="宋体"/>
                <w:sz w:val="24"/>
                <w:lang w:eastAsia="zh-CN"/>
              </w:rPr>
              <w:t>重大税收违法失信主体</w:t>
            </w:r>
            <w:r>
              <w:rPr>
                <w:rFonts w:hint="eastAsia" w:ascii="宋体" w:hAnsi="宋体" w:eastAsia="宋体" w:cs="宋体"/>
                <w:sz w:val="24"/>
              </w:rPr>
              <w:t>【以“信用中国”网站（www.creditchina.gov.cn）查询结果为准】、</w:t>
            </w:r>
            <w:r>
              <w:rPr>
                <w:rFonts w:hint="eastAsia" w:ascii="宋体" w:hAnsi="宋体" w:eastAsia="宋体" w:cs="宋体"/>
                <w:sz w:val="24"/>
                <w:lang w:eastAsia="zh-CN"/>
              </w:rPr>
              <w:t>政府采购严重违法失信行为记录名单</w:t>
            </w:r>
            <w:r>
              <w:rPr>
                <w:rFonts w:hint="eastAsia" w:ascii="宋体" w:hAnsi="宋体" w:eastAsia="宋体" w:cs="宋体"/>
                <w:sz w:val="24"/>
              </w:rPr>
              <w:t>【以“中国政府采购网”网站（http://www.ccgp.gov.cn/）查询结果为准】</w:t>
            </w:r>
            <w:r>
              <w:rPr>
                <w:rFonts w:hint="eastAsia" w:ascii="宋体" w:hAnsi="宋体" w:cs="宋体"/>
                <w:sz w:val="24"/>
                <w:lang w:eastAsia="zh-CN"/>
              </w:rPr>
              <w:t>（</w:t>
            </w:r>
            <w:r>
              <w:rPr>
                <w:rFonts w:hint="eastAsia" w:ascii="宋体" w:hAnsi="宋体" w:cs="宋体"/>
                <w:sz w:val="24"/>
                <w:lang w:val="en-US" w:eastAsia="zh-CN"/>
              </w:rPr>
              <w:t>查询时间自公告发布之日起至响应文件递交截止之日止</w:t>
            </w:r>
            <w:r>
              <w:rPr>
                <w:rFonts w:hint="eastAsia" w:ascii="宋体" w:hAnsi="宋体" w:cs="宋体"/>
                <w:sz w:val="24"/>
                <w:lang w:eastAsia="zh-CN"/>
              </w:rPr>
              <w:t>）</w:t>
            </w:r>
            <w:r>
              <w:rPr>
                <w:rFonts w:hint="eastAsia" w:ascii="宋体" w:hAnsi="宋体" w:eastAsia="宋体" w:cs="宋体"/>
                <w:kern w:val="0"/>
                <w:sz w:val="24"/>
                <w:szCs w:val="24"/>
              </w:rPr>
              <w:t>；</w:t>
            </w:r>
          </w:p>
          <w:p w14:paraId="036F4E7C">
            <w:pPr>
              <w:pageBreakBefore w:val="0"/>
              <w:wordWrap/>
              <w:overflowPunct/>
              <w:topLinePunct w:val="0"/>
              <w:bidi w:val="0"/>
              <w:adjustRightInd w:val="0"/>
              <w:snapToGrid w:val="0"/>
              <w:spacing w:line="300" w:lineRule="auto"/>
              <w:outlineLvl w:val="9"/>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r>
              <w:rPr>
                <w:rFonts w:hint="eastAsia" w:ascii="宋体" w:hAnsi="宋体" w:eastAsia="宋体" w:cs="宋体"/>
                <w:sz w:val="24"/>
              </w:rPr>
              <w:t>供应商及法定代表人不得存在行贿犯罪记录【以中国裁判文书网（http://wenshu.court.gov.cn/）</w:t>
            </w:r>
            <w:r>
              <w:rPr>
                <w:rFonts w:hint="eastAsia" w:ascii="宋体" w:hAnsi="宋体" w:eastAsia="宋体" w:cs="宋体"/>
                <w:sz w:val="24"/>
                <w:lang w:eastAsia="zh-CN"/>
              </w:rPr>
              <w:t>查询截图或提供无行贿犯罪记录承诺书为准</w:t>
            </w:r>
            <w:r>
              <w:rPr>
                <w:rFonts w:hint="eastAsia" w:ascii="宋体" w:hAnsi="宋体" w:cs="宋体"/>
                <w:sz w:val="24"/>
                <w:lang w:eastAsia="zh-CN"/>
              </w:rPr>
              <w:t>，</w:t>
            </w:r>
            <w:r>
              <w:rPr>
                <w:rFonts w:hint="eastAsia" w:ascii="宋体" w:hAnsi="宋体" w:cs="宋体"/>
                <w:sz w:val="24"/>
                <w:lang w:val="en-US" w:eastAsia="zh-CN"/>
              </w:rPr>
              <w:t>查询或承诺对象：企业、法定代表人</w:t>
            </w:r>
            <w:r>
              <w:rPr>
                <w:rFonts w:hint="eastAsia" w:ascii="宋体" w:hAnsi="宋体" w:eastAsia="宋体" w:cs="宋体"/>
                <w:sz w:val="24"/>
              </w:rPr>
              <w:t>】；</w:t>
            </w:r>
          </w:p>
          <w:p w14:paraId="74D9895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宋体" w:hAnsi="宋体" w:eastAsia="宋体" w:cs="宋体"/>
                <w:b w:val="0"/>
                <w:bCs w:val="0"/>
                <w:kern w:val="1"/>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w:t>
            </w:r>
            <w:r>
              <w:rPr>
                <w:rFonts w:hint="eastAsia" w:ascii="宋体" w:hAnsi="宋体" w:cs="宋体"/>
                <w:color w:val="auto"/>
                <w:sz w:val="24"/>
                <w:szCs w:val="24"/>
                <w:lang w:eastAsia="zh-CN"/>
              </w:rPr>
              <w:t>单位负责人为同一人或者存在直接控股、管理关系的不同供应商，不得参加同一合同项下的采购活动（提供“国家企业信用信息公示系统”中查询相关信息</w:t>
            </w:r>
            <w:r>
              <w:rPr>
                <w:rFonts w:hint="eastAsia" w:ascii="宋体" w:hAnsi="宋体" w:cs="宋体"/>
                <w:color w:val="auto"/>
                <w:sz w:val="24"/>
                <w:szCs w:val="24"/>
                <w:lang w:val="en-US" w:eastAsia="zh-CN"/>
              </w:rPr>
              <w:t>网页截图</w:t>
            </w:r>
            <w:r>
              <w:rPr>
                <w:rFonts w:hint="eastAsia" w:ascii="宋体" w:hAnsi="宋体" w:cs="宋体"/>
                <w:color w:val="auto"/>
                <w:sz w:val="24"/>
                <w:szCs w:val="24"/>
                <w:lang w:eastAsia="zh-CN"/>
              </w:rPr>
              <w:t>，查询</w:t>
            </w:r>
            <w:r>
              <w:rPr>
                <w:rFonts w:hint="eastAsia" w:ascii="宋体" w:hAnsi="宋体" w:cs="宋体"/>
                <w:color w:val="auto"/>
                <w:sz w:val="24"/>
                <w:szCs w:val="24"/>
                <w:lang w:val="en-US" w:eastAsia="zh-CN"/>
              </w:rPr>
              <w:t>截图</w:t>
            </w:r>
            <w:r>
              <w:rPr>
                <w:rFonts w:hint="eastAsia" w:ascii="宋体" w:hAnsi="宋体" w:cs="宋体"/>
                <w:color w:val="auto"/>
                <w:sz w:val="24"/>
                <w:szCs w:val="24"/>
                <w:lang w:eastAsia="zh-CN"/>
              </w:rPr>
              <w:t>需</w:t>
            </w:r>
            <w:r>
              <w:rPr>
                <w:rFonts w:hint="eastAsia" w:ascii="宋体" w:hAnsi="宋体" w:cs="宋体"/>
                <w:color w:val="auto"/>
                <w:sz w:val="24"/>
                <w:szCs w:val="24"/>
                <w:lang w:val="en-US" w:eastAsia="zh-CN"/>
              </w:rPr>
              <w:t>显示</w:t>
            </w:r>
            <w:r>
              <w:rPr>
                <w:rFonts w:hint="eastAsia" w:ascii="宋体" w:hAnsi="宋体" w:cs="宋体"/>
                <w:color w:val="auto"/>
                <w:sz w:val="24"/>
                <w:szCs w:val="24"/>
                <w:lang w:eastAsia="zh-CN"/>
              </w:rPr>
              <w:t>公司基本信息、股东信息及股权变更信息等相关信息</w:t>
            </w:r>
            <w:r>
              <w:rPr>
                <w:rFonts w:hint="eastAsia" w:ascii="宋体" w:hAnsi="宋体" w:cs="宋体"/>
                <w:color w:val="auto"/>
                <w:sz w:val="24"/>
                <w:lang w:eastAsia="zh-CN"/>
              </w:rPr>
              <w:t>，</w:t>
            </w:r>
            <w:r>
              <w:rPr>
                <w:rFonts w:hint="eastAsia" w:ascii="宋体" w:hAnsi="宋体" w:cs="宋体"/>
                <w:color w:val="auto"/>
                <w:sz w:val="24"/>
                <w:lang w:val="en-US" w:eastAsia="zh-CN"/>
              </w:rPr>
              <w:t>查询时间自本项目磋商公告发布之日起至响应文件递交截止之日止</w:t>
            </w:r>
            <w:r>
              <w:rPr>
                <w:rFonts w:hint="eastAsia" w:ascii="宋体" w:hAnsi="宋体" w:cs="宋体"/>
                <w:color w:val="auto"/>
                <w:sz w:val="24"/>
                <w:szCs w:val="24"/>
                <w:lang w:eastAsia="zh-CN"/>
              </w:rPr>
              <w:t>）</w:t>
            </w:r>
            <w:r>
              <w:rPr>
                <w:rFonts w:hint="eastAsia" w:ascii="宋体" w:hAnsi="宋体" w:eastAsia="宋体" w:cs="宋体"/>
                <w:color w:val="auto"/>
                <w:kern w:val="0"/>
                <w:sz w:val="24"/>
                <w:szCs w:val="24"/>
              </w:rPr>
              <w:t>；</w:t>
            </w:r>
          </w:p>
        </w:tc>
      </w:tr>
      <w:tr w14:paraId="2D3926FD">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C619B9E">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2.1</w:t>
            </w:r>
          </w:p>
        </w:tc>
        <w:tc>
          <w:tcPr>
            <w:tcW w:w="2017" w:type="dxa"/>
            <w:tcBorders>
              <w:top w:val="single" w:color="auto" w:sz="4" w:space="0"/>
              <w:left w:val="nil"/>
              <w:bottom w:val="single" w:color="auto" w:sz="4" w:space="0"/>
              <w:right w:val="single" w:color="auto" w:sz="4" w:space="0"/>
            </w:tcBorders>
            <w:vAlign w:val="center"/>
          </w:tcPr>
          <w:p w14:paraId="34D3C1BA">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提出问题的截止时间</w:t>
            </w:r>
          </w:p>
        </w:tc>
        <w:tc>
          <w:tcPr>
            <w:tcW w:w="6466" w:type="dxa"/>
            <w:tcBorders>
              <w:top w:val="single" w:color="auto" w:sz="4" w:space="0"/>
              <w:left w:val="nil"/>
              <w:bottom w:val="single" w:color="auto" w:sz="4" w:space="0"/>
              <w:right w:val="single" w:color="auto" w:sz="4" w:space="0"/>
            </w:tcBorders>
            <w:vAlign w:val="center"/>
          </w:tcPr>
          <w:p w14:paraId="7FA3FCE8">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递交磋商响应文件截止之日5日前</w:t>
            </w:r>
          </w:p>
        </w:tc>
      </w:tr>
      <w:tr w14:paraId="48B4875E">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ECFAF20">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2.2</w:t>
            </w:r>
          </w:p>
        </w:tc>
        <w:tc>
          <w:tcPr>
            <w:tcW w:w="2017" w:type="dxa"/>
            <w:tcBorders>
              <w:top w:val="single" w:color="auto" w:sz="4" w:space="0"/>
              <w:left w:val="nil"/>
              <w:bottom w:val="single" w:color="auto" w:sz="4" w:space="0"/>
              <w:right w:val="single" w:color="auto" w:sz="4" w:space="0"/>
            </w:tcBorders>
            <w:vAlign w:val="center"/>
          </w:tcPr>
          <w:p w14:paraId="3E643D8D">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采购人书面</w:t>
            </w:r>
          </w:p>
          <w:p w14:paraId="5F569FC2">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澄清的时间</w:t>
            </w:r>
          </w:p>
        </w:tc>
        <w:tc>
          <w:tcPr>
            <w:tcW w:w="6466" w:type="dxa"/>
            <w:tcBorders>
              <w:top w:val="single" w:color="auto" w:sz="4" w:space="0"/>
              <w:left w:val="nil"/>
              <w:bottom w:val="single" w:color="auto" w:sz="4" w:space="0"/>
              <w:right w:val="single" w:color="auto" w:sz="4" w:space="0"/>
            </w:tcBorders>
            <w:vAlign w:val="center"/>
          </w:tcPr>
          <w:p w14:paraId="6C49E822">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递交磋商响应文件截止之日5日前</w:t>
            </w:r>
          </w:p>
        </w:tc>
      </w:tr>
      <w:tr w14:paraId="75591C95">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9E0C42F">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2.2</w:t>
            </w:r>
          </w:p>
        </w:tc>
        <w:tc>
          <w:tcPr>
            <w:tcW w:w="2017" w:type="dxa"/>
            <w:tcBorders>
              <w:top w:val="single" w:color="auto" w:sz="4" w:space="0"/>
              <w:left w:val="nil"/>
              <w:bottom w:val="single" w:color="auto" w:sz="4" w:space="0"/>
              <w:right w:val="single" w:color="auto" w:sz="4" w:space="0"/>
            </w:tcBorders>
            <w:vAlign w:val="center"/>
          </w:tcPr>
          <w:p w14:paraId="2740F419">
            <w:pPr>
              <w:pageBreakBefore w:val="0"/>
              <w:wordWrap/>
              <w:overflowPunct/>
              <w:topLinePunct w:val="0"/>
              <w:bidi w:val="0"/>
              <w:spacing w:line="360" w:lineRule="auto"/>
              <w:jc w:val="center"/>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磋商</w:t>
            </w:r>
            <w:r>
              <w:rPr>
                <w:rFonts w:hint="eastAsia" w:ascii="宋体" w:hAnsi="宋体" w:eastAsia="宋体" w:cs="宋体"/>
                <w:b w:val="0"/>
                <w:bCs w:val="0"/>
                <w:color w:val="000000"/>
                <w:sz w:val="24"/>
                <w:szCs w:val="24"/>
                <w:highlight w:val="none"/>
                <w:lang w:val="en-US" w:eastAsia="zh-CN"/>
              </w:rPr>
              <w:t>响应文件递交</w:t>
            </w:r>
            <w:r>
              <w:rPr>
                <w:rFonts w:hint="eastAsia" w:ascii="宋体" w:hAnsi="宋体" w:eastAsia="宋体" w:cs="宋体"/>
                <w:b w:val="0"/>
                <w:bCs w:val="0"/>
                <w:color w:val="000000"/>
                <w:sz w:val="24"/>
                <w:szCs w:val="24"/>
                <w:highlight w:val="none"/>
              </w:rPr>
              <w:t>截止时间</w:t>
            </w:r>
          </w:p>
        </w:tc>
        <w:tc>
          <w:tcPr>
            <w:tcW w:w="6466" w:type="dxa"/>
            <w:tcBorders>
              <w:top w:val="single" w:color="auto" w:sz="4" w:space="0"/>
              <w:left w:val="nil"/>
              <w:bottom w:val="single" w:color="auto" w:sz="4" w:space="0"/>
              <w:right w:val="single" w:color="auto" w:sz="4" w:space="0"/>
            </w:tcBorders>
            <w:vAlign w:val="center"/>
          </w:tcPr>
          <w:p w14:paraId="0012DBD7">
            <w:pPr>
              <w:pageBreakBefore w:val="0"/>
              <w:wordWrap/>
              <w:overflowPunct/>
              <w:topLinePunct w:val="0"/>
              <w:bidi w:val="0"/>
              <w:spacing w:line="360" w:lineRule="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2026年4月9日08时30分</w:t>
            </w:r>
            <w:r>
              <w:rPr>
                <w:rFonts w:hint="eastAsia" w:ascii="宋体" w:hAnsi="宋体" w:eastAsia="宋体" w:cs="宋体"/>
                <w:b w:val="0"/>
                <w:bCs w:val="0"/>
                <w:color w:val="000000"/>
                <w:kern w:val="0"/>
                <w:sz w:val="24"/>
                <w:szCs w:val="24"/>
                <w:highlight w:val="none"/>
              </w:rPr>
              <w:t>（北京时间）</w:t>
            </w:r>
          </w:p>
        </w:tc>
      </w:tr>
      <w:tr w14:paraId="4FBF898F">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D90B0F4">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2.3</w:t>
            </w:r>
          </w:p>
        </w:tc>
        <w:tc>
          <w:tcPr>
            <w:tcW w:w="2017" w:type="dxa"/>
            <w:tcBorders>
              <w:top w:val="single" w:color="auto" w:sz="4" w:space="0"/>
              <w:left w:val="nil"/>
              <w:bottom w:val="single" w:color="auto" w:sz="4" w:space="0"/>
              <w:right w:val="single" w:color="auto" w:sz="4" w:space="0"/>
            </w:tcBorders>
            <w:vAlign w:val="center"/>
          </w:tcPr>
          <w:p w14:paraId="5E63F5AD">
            <w:pPr>
              <w:pageBreakBefore w:val="0"/>
              <w:wordWrap/>
              <w:overflowPunct/>
              <w:topLinePunct w:val="0"/>
              <w:bidi w:val="0"/>
              <w:spacing w:line="360" w:lineRule="auto"/>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投标有效期</w:t>
            </w:r>
          </w:p>
        </w:tc>
        <w:tc>
          <w:tcPr>
            <w:tcW w:w="6466" w:type="dxa"/>
            <w:tcBorders>
              <w:top w:val="single" w:color="auto" w:sz="4" w:space="0"/>
              <w:left w:val="nil"/>
              <w:bottom w:val="single" w:color="auto" w:sz="4" w:space="0"/>
              <w:right w:val="single" w:color="auto" w:sz="4" w:space="0"/>
            </w:tcBorders>
            <w:vAlign w:val="center"/>
          </w:tcPr>
          <w:p w14:paraId="04B08983">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60日历天（从</w:t>
            </w:r>
            <w:r>
              <w:rPr>
                <w:rFonts w:hint="eastAsia" w:ascii="宋体" w:hAnsi="宋体" w:eastAsia="宋体" w:cs="宋体"/>
                <w:b w:val="0"/>
                <w:bCs w:val="0"/>
                <w:sz w:val="24"/>
                <w:szCs w:val="24"/>
                <w:lang w:val="en-US" w:eastAsia="zh-CN"/>
              </w:rPr>
              <w:t>响应文件递交</w:t>
            </w:r>
            <w:r>
              <w:rPr>
                <w:rFonts w:hint="eastAsia" w:ascii="宋体" w:hAnsi="宋体" w:eastAsia="宋体" w:cs="宋体"/>
                <w:b w:val="0"/>
                <w:bCs w:val="0"/>
                <w:sz w:val="24"/>
                <w:szCs w:val="24"/>
              </w:rPr>
              <w:t>截止之日算起）</w:t>
            </w:r>
          </w:p>
        </w:tc>
      </w:tr>
      <w:tr w14:paraId="4BD21718">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AB85A32">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2.4</w:t>
            </w:r>
          </w:p>
        </w:tc>
        <w:tc>
          <w:tcPr>
            <w:tcW w:w="2017" w:type="dxa"/>
            <w:tcBorders>
              <w:top w:val="single" w:color="auto" w:sz="4" w:space="0"/>
              <w:left w:val="nil"/>
              <w:bottom w:val="single" w:color="auto" w:sz="4" w:space="0"/>
              <w:right w:val="single" w:color="auto" w:sz="4" w:space="0"/>
            </w:tcBorders>
            <w:vAlign w:val="center"/>
          </w:tcPr>
          <w:p w14:paraId="7FFC81D8">
            <w:pPr>
              <w:pageBreakBefore w:val="0"/>
              <w:widowControl/>
              <w:wordWrap/>
              <w:overflowPunct/>
              <w:topLinePunct w:val="0"/>
              <w:bidi w:val="0"/>
              <w:spacing w:line="360" w:lineRule="auto"/>
              <w:jc w:val="center"/>
              <w:outlineLvl w:val="9"/>
              <w:rPr>
                <w:rFonts w:hint="eastAsia" w:ascii="宋体" w:hAnsi="宋体" w:eastAsia="宋体" w:cs="宋体"/>
                <w:b w:val="0"/>
                <w:bCs w:val="0"/>
                <w:kern w:val="0"/>
                <w:sz w:val="24"/>
                <w:szCs w:val="24"/>
              </w:rPr>
            </w:pPr>
            <w:r>
              <w:rPr>
                <w:rFonts w:hint="eastAsia" w:ascii="宋体" w:hAnsi="宋体" w:eastAsia="宋体" w:cs="宋体"/>
                <w:b w:val="0"/>
                <w:bCs w:val="0"/>
                <w:kern w:val="44"/>
                <w:sz w:val="24"/>
                <w:szCs w:val="24"/>
              </w:rPr>
              <w:t>磋商保证金</w:t>
            </w:r>
          </w:p>
        </w:tc>
        <w:tc>
          <w:tcPr>
            <w:tcW w:w="6466" w:type="dxa"/>
            <w:tcBorders>
              <w:top w:val="single" w:color="auto" w:sz="4" w:space="0"/>
              <w:left w:val="nil"/>
              <w:bottom w:val="single" w:color="auto" w:sz="4" w:space="0"/>
              <w:right w:val="single" w:color="auto" w:sz="4" w:space="0"/>
            </w:tcBorders>
            <w:vAlign w:val="center"/>
          </w:tcPr>
          <w:p w14:paraId="6DE530D6">
            <w:pPr>
              <w:pageBreakBefore w:val="0"/>
              <w:widowControl/>
              <w:wordWrap/>
              <w:overflowPunct/>
              <w:topLinePunct w:val="0"/>
              <w:bidi w:val="0"/>
              <w:spacing w:line="360" w:lineRule="auto"/>
              <w:jc w:val="left"/>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根据《河南省财政厅关于优化政府采购营商环境有关问题的通知》（豫财购【2019】4号）第6条的规定，磋商保证金不再收取。供应商应以响应承诺函的形式替代保证金，承诺函应明确承诺事项及违背承诺的责任</w:t>
            </w:r>
          </w:p>
        </w:tc>
      </w:tr>
      <w:tr w14:paraId="7BCABF25">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3CCCD88">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2.5</w:t>
            </w:r>
          </w:p>
        </w:tc>
        <w:tc>
          <w:tcPr>
            <w:tcW w:w="2017" w:type="dxa"/>
            <w:tcBorders>
              <w:top w:val="single" w:color="auto" w:sz="4" w:space="0"/>
              <w:left w:val="nil"/>
              <w:bottom w:val="single" w:color="auto" w:sz="4" w:space="0"/>
              <w:right w:val="single" w:color="auto" w:sz="4" w:space="0"/>
            </w:tcBorders>
            <w:vAlign w:val="center"/>
          </w:tcPr>
          <w:p w14:paraId="321ED636">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签字或盖章</w:t>
            </w:r>
          </w:p>
          <w:p w14:paraId="5EA5DAE1">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要求</w:t>
            </w:r>
          </w:p>
        </w:tc>
        <w:tc>
          <w:tcPr>
            <w:tcW w:w="6466" w:type="dxa"/>
            <w:tcBorders>
              <w:top w:val="single" w:color="auto" w:sz="4" w:space="0"/>
              <w:left w:val="nil"/>
              <w:bottom w:val="single" w:color="auto" w:sz="4" w:space="0"/>
              <w:right w:val="single" w:color="auto" w:sz="4" w:space="0"/>
            </w:tcBorders>
            <w:vAlign w:val="center"/>
          </w:tcPr>
          <w:p w14:paraId="5980E0CD">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在进行电子化磋商响应文件签章时，</w:t>
            </w:r>
            <w:r>
              <w:rPr>
                <w:rFonts w:hint="eastAsia" w:ascii="宋体" w:hAnsi="宋体" w:eastAsia="宋体" w:cs="宋体"/>
                <w:b w:val="0"/>
                <w:bCs w:val="0"/>
                <w:sz w:val="24"/>
                <w:szCs w:val="24"/>
                <w:lang w:eastAsia="zh-CN"/>
              </w:rPr>
              <w:t>竞争性磋商文件中要求供应商盖章的，以签盖单位电子公章为准</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要求法定代表人或授权代理人签字盖章的，以签盖法定代表人电子印章为准</w:t>
            </w:r>
            <w:r>
              <w:rPr>
                <w:rFonts w:hint="eastAsia" w:ascii="宋体" w:hAnsi="宋体" w:eastAsia="宋体" w:cs="宋体"/>
                <w:b w:val="0"/>
                <w:bCs w:val="0"/>
                <w:sz w:val="24"/>
                <w:szCs w:val="24"/>
              </w:rPr>
              <w:t>。</w:t>
            </w:r>
          </w:p>
        </w:tc>
      </w:tr>
      <w:tr w14:paraId="4B79B1A0">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0F5F5E21">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2.6</w:t>
            </w:r>
          </w:p>
        </w:tc>
        <w:tc>
          <w:tcPr>
            <w:tcW w:w="2017" w:type="dxa"/>
            <w:tcBorders>
              <w:top w:val="single" w:color="auto" w:sz="4" w:space="0"/>
              <w:left w:val="nil"/>
              <w:bottom w:val="single" w:color="auto" w:sz="4" w:space="0"/>
              <w:right w:val="single" w:color="auto" w:sz="4" w:space="0"/>
            </w:tcBorders>
            <w:vAlign w:val="center"/>
          </w:tcPr>
          <w:p w14:paraId="36123F42">
            <w:pPr>
              <w:pageBreakBefore w:val="0"/>
              <w:widowControl/>
              <w:wordWrap/>
              <w:overflowPunct/>
              <w:topLinePunct w:val="0"/>
              <w:bidi w:val="0"/>
              <w:spacing w:line="360" w:lineRule="auto"/>
              <w:jc w:val="center"/>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电子化</w:t>
            </w:r>
            <w:r>
              <w:rPr>
                <w:rFonts w:hint="eastAsia" w:ascii="宋体" w:hAnsi="宋体" w:eastAsia="宋体" w:cs="宋体"/>
                <w:b w:val="0"/>
                <w:bCs w:val="0"/>
                <w:sz w:val="24"/>
                <w:szCs w:val="24"/>
              </w:rPr>
              <w:t>磋商</w:t>
            </w:r>
            <w:r>
              <w:rPr>
                <w:rFonts w:hint="eastAsia" w:ascii="宋体" w:hAnsi="宋体" w:eastAsia="宋体" w:cs="宋体"/>
                <w:b w:val="0"/>
                <w:bCs w:val="0"/>
                <w:kern w:val="0"/>
                <w:sz w:val="24"/>
                <w:szCs w:val="24"/>
              </w:rPr>
              <w:t>响应文件的格式及上传</w:t>
            </w:r>
          </w:p>
        </w:tc>
        <w:tc>
          <w:tcPr>
            <w:tcW w:w="6466" w:type="dxa"/>
            <w:tcBorders>
              <w:top w:val="single" w:color="auto" w:sz="4" w:space="0"/>
              <w:left w:val="nil"/>
              <w:bottom w:val="single" w:color="auto" w:sz="4" w:space="0"/>
              <w:right w:val="single" w:color="auto" w:sz="4" w:space="0"/>
            </w:tcBorders>
            <w:vAlign w:val="center"/>
          </w:tcPr>
          <w:p w14:paraId="7B5B4232">
            <w:pPr>
              <w:pageBreakBefore w:val="0"/>
              <w:widowControl/>
              <w:wordWrap/>
              <w:overflowPunct/>
              <w:topLinePunct w:val="0"/>
              <w:bidi w:val="0"/>
              <w:spacing w:line="360" w:lineRule="auto"/>
              <w:jc w:val="left"/>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1、供应商所上传的电子化磋商响应文件，应是通过中心磋商响应文件制作系统制作的（磋商响应文件制作工具下载地址：</w:t>
            </w:r>
            <w:r>
              <w:rPr>
                <w:rFonts w:hint="eastAsia" w:ascii="宋体" w:hAnsi="宋体" w:eastAsia="宋体" w:cs="宋体"/>
                <w:b w:val="0"/>
                <w:bCs w:val="0"/>
                <w:sz w:val="24"/>
                <w:szCs w:val="24"/>
              </w:rPr>
              <w:t>http://gzjy.smx.gov.cn/fwzn/004003/20200330/0de4b849-7eb7-4f4e-9a30-ae8b6a961d7f.html</w:t>
            </w:r>
            <w:r>
              <w:rPr>
                <w:rFonts w:hint="eastAsia" w:ascii="宋体" w:hAnsi="宋体" w:eastAsia="宋体" w:cs="宋体"/>
                <w:b w:val="0"/>
                <w:bCs w:val="0"/>
                <w:kern w:val="0"/>
                <w:sz w:val="24"/>
                <w:szCs w:val="24"/>
              </w:rPr>
              <w:t>），经过签章和加密后生成的电子版磋商响应文件。其中包含用于磋商响应文件上传的主文件（后缀为.smxtf）和用于应急补救的磋商响应文件备份文件（后缀为.nsmxtf）。</w:t>
            </w:r>
          </w:p>
          <w:p w14:paraId="2A88CA2B">
            <w:pPr>
              <w:pageBreakBefore w:val="0"/>
              <w:widowControl/>
              <w:wordWrap/>
              <w:overflowPunct/>
              <w:topLinePunct w:val="0"/>
              <w:bidi w:val="0"/>
              <w:spacing w:line="360" w:lineRule="auto"/>
              <w:jc w:val="left"/>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2、电子化磋商响应文件应在投标截止时间前成功上传至三门峡市公共资源电子化交易系统。至投标截止时间止，仍未上传成功的电子化磋商响应文件将不予接收。</w:t>
            </w:r>
          </w:p>
          <w:p w14:paraId="1E0EE354">
            <w:pPr>
              <w:pageBreakBefore w:val="0"/>
              <w:wordWrap/>
              <w:overflowPunct/>
              <w:topLinePunct w:val="0"/>
              <w:bidi w:val="0"/>
              <w:spacing w:line="360" w:lineRule="auto"/>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791DA9B2">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35C8BA99">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2.6.1</w:t>
            </w:r>
          </w:p>
        </w:tc>
        <w:tc>
          <w:tcPr>
            <w:tcW w:w="2017" w:type="dxa"/>
            <w:tcBorders>
              <w:top w:val="single" w:color="auto" w:sz="4" w:space="0"/>
              <w:left w:val="nil"/>
              <w:bottom w:val="single" w:color="auto" w:sz="4" w:space="0"/>
              <w:right w:val="single" w:color="auto" w:sz="4" w:space="0"/>
            </w:tcBorders>
            <w:vAlign w:val="center"/>
          </w:tcPr>
          <w:p w14:paraId="45B3C404">
            <w:pPr>
              <w:pageBreakBefore w:val="0"/>
              <w:wordWrap/>
              <w:overflowPunct/>
              <w:topLinePunct w:val="0"/>
              <w:bidi w:val="0"/>
              <w:spacing w:line="360" w:lineRule="auto"/>
              <w:jc w:val="center"/>
              <w:outlineLvl w:val="9"/>
              <w:rPr>
                <w:rFonts w:hint="eastAsia" w:ascii="宋体" w:hAnsi="宋体" w:eastAsia="宋体" w:cs="宋体"/>
                <w:b w:val="0"/>
                <w:bCs w:val="0"/>
                <w:kern w:val="0"/>
                <w:sz w:val="24"/>
                <w:szCs w:val="24"/>
              </w:rPr>
            </w:pPr>
            <w:r>
              <w:rPr>
                <w:rFonts w:hint="eastAsia" w:ascii="宋体" w:hAnsi="宋体" w:eastAsia="宋体" w:cs="宋体"/>
                <w:b w:val="0"/>
                <w:bCs w:val="0"/>
                <w:color w:val="000000"/>
                <w:sz w:val="24"/>
                <w:szCs w:val="24"/>
                <w:lang w:bidi="ar"/>
              </w:rPr>
              <w:t>磋商响应文件要求</w:t>
            </w:r>
          </w:p>
        </w:tc>
        <w:tc>
          <w:tcPr>
            <w:tcW w:w="6466" w:type="dxa"/>
            <w:tcBorders>
              <w:top w:val="single" w:color="auto" w:sz="4" w:space="0"/>
              <w:left w:val="nil"/>
              <w:bottom w:val="single" w:color="auto" w:sz="4" w:space="0"/>
              <w:right w:val="single" w:color="auto" w:sz="4" w:space="0"/>
            </w:tcBorders>
            <w:vAlign w:val="center"/>
          </w:tcPr>
          <w:p w14:paraId="44009807">
            <w:pPr>
              <w:pageBreakBefore w:val="0"/>
              <w:wordWrap/>
              <w:overflowPunct/>
              <w:topLinePunct w:val="0"/>
              <w:bidi w:val="0"/>
              <w:spacing w:line="360" w:lineRule="auto"/>
              <w:outlineLvl w:val="9"/>
              <w:rPr>
                <w:rFonts w:hint="eastAsia" w:ascii="宋体" w:hAnsi="宋体" w:eastAsia="宋体" w:cs="宋体"/>
                <w:b w:val="0"/>
                <w:bCs w:val="0"/>
                <w:kern w:val="0"/>
                <w:sz w:val="24"/>
                <w:szCs w:val="24"/>
              </w:rPr>
            </w:pPr>
            <w:r>
              <w:rPr>
                <w:rFonts w:hint="eastAsia" w:ascii="宋体" w:hAnsi="宋体" w:eastAsia="宋体" w:cs="宋体"/>
                <w:b w:val="0"/>
                <w:bCs w:val="0"/>
                <w:color w:val="000000"/>
                <w:sz w:val="24"/>
                <w:szCs w:val="24"/>
                <w:lang w:bidi="ar"/>
              </w:rPr>
              <w:t>开标时不再递交纸质投标文件</w:t>
            </w:r>
          </w:p>
        </w:tc>
      </w:tr>
      <w:tr w14:paraId="24E5712A">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EEE56D8">
            <w:pPr>
              <w:pageBreakBefore w:val="0"/>
              <w:wordWrap/>
              <w:overflowPunct/>
              <w:topLinePunct w:val="0"/>
              <w:bidi w:val="0"/>
              <w:spacing w:line="360" w:lineRule="auto"/>
              <w:ind w:firstLine="240" w:firstLineChars="1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2.7</w:t>
            </w:r>
          </w:p>
        </w:tc>
        <w:tc>
          <w:tcPr>
            <w:tcW w:w="2017" w:type="dxa"/>
            <w:tcBorders>
              <w:top w:val="single" w:color="auto" w:sz="4" w:space="0"/>
              <w:left w:val="nil"/>
              <w:bottom w:val="single" w:color="auto" w:sz="4" w:space="0"/>
              <w:right w:val="single" w:color="auto" w:sz="4" w:space="0"/>
            </w:tcBorders>
            <w:vAlign w:val="center"/>
          </w:tcPr>
          <w:p w14:paraId="599003CE">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开标</w:t>
            </w:r>
            <w:r>
              <w:rPr>
                <w:rFonts w:hint="eastAsia" w:ascii="宋体" w:hAnsi="宋体" w:eastAsia="宋体" w:cs="宋体"/>
                <w:b w:val="0"/>
                <w:bCs w:val="0"/>
                <w:sz w:val="24"/>
                <w:szCs w:val="24"/>
              </w:rPr>
              <w:t>时间</w:t>
            </w:r>
          </w:p>
          <w:p w14:paraId="4ECB14E8">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和地点</w:t>
            </w:r>
          </w:p>
        </w:tc>
        <w:tc>
          <w:tcPr>
            <w:tcW w:w="6466" w:type="dxa"/>
            <w:tcBorders>
              <w:top w:val="single" w:color="auto" w:sz="4" w:space="0"/>
              <w:left w:val="nil"/>
              <w:bottom w:val="single" w:color="auto" w:sz="4" w:space="0"/>
              <w:right w:val="single" w:color="auto" w:sz="4" w:space="0"/>
            </w:tcBorders>
            <w:vAlign w:val="center"/>
          </w:tcPr>
          <w:p w14:paraId="135F2D25">
            <w:pPr>
              <w:pageBreakBefore w:val="0"/>
              <w:wordWrap/>
              <w:overflowPunct/>
              <w:topLinePunct w:val="0"/>
              <w:bidi w:val="0"/>
              <w:spacing w:line="360" w:lineRule="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时间：</w:t>
            </w:r>
            <w:r>
              <w:rPr>
                <w:rFonts w:hint="eastAsia" w:ascii="宋体" w:hAnsi="宋体" w:eastAsia="宋体" w:cs="宋体"/>
                <w:b w:val="0"/>
                <w:bCs w:val="0"/>
                <w:color w:val="000000"/>
                <w:sz w:val="24"/>
                <w:szCs w:val="24"/>
                <w:highlight w:val="none"/>
                <w:lang w:eastAsia="zh-CN"/>
              </w:rPr>
              <w:t>2026年4月9日08时30分</w:t>
            </w:r>
            <w:r>
              <w:rPr>
                <w:rFonts w:hint="eastAsia" w:ascii="宋体" w:hAnsi="宋体" w:eastAsia="宋体" w:cs="宋体"/>
                <w:b w:val="0"/>
                <w:bCs w:val="0"/>
                <w:color w:val="000000"/>
                <w:kern w:val="0"/>
                <w:sz w:val="24"/>
                <w:szCs w:val="24"/>
                <w:highlight w:val="none"/>
              </w:rPr>
              <w:t>（北京时间）</w:t>
            </w:r>
            <w:r>
              <w:rPr>
                <w:rFonts w:hint="eastAsia" w:ascii="宋体" w:hAnsi="宋体" w:eastAsia="宋体" w:cs="宋体"/>
                <w:b w:val="0"/>
                <w:bCs w:val="0"/>
                <w:color w:val="000000"/>
                <w:sz w:val="24"/>
                <w:szCs w:val="24"/>
                <w:highlight w:val="none"/>
              </w:rPr>
              <w:t>。</w:t>
            </w:r>
          </w:p>
          <w:p w14:paraId="78CB4B82">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地点：</w:t>
            </w:r>
            <w:r>
              <w:rPr>
                <w:rFonts w:hint="eastAsia" w:ascii="宋体" w:hAnsi="宋体" w:eastAsia="宋体" w:cs="宋体"/>
                <w:b w:val="0"/>
                <w:bCs w:val="0"/>
                <w:color w:val="000000"/>
                <w:kern w:val="0"/>
                <w:sz w:val="24"/>
                <w:szCs w:val="24"/>
                <w:lang w:val="en-US" w:eastAsia="zh-CN"/>
              </w:rPr>
              <w:t>义马</w:t>
            </w:r>
            <w:r>
              <w:rPr>
                <w:rFonts w:hint="eastAsia" w:ascii="宋体" w:hAnsi="宋体" w:eastAsia="宋体" w:cs="宋体"/>
                <w:b w:val="0"/>
                <w:bCs w:val="0"/>
                <w:color w:val="000000"/>
                <w:kern w:val="0"/>
                <w:sz w:val="24"/>
                <w:szCs w:val="24"/>
              </w:rPr>
              <w:t>市公共资源交易中心</w:t>
            </w:r>
            <w:r>
              <w:rPr>
                <w:rFonts w:hint="eastAsia" w:ascii="宋体" w:hAnsi="宋体" w:eastAsia="宋体" w:cs="宋体"/>
                <w:b w:val="0"/>
                <w:bCs w:val="0"/>
                <w:color w:val="000000"/>
                <w:kern w:val="0"/>
                <w:sz w:val="24"/>
                <w:szCs w:val="24"/>
                <w:lang w:val="en-US" w:eastAsia="zh-CN"/>
              </w:rPr>
              <w:t>开标二室</w:t>
            </w:r>
            <w:r>
              <w:rPr>
                <w:rFonts w:hint="eastAsia" w:ascii="宋体" w:hAnsi="宋体" w:eastAsia="宋体" w:cs="宋体"/>
                <w:b w:val="0"/>
                <w:bCs w:val="0"/>
                <w:color w:val="000000"/>
                <w:sz w:val="24"/>
                <w:szCs w:val="24"/>
              </w:rPr>
              <w:t>。</w:t>
            </w:r>
          </w:p>
        </w:tc>
      </w:tr>
      <w:tr w14:paraId="66276065">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4DBE3A8">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3.0</w:t>
            </w:r>
          </w:p>
        </w:tc>
        <w:tc>
          <w:tcPr>
            <w:tcW w:w="2017" w:type="dxa"/>
            <w:tcBorders>
              <w:top w:val="single" w:color="auto" w:sz="4" w:space="0"/>
              <w:left w:val="nil"/>
              <w:bottom w:val="single" w:color="auto" w:sz="4" w:space="0"/>
              <w:right w:val="single" w:color="auto" w:sz="4" w:space="0"/>
            </w:tcBorders>
            <w:vAlign w:val="center"/>
          </w:tcPr>
          <w:p w14:paraId="62FFEB1A">
            <w:pPr>
              <w:pageBreakBefore w:val="0"/>
              <w:widowControl/>
              <w:wordWrap/>
              <w:overflowPunct/>
              <w:topLinePunct w:val="0"/>
              <w:bidi w:val="0"/>
              <w:spacing w:line="360" w:lineRule="auto"/>
              <w:jc w:val="center"/>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磋商顺序</w:t>
            </w:r>
          </w:p>
        </w:tc>
        <w:tc>
          <w:tcPr>
            <w:tcW w:w="6466" w:type="dxa"/>
            <w:tcBorders>
              <w:top w:val="single" w:color="auto" w:sz="4" w:space="0"/>
              <w:left w:val="nil"/>
              <w:bottom w:val="single" w:color="auto" w:sz="4" w:space="0"/>
              <w:right w:val="single" w:color="auto" w:sz="4" w:space="0"/>
            </w:tcBorders>
            <w:vAlign w:val="center"/>
          </w:tcPr>
          <w:p w14:paraId="0CC93B71">
            <w:pPr>
              <w:pageBreakBefore w:val="0"/>
              <w:widowControl/>
              <w:wordWrap/>
              <w:overflowPunct/>
              <w:topLinePunct w:val="0"/>
              <w:bidi w:val="0"/>
              <w:spacing w:line="360" w:lineRule="auto"/>
              <w:jc w:val="left"/>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磋商小组</w:t>
            </w:r>
            <w:r>
              <w:rPr>
                <w:rFonts w:hint="eastAsia" w:ascii="宋体" w:hAnsi="宋体" w:eastAsia="宋体" w:cs="宋体"/>
                <w:b w:val="0"/>
                <w:bCs w:val="0"/>
                <w:kern w:val="0"/>
                <w:sz w:val="24"/>
                <w:szCs w:val="24"/>
              </w:rPr>
              <w:t>按</w:t>
            </w:r>
            <w:r>
              <w:rPr>
                <w:rFonts w:hint="eastAsia" w:ascii="宋体" w:hAnsi="宋体" w:eastAsia="宋体" w:cs="宋体"/>
                <w:b w:val="0"/>
                <w:bCs w:val="0"/>
                <w:sz w:val="24"/>
                <w:szCs w:val="24"/>
              </w:rPr>
              <w:t>电子化磋商</w:t>
            </w:r>
            <w:r>
              <w:rPr>
                <w:rFonts w:hint="eastAsia" w:ascii="宋体" w:hAnsi="宋体" w:eastAsia="宋体" w:cs="宋体"/>
                <w:b w:val="0"/>
                <w:bCs w:val="0"/>
                <w:kern w:val="0"/>
                <w:sz w:val="24"/>
                <w:szCs w:val="24"/>
              </w:rPr>
              <w:t>响应文件上传的顺序</w:t>
            </w:r>
            <w:r>
              <w:rPr>
                <w:rFonts w:hint="eastAsia" w:ascii="宋体" w:hAnsi="宋体" w:eastAsia="宋体" w:cs="宋体"/>
                <w:b w:val="0"/>
                <w:bCs w:val="0"/>
                <w:kern w:val="0"/>
                <w:sz w:val="24"/>
                <w:szCs w:val="24"/>
                <w:lang w:val="en-US" w:eastAsia="zh-CN"/>
              </w:rPr>
              <w:t>逐家进行</w:t>
            </w:r>
            <w:r>
              <w:rPr>
                <w:rFonts w:hint="eastAsia" w:ascii="宋体" w:hAnsi="宋体" w:eastAsia="宋体" w:cs="宋体"/>
                <w:b w:val="0"/>
                <w:bCs w:val="0"/>
                <w:kern w:val="0"/>
                <w:sz w:val="24"/>
                <w:szCs w:val="24"/>
              </w:rPr>
              <w:t>磋商</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多轮磋商，最后报价制</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w:t>
            </w:r>
          </w:p>
        </w:tc>
      </w:tr>
      <w:tr w14:paraId="72C87449">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7F5EBA4D">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3.1</w:t>
            </w:r>
          </w:p>
        </w:tc>
        <w:tc>
          <w:tcPr>
            <w:tcW w:w="2017" w:type="dxa"/>
            <w:tcBorders>
              <w:top w:val="single" w:color="auto" w:sz="4" w:space="0"/>
              <w:left w:val="nil"/>
              <w:bottom w:val="single" w:color="auto" w:sz="4" w:space="0"/>
              <w:right w:val="single" w:color="auto" w:sz="4" w:space="0"/>
            </w:tcBorders>
            <w:vAlign w:val="center"/>
          </w:tcPr>
          <w:p w14:paraId="43C7CEA0">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磋商小组</w:t>
            </w:r>
          </w:p>
          <w:p w14:paraId="3017BCF8">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的组建</w:t>
            </w:r>
          </w:p>
        </w:tc>
        <w:tc>
          <w:tcPr>
            <w:tcW w:w="6466" w:type="dxa"/>
            <w:tcBorders>
              <w:top w:val="single" w:color="auto" w:sz="4" w:space="0"/>
              <w:left w:val="nil"/>
              <w:bottom w:val="single" w:color="auto" w:sz="4" w:space="0"/>
              <w:right w:val="single" w:color="auto" w:sz="4" w:space="0"/>
            </w:tcBorders>
            <w:vAlign w:val="center"/>
          </w:tcPr>
          <w:p w14:paraId="65CE5D0F">
            <w:pPr>
              <w:pageBreakBefore w:val="0"/>
              <w:widowControl/>
              <w:wordWrap/>
              <w:overflowPunct/>
              <w:topLinePunct w:val="0"/>
              <w:bidi w:val="0"/>
              <w:spacing w:line="360" w:lineRule="auto"/>
              <w:jc w:val="left"/>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采购人</w:t>
            </w:r>
            <w:r>
              <w:rPr>
                <w:rFonts w:hint="eastAsia" w:ascii="宋体" w:hAnsi="宋体" w:eastAsia="宋体" w:cs="宋体"/>
                <w:b w:val="0"/>
                <w:bCs w:val="0"/>
                <w:kern w:val="0"/>
                <w:sz w:val="24"/>
                <w:szCs w:val="24"/>
              </w:rPr>
              <w:t>依法</w:t>
            </w:r>
            <w:r>
              <w:rPr>
                <w:rFonts w:hint="eastAsia" w:ascii="宋体" w:hAnsi="宋体" w:eastAsia="宋体" w:cs="宋体"/>
                <w:b w:val="0"/>
                <w:bCs w:val="0"/>
                <w:kern w:val="0"/>
                <w:sz w:val="24"/>
                <w:szCs w:val="24"/>
                <w:lang w:val="en-US" w:eastAsia="zh-CN"/>
              </w:rPr>
              <w:t>组建</w:t>
            </w:r>
            <w:r>
              <w:rPr>
                <w:rFonts w:hint="eastAsia" w:ascii="宋体" w:hAnsi="宋体" w:eastAsia="宋体" w:cs="宋体"/>
                <w:b w:val="0"/>
                <w:bCs w:val="0"/>
                <w:kern w:val="0"/>
                <w:sz w:val="24"/>
                <w:szCs w:val="24"/>
              </w:rPr>
              <w:t>磋商小组</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磋商小组由3人组成，其中采购人代表1人，其它专家2人；</w:t>
            </w:r>
          </w:p>
          <w:p w14:paraId="34277C19">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kern w:val="0"/>
                <w:sz w:val="24"/>
                <w:szCs w:val="24"/>
              </w:rPr>
              <w:t>确定方式：磋商小组在开标</w:t>
            </w:r>
            <w:r>
              <w:rPr>
                <w:rFonts w:hint="eastAsia" w:ascii="宋体" w:hAnsi="宋体" w:eastAsia="宋体" w:cs="宋体"/>
                <w:b w:val="0"/>
                <w:bCs w:val="0"/>
                <w:kern w:val="0"/>
                <w:sz w:val="24"/>
                <w:szCs w:val="24"/>
                <w:lang w:val="en-US" w:eastAsia="zh-CN"/>
              </w:rPr>
              <w:t>后</w:t>
            </w:r>
            <w:r>
              <w:rPr>
                <w:rFonts w:hint="eastAsia" w:ascii="宋体" w:hAnsi="宋体" w:eastAsia="宋体" w:cs="宋体"/>
                <w:b w:val="0"/>
                <w:bCs w:val="0"/>
                <w:kern w:val="0"/>
                <w:sz w:val="24"/>
                <w:szCs w:val="24"/>
              </w:rPr>
              <w:t>组建，从河南省</w:t>
            </w:r>
            <w:r>
              <w:rPr>
                <w:rFonts w:hint="eastAsia" w:ascii="宋体" w:hAnsi="宋体" w:eastAsia="宋体" w:cs="宋体"/>
                <w:b w:val="0"/>
                <w:bCs w:val="0"/>
                <w:kern w:val="0"/>
                <w:sz w:val="24"/>
                <w:szCs w:val="24"/>
                <w:lang w:val="en-US" w:eastAsia="zh-CN"/>
              </w:rPr>
              <w:t>财政厅政府采购评标</w:t>
            </w:r>
            <w:r>
              <w:rPr>
                <w:rFonts w:hint="eastAsia" w:ascii="宋体" w:hAnsi="宋体" w:eastAsia="宋体" w:cs="宋体"/>
                <w:b w:val="0"/>
                <w:bCs w:val="0"/>
                <w:kern w:val="0"/>
                <w:sz w:val="24"/>
                <w:szCs w:val="24"/>
              </w:rPr>
              <w:t>专家库随机抽取。</w:t>
            </w:r>
          </w:p>
        </w:tc>
      </w:tr>
      <w:tr w14:paraId="64557FD2">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41BB922">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3.2</w:t>
            </w:r>
          </w:p>
        </w:tc>
        <w:tc>
          <w:tcPr>
            <w:tcW w:w="2017" w:type="dxa"/>
            <w:tcBorders>
              <w:top w:val="single" w:color="auto" w:sz="4" w:space="0"/>
              <w:left w:val="nil"/>
              <w:bottom w:val="single" w:color="auto" w:sz="4" w:space="0"/>
              <w:right w:val="single" w:color="auto" w:sz="4" w:space="0"/>
            </w:tcBorders>
            <w:vAlign w:val="center"/>
          </w:tcPr>
          <w:p w14:paraId="7A125151">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是否授权磋商专家确定成交供应商</w:t>
            </w:r>
          </w:p>
        </w:tc>
        <w:tc>
          <w:tcPr>
            <w:tcW w:w="6466" w:type="dxa"/>
            <w:tcBorders>
              <w:top w:val="single" w:color="auto" w:sz="4" w:space="0"/>
              <w:left w:val="nil"/>
              <w:bottom w:val="single" w:color="auto" w:sz="4" w:space="0"/>
              <w:right w:val="single" w:color="auto" w:sz="4" w:space="0"/>
            </w:tcBorders>
            <w:vAlign w:val="center"/>
          </w:tcPr>
          <w:p w14:paraId="3E2BA0F7">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否，按顺序推荐的成交候选供应商数:</w:t>
            </w:r>
            <w:r>
              <w:rPr>
                <w:rFonts w:hint="eastAsia" w:ascii="宋体" w:hAnsi="宋体" w:eastAsia="宋体" w:cs="宋体"/>
                <w:b w:val="0"/>
                <w:bCs w:val="0"/>
                <w:sz w:val="24"/>
                <w:szCs w:val="24"/>
                <w:u w:val="single"/>
              </w:rPr>
              <w:t>3名</w:t>
            </w:r>
          </w:p>
        </w:tc>
      </w:tr>
      <w:tr w14:paraId="269563D4">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573031EE">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3.3</w:t>
            </w:r>
          </w:p>
        </w:tc>
        <w:tc>
          <w:tcPr>
            <w:tcW w:w="2017" w:type="dxa"/>
            <w:tcBorders>
              <w:top w:val="single" w:color="auto" w:sz="4" w:space="0"/>
              <w:left w:val="nil"/>
              <w:bottom w:val="single" w:color="auto" w:sz="4" w:space="0"/>
              <w:right w:val="single" w:color="auto" w:sz="4" w:space="0"/>
            </w:tcBorders>
            <w:vAlign w:val="center"/>
          </w:tcPr>
          <w:p w14:paraId="165B897C">
            <w:pPr>
              <w:keepLines/>
              <w:pageBreakBefore w:val="0"/>
              <w:wordWrap/>
              <w:overflowPunct/>
              <w:topLinePunct w:val="0"/>
              <w:bidi w:val="0"/>
              <w:spacing w:line="360" w:lineRule="auto"/>
              <w:jc w:val="center"/>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代理服务费</w:t>
            </w:r>
          </w:p>
        </w:tc>
        <w:tc>
          <w:tcPr>
            <w:tcW w:w="6466" w:type="dxa"/>
            <w:tcBorders>
              <w:top w:val="single" w:color="auto" w:sz="4" w:space="0"/>
              <w:left w:val="nil"/>
              <w:bottom w:val="single" w:color="auto" w:sz="4" w:space="0"/>
              <w:right w:val="single" w:color="auto" w:sz="4" w:space="0"/>
            </w:tcBorders>
            <w:vAlign w:val="center"/>
          </w:tcPr>
          <w:p w14:paraId="6ACA11E9">
            <w:pPr>
              <w:pageBreakBefore w:val="0"/>
              <w:wordWrap/>
              <w:overflowPunct/>
              <w:topLinePunct w:val="0"/>
              <w:bidi w:val="0"/>
              <w:spacing w:line="360" w:lineRule="auto"/>
              <w:outlineLvl w:val="9"/>
              <w:rPr>
                <w:rFonts w:hint="eastAsia" w:ascii="宋体" w:hAnsi="宋体" w:eastAsia="宋体" w:cs="宋体"/>
                <w:b w:val="0"/>
                <w:bCs w:val="0"/>
                <w:color w:val="000000"/>
                <w:sz w:val="24"/>
                <w:szCs w:val="24"/>
                <w:lang w:val="en-US"/>
              </w:rPr>
            </w:pPr>
            <w:r>
              <w:rPr>
                <w:rFonts w:hint="eastAsia" w:ascii="宋体" w:hAnsi="宋体" w:eastAsia="宋体" w:cs="宋体"/>
                <w:b w:val="0"/>
                <w:bCs w:val="0"/>
                <w:color w:val="000000"/>
                <w:sz w:val="24"/>
                <w:szCs w:val="24"/>
                <w:lang w:bidi="ar"/>
              </w:rPr>
              <w:t>1.收取标准：参考河南省招标代理服务收费指导意见（豫招协[2023]002号）规定的收费标准计算</w:t>
            </w:r>
            <w:r>
              <w:rPr>
                <w:rFonts w:hint="eastAsia" w:ascii="宋体" w:hAnsi="宋体" w:eastAsia="宋体" w:cs="宋体"/>
                <w:b w:val="0"/>
                <w:bCs w:val="0"/>
                <w:color w:val="000000"/>
                <w:sz w:val="24"/>
                <w:szCs w:val="24"/>
                <w:lang w:eastAsia="zh-CN" w:bidi="ar"/>
              </w:rPr>
              <w:t>，</w:t>
            </w:r>
            <w:r>
              <w:rPr>
                <w:rFonts w:hint="eastAsia" w:ascii="宋体" w:hAnsi="宋体" w:eastAsia="宋体" w:cs="宋体"/>
                <w:b w:val="0"/>
                <w:bCs w:val="0"/>
                <w:color w:val="000000"/>
                <w:sz w:val="24"/>
                <w:szCs w:val="24"/>
                <w:lang w:val="en-US" w:eastAsia="zh-CN" w:bidi="ar"/>
              </w:rPr>
              <w:t>收费金额为11900元整；</w:t>
            </w:r>
          </w:p>
          <w:p w14:paraId="128F2FD5">
            <w:pPr>
              <w:pageBreakBefore w:val="0"/>
              <w:wordWrap/>
              <w:overflowPunct/>
              <w:topLinePunct w:val="0"/>
              <w:bidi w:val="0"/>
              <w:spacing w:line="360" w:lineRule="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bidi="ar"/>
              </w:rPr>
              <w:t>2.收取方式：中标人在领取中标通知书时，以现金或转账的方式一次性向代理机构</w:t>
            </w:r>
            <w:r>
              <w:rPr>
                <w:rFonts w:hint="eastAsia" w:ascii="宋体" w:hAnsi="宋体" w:eastAsia="宋体" w:cs="宋体"/>
                <w:b w:val="0"/>
                <w:bCs w:val="0"/>
                <w:sz w:val="24"/>
                <w:szCs w:val="24"/>
                <w:lang w:bidi="ar"/>
              </w:rPr>
              <w:t>缴纳代理服务费。</w:t>
            </w:r>
          </w:p>
        </w:tc>
      </w:tr>
      <w:tr w14:paraId="00CC378A">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1C3E941">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3.4</w:t>
            </w:r>
          </w:p>
        </w:tc>
        <w:tc>
          <w:tcPr>
            <w:tcW w:w="2017" w:type="dxa"/>
            <w:tcBorders>
              <w:top w:val="single" w:color="auto" w:sz="4" w:space="0"/>
              <w:left w:val="nil"/>
              <w:bottom w:val="single" w:color="auto" w:sz="4" w:space="0"/>
              <w:right w:val="single" w:color="auto" w:sz="4" w:space="0"/>
            </w:tcBorders>
            <w:vAlign w:val="center"/>
          </w:tcPr>
          <w:p w14:paraId="47C9CD1A">
            <w:pPr>
              <w:pageBreakBefore w:val="0"/>
              <w:wordWrap/>
              <w:overflowPunct/>
              <w:topLinePunct w:val="0"/>
              <w:bidi w:val="0"/>
              <w:spacing w:line="360" w:lineRule="auto"/>
              <w:jc w:val="center"/>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招标控制价</w:t>
            </w:r>
          </w:p>
        </w:tc>
        <w:tc>
          <w:tcPr>
            <w:tcW w:w="6466" w:type="dxa"/>
            <w:tcBorders>
              <w:top w:val="single" w:color="auto" w:sz="4" w:space="0"/>
              <w:left w:val="nil"/>
              <w:bottom w:val="single" w:color="auto" w:sz="4" w:space="0"/>
              <w:right w:val="single" w:color="auto" w:sz="4" w:space="0"/>
            </w:tcBorders>
            <w:vAlign w:val="center"/>
          </w:tcPr>
          <w:p w14:paraId="2DA58BA3">
            <w:pPr>
              <w:pageBreakBefore w:val="0"/>
              <w:widowControl/>
              <w:wordWrap/>
              <w:overflowPunct/>
              <w:topLinePunct w:val="0"/>
              <w:bidi w:val="0"/>
              <w:spacing w:line="360" w:lineRule="auto"/>
              <w:jc w:val="left"/>
              <w:outlineLvl w:val="9"/>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大写：</w:t>
            </w:r>
            <w:r>
              <w:rPr>
                <w:rFonts w:hint="eastAsia" w:ascii="宋体" w:hAnsi="宋体" w:eastAsia="宋体" w:cs="宋体"/>
                <w:b w:val="0"/>
                <w:bCs w:val="0"/>
                <w:color w:val="000000"/>
                <w:sz w:val="24"/>
                <w:szCs w:val="24"/>
                <w:lang w:val="en-US" w:eastAsia="zh-CN"/>
              </w:rPr>
              <w:t>柒拾万元整；</w:t>
            </w:r>
          </w:p>
          <w:p w14:paraId="146AA83F">
            <w:pPr>
              <w:pageBreakBefore w:val="0"/>
              <w:widowControl/>
              <w:wordWrap/>
              <w:overflowPunct/>
              <w:topLinePunct w:val="0"/>
              <w:bidi w:val="0"/>
              <w:spacing w:line="360" w:lineRule="auto"/>
              <w:jc w:val="left"/>
              <w:outlineLvl w:val="9"/>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小写：</w:t>
            </w:r>
            <w:r>
              <w:rPr>
                <w:rFonts w:hint="eastAsia" w:ascii="宋体" w:hAnsi="宋体" w:eastAsia="宋体" w:cs="宋体"/>
                <w:b w:val="0"/>
                <w:bCs w:val="0"/>
                <w:color w:val="000000"/>
                <w:sz w:val="24"/>
                <w:szCs w:val="24"/>
                <w:lang w:eastAsia="zh-CN"/>
              </w:rPr>
              <w:t>700000.00</w:t>
            </w:r>
            <w:r>
              <w:rPr>
                <w:rFonts w:hint="eastAsia" w:ascii="宋体" w:hAnsi="宋体" w:eastAsia="宋体" w:cs="宋体"/>
                <w:b w:val="0"/>
                <w:bCs w:val="0"/>
                <w:color w:val="000000"/>
                <w:sz w:val="24"/>
                <w:szCs w:val="24"/>
              </w:rPr>
              <w:t>元</w:t>
            </w:r>
            <w:r>
              <w:rPr>
                <w:rFonts w:hint="eastAsia" w:ascii="宋体" w:hAnsi="宋体" w:eastAsia="宋体" w:cs="宋体"/>
                <w:b w:val="0"/>
                <w:bCs w:val="0"/>
                <w:color w:val="000000"/>
                <w:sz w:val="24"/>
                <w:szCs w:val="24"/>
                <w:lang w:eastAsia="zh-CN"/>
              </w:rPr>
              <w:t>；</w:t>
            </w:r>
          </w:p>
          <w:p w14:paraId="7AB7C581">
            <w:pPr>
              <w:pageBreakBefore w:val="0"/>
              <w:widowControl/>
              <w:wordWrap/>
              <w:overflowPunct/>
              <w:topLinePunct w:val="0"/>
              <w:bidi w:val="0"/>
              <w:spacing w:line="360" w:lineRule="auto"/>
              <w:jc w:val="left"/>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凡</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的磋商报价超出“招标控制价”的，该</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的磋商响应文件应作无效标处理。</w:t>
            </w:r>
          </w:p>
        </w:tc>
      </w:tr>
      <w:tr w14:paraId="2CC09ACE">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6CC593C3">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3.5</w:t>
            </w:r>
          </w:p>
        </w:tc>
        <w:tc>
          <w:tcPr>
            <w:tcW w:w="2017" w:type="dxa"/>
            <w:tcBorders>
              <w:top w:val="single" w:color="auto" w:sz="4" w:space="0"/>
              <w:left w:val="nil"/>
              <w:bottom w:val="single" w:color="auto" w:sz="4" w:space="0"/>
              <w:right w:val="single" w:color="auto" w:sz="4" w:space="0"/>
            </w:tcBorders>
            <w:vAlign w:val="center"/>
          </w:tcPr>
          <w:p w14:paraId="4D9BFC95">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其他</w:t>
            </w:r>
          </w:p>
        </w:tc>
        <w:tc>
          <w:tcPr>
            <w:tcW w:w="6466" w:type="dxa"/>
            <w:tcBorders>
              <w:top w:val="single" w:color="auto" w:sz="4" w:space="0"/>
              <w:left w:val="nil"/>
              <w:bottom w:val="single" w:color="auto" w:sz="4" w:space="0"/>
              <w:right w:val="single" w:color="auto" w:sz="4" w:space="0"/>
            </w:tcBorders>
            <w:vAlign w:val="center"/>
          </w:tcPr>
          <w:p w14:paraId="14370871">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.根据优化营商环境的要求，本项目评标审查内容以</w:t>
            </w:r>
            <w:r>
              <w:rPr>
                <w:rFonts w:hint="eastAsia" w:ascii="宋体" w:hAnsi="宋体" w:eastAsia="宋体" w:cs="宋体"/>
                <w:b w:val="0"/>
                <w:bCs w:val="0"/>
                <w:sz w:val="24"/>
                <w:szCs w:val="24"/>
                <w:lang w:val="en-US" w:eastAsia="zh-CN"/>
              </w:rPr>
              <w:t>供应商在交易系统中上传的</w:t>
            </w:r>
            <w:r>
              <w:rPr>
                <w:rFonts w:hint="eastAsia" w:ascii="宋体" w:hAnsi="宋体" w:eastAsia="宋体" w:cs="宋体"/>
                <w:b w:val="0"/>
                <w:bCs w:val="0"/>
                <w:sz w:val="24"/>
                <w:szCs w:val="24"/>
              </w:rPr>
              <w:t>投标（响应）文件</w:t>
            </w:r>
            <w:r>
              <w:rPr>
                <w:rFonts w:hint="eastAsia" w:ascii="宋体" w:hAnsi="宋体" w:eastAsia="宋体" w:cs="宋体"/>
                <w:b w:val="0"/>
                <w:bCs w:val="0"/>
                <w:sz w:val="24"/>
                <w:szCs w:val="24"/>
                <w:lang w:val="en-US" w:eastAsia="zh-CN"/>
              </w:rPr>
              <w:t>中相关内容</w:t>
            </w:r>
            <w:r>
              <w:rPr>
                <w:rFonts w:hint="eastAsia" w:ascii="宋体" w:hAnsi="宋体" w:eastAsia="宋体" w:cs="宋体"/>
                <w:b w:val="0"/>
                <w:bCs w:val="0"/>
                <w:sz w:val="24"/>
                <w:szCs w:val="24"/>
              </w:rPr>
              <w:t>为准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供应商对</w:t>
            </w:r>
            <w:r>
              <w:rPr>
                <w:rFonts w:hint="eastAsia" w:ascii="宋体" w:hAnsi="宋体" w:eastAsia="宋体" w:cs="宋体"/>
                <w:b w:val="0"/>
                <w:bCs w:val="0"/>
                <w:sz w:val="24"/>
                <w:szCs w:val="24"/>
              </w:rPr>
              <w:t>其上传资料</w:t>
            </w:r>
            <w:r>
              <w:rPr>
                <w:rFonts w:hint="eastAsia" w:ascii="宋体" w:hAnsi="宋体" w:eastAsia="宋体" w:cs="宋体"/>
                <w:b w:val="0"/>
                <w:bCs w:val="0"/>
                <w:sz w:val="24"/>
                <w:szCs w:val="24"/>
                <w:lang w:val="en-US" w:eastAsia="zh-CN"/>
              </w:rPr>
              <w:t>信息的</w:t>
            </w:r>
            <w:r>
              <w:rPr>
                <w:rFonts w:hint="eastAsia" w:ascii="宋体" w:hAnsi="宋体" w:eastAsia="宋体" w:cs="宋体"/>
                <w:b w:val="0"/>
                <w:bCs w:val="0"/>
                <w:sz w:val="24"/>
                <w:szCs w:val="24"/>
              </w:rPr>
              <w:t>真实性</w:t>
            </w:r>
            <w:r>
              <w:rPr>
                <w:rFonts w:hint="eastAsia" w:ascii="宋体" w:hAnsi="宋体" w:eastAsia="宋体" w:cs="宋体"/>
                <w:b w:val="0"/>
                <w:bCs w:val="0"/>
                <w:sz w:val="24"/>
                <w:szCs w:val="24"/>
                <w:lang w:val="en-US" w:eastAsia="zh-CN"/>
              </w:rPr>
              <w:t>负责</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同时供应商要完善主体库</w:t>
            </w:r>
            <w:r>
              <w:rPr>
                <w:rFonts w:hint="eastAsia" w:ascii="宋体" w:hAnsi="宋体" w:eastAsia="宋体" w:cs="宋体"/>
                <w:b w:val="0"/>
                <w:bCs w:val="0"/>
                <w:sz w:val="24"/>
                <w:szCs w:val="24"/>
                <w:lang w:val="en-US" w:eastAsia="zh-CN"/>
              </w:rPr>
              <w:t>信息</w:t>
            </w:r>
            <w:r>
              <w:rPr>
                <w:rFonts w:hint="eastAsia" w:ascii="宋体" w:hAnsi="宋体" w:eastAsia="宋体" w:cs="宋体"/>
                <w:b w:val="0"/>
                <w:bCs w:val="0"/>
                <w:sz w:val="24"/>
                <w:szCs w:val="24"/>
              </w:rPr>
              <w:t>。</w:t>
            </w:r>
          </w:p>
          <w:p w14:paraId="2867CE4A">
            <w:pPr>
              <w:pageBreakBefore w:val="0"/>
              <w:wordWrap/>
              <w:overflowPunct/>
              <w:topLinePunct w:val="0"/>
              <w:bidi w:val="0"/>
              <w:spacing w:line="360" w:lineRule="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2.我单位（采购人）严格按三财购【2021】9号文要求的时限发布成交公告，发出中标（成交）通知书，签订采购合同，上传采购合同。</w:t>
            </w:r>
          </w:p>
          <w:p w14:paraId="19C8BF47">
            <w:pPr>
              <w:pageBreakBefore w:val="0"/>
              <w:wordWrap/>
              <w:overflowPunct/>
              <w:topLinePunct w:val="0"/>
              <w:bidi w:val="0"/>
              <w:spacing w:line="360" w:lineRule="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3.采购人以书面形式向供应商发出成交通知书，同时向未中标企业发出成交结果告知书。</w:t>
            </w:r>
          </w:p>
          <w:p w14:paraId="76C22D07">
            <w:pPr>
              <w:spacing w:line="360" w:lineRule="auto"/>
              <w:ind w:right="-153" w:rightChars="-73"/>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在中标后可以持政府采购合同向融资机构申请贷款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并</w:t>
            </w:r>
            <w:r>
              <w:rPr>
                <w:rFonts w:hint="eastAsia" w:ascii="宋体" w:hAnsi="宋体" w:eastAsia="宋体" w:cs="宋体"/>
                <w:b w:val="0"/>
                <w:bCs w:val="0"/>
                <w:color w:val="auto"/>
                <w:sz w:val="24"/>
                <w:szCs w:val="24"/>
              </w:rPr>
              <w:t>可在河南省政府采购网“河南省政府采购合同融资平台”获取融资渠道和方式</w:t>
            </w:r>
            <w:r>
              <w:rPr>
                <w:rFonts w:hint="eastAsia" w:ascii="宋体" w:hAnsi="宋体" w:eastAsia="宋体" w:cs="宋体"/>
                <w:b w:val="0"/>
                <w:bCs w:val="0"/>
                <w:color w:val="auto"/>
                <w:sz w:val="24"/>
                <w:szCs w:val="24"/>
                <w:lang w:eastAsia="zh-CN"/>
              </w:rPr>
              <w:t>；</w:t>
            </w:r>
          </w:p>
          <w:p w14:paraId="05C92BCF">
            <w:pPr>
              <w:spacing w:line="360" w:lineRule="auto"/>
              <w:ind w:right="-153" w:rightChars="-73"/>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本项目执行的政府采购政策：对小微企业、监狱、残疾人福利性单位的价格给予20%的扣除，用扣除后的价格参与评审</w:t>
            </w:r>
            <w:r>
              <w:rPr>
                <w:rFonts w:hint="eastAsia" w:ascii="宋体" w:hAnsi="宋体" w:eastAsia="宋体" w:cs="宋体"/>
                <w:b w:val="0"/>
                <w:bCs w:val="0"/>
                <w:color w:val="auto"/>
                <w:sz w:val="24"/>
                <w:szCs w:val="24"/>
                <w:lang w:eastAsia="zh-CN"/>
              </w:rPr>
              <w:t>；</w:t>
            </w:r>
          </w:p>
          <w:p w14:paraId="683D824E">
            <w:pPr>
              <w:pageBreakBefore w:val="0"/>
              <w:numPr>
                <w:ilvl w:val="0"/>
                <w:numId w:val="1"/>
              </w:numPr>
              <w:wordWrap/>
              <w:overflowPunct/>
              <w:topLinePunct w:val="0"/>
              <w:bidi w:val="0"/>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本项目所属行业：其他未列明行业；</w:t>
            </w:r>
          </w:p>
          <w:p w14:paraId="153B03A0">
            <w:pPr>
              <w:pageBreakBefore w:val="0"/>
              <w:numPr>
                <w:ilvl w:val="0"/>
                <w:numId w:val="1"/>
              </w:numPr>
              <w:wordWrap/>
              <w:overflowPunct/>
              <w:topLinePunct w:val="0"/>
              <w:bidi w:val="0"/>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本磋商文件其他内容与本附表不一致的，以本附表为准。</w:t>
            </w:r>
          </w:p>
        </w:tc>
      </w:tr>
      <w:tr w14:paraId="7EC321FF">
        <w:tblPrEx>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14:paraId="4261EA6B">
            <w:pPr>
              <w:pageBreakBefore w:val="0"/>
              <w:wordWrap/>
              <w:overflowPunct/>
              <w:topLinePunct w:val="0"/>
              <w:bidi w:val="0"/>
              <w:spacing w:line="360" w:lineRule="auto"/>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6</w:t>
            </w:r>
          </w:p>
        </w:tc>
        <w:tc>
          <w:tcPr>
            <w:tcW w:w="2017" w:type="dxa"/>
            <w:tcBorders>
              <w:top w:val="single" w:color="auto" w:sz="4" w:space="0"/>
              <w:left w:val="nil"/>
              <w:bottom w:val="single" w:color="auto" w:sz="4" w:space="0"/>
              <w:right w:val="single" w:color="auto" w:sz="4" w:space="0"/>
            </w:tcBorders>
            <w:vAlign w:val="center"/>
          </w:tcPr>
          <w:p w14:paraId="18F6A85B">
            <w:pPr>
              <w:pageBreakBefore w:val="0"/>
              <w:widowControl/>
              <w:wordWrap/>
              <w:overflowPunct/>
              <w:topLinePunct w:val="0"/>
              <w:bidi w:val="0"/>
              <w:spacing w:line="360" w:lineRule="auto"/>
              <w:jc w:val="center"/>
              <w:outlineLvl w:val="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电子化交易</w:t>
            </w:r>
          </w:p>
          <w:p w14:paraId="44571C5B">
            <w:pPr>
              <w:pageBreakBefore w:val="0"/>
              <w:wordWrap/>
              <w:overflowPunct/>
              <w:topLinePunct w:val="0"/>
              <w:bidi w:val="0"/>
              <w:spacing w:line="360" w:lineRule="auto"/>
              <w:jc w:val="center"/>
              <w:outlineLvl w:val="9"/>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注意事项</w:t>
            </w:r>
          </w:p>
        </w:tc>
        <w:tc>
          <w:tcPr>
            <w:tcW w:w="6466" w:type="dxa"/>
            <w:tcBorders>
              <w:top w:val="single" w:color="auto" w:sz="4" w:space="0"/>
              <w:left w:val="nil"/>
              <w:bottom w:val="single" w:color="auto" w:sz="4" w:space="0"/>
              <w:right w:val="single" w:color="auto" w:sz="4" w:space="0"/>
            </w:tcBorders>
            <w:vAlign w:val="center"/>
          </w:tcPr>
          <w:p w14:paraId="729448C3">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具体要求：本项目为电子化、无纸化交易项目，磋商响应文件是供应商通过中心磋商响应文件制作系统制作，并经过签章和加密后生成的电子版磋商响应文件。</w:t>
            </w:r>
          </w:p>
          <w:p w14:paraId="1086B208">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电子化磋商响应文件具体制作文件请点击http://gzjy.smx.gov.cn/fwzn/004003/20200330/0de4b849-7eb7-4f4e-9a30-ae8b6a961d7f.html进行下载。</w:t>
            </w:r>
          </w:p>
          <w:p w14:paraId="75D73EF6">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温馨提示：本项目为电子化、无纸化交易项目，为保证您能投标成功，请需仔细阅读以下条款。</w:t>
            </w:r>
          </w:p>
          <w:p w14:paraId="4B6FB1AD">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一、电子化投标</w:t>
            </w:r>
          </w:p>
          <w:p w14:paraId="20749ACE">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（一）网上磋商保证金的缴纳</w:t>
            </w:r>
          </w:p>
          <w:p w14:paraId="7B92144D">
            <w:pPr>
              <w:pageBreakBefore w:val="0"/>
              <w:wordWrap/>
              <w:overflowPunct/>
              <w:topLinePunct w:val="0"/>
              <w:bidi w:val="0"/>
              <w:spacing w:line="360" w:lineRule="auto"/>
              <w:ind w:firstLine="120" w:firstLineChars="5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根据《河南省财政厅关于优化政府采购营商环境有关问题的通知》（豫财购【2019】4号）第6条的规定，磋商保证金不再收取。</w:t>
            </w:r>
          </w:p>
          <w:p w14:paraId="2AEE9C3F">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（二）电子化磋商响应文件的签章</w:t>
            </w:r>
          </w:p>
          <w:p w14:paraId="15D4BCD0">
            <w:pPr>
              <w:pageBreakBefore w:val="0"/>
              <w:wordWrap/>
              <w:overflowPunct/>
              <w:topLinePunct w:val="0"/>
              <w:bidi w:val="0"/>
              <w:spacing w:line="360" w:lineRule="auto"/>
              <w:ind w:firstLine="120" w:firstLineChars="5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1、供应商在生成电子化磋商响应文件后，应对电子化磋商响应文件进行签章，未进行签章的视为无效投标。</w:t>
            </w:r>
          </w:p>
          <w:p w14:paraId="7D871142">
            <w:pPr>
              <w:pageBreakBefore w:val="0"/>
              <w:wordWrap/>
              <w:overflowPunct/>
              <w:topLinePunct w:val="0"/>
              <w:bidi w:val="0"/>
              <w:spacing w:line="360" w:lineRule="auto"/>
              <w:ind w:firstLine="120" w:firstLineChars="5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竞争性磋商文件中要求供应商盖章的，以签盖单位电子公章为准</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要求法定代表人或授权代理人签章的，以签盖法定代表人电子印章为准</w:t>
            </w:r>
            <w:r>
              <w:rPr>
                <w:rFonts w:hint="eastAsia" w:ascii="宋体" w:hAnsi="宋体" w:eastAsia="宋体" w:cs="宋体"/>
                <w:b w:val="0"/>
                <w:bCs w:val="0"/>
                <w:sz w:val="24"/>
                <w:szCs w:val="24"/>
              </w:rPr>
              <w:t>。</w:t>
            </w:r>
          </w:p>
          <w:p w14:paraId="2A918C15">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（三）电子化磋商响应文件的格式及上传投标</w:t>
            </w:r>
          </w:p>
          <w:p w14:paraId="25D0969E">
            <w:pPr>
              <w:pageBreakBefore w:val="0"/>
              <w:wordWrap/>
              <w:overflowPunct/>
              <w:topLinePunct w:val="0"/>
              <w:bidi w:val="0"/>
              <w:spacing w:line="360" w:lineRule="auto"/>
              <w:ind w:firstLine="120" w:firstLineChars="5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6308FDA1">
            <w:pPr>
              <w:pageBreakBefore w:val="0"/>
              <w:wordWrap/>
              <w:overflowPunct/>
              <w:topLinePunct w:val="0"/>
              <w:bidi w:val="0"/>
              <w:spacing w:line="360" w:lineRule="auto"/>
              <w:ind w:firstLine="240" w:firstLineChars="1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2、电子化磋商响应文件应在投标截止时间前成功上传至三门峡市公共资源电子化交易系统。至投标截止时间止，仍未上传成功的电子化磋商响应文件将不予接收。</w:t>
            </w:r>
          </w:p>
          <w:p w14:paraId="53335992">
            <w:pPr>
              <w:pageBreakBefore w:val="0"/>
              <w:wordWrap/>
              <w:overflowPunct/>
              <w:topLinePunct w:val="0"/>
              <w:bidi w:val="0"/>
              <w:spacing w:line="360" w:lineRule="auto"/>
              <w:ind w:firstLine="240" w:firstLineChars="1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BBFFA30">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（四）电子化项目开标、解密、唱标、评标</w:t>
            </w:r>
          </w:p>
          <w:p w14:paraId="61F6AEB1">
            <w:pPr>
              <w:pageBreakBefore w:val="0"/>
              <w:wordWrap/>
              <w:overflowPunct/>
              <w:topLinePunct w:val="0"/>
              <w:bidi w:val="0"/>
              <w:spacing w:line="360" w:lineRule="auto"/>
              <w:ind w:firstLine="120" w:firstLineChars="5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A416D1F">
            <w:pPr>
              <w:pageBreakBefore w:val="0"/>
              <w:wordWrap/>
              <w:overflowPunct/>
              <w:topLinePunct w:val="0"/>
              <w:bidi w:val="0"/>
              <w:spacing w:line="360" w:lineRule="auto"/>
              <w:ind w:firstLine="120" w:firstLineChars="5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2、电子化磋商响应文件采用一次加密方式。开标时，由供应商使用CA 证书，在规定时间内对其电子化磋商响应文件进行解密。</w:t>
            </w:r>
            <w:r>
              <w:rPr>
                <w:rFonts w:hint="eastAsia" w:ascii="宋体" w:hAnsi="宋体" w:eastAsia="宋体" w:cs="宋体"/>
                <w:b w:val="0"/>
                <w:bCs w:val="0"/>
                <w:sz w:val="24"/>
                <w:szCs w:val="24"/>
                <w:lang w:eastAsia="zh-CN"/>
              </w:rPr>
              <w:t>每位供应商的解密时间为开始时间起30 分钟内完成</w:t>
            </w:r>
            <w:r>
              <w:rPr>
                <w:rFonts w:hint="eastAsia" w:ascii="宋体" w:hAnsi="宋体" w:eastAsia="宋体" w:cs="宋体"/>
                <w:b w:val="0"/>
                <w:bCs w:val="0"/>
                <w:sz w:val="24"/>
                <w:szCs w:val="24"/>
              </w:rPr>
              <w:t>，如在规定时间内未完成解密的，其磋商响应文件不予开标、唱标。</w:t>
            </w:r>
          </w:p>
          <w:p w14:paraId="358B7D9D">
            <w:pPr>
              <w:pageBreakBefore w:val="0"/>
              <w:wordWrap/>
              <w:overflowPunct/>
              <w:topLinePunct w:val="0"/>
              <w:bidi w:val="0"/>
              <w:spacing w:line="360" w:lineRule="auto"/>
              <w:ind w:firstLine="120" w:firstLineChars="5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3、电子化磋商响应文件解密异常的处理</w:t>
            </w:r>
          </w:p>
          <w:p w14:paraId="0E609E42">
            <w:pPr>
              <w:pageBreakBefore w:val="0"/>
              <w:wordWrap/>
              <w:overflowPunct/>
              <w:topLinePunct w:val="0"/>
              <w:bidi w:val="0"/>
              <w:spacing w:line="360" w:lineRule="auto"/>
              <w:ind w:firstLine="120" w:firstLineChars="5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如出现供应商的电子磋商响应文件无法解密等异常情况，供应商应及时致电</w:t>
            </w:r>
            <w:r>
              <w:rPr>
                <w:rFonts w:hint="eastAsia" w:ascii="宋体" w:hAnsi="宋体" w:eastAsia="宋体" w:cs="宋体"/>
                <w:b w:val="0"/>
                <w:bCs w:val="0"/>
                <w:sz w:val="24"/>
                <w:szCs w:val="24"/>
                <w:lang w:eastAsia="zh-CN"/>
              </w:rPr>
              <w:t>代理机构</w:t>
            </w:r>
            <w:r>
              <w:rPr>
                <w:rFonts w:hint="eastAsia" w:ascii="宋体" w:hAnsi="宋体" w:eastAsia="宋体" w:cs="宋体"/>
                <w:b w:val="0"/>
                <w:bCs w:val="0"/>
                <w:sz w:val="24"/>
                <w:szCs w:val="24"/>
              </w:rPr>
              <w:t>说明。磋商响应文件异常，按以下步骤进行处理：</w:t>
            </w:r>
          </w:p>
          <w:p w14:paraId="3549A972">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（1）首先由技术人员进行问题排查。</w:t>
            </w:r>
          </w:p>
          <w:p w14:paraId="319FC3CB">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（2）经技术人员排查后，是供应商文件自身问题导致磋商响应文件无法解密的，该磋商响应文件将不予接收、解密和唱标。开标会议继续进行。</w:t>
            </w:r>
          </w:p>
          <w:p w14:paraId="622918C8">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（3）经技术人员排查后，如果是电子化交易系统问题造成磋商响应文件无法解密的，将由技术人员对问题进行处理。如短时间内问题无法解决的，将由</w:t>
            </w:r>
            <w:r>
              <w:rPr>
                <w:rFonts w:hint="eastAsia" w:ascii="宋体" w:hAnsi="宋体" w:eastAsia="宋体" w:cs="宋体"/>
                <w:b w:val="0"/>
                <w:bCs w:val="0"/>
                <w:sz w:val="24"/>
                <w:szCs w:val="24"/>
                <w:lang w:eastAsia="zh-CN"/>
              </w:rPr>
              <w:t>代理机构</w:t>
            </w:r>
            <w:r>
              <w:rPr>
                <w:rFonts w:hint="eastAsia" w:ascii="宋体" w:hAnsi="宋体" w:eastAsia="宋体" w:cs="宋体"/>
                <w:b w:val="0"/>
                <w:bCs w:val="0"/>
                <w:sz w:val="24"/>
                <w:szCs w:val="24"/>
              </w:rPr>
              <w:t>向监督部门申请，经监督部门同意后，暂停开标会议，待问题解决后继续开标。</w:t>
            </w:r>
          </w:p>
          <w:p w14:paraId="2673CC62">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4、待所有供应商磋商响应文件解密完成后，由</w:t>
            </w:r>
            <w:r>
              <w:rPr>
                <w:rFonts w:hint="eastAsia" w:ascii="宋体" w:hAnsi="宋体" w:eastAsia="宋体" w:cs="宋体"/>
                <w:b w:val="0"/>
                <w:bCs w:val="0"/>
                <w:sz w:val="24"/>
                <w:szCs w:val="24"/>
                <w:lang w:eastAsia="zh-CN"/>
              </w:rPr>
              <w:t>代理机构</w:t>
            </w:r>
            <w:r>
              <w:rPr>
                <w:rFonts w:hint="eastAsia" w:ascii="宋体" w:hAnsi="宋体" w:eastAsia="宋体" w:cs="宋体"/>
                <w:b w:val="0"/>
                <w:bCs w:val="0"/>
                <w:sz w:val="24"/>
                <w:szCs w:val="24"/>
              </w:rPr>
              <w:t>操作，对所有已解密磋商响应文件进行唱标。</w:t>
            </w:r>
          </w:p>
          <w:p w14:paraId="3CBEA550">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1484AF1F">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5、评标时，磋商小组对电子化磋商响应文件有质疑的，将通过电子化交易系统对供应商发起质疑，并在监督人员的监督下，用免提模式致电需要答复的供应商对质疑进行回复。供应商的回复文件以经过供应商和其法定代表人签章的PDF格式文件为准，</w:t>
            </w:r>
            <w:r>
              <w:rPr>
                <w:rFonts w:hint="eastAsia" w:ascii="宋体" w:hAnsi="宋体" w:eastAsia="宋体" w:cs="宋体"/>
                <w:b w:val="0"/>
                <w:bCs w:val="0"/>
                <w:sz w:val="24"/>
                <w:szCs w:val="24"/>
                <w:lang w:val="en-US" w:eastAsia="zh-CN"/>
              </w:rPr>
              <w:t>并</w:t>
            </w:r>
            <w:r>
              <w:rPr>
                <w:rFonts w:hint="eastAsia" w:ascii="宋体" w:hAnsi="宋体" w:eastAsia="宋体" w:cs="宋体"/>
                <w:b w:val="0"/>
                <w:bCs w:val="0"/>
                <w:sz w:val="24"/>
                <w:szCs w:val="24"/>
              </w:rPr>
              <w:t>通过电子化交易系统提交至磋商小组。</w:t>
            </w:r>
          </w:p>
          <w:p w14:paraId="3A7A54D6">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6、如磋商小组对需要回复的供应商连续三次致电未接通的，视为供应商放弃回复，磋商小组将自行对需要回复的内容进行认定。</w:t>
            </w:r>
          </w:p>
          <w:p w14:paraId="2026F53B">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二、相关证书原件的提交</w:t>
            </w:r>
          </w:p>
          <w:p w14:paraId="2DFD3438">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本项目实行资格后审，以响应文件为准，其上传资料真实性由供应商自行承担，同时，供应商要完善主体库</w:t>
            </w:r>
            <w:r>
              <w:rPr>
                <w:rFonts w:hint="eastAsia" w:ascii="宋体" w:hAnsi="宋体" w:eastAsia="宋体" w:cs="宋体"/>
                <w:b w:val="0"/>
                <w:bCs w:val="0"/>
                <w:sz w:val="24"/>
                <w:szCs w:val="24"/>
                <w:lang w:val="en-US" w:eastAsia="zh-CN"/>
              </w:rPr>
              <w:t>信息</w:t>
            </w:r>
            <w:r>
              <w:rPr>
                <w:rFonts w:hint="eastAsia" w:ascii="宋体" w:hAnsi="宋体" w:eastAsia="宋体" w:cs="宋体"/>
                <w:b w:val="0"/>
                <w:bCs w:val="0"/>
                <w:sz w:val="24"/>
                <w:szCs w:val="24"/>
              </w:rPr>
              <w:t>。</w:t>
            </w:r>
          </w:p>
          <w:p w14:paraId="09017CF5">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磋商小组对原件的核验工作按以下条款进行：</w:t>
            </w:r>
          </w:p>
          <w:p w14:paraId="04539848">
            <w:pPr>
              <w:pageBreakBefore w:val="0"/>
              <w:wordWrap/>
              <w:overflowPunct/>
              <w:topLinePunct w:val="0"/>
              <w:bidi w:val="0"/>
              <w:spacing w:line="360" w:lineRule="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供应商应仔细阅读操作手册，保证上传内容齐全，真实有效，原件扫描件清晰可辨。因供应商原因导致应得分项未得分或资格审查不合格等情况的，由供应商自行承担责任。</w:t>
            </w:r>
          </w:p>
          <w:p w14:paraId="5A6255B0">
            <w:pPr>
              <w:pageBreakBefore w:val="0"/>
              <w:wordWrap/>
              <w:overflowPunct/>
              <w:topLinePunct w:val="0"/>
              <w:bidi w:val="0"/>
              <w:spacing w:line="360" w:lineRule="auto"/>
              <w:outlineLvl w:val="9"/>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sz w:val="24"/>
                <w:szCs w:val="24"/>
              </w:rPr>
              <w:t>提示：本项目为电子化、无纸化交易项目，为保证您能投标成功，请需仔细阅读以上条款。</w:t>
            </w:r>
          </w:p>
        </w:tc>
      </w:tr>
    </w:tbl>
    <w:p w14:paraId="5CB59EF7">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5DA018A4">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287EC414">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39A5689A">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566088CC">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59ED8F10">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203B5277">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084E877C">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73240E93">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301612BE">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4A4A0F84">
      <w:pPr>
        <w:pageBreakBefore w:val="0"/>
        <w:wordWrap/>
        <w:overflowPunct/>
        <w:topLinePunct w:val="0"/>
        <w:bidi w:val="0"/>
        <w:spacing w:line="360" w:lineRule="auto"/>
        <w:outlineLvl w:val="9"/>
        <w:rPr>
          <w:rFonts w:hint="eastAsia" w:ascii="宋体" w:hAnsi="宋体" w:eastAsia="宋体" w:cs="Times New Roman"/>
          <w:b/>
          <w:bCs/>
          <w:sz w:val="24"/>
          <w:szCs w:val="24"/>
        </w:rPr>
      </w:pPr>
    </w:p>
    <w:p w14:paraId="14D93708">
      <w:pPr>
        <w:pageBreakBefore w:val="0"/>
        <w:wordWrap/>
        <w:overflowPunct/>
        <w:topLinePunct w:val="0"/>
        <w:bidi w:val="0"/>
        <w:spacing w:line="360" w:lineRule="auto"/>
        <w:outlineLvl w:val="9"/>
        <w:rPr>
          <w:rFonts w:hint="eastAsia" w:ascii="宋体" w:hAnsi="宋体" w:eastAsia="宋体" w:cs="宋体"/>
          <w:b/>
          <w:bCs/>
          <w:sz w:val="24"/>
          <w:szCs w:val="24"/>
        </w:rPr>
      </w:pPr>
      <w:r>
        <w:rPr>
          <w:rFonts w:hint="eastAsia" w:ascii="宋体" w:hAnsi="宋体" w:eastAsia="宋体" w:cs="宋体"/>
          <w:b/>
          <w:bCs/>
          <w:sz w:val="24"/>
          <w:szCs w:val="24"/>
        </w:rPr>
        <w:t>总</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则</w:t>
      </w:r>
    </w:p>
    <w:p w14:paraId="635BF85B">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1、项目概况</w:t>
      </w:r>
    </w:p>
    <w:p w14:paraId="258C6A36">
      <w:pPr>
        <w:pageBreakBefore w:val="0"/>
        <w:wordWrap/>
        <w:overflowPunct/>
        <w:topLinePunct w:val="0"/>
        <w:autoSpaceDE w:val="0"/>
        <w:autoSpaceDN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1.1采购范围：详见</w:t>
      </w:r>
      <w:r>
        <w:rPr>
          <w:rFonts w:hint="eastAsia" w:ascii="宋体" w:hAnsi="宋体" w:eastAsia="宋体" w:cs="宋体"/>
          <w:kern w:val="0"/>
          <w:sz w:val="24"/>
          <w:szCs w:val="24"/>
        </w:rPr>
        <w:t>供应商须知前附表</w:t>
      </w:r>
      <w:r>
        <w:rPr>
          <w:rFonts w:hint="eastAsia" w:ascii="宋体" w:hAnsi="宋体" w:eastAsia="宋体" w:cs="宋体"/>
          <w:sz w:val="24"/>
          <w:szCs w:val="24"/>
        </w:rPr>
        <w:t>。</w:t>
      </w:r>
    </w:p>
    <w:p w14:paraId="56396ECB">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1.2资金来源：详见</w:t>
      </w:r>
      <w:r>
        <w:rPr>
          <w:rFonts w:hint="eastAsia" w:ascii="宋体" w:hAnsi="宋体" w:eastAsia="宋体" w:cs="宋体"/>
          <w:kern w:val="0"/>
          <w:sz w:val="24"/>
          <w:szCs w:val="24"/>
        </w:rPr>
        <w:t>供应商须知前附表</w:t>
      </w:r>
      <w:r>
        <w:rPr>
          <w:rFonts w:hint="eastAsia" w:ascii="宋体" w:hAnsi="宋体" w:eastAsia="宋体" w:cs="宋体"/>
          <w:sz w:val="24"/>
          <w:szCs w:val="24"/>
        </w:rPr>
        <w:t>。</w:t>
      </w:r>
    </w:p>
    <w:p w14:paraId="1EAB77D7">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1.3质量要求：详见</w:t>
      </w:r>
      <w:r>
        <w:rPr>
          <w:rFonts w:hint="eastAsia" w:ascii="宋体" w:hAnsi="宋体" w:eastAsia="宋体" w:cs="宋体"/>
          <w:kern w:val="0"/>
          <w:sz w:val="24"/>
          <w:szCs w:val="24"/>
        </w:rPr>
        <w:t>供应商须知前附表</w:t>
      </w:r>
      <w:r>
        <w:rPr>
          <w:rFonts w:hint="eastAsia" w:ascii="宋体" w:hAnsi="宋体" w:eastAsia="宋体" w:cs="宋体"/>
          <w:sz w:val="24"/>
          <w:szCs w:val="24"/>
        </w:rPr>
        <w:t>。</w:t>
      </w:r>
    </w:p>
    <w:p w14:paraId="1DA1000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服务周期</w:t>
      </w:r>
      <w:r>
        <w:rPr>
          <w:rFonts w:hint="eastAsia" w:ascii="宋体" w:hAnsi="宋体" w:eastAsia="宋体" w:cs="宋体"/>
          <w:sz w:val="24"/>
          <w:szCs w:val="24"/>
        </w:rPr>
        <w:t>：详见</w:t>
      </w:r>
      <w:r>
        <w:rPr>
          <w:rFonts w:hint="eastAsia" w:ascii="宋体" w:hAnsi="宋体" w:eastAsia="宋体" w:cs="宋体"/>
          <w:kern w:val="0"/>
          <w:sz w:val="24"/>
          <w:szCs w:val="24"/>
        </w:rPr>
        <w:t>供应商须知前附表</w:t>
      </w:r>
      <w:r>
        <w:rPr>
          <w:rFonts w:hint="eastAsia" w:ascii="宋体" w:hAnsi="宋体" w:eastAsia="宋体" w:cs="宋体"/>
          <w:sz w:val="24"/>
          <w:szCs w:val="24"/>
        </w:rPr>
        <w:t>。</w:t>
      </w:r>
    </w:p>
    <w:p w14:paraId="75DFD51D">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1.5服务地点：详见供应商须知前附表。</w:t>
      </w:r>
    </w:p>
    <w:p w14:paraId="3CF2A986">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2、合格的</w:t>
      </w:r>
      <w:r>
        <w:rPr>
          <w:rFonts w:hint="eastAsia" w:ascii="宋体" w:hAnsi="宋体" w:eastAsia="宋体" w:cs="宋体"/>
          <w:b/>
          <w:bCs/>
          <w:sz w:val="24"/>
          <w:szCs w:val="24"/>
          <w:lang w:eastAsia="zh-CN"/>
        </w:rPr>
        <w:t>供应商</w:t>
      </w:r>
    </w:p>
    <w:p w14:paraId="3AA21DC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sz w:val="24"/>
          <w:szCs w:val="24"/>
        </w:rPr>
        <w:t>详见</w:t>
      </w:r>
      <w:r>
        <w:rPr>
          <w:rFonts w:hint="eastAsia" w:ascii="宋体" w:hAnsi="宋体" w:eastAsia="宋体" w:cs="宋体"/>
          <w:kern w:val="0"/>
          <w:sz w:val="24"/>
          <w:szCs w:val="24"/>
        </w:rPr>
        <w:t>供应商须知前附表</w:t>
      </w:r>
    </w:p>
    <w:p w14:paraId="19ED4720">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3、费用</w:t>
      </w:r>
    </w:p>
    <w:p w14:paraId="2CDADF72">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供应商</w:t>
      </w:r>
      <w:r>
        <w:rPr>
          <w:rFonts w:hint="eastAsia" w:ascii="宋体" w:hAnsi="宋体" w:eastAsia="宋体" w:cs="宋体"/>
          <w:sz w:val="24"/>
          <w:szCs w:val="24"/>
        </w:rPr>
        <w:t>应自行承担参加磋商活动有关的全部费用，采购人在任何情况下均无义务和责任承担上述费用。</w:t>
      </w:r>
    </w:p>
    <w:p w14:paraId="54E7B3DA">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4、竞争性磋商文件的构成</w:t>
      </w:r>
    </w:p>
    <w:p w14:paraId="5AD5CCE0">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第一章  竞争性磋商公告</w:t>
      </w:r>
    </w:p>
    <w:p w14:paraId="000B425D">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第二章  供应商须知</w:t>
      </w:r>
    </w:p>
    <w:p w14:paraId="75B2BD8A">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第三章  评标办法</w:t>
      </w:r>
    </w:p>
    <w:p w14:paraId="40DEA1AD">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第四章  合同主要条款及格式</w:t>
      </w:r>
    </w:p>
    <w:p w14:paraId="004B0042">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第五章  服务需求</w:t>
      </w:r>
    </w:p>
    <w:p w14:paraId="5465A88E">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第六章  电子化响应文件内容及格式</w:t>
      </w:r>
    </w:p>
    <w:p w14:paraId="3903CDBD">
      <w:pPr>
        <w:pageBreakBefore w:val="0"/>
        <w:wordWrap/>
        <w:overflowPunct/>
        <w:topLinePunct w:val="0"/>
        <w:bidi w:val="0"/>
        <w:adjustRightInd w:val="0"/>
        <w:snapToGrid w:val="0"/>
        <w:spacing w:line="360" w:lineRule="auto"/>
        <w:ind w:firstLine="482" w:firstLineChars="200"/>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rPr>
        <w:t>5、竞争性磋商文件的澄清</w:t>
      </w:r>
      <w:r>
        <w:rPr>
          <w:rFonts w:hint="eastAsia" w:ascii="宋体" w:hAnsi="宋体" w:eastAsia="宋体" w:cs="宋体"/>
          <w:b/>
          <w:bCs/>
          <w:sz w:val="24"/>
          <w:szCs w:val="24"/>
          <w:lang w:val="en-US" w:eastAsia="zh-CN"/>
        </w:rPr>
        <w:t>和修改</w:t>
      </w:r>
    </w:p>
    <w:p w14:paraId="6BC26402">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w:t>
      </w:r>
      <w:r>
        <w:rPr>
          <w:rFonts w:hint="eastAsia" w:ascii="宋体" w:hAnsi="宋体" w:eastAsia="宋体" w:cs="宋体"/>
          <w:sz w:val="24"/>
          <w:szCs w:val="24"/>
          <w:lang w:val="en-US" w:eastAsia="zh-CN"/>
        </w:rPr>
        <w:t>公告</w:t>
      </w:r>
      <w:r>
        <w:rPr>
          <w:rFonts w:hint="eastAsia" w:ascii="宋体" w:hAnsi="宋体" w:eastAsia="宋体" w:cs="宋体"/>
          <w:sz w:val="24"/>
          <w:szCs w:val="24"/>
        </w:rPr>
        <w:t>形式通知所有获取磋商文件的供应商；不足5日的，采购人、采购代理机构应当顺延提交首次响应文件截止时间。</w:t>
      </w:r>
    </w:p>
    <w:p w14:paraId="12D1F74B">
      <w:pPr>
        <w:pageBreakBefore w:val="0"/>
        <w:wordWrap/>
        <w:overflowPunct/>
        <w:topLinePunct w:val="0"/>
        <w:bidi w:val="0"/>
        <w:adjustRightInd w:val="0"/>
        <w:snapToGrid w:val="0"/>
        <w:spacing w:line="360" w:lineRule="auto"/>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5.2供应商应及时关注交易澄清公告发布动态</w:t>
      </w:r>
      <w:r>
        <w:rPr>
          <w:rFonts w:hint="eastAsia" w:ascii="宋体" w:hAnsi="宋体" w:eastAsia="宋体" w:cs="宋体"/>
          <w:sz w:val="24"/>
          <w:szCs w:val="24"/>
        </w:rPr>
        <w:t>。</w:t>
      </w:r>
      <w:r>
        <w:rPr>
          <w:rFonts w:hint="eastAsia" w:ascii="宋体" w:hAnsi="宋体" w:eastAsia="宋体" w:cs="宋体"/>
          <w:sz w:val="24"/>
          <w:szCs w:val="24"/>
          <w:lang w:val="en-US" w:eastAsia="zh-CN"/>
        </w:rPr>
        <w:t>澄清或修改公告已经发出，采购人即默认为各潜在供应商均已知悉。</w:t>
      </w:r>
    </w:p>
    <w:p w14:paraId="6DF102AF">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磋商响应文件编制</w:t>
      </w:r>
      <w:r>
        <w:rPr>
          <w:rFonts w:hint="eastAsia" w:ascii="宋体" w:hAnsi="宋体" w:eastAsia="宋体" w:cs="宋体"/>
          <w:b/>
          <w:bCs/>
          <w:sz w:val="24"/>
          <w:szCs w:val="24"/>
        </w:rPr>
        <w:t>要求</w:t>
      </w:r>
    </w:p>
    <w:p w14:paraId="6B3D9CDA">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应仔细阅读竞争性磋商文件的所有内容，按竞争性磋商文件的要求提供磋商响应文件，并保证所提供资料的真实性，以使其磋商响应文件对竞争性磋商文件作出实质性响应，否则，其磋商响应文件不予接受。</w:t>
      </w:r>
    </w:p>
    <w:p w14:paraId="0012DFE4">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、电子化磋商响应文件的组成</w:t>
      </w:r>
    </w:p>
    <w:p w14:paraId="452B7D22">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（1）磋商函及磋商函附录；</w:t>
      </w:r>
    </w:p>
    <w:p w14:paraId="7F482C33">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（2）法定代表人身份证明；</w:t>
      </w:r>
    </w:p>
    <w:p w14:paraId="6E3D0252">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（3）授权委托书；</w:t>
      </w:r>
    </w:p>
    <w:p w14:paraId="40403181">
      <w:pPr>
        <w:keepNext/>
        <w:pageBreakBefore w:val="0"/>
        <w:wordWrap/>
        <w:overflowPunct/>
        <w:topLinePunct w:val="0"/>
        <w:bidi w:val="0"/>
        <w:adjustRightInd w:val="0"/>
        <w:snapToGrid w:val="0"/>
        <w:spacing w:line="360" w:lineRule="auto"/>
        <w:ind w:firstLine="480" w:firstLineChars="200"/>
        <w:jc w:val="left"/>
        <w:textAlignment w:val="baseline"/>
        <w:outlineLvl w:val="9"/>
        <w:rPr>
          <w:rFonts w:hint="eastAsia" w:ascii="宋体" w:hAnsi="宋体" w:eastAsia="宋体" w:cs="宋体"/>
          <w:kern w:val="0"/>
          <w:sz w:val="24"/>
          <w:szCs w:val="24"/>
        </w:rPr>
      </w:pPr>
      <w:r>
        <w:rPr>
          <w:rFonts w:hint="eastAsia" w:ascii="宋体" w:hAnsi="宋体" w:eastAsia="宋体" w:cs="宋体"/>
          <w:kern w:val="0"/>
          <w:sz w:val="24"/>
          <w:szCs w:val="24"/>
        </w:rPr>
        <w:t>（4）响应承诺函；</w:t>
      </w:r>
    </w:p>
    <w:p w14:paraId="68A471C4">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（5）拟派管理和实施本项目主要人员；</w:t>
      </w:r>
    </w:p>
    <w:p w14:paraId="7D845B83">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（6）资格证明文件；</w:t>
      </w:r>
    </w:p>
    <w:p w14:paraId="29CA286F">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（7）服务方案；</w:t>
      </w:r>
    </w:p>
    <w:p w14:paraId="126801BD">
      <w:pPr>
        <w:pageBreakBefore w:val="0"/>
        <w:wordWrap/>
        <w:overflowPunct/>
        <w:topLinePunct w:val="0"/>
        <w:autoSpaceDE w:val="0"/>
        <w:autoSpaceDN w:val="0"/>
        <w:bidi w:val="0"/>
        <w:adjustRightInd w:val="0"/>
        <w:snapToGrid w:val="0"/>
        <w:spacing w:line="360" w:lineRule="auto"/>
        <w:ind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（8）供应商可提交的其他资料；</w:t>
      </w:r>
    </w:p>
    <w:p w14:paraId="4C28CA7E">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、电子化磋商响应文件的格式</w:t>
      </w:r>
    </w:p>
    <w:p w14:paraId="1776A0F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257A8EB">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、电子化磋商响应文件的签署</w:t>
      </w:r>
    </w:p>
    <w:p w14:paraId="74962E1B">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在进行电子化磋商响应文件签章时，</w:t>
      </w:r>
      <w:r>
        <w:rPr>
          <w:rFonts w:hint="eastAsia" w:ascii="宋体" w:hAnsi="宋体" w:eastAsia="宋体" w:cs="宋体"/>
          <w:sz w:val="24"/>
          <w:szCs w:val="24"/>
          <w:lang w:eastAsia="zh-CN"/>
        </w:rPr>
        <w:t>竞争性磋商文件中要求供应商盖章的，以签盖单位电子公章为准</w:t>
      </w:r>
      <w:r>
        <w:rPr>
          <w:rFonts w:hint="eastAsia" w:ascii="宋体" w:hAnsi="宋体" w:eastAsia="宋体" w:cs="宋体"/>
          <w:sz w:val="24"/>
          <w:szCs w:val="24"/>
        </w:rPr>
        <w:t>；</w:t>
      </w:r>
      <w:r>
        <w:rPr>
          <w:rFonts w:hint="eastAsia" w:ascii="宋体" w:hAnsi="宋体" w:eastAsia="宋体" w:cs="宋体"/>
          <w:sz w:val="24"/>
          <w:szCs w:val="24"/>
          <w:lang w:eastAsia="zh-CN"/>
        </w:rPr>
        <w:t>要求法定代表人或授权代理人签章的，以签盖法定代表人电子印章为准</w:t>
      </w:r>
      <w:r>
        <w:rPr>
          <w:rFonts w:hint="eastAsia" w:ascii="宋体" w:hAnsi="宋体" w:eastAsia="宋体" w:cs="宋体"/>
          <w:sz w:val="24"/>
          <w:szCs w:val="24"/>
        </w:rPr>
        <w:t>。</w:t>
      </w:r>
    </w:p>
    <w:p w14:paraId="780DC4C7">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、电子化磋商响应文件的上传</w:t>
      </w:r>
    </w:p>
    <w:p w14:paraId="3F17A1A7">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电子化磋商响应文件应在投标截止时间前成功上传至三门峡市公共资源电子化交易系统。至投标截止时间止，仍未上传成功的电子化磋商响应文件将不予接收。</w:t>
      </w:r>
    </w:p>
    <w:p w14:paraId="09FC38B9">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3076000A">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、磋商</w:t>
      </w:r>
      <w:r>
        <w:rPr>
          <w:rFonts w:hint="eastAsia" w:ascii="宋体" w:hAnsi="宋体" w:eastAsia="宋体" w:cs="宋体"/>
          <w:b/>
          <w:bCs/>
          <w:sz w:val="24"/>
          <w:szCs w:val="24"/>
          <w:lang w:val="en-US" w:eastAsia="zh-CN"/>
        </w:rPr>
        <w:t>响应文件递交</w:t>
      </w:r>
      <w:r>
        <w:rPr>
          <w:rFonts w:hint="eastAsia" w:ascii="宋体" w:hAnsi="宋体" w:eastAsia="宋体" w:cs="宋体"/>
          <w:b/>
          <w:bCs/>
          <w:sz w:val="24"/>
          <w:szCs w:val="24"/>
        </w:rPr>
        <w:t>截止时间</w:t>
      </w:r>
    </w:p>
    <w:p w14:paraId="09A1A43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电子化磋商响应文件的</w:t>
      </w:r>
      <w:r>
        <w:rPr>
          <w:rFonts w:hint="eastAsia" w:ascii="宋体" w:hAnsi="宋体" w:eastAsia="宋体" w:cs="宋体"/>
          <w:sz w:val="24"/>
          <w:szCs w:val="24"/>
          <w:lang w:val="en-US" w:eastAsia="zh-CN"/>
        </w:rPr>
        <w:t>递交</w:t>
      </w:r>
      <w:r>
        <w:rPr>
          <w:rFonts w:hint="eastAsia" w:ascii="宋体" w:hAnsi="宋体" w:eastAsia="宋体" w:cs="宋体"/>
          <w:sz w:val="24"/>
          <w:szCs w:val="24"/>
        </w:rPr>
        <w:t>截止时间见本须知前附表规定。</w:t>
      </w:r>
    </w:p>
    <w:p w14:paraId="09CB1223">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、电子化磋商响应文件的补充、修改与撤回</w:t>
      </w:r>
    </w:p>
    <w:p w14:paraId="20773FC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在磋商截止时间之后，</w:t>
      </w:r>
      <w:r>
        <w:rPr>
          <w:rFonts w:hint="eastAsia" w:ascii="宋体" w:hAnsi="宋体" w:eastAsia="宋体" w:cs="宋体"/>
          <w:sz w:val="24"/>
          <w:szCs w:val="24"/>
          <w:lang w:eastAsia="zh-CN"/>
        </w:rPr>
        <w:t>供应商</w:t>
      </w:r>
      <w:r>
        <w:rPr>
          <w:rFonts w:hint="eastAsia" w:ascii="宋体" w:hAnsi="宋体" w:eastAsia="宋体" w:cs="宋体"/>
          <w:sz w:val="24"/>
          <w:szCs w:val="24"/>
        </w:rPr>
        <w:t>不得补充、修改电子化磋商响应文件。</w:t>
      </w:r>
    </w:p>
    <w:p w14:paraId="4A82AE96">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sz w:val="24"/>
          <w:szCs w:val="24"/>
          <w:lang w:eastAsia="zh-CN"/>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、磋商报价</w:t>
      </w:r>
    </w:p>
    <w:p w14:paraId="638E4BC9">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.1本次磋商采购的均须以人民币为计算单位。</w:t>
      </w:r>
    </w:p>
    <w:p w14:paraId="5C0013DA">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.2本项目应以人民币报价，供应商应就该项目完整投标（报价、服务、税费、售后服务等综合费用），采购人不另外支付其他任何费用；</w:t>
      </w:r>
    </w:p>
    <w:p w14:paraId="36E9BAA0">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.3 </w:t>
      </w:r>
      <w:r>
        <w:rPr>
          <w:rFonts w:hint="eastAsia" w:ascii="宋体" w:hAnsi="宋体" w:eastAsia="宋体" w:cs="宋体"/>
          <w:sz w:val="24"/>
          <w:szCs w:val="24"/>
          <w:lang w:eastAsia="zh-CN"/>
        </w:rPr>
        <w:t>供应商</w:t>
      </w:r>
      <w:r>
        <w:rPr>
          <w:rFonts w:hint="eastAsia" w:ascii="宋体" w:hAnsi="宋体" w:eastAsia="宋体" w:cs="宋体"/>
          <w:sz w:val="24"/>
          <w:szCs w:val="24"/>
        </w:rPr>
        <w:t>应充分考虑市场风险和国家政策性风险系数，根据企业具体情况在合理的范围内自主报价，但不得低于企业实际成本。</w:t>
      </w:r>
    </w:p>
    <w:p w14:paraId="49C1095C">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.4</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val="en-US" w:eastAsia="zh-CN"/>
        </w:rPr>
        <w:t>在其响应文件或每轮磋商中</w:t>
      </w:r>
      <w:r>
        <w:rPr>
          <w:rFonts w:hint="eastAsia" w:ascii="宋体" w:hAnsi="宋体" w:eastAsia="宋体" w:cs="宋体"/>
          <w:kern w:val="0"/>
          <w:sz w:val="24"/>
          <w:szCs w:val="24"/>
        </w:rPr>
        <w:t>只能提出一个报价，采购人不接受任何</w:t>
      </w:r>
      <w:r>
        <w:rPr>
          <w:rFonts w:hint="eastAsia" w:ascii="宋体" w:hAnsi="宋体" w:eastAsia="宋体" w:cs="宋体"/>
          <w:kern w:val="0"/>
          <w:sz w:val="24"/>
          <w:szCs w:val="24"/>
          <w:lang w:val="en-US" w:eastAsia="zh-CN"/>
        </w:rPr>
        <w:t>可</w:t>
      </w:r>
      <w:r>
        <w:rPr>
          <w:rFonts w:hint="eastAsia" w:ascii="宋体" w:hAnsi="宋体" w:eastAsia="宋体" w:cs="宋体"/>
          <w:kern w:val="0"/>
          <w:sz w:val="24"/>
          <w:szCs w:val="24"/>
        </w:rPr>
        <w:t>选择</w:t>
      </w:r>
      <w:r>
        <w:rPr>
          <w:rFonts w:hint="eastAsia" w:ascii="宋体" w:hAnsi="宋体" w:eastAsia="宋体" w:cs="宋体"/>
          <w:kern w:val="0"/>
          <w:sz w:val="24"/>
          <w:szCs w:val="24"/>
          <w:lang w:val="en-US" w:eastAsia="zh-CN"/>
        </w:rPr>
        <w:t>性</w:t>
      </w:r>
      <w:r>
        <w:rPr>
          <w:rFonts w:hint="eastAsia" w:ascii="宋体" w:hAnsi="宋体" w:eastAsia="宋体" w:cs="宋体"/>
          <w:kern w:val="0"/>
          <w:sz w:val="24"/>
          <w:szCs w:val="24"/>
        </w:rPr>
        <w:t>的报价，最后报价不得超过项目招标控制价。</w:t>
      </w:r>
    </w:p>
    <w:p w14:paraId="5149BF3C">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.5</w:t>
      </w:r>
      <w:r>
        <w:rPr>
          <w:rFonts w:hint="eastAsia" w:ascii="宋体" w:hAnsi="宋体" w:eastAsia="宋体" w:cs="宋体"/>
          <w:sz w:val="24"/>
          <w:szCs w:val="24"/>
          <w:lang w:eastAsia="zh-CN"/>
        </w:rPr>
        <w:t>供应商</w:t>
      </w:r>
      <w:r>
        <w:rPr>
          <w:rFonts w:hint="eastAsia" w:ascii="宋体" w:hAnsi="宋体" w:eastAsia="宋体" w:cs="宋体"/>
          <w:sz w:val="24"/>
          <w:szCs w:val="24"/>
        </w:rPr>
        <w:t>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1F064114">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.6本次采购为</w:t>
      </w:r>
      <w:r>
        <w:rPr>
          <w:rFonts w:hint="eastAsia" w:ascii="宋体" w:hAnsi="宋体" w:eastAsia="宋体" w:cs="宋体"/>
          <w:sz w:val="24"/>
          <w:szCs w:val="24"/>
          <w:lang w:val="en-US" w:eastAsia="zh-CN"/>
        </w:rPr>
        <w:t>多轮</w:t>
      </w:r>
      <w:r>
        <w:rPr>
          <w:rFonts w:hint="eastAsia" w:ascii="宋体" w:hAnsi="宋体" w:eastAsia="宋体" w:cs="宋体"/>
          <w:sz w:val="24"/>
          <w:szCs w:val="24"/>
        </w:rPr>
        <w:t>磋商，</w:t>
      </w:r>
      <w:r>
        <w:rPr>
          <w:rFonts w:hint="eastAsia" w:ascii="宋体" w:hAnsi="宋体" w:eastAsia="宋体" w:cs="宋体"/>
          <w:sz w:val="24"/>
          <w:szCs w:val="24"/>
          <w:lang w:val="en-US" w:eastAsia="zh-CN"/>
        </w:rPr>
        <w:t>最后</w:t>
      </w:r>
      <w:r>
        <w:rPr>
          <w:rFonts w:hint="eastAsia" w:ascii="宋体" w:hAnsi="宋体" w:eastAsia="宋体" w:cs="宋体"/>
          <w:sz w:val="24"/>
          <w:szCs w:val="24"/>
        </w:rPr>
        <w:t>报价</w:t>
      </w:r>
      <w:r>
        <w:rPr>
          <w:rFonts w:hint="eastAsia" w:ascii="宋体" w:hAnsi="宋体" w:eastAsia="宋体" w:cs="宋体"/>
          <w:sz w:val="24"/>
          <w:szCs w:val="24"/>
          <w:lang w:val="en-US" w:eastAsia="zh-CN"/>
        </w:rPr>
        <w:t>制</w:t>
      </w:r>
      <w:r>
        <w:rPr>
          <w:rFonts w:hint="eastAsia" w:ascii="宋体" w:hAnsi="宋体" w:eastAsia="宋体" w:cs="宋体"/>
          <w:sz w:val="24"/>
          <w:szCs w:val="24"/>
        </w:rPr>
        <w:t>。</w:t>
      </w:r>
    </w:p>
    <w:p w14:paraId="734D160B">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资格</w:t>
      </w:r>
      <w:r>
        <w:rPr>
          <w:rFonts w:hint="eastAsia" w:ascii="宋体" w:hAnsi="宋体" w:eastAsia="宋体" w:cs="宋体"/>
          <w:b/>
          <w:bCs/>
          <w:sz w:val="24"/>
          <w:szCs w:val="24"/>
          <w:lang w:val="en-US" w:eastAsia="zh-CN"/>
        </w:rPr>
        <w:t>证明文件</w:t>
      </w:r>
      <w:r>
        <w:rPr>
          <w:rFonts w:hint="eastAsia" w:ascii="宋体" w:hAnsi="宋体" w:eastAsia="宋体" w:cs="宋体"/>
          <w:b/>
          <w:bCs/>
          <w:sz w:val="24"/>
          <w:szCs w:val="24"/>
        </w:rPr>
        <w:tab/>
      </w:r>
    </w:p>
    <w:p w14:paraId="42C0B54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供应商资格审查内容以供应商在其响应文件“资格</w:t>
      </w:r>
      <w:r>
        <w:rPr>
          <w:rFonts w:hint="eastAsia" w:ascii="宋体" w:hAnsi="宋体" w:eastAsia="宋体" w:cs="宋体"/>
          <w:sz w:val="24"/>
          <w:szCs w:val="24"/>
          <w:lang w:val="en-US" w:eastAsia="zh-CN"/>
        </w:rPr>
        <w:t>证明文件</w:t>
      </w:r>
      <w:r>
        <w:rPr>
          <w:rFonts w:hint="eastAsia" w:ascii="宋体" w:hAnsi="宋体" w:eastAsia="宋体" w:cs="宋体"/>
          <w:sz w:val="24"/>
          <w:szCs w:val="24"/>
        </w:rPr>
        <w:t>”中上传的信息为准。供应商上传的信息资料扫描件必须清晰可辨、真实有效（供应商对其真实性负责）。否则，由此造成的资格审查不合格或应得分而未得分等情况的，由供应商承担责任。</w:t>
      </w:r>
    </w:p>
    <w:p w14:paraId="7081BDE1">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供应商应及时维护、完善、更新主体信息库信息</w:t>
      </w:r>
      <w:r>
        <w:rPr>
          <w:rFonts w:hint="eastAsia" w:ascii="宋体" w:hAnsi="宋体" w:eastAsia="宋体" w:cs="宋体"/>
          <w:sz w:val="24"/>
          <w:szCs w:val="24"/>
        </w:rPr>
        <w:t>。项目开标时间起，至评审结束，信息库将处于锁定状态。如连续投报多个项目，信息库锁定时间也将延长。</w:t>
      </w:r>
    </w:p>
    <w:p w14:paraId="0A4E36E2">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具体操作详见《三门峡市公共资源交易市场主体（供应商）信息库操作手册》。链接地址：http://gzjy.smx.gov.cn/fwzn/004003/20200325/b13aa3fa-a543-403f-b537-82cb417132bd.html</w:t>
      </w:r>
    </w:p>
    <w:p w14:paraId="4CC4942E">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、磋商响应文件有效期</w:t>
      </w:r>
    </w:p>
    <w:p w14:paraId="48B39F9F">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.1响应性文件从首次递交竞争性磋商响应文件截止时间之日起开始生效，</w:t>
      </w:r>
      <w:r>
        <w:rPr>
          <w:rFonts w:hint="eastAsia" w:ascii="宋体" w:hAnsi="宋体" w:eastAsia="宋体" w:cs="宋体"/>
          <w:sz w:val="24"/>
          <w:szCs w:val="24"/>
          <w:lang w:eastAsia="zh-CN"/>
        </w:rPr>
        <w:t>投标有效期</w:t>
      </w:r>
      <w:r>
        <w:rPr>
          <w:rFonts w:hint="eastAsia" w:ascii="宋体" w:hAnsi="宋体" w:eastAsia="宋体" w:cs="宋体"/>
          <w:sz w:val="24"/>
          <w:szCs w:val="24"/>
        </w:rPr>
        <w:t>为</w:t>
      </w:r>
      <w:r>
        <w:rPr>
          <w:rFonts w:hint="eastAsia" w:ascii="宋体" w:hAnsi="宋体" w:eastAsia="宋体" w:cs="宋体"/>
          <w:sz w:val="24"/>
          <w:szCs w:val="24"/>
          <w:lang w:val="en-US" w:eastAsia="zh-CN"/>
        </w:rPr>
        <w:t>60日历天</w:t>
      </w:r>
      <w:r>
        <w:rPr>
          <w:rFonts w:hint="eastAsia" w:ascii="宋体" w:hAnsi="宋体" w:eastAsia="宋体" w:cs="宋体"/>
          <w:sz w:val="24"/>
          <w:szCs w:val="24"/>
        </w:rPr>
        <w:t>（从投标截止之日算起），</w:t>
      </w:r>
      <w:r>
        <w:rPr>
          <w:rFonts w:hint="eastAsia" w:ascii="宋体" w:hAnsi="宋体" w:eastAsia="宋体" w:cs="宋体"/>
          <w:sz w:val="24"/>
          <w:szCs w:val="24"/>
          <w:lang w:val="en-US" w:eastAsia="zh-CN"/>
        </w:rPr>
        <w:t>投标</w:t>
      </w:r>
      <w:r>
        <w:rPr>
          <w:rFonts w:hint="eastAsia" w:ascii="宋体" w:hAnsi="宋体" w:eastAsia="宋体" w:cs="宋体"/>
          <w:sz w:val="24"/>
          <w:szCs w:val="24"/>
        </w:rPr>
        <w:t>有效期</w:t>
      </w:r>
      <w:r>
        <w:rPr>
          <w:rFonts w:hint="eastAsia" w:ascii="宋体" w:hAnsi="宋体" w:eastAsia="宋体" w:cs="宋体"/>
          <w:sz w:val="24"/>
          <w:szCs w:val="24"/>
          <w:lang w:val="en-US" w:eastAsia="zh-CN"/>
        </w:rPr>
        <w:t>少</w:t>
      </w:r>
      <w:r>
        <w:rPr>
          <w:rFonts w:hint="eastAsia" w:ascii="宋体" w:hAnsi="宋体" w:eastAsia="宋体" w:cs="宋体"/>
          <w:sz w:val="24"/>
          <w:szCs w:val="24"/>
        </w:rPr>
        <w:t>于此规定的响应文件将被视为无效文件。</w:t>
      </w:r>
    </w:p>
    <w:p w14:paraId="2D1CB453">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15.2 </w:t>
      </w:r>
      <w:r>
        <w:rPr>
          <w:rFonts w:hint="eastAsia" w:ascii="宋体" w:hAnsi="宋体" w:eastAsia="宋体" w:cs="宋体"/>
          <w:sz w:val="24"/>
          <w:szCs w:val="24"/>
        </w:rPr>
        <w:t>在投标有效期内，供应商不得要求撤销或修改其磋商响应文件。</w:t>
      </w:r>
    </w:p>
    <w:p w14:paraId="25B9D390">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出现特殊情况需要延长投标有效期的，采购人以书面形式通知所有供应商延长投标有效期。供应商同意延长的，不得要求或被允许修改或撤销其磋商响应文件；供应商拒绝延长的，其竞标失效。</w:t>
      </w:r>
    </w:p>
    <w:p w14:paraId="6737B473">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、磋商</w:t>
      </w:r>
      <w:r>
        <w:rPr>
          <w:rFonts w:hint="eastAsia" w:ascii="宋体" w:hAnsi="宋体" w:eastAsia="宋体" w:cs="宋体"/>
          <w:b/>
          <w:bCs/>
          <w:sz w:val="24"/>
          <w:szCs w:val="24"/>
          <w:lang w:val="en-US" w:eastAsia="zh-CN"/>
        </w:rPr>
        <w:t>开标</w:t>
      </w:r>
    </w:p>
    <w:p w14:paraId="76FDCCA2">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F694B37">
      <w:pPr>
        <w:pageBreakBefore w:val="0"/>
        <w:wordWrap/>
        <w:overflowPunct/>
        <w:topLinePunct w:val="0"/>
        <w:bidi w:val="0"/>
        <w:adjustRightInd w:val="0"/>
        <w:snapToGrid w:val="0"/>
        <w:spacing w:line="360" w:lineRule="auto"/>
        <w:ind w:firstLine="480" w:firstLineChars="200"/>
        <w:outlineLvl w:val="9"/>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.2 电子化磋商响应文件采用一次加密方式。开标时，由供应商使用CA 证书，在规定时间内对其电子化磋商响应文件进行解密。</w:t>
      </w:r>
      <w:r>
        <w:rPr>
          <w:rFonts w:hint="eastAsia" w:ascii="宋体" w:hAnsi="宋体" w:eastAsia="宋体" w:cs="宋体"/>
          <w:sz w:val="24"/>
          <w:szCs w:val="24"/>
          <w:lang w:eastAsia="zh-CN"/>
        </w:rPr>
        <w:t>每位供应商的解密时间为开始时间起30 分钟内完成</w:t>
      </w:r>
      <w:r>
        <w:rPr>
          <w:rFonts w:hint="eastAsia" w:ascii="宋体" w:hAnsi="宋体" w:eastAsia="宋体" w:cs="宋体"/>
          <w:sz w:val="24"/>
          <w:szCs w:val="24"/>
        </w:rPr>
        <w:t>，如在规定时间内未完成解密的，其磋商响应文件不予开标、唱标。</w:t>
      </w:r>
      <w:r>
        <w:rPr>
          <w:rFonts w:hint="eastAsia" w:ascii="宋体" w:hAnsi="宋体" w:eastAsia="宋体" w:cs="宋体"/>
          <w:sz w:val="24"/>
          <w:szCs w:val="24"/>
          <w:lang w:val="en-US" w:eastAsia="zh-CN"/>
        </w:rPr>
        <w:t>按要求完成响应文件解密的供应商不足3家的，不得进行评标。</w:t>
      </w:r>
    </w:p>
    <w:p w14:paraId="5D6209B5">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.3 电子化磋商响应文件解密异常的处理</w:t>
      </w:r>
    </w:p>
    <w:p w14:paraId="4DE77D61">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如出现供应商的电子磋商响应文件无法解密等异常情况，供应商应及时致电</w:t>
      </w:r>
      <w:r>
        <w:rPr>
          <w:rFonts w:hint="eastAsia" w:ascii="宋体" w:hAnsi="宋体" w:eastAsia="宋体" w:cs="宋体"/>
          <w:sz w:val="24"/>
          <w:szCs w:val="24"/>
          <w:lang w:eastAsia="zh-CN"/>
        </w:rPr>
        <w:t>代理机构</w:t>
      </w:r>
      <w:r>
        <w:rPr>
          <w:rFonts w:hint="eastAsia" w:ascii="宋体" w:hAnsi="宋体" w:eastAsia="宋体" w:cs="宋体"/>
          <w:sz w:val="24"/>
          <w:szCs w:val="24"/>
        </w:rPr>
        <w:t>说明。磋商响应文件异常，按以下步骤进行处理：</w:t>
      </w:r>
    </w:p>
    <w:p w14:paraId="16E60BD3">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41D0111C">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（2）经技术人员排查后，是供应商文件自身问题导致磋商响应文件无法解密的，该磋商响应文件将不予接收、解密和唱标。开标会议继续进行。</w:t>
      </w:r>
    </w:p>
    <w:p w14:paraId="03F9811C">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（3）经技术人员排查后，如果是电子化交易系统问题造成磋商响应文件无法解密的，将由技术人员对问题进行处理。如短时间内问题无法解决的，将由</w:t>
      </w:r>
      <w:r>
        <w:rPr>
          <w:rFonts w:hint="eastAsia" w:ascii="宋体" w:hAnsi="宋体" w:eastAsia="宋体" w:cs="宋体"/>
          <w:sz w:val="24"/>
          <w:szCs w:val="24"/>
          <w:lang w:eastAsia="zh-CN"/>
        </w:rPr>
        <w:t>代理机构</w:t>
      </w:r>
      <w:r>
        <w:rPr>
          <w:rFonts w:hint="eastAsia" w:ascii="宋体" w:hAnsi="宋体" w:eastAsia="宋体" w:cs="宋体"/>
          <w:sz w:val="24"/>
          <w:szCs w:val="24"/>
        </w:rPr>
        <w:t>向监督部门申请，经监督部门同意后，暂停开标会议，待问题解决后继续开标。</w:t>
      </w:r>
    </w:p>
    <w:p w14:paraId="6B642F55">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.4 待所有供应商磋商响应文件解密完成后，由</w:t>
      </w:r>
      <w:r>
        <w:rPr>
          <w:rFonts w:hint="eastAsia" w:ascii="宋体" w:hAnsi="宋体" w:eastAsia="宋体" w:cs="宋体"/>
          <w:sz w:val="24"/>
          <w:szCs w:val="24"/>
          <w:lang w:eastAsia="zh-CN"/>
        </w:rPr>
        <w:t>代理机构</w:t>
      </w:r>
      <w:r>
        <w:rPr>
          <w:rFonts w:hint="eastAsia" w:ascii="宋体" w:hAnsi="宋体" w:eastAsia="宋体" w:cs="宋体"/>
          <w:sz w:val="24"/>
          <w:szCs w:val="24"/>
        </w:rPr>
        <w:t>操作，对所有已解密磋商响应文件进行唱标。</w:t>
      </w:r>
    </w:p>
    <w:p w14:paraId="09BB7EC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供应商应保证在开标期间电话、电脑、网络能够正常工作，供应商因停电、电脑病毒、网络堵塞等原因，未在规定的解密时间内对磋商响应文件进行解密的，其磋商响应文件不予接收、唱标。</w:t>
      </w:r>
    </w:p>
    <w:p w14:paraId="4557A1A5">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.5 开标时供应商可登录到交易系统中在开标大厅中点击开标一览表查看自己的投标报价。如对自己的唱标内容有异议的，应在唱标内容显示后10分钟内向</w:t>
      </w:r>
      <w:r>
        <w:rPr>
          <w:rFonts w:hint="eastAsia" w:ascii="宋体" w:hAnsi="宋体" w:eastAsia="宋体" w:cs="宋体"/>
          <w:sz w:val="24"/>
          <w:szCs w:val="24"/>
          <w:lang w:eastAsia="zh-CN"/>
        </w:rPr>
        <w:t>代理机构</w:t>
      </w:r>
      <w:r>
        <w:rPr>
          <w:rFonts w:hint="eastAsia" w:ascii="宋体" w:hAnsi="宋体" w:eastAsia="宋体" w:cs="宋体"/>
          <w:sz w:val="24"/>
          <w:szCs w:val="24"/>
        </w:rPr>
        <w:t>电话质疑。</w:t>
      </w:r>
      <w:r>
        <w:rPr>
          <w:rFonts w:hint="eastAsia" w:ascii="宋体" w:hAnsi="宋体" w:eastAsia="宋体" w:cs="宋体"/>
          <w:sz w:val="24"/>
          <w:szCs w:val="24"/>
          <w:lang w:eastAsia="zh-CN"/>
        </w:rPr>
        <w:t>代理机构</w:t>
      </w:r>
      <w:r>
        <w:rPr>
          <w:rFonts w:hint="eastAsia" w:ascii="宋体" w:hAnsi="宋体" w:eastAsia="宋体" w:cs="宋体"/>
          <w:sz w:val="24"/>
          <w:szCs w:val="24"/>
        </w:rPr>
        <w:t>应在监督人员的监督下进行免提通话接受供应商的质疑并做好书面记录。供应商未在规定时间内提出质疑的，视为认可唱标内容。</w:t>
      </w:r>
    </w:p>
    <w:p w14:paraId="7885462E">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、磋商小组</w:t>
      </w:r>
    </w:p>
    <w:p w14:paraId="23A30B0A">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.1本项目磋商由采购人依法组建的磋商小组负责。磋商小组由采购人代表 1 名，有关技术、经济等方面的专家2人组成。磋商专家由采购人代表于项目开标后，在相关监督部门的现场监督下，从相应评标专家库中随机抽取。</w:t>
      </w:r>
    </w:p>
    <w:p w14:paraId="6E2F2D63">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.2磋商小组成员有下列情形之一的，应当回避：</w:t>
      </w:r>
    </w:p>
    <w:p w14:paraId="31DEB8C3">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(1)采购人或供应商的主要负责人的近亲属；</w:t>
      </w:r>
    </w:p>
    <w:p w14:paraId="70FEFEEF">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16A350DA">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(3)与供应商有经济利益关系，可能影响对竞标公正评审的；</w:t>
      </w:r>
    </w:p>
    <w:p w14:paraId="64B0E2D9">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(4)曾因在招标、评标以及其他与招投标有关活动中从事违法行为而受过行政处罚或刑事处罚的。</w:t>
      </w:r>
    </w:p>
    <w:p w14:paraId="787B39DB">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DEAC85D">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.4磋商小组成员和有关</w:t>
      </w:r>
      <w:r>
        <w:rPr>
          <w:rFonts w:hint="eastAsia" w:ascii="宋体" w:hAnsi="宋体" w:eastAsia="宋体" w:cs="宋体"/>
          <w:sz w:val="24"/>
          <w:szCs w:val="24"/>
          <w:lang w:val="en-US" w:eastAsia="zh-CN"/>
        </w:rPr>
        <w:t>工作</w:t>
      </w:r>
      <w:r>
        <w:rPr>
          <w:rFonts w:hint="eastAsia" w:ascii="宋体" w:hAnsi="宋体" w:eastAsia="宋体" w:cs="宋体"/>
          <w:sz w:val="24"/>
          <w:szCs w:val="24"/>
        </w:rPr>
        <w:t>人员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0EC1BC83">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、磋商程序</w:t>
      </w:r>
    </w:p>
    <w:p w14:paraId="489B44D6">
      <w:pPr>
        <w:pageBreakBefore w:val="0"/>
        <w:wordWrap/>
        <w:overflowPunct/>
        <w:topLinePunct w:val="0"/>
        <w:bidi w:val="0"/>
        <w:adjustRightInd w:val="0"/>
        <w:snapToGrid w:val="0"/>
        <w:spacing w:line="360" w:lineRule="auto"/>
        <w:ind w:firstLine="480" w:firstLineChars="200"/>
        <w:outlineLvl w:val="9"/>
        <w:rPr>
          <w:rFonts w:hint="default" w:ascii="宋体" w:hAnsi="宋体" w:eastAsia="宋体" w:cs="宋体"/>
          <w:b/>
          <w:bCs/>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.1磋商小组所有成员</w:t>
      </w:r>
      <w:r>
        <w:rPr>
          <w:rFonts w:hint="eastAsia" w:ascii="宋体" w:hAnsi="宋体" w:eastAsia="宋体" w:cs="宋体"/>
          <w:sz w:val="24"/>
          <w:szCs w:val="24"/>
          <w:lang w:val="en-US" w:eastAsia="zh-CN"/>
        </w:rPr>
        <w:t>应当</w:t>
      </w:r>
      <w:r>
        <w:rPr>
          <w:rFonts w:hint="eastAsia" w:ascii="宋体" w:hAnsi="宋体" w:eastAsia="宋体" w:cs="宋体"/>
          <w:sz w:val="24"/>
          <w:szCs w:val="24"/>
        </w:rPr>
        <w:t>集中与</w:t>
      </w:r>
      <w:r>
        <w:rPr>
          <w:rFonts w:hint="eastAsia" w:ascii="宋体" w:hAnsi="宋体" w:eastAsia="宋体" w:cs="宋体"/>
          <w:sz w:val="24"/>
          <w:szCs w:val="24"/>
          <w:lang w:val="en-US" w:eastAsia="zh-CN"/>
        </w:rPr>
        <w:t>单一</w:t>
      </w:r>
      <w:r>
        <w:rPr>
          <w:rFonts w:hint="eastAsia" w:ascii="宋体" w:hAnsi="宋体" w:eastAsia="宋体" w:cs="宋体"/>
          <w:sz w:val="24"/>
          <w:szCs w:val="24"/>
          <w:lang w:eastAsia="zh-CN"/>
        </w:rPr>
        <w:t>供应商</w:t>
      </w:r>
      <w:r>
        <w:rPr>
          <w:rFonts w:hint="eastAsia" w:ascii="宋体" w:hAnsi="宋体" w:eastAsia="宋体" w:cs="宋体"/>
          <w:sz w:val="24"/>
          <w:szCs w:val="24"/>
        </w:rPr>
        <w:t>分别进行磋商。</w:t>
      </w:r>
      <w:r>
        <w:rPr>
          <w:rFonts w:hint="eastAsia" w:ascii="宋体" w:hAnsi="宋体" w:eastAsia="宋体" w:cs="宋体"/>
          <w:sz w:val="24"/>
          <w:szCs w:val="24"/>
          <w:lang w:val="en-US" w:eastAsia="zh-CN"/>
        </w:rPr>
        <w:t>并给予所有参加磋商的供应商平等的磋商机会。</w:t>
      </w:r>
    </w:p>
    <w:p w14:paraId="0B9D4DEC">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.2磋商小组首先对所有磋商响应文件进行资格性和符合性审查。资格性和符合性审查</w:t>
      </w:r>
      <w:r>
        <w:rPr>
          <w:rFonts w:hint="eastAsia" w:ascii="宋体" w:hAnsi="宋体" w:eastAsia="宋体" w:cs="宋体"/>
          <w:sz w:val="24"/>
          <w:szCs w:val="24"/>
          <w:lang w:val="en-US" w:eastAsia="zh-CN"/>
        </w:rPr>
        <w:t>评审细则见磋商文件第三章“评标办法”。</w:t>
      </w:r>
      <w:r>
        <w:rPr>
          <w:rFonts w:hint="eastAsia" w:ascii="宋体" w:hAnsi="宋体" w:eastAsia="宋体" w:cs="宋体"/>
          <w:sz w:val="24"/>
          <w:szCs w:val="24"/>
        </w:rPr>
        <w:t>未通过资格性和符合性审查的磋商响应文件按无效响应处理。</w:t>
      </w:r>
    </w:p>
    <w:p w14:paraId="63164DB9">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.2.1允许修正磋商响应文件中不构成重大偏离的、微小的、非正规的、不一致或不规则的地方。</w:t>
      </w:r>
    </w:p>
    <w:p w14:paraId="56F573ED">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.2.2 磋商小组判断磋商响应文件的响应性仅基于磋商响应文件本身内容而不靠外部证据。</w:t>
      </w:r>
    </w:p>
    <w:p w14:paraId="11B3DE59">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.2.3实质性未响应磋商文件要求的响应</w:t>
      </w:r>
      <w:r>
        <w:rPr>
          <w:rFonts w:hint="eastAsia" w:ascii="宋体" w:hAnsi="宋体" w:eastAsia="宋体" w:cs="宋体"/>
          <w:sz w:val="24"/>
          <w:szCs w:val="24"/>
          <w:lang w:val="en-US" w:eastAsia="zh-CN"/>
        </w:rPr>
        <w:t>文件</w:t>
      </w:r>
      <w:r>
        <w:rPr>
          <w:rFonts w:hint="eastAsia" w:ascii="宋体" w:hAnsi="宋体" w:eastAsia="宋体" w:cs="宋体"/>
          <w:sz w:val="24"/>
          <w:szCs w:val="24"/>
        </w:rPr>
        <w:t>将被拒绝，</w:t>
      </w:r>
      <w:r>
        <w:rPr>
          <w:rFonts w:hint="eastAsia" w:ascii="宋体" w:hAnsi="宋体" w:eastAsia="宋体" w:cs="宋体"/>
          <w:sz w:val="24"/>
          <w:szCs w:val="24"/>
          <w:lang w:eastAsia="zh-CN"/>
        </w:rPr>
        <w:t>供应商</w:t>
      </w:r>
      <w:r>
        <w:rPr>
          <w:rFonts w:hint="eastAsia" w:ascii="宋体" w:hAnsi="宋体" w:eastAsia="宋体" w:cs="宋体"/>
          <w:sz w:val="24"/>
          <w:szCs w:val="24"/>
        </w:rPr>
        <w:t>不得通过撤消或修正不符之处而使其响应成为实质性响应。</w:t>
      </w:r>
    </w:p>
    <w:p w14:paraId="4C43255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.2.4实质性未响应是指磋商响应文件中提出了超出磋商文件中招标控制价、服务期限和服务要求</w:t>
      </w:r>
      <w:r>
        <w:rPr>
          <w:rFonts w:hint="eastAsia" w:ascii="宋体" w:hAnsi="宋体" w:eastAsia="宋体" w:cs="宋体"/>
          <w:sz w:val="24"/>
          <w:szCs w:val="24"/>
          <w:lang w:val="en-US" w:eastAsia="zh-CN"/>
        </w:rPr>
        <w:t>以及磋商文件中其他实质性要求的</w:t>
      </w:r>
      <w:r>
        <w:rPr>
          <w:rFonts w:hint="eastAsia" w:ascii="宋体" w:hAnsi="宋体" w:eastAsia="宋体" w:cs="宋体"/>
          <w:sz w:val="24"/>
          <w:szCs w:val="24"/>
        </w:rPr>
        <w:t>内容。</w:t>
      </w:r>
    </w:p>
    <w:p w14:paraId="307D4865">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、对</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的评价</w:t>
      </w:r>
    </w:p>
    <w:p w14:paraId="10CFCF7F">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.1磋商小组只对已判定为实质性响应且通过资格审查的磋商响应文件进行详细评价和比较。</w:t>
      </w:r>
    </w:p>
    <w:p w14:paraId="50DC81FB">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.2磋商小组应当</w:t>
      </w:r>
      <w:r>
        <w:rPr>
          <w:rFonts w:hint="eastAsia" w:ascii="宋体" w:hAnsi="宋体" w:eastAsia="宋体" w:cs="宋体"/>
          <w:sz w:val="24"/>
          <w:szCs w:val="24"/>
          <w:lang w:val="en-US" w:eastAsia="zh-CN"/>
        </w:rPr>
        <w:t>分别</w:t>
      </w:r>
      <w:r>
        <w:rPr>
          <w:rFonts w:hint="eastAsia" w:ascii="宋体" w:hAnsi="宋体" w:eastAsia="宋体" w:cs="宋体"/>
          <w:sz w:val="24"/>
          <w:szCs w:val="24"/>
        </w:rPr>
        <w:t>与</w:t>
      </w:r>
      <w:r>
        <w:rPr>
          <w:rFonts w:hint="eastAsia" w:ascii="宋体" w:hAnsi="宋体" w:eastAsia="宋体" w:cs="宋体"/>
          <w:sz w:val="24"/>
          <w:szCs w:val="24"/>
          <w:lang w:val="en-US" w:eastAsia="zh-CN"/>
        </w:rPr>
        <w:t>通过资格审查和符合性审查的</w:t>
      </w:r>
      <w:r>
        <w:rPr>
          <w:rFonts w:hint="eastAsia" w:ascii="宋体" w:hAnsi="宋体" w:eastAsia="宋体" w:cs="宋体"/>
          <w:sz w:val="24"/>
          <w:szCs w:val="24"/>
          <w:lang w:eastAsia="zh-CN"/>
        </w:rPr>
        <w:t>供应商</w:t>
      </w:r>
      <w:r>
        <w:rPr>
          <w:rFonts w:hint="eastAsia" w:ascii="宋体" w:hAnsi="宋体" w:eastAsia="宋体" w:cs="宋体"/>
          <w:sz w:val="24"/>
          <w:szCs w:val="24"/>
          <w:lang w:val="en-US" w:eastAsia="zh-CN"/>
        </w:rPr>
        <w:t>逐一</w:t>
      </w:r>
      <w:r>
        <w:rPr>
          <w:rFonts w:hint="eastAsia" w:ascii="宋体" w:hAnsi="宋体" w:eastAsia="宋体" w:cs="宋体"/>
          <w:sz w:val="24"/>
          <w:szCs w:val="24"/>
        </w:rPr>
        <w:t>进行磋商，并给予所有参加磋商的</w:t>
      </w:r>
      <w:r>
        <w:rPr>
          <w:rFonts w:hint="eastAsia" w:ascii="宋体" w:hAnsi="宋体" w:eastAsia="宋体" w:cs="宋体"/>
          <w:sz w:val="24"/>
          <w:szCs w:val="24"/>
          <w:lang w:eastAsia="zh-CN"/>
        </w:rPr>
        <w:t>供应商</w:t>
      </w:r>
      <w:r>
        <w:rPr>
          <w:rFonts w:hint="eastAsia" w:ascii="宋体" w:hAnsi="宋体" w:eastAsia="宋体" w:cs="宋体"/>
          <w:sz w:val="24"/>
          <w:szCs w:val="24"/>
        </w:rPr>
        <w:t>平等的磋商机会。</w:t>
      </w:r>
    </w:p>
    <w:p w14:paraId="7E7C5260">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.3经磋商确定最终采购需求后，要求</w:t>
      </w:r>
      <w:r>
        <w:rPr>
          <w:rFonts w:hint="eastAsia" w:ascii="宋体" w:hAnsi="宋体" w:eastAsia="宋体" w:cs="宋体"/>
          <w:sz w:val="24"/>
          <w:szCs w:val="24"/>
          <w:lang w:val="en-US" w:eastAsia="zh-CN"/>
        </w:rPr>
        <w:t>参加磋商的各供应商</w:t>
      </w:r>
      <w:r>
        <w:rPr>
          <w:rFonts w:hint="eastAsia" w:ascii="宋体" w:hAnsi="宋体" w:eastAsia="宋体" w:cs="宋体"/>
          <w:sz w:val="24"/>
          <w:szCs w:val="24"/>
        </w:rPr>
        <w:t>在规定时间内提交最后报价</w:t>
      </w:r>
      <w:r>
        <w:rPr>
          <w:rFonts w:hint="eastAsia" w:ascii="宋体" w:hAnsi="宋体" w:eastAsia="宋体" w:cs="宋体"/>
          <w:sz w:val="24"/>
          <w:szCs w:val="24"/>
          <w:lang w:eastAsia="zh-CN"/>
        </w:rPr>
        <w:t>，</w:t>
      </w:r>
      <w:r>
        <w:rPr>
          <w:rFonts w:hint="eastAsia" w:ascii="宋体" w:hAnsi="宋体" w:eastAsia="宋体" w:cs="宋体"/>
          <w:sz w:val="24"/>
          <w:szCs w:val="24"/>
        </w:rPr>
        <w:t>提交最后报价的供应商可以为两家。最后报价提交后，磋商小组采用综合评分法对提交最后报价的</w:t>
      </w:r>
      <w:r>
        <w:rPr>
          <w:rFonts w:hint="eastAsia" w:ascii="宋体" w:hAnsi="宋体" w:eastAsia="宋体" w:cs="宋体"/>
          <w:sz w:val="24"/>
          <w:szCs w:val="24"/>
          <w:lang w:eastAsia="zh-CN"/>
        </w:rPr>
        <w:t>供应商</w:t>
      </w:r>
      <w:r>
        <w:rPr>
          <w:rFonts w:hint="eastAsia" w:ascii="宋体" w:hAnsi="宋体" w:eastAsia="宋体" w:cs="宋体"/>
          <w:sz w:val="24"/>
          <w:szCs w:val="24"/>
        </w:rPr>
        <w:t>的磋商响应文件和最后报价进行综合评分。</w:t>
      </w:r>
    </w:p>
    <w:p w14:paraId="1BB260E7">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.4磋商小组根据综合评分情况，按评审得分由高到低的顺序推荐三名成交候选供应商（如提交最后报价的供应商为两家时，磋商小组按评审得分由高到低的顺序推荐两名成交候选供应商），并编写评审报告。</w:t>
      </w:r>
    </w:p>
    <w:p w14:paraId="6BB14EF6">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评审得分相同的，按照最后报价由低到高的顺序推荐，评审得分</w:t>
      </w:r>
      <w:r>
        <w:rPr>
          <w:rFonts w:hint="eastAsia" w:ascii="宋体" w:hAnsi="宋体" w:eastAsia="宋体" w:cs="宋体"/>
          <w:sz w:val="24"/>
          <w:szCs w:val="24"/>
          <w:lang w:val="en-US" w:eastAsia="zh-CN"/>
        </w:rPr>
        <w:t>和</w:t>
      </w:r>
      <w:r>
        <w:rPr>
          <w:rFonts w:hint="eastAsia" w:ascii="宋体" w:hAnsi="宋体" w:eastAsia="宋体" w:cs="宋体"/>
          <w:sz w:val="24"/>
          <w:szCs w:val="24"/>
        </w:rPr>
        <w:t>最后报价</w:t>
      </w:r>
      <w:r>
        <w:rPr>
          <w:rFonts w:hint="eastAsia" w:ascii="宋体" w:hAnsi="宋体" w:eastAsia="宋体" w:cs="宋体"/>
          <w:sz w:val="24"/>
          <w:szCs w:val="24"/>
          <w:lang w:val="en-US" w:eastAsia="zh-CN"/>
        </w:rPr>
        <w:t>均</w:t>
      </w:r>
      <w:r>
        <w:rPr>
          <w:rFonts w:hint="eastAsia" w:ascii="宋体" w:hAnsi="宋体" w:eastAsia="宋体" w:cs="宋体"/>
          <w:sz w:val="24"/>
          <w:szCs w:val="24"/>
        </w:rPr>
        <w:t>相同的，按照技术指标优劣顺序推荐成交候选供应商。评审报告由磋商小组全体人员签字。磋商小组成员对</w:t>
      </w:r>
      <w:r>
        <w:rPr>
          <w:rFonts w:hint="eastAsia" w:ascii="宋体" w:hAnsi="宋体" w:eastAsia="宋体" w:cs="宋体"/>
          <w:sz w:val="24"/>
          <w:szCs w:val="24"/>
          <w:lang w:val="en-US" w:eastAsia="zh-CN"/>
        </w:rPr>
        <w:t>推荐排名</w:t>
      </w:r>
      <w:r>
        <w:rPr>
          <w:rFonts w:hint="eastAsia" w:ascii="宋体" w:hAnsi="宋体" w:eastAsia="宋体" w:cs="宋体"/>
          <w:sz w:val="24"/>
          <w:szCs w:val="24"/>
        </w:rPr>
        <w:t>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240519">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.5如果第一名供应商放弃成交资格或因不可抗力提出不能履行合同、竞争性磋商文件规定</w:t>
      </w:r>
      <w:r>
        <w:rPr>
          <w:rFonts w:hint="eastAsia" w:ascii="宋体" w:hAnsi="宋体" w:eastAsia="宋体" w:cs="宋体"/>
          <w:sz w:val="24"/>
          <w:szCs w:val="24"/>
          <w:lang w:eastAsia="zh-CN"/>
        </w:rPr>
        <w:t>的</w:t>
      </w:r>
      <w:r>
        <w:rPr>
          <w:rFonts w:hint="eastAsia" w:ascii="宋体" w:hAnsi="宋体" w:eastAsia="宋体" w:cs="宋体"/>
          <w:sz w:val="24"/>
          <w:szCs w:val="24"/>
        </w:rPr>
        <w:t>，采购人</w:t>
      </w:r>
      <w:r>
        <w:rPr>
          <w:rFonts w:hint="eastAsia" w:ascii="宋体" w:hAnsi="宋体" w:eastAsia="宋体" w:cs="宋体"/>
          <w:sz w:val="24"/>
          <w:szCs w:val="24"/>
          <w:lang w:val="en-US" w:eastAsia="zh-CN"/>
        </w:rPr>
        <w:t>可</w:t>
      </w:r>
      <w:r>
        <w:rPr>
          <w:rFonts w:hint="eastAsia" w:ascii="宋体" w:hAnsi="宋体" w:eastAsia="宋体" w:cs="宋体"/>
          <w:sz w:val="24"/>
          <w:szCs w:val="24"/>
        </w:rPr>
        <w:t>依序确定排名第二名的成交候选供应商为成交供应商，也可以重新开展政府采购活动。</w:t>
      </w:r>
    </w:p>
    <w:p w14:paraId="7DD51B11">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、磋商响应文件的澄清</w:t>
      </w:r>
    </w:p>
    <w:p w14:paraId="547985B6">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.1为了有助于对磋商响应文件进行审查、评估和比较，磋商小组有权向</w:t>
      </w:r>
      <w:r>
        <w:rPr>
          <w:rFonts w:hint="eastAsia" w:ascii="宋体" w:hAnsi="宋体" w:eastAsia="宋体" w:cs="宋体"/>
          <w:sz w:val="24"/>
          <w:szCs w:val="24"/>
          <w:lang w:eastAsia="zh-CN"/>
        </w:rPr>
        <w:t>供应商</w:t>
      </w:r>
      <w:r>
        <w:rPr>
          <w:rFonts w:hint="eastAsia" w:ascii="宋体" w:hAnsi="宋体" w:eastAsia="宋体" w:cs="宋体"/>
          <w:sz w:val="24"/>
          <w:szCs w:val="24"/>
        </w:rPr>
        <w:t>质疑。请</w:t>
      </w:r>
      <w:r>
        <w:rPr>
          <w:rFonts w:hint="eastAsia" w:ascii="宋体" w:hAnsi="宋体" w:eastAsia="宋体" w:cs="宋体"/>
          <w:sz w:val="24"/>
          <w:szCs w:val="24"/>
          <w:lang w:eastAsia="zh-CN"/>
        </w:rPr>
        <w:t>供应商</w:t>
      </w:r>
      <w:r>
        <w:rPr>
          <w:rFonts w:hint="eastAsia" w:ascii="宋体" w:hAnsi="宋体" w:eastAsia="宋体" w:cs="宋体"/>
          <w:sz w:val="24"/>
          <w:szCs w:val="24"/>
        </w:rPr>
        <w:t>澄清其</w:t>
      </w:r>
      <w:r>
        <w:rPr>
          <w:rFonts w:hint="eastAsia" w:ascii="宋体" w:hAnsi="宋体" w:eastAsia="宋体" w:cs="宋体"/>
          <w:sz w:val="24"/>
          <w:szCs w:val="24"/>
          <w:lang w:val="en-US" w:eastAsia="zh-CN"/>
        </w:rPr>
        <w:t>响应文件</w:t>
      </w:r>
      <w:r>
        <w:rPr>
          <w:rFonts w:hint="eastAsia" w:ascii="宋体" w:hAnsi="宋体" w:eastAsia="宋体" w:cs="宋体"/>
          <w:sz w:val="24"/>
          <w:szCs w:val="24"/>
        </w:rPr>
        <w:t>内容。</w:t>
      </w:r>
      <w:r>
        <w:rPr>
          <w:rFonts w:hint="eastAsia" w:ascii="宋体" w:hAnsi="宋体" w:eastAsia="宋体" w:cs="宋体"/>
          <w:sz w:val="24"/>
          <w:szCs w:val="24"/>
          <w:lang w:eastAsia="zh-CN"/>
        </w:rPr>
        <w:t>供应商</w:t>
      </w:r>
      <w:r>
        <w:rPr>
          <w:rFonts w:hint="eastAsia" w:ascii="宋体" w:hAnsi="宋体" w:eastAsia="宋体" w:cs="宋体"/>
          <w:sz w:val="24"/>
          <w:szCs w:val="24"/>
        </w:rPr>
        <w:t>有责任按照磋商小组通知的时间、地点、方式指派委托代理人进行答疑和澄清。</w:t>
      </w:r>
    </w:p>
    <w:p w14:paraId="53C7C141">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.2重要澄清的答复应是书面的，并由法定代表人或其委托代理人签字。</w:t>
      </w:r>
    </w:p>
    <w:p w14:paraId="01C8F7C6">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.3</w:t>
      </w:r>
      <w:r>
        <w:rPr>
          <w:rFonts w:hint="eastAsia" w:ascii="宋体" w:hAnsi="宋体" w:eastAsia="宋体" w:cs="宋体"/>
          <w:sz w:val="24"/>
          <w:szCs w:val="24"/>
          <w:lang w:eastAsia="zh-CN"/>
        </w:rPr>
        <w:t>供应商</w:t>
      </w:r>
      <w:r>
        <w:rPr>
          <w:rFonts w:hint="eastAsia" w:ascii="宋体" w:hAnsi="宋体" w:eastAsia="宋体" w:cs="宋体"/>
          <w:sz w:val="24"/>
          <w:szCs w:val="24"/>
        </w:rPr>
        <w:t>的澄清文件是磋商响应文件的组成部分，并取代磋商响应文件中被澄清的部分。</w:t>
      </w:r>
    </w:p>
    <w:p w14:paraId="5498DB26">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.4磋商响应文件澄清部分不得对磋商内容进行实质性修改。</w:t>
      </w:r>
    </w:p>
    <w:p w14:paraId="1C19787E">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、磋商原则和方法</w:t>
      </w:r>
    </w:p>
    <w:p w14:paraId="52B77BAD">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.1坚持公开、公平、公正的原则。</w:t>
      </w:r>
    </w:p>
    <w:p w14:paraId="3EAF533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.2磋商小组将遵照磋商原则，公正、平等地对待所有</w:t>
      </w:r>
      <w:r>
        <w:rPr>
          <w:rFonts w:hint="eastAsia" w:ascii="宋体" w:hAnsi="宋体" w:eastAsia="宋体" w:cs="宋体"/>
          <w:sz w:val="24"/>
          <w:szCs w:val="24"/>
          <w:lang w:eastAsia="zh-CN"/>
        </w:rPr>
        <w:t>供应商</w:t>
      </w:r>
      <w:r>
        <w:rPr>
          <w:rFonts w:hint="eastAsia" w:ascii="宋体" w:hAnsi="宋体" w:eastAsia="宋体" w:cs="宋体"/>
          <w:sz w:val="24"/>
          <w:szCs w:val="24"/>
        </w:rPr>
        <w:t>。</w:t>
      </w:r>
    </w:p>
    <w:p w14:paraId="0BF6EC13">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.3评审方法</w:t>
      </w:r>
    </w:p>
    <w:p w14:paraId="1ECFF432">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.3.1初步评审（是否响应竞争性磋商文件的要求），确定合格的</w:t>
      </w:r>
      <w:r>
        <w:rPr>
          <w:rFonts w:hint="eastAsia" w:ascii="宋体" w:hAnsi="宋体" w:eastAsia="宋体" w:cs="宋体"/>
          <w:sz w:val="24"/>
          <w:szCs w:val="24"/>
          <w:lang w:eastAsia="zh-CN"/>
        </w:rPr>
        <w:t>供应商；</w:t>
      </w:r>
    </w:p>
    <w:p w14:paraId="1833F2D5">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.3.2磋商小组集中与单一</w:t>
      </w:r>
      <w:r>
        <w:rPr>
          <w:rFonts w:hint="eastAsia" w:ascii="宋体" w:hAnsi="宋体" w:eastAsia="宋体" w:cs="宋体"/>
          <w:sz w:val="24"/>
          <w:szCs w:val="24"/>
          <w:lang w:eastAsia="zh-CN"/>
        </w:rPr>
        <w:t>供应商</w:t>
      </w:r>
      <w:r>
        <w:rPr>
          <w:rFonts w:hint="eastAsia" w:ascii="宋体" w:hAnsi="宋体" w:eastAsia="宋体" w:cs="宋体"/>
          <w:sz w:val="24"/>
          <w:szCs w:val="24"/>
        </w:rPr>
        <w:t>分别进行磋商确定最终采购需求</w:t>
      </w:r>
      <w:r>
        <w:rPr>
          <w:rFonts w:hint="eastAsia" w:ascii="宋体" w:hAnsi="宋体" w:eastAsia="宋体" w:cs="宋体"/>
          <w:sz w:val="24"/>
          <w:szCs w:val="24"/>
          <w:lang w:eastAsia="zh-CN"/>
        </w:rPr>
        <w:t>；</w:t>
      </w:r>
    </w:p>
    <w:p w14:paraId="4D95A38A">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21.3.3</w:t>
      </w:r>
      <w:r>
        <w:rPr>
          <w:rFonts w:hint="eastAsia" w:ascii="宋体" w:hAnsi="宋体" w:eastAsia="宋体" w:cs="宋体"/>
          <w:sz w:val="24"/>
          <w:szCs w:val="24"/>
        </w:rPr>
        <w:t>各</w:t>
      </w:r>
      <w:r>
        <w:rPr>
          <w:rFonts w:hint="eastAsia" w:ascii="宋体" w:hAnsi="宋体" w:eastAsia="宋体" w:cs="宋体"/>
          <w:sz w:val="24"/>
          <w:szCs w:val="24"/>
          <w:lang w:eastAsia="zh-CN"/>
        </w:rPr>
        <w:t>供应商</w:t>
      </w:r>
      <w:r>
        <w:rPr>
          <w:rFonts w:hint="eastAsia" w:ascii="宋体" w:hAnsi="宋体" w:eastAsia="宋体" w:cs="宋体"/>
          <w:sz w:val="24"/>
          <w:szCs w:val="24"/>
        </w:rPr>
        <w:t>依据各自情况进行最后报价。</w:t>
      </w:r>
    </w:p>
    <w:p w14:paraId="46A9CC48">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由磋商小组采用综合评分法对提交最后报价的</w:t>
      </w:r>
      <w:r>
        <w:rPr>
          <w:rFonts w:hint="eastAsia" w:ascii="宋体" w:hAnsi="宋体" w:eastAsia="宋体" w:cs="宋体"/>
          <w:sz w:val="24"/>
          <w:szCs w:val="24"/>
          <w:lang w:eastAsia="zh-CN"/>
        </w:rPr>
        <w:t>供应商</w:t>
      </w:r>
      <w:r>
        <w:rPr>
          <w:rFonts w:hint="eastAsia" w:ascii="宋体" w:hAnsi="宋体" w:eastAsia="宋体" w:cs="宋体"/>
          <w:sz w:val="24"/>
          <w:szCs w:val="24"/>
        </w:rPr>
        <w:t>的响应文件和最后报价进行综合评分。</w:t>
      </w:r>
    </w:p>
    <w:p w14:paraId="74E851D5">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、确定成交供应商</w:t>
      </w:r>
    </w:p>
    <w:p w14:paraId="1B209EA6">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有高到低的顺序推荐成交候选供应商，并向采购人提供书面评审报告，采购人在收到评审报告后，应在5个工作日内，从评审报告提出的成交候选供应商中，按照排序由高到低的原则确定成交供应商。如果采购人逾期未确定成交供应商且不提出异议，则视为已确定评审报告提出的排序第一的供应商为成交供应商‌。</w:t>
      </w:r>
    </w:p>
    <w:p w14:paraId="404B1E36">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、保密及其它注意事项</w:t>
      </w:r>
    </w:p>
    <w:p w14:paraId="3D4FBFDC">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.1评审工作是磋商工作的重要环节，评审工作在磋商小组内独立进行。</w:t>
      </w:r>
    </w:p>
    <w:p w14:paraId="097077E0">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.2在评审期间，</w:t>
      </w:r>
      <w:r>
        <w:rPr>
          <w:rFonts w:hint="eastAsia" w:ascii="宋体" w:hAnsi="宋体" w:eastAsia="宋体" w:cs="宋体"/>
          <w:sz w:val="24"/>
          <w:szCs w:val="24"/>
          <w:lang w:eastAsia="zh-CN"/>
        </w:rPr>
        <w:t>供应商</w:t>
      </w:r>
      <w:r>
        <w:rPr>
          <w:rFonts w:hint="eastAsia" w:ascii="宋体" w:hAnsi="宋体" w:eastAsia="宋体" w:cs="宋体"/>
          <w:sz w:val="24"/>
          <w:szCs w:val="24"/>
        </w:rPr>
        <w:t>不得向磋商小组成员询问评审情况，不得进行影响评审结果的活动。否则其响应将会被拒绝。</w:t>
      </w:r>
    </w:p>
    <w:p w14:paraId="7F9EE9B1">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.3为保证评审的公正性，磋商开始后直至授予成交供应商合同，磋商小组成员不得与供应商私下交换意见。</w:t>
      </w:r>
    </w:p>
    <w:p w14:paraId="6AE77A3B">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.4在评审工作结束后，凡与评审情况有接触的任何人不得擅自将评审情况扩散出评审人员之外。</w:t>
      </w:r>
    </w:p>
    <w:p w14:paraId="47990D88">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、成交通知</w:t>
      </w:r>
      <w:r>
        <w:rPr>
          <w:rFonts w:hint="eastAsia" w:ascii="宋体" w:hAnsi="宋体" w:eastAsia="宋体" w:cs="宋体"/>
          <w:b/>
          <w:bCs/>
          <w:sz w:val="24"/>
          <w:szCs w:val="24"/>
        </w:rPr>
        <w:tab/>
      </w:r>
    </w:p>
    <w:p w14:paraId="285CEE6F">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.1成交供应商确定后，采购人向成交供应商签发《成交通知书》，并将成交结果通知所有未成交的</w:t>
      </w:r>
      <w:r>
        <w:rPr>
          <w:rFonts w:hint="eastAsia" w:ascii="宋体" w:hAnsi="宋体" w:eastAsia="宋体" w:cs="宋体"/>
          <w:sz w:val="24"/>
          <w:szCs w:val="24"/>
          <w:lang w:eastAsia="zh-CN"/>
        </w:rPr>
        <w:t>供应商</w:t>
      </w:r>
      <w:r>
        <w:rPr>
          <w:rFonts w:hint="eastAsia" w:ascii="宋体" w:hAnsi="宋体" w:eastAsia="宋体" w:cs="宋体"/>
          <w:sz w:val="24"/>
          <w:szCs w:val="24"/>
        </w:rPr>
        <w:t>。</w:t>
      </w:r>
    </w:p>
    <w:p w14:paraId="7DF89286">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.2《成交通知书》作为签订合同的依据，对采购人和成交供应商均具有法律效力，成交通知书发出后，采购人改变成交结果或者成交供应商放弃项目，应依法承担法律责任。</w:t>
      </w:r>
    </w:p>
    <w:p w14:paraId="05791B33">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、签订合同</w:t>
      </w:r>
    </w:p>
    <w:p w14:paraId="23684BE0">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lang w:eastAsia="zh-CN"/>
        </w:rPr>
        <w:t>25</w:t>
      </w:r>
      <w:r>
        <w:rPr>
          <w:rFonts w:hint="eastAsia" w:ascii="宋体" w:hAnsi="宋体" w:eastAsia="宋体" w:cs="宋体"/>
          <w:sz w:val="24"/>
          <w:szCs w:val="24"/>
        </w:rPr>
        <w:t>.1采购人与成交供应商应当在成交通知书发出之日起30 日内，按照竞争性磋商文件确定的合同文本以及采购金额和服务要求等事项签订合同。采购人不得向成交供应商提出超出以竞争性磋商文件以外的任何要求作为签订合同的条件，不得与成交供应商订立背离谈竞争性磋商文件确定的合同文本以及采购金额和服务要求等实质性内容的协议。</w:t>
      </w:r>
    </w:p>
    <w:p w14:paraId="1F6A1B06">
      <w:pPr>
        <w:pageBreakBefore w:val="0"/>
        <w:wordWrap/>
        <w:overflowPunct/>
        <w:topLinePunct w:val="0"/>
        <w:bidi w:val="0"/>
        <w:adjustRightInd w:val="0"/>
        <w:snapToGrid w:val="0"/>
        <w:spacing w:line="360" w:lineRule="auto"/>
        <w:ind w:firstLine="480" w:firstLineChars="200"/>
        <w:jc w:val="left"/>
        <w:outlineLvl w:val="9"/>
        <w:rPr>
          <w:rFonts w:hint="eastAsia" w:ascii="宋体" w:hAnsi="宋体" w:eastAsia="宋体" w:cs="宋体"/>
          <w:color w:val="FF0000"/>
          <w:spacing w:val="-5"/>
          <w:sz w:val="24"/>
          <w:szCs w:val="24"/>
        </w:rPr>
      </w:pPr>
      <w:r>
        <w:rPr>
          <w:rFonts w:hint="eastAsia" w:ascii="宋体" w:hAnsi="宋体" w:eastAsia="宋体" w:cs="宋体"/>
          <w:sz w:val="24"/>
          <w:szCs w:val="24"/>
          <w:lang w:eastAsia="zh-CN"/>
        </w:rPr>
        <w:t>25</w:t>
      </w:r>
      <w:r>
        <w:rPr>
          <w:rFonts w:hint="eastAsia" w:ascii="宋体" w:hAnsi="宋体" w:eastAsia="宋体" w:cs="宋体"/>
          <w:sz w:val="24"/>
          <w:szCs w:val="24"/>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0105E151">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25</w:t>
      </w:r>
      <w:r>
        <w:rPr>
          <w:rFonts w:hint="eastAsia" w:ascii="宋体" w:hAnsi="宋体" w:eastAsia="宋体" w:cs="宋体"/>
          <w:sz w:val="24"/>
          <w:szCs w:val="24"/>
        </w:rPr>
        <w:t>.3采购人签发的成交通知书、竞争性磋商文件、成交供应商的磋商响应文件及其澄清文件等，均为签订合同的依据。</w:t>
      </w:r>
    </w:p>
    <w:p w14:paraId="28548C21">
      <w:pPr>
        <w:pageBreakBefore w:val="0"/>
        <w:wordWrap/>
        <w:overflowPunct/>
        <w:topLinePunct w:val="0"/>
        <w:bidi w:val="0"/>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lang w:val="en-US" w:eastAsia="zh-CN"/>
        </w:rPr>
        <w:t>6</w:t>
      </w:r>
      <w:r>
        <w:rPr>
          <w:rFonts w:hint="eastAsia" w:ascii="宋体" w:hAnsi="宋体" w:eastAsia="宋体" w:cs="宋体"/>
          <w:b/>
          <w:sz w:val="24"/>
          <w:szCs w:val="24"/>
        </w:rPr>
        <w:t>．特别注意事项：</w:t>
      </w:r>
    </w:p>
    <w:p w14:paraId="25B9BE66">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出现下列情形之一的，磋商小组可取消其磋商资格：</w:t>
      </w:r>
    </w:p>
    <w:p w14:paraId="37178C45">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（1）未按磋商文件要求和规定提交实质性响应材料的；</w:t>
      </w:r>
    </w:p>
    <w:p w14:paraId="728E7EEC">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（2）相互串通磋商的（有下列情形之一的，视为</w:t>
      </w:r>
      <w:r>
        <w:rPr>
          <w:rFonts w:hint="eastAsia" w:ascii="宋体" w:hAnsi="宋体" w:eastAsia="宋体" w:cs="宋体"/>
          <w:sz w:val="24"/>
          <w:szCs w:val="24"/>
          <w:lang w:eastAsia="zh-CN"/>
        </w:rPr>
        <w:t>供应商</w:t>
      </w:r>
      <w:r>
        <w:rPr>
          <w:rFonts w:hint="eastAsia" w:ascii="宋体" w:hAnsi="宋体" w:eastAsia="宋体" w:cs="宋体"/>
          <w:sz w:val="24"/>
          <w:szCs w:val="24"/>
        </w:rPr>
        <w:t>相互串通磋商）；</w:t>
      </w:r>
    </w:p>
    <w:p w14:paraId="20799737">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A、不同</w:t>
      </w:r>
      <w:r>
        <w:rPr>
          <w:rFonts w:hint="eastAsia" w:ascii="宋体" w:hAnsi="宋体" w:eastAsia="宋体" w:cs="宋体"/>
          <w:sz w:val="24"/>
          <w:szCs w:val="24"/>
          <w:lang w:eastAsia="zh-CN"/>
        </w:rPr>
        <w:t>供应商</w:t>
      </w:r>
      <w:r>
        <w:rPr>
          <w:rFonts w:hint="eastAsia" w:ascii="宋体" w:hAnsi="宋体" w:eastAsia="宋体" w:cs="宋体"/>
          <w:sz w:val="24"/>
          <w:szCs w:val="24"/>
        </w:rPr>
        <w:t>的响应文件由同一单位或者个人编制</w:t>
      </w:r>
      <w:r>
        <w:rPr>
          <w:rFonts w:hint="eastAsia" w:ascii="宋体" w:hAnsi="宋体" w:eastAsia="宋体" w:cs="宋体"/>
          <w:sz w:val="24"/>
          <w:szCs w:val="24"/>
          <w:lang w:eastAsia="zh-CN"/>
        </w:rPr>
        <w:t>；</w:t>
      </w:r>
    </w:p>
    <w:p w14:paraId="5C6B606D">
      <w:pPr>
        <w:pageBreakBefore w:val="0"/>
        <w:wordWrap/>
        <w:overflowPunct/>
        <w:topLinePunct w:val="0"/>
        <w:bidi w:val="0"/>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B、不同</w:t>
      </w:r>
      <w:r>
        <w:rPr>
          <w:rFonts w:hint="eastAsia" w:ascii="宋体" w:hAnsi="宋体" w:eastAsia="宋体" w:cs="宋体"/>
          <w:sz w:val="24"/>
          <w:szCs w:val="24"/>
          <w:lang w:eastAsia="zh-CN"/>
        </w:rPr>
        <w:t>供应商</w:t>
      </w:r>
      <w:r>
        <w:rPr>
          <w:rFonts w:hint="eastAsia" w:ascii="宋体" w:hAnsi="宋体" w:eastAsia="宋体" w:cs="宋体"/>
          <w:sz w:val="24"/>
          <w:szCs w:val="24"/>
        </w:rPr>
        <w:t>的响应文件载明的项目管理成员为同一人</w:t>
      </w:r>
      <w:r>
        <w:rPr>
          <w:rFonts w:hint="eastAsia" w:ascii="宋体" w:hAnsi="宋体" w:eastAsia="宋体" w:cs="宋体"/>
          <w:sz w:val="24"/>
          <w:szCs w:val="24"/>
          <w:lang w:eastAsia="zh-CN"/>
        </w:rPr>
        <w:t>；</w:t>
      </w:r>
    </w:p>
    <w:p w14:paraId="67A75F18">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C、不同</w:t>
      </w:r>
      <w:r>
        <w:rPr>
          <w:rFonts w:hint="eastAsia" w:ascii="宋体" w:hAnsi="宋体" w:eastAsia="宋体" w:cs="宋体"/>
          <w:sz w:val="24"/>
          <w:szCs w:val="24"/>
          <w:lang w:eastAsia="zh-CN"/>
        </w:rPr>
        <w:t>供应商</w:t>
      </w:r>
      <w:r>
        <w:rPr>
          <w:rFonts w:hint="eastAsia" w:ascii="宋体" w:hAnsi="宋体" w:eastAsia="宋体" w:cs="宋体"/>
          <w:sz w:val="24"/>
          <w:szCs w:val="24"/>
        </w:rPr>
        <w:t>的响应文件异常一致或者磋商报价呈规律性差异</w:t>
      </w:r>
      <w:r>
        <w:rPr>
          <w:rFonts w:hint="eastAsia" w:ascii="宋体" w:hAnsi="宋体" w:eastAsia="宋体" w:cs="宋体"/>
          <w:sz w:val="24"/>
          <w:szCs w:val="24"/>
          <w:lang w:eastAsia="zh-CN"/>
        </w:rPr>
        <w:t>；</w:t>
      </w:r>
    </w:p>
    <w:p w14:paraId="7F683C95">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D、不同</w:t>
      </w:r>
      <w:r>
        <w:rPr>
          <w:rFonts w:hint="eastAsia" w:ascii="宋体" w:hAnsi="宋体" w:eastAsia="宋体" w:cs="宋体"/>
          <w:sz w:val="24"/>
          <w:szCs w:val="24"/>
          <w:lang w:eastAsia="zh-CN"/>
        </w:rPr>
        <w:t>供应商</w:t>
      </w:r>
      <w:r>
        <w:rPr>
          <w:rFonts w:hint="eastAsia" w:ascii="宋体" w:hAnsi="宋体" w:eastAsia="宋体" w:cs="宋体"/>
          <w:sz w:val="24"/>
          <w:szCs w:val="24"/>
        </w:rPr>
        <w:t>的响应文件相互混放</w:t>
      </w:r>
      <w:r>
        <w:rPr>
          <w:rFonts w:hint="eastAsia" w:ascii="宋体" w:hAnsi="宋体" w:eastAsia="宋体" w:cs="宋体"/>
          <w:sz w:val="24"/>
          <w:szCs w:val="24"/>
          <w:lang w:eastAsia="zh-CN"/>
        </w:rPr>
        <w:t>；</w:t>
      </w:r>
    </w:p>
    <w:p w14:paraId="6FEFD2D7">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.2 </w:t>
      </w:r>
      <w:r>
        <w:rPr>
          <w:rFonts w:hint="eastAsia" w:ascii="宋体" w:hAnsi="宋体" w:eastAsia="宋体" w:cs="宋体"/>
          <w:sz w:val="24"/>
          <w:szCs w:val="24"/>
          <w:lang w:eastAsia="zh-CN"/>
        </w:rPr>
        <w:t>供应商</w:t>
      </w:r>
      <w:r>
        <w:rPr>
          <w:rFonts w:hint="eastAsia" w:ascii="宋体" w:hAnsi="宋体" w:eastAsia="宋体" w:cs="宋体"/>
          <w:sz w:val="24"/>
          <w:szCs w:val="24"/>
        </w:rPr>
        <w:t>出现下列情形之一的，将被视为非实质性响应磋商文件要求：</w:t>
      </w:r>
    </w:p>
    <w:p w14:paraId="341DDF8F">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 服务（完成）期限不确切或不符合磋商文件要求的；</w:t>
      </w:r>
    </w:p>
    <w:p w14:paraId="3283A5ED">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 最后报价有选择性的；</w:t>
      </w:r>
    </w:p>
    <w:p w14:paraId="53DB2E73">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 最后报价超过招标控制价的；</w:t>
      </w:r>
    </w:p>
    <w:p w14:paraId="0A5D85D6">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 被磋商小组认定存在重大负偏离的；</w:t>
      </w:r>
    </w:p>
    <w:p w14:paraId="6B70AA2D">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注：所谓重大负偏离是指</w:t>
      </w:r>
      <w:r>
        <w:rPr>
          <w:rFonts w:hint="eastAsia" w:ascii="宋体" w:hAnsi="宋体" w:eastAsia="宋体" w:cs="宋体"/>
          <w:sz w:val="24"/>
          <w:szCs w:val="24"/>
          <w:lang w:eastAsia="zh-CN"/>
        </w:rPr>
        <w:t>供应商</w:t>
      </w:r>
      <w:r>
        <w:rPr>
          <w:rFonts w:hint="eastAsia" w:ascii="宋体" w:hAnsi="宋体" w:eastAsia="宋体" w:cs="宋体"/>
          <w:sz w:val="24"/>
          <w:szCs w:val="24"/>
        </w:rPr>
        <w:t>对磋商文件的响应在范围、质量、数量和服务期限、技术规格要求等方面明显不能满足采购需求的。重大负偏离的认定须经磋商小组三分之二以上同意。</w:t>
      </w:r>
    </w:p>
    <w:p w14:paraId="0D391BF1">
      <w:pPr>
        <w:pageBreakBefore w:val="0"/>
        <w:wordWrap/>
        <w:overflowPunct/>
        <w:topLinePunct w:val="0"/>
        <w:autoSpaceDE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．询问</w:t>
      </w:r>
    </w:p>
    <w:p w14:paraId="0830F40E">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对采购事项有疑问，可以按照《政府采购法》的相关规定向采购人或采购代理机构提出询问。</w:t>
      </w:r>
    </w:p>
    <w:p w14:paraId="481FB130">
      <w:pPr>
        <w:pageBreakBefore w:val="0"/>
        <w:wordWrap/>
        <w:overflowPunct/>
        <w:topLinePunct w:val="0"/>
        <w:autoSpaceDE w:val="0"/>
        <w:bidi w:val="0"/>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28</w:t>
      </w:r>
      <w:r>
        <w:rPr>
          <w:rFonts w:hint="eastAsia" w:ascii="宋体" w:hAnsi="宋体" w:eastAsia="宋体" w:cs="宋体"/>
          <w:b/>
          <w:bCs/>
          <w:sz w:val="24"/>
          <w:szCs w:val="24"/>
        </w:rPr>
        <w:t>.质疑程序及处理</w:t>
      </w:r>
    </w:p>
    <w:p w14:paraId="26C4E8A0">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.1 若竞争性磋商供应商认为其磋商未获公平评审或磋商文件、采购过程和成交结果使自己的合法权益受到损害，可以在知道或者应知其权益受到损害之日起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18A6619F">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（一）对可以质疑的磋商文件提出质疑的，为收到磋商文件之日或者磋商文件公告期限届满之日；</w:t>
      </w:r>
    </w:p>
    <w:p w14:paraId="14AF609D">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14:paraId="4E96B339">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（三）对成交结果提出质疑的，为成交结果公告期限届满之日。</w:t>
      </w:r>
    </w:p>
    <w:p w14:paraId="40B3FDED">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.2 质疑书应当包括下列主要内容，并按照“谁主张、谁举证”的原则，附上相关证明材料。否则，采购人不予受理：</w:t>
      </w:r>
    </w:p>
    <w:p w14:paraId="615B23D5">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（一）质疑</w:t>
      </w:r>
      <w:r>
        <w:rPr>
          <w:rFonts w:hint="eastAsia" w:ascii="宋体" w:hAnsi="宋体" w:eastAsia="宋体" w:cs="宋体"/>
          <w:sz w:val="24"/>
          <w:szCs w:val="24"/>
          <w:lang w:eastAsia="zh-CN"/>
        </w:rPr>
        <w:t>供应商</w:t>
      </w:r>
      <w:r>
        <w:rPr>
          <w:rFonts w:hint="eastAsia" w:ascii="宋体" w:hAnsi="宋体" w:eastAsia="宋体" w:cs="宋体"/>
          <w:sz w:val="24"/>
          <w:szCs w:val="24"/>
        </w:rPr>
        <w:t>全称、地址、法定代表人、联系人及联系电话、邮政编码等；</w:t>
      </w:r>
    </w:p>
    <w:p w14:paraId="7A6F9CEF">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（二）被质疑采购项目的名称、编号；</w:t>
      </w:r>
    </w:p>
    <w:p w14:paraId="12758323">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（三）质疑的具体事项、明确的请求和主张；</w:t>
      </w:r>
    </w:p>
    <w:p w14:paraId="03079C07">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（四）质疑所依据的法律依据（具体条款）、具体事实和具体理由。质疑书依据理由部分只有主观陈述、推理、猜测等，而没有提供客观事实依据、法律依据的；</w:t>
      </w:r>
    </w:p>
    <w:p w14:paraId="152FBC02">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（五）质疑事项按照有关法律、法规和规章规定及竞争性磋商文件要求属于保密或者处于保密阶段的事项，</w:t>
      </w:r>
      <w:r>
        <w:rPr>
          <w:rFonts w:hint="eastAsia" w:ascii="宋体" w:hAnsi="宋体" w:eastAsia="宋体" w:cs="宋体"/>
          <w:sz w:val="24"/>
          <w:szCs w:val="24"/>
          <w:lang w:eastAsia="zh-CN"/>
        </w:rPr>
        <w:t>供应商</w:t>
      </w:r>
      <w:r>
        <w:rPr>
          <w:rFonts w:hint="eastAsia" w:ascii="宋体" w:hAnsi="宋体" w:eastAsia="宋体" w:cs="宋体"/>
          <w:sz w:val="24"/>
          <w:szCs w:val="24"/>
        </w:rPr>
        <w:t>必须提供正常的信息来源或有效证据，</w:t>
      </w:r>
      <w:r>
        <w:rPr>
          <w:rFonts w:hint="eastAsia" w:ascii="宋体" w:hAnsi="宋体" w:eastAsia="宋体" w:cs="宋体"/>
          <w:sz w:val="24"/>
          <w:szCs w:val="24"/>
          <w:lang w:eastAsia="zh-CN"/>
        </w:rPr>
        <w:t>供应商</w:t>
      </w:r>
      <w:r>
        <w:rPr>
          <w:rFonts w:hint="eastAsia" w:ascii="宋体" w:hAnsi="宋体" w:eastAsia="宋体" w:cs="宋体"/>
          <w:sz w:val="24"/>
          <w:szCs w:val="24"/>
        </w:rPr>
        <w:t>不能提供或者拒绝提供合法的信息来源或有效证据的；</w:t>
      </w:r>
    </w:p>
    <w:p w14:paraId="4EC5474D">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（六）充足有效的相关证明材料；如果涉及到产品功能或技术指标的，应出具相关制造商的证明文件；</w:t>
      </w:r>
    </w:p>
    <w:p w14:paraId="11DA0473">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（七）质疑材料中有外文资料的，应一并附上中文译本，并以中文译本为准。</w:t>
      </w:r>
    </w:p>
    <w:p w14:paraId="7D297049">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（八）提起质疑的日期</w:t>
      </w:r>
    </w:p>
    <w:p w14:paraId="622A714E">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 xml:space="preserve">.3 </w:t>
      </w:r>
      <w:r>
        <w:rPr>
          <w:rFonts w:hint="eastAsia" w:ascii="宋体" w:hAnsi="宋体" w:eastAsia="宋体" w:cs="宋体"/>
          <w:sz w:val="24"/>
          <w:szCs w:val="24"/>
          <w:lang w:eastAsia="zh-CN"/>
        </w:rPr>
        <w:t>供应商</w:t>
      </w:r>
      <w:r>
        <w:rPr>
          <w:rFonts w:hint="eastAsia" w:ascii="宋体" w:hAnsi="宋体" w:eastAsia="宋体" w:cs="宋体"/>
          <w:sz w:val="24"/>
          <w:szCs w:val="24"/>
        </w:rPr>
        <w:t>质疑实行实名制并须在质疑书上署名。</w:t>
      </w:r>
      <w:r>
        <w:rPr>
          <w:rFonts w:hint="eastAsia" w:ascii="宋体" w:hAnsi="宋体" w:eastAsia="宋体" w:cs="宋体"/>
          <w:sz w:val="24"/>
          <w:szCs w:val="24"/>
          <w:lang w:eastAsia="zh-CN"/>
        </w:rPr>
        <w:t>供应商</w:t>
      </w:r>
      <w:r>
        <w:rPr>
          <w:rFonts w:hint="eastAsia" w:ascii="宋体" w:hAnsi="宋体" w:eastAsia="宋体" w:cs="宋体"/>
          <w:sz w:val="24"/>
          <w:szCs w:val="24"/>
        </w:rPr>
        <w:t>不得进行虚假、恶意质疑，不得以质疑为手段获取不当得利、实现非法目的。</w:t>
      </w:r>
      <w:r>
        <w:rPr>
          <w:rFonts w:hint="eastAsia" w:ascii="宋体" w:hAnsi="宋体" w:eastAsia="宋体" w:cs="宋体"/>
          <w:sz w:val="24"/>
          <w:szCs w:val="24"/>
          <w:lang w:eastAsia="zh-CN"/>
        </w:rPr>
        <w:t>供应商</w:t>
      </w:r>
      <w:r>
        <w:rPr>
          <w:rFonts w:hint="eastAsia" w:ascii="宋体" w:hAnsi="宋体" w:eastAsia="宋体" w:cs="宋体"/>
          <w:sz w:val="24"/>
          <w:szCs w:val="24"/>
        </w:rPr>
        <w:t>为自然人的，应当由本人签字；</w:t>
      </w:r>
      <w:r>
        <w:rPr>
          <w:rFonts w:hint="eastAsia" w:ascii="宋体" w:hAnsi="宋体" w:eastAsia="宋体" w:cs="宋体"/>
          <w:sz w:val="24"/>
          <w:szCs w:val="24"/>
          <w:lang w:eastAsia="zh-CN"/>
        </w:rPr>
        <w:t>供应商</w:t>
      </w:r>
      <w:r>
        <w:rPr>
          <w:rFonts w:hint="eastAsia" w:ascii="宋体" w:hAnsi="宋体" w:eastAsia="宋体" w:cs="宋体"/>
          <w:sz w:val="24"/>
          <w:szCs w:val="24"/>
        </w:rPr>
        <w:t>为法人的，应当由法定代表人签字或盖章并加盖公章；</w:t>
      </w:r>
      <w:r>
        <w:rPr>
          <w:rFonts w:hint="eastAsia" w:ascii="宋体" w:hAnsi="宋体" w:eastAsia="宋体" w:cs="宋体"/>
          <w:sz w:val="24"/>
          <w:szCs w:val="24"/>
          <w:lang w:eastAsia="zh-CN"/>
        </w:rPr>
        <w:t>供应商</w:t>
      </w:r>
      <w:r>
        <w:rPr>
          <w:rFonts w:hint="eastAsia" w:ascii="宋体" w:hAnsi="宋体" w:eastAsia="宋体" w:cs="宋体"/>
          <w:sz w:val="24"/>
          <w:szCs w:val="24"/>
        </w:rPr>
        <w:t>为其他组织的，应当由主要负责人签字或盖章并加盖公章。</w:t>
      </w:r>
      <w:r>
        <w:rPr>
          <w:rFonts w:hint="eastAsia" w:ascii="宋体" w:hAnsi="宋体" w:eastAsia="宋体" w:cs="宋体"/>
          <w:sz w:val="24"/>
          <w:szCs w:val="24"/>
          <w:lang w:eastAsia="zh-CN"/>
        </w:rPr>
        <w:t>供应商</w:t>
      </w:r>
      <w:r>
        <w:rPr>
          <w:rFonts w:hint="eastAsia" w:ascii="宋体" w:hAnsi="宋体" w:eastAsia="宋体" w:cs="宋体"/>
          <w:sz w:val="24"/>
          <w:szCs w:val="24"/>
        </w:rPr>
        <w:t>其他工作人员或代理人员在质疑书上的署名不具有法律效力。</w:t>
      </w:r>
    </w:p>
    <w:p w14:paraId="56A4BA8B">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.4 </w:t>
      </w:r>
      <w:r>
        <w:rPr>
          <w:rFonts w:hint="eastAsia" w:ascii="宋体" w:hAnsi="宋体" w:eastAsia="宋体" w:cs="宋体"/>
          <w:sz w:val="24"/>
          <w:szCs w:val="24"/>
          <w:lang w:eastAsia="zh-CN"/>
        </w:rPr>
        <w:t>供应商</w:t>
      </w:r>
      <w:r>
        <w:rPr>
          <w:rFonts w:hint="eastAsia" w:ascii="宋体" w:hAnsi="宋体" w:eastAsia="宋体" w:cs="宋体"/>
          <w:sz w:val="24"/>
          <w:szCs w:val="24"/>
        </w:rPr>
        <w:t>委托代理人办理质疑事宜，应当提交授权委托书，并载明委托代理的具体权限和事项。授权委托书应当由委托人签字并加盖单位公章。</w:t>
      </w:r>
    </w:p>
    <w:p w14:paraId="06E52D1E">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8</w:t>
      </w:r>
      <w:r>
        <w:rPr>
          <w:rFonts w:hint="eastAsia" w:ascii="宋体" w:hAnsi="宋体" w:eastAsia="宋体" w:cs="宋体"/>
          <w:sz w:val="24"/>
          <w:szCs w:val="24"/>
        </w:rPr>
        <w:t>.5 提交质疑书时，</w:t>
      </w:r>
      <w:r>
        <w:rPr>
          <w:rFonts w:hint="eastAsia" w:ascii="宋体" w:hAnsi="宋体" w:eastAsia="宋体" w:cs="宋体"/>
          <w:sz w:val="24"/>
          <w:szCs w:val="24"/>
          <w:lang w:eastAsia="zh-CN"/>
        </w:rPr>
        <w:t>供应商</w:t>
      </w:r>
      <w:r>
        <w:rPr>
          <w:rFonts w:hint="eastAsia" w:ascii="宋体" w:hAnsi="宋体" w:eastAsia="宋体" w:cs="宋体"/>
          <w:sz w:val="24"/>
          <w:szCs w:val="24"/>
        </w:rPr>
        <w:t>应同时提交本人身份证，委托他人代理质疑事宜的，还应提交被委托人的身份证。</w:t>
      </w:r>
      <w:r>
        <w:rPr>
          <w:rFonts w:hint="eastAsia" w:ascii="宋体" w:hAnsi="宋体" w:eastAsia="宋体" w:cs="宋体"/>
          <w:sz w:val="24"/>
          <w:szCs w:val="24"/>
          <w:lang w:eastAsia="zh-CN"/>
        </w:rPr>
        <w:t>供应商</w:t>
      </w:r>
      <w:r>
        <w:rPr>
          <w:rFonts w:hint="eastAsia" w:ascii="宋体" w:hAnsi="宋体" w:eastAsia="宋体" w:cs="宋体"/>
          <w:sz w:val="24"/>
          <w:szCs w:val="24"/>
        </w:rPr>
        <w:t>是法人的，应一并提交法人营业执照和法定代表人身份证；</w:t>
      </w:r>
      <w:r>
        <w:rPr>
          <w:rFonts w:hint="eastAsia" w:ascii="宋体" w:hAnsi="宋体" w:eastAsia="宋体" w:cs="宋体"/>
          <w:sz w:val="24"/>
          <w:szCs w:val="24"/>
          <w:lang w:eastAsia="zh-CN"/>
        </w:rPr>
        <w:t>供应商</w:t>
      </w:r>
      <w:r>
        <w:rPr>
          <w:rFonts w:hint="eastAsia" w:ascii="宋体" w:hAnsi="宋体" w:eastAsia="宋体" w:cs="宋体"/>
          <w:sz w:val="24"/>
          <w:szCs w:val="24"/>
        </w:rPr>
        <w:t>是其他组织的，应一并提交其他组织经营许可证和主要负责人身份证。</w:t>
      </w:r>
      <w:r>
        <w:rPr>
          <w:rFonts w:hint="eastAsia" w:ascii="宋体" w:hAnsi="宋体" w:eastAsia="宋体" w:cs="宋体"/>
          <w:sz w:val="24"/>
          <w:szCs w:val="24"/>
          <w:lang w:eastAsia="zh-CN"/>
        </w:rPr>
        <w:t>供应商</w:t>
      </w:r>
      <w:r>
        <w:rPr>
          <w:rFonts w:hint="eastAsia" w:ascii="宋体" w:hAnsi="宋体" w:eastAsia="宋体" w:cs="宋体"/>
          <w:sz w:val="24"/>
          <w:szCs w:val="24"/>
        </w:rPr>
        <w:t>应当提供上述证明材料的原件及复印件，原件经采购人核对无误后返还。</w:t>
      </w:r>
    </w:p>
    <w:p w14:paraId="17F55D80">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8</w:t>
      </w:r>
      <w:r>
        <w:rPr>
          <w:rFonts w:hint="eastAsia" w:ascii="宋体" w:hAnsi="宋体" w:eastAsia="宋体" w:cs="宋体"/>
          <w:sz w:val="24"/>
          <w:szCs w:val="24"/>
        </w:rPr>
        <w:t>.6 质疑书提交方式。</w:t>
      </w:r>
      <w:r>
        <w:rPr>
          <w:rFonts w:hint="eastAsia" w:ascii="宋体" w:hAnsi="宋体" w:eastAsia="宋体" w:cs="宋体"/>
          <w:sz w:val="24"/>
          <w:szCs w:val="24"/>
          <w:lang w:eastAsia="zh-CN"/>
        </w:rPr>
        <w:t>供应商</w:t>
      </w:r>
      <w:r>
        <w:rPr>
          <w:rFonts w:hint="eastAsia" w:ascii="宋体" w:hAnsi="宋体" w:eastAsia="宋体" w:cs="宋体"/>
          <w:sz w:val="24"/>
          <w:szCs w:val="24"/>
        </w:rPr>
        <w:t>或者其委托代理人应当当面提交质疑书及相关证明材料。</w:t>
      </w:r>
      <w:r>
        <w:rPr>
          <w:rFonts w:hint="eastAsia" w:ascii="宋体" w:hAnsi="宋体" w:eastAsia="宋体" w:cs="宋体"/>
          <w:sz w:val="24"/>
          <w:szCs w:val="24"/>
          <w:lang w:eastAsia="zh-CN"/>
        </w:rPr>
        <w:t>供应商</w:t>
      </w:r>
      <w:r>
        <w:rPr>
          <w:rFonts w:hint="eastAsia" w:ascii="宋体" w:hAnsi="宋体" w:eastAsia="宋体" w:cs="宋体"/>
          <w:sz w:val="24"/>
          <w:szCs w:val="24"/>
        </w:rPr>
        <w:t>以电子邮件、传真等其他方式提交质疑书及相关证明材料的，或者不是</w:t>
      </w:r>
      <w:r>
        <w:rPr>
          <w:rFonts w:hint="eastAsia" w:ascii="宋体" w:hAnsi="宋体" w:eastAsia="宋体" w:cs="宋体"/>
          <w:sz w:val="24"/>
          <w:szCs w:val="24"/>
          <w:lang w:eastAsia="zh-CN"/>
        </w:rPr>
        <w:t>供应商</w:t>
      </w:r>
      <w:r>
        <w:rPr>
          <w:rFonts w:hint="eastAsia" w:ascii="宋体" w:hAnsi="宋体" w:eastAsia="宋体" w:cs="宋体"/>
          <w:sz w:val="24"/>
          <w:szCs w:val="24"/>
        </w:rPr>
        <w:t>或者其委托代理人提交质疑书及相关证明材料的，采购人或采购机构可以拒收。</w:t>
      </w:r>
    </w:p>
    <w:p w14:paraId="5CCCF726">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.7 </w:t>
      </w:r>
      <w:r>
        <w:rPr>
          <w:rFonts w:hint="eastAsia" w:ascii="宋体" w:hAnsi="宋体" w:eastAsia="宋体" w:cs="宋体"/>
          <w:sz w:val="24"/>
          <w:szCs w:val="24"/>
          <w:lang w:eastAsia="zh-CN"/>
        </w:rPr>
        <w:t>供应商</w:t>
      </w:r>
      <w:r>
        <w:rPr>
          <w:rFonts w:hint="eastAsia" w:ascii="宋体" w:hAnsi="宋体" w:eastAsia="宋体" w:cs="宋体"/>
          <w:sz w:val="24"/>
          <w:szCs w:val="24"/>
        </w:rPr>
        <w:t>不得虚假质疑和恶意质疑，并对质疑内容的真实性承担责任。</w:t>
      </w:r>
      <w:r>
        <w:rPr>
          <w:rFonts w:hint="eastAsia" w:ascii="宋体" w:hAnsi="宋体" w:eastAsia="宋体" w:cs="宋体"/>
          <w:sz w:val="24"/>
          <w:szCs w:val="24"/>
          <w:lang w:eastAsia="zh-CN"/>
        </w:rPr>
        <w:t>供应商</w:t>
      </w:r>
      <w:r>
        <w:rPr>
          <w:rFonts w:hint="eastAsia" w:ascii="宋体" w:hAnsi="宋体" w:eastAsia="宋体" w:cs="宋体"/>
          <w:sz w:val="24"/>
          <w:szCs w:val="24"/>
        </w:rPr>
        <w:t>或者其他利害关系人通过捏造事实、伪造证明材料等方式提出异议或投诉，阻碍招磋商活动正常进行的，属于严重不良行为，采购人将提请财政部门将其列入不良行为记录名单，并依法予以处罚。</w:t>
      </w:r>
    </w:p>
    <w:p w14:paraId="635A3608">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8</w:t>
      </w:r>
      <w:r>
        <w:rPr>
          <w:rFonts w:hint="eastAsia" w:ascii="宋体" w:hAnsi="宋体" w:eastAsia="宋体" w:cs="宋体"/>
          <w:sz w:val="24"/>
          <w:szCs w:val="24"/>
        </w:rPr>
        <w:t>.8 采购人将在收到符合上述条件的书面质疑后 7 个工作日内审查质疑事项，作出答复或相关处理决定，并以书面形式通知质疑</w:t>
      </w:r>
      <w:r>
        <w:rPr>
          <w:rFonts w:hint="eastAsia" w:ascii="宋体" w:hAnsi="宋体" w:eastAsia="宋体" w:cs="宋体"/>
          <w:sz w:val="24"/>
          <w:szCs w:val="24"/>
          <w:lang w:eastAsia="zh-CN"/>
        </w:rPr>
        <w:t>供应商</w:t>
      </w:r>
      <w:r>
        <w:rPr>
          <w:rFonts w:hint="eastAsia" w:ascii="宋体" w:hAnsi="宋体" w:eastAsia="宋体" w:cs="宋体"/>
          <w:sz w:val="24"/>
          <w:szCs w:val="24"/>
        </w:rPr>
        <w:t>和其他有关</w:t>
      </w:r>
      <w:r>
        <w:rPr>
          <w:rFonts w:hint="eastAsia" w:ascii="宋体" w:hAnsi="宋体" w:eastAsia="宋体" w:cs="宋体"/>
          <w:sz w:val="24"/>
          <w:szCs w:val="24"/>
          <w:lang w:eastAsia="zh-CN"/>
        </w:rPr>
        <w:t>供应商</w:t>
      </w:r>
      <w:r>
        <w:rPr>
          <w:rFonts w:hint="eastAsia" w:ascii="宋体" w:hAnsi="宋体" w:eastAsia="宋体" w:cs="宋体"/>
          <w:sz w:val="24"/>
          <w:szCs w:val="24"/>
        </w:rPr>
        <w:t>，但答复的内容不涉及商业秘密。若质疑涉及磋商制度或程序，将被转交政府采购的管理部门审查。采购人遵循“谁过错谁负担”的原则，有过错的一方承担调查论证费用。</w:t>
      </w:r>
    </w:p>
    <w:p w14:paraId="62F74C1C">
      <w:pPr>
        <w:pageBreakBefore w:val="0"/>
        <w:wordWrap/>
        <w:overflowPunct/>
        <w:topLinePunct w:val="0"/>
        <w:autoSpaceDE w:val="0"/>
        <w:bidi w:val="0"/>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8</w:t>
      </w:r>
      <w:r>
        <w:rPr>
          <w:rFonts w:hint="eastAsia" w:ascii="宋体" w:hAnsi="宋体" w:eastAsia="宋体" w:cs="宋体"/>
          <w:sz w:val="24"/>
          <w:szCs w:val="24"/>
        </w:rPr>
        <w:t>.9 质疑供应商对采购人的答复不满意以及采购人未在规定的时间内做出答复的，可以在答复期满后15个工作日内向财政部门投诉。</w:t>
      </w:r>
    </w:p>
    <w:p w14:paraId="38518C59">
      <w:pPr>
        <w:pageBreakBefore w:val="0"/>
        <w:wordWrap/>
        <w:overflowPunct/>
        <w:topLinePunct w:val="0"/>
        <w:bidi w:val="0"/>
        <w:outlineLvl w:val="9"/>
        <w:rPr>
          <w:rFonts w:hint="eastAsia" w:ascii="宋体" w:hAnsi="宋体" w:eastAsia="宋体" w:cs="Times New Roman"/>
          <w:sz w:val="24"/>
          <w:szCs w:val="24"/>
        </w:rPr>
      </w:pPr>
      <w:r>
        <w:rPr>
          <w:rFonts w:hint="eastAsia" w:ascii="宋体" w:hAnsi="宋体" w:eastAsia="宋体" w:cs="Times New Roman"/>
          <w:sz w:val="24"/>
          <w:szCs w:val="24"/>
        </w:rPr>
        <w:br w:type="page"/>
      </w:r>
    </w:p>
    <w:p w14:paraId="45F8362A">
      <w:pPr>
        <w:pageBreakBefore w:val="0"/>
        <w:widowControl/>
        <w:kinsoku/>
        <w:wordWrap/>
        <w:overflowPunct/>
        <w:topLinePunct w:val="0"/>
        <w:bidi w:val="0"/>
        <w:jc w:val="left"/>
        <w:outlineLvl w:val="9"/>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附件1：质疑函范本</w:t>
      </w:r>
    </w:p>
    <w:p w14:paraId="07F518B7">
      <w:pPr>
        <w:pageBreakBefore w:val="0"/>
        <w:kinsoku/>
        <w:wordWrap/>
        <w:overflowPunct/>
        <w:topLinePunct w:val="0"/>
        <w:bidi w:val="0"/>
        <w:spacing w:line="480" w:lineRule="exact"/>
        <w:jc w:val="center"/>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质疑函范本</w:t>
      </w:r>
    </w:p>
    <w:p w14:paraId="2C325355">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一、质疑</w:t>
      </w:r>
      <w:r>
        <w:rPr>
          <w:rFonts w:hint="eastAsia" w:asciiTheme="minorEastAsia" w:hAnsiTheme="minorEastAsia" w:eastAsiaTheme="minorEastAsia" w:cstheme="minorEastAsia"/>
          <w:color w:val="auto"/>
          <w:kern w:val="0"/>
          <w:sz w:val="24"/>
          <w:highlight w:val="none"/>
          <w:lang w:eastAsia="zh-CN"/>
        </w:rPr>
        <w:t>投标人</w:t>
      </w:r>
      <w:r>
        <w:rPr>
          <w:rFonts w:hint="eastAsia" w:asciiTheme="minorEastAsia" w:hAnsiTheme="minorEastAsia" w:eastAsiaTheme="minorEastAsia" w:cstheme="minorEastAsia"/>
          <w:color w:val="auto"/>
          <w:kern w:val="0"/>
          <w:sz w:val="24"/>
          <w:highlight w:val="none"/>
        </w:rPr>
        <w:t>基本信息</w:t>
      </w:r>
    </w:p>
    <w:p w14:paraId="18A9AFDA">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质疑</w:t>
      </w:r>
      <w:r>
        <w:rPr>
          <w:rFonts w:hint="eastAsia" w:asciiTheme="minorEastAsia" w:hAnsiTheme="minorEastAsia" w:eastAsiaTheme="minorEastAsia" w:cstheme="minorEastAsia"/>
          <w:color w:val="auto"/>
          <w:kern w:val="0"/>
          <w:sz w:val="24"/>
          <w:highlight w:val="none"/>
          <w:lang w:eastAsia="zh-CN"/>
        </w:rPr>
        <w:t>投标人</w:t>
      </w:r>
      <w:r>
        <w:rPr>
          <w:rFonts w:hint="eastAsia" w:asciiTheme="minorEastAsia" w:hAnsiTheme="minorEastAsia" w:eastAsiaTheme="minorEastAsia" w:cstheme="minorEastAsia"/>
          <w:color w:val="auto"/>
          <w:kern w:val="0"/>
          <w:sz w:val="24"/>
          <w:highlight w:val="none"/>
        </w:rPr>
        <w:t xml:space="preserve">：                                        </w:t>
      </w:r>
    </w:p>
    <w:p w14:paraId="61C764B0">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地址：                          邮编：                                 </w:t>
      </w:r>
    </w:p>
    <w:p w14:paraId="24494521">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联系人：                      联系电话：                              </w:t>
      </w:r>
    </w:p>
    <w:p w14:paraId="63AB1471">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授权代表：                                          </w:t>
      </w:r>
    </w:p>
    <w:p w14:paraId="19CDCA5F">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联系电话：                                            </w:t>
      </w:r>
    </w:p>
    <w:p w14:paraId="145B2647">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地址：                         邮编：                                       </w:t>
      </w:r>
    </w:p>
    <w:p w14:paraId="2D20F130">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二、质疑项目基本情况</w:t>
      </w:r>
    </w:p>
    <w:p w14:paraId="12CA3415">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质疑项目的名称：                                      </w:t>
      </w:r>
    </w:p>
    <w:p w14:paraId="0F6D5B4B">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质疑项目的编号：               包号：                 </w:t>
      </w:r>
    </w:p>
    <w:p w14:paraId="1B11E8C7">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招标人名称：                                         </w:t>
      </w:r>
    </w:p>
    <w:p w14:paraId="1C7D2410">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招标文件获取日期：                                           </w:t>
      </w:r>
    </w:p>
    <w:p w14:paraId="4517D39E">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三、质疑事项具体内容</w:t>
      </w:r>
    </w:p>
    <w:p w14:paraId="6A955F2F">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质疑事项1：                                         </w:t>
      </w:r>
    </w:p>
    <w:p w14:paraId="323135D3">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事实依据：                                          </w:t>
      </w:r>
    </w:p>
    <w:p w14:paraId="033523F3">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p>
    <w:p w14:paraId="3E372199">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法律依据：                                          </w:t>
      </w:r>
    </w:p>
    <w:p w14:paraId="13EF30E2">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p>
    <w:p w14:paraId="7183B2D7">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质疑事项2</w:t>
      </w:r>
    </w:p>
    <w:p w14:paraId="2D962F3B">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p w14:paraId="4752F240">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bCs/>
          <w:color w:val="auto"/>
          <w:kern w:val="0"/>
          <w:sz w:val="24"/>
          <w:highlight w:val="none"/>
        </w:rPr>
      </w:pPr>
      <w:r>
        <w:rPr>
          <w:rFonts w:hint="eastAsia" w:asciiTheme="minorEastAsia" w:hAnsiTheme="minorEastAsia" w:eastAsiaTheme="minorEastAsia" w:cstheme="minorEastAsia"/>
          <w:bCs/>
          <w:color w:val="auto"/>
          <w:kern w:val="0"/>
          <w:sz w:val="24"/>
          <w:highlight w:val="none"/>
        </w:rPr>
        <w:t>四、与质疑事项相关的质疑请求</w:t>
      </w:r>
    </w:p>
    <w:p w14:paraId="21D54619">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请求：                                               </w:t>
      </w:r>
    </w:p>
    <w:p w14:paraId="2113A1C6">
      <w:pPr>
        <w:pageBreakBefore w:val="0"/>
        <w:kinsoku/>
        <w:wordWrap/>
        <w:overflowPunct/>
        <w:topLinePunct w:val="0"/>
        <w:bidi w:val="0"/>
        <w:spacing w:line="480" w:lineRule="exact"/>
        <w:ind w:firstLine="480" w:firstLineChars="200"/>
        <w:outlineLvl w:val="9"/>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签字(签章)：                   公章：                      </w:t>
      </w:r>
    </w:p>
    <w:p w14:paraId="29FD836D">
      <w:pPr>
        <w:pageBreakBefore w:val="0"/>
        <w:wordWrap/>
        <w:overflowPunct/>
        <w:topLinePunct w:val="0"/>
        <w:bidi w:val="0"/>
        <w:ind w:firstLine="480" w:firstLineChars="200"/>
        <w:outlineLvl w:val="9"/>
        <w:rPr>
          <w:rFonts w:ascii="宋体" w:hAnsi="宋体" w:eastAsia="宋体" w:cs="宋体"/>
          <w:b/>
          <w:bCs/>
          <w:sz w:val="32"/>
          <w:szCs w:val="32"/>
        </w:rPr>
      </w:pPr>
      <w:r>
        <w:rPr>
          <w:rFonts w:hint="eastAsia" w:asciiTheme="minorEastAsia" w:hAnsiTheme="minorEastAsia" w:eastAsiaTheme="minorEastAsia" w:cstheme="minorEastAsia"/>
          <w:color w:val="auto"/>
          <w:sz w:val="24"/>
          <w:highlight w:val="none"/>
        </w:rPr>
        <w:t>日期：</w:t>
      </w:r>
      <w:r>
        <w:rPr>
          <w:rFonts w:ascii="宋体" w:hAnsi="宋体" w:eastAsia="宋体" w:cs="宋体"/>
          <w:b/>
          <w:bCs/>
          <w:sz w:val="32"/>
          <w:szCs w:val="32"/>
        </w:rPr>
        <w:br w:type="page"/>
      </w:r>
    </w:p>
    <w:p w14:paraId="78E1200A">
      <w:pPr>
        <w:keepNext w:val="0"/>
        <w:keepLines w:val="0"/>
        <w:pageBreakBefore w:val="0"/>
        <w:widowControl w:val="0"/>
        <w:tabs>
          <w:tab w:val="left" w:pos="1123"/>
        </w:tabs>
        <w:kinsoku/>
        <w:wordWrap/>
        <w:overflowPunct/>
        <w:topLinePunct w:val="0"/>
        <w:autoSpaceDE/>
        <w:autoSpaceDN/>
        <w:bidi w:val="0"/>
        <w:adjustRightInd/>
        <w:snapToGrid/>
        <w:spacing w:before="62"/>
        <w:ind w:right="17"/>
        <w:jc w:val="center"/>
        <w:textAlignment w:val="auto"/>
        <w:outlineLvl w:val="0"/>
        <w:rPr>
          <w:rFonts w:ascii="宋体" w:hAnsi="宋体" w:eastAsia="宋体" w:cs="宋体"/>
          <w:b/>
          <w:bCs/>
          <w:sz w:val="32"/>
          <w:szCs w:val="36"/>
        </w:rPr>
      </w:pPr>
      <w:bookmarkStart w:id="3" w:name="_Toc11759"/>
      <w:r>
        <w:rPr>
          <w:rFonts w:ascii="宋体" w:hAnsi="宋体" w:eastAsia="宋体" w:cs="宋体"/>
          <w:b/>
          <w:bCs/>
          <w:sz w:val="32"/>
          <w:szCs w:val="32"/>
        </w:rPr>
        <w:t>第三章</w:t>
      </w:r>
      <w:r>
        <w:rPr>
          <w:rFonts w:hint="eastAsia" w:ascii="宋体" w:hAnsi="宋体" w:eastAsia="宋体" w:cs="宋体"/>
          <w:b/>
          <w:bCs/>
          <w:sz w:val="32"/>
          <w:szCs w:val="32"/>
          <w:lang w:eastAsia="zh-CN"/>
        </w:rPr>
        <w:t>、</w:t>
      </w:r>
      <w:r>
        <w:rPr>
          <w:rFonts w:ascii="宋体" w:hAnsi="宋体" w:eastAsia="宋体" w:cs="宋体"/>
          <w:b/>
          <w:bCs/>
          <w:sz w:val="32"/>
          <w:szCs w:val="32"/>
        </w:rPr>
        <w:t>评标办法</w:t>
      </w:r>
      <w:bookmarkEnd w:id="3"/>
    </w:p>
    <w:p w14:paraId="00F107C9">
      <w:pPr>
        <w:pageBreakBefore w:val="0"/>
        <w:wordWrap/>
        <w:overflowPunct/>
        <w:topLinePunct w:val="0"/>
        <w:bidi w:val="0"/>
        <w:spacing w:before="210" w:after="3"/>
        <w:ind w:right="776"/>
        <w:jc w:val="left"/>
        <w:outlineLvl w:val="9"/>
        <w:rPr>
          <w:rFonts w:ascii="宋体" w:hAnsi="宋体" w:eastAsia="宋体" w:cs="宋体"/>
          <w:sz w:val="24"/>
          <w:szCs w:val="28"/>
        </w:rPr>
      </w:pPr>
      <w:r>
        <w:rPr>
          <w:rFonts w:ascii="宋体" w:hAnsi="宋体" w:eastAsia="宋体" w:cs="宋体"/>
          <w:sz w:val="24"/>
          <w:szCs w:val="28"/>
        </w:rPr>
        <w:t>本次项目的评审分为初步审查和</w:t>
      </w:r>
      <w:r>
        <w:rPr>
          <w:rFonts w:hint="eastAsia" w:ascii="宋体" w:hAnsi="宋体" w:eastAsia="宋体" w:cs="宋体"/>
          <w:sz w:val="24"/>
          <w:szCs w:val="28"/>
          <w:lang w:eastAsia="zh-CN"/>
        </w:rPr>
        <w:t>详细评审</w:t>
      </w:r>
      <w:r>
        <w:rPr>
          <w:rFonts w:ascii="宋体" w:hAnsi="宋体" w:eastAsia="宋体" w:cs="宋体"/>
          <w:sz w:val="24"/>
          <w:szCs w:val="28"/>
        </w:rPr>
        <w:t>。</w:t>
      </w:r>
      <w:r>
        <w:rPr>
          <w:rFonts w:hint="eastAsia" w:ascii="宋体" w:hAnsi="宋体" w:eastAsia="宋体" w:cs="宋体"/>
          <w:sz w:val="24"/>
          <w:szCs w:val="28"/>
          <w:lang w:eastAsia="zh-CN"/>
        </w:rPr>
        <w:t>详细评审</w:t>
      </w:r>
      <w:r>
        <w:rPr>
          <w:rFonts w:ascii="宋体" w:hAnsi="宋体" w:eastAsia="宋体" w:cs="宋体"/>
          <w:sz w:val="24"/>
          <w:szCs w:val="28"/>
        </w:rPr>
        <w:t>采用综合评分法，总分为 100 分。评审因素如下：</w:t>
      </w:r>
    </w:p>
    <w:p w14:paraId="1321A08F">
      <w:pPr>
        <w:pageBreakBefore w:val="0"/>
        <w:wordWrap/>
        <w:overflowPunct/>
        <w:topLinePunct w:val="0"/>
        <w:bidi w:val="0"/>
        <w:spacing w:before="210" w:after="3"/>
        <w:ind w:left="755" w:right="776"/>
        <w:outlineLvl w:val="9"/>
        <w:rPr>
          <w:rFonts w:ascii="宋体" w:hAnsi="宋体" w:eastAsia="宋体" w:cs="宋体"/>
          <w:b/>
          <w:bCs/>
          <w:sz w:val="24"/>
          <w:szCs w:val="28"/>
        </w:rPr>
      </w:pPr>
      <w:r>
        <w:rPr>
          <w:rFonts w:ascii="宋体" w:hAnsi="宋体" w:eastAsia="宋体" w:cs="宋体"/>
          <w:b/>
          <w:bCs/>
          <w:sz w:val="24"/>
          <w:szCs w:val="28"/>
        </w:rPr>
        <w:t>一、初步审查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918"/>
        <w:gridCol w:w="3231"/>
        <w:gridCol w:w="4665"/>
      </w:tblGrid>
      <w:tr w14:paraId="21CD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2" w:type="pct"/>
            <w:gridSpan w:val="2"/>
            <w:vAlign w:val="center"/>
          </w:tcPr>
          <w:p w14:paraId="16813D52">
            <w:pPr>
              <w:pageBreakBefore w:val="0"/>
              <w:widowControl/>
              <w:wordWrap/>
              <w:overflowPunct/>
              <w:topLinePunct w:val="0"/>
              <w:bidi w:val="0"/>
              <w:spacing w:line="360" w:lineRule="auto"/>
              <w:jc w:val="center"/>
              <w:outlineLvl w:val="9"/>
              <w:rPr>
                <w:rFonts w:ascii="宋体" w:hAnsi="宋体" w:eastAsia="宋体" w:cs="宋体"/>
                <w:kern w:val="0"/>
                <w:sz w:val="24"/>
                <w:szCs w:val="24"/>
              </w:rPr>
            </w:pPr>
            <w:bookmarkStart w:id="4" w:name="_Toc9836"/>
            <w:r>
              <w:rPr>
                <w:rFonts w:hint="eastAsia" w:ascii="宋体" w:hAnsi="宋体" w:eastAsia="宋体" w:cs="宋体"/>
                <w:kern w:val="0"/>
                <w:sz w:val="24"/>
                <w:szCs w:val="24"/>
              </w:rPr>
              <w:t>条款</w:t>
            </w:r>
          </w:p>
        </w:tc>
        <w:tc>
          <w:tcPr>
            <w:tcW w:w="1640" w:type="pct"/>
            <w:vAlign w:val="center"/>
          </w:tcPr>
          <w:p w14:paraId="38E90D5B">
            <w:pPr>
              <w:pageBreakBefore w:val="0"/>
              <w:widowControl/>
              <w:wordWrap/>
              <w:overflowPunct/>
              <w:topLinePunct w:val="0"/>
              <w:bidi w:val="0"/>
              <w:spacing w:line="360" w:lineRule="auto"/>
              <w:jc w:val="center"/>
              <w:outlineLvl w:val="9"/>
              <w:rPr>
                <w:rFonts w:ascii="宋体" w:hAnsi="宋体" w:eastAsia="宋体" w:cs="宋体"/>
                <w:kern w:val="0"/>
                <w:sz w:val="24"/>
                <w:szCs w:val="24"/>
              </w:rPr>
            </w:pPr>
            <w:r>
              <w:rPr>
                <w:rFonts w:hint="eastAsia" w:ascii="宋体" w:hAnsi="宋体" w:eastAsia="宋体" w:cs="宋体"/>
                <w:kern w:val="0"/>
                <w:sz w:val="24"/>
                <w:szCs w:val="24"/>
              </w:rPr>
              <w:t>评审因素</w:t>
            </w:r>
          </w:p>
        </w:tc>
        <w:tc>
          <w:tcPr>
            <w:tcW w:w="2367" w:type="pct"/>
            <w:vAlign w:val="center"/>
          </w:tcPr>
          <w:p w14:paraId="01035326">
            <w:pPr>
              <w:pageBreakBefore w:val="0"/>
              <w:widowControl/>
              <w:wordWrap/>
              <w:overflowPunct/>
              <w:topLinePunct w:val="0"/>
              <w:bidi w:val="0"/>
              <w:spacing w:line="360" w:lineRule="auto"/>
              <w:jc w:val="center"/>
              <w:outlineLvl w:val="9"/>
              <w:rPr>
                <w:rFonts w:ascii="宋体" w:hAnsi="宋体" w:eastAsia="宋体" w:cs="宋体"/>
                <w:kern w:val="0"/>
                <w:sz w:val="24"/>
                <w:szCs w:val="24"/>
              </w:rPr>
            </w:pPr>
            <w:r>
              <w:rPr>
                <w:rFonts w:hint="eastAsia" w:ascii="宋体" w:hAnsi="宋体" w:eastAsia="宋体" w:cs="宋体"/>
                <w:kern w:val="0"/>
                <w:sz w:val="24"/>
                <w:szCs w:val="24"/>
              </w:rPr>
              <w:t>评审标准</w:t>
            </w:r>
          </w:p>
        </w:tc>
      </w:tr>
      <w:tr w14:paraId="1FB6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jc w:val="center"/>
        </w:trPr>
        <w:tc>
          <w:tcPr>
            <w:tcW w:w="526" w:type="pct"/>
            <w:vMerge w:val="restart"/>
            <w:vAlign w:val="center"/>
          </w:tcPr>
          <w:p w14:paraId="31DCD9CD">
            <w:pPr>
              <w:pageBreakBefore w:val="0"/>
              <w:widowControl/>
              <w:wordWrap/>
              <w:overflowPunct/>
              <w:topLinePunct w:val="0"/>
              <w:bidi w:val="0"/>
              <w:spacing w:line="360" w:lineRule="auto"/>
              <w:jc w:val="center"/>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3.1.</w:t>
            </w:r>
            <w:r>
              <w:rPr>
                <w:rFonts w:hint="eastAsia" w:ascii="宋体" w:hAnsi="宋体" w:eastAsia="宋体" w:cs="宋体"/>
                <w:kern w:val="0"/>
                <w:sz w:val="24"/>
                <w:szCs w:val="24"/>
                <w:lang w:val="en-US" w:eastAsia="zh-CN"/>
              </w:rPr>
              <w:t>1</w:t>
            </w:r>
          </w:p>
        </w:tc>
        <w:tc>
          <w:tcPr>
            <w:tcW w:w="466" w:type="pct"/>
            <w:vMerge w:val="restart"/>
            <w:vAlign w:val="center"/>
          </w:tcPr>
          <w:p w14:paraId="1D155787">
            <w:pPr>
              <w:pageBreakBefore w:val="0"/>
              <w:widowControl/>
              <w:wordWrap/>
              <w:overflowPunct/>
              <w:topLinePunct w:val="0"/>
              <w:bidi w:val="0"/>
              <w:spacing w:line="360" w:lineRule="auto"/>
              <w:jc w:val="center"/>
              <w:outlineLvl w:val="9"/>
              <w:rPr>
                <w:rFonts w:ascii="宋体" w:hAnsi="宋体" w:eastAsia="宋体" w:cs="宋体"/>
                <w:sz w:val="24"/>
                <w:szCs w:val="24"/>
              </w:rPr>
            </w:pPr>
            <w:r>
              <w:rPr>
                <w:rFonts w:hint="eastAsia" w:ascii="宋体" w:hAnsi="宋体" w:eastAsia="宋体" w:cs="宋体"/>
                <w:sz w:val="24"/>
                <w:szCs w:val="24"/>
              </w:rPr>
              <w:t>资格审查</w:t>
            </w:r>
            <w:r>
              <w:rPr>
                <w:rFonts w:hint="eastAsia" w:ascii="宋体" w:hAnsi="宋体" w:eastAsia="宋体" w:cs="宋体"/>
                <w:kern w:val="0"/>
                <w:sz w:val="24"/>
                <w:szCs w:val="24"/>
              </w:rPr>
              <w:t>标准</w:t>
            </w:r>
          </w:p>
        </w:tc>
        <w:tc>
          <w:tcPr>
            <w:tcW w:w="1640" w:type="pct"/>
            <w:vAlign w:val="center"/>
          </w:tcPr>
          <w:p w14:paraId="2EC370F7">
            <w:pPr>
              <w:pageBreakBefore w:val="0"/>
              <w:widowControl/>
              <w:wordWrap/>
              <w:overflowPunct/>
              <w:topLinePunct w:val="0"/>
              <w:bidi w:val="0"/>
              <w:spacing w:line="360" w:lineRule="auto"/>
              <w:jc w:val="center"/>
              <w:outlineLvl w:val="9"/>
              <w:rPr>
                <w:rFonts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tc>
        <w:tc>
          <w:tcPr>
            <w:tcW w:w="2367" w:type="pct"/>
            <w:vAlign w:val="center"/>
          </w:tcPr>
          <w:p w14:paraId="29FAC3C9">
            <w:pPr>
              <w:pageBreakBefore w:val="0"/>
              <w:wordWrap/>
              <w:overflowPunct/>
              <w:topLinePunct w:val="0"/>
              <w:bidi w:val="0"/>
              <w:spacing w:line="360" w:lineRule="auto"/>
              <w:jc w:val="left"/>
              <w:outlineLvl w:val="9"/>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提供符合要求的证明资料或承诺书</w:t>
            </w:r>
          </w:p>
        </w:tc>
      </w:tr>
      <w:tr w14:paraId="64AA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pct"/>
            <w:vMerge w:val="continue"/>
            <w:vAlign w:val="center"/>
          </w:tcPr>
          <w:p w14:paraId="0E09DB90">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138D979C">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08B35857">
            <w:pPr>
              <w:pageBreakBefore w:val="0"/>
              <w:wordWrap/>
              <w:overflowPunct/>
              <w:topLinePunct w:val="0"/>
              <w:bidi w:val="0"/>
              <w:spacing w:line="360" w:lineRule="auto"/>
              <w:jc w:val="center"/>
              <w:outlineLvl w:val="9"/>
              <w:rPr>
                <w:rFonts w:ascii="宋体" w:hAnsi="宋体" w:eastAsia="宋体" w:cs="宋体"/>
                <w:sz w:val="24"/>
              </w:rPr>
            </w:pPr>
            <w:r>
              <w:rPr>
                <w:rFonts w:hint="eastAsia" w:ascii="宋体" w:hAnsi="宋体" w:eastAsia="宋体" w:cs="宋体"/>
                <w:kern w:val="0"/>
                <w:sz w:val="24"/>
                <w:szCs w:val="24"/>
                <w:highlight w:val="none"/>
              </w:rPr>
              <w:t>具有有效的营业执照</w:t>
            </w:r>
            <w:r>
              <w:rPr>
                <w:rFonts w:hint="eastAsia" w:ascii="宋体" w:hAnsi="宋体" w:eastAsia="宋体" w:cs="宋体"/>
                <w:color w:val="auto"/>
                <w:kern w:val="0"/>
                <w:sz w:val="24"/>
                <w:szCs w:val="24"/>
                <w:highlight w:val="none"/>
                <w:lang w:val="en-US" w:eastAsia="zh-CN"/>
              </w:rPr>
              <w:t>或事业单位法人证书</w:t>
            </w:r>
          </w:p>
        </w:tc>
        <w:tc>
          <w:tcPr>
            <w:tcW w:w="2367" w:type="pct"/>
            <w:vAlign w:val="center"/>
          </w:tcPr>
          <w:p w14:paraId="2A5EB774">
            <w:pPr>
              <w:pageBreakBefore w:val="0"/>
              <w:wordWrap/>
              <w:overflowPunct/>
              <w:topLinePunct w:val="0"/>
              <w:bidi w:val="0"/>
              <w:adjustRightInd w:val="0"/>
              <w:snapToGrid w:val="0"/>
              <w:spacing w:line="360" w:lineRule="auto"/>
              <w:jc w:val="left"/>
              <w:outlineLvl w:val="9"/>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提供符合要求的营业执照副本</w:t>
            </w:r>
            <w:r>
              <w:rPr>
                <w:rFonts w:hint="eastAsia" w:ascii="宋体" w:hAnsi="宋体"/>
                <w:color w:val="auto"/>
                <w:sz w:val="24"/>
                <w:lang w:eastAsia="zh-CN"/>
              </w:rPr>
              <w:t>或事业单位法人证书</w:t>
            </w:r>
            <w:r>
              <w:rPr>
                <w:rFonts w:hint="eastAsia" w:ascii="宋体" w:hAnsi="宋体"/>
                <w:color w:val="auto"/>
                <w:sz w:val="24"/>
                <w:lang w:val="en-US" w:eastAsia="zh-CN"/>
              </w:rPr>
              <w:t>副本</w:t>
            </w:r>
          </w:p>
        </w:tc>
      </w:tr>
      <w:tr w14:paraId="4036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26" w:type="pct"/>
            <w:vMerge w:val="continue"/>
            <w:vAlign w:val="center"/>
          </w:tcPr>
          <w:p w14:paraId="0586FD08">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32CFA0FC">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6A905CD5">
            <w:pPr>
              <w:pageBreakBefore w:val="0"/>
              <w:wordWrap/>
              <w:overflowPunct/>
              <w:topLinePunct w:val="0"/>
              <w:bidi w:val="0"/>
              <w:spacing w:line="360" w:lineRule="auto"/>
              <w:jc w:val="center"/>
              <w:outlineLvl w:val="9"/>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kern w:val="0"/>
                <w:sz w:val="24"/>
                <w:szCs w:val="24"/>
              </w:rPr>
              <w:t>具备城乡规划</w:t>
            </w:r>
            <w:r>
              <w:rPr>
                <w:rFonts w:hint="eastAsia" w:ascii="宋体" w:hAnsi="宋体" w:eastAsia="宋体" w:cs="宋体"/>
                <w:kern w:val="0"/>
                <w:sz w:val="24"/>
                <w:szCs w:val="24"/>
                <w:lang w:eastAsia="zh-CN"/>
              </w:rPr>
              <w:t>（国土空间规划）编制乙级或以上资质</w:t>
            </w:r>
          </w:p>
        </w:tc>
        <w:tc>
          <w:tcPr>
            <w:tcW w:w="2367" w:type="pct"/>
            <w:vAlign w:val="center"/>
          </w:tcPr>
          <w:p w14:paraId="54983131">
            <w:pPr>
              <w:pageBreakBefore w:val="0"/>
              <w:wordWrap/>
              <w:overflowPunct/>
              <w:topLinePunct w:val="0"/>
              <w:bidi w:val="0"/>
              <w:spacing w:line="360" w:lineRule="auto"/>
              <w:jc w:val="left"/>
              <w:outlineLvl w:val="9"/>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提供符合要求的资质证书副本</w:t>
            </w:r>
          </w:p>
        </w:tc>
      </w:tr>
      <w:tr w14:paraId="76A7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26" w:type="pct"/>
            <w:vMerge w:val="continue"/>
            <w:vAlign w:val="center"/>
          </w:tcPr>
          <w:p w14:paraId="58D2DD62">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350C30D5">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4DD28464">
            <w:pPr>
              <w:pageBreakBefore w:val="0"/>
              <w:wordWrap/>
              <w:overflowPunct/>
              <w:topLinePunct w:val="0"/>
              <w:bidi w:val="0"/>
              <w:spacing w:line="360" w:lineRule="auto"/>
              <w:jc w:val="center"/>
              <w:outlineLvl w:val="9"/>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项目负责人证件</w:t>
            </w:r>
          </w:p>
        </w:tc>
        <w:tc>
          <w:tcPr>
            <w:tcW w:w="2367" w:type="pct"/>
            <w:vAlign w:val="center"/>
          </w:tcPr>
          <w:p w14:paraId="67003273">
            <w:pPr>
              <w:pageBreakBefore w:val="0"/>
              <w:wordWrap/>
              <w:overflowPunct/>
              <w:topLinePunct w:val="0"/>
              <w:bidi w:val="0"/>
              <w:spacing w:line="360" w:lineRule="auto"/>
              <w:jc w:val="left"/>
              <w:outlineLvl w:val="9"/>
              <w:rPr>
                <w:rFonts w:hint="default"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lang w:val="en-US" w:eastAsia="zh-CN"/>
              </w:rPr>
              <w:t>提供项目负责人</w:t>
            </w:r>
            <w:r>
              <w:rPr>
                <w:rFonts w:hint="eastAsia" w:ascii="宋体" w:hAnsi="宋体" w:eastAsia="宋体" w:cs="宋体"/>
                <w:color w:val="000000"/>
                <w:kern w:val="0"/>
                <w:sz w:val="24"/>
                <w:szCs w:val="24"/>
                <w:shd w:val="clear" w:color="auto" w:fill="FFFFFF"/>
                <w:lang w:val="en-US" w:eastAsia="zh-CN"/>
              </w:rPr>
              <w:t>符合要求的</w:t>
            </w:r>
            <w:r>
              <w:rPr>
                <w:rFonts w:hint="eastAsia" w:ascii="宋体" w:hAnsi="宋体" w:eastAsia="宋体" w:cs="宋体"/>
                <w:kern w:val="0"/>
                <w:sz w:val="24"/>
                <w:szCs w:val="24"/>
                <w:lang w:eastAsia="zh-CN"/>
              </w:rPr>
              <w:t>注册城乡（</w:t>
            </w:r>
            <w:r>
              <w:rPr>
                <w:rFonts w:hint="eastAsia" w:ascii="宋体" w:hAnsi="宋体" w:eastAsia="宋体" w:cs="宋体"/>
                <w:kern w:val="0"/>
                <w:sz w:val="24"/>
                <w:szCs w:val="24"/>
                <w:lang w:val="en-US" w:eastAsia="zh-CN"/>
              </w:rPr>
              <w:t>市</w:t>
            </w:r>
            <w:r>
              <w:rPr>
                <w:rFonts w:hint="eastAsia" w:ascii="宋体" w:hAnsi="宋体" w:eastAsia="宋体" w:cs="宋体"/>
                <w:kern w:val="0"/>
                <w:sz w:val="24"/>
                <w:szCs w:val="24"/>
                <w:lang w:eastAsia="zh-CN"/>
              </w:rPr>
              <w:t>）规划师</w:t>
            </w:r>
            <w:r>
              <w:rPr>
                <w:rFonts w:hint="eastAsia" w:ascii="宋体" w:hAnsi="宋体" w:eastAsia="宋体" w:cs="宋体"/>
                <w:kern w:val="0"/>
                <w:sz w:val="24"/>
                <w:szCs w:val="24"/>
                <w:lang w:val="en-US" w:eastAsia="zh-CN"/>
              </w:rPr>
              <w:t>证</w:t>
            </w:r>
            <w:r>
              <w:rPr>
                <w:rFonts w:hint="eastAsia" w:ascii="宋体" w:hAnsi="宋体" w:eastAsia="宋体" w:cs="宋体"/>
                <w:kern w:val="0"/>
                <w:sz w:val="24"/>
                <w:szCs w:val="24"/>
                <w:lang w:eastAsia="zh-CN"/>
              </w:rPr>
              <w:t>、</w:t>
            </w:r>
            <w:r>
              <w:rPr>
                <w:rFonts w:hint="eastAsia" w:ascii="宋体" w:hAnsi="宋体" w:eastAsia="宋体" w:cs="宋体"/>
                <w:kern w:val="0"/>
                <w:sz w:val="24"/>
                <w:szCs w:val="24"/>
                <w:shd w:val="clear" w:color="auto" w:fill="FFFFFF"/>
                <w:lang w:val="en-US" w:eastAsia="zh-CN"/>
              </w:rPr>
              <w:t>职称证、身份证、劳动合同、社保证明材料</w:t>
            </w:r>
          </w:p>
        </w:tc>
      </w:tr>
      <w:tr w14:paraId="1D22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26" w:type="pct"/>
            <w:vMerge w:val="continue"/>
            <w:vAlign w:val="center"/>
          </w:tcPr>
          <w:p w14:paraId="06F9E33D">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0B1CFC90">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547AFFB4">
            <w:pPr>
              <w:pageBreakBefore w:val="0"/>
              <w:wordWrap/>
              <w:overflowPunct/>
              <w:topLinePunct w:val="0"/>
              <w:bidi w:val="0"/>
              <w:spacing w:line="360" w:lineRule="auto"/>
              <w:jc w:val="center"/>
              <w:outlineLvl w:val="9"/>
              <w:rPr>
                <w:rFonts w:hint="eastAsia" w:ascii="宋体" w:hAnsi="宋体" w:eastAsia="宋体" w:cs="宋体"/>
                <w:sz w:val="24"/>
                <w:lang w:eastAsia="zh-CN"/>
              </w:rPr>
            </w:pP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lang w:eastAsia="zh-CN"/>
              </w:rPr>
              <w:t>无商业贿赂和无不正当竞争行为</w:t>
            </w:r>
          </w:p>
        </w:tc>
        <w:tc>
          <w:tcPr>
            <w:tcW w:w="2367" w:type="pct"/>
            <w:vAlign w:val="center"/>
          </w:tcPr>
          <w:p w14:paraId="7B58160D">
            <w:pPr>
              <w:pageBreakBefore w:val="0"/>
              <w:wordWrap/>
              <w:overflowPunct/>
              <w:topLinePunct w:val="0"/>
              <w:bidi w:val="0"/>
              <w:spacing w:line="360" w:lineRule="auto"/>
              <w:jc w:val="left"/>
              <w:outlineLvl w:val="9"/>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kern w:val="0"/>
                <w:sz w:val="24"/>
                <w:szCs w:val="24"/>
                <w:lang w:val="en-US" w:eastAsia="zh-CN"/>
              </w:rPr>
              <w:t>提供</w:t>
            </w:r>
            <w:r>
              <w:rPr>
                <w:rFonts w:hint="eastAsia" w:ascii="宋体" w:hAnsi="宋体" w:eastAsia="宋体" w:cs="宋体"/>
                <w:kern w:val="0"/>
                <w:sz w:val="24"/>
                <w:szCs w:val="24"/>
              </w:rPr>
              <w:t>本</w:t>
            </w:r>
            <w:r>
              <w:rPr>
                <w:rFonts w:hint="eastAsia" w:ascii="宋体" w:hAnsi="宋体" w:eastAsia="宋体" w:cs="宋体"/>
                <w:kern w:val="0"/>
                <w:sz w:val="24"/>
                <w:szCs w:val="24"/>
                <w:lang w:eastAsia="zh-CN"/>
              </w:rPr>
              <w:t>单位无商业贿赂和不正当竞争行为的承诺书</w:t>
            </w:r>
          </w:p>
        </w:tc>
      </w:tr>
      <w:tr w14:paraId="32F9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26" w:type="pct"/>
            <w:vMerge w:val="continue"/>
            <w:vAlign w:val="center"/>
          </w:tcPr>
          <w:p w14:paraId="1BCE36C7">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4470F6FE">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7FA834C5">
            <w:pPr>
              <w:pageBreakBefore w:val="0"/>
              <w:wordWrap/>
              <w:overflowPunct/>
              <w:topLinePunct w:val="0"/>
              <w:bidi w:val="0"/>
              <w:spacing w:line="360" w:lineRule="auto"/>
              <w:jc w:val="center"/>
              <w:outlineLvl w:val="9"/>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sz w:val="24"/>
              </w:rPr>
              <w:t>供应商没有被列入失信被执行人名单、</w:t>
            </w:r>
            <w:r>
              <w:rPr>
                <w:rFonts w:hint="eastAsia" w:ascii="宋体" w:hAnsi="宋体" w:eastAsia="宋体" w:cs="宋体"/>
                <w:sz w:val="24"/>
                <w:lang w:eastAsia="zh-CN"/>
              </w:rPr>
              <w:t>重大税收违法失信主体</w:t>
            </w:r>
            <w:r>
              <w:rPr>
                <w:rFonts w:hint="eastAsia" w:ascii="宋体" w:hAnsi="宋体" w:eastAsia="宋体" w:cs="宋体"/>
                <w:sz w:val="24"/>
              </w:rPr>
              <w:t>、</w:t>
            </w:r>
            <w:r>
              <w:rPr>
                <w:rFonts w:hint="eastAsia" w:ascii="宋体" w:hAnsi="宋体" w:eastAsia="宋体" w:cs="宋体"/>
                <w:sz w:val="24"/>
                <w:lang w:eastAsia="zh-CN"/>
              </w:rPr>
              <w:t>政府采购严重违法失信行为记录名单</w:t>
            </w:r>
          </w:p>
        </w:tc>
        <w:tc>
          <w:tcPr>
            <w:tcW w:w="2367" w:type="pct"/>
            <w:vAlign w:val="center"/>
          </w:tcPr>
          <w:p w14:paraId="5B5FC1E6">
            <w:pPr>
              <w:pageBreakBefore w:val="0"/>
              <w:wordWrap/>
              <w:overflowPunct/>
              <w:topLinePunct w:val="0"/>
              <w:bidi w:val="0"/>
              <w:spacing w:line="360" w:lineRule="auto"/>
              <w:outlineLvl w:val="9"/>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sz w:val="24"/>
                <w:lang w:val="en-US" w:eastAsia="zh-CN"/>
              </w:rPr>
              <w:t>提供</w:t>
            </w:r>
            <w:r>
              <w:rPr>
                <w:rFonts w:hint="eastAsia" w:ascii="宋体" w:hAnsi="宋体" w:eastAsia="宋体" w:cs="宋体"/>
                <w:sz w:val="24"/>
              </w:rPr>
              <w:t>“中国执行信息公开网”</w:t>
            </w:r>
            <w:r>
              <w:rPr>
                <w:rFonts w:hint="eastAsia" w:ascii="宋体" w:hAnsi="宋体" w:eastAsia="宋体" w:cs="宋体"/>
                <w:sz w:val="24"/>
                <w:lang w:eastAsia="zh-CN"/>
              </w:rPr>
              <w:t>、</w:t>
            </w:r>
            <w:r>
              <w:rPr>
                <w:rFonts w:hint="eastAsia" w:ascii="宋体" w:hAnsi="宋体" w:eastAsia="宋体" w:cs="宋体"/>
                <w:sz w:val="24"/>
              </w:rPr>
              <w:t>“信用中国”</w:t>
            </w:r>
            <w:r>
              <w:rPr>
                <w:rFonts w:hint="eastAsia" w:ascii="宋体" w:hAnsi="宋体" w:eastAsia="宋体" w:cs="宋体"/>
                <w:sz w:val="24"/>
                <w:lang w:eastAsia="zh-CN"/>
              </w:rPr>
              <w:t>、</w:t>
            </w:r>
            <w:r>
              <w:rPr>
                <w:rFonts w:hint="eastAsia" w:ascii="宋体" w:hAnsi="宋体" w:eastAsia="宋体" w:cs="宋体"/>
                <w:sz w:val="24"/>
              </w:rPr>
              <w:t>“中国政府采购网”</w:t>
            </w:r>
            <w:r>
              <w:rPr>
                <w:rFonts w:hint="eastAsia" w:ascii="宋体" w:hAnsi="宋体" w:eastAsia="宋体" w:cs="宋体"/>
                <w:sz w:val="24"/>
                <w:lang w:val="en-US" w:eastAsia="zh-CN"/>
              </w:rPr>
              <w:t>符合要求的查询截图（</w:t>
            </w:r>
            <w:r>
              <w:rPr>
                <w:rFonts w:hint="eastAsia" w:ascii="宋体" w:hAnsi="宋体" w:cs="宋体"/>
                <w:sz w:val="24"/>
                <w:lang w:val="en-US" w:eastAsia="zh-CN"/>
              </w:rPr>
              <w:t>查询时间须在公告发布之日起至响应文件递交截止之日内</w:t>
            </w:r>
            <w:r>
              <w:rPr>
                <w:rFonts w:hint="eastAsia" w:ascii="宋体" w:hAnsi="宋体" w:eastAsia="宋体" w:cs="宋体"/>
                <w:sz w:val="24"/>
                <w:lang w:val="en-US" w:eastAsia="zh-CN"/>
              </w:rPr>
              <w:t>）</w:t>
            </w:r>
          </w:p>
        </w:tc>
      </w:tr>
      <w:tr w14:paraId="1C77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26" w:type="pct"/>
            <w:vMerge w:val="continue"/>
            <w:vAlign w:val="center"/>
          </w:tcPr>
          <w:p w14:paraId="0B9BD60A">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1C138155">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3F47662B">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eastAsia="宋体" w:cs="宋体"/>
                <w:sz w:val="24"/>
              </w:rPr>
              <w:t>供应商及法定代表人不得存在行贿犯罪记录</w:t>
            </w:r>
          </w:p>
        </w:tc>
        <w:tc>
          <w:tcPr>
            <w:tcW w:w="2367" w:type="pct"/>
            <w:vAlign w:val="center"/>
          </w:tcPr>
          <w:p w14:paraId="61D7CDFF">
            <w:pPr>
              <w:pageBreakBefore w:val="0"/>
              <w:wordWrap/>
              <w:overflowPunct/>
              <w:topLinePunct w:val="0"/>
              <w:bidi w:val="0"/>
              <w:spacing w:line="360" w:lineRule="auto"/>
              <w:outlineLvl w:val="9"/>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sz w:val="24"/>
                <w:lang w:val="en-US" w:eastAsia="zh-CN"/>
              </w:rPr>
              <w:t>提供</w:t>
            </w:r>
            <w:r>
              <w:rPr>
                <w:rFonts w:hint="eastAsia" w:ascii="宋体" w:hAnsi="宋体" w:eastAsia="宋体" w:cs="宋体"/>
                <w:sz w:val="24"/>
              </w:rPr>
              <w:t>中国裁判文书网</w:t>
            </w:r>
            <w:r>
              <w:rPr>
                <w:rFonts w:hint="eastAsia" w:ascii="宋体" w:hAnsi="宋体" w:eastAsia="宋体" w:cs="宋体"/>
                <w:sz w:val="24"/>
                <w:lang w:val="en-US" w:eastAsia="zh-CN"/>
              </w:rPr>
              <w:t>符合要求的查询截图或承诺书</w:t>
            </w:r>
          </w:p>
        </w:tc>
      </w:tr>
      <w:tr w14:paraId="23F4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6" w:type="pct"/>
            <w:vMerge w:val="continue"/>
            <w:vAlign w:val="center"/>
          </w:tcPr>
          <w:p w14:paraId="03F885A7">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538287D2">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04C7AE56">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cs="宋体"/>
                <w:sz w:val="24"/>
                <w:szCs w:val="24"/>
                <w:lang w:eastAsia="zh-CN"/>
              </w:rPr>
              <w:t>单位负责人为同一人或者存在直接控股、管理关系的不同供应商，不得参加同一合同项下的采购活动</w:t>
            </w:r>
          </w:p>
        </w:tc>
        <w:tc>
          <w:tcPr>
            <w:tcW w:w="2367" w:type="pct"/>
            <w:vAlign w:val="center"/>
          </w:tcPr>
          <w:p w14:paraId="5C7DCA6B">
            <w:pPr>
              <w:pageBreakBefore w:val="0"/>
              <w:wordWrap/>
              <w:overflowPunct/>
              <w:topLinePunct w:val="0"/>
              <w:bidi w:val="0"/>
              <w:spacing w:line="360" w:lineRule="auto"/>
              <w:outlineLvl w:val="9"/>
              <w:rPr>
                <w:rFonts w:ascii="宋体" w:hAnsi="宋体" w:eastAsia="黑体" w:cs="宋体"/>
                <w:color w:val="000000"/>
                <w:kern w:val="0"/>
                <w:sz w:val="28"/>
                <w:szCs w:val="24"/>
                <w:shd w:val="clear" w:color="auto" w:fill="FFFFFF"/>
              </w:rPr>
            </w:pPr>
            <w:r>
              <w:rPr>
                <w:rFonts w:hint="eastAsia" w:ascii="宋体" w:hAnsi="宋体" w:cs="宋体"/>
                <w:sz w:val="24"/>
                <w:lang w:val="en-US" w:eastAsia="zh-CN"/>
              </w:rPr>
              <w:t>提供“国家企业信用信息公示系统”中符合要求的查询网页截图</w:t>
            </w:r>
          </w:p>
        </w:tc>
      </w:tr>
      <w:tr w14:paraId="36B9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6" w:type="pct"/>
            <w:vMerge w:val="restart"/>
            <w:shd w:val="clear" w:color="auto" w:fill="auto"/>
            <w:vAlign w:val="center"/>
          </w:tcPr>
          <w:p w14:paraId="741542BF">
            <w:pPr>
              <w:pageBreakBefore w:val="0"/>
              <w:widowControl/>
              <w:wordWrap/>
              <w:overflowPunct/>
              <w:topLinePunct w:val="0"/>
              <w:bidi w:val="0"/>
              <w:spacing w:line="360" w:lineRule="auto"/>
              <w:jc w:val="center"/>
              <w:outlineLvl w:val="9"/>
              <w:rPr>
                <w:rFonts w:ascii="宋体" w:hAnsi="宋体" w:eastAsia="宋体" w:cs="宋体"/>
                <w:kern w:val="0"/>
                <w:sz w:val="24"/>
                <w:szCs w:val="24"/>
              </w:rPr>
            </w:pPr>
            <w:r>
              <w:rPr>
                <w:rFonts w:hint="eastAsia" w:ascii="宋体" w:hAnsi="宋体" w:eastAsia="宋体" w:cs="宋体"/>
                <w:kern w:val="0"/>
                <w:sz w:val="24"/>
                <w:szCs w:val="24"/>
              </w:rPr>
              <w:t>3.1.</w:t>
            </w:r>
            <w:r>
              <w:rPr>
                <w:rFonts w:hint="eastAsia" w:ascii="宋体" w:hAnsi="宋体" w:eastAsia="宋体" w:cs="宋体"/>
                <w:kern w:val="0"/>
                <w:sz w:val="24"/>
                <w:szCs w:val="24"/>
                <w:lang w:val="en-US" w:eastAsia="zh-CN"/>
              </w:rPr>
              <w:t>2</w:t>
            </w:r>
          </w:p>
        </w:tc>
        <w:tc>
          <w:tcPr>
            <w:tcW w:w="466" w:type="pct"/>
            <w:vMerge w:val="restart"/>
            <w:shd w:val="clear" w:color="auto" w:fill="auto"/>
            <w:vAlign w:val="center"/>
          </w:tcPr>
          <w:p w14:paraId="3CD01C2E">
            <w:pPr>
              <w:pageBreakBefore w:val="0"/>
              <w:widowControl/>
              <w:wordWrap/>
              <w:overflowPunct/>
              <w:topLinePunct w:val="0"/>
              <w:bidi w:val="0"/>
              <w:spacing w:line="360" w:lineRule="auto"/>
              <w:jc w:val="center"/>
              <w:outlineLvl w:val="9"/>
              <w:rPr>
                <w:rFonts w:ascii="宋体" w:hAnsi="宋体" w:eastAsia="宋体" w:cs="宋体"/>
                <w:kern w:val="0"/>
                <w:sz w:val="24"/>
                <w:szCs w:val="24"/>
              </w:rPr>
            </w:pPr>
            <w:r>
              <w:rPr>
                <w:rFonts w:hint="eastAsia" w:ascii="宋体" w:hAnsi="宋体" w:eastAsia="宋体" w:cs="宋体"/>
                <w:kern w:val="0"/>
                <w:sz w:val="24"/>
                <w:szCs w:val="24"/>
              </w:rPr>
              <w:t>符合性评审</w:t>
            </w:r>
          </w:p>
        </w:tc>
        <w:tc>
          <w:tcPr>
            <w:tcW w:w="1640" w:type="pct"/>
            <w:shd w:val="clear" w:color="auto" w:fill="auto"/>
            <w:vAlign w:val="center"/>
          </w:tcPr>
          <w:p w14:paraId="71E4D7A3">
            <w:pPr>
              <w:pageBreakBefore w:val="0"/>
              <w:widowControl/>
              <w:wordWrap/>
              <w:overflowPunct/>
              <w:topLinePunct w:val="0"/>
              <w:bidi w:val="0"/>
              <w:spacing w:line="360" w:lineRule="auto"/>
              <w:jc w:val="center"/>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供应商名称</w:t>
            </w:r>
          </w:p>
        </w:tc>
        <w:tc>
          <w:tcPr>
            <w:tcW w:w="2367" w:type="pct"/>
            <w:shd w:val="clear" w:color="auto" w:fill="auto"/>
            <w:vAlign w:val="center"/>
          </w:tcPr>
          <w:p w14:paraId="25C45D0E">
            <w:pPr>
              <w:pageBreakBefore w:val="0"/>
              <w:wordWrap/>
              <w:overflowPunct/>
              <w:topLinePunct w:val="0"/>
              <w:bidi w:val="0"/>
              <w:spacing w:line="360" w:lineRule="auto"/>
              <w:jc w:val="left"/>
              <w:outlineLvl w:val="9"/>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rPr>
              <w:t>与营业执照一致</w:t>
            </w:r>
          </w:p>
        </w:tc>
      </w:tr>
      <w:tr w14:paraId="120A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6" w:type="pct"/>
            <w:vMerge w:val="continue"/>
            <w:vAlign w:val="center"/>
          </w:tcPr>
          <w:p w14:paraId="1DB790D9">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18A1F86C">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shd w:val="clear" w:color="auto" w:fill="auto"/>
            <w:vAlign w:val="center"/>
          </w:tcPr>
          <w:p w14:paraId="050E905B">
            <w:pPr>
              <w:pageBreakBefore w:val="0"/>
              <w:widowControl/>
              <w:wordWrap/>
              <w:overflowPunct/>
              <w:topLinePunct w:val="0"/>
              <w:bidi w:val="0"/>
              <w:spacing w:line="360" w:lineRule="auto"/>
              <w:jc w:val="center"/>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响应文件签署、盖章</w:t>
            </w:r>
          </w:p>
        </w:tc>
        <w:tc>
          <w:tcPr>
            <w:tcW w:w="2367" w:type="pct"/>
            <w:shd w:val="clear" w:color="auto" w:fill="auto"/>
            <w:vAlign w:val="center"/>
          </w:tcPr>
          <w:p w14:paraId="7DDA2247">
            <w:pPr>
              <w:pageBreakBefore w:val="0"/>
              <w:wordWrap/>
              <w:overflowPunct/>
              <w:topLinePunct w:val="0"/>
              <w:bidi w:val="0"/>
              <w:spacing w:line="360" w:lineRule="auto"/>
              <w:jc w:val="left"/>
              <w:outlineLvl w:val="9"/>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rPr>
              <w:t>响应文件按竞争性磋商文件要求签署、盖章的</w:t>
            </w:r>
          </w:p>
        </w:tc>
      </w:tr>
      <w:tr w14:paraId="601D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6" w:type="pct"/>
            <w:vMerge w:val="continue"/>
            <w:vAlign w:val="center"/>
          </w:tcPr>
          <w:p w14:paraId="3F467616">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467D1978">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shd w:val="clear" w:color="auto" w:fill="auto"/>
            <w:vAlign w:val="center"/>
          </w:tcPr>
          <w:p w14:paraId="6C3CF43F">
            <w:pPr>
              <w:pageBreakBefore w:val="0"/>
              <w:widowControl/>
              <w:wordWrap/>
              <w:overflowPunct/>
              <w:topLinePunct w:val="0"/>
              <w:bidi w:val="0"/>
              <w:spacing w:line="360" w:lineRule="auto"/>
              <w:jc w:val="center"/>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报价唯一</w:t>
            </w:r>
          </w:p>
        </w:tc>
        <w:tc>
          <w:tcPr>
            <w:tcW w:w="2367" w:type="pct"/>
            <w:shd w:val="clear" w:color="auto" w:fill="auto"/>
            <w:vAlign w:val="center"/>
          </w:tcPr>
          <w:p w14:paraId="5E2C051A">
            <w:pPr>
              <w:pageBreakBefore w:val="0"/>
              <w:wordWrap/>
              <w:overflowPunct/>
              <w:topLinePunct w:val="0"/>
              <w:bidi w:val="0"/>
              <w:spacing w:line="360" w:lineRule="auto"/>
              <w:jc w:val="left"/>
              <w:outlineLvl w:val="9"/>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rPr>
              <w:t>只能有一个有效报价，且不超过最高限价</w:t>
            </w:r>
          </w:p>
        </w:tc>
      </w:tr>
      <w:tr w14:paraId="3A03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6" w:type="pct"/>
            <w:vMerge w:val="continue"/>
            <w:vAlign w:val="center"/>
          </w:tcPr>
          <w:p w14:paraId="0764F323">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127A748A">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06198963">
            <w:pPr>
              <w:pageBreakBefore w:val="0"/>
              <w:widowControl/>
              <w:wordWrap/>
              <w:overflowPunct/>
              <w:topLinePunct w:val="0"/>
              <w:bidi w:val="0"/>
              <w:spacing w:line="360" w:lineRule="auto"/>
              <w:jc w:val="center"/>
              <w:outlineLvl w:val="9"/>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服务周期</w:t>
            </w:r>
          </w:p>
        </w:tc>
        <w:tc>
          <w:tcPr>
            <w:tcW w:w="2367" w:type="pct"/>
            <w:vAlign w:val="center"/>
          </w:tcPr>
          <w:p w14:paraId="3E4E149F">
            <w:pPr>
              <w:pageBreakBefore w:val="0"/>
              <w:widowControl/>
              <w:wordWrap/>
              <w:overflowPunct/>
              <w:topLinePunct w:val="0"/>
              <w:bidi w:val="0"/>
              <w:spacing w:line="360" w:lineRule="auto"/>
              <w:jc w:val="left"/>
              <w:outlineLvl w:val="9"/>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100日历天</w:t>
            </w:r>
          </w:p>
        </w:tc>
      </w:tr>
      <w:tr w14:paraId="26E1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6" w:type="pct"/>
            <w:vMerge w:val="continue"/>
            <w:vAlign w:val="center"/>
          </w:tcPr>
          <w:p w14:paraId="3D3B874C">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0CAF3790">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71B76380">
            <w:pPr>
              <w:pageBreakBefore w:val="0"/>
              <w:widowControl/>
              <w:wordWrap/>
              <w:overflowPunct/>
              <w:topLinePunct w:val="0"/>
              <w:bidi w:val="0"/>
              <w:spacing w:line="360" w:lineRule="auto"/>
              <w:jc w:val="center"/>
              <w:outlineLvl w:val="9"/>
              <w:rPr>
                <w:rFonts w:ascii="宋体" w:hAnsi="宋体" w:eastAsia="宋体" w:cs="宋体"/>
                <w:kern w:val="0"/>
                <w:sz w:val="24"/>
                <w:szCs w:val="24"/>
              </w:rPr>
            </w:pPr>
            <w:r>
              <w:rPr>
                <w:rFonts w:hint="eastAsia" w:ascii="宋体" w:hAnsi="宋体" w:eastAsia="宋体" w:cs="宋体"/>
                <w:kern w:val="0"/>
                <w:sz w:val="24"/>
                <w:szCs w:val="24"/>
              </w:rPr>
              <w:t>质量要求</w:t>
            </w:r>
          </w:p>
        </w:tc>
        <w:tc>
          <w:tcPr>
            <w:tcW w:w="2367" w:type="pct"/>
            <w:vAlign w:val="center"/>
          </w:tcPr>
          <w:p w14:paraId="4147FDA1">
            <w:pPr>
              <w:pageBreakBefore w:val="0"/>
              <w:widowControl/>
              <w:wordWrap/>
              <w:overflowPunct/>
              <w:topLinePunct w:val="0"/>
              <w:bidi w:val="0"/>
              <w:spacing w:line="360" w:lineRule="auto"/>
              <w:jc w:val="left"/>
              <w:outlineLvl w:val="9"/>
              <w:rPr>
                <w:rFonts w:hint="eastAsia" w:ascii="宋体" w:hAnsi="宋体" w:eastAsia="宋体" w:cs="宋体"/>
                <w:kern w:val="0"/>
                <w:sz w:val="24"/>
                <w:szCs w:val="24"/>
                <w:lang w:eastAsia="zh-CN"/>
              </w:rPr>
            </w:pPr>
            <w:r>
              <w:rPr>
                <w:rFonts w:hint="eastAsia" w:ascii="宋体" w:hAnsi="宋体" w:eastAsia="宋体" w:cs="Times New Roman"/>
                <w:sz w:val="24"/>
                <w:szCs w:val="21"/>
                <w:lang w:eastAsia="zh-CN"/>
              </w:rPr>
              <w:t>符合国家、省、市规范、技术要求，通过主管部门审查，完成报批工作</w:t>
            </w:r>
          </w:p>
        </w:tc>
      </w:tr>
      <w:tr w14:paraId="6EEC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pct"/>
            <w:vMerge w:val="continue"/>
            <w:vAlign w:val="center"/>
          </w:tcPr>
          <w:p w14:paraId="2391521F">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48D807C6">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5B4F6E39">
            <w:pPr>
              <w:pageBreakBefore w:val="0"/>
              <w:widowControl/>
              <w:wordWrap/>
              <w:overflowPunct/>
              <w:topLinePunct w:val="0"/>
              <w:bidi w:val="0"/>
              <w:spacing w:line="360" w:lineRule="auto"/>
              <w:jc w:val="center"/>
              <w:outlineLvl w:val="9"/>
              <w:rPr>
                <w:rFonts w:hint="eastAsia" w:ascii="宋体" w:hAnsi="宋体" w:eastAsia="宋体" w:cs="宋体"/>
                <w:kern w:val="0"/>
                <w:sz w:val="24"/>
                <w:szCs w:val="24"/>
                <w:lang w:eastAsia="zh-CN"/>
              </w:rPr>
            </w:pPr>
            <w:r>
              <w:rPr>
                <w:rFonts w:hint="eastAsia" w:ascii="宋体" w:hAnsi="宋体" w:eastAsia="宋体" w:cs="宋体"/>
                <w:sz w:val="24"/>
                <w:szCs w:val="24"/>
                <w:lang w:eastAsia="zh-CN"/>
              </w:rPr>
              <w:t>投标有效期</w:t>
            </w:r>
          </w:p>
        </w:tc>
        <w:tc>
          <w:tcPr>
            <w:tcW w:w="2367" w:type="pct"/>
            <w:vAlign w:val="center"/>
          </w:tcPr>
          <w:p w14:paraId="7EFA60CC">
            <w:pPr>
              <w:pageBreakBefore w:val="0"/>
              <w:widowControl/>
              <w:wordWrap/>
              <w:overflowPunct/>
              <w:topLinePunct w:val="0"/>
              <w:bidi w:val="0"/>
              <w:spacing w:line="360" w:lineRule="auto"/>
              <w:jc w:val="left"/>
              <w:outlineLvl w:val="9"/>
              <w:rPr>
                <w:rFonts w:ascii="宋体" w:hAnsi="宋体" w:eastAsia="宋体" w:cs="宋体"/>
                <w:kern w:val="0"/>
                <w:sz w:val="24"/>
                <w:szCs w:val="24"/>
              </w:rPr>
            </w:pPr>
            <w:r>
              <w:rPr>
                <w:rFonts w:hint="eastAsia" w:ascii="宋体" w:hAnsi="宋体" w:eastAsia="宋体" w:cs="Times New Roman"/>
                <w:sz w:val="24"/>
                <w:szCs w:val="24"/>
              </w:rPr>
              <w:t>60日历天（从</w:t>
            </w:r>
            <w:r>
              <w:rPr>
                <w:rFonts w:hint="eastAsia" w:ascii="宋体" w:hAnsi="宋体" w:eastAsia="宋体" w:cs="Times New Roman"/>
                <w:sz w:val="24"/>
                <w:szCs w:val="24"/>
                <w:lang w:val="en-US" w:eastAsia="zh-CN"/>
              </w:rPr>
              <w:t>响应文件递交</w:t>
            </w:r>
            <w:r>
              <w:rPr>
                <w:rFonts w:hint="eastAsia" w:ascii="宋体" w:hAnsi="宋体" w:eastAsia="宋体" w:cs="Times New Roman"/>
                <w:sz w:val="24"/>
                <w:szCs w:val="24"/>
              </w:rPr>
              <w:t>截止之日算起）</w:t>
            </w:r>
          </w:p>
        </w:tc>
      </w:tr>
      <w:tr w14:paraId="13DE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26" w:type="pct"/>
            <w:vMerge w:val="continue"/>
            <w:vAlign w:val="center"/>
          </w:tcPr>
          <w:p w14:paraId="5684C53C">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466" w:type="pct"/>
            <w:vMerge w:val="continue"/>
            <w:vAlign w:val="center"/>
          </w:tcPr>
          <w:p w14:paraId="337FB859">
            <w:pPr>
              <w:pageBreakBefore w:val="0"/>
              <w:widowControl/>
              <w:wordWrap/>
              <w:overflowPunct/>
              <w:topLinePunct w:val="0"/>
              <w:bidi w:val="0"/>
              <w:spacing w:line="360" w:lineRule="auto"/>
              <w:jc w:val="center"/>
              <w:outlineLvl w:val="9"/>
              <w:rPr>
                <w:rFonts w:ascii="宋体" w:hAnsi="宋体" w:eastAsia="宋体" w:cs="宋体"/>
                <w:kern w:val="0"/>
                <w:sz w:val="24"/>
                <w:szCs w:val="24"/>
              </w:rPr>
            </w:pPr>
          </w:p>
        </w:tc>
        <w:tc>
          <w:tcPr>
            <w:tcW w:w="1640" w:type="pct"/>
            <w:vAlign w:val="center"/>
          </w:tcPr>
          <w:p w14:paraId="56630CA5">
            <w:pPr>
              <w:pageBreakBefore w:val="0"/>
              <w:widowControl/>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其他响应性</w:t>
            </w:r>
          </w:p>
        </w:tc>
        <w:tc>
          <w:tcPr>
            <w:tcW w:w="2367" w:type="pct"/>
            <w:vAlign w:val="center"/>
          </w:tcPr>
          <w:p w14:paraId="7A153EA6">
            <w:pPr>
              <w:pageBreakBefore w:val="0"/>
              <w:widowControl/>
              <w:wordWrap/>
              <w:overflowPunct/>
              <w:topLinePunct w:val="0"/>
              <w:bidi w:val="0"/>
              <w:spacing w:line="360" w:lineRule="auto"/>
              <w:jc w:val="left"/>
              <w:outlineLvl w:val="9"/>
              <w:rPr>
                <w:rFonts w:hint="eastAsia" w:ascii="宋体" w:hAnsi="宋体" w:eastAsia="宋体" w:cs="Times New Roman"/>
                <w:sz w:val="24"/>
                <w:szCs w:val="24"/>
              </w:rPr>
            </w:pPr>
            <w:r>
              <w:rPr>
                <w:rFonts w:hint="eastAsia" w:ascii="宋体" w:hAnsi="宋体" w:eastAsia="宋体" w:cs="Times New Roman"/>
                <w:sz w:val="24"/>
                <w:szCs w:val="24"/>
              </w:rPr>
              <w:t>满足磋商文件的其他实质性要求</w:t>
            </w:r>
          </w:p>
        </w:tc>
      </w:tr>
      <w:bookmarkEnd w:id="4"/>
    </w:tbl>
    <w:p w14:paraId="2D24B845">
      <w:pPr>
        <w:pageBreakBefore w:val="0"/>
        <w:numPr>
          <w:ilvl w:val="0"/>
          <w:numId w:val="2"/>
        </w:numPr>
        <w:wordWrap/>
        <w:overflowPunct/>
        <w:topLinePunct w:val="0"/>
        <w:bidi w:val="0"/>
        <w:spacing w:before="210" w:after="3"/>
        <w:ind w:left="755" w:right="776"/>
        <w:outlineLvl w:val="9"/>
        <w:rPr>
          <w:rFonts w:ascii="宋体" w:hAnsi="宋体" w:eastAsia="宋体" w:cs="宋体"/>
          <w:b/>
          <w:bCs/>
          <w:sz w:val="24"/>
          <w:szCs w:val="28"/>
        </w:rPr>
      </w:pPr>
      <w:r>
        <w:rPr>
          <w:rFonts w:hint="eastAsia" w:ascii="宋体" w:hAnsi="宋体" w:eastAsia="宋体" w:cs="宋体"/>
          <w:b/>
          <w:bCs/>
          <w:sz w:val="24"/>
          <w:szCs w:val="28"/>
          <w:lang w:eastAsia="zh-CN"/>
        </w:rPr>
        <w:t>详细评审</w:t>
      </w:r>
      <w:r>
        <w:rPr>
          <w:rFonts w:hint="eastAsia" w:ascii="宋体" w:hAnsi="宋体" w:eastAsia="宋体" w:cs="宋体"/>
          <w:b/>
          <w:bCs/>
          <w:sz w:val="24"/>
          <w:szCs w:val="28"/>
        </w:rPr>
        <w:t>： 评分标准</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856"/>
        <w:gridCol w:w="6605"/>
      </w:tblGrid>
      <w:tr w14:paraId="06A6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pct"/>
            <w:vAlign w:val="center"/>
          </w:tcPr>
          <w:p w14:paraId="141BE8BA">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p>
        </w:tc>
        <w:tc>
          <w:tcPr>
            <w:tcW w:w="942" w:type="pct"/>
            <w:vAlign w:val="center"/>
          </w:tcPr>
          <w:p w14:paraId="179339C8">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分值构成</w:t>
            </w:r>
          </w:p>
          <w:p w14:paraId="3467011B">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(总分100分)</w:t>
            </w:r>
          </w:p>
        </w:tc>
        <w:tc>
          <w:tcPr>
            <w:tcW w:w="3350" w:type="pct"/>
            <w:vAlign w:val="center"/>
          </w:tcPr>
          <w:p w14:paraId="6E1EFB27">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报价得分：</w:t>
            </w:r>
            <w:r>
              <w:rPr>
                <w:rFonts w:hint="eastAsia" w:ascii="宋体" w:hAnsi="宋体" w:eastAsia="宋体" w:cs="宋体"/>
                <w:color w:val="000000"/>
                <w:kern w:val="0"/>
                <w:sz w:val="24"/>
                <w:szCs w:val="24"/>
                <w:shd w:val="clear" w:color="auto" w:fill="FFFFFF"/>
                <w:lang w:val="en-US" w:eastAsia="zh-CN"/>
              </w:rPr>
              <w:t>20</w:t>
            </w:r>
            <w:r>
              <w:rPr>
                <w:rFonts w:hint="eastAsia" w:ascii="宋体" w:hAnsi="宋体" w:eastAsia="宋体" w:cs="宋体"/>
                <w:color w:val="000000"/>
                <w:kern w:val="0"/>
                <w:sz w:val="24"/>
                <w:szCs w:val="24"/>
                <w:shd w:val="clear" w:color="auto" w:fill="FFFFFF"/>
              </w:rPr>
              <w:t>分</w:t>
            </w:r>
          </w:p>
          <w:p w14:paraId="01FFDA2F">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技术部分：</w:t>
            </w:r>
            <w:r>
              <w:rPr>
                <w:rFonts w:hint="eastAsia" w:ascii="宋体" w:hAnsi="宋体" w:eastAsia="宋体" w:cs="宋体"/>
                <w:color w:val="000000"/>
                <w:kern w:val="0"/>
                <w:sz w:val="24"/>
                <w:szCs w:val="24"/>
                <w:shd w:val="clear" w:color="auto" w:fill="FFFFFF"/>
                <w:lang w:val="en-US" w:eastAsia="zh-CN"/>
              </w:rPr>
              <w:t>56</w:t>
            </w:r>
            <w:r>
              <w:rPr>
                <w:rFonts w:hint="eastAsia" w:ascii="宋体" w:hAnsi="宋体" w:eastAsia="宋体" w:cs="宋体"/>
                <w:color w:val="000000"/>
                <w:kern w:val="0"/>
                <w:sz w:val="24"/>
                <w:szCs w:val="24"/>
                <w:shd w:val="clear" w:color="auto" w:fill="FFFFFF"/>
              </w:rPr>
              <w:t>分</w:t>
            </w:r>
          </w:p>
          <w:p w14:paraId="239EC781">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商务部分：2</w:t>
            </w:r>
            <w:r>
              <w:rPr>
                <w:rFonts w:hint="eastAsia" w:ascii="宋体" w:hAnsi="宋体" w:eastAsia="宋体" w:cs="宋体"/>
                <w:color w:val="000000"/>
                <w:kern w:val="0"/>
                <w:sz w:val="24"/>
                <w:szCs w:val="24"/>
                <w:shd w:val="clear" w:color="auto" w:fill="FFFFFF"/>
                <w:lang w:val="en-US" w:eastAsia="zh-CN"/>
              </w:rPr>
              <w:t>4</w:t>
            </w:r>
            <w:r>
              <w:rPr>
                <w:rFonts w:hint="eastAsia" w:ascii="宋体" w:hAnsi="宋体" w:eastAsia="宋体" w:cs="宋体"/>
                <w:color w:val="000000"/>
                <w:kern w:val="0"/>
                <w:sz w:val="24"/>
                <w:szCs w:val="24"/>
                <w:shd w:val="clear" w:color="auto" w:fill="FFFFFF"/>
              </w:rPr>
              <w:t>分</w:t>
            </w:r>
          </w:p>
        </w:tc>
      </w:tr>
      <w:tr w14:paraId="7F6A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6" w:type="pct"/>
          </w:tcPr>
          <w:p w14:paraId="310FA546">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bookmarkStart w:id="5" w:name="_bookmark2"/>
            <w:bookmarkEnd w:id="5"/>
            <w:bookmarkStart w:id="6" w:name="七、综合标及其它资料"/>
            <w:bookmarkEnd w:id="6"/>
            <w:r>
              <w:rPr>
                <w:rFonts w:hint="eastAsia" w:ascii="宋体" w:hAnsi="宋体" w:eastAsia="宋体" w:cs="宋体"/>
                <w:color w:val="000000"/>
                <w:kern w:val="0"/>
                <w:sz w:val="24"/>
                <w:szCs w:val="24"/>
                <w:shd w:val="clear" w:color="auto" w:fill="FFFFFF"/>
              </w:rPr>
              <w:t>条款号</w:t>
            </w:r>
          </w:p>
        </w:tc>
        <w:tc>
          <w:tcPr>
            <w:tcW w:w="942" w:type="pct"/>
          </w:tcPr>
          <w:p w14:paraId="535D56C6">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评分因素</w:t>
            </w:r>
          </w:p>
        </w:tc>
        <w:tc>
          <w:tcPr>
            <w:tcW w:w="3350" w:type="pct"/>
            <w:vAlign w:val="center"/>
          </w:tcPr>
          <w:p w14:paraId="12893989">
            <w:pPr>
              <w:pageBreakBefore w:val="0"/>
              <w:wordWrap/>
              <w:overflowPunct/>
              <w:topLinePunct w:val="0"/>
              <w:bidi w:val="0"/>
              <w:spacing w:line="360" w:lineRule="auto"/>
              <w:jc w:val="center"/>
              <w:outlineLvl w:val="9"/>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评分标准</w:t>
            </w:r>
          </w:p>
        </w:tc>
      </w:tr>
      <w:tr w14:paraId="5415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06" w:type="pct"/>
            <w:vAlign w:val="center"/>
          </w:tcPr>
          <w:p w14:paraId="18F04A97">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b/>
                <w:sz w:val="24"/>
                <w:szCs w:val="24"/>
              </w:rPr>
            </w:pPr>
            <w:r>
              <w:rPr>
                <w:rFonts w:hint="eastAsia" w:ascii="宋体" w:hAnsi="宋体" w:eastAsia="宋体" w:cs="宋体"/>
                <w:b/>
                <w:sz w:val="24"/>
                <w:szCs w:val="24"/>
              </w:rPr>
              <w:t>报价得分</w:t>
            </w:r>
          </w:p>
          <w:p w14:paraId="5E1A213A">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0分）</w:t>
            </w:r>
          </w:p>
        </w:tc>
        <w:tc>
          <w:tcPr>
            <w:tcW w:w="942" w:type="pct"/>
            <w:vAlign w:val="center"/>
          </w:tcPr>
          <w:p w14:paraId="4D5C729C">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bCs/>
                <w:kern w:val="0"/>
                <w:sz w:val="24"/>
                <w:szCs w:val="24"/>
              </w:rPr>
            </w:pPr>
            <w:r>
              <w:rPr>
                <w:rFonts w:hint="eastAsia" w:ascii="宋体" w:hAnsi="宋体" w:eastAsia="宋体" w:cs="宋体"/>
                <w:bCs/>
                <w:sz w:val="24"/>
                <w:szCs w:val="24"/>
              </w:rPr>
              <w:t>磋商报价评分标准</w:t>
            </w:r>
          </w:p>
        </w:tc>
        <w:tc>
          <w:tcPr>
            <w:tcW w:w="3350" w:type="pct"/>
            <w:vAlign w:val="center"/>
          </w:tcPr>
          <w:p w14:paraId="32C37628">
            <w:pPr>
              <w:pageBreakBefore w:val="0"/>
              <w:wordWrap/>
              <w:overflowPunct/>
              <w:topLinePunct w:val="0"/>
              <w:bidi w:val="0"/>
              <w:spacing w:line="440" w:lineRule="exact"/>
              <w:jc w:val="left"/>
              <w:outlineLvl w:val="9"/>
              <w:rPr>
                <w:rFonts w:ascii="宋体" w:hAnsi="宋体" w:eastAsia="宋体" w:cs="宋体"/>
                <w:sz w:val="24"/>
                <w:szCs w:val="24"/>
              </w:rPr>
            </w:pPr>
            <w:r>
              <w:rPr>
                <w:rFonts w:hint="eastAsia" w:ascii="宋体" w:hAnsi="宋体" w:eastAsia="宋体" w:cs="宋体"/>
                <w:sz w:val="24"/>
                <w:szCs w:val="24"/>
              </w:rPr>
              <w:t>1、按照《财政部关于加强政府采购货物和服务项目价格评审管理的通知》（财库【2007】2 号）规定，综合评分法中的价格分用低价优先法计算，即满足竞争性磋商文件要求且最终磋商价格最低的磋商报价为评标基准价，其价格分为满分</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14:paraId="24748217">
            <w:pPr>
              <w:pageBreakBefore w:val="0"/>
              <w:wordWrap/>
              <w:overflowPunct/>
              <w:topLinePunct w:val="0"/>
              <w:bidi w:val="0"/>
              <w:spacing w:line="440" w:lineRule="exact"/>
              <w:jc w:val="left"/>
              <w:outlineLvl w:val="9"/>
              <w:rPr>
                <w:rFonts w:ascii="宋体" w:hAnsi="宋体" w:eastAsia="宋体" w:cs="宋体"/>
                <w:sz w:val="24"/>
                <w:szCs w:val="24"/>
              </w:rPr>
            </w:pPr>
            <w:r>
              <w:rPr>
                <w:rFonts w:hint="eastAsia" w:ascii="宋体" w:hAnsi="宋体" w:eastAsia="宋体" w:cs="宋体"/>
                <w:sz w:val="24"/>
                <w:szCs w:val="24"/>
              </w:rPr>
              <w:t>磋商报价得分=(评标基准价/最终磋商报价)×价格权值</w:t>
            </w:r>
            <w:r>
              <w:rPr>
                <w:rFonts w:hint="eastAsia" w:ascii="宋体" w:hAnsi="宋体" w:eastAsia="宋体" w:cs="宋体"/>
                <w:sz w:val="24"/>
                <w:szCs w:val="24"/>
                <w:lang w:val="en-US" w:eastAsia="zh-CN"/>
              </w:rPr>
              <w:t>2</w:t>
            </w:r>
            <w:r>
              <w:rPr>
                <w:rFonts w:hint="eastAsia" w:ascii="宋体" w:hAnsi="宋体" w:eastAsia="宋体" w:cs="宋体"/>
                <w:sz w:val="24"/>
                <w:szCs w:val="24"/>
              </w:rPr>
              <w:t>0×100%</w:t>
            </w:r>
          </w:p>
          <w:p w14:paraId="554C682C">
            <w:pPr>
              <w:pageBreakBefore w:val="0"/>
              <w:numPr>
                <w:ilvl w:val="0"/>
                <w:numId w:val="0"/>
              </w:numPr>
              <w:wordWrap/>
              <w:overflowPunct/>
              <w:topLinePunct w:val="0"/>
              <w:bidi w:val="0"/>
              <w:spacing w:line="440" w:lineRule="exact"/>
              <w:jc w:val="left"/>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6CBE0350">
            <w:pPr>
              <w:widowControl w:val="0"/>
              <w:numPr>
                <w:ilvl w:val="0"/>
                <w:numId w:val="0"/>
              </w:numPr>
              <w:spacing w:line="360" w:lineRule="auto"/>
              <w:jc w:val="left"/>
              <w:textAlignment w:val="auto"/>
              <w:rPr>
                <w:rFonts w:hint="eastAsia" w:ascii="宋体" w:hAnsi="宋体" w:cs="宋体"/>
                <w:color w:val="auto"/>
                <w:sz w:val="24"/>
                <w:szCs w:val="24"/>
              </w:rPr>
            </w:pPr>
            <w:r>
              <w:rPr>
                <w:rFonts w:hint="eastAsia" w:ascii="宋体" w:hAnsi="宋体" w:eastAsia="宋体" w:cs="宋体"/>
                <w:sz w:val="24"/>
                <w:szCs w:val="24"/>
                <w:lang w:val="en-US" w:eastAsia="zh-CN"/>
              </w:rPr>
              <w:t>3、</w:t>
            </w:r>
            <w:r>
              <w:rPr>
                <w:rFonts w:hint="eastAsia" w:ascii="宋体" w:hAnsi="宋体" w:cs="宋体"/>
                <w:color w:val="auto"/>
                <w:sz w:val="24"/>
                <w:szCs w:val="24"/>
              </w:rPr>
              <w:t>根据《政府采购促进中小企业发展暂行办法》(财库[2020]46号)及《国务院关于印发扎实稳住经济一揽子政策措施的通知》的规定，对小微企业、监狱、残疾人福利性单位的价格给予20%的扣除，用扣除后的价格参与评审。中小企业划型标准见《关于印发中小企业划型标规定的通知》（工信部联企业[2011]300号）。</w:t>
            </w:r>
          </w:p>
          <w:p w14:paraId="64B1B67E">
            <w:pPr>
              <w:widowControl w:val="0"/>
              <w:numPr>
                <w:ilvl w:val="0"/>
                <w:numId w:val="0"/>
              </w:numPr>
              <w:spacing w:line="360" w:lineRule="auto"/>
              <w:jc w:val="left"/>
              <w:textAlignment w:val="auto"/>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符合价格扣除政策的</w:t>
            </w:r>
            <w:r>
              <w:rPr>
                <w:rFonts w:hint="eastAsia" w:ascii="宋体" w:hAnsi="宋体" w:cs="宋体"/>
                <w:color w:val="auto"/>
                <w:sz w:val="24"/>
                <w:szCs w:val="24"/>
                <w:lang w:eastAsia="zh-CN"/>
              </w:rPr>
              <w:t>供应商</w:t>
            </w:r>
            <w:r>
              <w:rPr>
                <w:rFonts w:hint="eastAsia" w:ascii="宋体" w:hAnsi="宋体" w:cs="宋体"/>
                <w:color w:val="auto"/>
                <w:sz w:val="24"/>
                <w:szCs w:val="24"/>
              </w:rPr>
              <w:t>，须在</w:t>
            </w:r>
            <w:r>
              <w:rPr>
                <w:rFonts w:hint="eastAsia" w:ascii="宋体" w:hAnsi="宋体" w:cs="宋体"/>
                <w:color w:val="auto"/>
                <w:sz w:val="24"/>
                <w:szCs w:val="24"/>
                <w:lang w:eastAsia="zh-CN"/>
              </w:rPr>
              <w:t>磋商响应文件</w:t>
            </w:r>
            <w:r>
              <w:rPr>
                <w:rFonts w:hint="eastAsia" w:ascii="宋体" w:hAnsi="宋体" w:cs="宋体"/>
                <w:color w:val="auto"/>
                <w:sz w:val="24"/>
                <w:szCs w:val="24"/>
              </w:rPr>
              <w:t>中提供相应证明材料原件的扫描件：小微企业提供《中小企业声明函》；残疾人福利性单位提供《残疾人福利性单位声明函》及相关证明材料；监狱企业提供由省级以上监狱管理局、戒毒管理局（含新疆生产建设兵团）出具的属于监狱企业的证明文件。</w:t>
            </w:r>
          </w:p>
          <w:p w14:paraId="234D1318">
            <w:pPr>
              <w:pageBreakBefore w:val="0"/>
              <w:widowControl w:val="0"/>
              <w:numPr>
                <w:ilvl w:val="0"/>
                <w:numId w:val="0"/>
              </w:numPr>
              <w:wordWrap/>
              <w:overflowPunct/>
              <w:topLinePunct w:val="0"/>
              <w:bidi w:val="0"/>
              <w:spacing w:line="440" w:lineRule="exact"/>
              <w:jc w:val="left"/>
              <w:outlineLvl w:val="9"/>
              <w:rPr>
                <w:rFonts w:hint="eastAsia" w:ascii="宋体" w:hAnsi="宋体" w:eastAsia="宋体" w:cs="宋体"/>
                <w:sz w:val="24"/>
                <w:szCs w:val="24"/>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没有提供有效证明材料的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将不享受价格扣除优惠政策</w:t>
            </w:r>
            <w:r>
              <w:rPr>
                <w:rFonts w:hint="eastAsia" w:ascii="宋体" w:hAnsi="宋体" w:eastAsia="宋体" w:cs="宋体"/>
                <w:color w:val="auto"/>
                <w:sz w:val="24"/>
                <w:szCs w:val="24"/>
              </w:rPr>
              <w:t>，用原投标总价参与评审。</w:t>
            </w:r>
          </w:p>
        </w:tc>
      </w:tr>
      <w:tr w14:paraId="3C3B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6" w:type="pct"/>
            <w:vMerge w:val="restart"/>
            <w:vAlign w:val="center"/>
          </w:tcPr>
          <w:p w14:paraId="6F7C378D">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b/>
                <w:sz w:val="24"/>
                <w:szCs w:val="24"/>
              </w:rPr>
            </w:pPr>
            <w:r>
              <w:rPr>
                <w:rFonts w:hint="eastAsia" w:ascii="宋体" w:hAnsi="宋体" w:eastAsia="宋体" w:cs="宋体"/>
                <w:b/>
                <w:sz w:val="24"/>
                <w:szCs w:val="24"/>
              </w:rPr>
              <w:t>技术部分</w:t>
            </w:r>
          </w:p>
          <w:p w14:paraId="67D891B5">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56</w:t>
            </w:r>
            <w:r>
              <w:rPr>
                <w:rFonts w:hint="eastAsia" w:ascii="宋体" w:hAnsi="宋体" w:eastAsia="宋体" w:cs="宋体"/>
                <w:b/>
                <w:sz w:val="24"/>
                <w:szCs w:val="24"/>
              </w:rPr>
              <w:t>分）</w:t>
            </w:r>
          </w:p>
        </w:tc>
        <w:tc>
          <w:tcPr>
            <w:tcW w:w="942" w:type="pct"/>
            <w:vAlign w:val="center"/>
          </w:tcPr>
          <w:p w14:paraId="218B7198">
            <w:pPr>
              <w:pageBreakBefore w:val="0"/>
              <w:wordWrap/>
              <w:overflowPunct/>
              <w:topLinePunct w:val="0"/>
              <w:bidi w:val="0"/>
              <w:spacing w:line="440" w:lineRule="exact"/>
              <w:jc w:val="center"/>
              <w:outlineLvl w:val="9"/>
              <w:rPr>
                <w:rFonts w:ascii="宋体" w:hAnsi="宋体" w:eastAsia="宋体" w:cs="宋体"/>
                <w:bCs/>
                <w:kern w:val="0"/>
                <w:sz w:val="24"/>
                <w:szCs w:val="24"/>
              </w:rPr>
            </w:pPr>
            <w:r>
              <w:rPr>
                <w:rFonts w:hint="eastAsia" w:ascii="宋体" w:hAnsi="宋体" w:eastAsia="宋体" w:cs="宋体"/>
                <w:sz w:val="24"/>
                <w:szCs w:val="24"/>
              </w:rPr>
              <w:t>对项目的了解分析（</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3350" w:type="pct"/>
            <w:vAlign w:val="center"/>
          </w:tcPr>
          <w:p w14:paraId="29F2FA35">
            <w:pPr>
              <w:pageBreakBefore w:val="0"/>
              <w:wordWrap/>
              <w:overflowPunct/>
              <w:topLinePunct w:val="0"/>
              <w:bidi w:val="0"/>
              <w:spacing w:line="440" w:lineRule="exact"/>
              <w:jc w:val="left"/>
              <w:outlineLvl w:val="9"/>
              <w:rPr>
                <w:rFonts w:ascii="宋体" w:hAnsi="宋体" w:eastAsia="宋体" w:cs="宋体"/>
                <w:kern w:val="0"/>
                <w:sz w:val="24"/>
                <w:szCs w:val="24"/>
              </w:rPr>
            </w:pPr>
            <w:r>
              <w:rPr>
                <w:rFonts w:hint="eastAsia" w:ascii="宋体" w:hAnsi="宋体" w:eastAsia="宋体" w:cs="宋体"/>
                <w:sz w:val="24"/>
                <w:szCs w:val="24"/>
              </w:rPr>
              <w:t>对项目背景、理解程度以及对作业区域现状和作业特点有全面深入了解，了解深入、分析全面得</w:t>
            </w:r>
            <w:r>
              <w:rPr>
                <w:rFonts w:hint="eastAsia" w:ascii="宋体" w:hAnsi="宋体" w:eastAsia="宋体" w:cs="宋体"/>
                <w:sz w:val="24"/>
                <w:szCs w:val="24"/>
                <w:lang w:val="en-US" w:eastAsia="zh-CN"/>
              </w:rPr>
              <w:t>7</w:t>
            </w:r>
            <w:r>
              <w:rPr>
                <w:rFonts w:hint="eastAsia" w:ascii="宋体" w:hAnsi="宋体" w:eastAsia="宋体" w:cs="宋体"/>
                <w:sz w:val="24"/>
                <w:szCs w:val="24"/>
              </w:rPr>
              <w:t>分；了解浅显，分析片面得</w:t>
            </w:r>
            <w:r>
              <w:rPr>
                <w:rFonts w:hint="eastAsia" w:ascii="宋体" w:hAnsi="宋体" w:eastAsia="宋体" w:cs="宋体"/>
                <w:sz w:val="24"/>
                <w:szCs w:val="24"/>
                <w:lang w:val="en-US" w:eastAsia="zh-CN"/>
              </w:rPr>
              <w:t>5</w:t>
            </w:r>
            <w:r>
              <w:rPr>
                <w:rFonts w:hint="eastAsia" w:ascii="宋体" w:hAnsi="宋体" w:eastAsia="宋体" w:cs="宋体"/>
                <w:sz w:val="24"/>
                <w:szCs w:val="24"/>
              </w:rPr>
              <w:t>分；缺乏了解，分析简单得</w:t>
            </w:r>
            <w:r>
              <w:rPr>
                <w:rFonts w:hint="eastAsia" w:ascii="宋体" w:hAnsi="宋体" w:eastAsia="宋体" w:cs="宋体"/>
                <w:sz w:val="24"/>
                <w:szCs w:val="24"/>
                <w:lang w:val="en-US" w:eastAsia="zh-CN"/>
              </w:rPr>
              <w:t>3</w:t>
            </w:r>
            <w:r>
              <w:rPr>
                <w:rFonts w:hint="eastAsia" w:ascii="宋体" w:hAnsi="宋体" w:eastAsia="宋体" w:cs="宋体"/>
                <w:sz w:val="24"/>
                <w:szCs w:val="24"/>
              </w:rPr>
              <w:t>分；缺项不得分。</w:t>
            </w:r>
          </w:p>
        </w:tc>
      </w:tr>
      <w:tr w14:paraId="4A1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06" w:type="pct"/>
            <w:vMerge w:val="continue"/>
          </w:tcPr>
          <w:p w14:paraId="7B4640BC">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p>
        </w:tc>
        <w:tc>
          <w:tcPr>
            <w:tcW w:w="942" w:type="pct"/>
            <w:vAlign w:val="center"/>
          </w:tcPr>
          <w:p w14:paraId="342764EF">
            <w:pPr>
              <w:pageBreakBefore w:val="0"/>
              <w:wordWrap/>
              <w:overflowPunct/>
              <w:topLinePunct w:val="0"/>
              <w:bidi w:val="0"/>
              <w:spacing w:line="440" w:lineRule="exact"/>
              <w:jc w:val="center"/>
              <w:outlineLvl w:val="9"/>
              <w:rPr>
                <w:rFonts w:ascii="宋体" w:hAnsi="宋体" w:eastAsia="宋体" w:cs="宋体"/>
                <w:bCs/>
                <w:kern w:val="0"/>
                <w:sz w:val="24"/>
                <w:szCs w:val="24"/>
              </w:rPr>
            </w:pPr>
            <w:r>
              <w:rPr>
                <w:rFonts w:hint="eastAsia" w:ascii="宋体" w:hAnsi="宋体" w:eastAsia="宋体" w:cs="宋体"/>
                <w:sz w:val="24"/>
                <w:szCs w:val="24"/>
              </w:rPr>
              <w:t>项目实施方案（25分）</w:t>
            </w:r>
          </w:p>
        </w:tc>
        <w:tc>
          <w:tcPr>
            <w:tcW w:w="3350" w:type="pct"/>
            <w:vAlign w:val="center"/>
          </w:tcPr>
          <w:p w14:paraId="6C1E3ACF">
            <w:pPr>
              <w:pageBreakBefore w:val="0"/>
              <w:wordWrap/>
              <w:overflowPunct/>
              <w:topLinePunct w:val="0"/>
              <w:bidi w:val="0"/>
              <w:spacing w:line="440" w:lineRule="exact"/>
              <w:jc w:val="left"/>
              <w:outlineLvl w:val="9"/>
              <w:rPr>
                <w:rFonts w:ascii="宋体" w:hAnsi="宋体" w:eastAsia="宋体" w:cs="宋体"/>
                <w:kern w:val="0"/>
                <w:sz w:val="24"/>
                <w:szCs w:val="24"/>
              </w:rPr>
            </w:pPr>
            <w:r>
              <w:rPr>
                <w:rFonts w:hint="eastAsia" w:ascii="宋体" w:hAnsi="宋体" w:eastAsia="宋体" w:cs="宋体"/>
                <w:sz w:val="24"/>
                <w:szCs w:val="24"/>
              </w:rPr>
              <w:t>工作目标、工作思路、技术路线及完成任务的步骤方法科学、可行性高的得25分；步骤方法合理、具有可操作性的得</w:t>
            </w:r>
            <w:r>
              <w:rPr>
                <w:rFonts w:hint="eastAsia" w:ascii="宋体" w:hAnsi="宋体" w:eastAsia="宋体" w:cs="宋体"/>
                <w:sz w:val="24"/>
                <w:szCs w:val="24"/>
                <w:lang w:val="en-US" w:eastAsia="zh-CN"/>
              </w:rPr>
              <w:t>15</w:t>
            </w:r>
            <w:r>
              <w:rPr>
                <w:rFonts w:hint="eastAsia" w:ascii="宋体" w:hAnsi="宋体" w:eastAsia="宋体" w:cs="宋体"/>
                <w:sz w:val="24"/>
                <w:szCs w:val="24"/>
              </w:rPr>
              <w:t>分；方案存在明显不足或可操作性差的得5分；缺项不得分。</w:t>
            </w:r>
          </w:p>
        </w:tc>
      </w:tr>
      <w:tr w14:paraId="0C3B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06" w:type="pct"/>
            <w:vMerge w:val="continue"/>
          </w:tcPr>
          <w:p w14:paraId="57585268">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p>
        </w:tc>
        <w:tc>
          <w:tcPr>
            <w:tcW w:w="942" w:type="pct"/>
            <w:vAlign w:val="center"/>
          </w:tcPr>
          <w:p w14:paraId="1D47BA61">
            <w:pPr>
              <w:pageBreakBefore w:val="0"/>
              <w:wordWrap/>
              <w:overflowPunct/>
              <w:topLinePunct w:val="0"/>
              <w:bidi w:val="0"/>
              <w:spacing w:line="440" w:lineRule="exact"/>
              <w:jc w:val="center"/>
              <w:outlineLvl w:val="9"/>
              <w:rPr>
                <w:rFonts w:ascii="宋体" w:hAnsi="宋体" w:eastAsia="宋体" w:cs="宋体"/>
                <w:bCs/>
                <w:kern w:val="0"/>
                <w:sz w:val="24"/>
                <w:szCs w:val="24"/>
              </w:rPr>
            </w:pPr>
            <w:r>
              <w:rPr>
                <w:rFonts w:hint="eastAsia" w:ascii="宋体" w:hAnsi="宋体" w:eastAsia="宋体" w:cs="宋体"/>
                <w:sz w:val="24"/>
                <w:szCs w:val="24"/>
              </w:rPr>
              <w:t>项目进度保障措施（</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3350" w:type="pct"/>
            <w:vAlign w:val="center"/>
          </w:tcPr>
          <w:p w14:paraId="3A559ACA">
            <w:pPr>
              <w:pageBreakBefore w:val="0"/>
              <w:wordWrap/>
              <w:overflowPunct/>
              <w:topLinePunct w:val="0"/>
              <w:bidi w:val="0"/>
              <w:spacing w:line="440" w:lineRule="exact"/>
              <w:jc w:val="left"/>
              <w:outlineLvl w:val="9"/>
              <w:rPr>
                <w:rFonts w:ascii="宋体" w:hAnsi="宋体" w:eastAsia="宋体" w:cs="宋体"/>
                <w:kern w:val="0"/>
                <w:sz w:val="24"/>
                <w:szCs w:val="24"/>
              </w:rPr>
            </w:pPr>
            <w:r>
              <w:rPr>
                <w:rFonts w:hint="eastAsia" w:ascii="宋体" w:hAnsi="宋体" w:eastAsia="宋体" w:cs="宋体"/>
                <w:sz w:val="24"/>
                <w:szCs w:val="24"/>
              </w:rPr>
              <w:t>工作进度方案合理、可行性强、贴合项目实际情况的得</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分；进度方案基本可行的得</w:t>
            </w:r>
            <w:r>
              <w:rPr>
                <w:rFonts w:hint="eastAsia" w:ascii="宋体" w:hAnsi="宋体" w:eastAsia="宋体" w:cs="宋体"/>
                <w:sz w:val="24"/>
                <w:szCs w:val="24"/>
                <w:lang w:val="en-US" w:eastAsia="zh-CN"/>
              </w:rPr>
              <w:t>4</w:t>
            </w:r>
            <w:r>
              <w:rPr>
                <w:rFonts w:hint="eastAsia" w:ascii="宋体" w:hAnsi="宋体" w:eastAsia="宋体" w:cs="宋体"/>
                <w:sz w:val="24"/>
                <w:szCs w:val="24"/>
              </w:rPr>
              <w:t>分；进度方案不够合理得</w:t>
            </w:r>
            <w:r>
              <w:rPr>
                <w:rFonts w:hint="eastAsia" w:ascii="宋体" w:hAnsi="宋体" w:eastAsia="宋体" w:cs="宋体"/>
                <w:sz w:val="24"/>
                <w:szCs w:val="24"/>
                <w:lang w:val="en-US" w:eastAsia="zh-CN"/>
              </w:rPr>
              <w:t>2</w:t>
            </w:r>
            <w:r>
              <w:rPr>
                <w:rFonts w:hint="eastAsia" w:ascii="宋体" w:hAnsi="宋体" w:eastAsia="宋体" w:cs="宋体"/>
                <w:sz w:val="24"/>
                <w:szCs w:val="24"/>
              </w:rPr>
              <w:t>分；缺项不得分。</w:t>
            </w:r>
          </w:p>
        </w:tc>
      </w:tr>
      <w:tr w14:paraId="5D73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6" w:type="pct"/>
            <w:vMerge w:val="continue"/>
          </w:tcPr>
          <w:p w14:paraId="18697EE2">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p>
        </w:tc>
        <w:tc>
          <w:tcPr>
            <w:tcW w:w="942" w:type="pct"/>
            <w:vAlign w:val="center"/>
          </w:tcPr>
          <w:p w14:paraId="017BAB40">
            <w:pPr>
              <w:pageBreakBefore w:val="0"/>
              <w:wordWrap/>
              <w:overflowPunct/>
              <w:topLinePunct w:val="0"/>
              <w:bidi w:val="0"/>
              <w:spacing w:line="440" w:lineRule="exact"/>
              <w:jc w:val="center"/>
              <w:outlineLvl w:val="9"/>
              <w:rPr>
                <w:rFonts w:ascii="宋体" w:hAnsi="宋体" w:eastAsia="宋体" w:cs="宋体"/>
                <w:bCs/>
                <w:kern w:val="0"/>
                <w:sz w:val="24"/>
                <w:szCs w:val="24"/>
              </w:rPr>
            </w:pPr>
            <w:r>
              <w:rPr>
                <w:rFonts w:hint="eastAsia" w:ascii="宋体" w:hAnsi="宋体" w:eastAsia="宋体" w:cs="宋体"/>
                <w:sz w:val="24"/>
                <w:szCs w:val="24"/>
              </w:rPr>
              <w:t>项目质量保证措施（</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3350" w:type="pct"/>
            <w:vAlign w:val="center"/>
          </w:tcPr>
          <w:p w14:paraId="5BD13474">
            <w:pPr>
              <w:pageBreakBefore w:val="0"/>
              <w:wordWrap/>
              <w:overflowPunct/>
              <w:topLinePunct w:val="0"/>
              <w:bidi w:val="0"/>
              <w:spacing w:line="440" w:lineRule="exact"/>
              <w:jc w:val="left"/>
              <w:outlineLvl w:val="9"/>
              <w:rPr>
                <w:rFonts w:ascii="宋体" w:hAnsi="宋体" w:eastAsia="宋体" w:cs="宋体"/>
                <w:kern w:val="0"/>
                <w:sz w:val="24"/>
                <w:szCs w:val="24"/>
              </w:rPr>
            </w:pPr>
            <w:r>
              <w:rPr>
                <w:rFonts w:hint="eastAsia" w:ascii="宋体" w:hAnsi="宋体" w:eastAsia="宋体" w:cs="宋体"/>
                <w:sz w:val="24"/>
                <w:szCs w:val="24"/>
              </w:rPr>
              <w:t>确保服务项目质量及</w:t>
            </w:r>
            <w:r>
              <w:rPr>
                <w:rFonts w:hint="eastAsia" w:ascii="宋体" w:hAnsi="宋体" w:eastAsia="宋体" w:cs="宋体"/>
                <w:sz w:val="24"/>
                <w:szCs w:val="24"/>
                <w:lang w:val="en-US" w:eastAsia="zh-CN"/>
              </w:rPr>
              <w:t>服务周期</w:t>
            </w:r>
            <w:r>
              <w:rPr>
                <w:rFonts w:hint="eastAsia" w:ascii="宋体" w:hAnsi="宋体" w:eastAsia="宋体" w:cs="宋体"/>
                <w:sz w:val="24"/>
                <w:szCs w:val="24"/>
              </w:rPr>
              <w:t>的技术和组织措施合理、可行性强的得</w:t>
            </w:r>
            <w:r>
              <w:rPr>
                <w:rFonts w:hint="eastAsia" w:ascii="宋体" w:hAnsi="宋体" w:eastAsia="宋体" w:cs="宋体"/>
                <w:sz w:val="24"/>
                <w:szCs w:val="24"/>
                <w:lang w:val="en-US" w:eastAsia="zh-CN"/>
              </w:rPr>
              <w:t>6</w:t>
            </w:r>
            <w:r>
              <w:rPr>
                <w:rFonts w:hint="eastAsia" w:ascii="宋体" w:hAnsi="宋体" w:eastAsia="宋体" w:cs="宋体"/>
                <w:sz w:val="24"/>
                <w:szCs w:val="24"/>
              </w:rPr>
              <w:t>分；质量及</w:t>
            </w:r>
            <w:r>
              <w:rPr>
                <w:rFonts w:hint="eastAsia" w:ascii="宋体" w:hAnsi="宋体" w:eastAsia="宋体" w:cs="宋体"/>
                <w:sz w:val="24"/>
                <w:szCs w:val="24"/>
                <w:lang w:eastAsia="zh-CN"/>
              </w:rPr>
              <w:t>服务周期</w:t>
            </w:r>
            <w:r>
              <w:rPr>
                <w:rFonts w:hint="eastAsia" w:ascii="宋体" w:hAnsi="宋体" w:eastAsia="宋体" w:cs="宋体"/>
                <w:sz w:val="24"/>
                <w:szCs w:val="24"/>
              </w:rPr>
              <w:t>符合要求、组织措施基本完整可行的得</w:t>
            </w:r>
            <w:r>
              <w:rPr>
                <w:rFonts w:hint="eastAsia" w:ascii="宋体" w:hAnsi="宋体" w:eastAsia="宋体" w:cs="宋体"/>
                <w:sz w:val="24"/>
                <w:szCs w:val="24"/>
                <w:lang w:val="en-US" w:eastAsia="zh-CN"/>
              </w:rPr>
              <w:t>4</w:t>
            </w:r>
            <w:r>
              <w:rPr>
                <w:rFonts w:hint="eastAsia" w:ascii="宋体" w:hAnsi="宋体" w:eastAsia="宋体" w:cs="宋体"/>
                <w:sz w:val="24"/>
                <w:szCs w:val="24"/>
              </w:rPr>
              <w:t>分；不能满足项目服务质量及</w:t>
            </w:r>
            <w:r>
              <w:rPr>
                <w:rFonts w:hint="eastAsia" w:ascii="宋体" w:hAnsi="宋体" w:eastAsia="宋体" w:cs="宋体"/>
                <w:sz w:val="24"/>
                <w:szCs w:val="24"/>
                <w:lang w:eastAsia="zh-CN"/>
              </w:rPr>
              <w:t>服务周期</w:t>
            </w:r>
            <w:r>
              <w:rPr>
                <w:rFonts w:hint="eastAsia" w:ascii="宋体" w:hAnsi="宋体" w:eastAsia="宋体" w:cs="宋体"/>
                <w:sz w:val="24"/>
                <w:szCs w:val="24"/>
              </w:rPr>
              <w:t>和组织措施不完整可行的得</w:t>
            </w:r>
            <w:r>
              <w:rPr>
                <w:rFonts w:hint="eastAsia" w:ascii="宋体" w:hAnsi="宋体" w:eastAsia="宋体" w:cs="宋体"/>
                <w:sz w:val="24"/>
                <w:szCs w:val="24"/>
                <w:lang w:val="en-US" w:eastAsia="zh-CN"/>
              </w:rPr>
              <w:t>2</w:t>
            </w:r>
            <w:r>
              <w:rPr>
                <w:rFonts w:hint="eastAsia" w:ascii="宋体" w:hAnsi="宋体" w:eastAsia="宋体" w:cs="宋体"/>
                <w:sz w:val="24"/>
                <w:szCs w:val="24"/>
              </w:rPr>
              <w:t>分；缺项不得分。</w:t>
            </w:r>
          </w:p>
        </w:tc>
      </w:tr>
      <w:tr w14:paraId="7400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706" w:type="pct"/>
            <w:vMerge w:val="continue"/>
          </w:tcPr>
          <w:p w14:paraId="380E4174">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p>
        </w:tc>
        <w:tc>
          <w:tcPr>
            <w:tcW w:w="942" w:type="pct"/>
            <w:vAlign w:val="center"/>
          </w:tcPr>
          <w:p w14:paraId="33145CEE">
            <w:pPr>
              <w:pageBreakBefore w:val="0"/>
              <w:wordWrap/>
              <w:overflowPunct/>
              <w:topLinePunct w:val="0"/>
              <w:bidi w:val="0"/>
              <w:spacing w:line="440" w:lineRule="exact"/>
              <w:jc w:val="center"/>
              <w:outlineLvl w:val="9"/>
              <w:rPr>
                <w:rFonts w:ascii="宋体" w:hAnsi="宋体" w:eastAsia="宋体" w:cs="宋体"/>
                <w:sz w:val="24"/>
                <w:szCs w:val="24"/>
              </w:rPr>
            </w:pPr>
            <w:r>
              <w:rPr>
                <w:rFonts w:hint="eastAsia" w:ascii="宋体" w:hAnsi="宋体" w:eastAsia="宋体" w:cs="宋体"/>
                <w:sz w:val="24"/>
                <w:szCs w:val="24"/>
              </w:rPr>
              <w:t>项目安全管理措施（</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3350" w:type="pct"/>
            <w:vAlign w:val="center"/>
          </w:tcPr>
          <w:p w14:paraId="32A3FEF2">
            <w:pPr>
              <w:pageBreakBefore w:val="0"/>
              <w:wordWrap/>
              <w:overflowPunct/>
              <w:topLinePunct w:val="0"/>
              <w:bidi w:val="0"/>
              <w:spacing w:line="440" w:lineRule="exact"/>
              <w:jc w:val="left"/>
              <w:outlineLvl w:val="9"/>
              <w:rPr>
                <w:rFonts w:hint="eastAsia" w:ascii="宋体" w:hAnsi="宋体" w:eastAsia="宋体" w:cs="宋体"/>
                <w:sz w:val="24"/>
                <w:szCs w:val="24"/>
                <w:lang w:eastAsia="zh-CN"/>
              </w:rPr>
            </w:pPr>
            <w:r>
              <w:rPr>
                <w:rFonts w:hint="eastAsia" w:ascii="宋体" w:hAnsi="宋体" w:eastAsia="宋体" w:cs="宋体"/>
                <w:sz w:val="24"/>
                <w:szCs w:val="24"/>
              </w:rPr>
              <w:t>安全及文明服务的技术和组织措施合理、可行的得</w:t>
            </w:r>
            <w:r>
              <w:rPr>
                <w:rFonts w:hint="eastAsia" w:ascii="宋体" w:hAnsi="宋体" w:eastAsia="宋体" w:cs="宋体"/>
                <w:sz w:val="24"/>
                <w:szCs w:val="24"/>
                <w:lang w:val="en-US" w:eastAsia="zh-CN"/>
              </w:rPr>
              <w:t>6</w:t>
            </w:r>
            <w:r>
              <w:rPr>
                <w:rFonts w:hint="eastAsia" w:ascii="宋体" w:hAnsi="宋体" w:eastAsia="宋体" w:cs="宋体"/>
                <w:sz w:val="24"/>
                <w:szCs w:val="24"/>
              </w:rPr>
              <w:t>分；安全及文明服务的技术和组织措施基本到位的得</w:t>
            </w:r>
            <w:r>
              <w:rPr>
                <w:rFonts w:hint="eastAsia" w:ascii="宋体" w:hAnsi="宋体" w:eastAsia="宋体" w:cs="宋体"/>
                <w:sz w:val="24"/>
                <w:szCs w:val="24"/>
                <w:lang w:val="en-US" w:eastAsia="zh-CN"/>
              </w:rPr>
              <w:t>4</w:t>
            </w:r>
            <w:r>
              <w:rPr>
                <w:rFonts w:hint="eastAsia" w:ascii="宋体" w:hAnsi="宋体" w:eastAsia="宋体" w:cs="宋体"/>
                <w:sz w:val="24"/>
                <w:szCs w:val="24"/>
              </w:rPr>
              <w:t>分；安全及文明服务的技术和组织措施不合理</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得2分；</w:t>
            </w:r>
            <w:r>
              <w:rPr>
                <w:rFonts w:hint="eastAsia" w:ascii="宋体" w:hAnsi="宋体" w:eastAsia="宋体" w:cs="宋体"/>
                <w:sz w:val="24"/>
                <w:szCs w:val="24"/>
              </w:rPr>
              <w:t>缺项</w:t>
            </w:r>
            <w:r>
              <w:rPr>
                <w:rFonts w:hint="eastAsia" w:ascii="宋体" w:hAnsi="宋体" w:eastAsia="宋体" w:cs="宋体"/>
                <w:sz w:val="24"/>
                <w:szCs w:val="24"/>
                <w:lang w:val="en-US" w:eastAsia="zh-CN"/>
              </w:rPr>
              <w:t>不得</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14:paraId="70C6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706" w:type="pct"/>
            <w:vMerge w:val="continue"/>
          </w:tcPr>
          <w:p w14:paraId="784D0CE4">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p>
        </w:tc>
        <w:tc>
          <w:tcPr>
            <w:tcW w:w="942" w:type="pct"/>
            <w:vAlign w:val="center"/>
          </w:tcPr>
          <w:p w14:paraId="1543A6EB">
            <w:pPr>
              <w:pageBreakBefore w:val="0"/>
              <w:wordWrap/>
              <w:overflowPunct/>
              <w:topLinePunct w:val="0"/>
              <w:bidi w:val="0"/>
              <w:spacing w:line="440" w:lineRule="exact"/>
              <w:jc w:val="center"/>
              <w:outlineLvl w:val="9"/>
              <w:rPr>
                <w:rFonts w:hint="eastAsia" w:ascii="宋体" w:hAnsi="宋体" w:eastAsia="宋体" w:cs="宋体"/>
                <w:sz w:val="24"/>
                <w:szCs w:val="24"/>
              </w:rPr>
            </w:pPr>
            <w:r>
              <w:rPr>
                <w:rFonts w:hint="eastAsia" w:ascii="宋体" w:hAnsi="宋体" w:eastAsia="宋体" w:cs="宋体"/>
                <w:sz w:val="24"/>
                <w:szCs w:val="24"/>
              </w:rPr>
              <w:t>项目成果管理及保密措施</w:t>
            </w:r>
          </w:p>
          <w:p w14:paraId="756645EB">
            <w:pPr>
              <w:pageBreakBefore w:val="0"/>
              <w:wordWrap/>
              <w:overflowPunct/>
              <w:topLinePunct w:val="0"/>
              <w:bidi w:val="0"/>
              <w:spacing w:line="440" w:lineRule="exact"/>
              <w:jc w:val="center"/>
              <w:outlineLvl w:val="9"/>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3350" w:type="pct"/>
            <w:vAlign w:val="center"/>
          </w:tcPr>
          <w:p w14:paraId="218BFF3D">
            <w:pPr>
              <w:pageBreakBefore w:val="0"/>
              <w:wordWrap/>
              <w:overflowPunct/>
              <w:topLinePunct w:val="0"/>
              <w:bidi w:val="0"/>
              <w:spacing w:line="440" w:lineRule="exact"/>
              <w:jc w:val="left"/>
              <w:outlineLvl w:val="9"/>
              <w:rPr>
                <w:rFonts w:hint="eastAsia" w:ascii="宋体" w:hAnsi="宋体" w:eastAsia="宋体" w:cs="宋体"/>
                <w:sz w:val="24"/>
                <w:szCs w:val="24"/>
                <w:lang w:eastAsia="zh-CN"/>
              </w:rPr>
            </w:pPr>
            <w:r>
              <w:rPr>
                <w:rFonts w:hint="eastAsia" w:ascii="宋体" w:hAnsi="宋体" w:eastAsia="宋体" w:cs="宋体"/>
                <w:sz w:val="24"/>
                <w:szCs w:val="24"/>
              </w:rPr>
              <w:t>成果资料完整、保密措施科学合理、可行性高的得</w:t>
            </w:r>
            <w:r>
              <w:rPr>
                <w:rFonts w:hint="eastAsia" w:ascii="宋体" w:hAnsi="宋体" w:eastAsia="宋体" w:cs="宋体"/>
                <w:sz w:val="24"/>
                <w:szCs w:val="24"/>
                <w:lang w:val="en-US" w:eastAsia="zh-CN"/>
              </w:rPr>
              <w:t>6</w:t>
            </w:r>
            <w:r>
              <w:rPr>
                <w:rFonts w:hint="eastAsia" w:ascii="宋体" w:hAnsi="宋体" w:eastAsia="宋体" w:cs="宋体"/>
                <w:sz w:val="24"/>
                <w:szCs w:val="24"/>
              </w:rPr>
              <w:t>分；成果资料完整、保密措施基本合理得</w:t>
            </w:r>
            <w:r>
              <w:rPr>
                <w:rFonts w:hint="eastAsia" w:ascii="宋体" w:hAnsi="宋体" w:eastAsia="宋体" w:cs="宋体"/>
                <w:sz w:val="24"/>
                <w:szCs w:val="24"/>
                <w:lang w:val="en-US" w:eastAsia="zh-CN"/>
              </w:rPr>
              <w:t>4</w:t>
            </w:r>
            <w:r>
              <w:rPr>
                <w:rFonts w:hint="eastAsia" w:ascii="宋体" w:hAnsi="宋体" w:eastAsia="宋体" w:cs="宋体"/>
                <w:sz w:val="24"/>
                <w:szCs w:val="24"/>
              </w:rPr>
              <w:t>分；成果资料不全面、保密措施缺少的得</w:t>
            </w:r>
            <w:r>
              <w:rPr>
                <w:rFonts w:hint="eastAsia" w:ascii="宋体" w:hAnsi="宋体" w:eastAsia="宋体" w:cs="宋体"/>
                <w:sz w:val="24"/>
                <w:szCs w:val="24"/>
                <w:lang w:val="en-US" w:eastAsia="zh-CN"/>
              </w:rPr>
              <w:t>2分；缺项不得</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14:paraId="6F2E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06" w:type="pct"/>
            <w:vMerge w:val="restart"/>
            <w:vAlign w:val="center"/>
          </w:tcPr>
          <w:p w14:paraId="5CB6EC72">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b/>
                <w:bCs/>
                <w:sz w:val="24"/>
                <w:szCs w:val="24"/>
              </w:rPr>
            </w:pPr>
            <w:r>
              <w:rPr>
                <w:rFonts w:hint="eastAsia" w:ascii="宋体" w:hAnsi="宋体" w:eastAsia="宋体" w:cs="宋体"/>
                <w:b/>
                <w:bCs/>
                <w:sz w:val="24"/>
                <w:szCs w:val="24"/>
              </w:rPr>
              <w:t>商务部分</w:t>
            </w:r>
          </w:p>
          <w:p w14:paraId="060CE993">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分</w:t>
            </w:r>
            <w:r>
              <w:rPr>
                <w:rFonts w:hint="eastAsia" w:ascii="宋体" w:hAnsi="宋体" w:eastAsia="宋体" w:cs="宋体"/>
                <w:b/>
                <w:sz w:val="24"/>
                <w:szCs w:val="24"/>
              </w:rPr>
              <w:t>）</w:t>
            </w:r>
          </w:p>
        </w:tc>
        <w:tc>
          <w:tcPr>
            <w:tcW w:w="942" w:type="pct"/>
            <w:vAlign w:val="center"/>
          </w:tcPr>
          <w:p w14:paraId="2804D6E6">
            <w:pPr>
              <w:pageBreakBefore w:val="0"/>
              <w:wordWrap/>
              <w:overflowPunct/>
              <w:topLinePunct w:val="0"/>
              <w:bidi w:val="0"/>
              <w:spacing w:line="440" w:lineRule="exact"/>
              <w:jc w:val="center"/>
              <w:outlineLvl w:val="9"/>
              <w:rPr>
                <w:rFonts w:hint="eastAsia" w:ascii="宋体" w:hAnsi="宋体" w:eastAsia="宋体" w:cs="宋体"/>
                <w:sz w:val="24"/>
                <w:szCs w:val="24"/>
              </w:rPr>
            </w:pPr>
            <w:r>
              <w:rPr>
                <w:rFonts w:hint="eastAsia" w:ascii="宋体" w:hAnsi="宋体" w:eastAsia="宋体" w:cs="宋体"/>
                <w:sz w:val="24"/>
                <w:szCs w:val="24"/>
              </w:rPr>
              <w:t>服务团队</w:t>
            </w:r>
          </w:p>
          <w:p w14:paraId="60C6922F">
            <w:pPr>
              <w:pageBreakBefore w:val="0"/>
              <w:wordWrap/>
              <w:overflowPunct/>
              <w:topLinePunct w:val="0"/>
              <w:bidi w:val="0"/>
              <w:spacing w:line="440" w:lineRule="exact"/>
              <w:jc w:val="center"/>
              <w:outlineLvl w:val="9"/>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分）</w:t>
            </w:r>
          </w:p>
        </w:tc>
        <w:tc>
          <w:tcPr>
            <w:tcW w:w="3350" w:type="pct"/>
            <w:vAlign w:val="center"/>
          </w:tcPr>
          <w:p w14:paraId="3151D9B9">
            <w:pPr>
              <w:pageBreakBefore w:val="0"/>
              <w:shd w:val="clear"/>
              <w:wordWrap/>
              <w:overflowPunct/>
              <w:topLinePunct w:val="0"/>
              <w:bidi w:val="0"/>
              <w:spacing w:line="36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拟投入服务</w:t>
            </w:r>
            <w:r>
              <w:rPr>
                <w:rFonts w:hint="eastAsia" w:ascii="宋体" w:hAnsi="宋体" w:eastAsia="宋体" w:cs="宋体"/>
                <w:sz w:val="24"/>
                <w:szCs w:val="24"/>
                <w:highlight w:val="none"/>
              </w:rPr>
              <w:t>团队（项目负责人除外）具有</w:t>
            </w:r>
            <w:r>
              <w:rPr>
                <w:rFonts w:hint="eastAsia" w:ascii="宋体" w:hAnsi="宋体" w:eastAsia="宋体" w:cs="宋体"/>
                <w:sz w:val="24"/>
                <w:szCs w:val="24"/>
                <w:highlight w:val="none"/>
                <w:lang w:val="en-US" w:eastAsia="zh-CN"/>
              </w:rPr>
              <w:t>相关专业高级工程师或以上</w:t>
            </w:r>
            <w:r>
              <w:rPr>
                <w:rFonts w:hint="eastAsia" w:ascii="宋体" w:hAnsi="宋体" w:eastAsia="宋体" w:cs="宋体"/>
                <w:sz w:val="24"/>
                <w:szCs w:val="24"/>
                <w:highlight w:val="none"/>
              </w:rPr>
              <w:t>职称</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rPr>
              <w:t>1人得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本项最多得8分</w:t>
            </w:r>
            <w:r>
              <w:rPr>
                <w:rFonts w:hint="eastAsia" w:ascii="宋体" w:hAnsi="宋体" w:eastAsia="宋体" w:cs="宋体"/>
                <w:sz w:val="24"/>
                <w:szCs w:val="24"/>
                <w:highlight w:val="none"/>
                <w:lang w:eastAsia="zh-CN"/>
              </w:rPr>
              <w:t>；</w:t>
            </w:r>
          </w:p>
          <w:p w14:paraId="21341F37">
            <w:pPr>
              <w:pageBreakBefore w:val="0"/>
              <w:shd w:val="clear"/>
              <w:wordWrap/>
              <w:overflowPunct/>
              <w:topLinePunct w:val="0"/>
              <w:bidi w:val="0"/>
              <w:spacing w:line="360" w:lineRule="auto"/>
              <w:jc w:val="left"/>
              <w:outlineLvl w:val="9"/>
              <w:rPr>
                <w:rFonts w:ascii="宋体" w:hAnsi="宋体" w:eastAsia="宋体" w:cs="宋体"/>
                <w:sz w:val="24"/>
                <w:szCs w:val="24"/>
                <w:highlight w:val="none"/>
              </w:rPr>
            </w:pPr>
            <w:r>
              <w:rPr>
                <w:rFonts w:hint="eastAsia" w:ascii="宋体" w:hAnsi="宋体" w:eastAsia="宋体" w:cs="宋体"/>
                <w:color w:val="000000"/>
                <w:sz w:val="24"/>
                <w:szCs w:val="24"/>
                <w:highlight w:val="none"/>
              </w:rPr>
              <w:t>拟投入服务</w:t>
            </w:r>
            <w:r>
              <w:rPr>
                <w:rFonts w:hint="eastAsia" w:ascii="宋体" w:hAnsi="宋体" w:eastAsia="宋体" w:cs="宋体"/>
                <w:sz w:val="24"/>
                <w:szCs w:val="24"/>
                <w:highlight w:val="none"/>
              </w:rPr>
              <w:t>团队（项目负责人除外）具有</w:t>
            </w:r>
            <w:r>
              <w:rPr>
                <w:rFonts w:hint="eastAsia" w:ascii="宋体" w:hAnsi="宋体" w:eastAsia="宋体" w:cs="宋体"/>
                <w:sz w:val="24"/>
                <w:szCs w:val="24"/>
                <w:highlight w:val="none"/>
                <w:lang w:val="en-US" w:eastAsia="zh-CN"/>
              </w:rPr>
              <w:t>注册城乡（市）规划师</w:t>
            </w:r>
            <w:r>
              <w:rPr>
                <w:rFonts w:hint="eastAsia" w:ascii="宋体" w:hAnsi="宋体" w:eastAsia="宋体" w:cs="宋体"/>
                <w:sz w:val="24"/>
                <w:szCs w:val="24"/>
                <w:highlight w:val="none"/>
              </w:rPr>
              <w:t>证书，每</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rPr>
              <w:t>1人得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本项最多得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14:paraId="70EF0120">
            <w:pPr>
              <w:pageBreakBefore w:val="0"/>
              <w:wordWrap/>
              <w:overflowPunct/>
              <w:topLinePunct w:val="0"/>
              <w:bidi w:val="0"/>
              <w:spacing w:line="360" w:lineRule="auto"/>
              <w:jc w:val="left"/>
              <w:outlineLvl w:val="9"/>
              <w:rPr>
                <w:rFonts w:ascii="宋体" w:hAnsi="宋体" w:eastAsia="宋体" w:cs="宋体"/>
                <w:sz w:val="24"/>
                <w:szCs w:val="24"/>
              </w:rPr>
            </w:pPr>
            <w:r>
              <w:rPr>
                <w:rFonts w:hint="eastAsia" w:ascii="宋体" w:hAnsi="宋体" w:eastAsia="宋体" w:cs="宋体"/>
                <w:b/>
                <w:bCs/>
                <w:sz w:val="24"/>
                <w:szCs w:val="24"/>
              </w:rPr>
              <w:t>注：以上人员需提</w:t>
            </w:r>
            <w:r>
              <w:rPr>
                <w:rFonts w:hint="eastAsia" w:ascii="Calibri" w:hAnsi="宋体" w:eastAsia="宋体" w:cs="宋体"/>
                <w:b/>
                <w:bCs/>
                <w:sz w:val="24"/>
                <w:szCs w:val="24"/>
              </w:rPr>
              <w:t>供</w:t>
            </w:r>
            <w:r>
              <w:rPr>
                <w:rFonts w:hint="eastAsia" w:ascii="宋体" w:hAnsi="宋体" w:eastAsia="宋体" w:cs="宋体"/>
                <w:b/>
                <w:bCs/>
                <w:sz w:val="24"/>
                <w:szCs w:val="24"/>
                <w:lang w:val="en-US" w:eastAsia="zh-CN"/>
              </w:rPr>
              <w:t>社保证明</w:t>
            </w:r>
            <w:r>
              <w:rPr>
                <w:rFonts w:hint="eastAsia" w:ascii="宋体" w:hAnsi="宋体" w:eastAsia="宋体" w:cs="宋体"/>
                <w:b/>
                <w:bCs/>
                <w:sz w:val="24"/>
                <w:szCs w:val="24"/>
              </w:rPr>
              <w:t>、职称证、相应证书，证书在有效期内，</w:t>
            </w:r>
            <w:r>
              <w:rPr>
                <w:rFonts w:hint="eastAsia" w:ascii="宋体" w:hAnsi="宋体" w:eastAsia="宋体" w:cs="宋体"/>
                <w:b/>
                <w:bCs/>
                <w:sz w:val="24"/>
                <w:szCs w:val="24"/>
                <w:lang w:val="en-US" w:eastAsia="zh-CN"/>
              </w:rPr>
              <w:t>否则</w:t>
            </w:r>
            <w:r>
              <w:rPr>
                <w:rFonts w:hint="eastAsia" w:ascii="宋体" w:hAnsi="宋体" w:eastAsia="宋体" w:cs="宋体"/>
                <w:b/>
                <w:bCs/>
                <w:sz w:val="24"/>
                <w:szCs w:val="24"/>
              </w:rPr>
              <w:t>不得分。</w:t>
            </w:r>
          </w:p>
        </w:tc>
      </w:tr>
      <w:tr w14:paraId="736D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06" w:type="pct"/>
            <w:vMerge w:val="continue"/>
          </w:tcPr>
          <w:p w14:paraId="529F6038">
            <w:pPr>
              <w:pageBreakBefore w:val="0"/>
              <w:widowControl/>
              <w:kinsoku w:val="0"/>
              <w:wordWrap/>
              <w:overflowPunct/>
              <w:topLinePunct w:val="0"/>
              <w:autoSpaceDE w:val="0"/>
              <w:autoSpaceDN w:val="0"/>
              <w:bidi w:val="0"/>
              <w:adjustRightInd w:val="0"/>
              <w:snapToGrid w:val="0"/>
              <w:jc w:val="center"/>
              <w:textAlignment w:val="baseline"/>
              <w:outlineLvl w:val="9"/>
              <w:rPr>
                <w:rFonts w:ascii="宋体" w:hAnsi="宋体" w:eastAsia="宋体" w:cs="宋体"/>
                <w:kern w:val="0"/>
                <w:sz w:val="24"/>
                <w:szCs w:val="24"/>
              </w:rPr>
            </w:pPr>
          </w:p>
        </w:tc>
        <w:tc>
          <w:tcPr>
            <w:tcW w:w="942" w:type="pct"/>
            <w:vAlign w:val="center"/>
          </w:tcPr>
          <w:p w14:paraId="1682F301">
            <w:pPr>
              <w:pageBreakBefore w:val="0"/>
              <w:wordWrap/>
              <w:overflowPunct/>
              <w:topLinePunct w:val="0"/>
              <w:bidi w:val="0"/>
              <w:spacing w:line="440" w:lineRule="exact"/>
              <w:jc w:val="center"/>
              <w:outlineLvl w:val="9"/>
              <w:rPr>
                <w:rFonts w:hint="eastAsia" w:ascii="宋体" w:hAnsi="宋体" w:eastAsia="宋体" w:cs="宋体"/>
                <w:sz w:val="24"/>
                <w:szCs w:val="24"/>
              </w:rPr>
            </w:pPr>
            <w:r>
              <w:rPr>
                <w:rFonts w:hint="eastAsia" w:ascii="宋体" w:hAnsi="宋体" w:eastAsia="宋体" w:cs="宋体"/>
                <w:sz w:val="24"/>
                <w:szCs w:val="24"/>
              </w:rPr>
              <w:t>供应商业绩</w:t>
            </w:r>
          </w:p>
          <w:p w14:paraId="1DCF5BBD">
            <w:pPr>
              <w:pageBreakBefore w:val="0"/>
              <w:wordWrap/>
              <w:overflowPunct/>
              <w:topLinePunct w:val="0"/>
              <w:bidi w:val="0"/>
              <w:spacing w:line="440" w:lineRule="exact"/>
              <w:jc w:val="center"/>
              <w:outlineLvl w:val="9"/>
              <w:rPr>
                <w:rFonts w:ascii="宋体" w:hAnsi="宋体" w:eastAsia="宋体" w:cs="宋体"/>
                <w:bCs/>
                <w:kern w:val="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3350" w:type="pct"/>
            <w:vAlign w:val="center"/>
          </w:tcPr>
          <w:p w14:paraId="45237AA8">
            <w:pPr>
              <w:pageBreakBefore w:val="0"/>
              <w:wordWrap/>
              <w:overflowPunct/>
              <w:topLinePunct w:val="0"/>
              <w:bidi w:val="0"/>
              <w:spacing w:line="440" w:lineRule="exact"/>
              <w:jc w:val="left"/>
              <w:outlineLvl w:val="9"/>
              <w:rPr>
                <w:rFonts w:ascii="宋体" w:hAnsi="宋体" w:eastAsia="宋体" w:cs="宋体"/>
                <w:kern w:val="0"/>
                <w:sz w:val="24"/>
                <w:szCs w:val="24"/>
              </w:rPr>
            </w:pPr>
            <w:r>
              <w:rPr>
                <w:rFonts w:hint="eastAsia" w:ascii="宋体" w:hAnsi="宋体" w:eastAsia="宋体" w:cs="宋体"/>
                <w:color w:val="000000"/>
                <w:sz w:val="24"/>
                <w:szCs w:val="24"/>
              </w:rPr>
              <w:t>供应商202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年以来承担过类似项目的每个2分，本项最高得</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分；注：类似项目需提供中标</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通知书</w:t>
            </w:r>
            <w:r>
              <w:rPr>
                <w:rFonts w:hint="eastAsia" w:ascii="宋体" w:hAnsi="宋体" w:eastAsia="宋体" w:cs="宋体"/>
                <w:color w:val="000000"/>
                <w:sz w:val="24"/>
                <w:szCs w:val="24"/>
                <w:lang w:val="en-US" w:eastAsia="zh-CN"/>
              </w:rPr>
              <w:t>和</w:t>
            </w:r>
            <w:r>
              <w:rPr>
                <w:rFonts w:hint="eastAsia" w:ascii="宋体" w:hAnsi="宋体" w:eastAsia="宋体" w:cs="宋体"/>
                <w:color w:val="000000"/>
                <w:sz w:val="24"/>
                <w:szCs w:val="24"/>
              </w:rPr>
              <w:t>合同证明材料，否则不得分。</w:t>
            </w:r>
          </w:p>
        </w:tc>
      </w:tr>
      <w:tr w14:paraId="332F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06" w:type="pct"/>
            <w:vMerge w:val="continue"/>
          </w:tcPr>
          <w:p w14:paraId="59A7F474">
            <w:pPr>
              <w:pageBreakBefore w:val="0"/>
              <w:wordWrap/>
              <w:overflowPunct/>
              <w:topLinePunct w:val="0"/>
              <w:bidi w:val="0"/>
              <w:spacing w:line="440" w:lineRule="exact"/>
              <w:jc w:val="left"/>
              <w:outlineLvl w:val="9"/>
              <w:rPr>
                <w:rFonts w:ascii="Calibri" w:hAnsi="Calibri" w:eastAsia="宋体" w:cs="Times New Roman"/>
                <w:szCs w:val="24"/>
              </w:rPr>
            </w:pPr>
          </w:p>
        </w:tc>
        <w:tc>
          <w:tcPr>
            <w:tcW w:w="942" w:type="pct"/>
            <w:vAlign w:val="center"/>
          </w:tcPr>
          <w:p w14:paraId="249AD7EF">
            <w:pPr>
              <w:pageBreakBefore w:val="0"/>
              <w:wordWrap/>
              <w:overflowPunct/>
              <w:topLinePunct w:val="0"/>
              <w:bidi w:val="0"/>
              <w:spacing w:line="440" w:lineRule="exact"/>
              <w:jc w:val="center"/>
              <w:outlineLvl w:val="9"/>
              <w:rPr>
                <w:rFonts w:ascii="宋体" w:hAnsi="宋体" w:eastAsia="宋体" w:cs="宋体"/>
                <w:sz w:val="24"/>
                <w:szCs w:val="24"/>
              </w:rPr>
            </w:pPr>
            <w:r>
              <w:rPr>
                <w:rFonts w:hint="eastAsia" w:ascii="宋体" w:hAnsi="宋体" w:eastAsia="宋体" w:cs="宋体"/>
                <w:sz w:val="24"/>
                <w:szCs w:val="24"/>
              </w:rPr>
              <w:t>后期服务承诺（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3350" w:type="pct"/>
            <w:vAlign w:val="center"/>
          </w:tcPr>
          <w:p w14:paraId="3831BAA1">
            <w:pPr>
              <w:pageBreakBefore w:val="0"/>
              <w:wordWrap/>
              <w:overflowPunct/>
              <w:topLinePunct w:val="0"/>
              <w:autoSpaceDE w:val="0"/>
              <w:autoSpaceDN w:val="0"/>
              <w:bidi w:val="0"/>
              <w:adjustRightInd w:val="0"/>
              <w:spacing w:line="360" w:lineRule="auto"/>
              <w:jc w:val="left"/>
              <w:outlineLvl w:val="9"/>
              <w:rPr>
                <w:rFonts w:hint="eastAsia" w:ascii="宋体" w:hAnsi="宋体" w:eastAsia="宋体" w:cs="宋体"/>
                <w:sz w:val="24"/>
                <w:szCs w:val="24"/>
                <w:lang w:eastAsia="zh-CN"/>
              </w:rPr>
            </w:pPr>
            <w:r>
              <w:rPr>
                <w:rFonts w:hint="eastAsia" w:ascii="宋体" w:hAnsi="宋体" w:eastAsia="宋体" w:cs="宋体"/>
                <w:sz w:val="24"/>
                <w:szCs w:val="24"/>
              </w:rPr>
              <w:t>后期服务承诺计划详细、合理的得</w:t>
            </w:r>
            <w:r>
              <w:rPr>
                <w:rFonts w:hint="eastAsia" w:ascii="宋体" w:hAnsi="宋体" w:eastAsia="宋体" w:cs="宋体"/>
                <w:sz w:val="24"/>
                <w:szCs w:val="24"/>
                <w:lang w:val="en-US" w:eastAsia="zh-CN"/>
              </w:rPr>
              <w:t>4</w:t>
            </w:r>
            <w:r>
              <w:rPr>
                <w:rFonts w:hint="eastAsia" w:ascii="宋体" w:hAnsi="宋体" w:eastAsia="宋体" w:cs="宋体"/>
                <w:sz w:val="24"/>
                <w:szCs w:val="24"/>
              </w:rPr>
              <w:t>分；后期服务承诺计划一般的得</w:t>
            </w:r>
            <w:r>
              <w:rPr>
                <w:rFonts w:hint="eastAsia" w:ascii="宋体" w:hAnsi="宋体" w:eastAsia="宋体" w:cs="宋体"/>
                <w:sz w:val="24"/>
                <w:szCs w:val="24"/>
                <w:lang w:val="en-US" w:eastAsia="zh-CN"/>
              </w:rPr>
              <w:t>2</w:t>
            </w:r>
            <w:r>
              <w:rPr>
                <w:rFonts w:hint="eastAsia" w:ascii="宋体" w:hAnsi="宋体" w:eastAsia="宋体" w:cs="宋体"/>
                <w:sz w:val="24"/>
                <w:szCs w:val="24"/>
              </w:rPr>
              <w:t>分；后期服务差</w:t>
            </w:r>
            <w:r>
              <w:rPr>
                <w:rFonts w:hint="eastAsia" w:ascii="宋体" w:hAnsi="宋体" w:eastAsia="宋体" w:cs="宋体"/>
                <w:sz w:val="24"/>
                <w:szCs w:val="24"/>
                <w:lang w:val="en-US" w:eastAsia="zh-CN"/>
              </w:rPr>
              <w:t>的得1分；缺项不得</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14:paraId="5F9B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000" w:type="pct"/>
            <w:gridSpan w:val="3"/>
            <w:vAlign w:val="center"/>
          </w:tcPr>
          <w:p w14:paraId="457361C5">
            <w:pPr>
              <w:pageBreakBefore w:val="0"/>
              <w:wordWrap/>
              <w:overflowPunct/>
              <w:topLinePunct w:val="0"/>
              <w:bidi w:val="0"/>
              <w:adjustRightInd w:val="0"/>
              <w:snapToGrid w:val="0"/>
              <w:spacing w:line="360" w:lineRule="auto"/>
              <w:ind w:firstLine="480" w:firstLineChars="200"/>
              <w:jc w:val="both"/>
              <w:textAlignment w:val="baseline"/>
              <w:outlineLvl w:val="9"/>
              <w:rPr>
                <w:rFonts w:hint="default" w:ascii="宋体" w:hAnsi="宋体" w:eastAsia="宋体" w:cs="宋体"/>
                <w:sz w:val="24"/>
                <w:szCs w:val="24"/>
                <w:lang w:val="en-US" w:eastAsia="zh-CN"/>
              </w:rPr>
            </w:pPr>
            <w:r>
              <w:rPr>
                <w:rFonts w:hint="eastAsia" w:ascii="宋体" w:hAnsi="宋体" w:eastAsia="宋体" w:cs="宋体"/>
                <w:sz w:val="24"/>
                <w:szCs w:val="24"/>
              </w:rPr>
              <w:t>注：</w:t>
            </w:r>
            <w:r>
              <w:rPr>
                <w:rFonts w:hint="eastAsia" w:ascii="宋体" w:hAnsi="宋体" w:eastAsia="宋体" w:cs="宋体"/>
                <w:sz w:val="24"/>
                <w:szCs w:val="24"/>
                <w:lang w:val="en-US" w:eastAsia="zh-CN"/>
              </w:rPr>
              <w:t>以上</w:t>
            </w:r>
            <w:r>
              <w:rPr>
                <w:rFonts w:hint="eastAsia" w:ascii="宋体" w:hAnsi="宋体" w:eastAsia="宋体" w:cs="宋体"/>
                <w:sz w:val="24"/>
                <w:szCs w:val="24"/>
              </w:rPr>
              <w:t>评分办法中要求材料均以</w:t>
            </w:r>
            <w:r>
              <w:rPr>
                <w:rFonts w:hint="eastAsia" w:ascii="宋体" w:hAnsi="宋体" w:eastAsia="宋体" w:cs="宋体"/>
                <w:sz w:val="24"/>
                <w:szCs w:val="24"/>
                <w:lang w:val="en-US" w:eastAsia="zh-CN"/>
              </w:rPr>
              <w:t>提供</w:t>
            </w:r>
            <w:r>
              <w:rPr>
                <w:rFonts w:hint="eastAsia" w:ascii="宋体" w:hAnsi="宋体" w:eastAsia="宋体" w:cs="宋体"/>
                <w:sz w:val="24"/>
                <w:szCs w:val="24"/>
              </w:rPr>
              <w:t>原件扫描件为准，保证清晰可见。</w:t>
            </w:r>
            <w:r>
              <w:rPr>
                <w:rFonts w:hint="eastAsia" w:ascii="宋体" w:hAnsi="宋体" w:eastAsia="宋体" w:cs="宋体"/>
                <w:sz w:val="24"/>
                <w:szCs w:val="24"/>
                <w:lang w:val="en-US" w:eastAsia="zh-CN"/>
              </w:rPr>
              <w:t>供应商对其真实性负法律责任。</w:t>
            </w:r>
          </w:p>
        </w:tc>
      </w:tr>
    </w:tbl>
    <w:p w14:paraId="4A922178">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（1）本次评标采用综合评分法。</w:t>
      </w:r>
    </w:p>
    <w:p w14:paraId="66912C20">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磋商小组对满足竞争性磋商文件实质性要求的响应文件，按照本章规定的评分标准进行打分并按得分由高到低顺序推荐中标候选人，但报价低于其成本的除外。评标结果按评审后得分由高到低顺序排列。得分相同的，按</w:t>
      </w:r>
      <w:r>
        <w:rPr>
          <w:rFonts w:hint="eastAsia" w:ascii="宋体" w:hAnsi="宋体" w:eastAsia="宋体" w:cs="宋体"/>
          <w:sz w:val="24"/>
          <w:szCs w:val="24"/>
          <w:lang w:val="en-US" w:eastAsia="zh-CN"/>
        </w:rPr>
        <w:t>最后</w:t>
      </w:r>
      <w:r>
        <w:rPr>
          <w:rFonts w:hint="eastAsia" w:ascii="宋体" w:hAnsi="宋体" w:eastAsia="宋体" w:cs="宋体"/>
          <w:sz w:val="24"/>
          <w:szCs w:val="24"/>
        </w:rPr>
        <w:t>报价由低到高顺序排列；得分</w:t>
      </w:r>
      <w:r>
        <w:rPr>
          <w:rFonts w:hint="eastAsia" w:ascii="宋体" w:hAnsi="宋体" w:eastAsia="宋体" w:cs="宋体"/>
          <w:sz w:val="24"/>
          <w:szCs w:val="24"/>
          <w:lang w:val="en-US" w:eastAsia="zh-CN"/>
        </w:rPr>
        <w:t>和最后</w:t>
      </w:r>
      <w:r>
        <w:rPr>
          <w:rFonts w:hint="eastAsia" w:ascii="宋体" w:hAnsi="宋体" w:eastAsia="宋体" w:cs="宋体"/>
          <w:sz w:val="24"/>
          <w:szCs w:val="24"/>
        </w:rPr>
        <w:t>报价</w:t>
      </w:r>
      <w:r>
        <w:rPr>
          <w:rFonts w:hint="eastAsia" w:ascii="宋体" w:hAnsi="宋体" w:eastAsia="宋体" w:cs="宋体"/>
          <w:sz w:val="24"/>
          <w:szCs w:val="24"/>
          <w:lang w:val="en-US" w:eastAsia="zh-CN"/>
        </w:rPr>
        <w:t>均</w:t>
      </w:r>
      <w:r>
        <w:rPr>
          <w:rFonts w:hint="eastAsia" w:ascii="宋体" w:hAnsi="宋体" w:eastAsia="宋体" w:cs="宋体"/>
          <w:sz w:val="24"/>
          <w:szCs w:val="24"/>
        </w:rPr>
        <w:t>相同的，按技术指标优劣顺序排列。</w:t>
      </w:r>
    </w:p>
    <w:p w14:paraId="2A52C73E">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 评标程序</w:t>
      </w:r>
    </w:p>
    <w:p w14:paraId="73787979">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2.1 初步评审</w:t>
      </w:r>
    </w:p>
    <w:p w14:paraId="68D21E64">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2.1.1采购人根据本章规定得资格评审办法对供应商进行资格审查，通过资格审查</w:t>
      </w:r>
      <w:r>
        <w:rPr>
          <w:rFonts w:hint="eastAsia" w:ascii="宋体" w:hAnsi="宋体" w:eastAsia="宋体" w:cs="宋体"/>
          <w:sz w:val="24"/>
          <w:szCs w:val="24"/>
          <w:lang w:eastAsia="zh-CN"/>
        </w:rPr>
        <w:t>的</w:t>
      </w:r>
      <w:r>
        <w:rPr>
          <w:rFonts w:hint="eastAsia" w:ascii="宋体" w:hAnsi="宋体" w:eastAsia="宋体" w:cs="宋体"/>
          <w:sz w:val="24"/>
          <w:szCs w:val="24"/>
        </w:rPr>
        <w:t>供应商由磋商小组依据本章规定的评审标准对响应文件进行符合性评审。有一项不符合评审标准的，将被否决投标。</w:t>
      </w:r>
    </w:p>
    <w:p w14:paraId="55F846B8">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2.1.2 供应商有以下情形之一的，其投标将予以否决投标：</w:t>
      </w:r>
    </w:p>
    <w:p w14:paraId="7EA1A7F5">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（1）串通投标或弄虚作假或有其他违法行为的；</w:t>
      </w:r>
    </w:p>
    <w:p w14:paraId="196B0004">
      <w:pPr>
        <w:pageBreakBefore w:val="0"/>
        <w:wordWrap/>
        <w:overflowPunct/>
        <w:topLinePunct w:val="0"/>
        <w:bidi w:val="0"/>
        <w:adjustRightInd w:val="0"/>
        <w:snapToGrid w:val="0"/>
        <w:spacing w:line="360" w:lineRule="auto"/>
        <w:ind w:firstLine="480" w:firstLineChars="200"/>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rPr>
        <w:t>（2）不按磋商小组要求澄清、说明或补正的</w:t>
      </w:r>
      <w:r>
        <w:rPr>
          <w:rFonts w:hint="eastAsia" w:ascii="宋体" w:hAnsi="宋体" w:eastAsia="宋体" w:cs="宋体"/>
          <w:sz w:val="24"/>
          <w:szCs w:val="24"/>
          <w:lang w:eastAsia="zh-CN"/>
        </w:rPr>
        <w:t>；</w:t>
      </w:r>
    </w:p>
    <w:p w14:paraId="09D58D6F">
      <w:pPr>
        <w:pageBreakBefore w:val="0"/>
        <w:wordWrap/>
        <w:overflowPunct/>
        <w:topLinePunct w:val="0"/>
        <w:bidi w:val="0"/>
        <w:adjustRightInd w:val="0"/>
        <w:snapToGrid w:val="0"/>
        <w:spacing w:line="360" w:lineRule="auto"/>
        <w:ind w:firstLine="480" w:firstLineChars="200"/>
        <w:textAlignment w:val="baseline"/>
        <w:outlineLvl w:val="9"/>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法律法规规定为废标的其他情形。</w:t>
      </w:r>
    </w:p>
    <w:p w14:paraId="5A7D4898">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2.1.3投标报价有算术错误的，磋商小组按以下原则对投标报价进行修正，修正的价格经供应商书面确认后具有约束力。供应商不接受修正价格的，其投标不予评审。</w:t>
      </w:r>
    </w:p>
    <w:p w14:paraId="00B67315">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响应文件中的大写金额与小写金额不一致的，以大写金额为准；</w:t>
      </w:r>
    </w:p>
    <w:p w14:paraId="7812A894">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总价金额与依据单价计算出的结果不一致的，以单价金额为准修正总价，但单价金额小数点有明显错误的除外。</w:t>
      </w:r>
    </w:p>
    <w:p w14:paraId="65870D7C">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2.2 详细评审</w:t>
      </w:r>
    </w:p>
    <w:p w14:paraId="6143A01F">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2.2.1 磋商小组按本章第2.2款规定的量化因素和分值进行打分，并计算出综合评分。</w:t>
      </w:r>
    </w:p>
    <w:p w14:paraId="09ACC564">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2.2.2 评分分值计算保留小数点后两位，小数点后第三位“四舍五入”。</w:t>
      </w:r>
    </w:p>
    <w:p w14:paraId="6B8DDC7D">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2.2.3供应商的报价明显低于其他投标报价，或者在设有最高限价时明显低于最高限价，使得其投标报价可能低于其个别成本的，应当要求该供应商作出书面说明并提供相应的证明材料。供应商不能合理说明或者不能提供相应证明材料的，由磋商小组认定该供应商以低于成本报价竞标，其投标将予以否决处理。</w:t>
      </w:r>
    </w:p>
    <w:p w14:paraId="77C57E41">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2.3 响应文件的澄清和补正</w:t>
      </w:r>
    </w:p>
    <w:p w14:paraId="2ACA8F43">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2.3.1在评标过程中，磋商小组可以书面形式要求供应商对所提交响应文件中不明确的内容进行书面澄清或说明，或者对细微偏差进行补正。磋商小组不接受供应商主动提出的澄清、说明或补正。</w:t>
      </w:r>
    </w:p>
    <w:p w14:paraId="031E4FCF">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2.3.2 澄清、说明和补正不得改变响应文件的实质性内容（算术性错误修正的除外）。供应商的书面澄清、说明和补正属于响应文件的组成部分。</w:t>
      </w:r>
    </w:p>
    <w:p w14:paraId="290964DC">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2.3.3 磋商小组对供应商提交的澄清、说明或补正有疑问的，可以要求供应商进一步澄清、说明或补正，直至满足磋商小组的要求。</w:t>
      </w:r>
    </w:p>
    <w:p w14:paraId="2F900D6B">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2.4评标结果</w:t>
      </w:r>
    </w:p>
    <w:p w14:paraId="1A9AD545">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rPr>
        <w:t>2.4.1 磋商小组根据综合评分情况，按评审得分由高到低的顺序推荐三名成交候选供应商（</w:t>
      </w:r>
      <w:r>
        <w:rPr>
          <w:rFonts w:hint="eastAsia" w:ascii="宋体" w:hAnsi="宋体" w:eastAsia="宋体" w:cs="宋体"/>
          <w:sz w:val="24"/>
          <w:szCs w:val="24"/>
          <w:lang w:val="en-US" w:eastAsia="zh-CN"/>
        </w:rPr>
        <w:t>根据《</w:t>
      </w:r>
      <w:r>
        <w:rPr>
          <w:rFonts w:hint="eastAsia" w:ascii="宋体" w:hAnsi="宋体" w:eastAsia="宋体" w:cs="宋体"/>
          <w:sz w:val="24"/>
          <w:szCs w:val="24"/>
        </w:rPr>
        <w:t>财政部关于政府采购竞争性磋商采购方式管理暂行办法有关问题的补充通知</w:t>
      </w:r>
      <w:r>
        <w:rPr>
          <w:rFonts w:hint="eastAsia" w:ascii="宋体" w:hAnsi="宋体" w:eastAsia="宋体" w:cs="宋体"/>
          <w:sz w:val="24"/>
          <w:szCs w:val="24"/>
          <w:lang w:eastAsia="zh-CN"/>
        </w:rPr>
        <w:t>（</w:t>
      </w:r>
      <w:r>
        <w:rPr>
          <w:rFonts w:hint="eastAsia" w:ascii="宋体" w:hAnsi="宋体" w:eastAsia="宋体" w:cs="宋体"/>
          <w:sz w:val="24"/>
          <w:szCs w:val="24"/>
        </w:rPr>
        <w:t>财库〔2015〕124号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如提交最后报价的供应商为两家时，磋商小组按评审得分由高到低的顺序推荐两名成交候选供应商），并编写评审报告。</w:t>
      </w:r>
    </w:p>
    <w:p w14:paraId="034D43CB">
      <w:pPr>
        <w:pageBreakBefore w:val="0"/>
        <w:wordWrap/>
        <w:overflowPunct/>
        <w:topLinePunct w:val="0"/>
        <w:bidi w:val="0"/>
        <w:adjustRightInd w:val="0"/>
        <w:snapToGrid w:val="0"/>
        <w:spacing w:line="360" w:lineRule="auto"/>
        <w:ind w:firstLine="480" w:firstLineChars="200"/>
        <w:textAlignment w:val="baseline"/>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.4.2 采购代理机构应当在评标结束后2个工作日内将评标报告送采购人；</w:t>
      </w:r>
    </w:p>
    <w:p w14:paraId="26BA0355">
      <w:pPr>
        <w:pageBreakBefore w:val="0"/>
        <w:wordWrap/>
        <w:overflowPunct/>
        <w:topLinePunct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.4.3 采购人在收到评审报告后，应在5个工作日内，从评审报告提出的成交候选供应商中，按照排序由高到低的原则确定成交供应商。如果采购人逾期未确定成交供应商且不提出异议，则视为已确定评审报告提出的排序第一的供应商为成交供应商</w:t>
      </w:r>
      <w:r>
        <w:rPr>
          <w:rFonts w:hint="eastAsia" w:ascii="MS Mincho" w:hAnsi="MS Mincho" w:eastAsia="MS Mincho" w:cs="MS Mincho"/>
          <w:sz w:val="24"/>
          <w:szCs w:val="24"/>
        </w:rPr>
        <w:t>‌</w:t>
      </w:r>
      <w:r>
        <w:rPr>
          <w:rFonts w:hint="eastAsia" w:ascii="宋体" w:hAnsi="宋体" w:eastAsia="宋体" w:cs="宋体"/>
          <w:sz w:val="24"/>
          <w:szCs w:val="24"/>
        </w:rPr>
        <w:t>。</w:t>
      </w:r>
    </w:p>
    <w:p w14:paraId="6C86FF8F">
      <w:pPr>
        <w:rPr>
          <w:rFonts w:hint="eastAsia" w:ascii="宋体" w:hAnsi="宋体" w:eastAsia="宋体" w:cs="宋体"/>
          <w:sz w:val="24"/>
          <w:szCs w:val="24"/>
        </w:rPr>
      </w:pPr>
      <w:r>
        <w:rPr>
          <w:rFonts w:hint="eastAsia" w:ascii="宋体" w:hAnsi="宋体" w:eastAsia="宋体" w:cs="宋体"/>
          <w:sz w:val="24"/>
          <w:szCs w:val="24"/>
        </w:rPr>
        <w:br w:type="page"/>
      </w:r>
    </w:p>
    <w:p w14:paraId="08D34BB7">
      <w:pPr>
        <w:keepNext w:val="0"/>
        <w:keepLines w:val="0"/>
        <w:pageBreakBefore w:val="0"/>
        <w:widowControl w:val="0"/>
        <w:kinsoku/>
        <w:wordWrap/>
        <w:overflowPunct/>
        <w:topLinePunct w:val="0"/>
        <w:autoSpaceDE/>
        <w:autoSpaceDN/>
        <w:bidi w:val="0"/>
        <w:adjustRightInd/>
        <w:snapToGrid/>
        <w:jc w:val="center"/>
        <w:textAlignment w:val="auto"/>
        <w:outlineLvl w:val="0"/>
      </w:pPr>
      <w:bookmarkStart w:id="7" w:name="_Toc32251"/>
      <w:r>
        <w:rPr>
          <w:rFonts w:hint="eastAsia"/>
          <w:b/>
          <w:bCs/>
          <w:sz w:val="32"/>
          <w:szCs w:val="32"/>
        </w:rPr>
        <w:t>第四章</w:t>
      </w:r>
      <w:r>
        <w:rPr>
          <w:rFonts w:hint="eastAsia"/>
          <w:b/>
          <w:bCs/>
          <w:sz w:val="32"/>
          <w:szCs w:val="32"/>
          <w:lang w:eastAsia="zh-CN"/>
        </w:rPr>
        <w:t>、</w:t>
      </w:r>
      <w:r>
        <w:rPr>
          <w:rFonts w:hint="eastAsia"/>
          <w:b/>
          <w:bCs/>
          <w:sz w:val="32"/>
          <w:szCs w:val="32"/>
        </w:rPr>
        <w:t>合同主要条款及格式</w:t>
      </w:r>
      <w:bookmarkEnd w:id="7"/>
    </w:p>
    <w:p w14:paraId="30817539">
      <w:pPr>
        <w:jc w:val="center"/>
        <w:rPr>
          <w:sz w:val="24"/>
          <w:szCs w:val="28"/>
        </w:rPr>
      </w:pPr>
      <w:r>
        <w:rPr>
          <w:rFonts w:hint="eastAsia"/>
          <w:sz w:val="24"/>
          <w:szCs w:val="28"/>
        </w:rPr>
        <w:t>（合同自拟，以甲乙双方签订为准）</w:t>
      </w:r>
    </w:p>
    <w:p w14:paraId="0579264E">
      <w:pPr>
        <w:pageBreakBefore w:val="0"/>
        <w:wordWrap/>
        <w:overflowPunct/>
        <w:topLinePunct w:val="0"/>
        <w:bidi w:val="0"/>
        <w:spacing w:after="100" w:afterAutospacing="1" w:line="420" w:lineRule="exact"/>
        <w:jc w:val="center"/>
        <w:outlineLvl w:val="9"/>
        <w:rPr>
          <w:rFonts w:ascii="宋体" w:hAnsi="宋体" w:eastAsia="宋体" w:cs="宋体"/>
          <w:b/>
          <w:color w:val="000000"/>
          <w:sz w:val="32"/>
          <w:szCs w:val="32"/>
        </w:rPr>
      </w:pPr>
    </w:p>
    <w:p w14:paraId="061CD34E">
      <w:pPr>
        <w:keepNext w:val="0"/>
        <w:keepLines w:val="0"/>
        <w:pageBreakBefore w:val="0"/>
        <w:widowControl w:val="0"/>
        <w:kinsoku/>
        <w:wordWrap/>
        <w:overflowPunct/>
        <w:topLinePunct w:val="0"/>
        <w:autoSpaceDE/>
        <w:autoSpaceDN/>
        <w:bidi w:val="0"/>
        <w:adjustRightInd/>
        <w:snapToGrid/>
        <w:spacing w:before="240" w:beforeLines="100" w:after="240" w:afterLines="100" w:line="360" w:lineRule="auto"/>
        <w:jc w:val="center"/>
        <w:textAlignment w:val="auto"/>
        <w:outlineLvl w:val="0"/>
        <w:rPr>
          <w:rFonts w:ascii="宋体" w:hAnsi="宋体" w:eastAsia="宋体" w:cs="宋体"/>
          <w:b/>
          <w:bCs/>
          <w:sz w:val="28"/>
          <w:szCs w:val="28"/>
        </w:rPr>
      </w:pPr>
      <w:r>
        <w:rPr>
          <w:rFonts w:hint="eastAsia" w:ascii="宋体" w:hAnsi="宋体" w:eastAsia="宋体" w:cs="宋体"/>
          <w:b/>
          <w:bCs/>
          <w:sz w:val="28"/>
          <w:szCs w:val="28"/>
        </w:rPr>
        <w:br w:type="page"/>
      </w:r>
      <w:bookmarkStart w:id="8" w:name="_Toc26305"/>
      <w:r>
        <w:rPr>
          <w:rFonts w:hint="eastAsia" w:ascii="宋体" w:hAnsi="宋体" w:eastAsia="宋体" w:cs="宋体"/>
          <w:b/>
          <w:bCs/>
          <w:sz w:val="32"/>
          <w:szCs w:val="32"/>
        </w:rPr>
        <w:t>第五章</w:t>
      </w:r>
      <w:r>
        <w:rPr>
          <w:rFonts w:hint="eastAsia" w:ascii="宋体" w:hAnsi="宋体" w:eastAsia="宋体" w:cs="宋体"/>
          <w:b/>
          <w:bCs/>
          <w:sz w:val="32"/>
          <w:szCs w:val="32"/>
          <w:lang w:eastAsia="zh-CN"/>
        </w:rPr>
        <w:t>、</w:t>
      </w:r>
      <w:r>
        <w:rPr>
          <w:rFonts w:hint="eastAsia" w:ascii="宋体" w:hAnsi="宋体" w:eastAsia="宋体" w:cs="宋体"/>
          <w:b/>
          <w:bCs/>
          <w:sz w:val="32"/>
          <w:szCs w:val="32"/>
        </w:rPr>
        <w:t>服务需求</w:t>
      </w:r>
      <w:bookmarkEnd w:id="8"/>
    </w:p>
    <w:p w14:paraId="646B9657">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一、项目说明</w:t>
      </w:r>
    </w:p>
    <w:p w14:paraId="57041C8B">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lang w:val="en-US" w:eastAsia="zh-CN"/>
        </w:rPr>
        <w:t>项目背景：为深入贯彻落实党的二十届四中全会精神，在义马市国土空间规划中充分体现“十五五”规划指导方针和目标任务要求，维护依法审批的国土空间总体规划的权威性、严肃性，提高规划对经济社会发展的适应性，全面统筹发展规划和各专项规划的空间需求，基于国土空间规划体检评估结果，开展义马市国土空间总体规划动态调整完善项目。</w:t>
      </w:r>
    </w:p>
    <w:p w14:paraId="23F800F2">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2.项目名称：义马市国土空间总体规划动态调整完善项目</w:t>
      </w:r>
      <w:r>
        <w:rPr>
          <w:rFonts w:hint="eastAsia" w:asciiTheme="minorEastAsia" w:hAnsiTheme="minorEastAsia" w:cstheme="minorEastAsia"/>
          <w:color w:val="auto"/>
          <w:kern w:val="0"/>
          <w:sz w:val="28"/>
          <w:szCs w:val="28"/>
          <w:highlight w:val="none"/>
          <w:lang w:val="en-US" w:eastAsia="zh-CN"/>
        </w:rPr>
        <w:t>。</w:t>
      </w:r>
    </w:p>
    <w:p w14:paraId="454C20A4">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3.预算金额：</w:t>
      </w:r>
      <w:r>
        <w:rPr>
          <w:rFonts w:hint="eastAsia" w:asciiTheme="minorEastAsia" w:hAnsiTheme="minorEastAsia" w:cstheme="minorEastAsia"/>
          <w:color w:val="auto"/>
          <w:kern w:val="0"/>
          <w:sz w:val="28"/>
          <w:szCs w:val="28"/>
          <w:highlight w:val="none"/>
          <w:lang w:val="en-US" w:eastAsia="zh-CN"/>
        </w:rPr>
        <w:t>700000.00</w:t>
      </w:r>
      <w:r>
        <w:rPr>
          <w:rFonts w:hint="eastAsia" w:asciiTheme="minorEastAsia" w:hAnsiTheme="minorEastAsia" w:eastAsiaTheme="minorEastAsia" w:cstheme="minorEastAsia"/>
          <w:color w:val="auto"/>
          <w:kern w:val="0"/>
          <w:sz w:val="28"/>
          <w:szCs w:val="28"/>
          <w:highlight w:val="none"/>
          <w:lang w:val="en-US" w:eastAsia="zh-CN"/>
        </w:rPr>
        <w:t>元</w:t>
      </w:r>
      <w:r>
        <w:rPr>
          <w:rFonts w:hint="eastAsia" w:asciiTheme="minorEastAsia" w:hAnsiTheme="minorEastAsia" w:cstheme="minorEastAsia"/>
          <w:color w:val="auto"/>
          <w:kern w:val="0"/>
          <w:sz w:val="28"/>
          <w:szCs w:val="28"/>
          <w:highlight w:val="none"/>
          <w:lang w:val="en-US" w:eastAsia="zh-CN"/>
        </w:rPr>
        <w:t>。</w:t>
      </w:r>
    </w:p>
    <w:p w14:paraId="2298FB12">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4.资金来源：</w:t>
      </w:r>
      <w:r>
        <w:rPr>
          <w:rFonts w:hint="eastAsia" w:asciiTheme="minorEastAsia" w:hAnsiTheme="minorEastAsia" w:cstheme="minorEastAsia"/>
          <w:color w:val="auto"/>
          <w:kern w:val="0"/>
          <w:sz w:val="28"/>
          <w:szCs w:val="28"/>
          <w:highlight w:val="none"/>
          <w:lang w:val="en-US" w:eastAsia="zh-CN"/>
        </w:rPr>
        <w:t>本级财政</w:t>
      </w:r>
      <w:r>
        <w:rPr>
          <w:rFonts w:hint="eastAsia" w:asciiTheme="minorEastAsia" w:hAnsiTheme="minorEastAsia" w:eastAsiaTheme="minorEastAsia" w:cstheme="minorEastAsia"/>
          <w:color w:val="auto"/>
          <w:kern w:val="0"/>
          <w:sz w:val="28"/>
          <w:szCs w:val="28"/>
          <w:highlight w:val="none"/>
          <w:lang w:val="en-US" w:eastAsia="zh-CN"/>
        </w:rPr>
        <w:t>资金</w:t>
      </w:r>
      <w:r>
        <w:rPr>
          <w:rFonts w:hint="eastAsia" w:asciiTheme="minorEastAsia" w:hAnsiTheme="minorEastAsia" w:cstheme="minorEastAsia"/>
          <w:color w:val="auto"/>
          <w:kern w:val="0"/>
          <w:sz w:val="28"/>
          <w:szCs w:val="28"/>
          <w:highlight w:val="none"/>
          <w:lang w:val="en-US" w:eastAsia="zh-CN"/>
        </w:rPr>
        <w:t>。</w:t>
      </w:r>
    </w:p>
    <w:p w14:paraId="052D33FE">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5.标段划分：本次招标共一个标段。</w:t>
      </w:r>
    </w:p>
    <w:p w14:paraId="02C30070">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val="en-US" w:eastAsia="zh-CN"/>
        </w:rPr>
        <w:t>.质量标准：符合国家、省、市规范、技术要求，通过主管部门审查，完成报批工作。</w:t>
      </w:r>
    </w:p>
    <w:p w14:paraId="7CF64928">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7</w:t>
      </w:r>
      <w:r>
        <w:rPr>
          <w:rFonts w:hint="eastAsia" w:asciiTheme="minorEastAsia" w:hAnsiTheme="minorEastAsia" w:eastAsiaTheme="minorEastAsia" w:cstheme="minorEastAsia"/>
          <w:kern w:val="0"/>
          <w:sz w:val="28"/>
          <w:szCs w:val="28"/>
          <w:highlight w:val="none"/>
          <w:lang w:val="en-US" w:eastAsia="zh-CN"/>
        </w:rPr>
        <w:t>.技术成果经济补偿：本次对未中标</w:t>
      </w:r>
      <w:r>
        <w:rPr>
          <w:rFonts w:hint="eastAsia" w:asciiTheme="minorEastAsia" w:hAnsiTheme="minorEastAsia" w:cstheme="minorEastAsia"/>
          <w:kern w:val="0"/>
          <w:sz w:val="28"/>
          <w:szCs w:val="28"/>
          <w:highlight w:val="none"/>
          <w:lang w:val="en-US" w:eastAsia="zh-CN"/>
        </w:rPr>
        <w:t>供应商</w:t>
      </w:r>
      <w:r>
        <w:rPr>
          <w:rFonts w:hint="eastAsia" w:asciiTheme="minorEastAsia" w:hAnsiTheme="minorEastAsia" w:eastAsiaTheme="minorEastAsia" w:cstheme="minorEastAsia"/>
          <w:kern w:val="0"/>
          <w:sz w:val="28"/>
          <w:szCs w:val="28"/>
          <w:highlight w:val="none"/>
          <w:lang w:val="en-US" w:eastAsia="zh-CN"/>
        </w:rPr>
        <w:t>投标文件中的技术成果不给予经济补偿。</w:t>
      </w:r>
    </w:p>
    <w:p w14:paraId="2A2E6D51">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8</w:t>
      </w:r>
      <w:r>
        <w:rPr>
          <w:rFonts w:hint="eastAsia" w:asciiTheme="minorEastAsia" w:hAnsiTheme="minorEastAsia" w:eastAsiaTheme="minorEastAsia" w:cstheme="minorEastAsia"/>
          <w:kern w:val="0"/>
          <w:sz w:val="28"/>
          <w:szCs w:val="28"/>
          <w:highlight w:val="none"/>
          <w:lang w:val="en-US" w:eastAsia="zh-CN"/>
        </w:rPr>
        <w:t>、项目依据</w:t>
      </w:r>
    </w:p>
    <w:p w14:paraId="10FECE74">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8</w:t>
      </w:r>
      <w:r>
        <w:rPr>
          <w:rFonts w:hint="eastAsia" w:asciiTheme="minorEastAsia" w:hAnsiTheme="minorEastAsia" w:eastAsiaTheme="minorEastAsia" w:cstheme="minorEastAsia"/>
          <w:kern w:val="0"/>
          <w:sz w:val="28"/>
          <w:szCs w:val="28"/>
          <w:highlight w:val="none"/>
          <w:lang w:val="en-US" w:eastAsia="zh-CN"/>
        </w:rPr>
        <w:t xml:space="preserve">.1 与本项目有关的国家和地方最新规范 </w:t>
      </w:r>
    </w:p>
    <w:p w14:paraId="34E03CF1">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8</w:t>
      </w:r>
      <w:r>
        <w:rPr>
          <w:rFonts w:hint="eastAsia" w:asciiTheme="minorEastAsia" w:hAnsiTheme="minorEastAsia" w:eastAsiaTheme="minorEastAsia" w:cstheme="minorEastAsia"/>
          <w:kern w:val="0"/>
          <w:sz w:val="28"/>
          <w:szCs w:val="28"/>
          <w:highlight w:val="none"/>
          <w:lang w:val="en-US" w:eastAsia="zh-CN"/>
        </w:rPr>
        <w:t>.2 与本项目有关的政府批文及会议纪要。</w:t>
      </w:r>
    </w:p>
    <w:p w14:paraId="03E65175">
      <w:pPr>
        <w:pageBreakBefore w:val="0"/>
        <w:wordWrap/>
        <w:overflowPunct/>
        <w:topLinePunct w:val="0"/>
        <w:autoSpaceDE w:val="0"/>
        <w:autoSpaceDN w:val="0"/>
        <w:bidi w:val="0"/>
        <w:adjustRightInd w:val="0"/>
        <w:spacing w:line="360" w:lineRule="auto"/>
        <w:ind w:firstLine="560" w:firstLineChars="200"/>
        <w:jc w:val="left"/>
        <w:outlineLvl w:val="9"/>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8.3 采购单位所提供的相关资料。</w:t>
      </w:r>
    </w:p>
    <w:p w14:paraId="4046658E">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二、项目服务内容</w:t>
      </w:r>
    </w:p>
    <w:p w14:paraId="06F14EC0">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本项目服务内容主要包括以下方面：</w:t>
      </w:r>
    </w:p>
    <w:p w14:paraId="1DFF8E99">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1.三条控制线</w:t>
      </w:r>
    </w:p>
    <w:p w14:paraId="4A0784B3">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在符合调整规则的前提下，对耕地和永久基本农田、生态保护红线、城镇开发边界三条控制线进行动态维护。</w:t>
      </w:r>
    </w:p>
    <w:p w14:paraId="42B9F5AC">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2.优化规划分区</w:t>
      </w:r>
    </w:p>
    <w:p w14:paraId="29D9575C">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在确保规划分区主导功能基本稳定的前提下，充分考虑生态环境保护、经济布局、人口分布、国土利用等多项因素，合理优化规划分区。</w:t>
      </w:r>
    </w:p>
    <w:p w14:paraId="24A8860C">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3.中心城区用地规划布局，</w:t>
      </w:r>
    </w:p>
    <w:p w14:paraId="54B99EE8">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在不涉及规划强制性内容、确保规模和空间结构基本稳定的前提下，对中心城区用地规划布局进行优化调整，保障重大战略、重大政策、重大改革、重大项目落地实施。</w:t>
      </w:r>
    </w:p>
    <w:p w14:paraId="27443AEB">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4.城市重要控制线</w:t>
      </w:r>
    </w:p>
    <w:p w14:paraId="442C4C9C">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在确保布局和规模基本稳定、功能不降低、服务范围不改变、安全前提下，衔接相关专项规划和实施管理，对城市绿线、蓝线、黄线、紫线进行优化。</w:t>
      </w:r>
    </w:p>
    <w:p w14:paraId="666BBB52">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5.其他重要控制线</w:t>
      </w:r>
    </w:p>
    <w:p w14:paraId="1D6C979F">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根据相关部门最新确定的管控范围线，进一步更新历史文化保护线、洪涝风险控制线、矿产资源控制线等各类重要控制线。</w:t>
      </w:r>
    </w:p>
    <w:p w14:paraId="646D55A9">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6.重点建设项目清单</w:t>
      </w:r>
    </w:p>
    <w:p w14:paraId="4CED02F2">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结合“十五五”规划、国家和省重大战略落实等，衔接各类专项规划，分类增补和优化重点建设项目清单。</w:t>
      </w:r>
    </w:p>
    <w:p w14:paraId="094F0AC7">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7.其他需要维护的内容</w:t>
      </w:r>
    </w:p>
    <w:p w14:paraId="331317DA">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对街道主体功能定位、村庄建设边界规模和村庄分类调整、自然保护地一览表、历史文化资源一览遍等内容同步进行优化调整。</w:t>
      </w:r>
    </w:p>
    <w:p w14:paraId="5FDF9B37">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三、</w:t>
      </w:r>
      <w:r>
        <w:rPr>
          <w:rFonts w:hint="eastAsia" w:asciiTheme="minorEastAsia" w:hAnsiTheme="minorEastAsia" w:eastAsiaTheme="minorEastAsia" w:cstheme="minorEastAsia"/>
          <w:kern w:val="0"/>
          <w:sz w:val="28"/>
          <w:szCs w:val="28"/>
          <w:highlight w:val="none"/>
          <w:lang w:val="en-US" w:eastAsia="zh-CN"/>
        </w:rPr>
        <w:t>服务要求</w:t>
      </w:r>
    </w:p>
    <w:p w14:paraId="48059105">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符合国家、省、市规范、技术要求，通过主管部门审查，完成报批工作。</w:t>
      </w:r>
    </w:p>
    <w:p w14:paraId="724B5815">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四、</w:t>
      </w:r>
      <w:r>
        <w:rPr>
          <w:rFonts w:hint="eastAsia" w:asciiTheme="minorEastAsia" w:hAnsiTheme="minorEastAsia" w:eastAsiaTheme="minorEastAsia" w:cstheme="minorEastAsia"/>
          <w:kern w:val="0"/>
          <w:sz w:val="28"/>
          <w:szCs w:val="28"/>
          <w:highlight w:val="none"/>
          <w:lang w:val="en-US" w:eastAsia="zh-CN"/>
        </w:rPr>
        <w:t>成果交付要求</w:t>
      </w:r>
    </w:p>
    <w:p w14:paraId="19F7209F">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成果包括“一个方案和一个数据库”，即：规划动态维护方案（含附件）、规划动态维护数据库。其中，规划动态维护方案主要包括正文和附件，附件包含规划文本更新内容（含文本附表）、附表和附图；规划动态维护数据库按照数据汇交有关要求建设，通过“一张图”系统实现汇交和审查。</w:t>
      </w:r>
    </w:p>
    <w:p w14:paraId="168AF409">
      <w:pPr>
        <w:pageBreakBefore w:val="0"/>
        <w:wordWrap/>
        <w:overflowPunct/>
        <w:topLinePunct w:val="0"/>
        <w:autoSpaceDE w:val="0"/>
        <w:autoSpaceDN w:val="0"/>
        <w:bidi w:val="0"/>
        <w:adjustRightInd w:val="0"/>
        <w:spacing w:line="360" w:lineRule="auto"/>
        <w:ind w:firstLine="560" w:firstLineChars="200"/>
        <w:jc w:val="left"/>
        <w:outlineLvl w:val="9"/>
        <w:rPr>
          <w:rFonts w:hint="eastAsia" w:asciiTheme="minorEastAsia" w:hAnsiTheme="minorEastAsia" w:eastAsiaTheme="minorEastAsia" w:cstheme="minorEastAsia"/>
          <w:kern w:val="0"/>
          <w:sz w:val="28"/>
          <w:szCs w:val="28"/>
          <w:highlight w:val="none"/>
          <w:lang w:val="en-US" w:eastAsia="zh-CN"/>
        </w:rPr>
      </w:pPr>
    </w:p>
    <w:p w14:paraId="52031745">
      <w:pP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br w:type="page"/>
      </w:r>
    </w:p>
    <w:p w14:paraId="4CA18386">
      <w:pPr>
        <w:pStyle w:val="7"/>
        <w:rPr>
          <w:rFonts w:hint="eastAsia"/>
        </w:rPr>
      </w:pPr>
    </w:p>
    <w:p w14:paraId="112028BB">
      <w:pPr>
        <w:keepNext w:val="0"/>
        <w:keepLines w:val="0"/>
        <w:pageBreakBefore w:val="0"/>
        <w:widowControl w:val="0"/>
        <w:kinsoku/>
        <w:wordWrap/>
        <w:overflowPunct/>
        <w:topLinePunct w:val="0"/>
        <w:autoSpaceDE/>
        <w:autoSpaceDN/>
        <w:bidi w:val="0"/>
        <w:adjustRightInd/>
        <w:snapToGrid/>
        <w:spacing w:line="480" w:lineRule="atLeast"/>
        <w:jc w:val="center"/>
        <w:textAlignment w:val="baseline"/>
        <w:outlineLvl w:val="0"/>
        <w:rPr>
          <w:rFonts w:ascii="宋体" w:hAnsi="宋体" w:eastAsia="宋体" w:cs="宋体"/>
          <w:b/>
          <w:bCs/>
          <w:sz w:val="32"/>
          <w:szCs w:val="32"/>
        </w:rPr>
      </w:pPr>
      <w:bookmarkStart w:id="9" w:name="_Toc10205"/>
      <w:r>
        <w:rPr>
          <w:rFonts w:hint="eastAsia" w:ascii="宋体" w:hAnsi="宋体" w:eastAsia="宋体" w:cs="宋体"/>
          <w:b/>
          <w:bCs/>
          <w:sz w:val="32"/>
          <w:szCs w:val="32"/>
        </w:rPr>
        <w:t>第六章</w:t>
      </w:r>
      <w:r>
        <w:rPr>
          <w:rFonts w:hint="eastAsia" w:ascii="宋体" w:hAnsi="宋体" w:eastAsia="宋体" w:cs="宋体"/>
          <w:b/>
          <w:bCs/>
          <w:sz w:val="32"/>
          <w:szCs w:val="32"/>
          <w:lang w:eastAsia="zh-CN"/>
        </w:rPr>
        <w:t>、</w:t>
      </w:r>
      <w:r>
        <w:rPr>
          <w:rFonts w:hint="eastAsia" w:ascii="宋体" w:hAnsi="宋体" w:eastAsia="宋体" w:cs="宋体"/>
          <w:b/>
          <w:bCs/>
          <w:sz w:val="32"/>
          <w:szCs w:val="32"/>
        </w:rPr>
        <w:t>电子化响应文件内容及格式</w:t>
      </w:r>
      <w:bookmarkEnd w:id="9"/>
    </w:p>
    <w:p w14:paraId="57843508">
      <w:pPr>
        <w:pageBreakBefore w:val="0"/>
        <w:wordWrap/>
        <w:overflowPunct/>
        <w:topLinePunct w:val="0"/>
        <w:bidi w:val="0"/>
        <w:spacing w:line="480" w:lineRule="atLeast"/>
        <w:jc w:val="center"/>
        <w:textAlignment w:val="baseline"/>
        <w:outlineLvl w:val="9"/>
        <w:rPr>
          <w:rFonts w:ascii="宋体" w:hAnsi="宋体" w:eastAsia="宋体" w:cs="宋体"/>
          <w:b/>
          <w:bCs/>
          <w:sz w:val="32"/>
          <w:szCs w:val="32"/>
        </w:rPr>
      </w:pPr>
      <w:r>
        <w:rPr>
          <w:rFonts w:hint="eastAsia" w:ascii="宋体" w:hAnsi="宋体" w:eastAsia="宋体" w:cs="宋体"/>
          <w:b/>
          <w:bCs/>
          <w:sz w:val="32"/>
          <w:szCs w:val="32"/>
        </w:rPr>
        <w:t xml:space="preserve"> </w:t>
      </w:r>
    </w:p>
    <w:p w14:paraId="19DAFED0">
      <w:pPr>
        <w:pageBreakBefore w:val="0"/>
        <w:tabs>
          <w:tab w:val="left" w:pos="4337"/>
        </w:tabs>
        <w:wordWrap/>
        <w:overflowPunct/>
        <w:topLinePunct w:val="0"/>
        <w:bidi w:val="0"/>
        <w:spacing w:before="61"/>
        <w:ind w:right="168"/>
        <w:jc w:val="center"/>
        <w:outlineLvl w:val="9"/>
        <w:rPr>
          <w:rFonts w:ascii="Calibri" w:hAnsi="Calibri" w:eastAsia="宋体" w:cs="Times New Roman"/>
          <w:b/>
          <w:sz w:val="36"/>
          <w:szCs w:val="24"/>
        </w:rPr>
      </w:pPr>
      <w:r>
        <w:rPr>
          <w:rFonts w:ascii="Times New Roman" w:hAnsi="Calibri" w:eastAsia="Times New Roman" w:cs="Times New Roman"/>
          <w:b/>
          <w:sz w:val="36"/>
          <w:szCs w:val="24"/>
          <w:u w:val="single"/>
        </w:rPr>
        <w:t xml:space="preserve"> </w:t>
      </w:r>
      <w:r>
        <w:rPr>
          <w:rFonts w:hint="eastAsia" w:ascii="Times New Roman" w:hAnsi="Calibri" w:eastAsia="宋体" w:cs="Times New Roman"/>
          <w:b/>
          <w:sz w:val="36"/>
          <w:szCs w:val="24"/>
          <w:u w:val="single"/>
          <w:lang w:val="en-US" w:eastAsia="zh-CN"/>
        </w:rPr>
        <w:t xml:space="preserve">                     </w:t>
      </w:r>
      <w:r>
        <w:rPr>
          <w:rFonts w:ascii="Calibri" w:hAnsi="Calibri" w:eastAsia="宋体" w:cs="Times New Roman"/>
          <w:b/>
          <w:sz w:val="36"/>
          <w:szCs w:val="24"/>
        </w:rPr>
        <w:t>项目</w:t>
      </w:r>
    </w:p>
    <w:p w14:paraId="58C1DC66">
      <w:pPr>
        <w:pageBreakBefore w:val="0"/>
        <w:wordWrap/>
        <w:overflowPunct/>
        <w:topLinePunct w:val="0"/>
        <w:bidi w:val="0"/>
        <w:outlineLvl w:val="9"/>
        <w:rPr>
          <w:rFonts w:ascii="宋体" w:hAnsi="宋体" w:eastAsia="宋体" w:cs="宋体"/>
          <w:b/>
          <w:sz w:val="40"/>
          <w:szCs w:val="23"/>
        </w:rPr>
      </w:pPr>
    </w:p>
    <w:p w14:paraId="265E8105">
      <w:pPr>
        <w:pageBreakBefore w:val="0"/>
        <w:wordWrap/>
        <w:overflowPunct/>
        <w:topLinePunct w:val="0"/>
        <w:bidi w:val="0"/>
        <w:outlineLvl w:val="9"/>
        <w:rPr>
          <w:rFonts w:ascii="宋体" w:hAnsi="宋体" w:eastAsia="宋体" w:cs="宋体"/>
          <w:b/>
          <w:sz w:val="40"/>
          <w:szCs w:val="23"/>
        </w:rPr>
      </w:pPr>
    </w:p>
    <w:p w14:paraId="21910D63">
      <w:pPr>
        <w:pageBreakBefore w:val="0"/>
        <w:wordWrap/>
        <w:overflowPunct/>
        <w:topLinePunct w:val="0"/>
        <w:bidi w:val="0"/>
        <w:outlineLvl w:val="9"/>
        <w:rPr>
          <w:rFonts w:ascii="宋体" w:hAnsi="宋体" w:eastAsia="宋体" w:cs="宋体"/>
          <w:b/>
          <w:sz w:val="40"/>
          <w:szCs w:val="23"/>
        </w:rPr>
      </w:pPr>
    </w:p>
    <w:p w14:paraId="5C08CB7F">
      <w:pPr>
        <w:pageBreakBefore w:val="0"/>
        <w:wordWrap/>
        <w:overflowPunct/>
        <w:topLinePunct w:val="0"/>
        <w:bidi w:val="0"/>
        <w:outlineLvl w:val="9"/>
        <w:rPr>
          <w:rFonts w:ascii="宋体" w:hAnsi="宋体" w:eastAsia="宋体" w:cs="宋体"/>
          <w:b/>
          <w:sz w:val="40"/>
          <w:szCs w:val="23"/>
        </w:rPr>
      </w:pPr>
    </w:p>
    <w:p w14:paraId="12288968">
      <w:pPr>
        <w:pageBreakBefore w:val="0"/>
        <w:wordWrap/>
        <w:overflowPunct/>
        <w:topLinePunct w:val="0"/>
        <w:bidi w:val="0"/>
        <w:spacing w:before="7"/>
        <w:outlineLvl w:val="9"/>
        <w:rPr>
          <w:rFonts w:ascii="宋体" w:hAnsi="宋体" w:eastAsia="宋体" w:cs="宋体"/>
          <w:b/>
          <w:sz w:val="29"/>
          <w:szCs w:val="23"/>
        </w:rPr>
      </w:pPr>
    </w:p>
    <w:p w14:paraId="430B6D41">
      <w:pPr>
        <w:pageBreakBefore w:val="0"/>
        <w:wordWrap/>
        <w:overflowPunct/>
        <w:topLinePunct w:val="0"/>
        <w:bidi w:val="0"/>
        <w:ind w:right="869"/>
        <w:jc w:val="center"/>
        <w:outlineLvl w:val="9"/>
        <w:rPr>
          <w:rFonts w:ascii="Calibri" w:hAnsi="Calibri" w:eastAsia="宋体" w:cs="Times New Roman"/>
          <w:b/>
          <w:bCs/>
          <w:sz w:val="72"/>
          <w:szCs w:val="24"/>
        </w:rPr>
      </w:pPr>
      <w:r>
        <w:rPr>
          <w:rFonts w:ascii="Calibri" w:hAnsi="Calibri" w:eastAsia="宋体" w:cs="Times New Roman"/>
          <w:b/>
          <w:bCs/>
          <w:sz w:val="72"/>
          <w:szCs w:val="24"/>
        </w:rPr>
        <w:t>响应文件</w:t>
      </w:r>
    </w:p>
    <w:p w14:paraId="7A9EE72D">
      <w:pPr>
        <w:pageBreakBefore w:val="0"/>
        <w:wordWrap/>
        <w:overflowPunct/>
        <w:topLinePunct w:val="0"/>
        <w:bidi w:val="0"/>
        <w:outlineLvl w:val="9"/>
        <w:rPr>
          <w:rFonts w:ascii="宋体" w:hAnsi="宋体" w:eastAsia="宋体" w:cs="宋体"/>
          <w:b/>
          <w:bCs/>
          <w:sz w:val="72"/>
          <w:szCs w:val="23"/>
        </w:rPr>
      </w:pPr>
    </w:p>
    <w:p w14:paraId="58A54E24">
      <w:pPr>
        <w:pageBreakBefore w:val="0"/>
        <w:wordWrap/>
        <w:overflowPunct/>
        <w:topLinePunct w:val="0"/>
        <w:bidi w:val="0"/>
        <w:outlineLvl w:val="9"/>
        <w:rPr>
          <w:rFonts w:ascii="宋体" w:hAnsi="宋体" w:eastAsia="宋体" w:cs="宋体"/>
          <w:b/>
          <w:bCs/>
          <w:sz w:val="72"/>
          <w:szCs w:val="23"/>
        </w:rPr>
      </w:pPr>
    </w:p>
    <w:p w14:paraId="1E7131BE">
      <w:pPr>
        <w:pageBreakBefore w:val="0"/>
        <w:wordWrap/>
        <w:overflowPunct/>
        <w:topLinePunct w:val="0"/>
        <w:bidi w:val="0"/>
        <w:outlineLvl w:val="9"/>
        <w:rPr>
          <w:rFonts w:ascii="宋体" w:hAnsi="宋体" w:eastAsia="宋体" w:cs="宋体"/>
          <w:b/>
          <w:bCs/>
          <w:sz w:val="72"/>
          <w:szCs w:val="23"/>
        </w:rPr>
      </w:pPr>
    </w:p>
    <w:p w14:paraId="372D5B62">
      <w:pPr>
        <w:pageBreakBefore w:val="0"/>
        <w:tabs>
          <w:tab w:val="left" w:pos="1827"/>
          <w:tab w:val="left" w:pos="2427"/>
          <w:tab w:val="left" w:pos="6207"/>
        </w:tabs>
        <w:wordWrap/>
        <w:overflowPunct/>
        <w:topLinePunct w:val="0"/>
        <w:bidi w:val="0"/>
        <w:spacing w:before="635"/>
        <w:ind w:left="1228"/>
        <w:jc w:val="left"/>
        <w:outlineLvl w:val="9"/>
        <w:rPr>
          <w:rFonts w:ascii="Calibri" w:hAnsi="Calibri" w:eastAsia="宋体" w:cs="Times New Roman"/>
          <w:b/>
          <w:bCs/>
          <w:sz w:val="24"/>
          <w:szCs w:val="24"/>
        </w:rPr>
      </w:pPr>
      <w:r>
        <w:rPr>
          <w:rFonts w:hint="eastAsia" w:ascii="Calibri" w:hAnsi="Calibri" w:eastAsia="宋体" w:cs="Times New Roman"/>
          <w:b/>
          <w:bCs/>
          <w:sz w:val="24"/>
          <w:szCs w:val="24"/>
        </w:rPr>
        <w:t>供应商</w:t>
      </w:r>
      <w:r>
        <w:rPr>
          <w:rFonts w:ascii="Calibri" w:hAnsi="Calibri" w:eastAsia="宋体" w:cs="Times New Roman"/>
          <w:b/>
          <w:bCs/>
          <w:sz w:val="24"/>
          <w:szCs w:val="24"/>
        </w:rPr>
        <w:t>：</w:t>
      </w:r>
      <w:r>
        <w:rPr>
          <w:rFonts w:hint="eastAsia" w:ascii="Calibri" w:hAnsi="Calibri" w:eastAsia="宋体" w:cs="Times New Roman"/>
          <w:b/>
          <w:bCs/>
          <w:sz w:val="24"/>
          <w:szCs w:val="24"/>
          <w:u w:val="single"/>
          <w:lang w:val="en-US" w:eastAsia="zh-CN"/>
        </w:rPr>
        <w:t xml:space="preserve"> </w:t>
      </w:r>
      <w:r>
        <w:rPr>
          <w:rFonts w:hint="eastAsia" w:ascii="Calibri" w:hAnsi="Calibri" w:eastAsia="宋体" w:cs="Times New Roman"/>
          <w:b/>
          <w:bCs/>
          <w:sz w:val="24"/>
          <w:szCs w:val="24"/>
          <w:u w:val="single"/>
        </w:rPr>
        <w:t xml:space="preserve">                                 </w:t>
      </w:r>
      <w:r>
        <w:rPr>
          <w:rFonts w:ascii="Calibri" w:hAnsi="Calibri" w:eastAsia="宋体" w:cs="Times New Roman"/>
          <w:b/>
          <w:bCs/>
          <w:sz w:val="24"/>
          <w:szCs w:val="24"/>
        </w:rPr>
        <w:t>（</w:t>
      </w:r>
      <w:r>
        <w:rPr>
          <w:rFonts w:hint="eastAsia" w:ascii="Calibri" w:hAnsi="Calibri" w:eastAsia="宋体" w:cs="Times New Roman"/>
          <w:b/>
          <w:bCs/>
          <w:sz w:val="24"/>
          <w:szCs w:val="24"/>
        </w:rPr>
        <w:t>电子签章</w:t>
      </w:r>
      <w:r>
        <w:rPr>
          <w:rFonts w:ascii="Calibri" w:hAnsi="Calibri" w:eastAsia="宋体" w:cs="Times New Roman"/>
          <w:b/>
          <w:bCs/>
          <w:sz w:val="24"/>
          <w:szCs w:val="24"/>
        </w:rPr>
        <w:t>）</w:t>
      </w:r>
    </w:p>
    <w:p w14:paraId="0C81F4B5">
      <w:pPr>
        <w:pageBreakBefore w:val="0"/>
        <w:wordWrap/>
        <w:overflowPunct/>
        <w:topLinePunct w:val="0"/>
        <w:bidi w:val="0"/>
        <w:outlineLvl w:val="9"/>
        <w:rPr>
          <w:rFonts w:ascii="宋体" w:hAnsi="宋体" w:eastAsia="宋体" w:cs="宋体"/>
          <w:b/>
          <w:bCs/>
          <w:sz w:val="24"/>
          <w:szCs w:val="24"/>
        </w:rPr>
      </w:pPr>
    </w:p>
    <w:p w14:paraId="1E344980">
      <w:pPr>
        <w:pageBreakBefore w:val="0"/>
        <w:wordWrap/>
        <w:overflowPunct/>
        <w:topLinePunct w:val="0"/>
        <w:bidi w:val="0"/>
        <w:spacing w:before="5"/>
        <w:outlineLvl w:val="9"/>
        <w:rPr>
          <w:rFonts w:ascii="宋体" w:hAnsi="宋体" w:eastAsia="宋体" w:cs="宋体"/>
          <w:b/>
          <w:bCs/>
          <w:sz w:val="24"/>
          <w:szCs w:val="24"/>
        </w:rPr>
      </w:pPr>
    </w:p>
    <w:p w14:paraId="115483C0">
      <w:pPr>
        <w:pageBreakBefore w:val="0"/>
        <w:tabs>
          <w:tab w:val="left" w:pos="6627"/>
        </w:tabs>
        <w:wordWrap/>
        <w:overflowPunct/>
        <w:topLinePunct w:val="0"/>
        <w:bidi w:val="0"/>
        <w:ind w:left="1228"/>
        <w:jc w:val="left"/>
        <w:outlineLvl w:val="9"/>
        <w:rPr>
          <w:rFonts w:ascii="Calibri" w:hAnsi="Calibri" w:eastAsia="宋体" w:cs="Times New Roman"/>
          <w:b/>
          <w:bCs/>
          <w:sz w:val="24"/>
          <w:szCs w:val="24"/>
        </w:rPr>
      </w:pPr>
      <w:r>
        <w:rPr>
          <w:rFonts w:ascii="Calibri" w:hAnsi="Calibri" w:eastAsia="宋体" w:cs="Times New Roman"/>
          <w:b/>
          <w:bCs/>
          <w:sz w:val="24"/>
          <w:szCs w:val="24"/>
        </w:rPr>
        <w:t>法定代表人或其委托代理人：</w:t>
      </w:r>
      <w:r>
        <w:rPr>
          <w:rFonts w:hint="eastAsia" w:ascii="Calibri" w:hAnsi="Calibri" w:eastAsia="宋体" w:cs="Times New Roman"/>
          <w:b/>
          <w:bCs/>
          <w:sz w:val="24"/>
          <w:szCs w:val="24"/>
          <w:u w:val="single"/>
          <w:lang w:val="en-US" w:eastAsia="zh-CN"/>
        </w:rPr>
        <w:t xml:space="preserve">              </w:t>
      </w:r>
      <w:r>
        <w:rPr>
          <w:rFonts w:ascii="Calibri" w:hAnsi="Calibri" w:eastAsia="宋体" w:cs="Times New Roman"/>
          <w:b/>
          <w:bCs/>
          <w:sz w:val="24"/>
          <w:szCs w:val="24"/>
        </w:rPr>
        <w:t>（</w:t>
      </w:r>
      <w:r>
        <w:rPr>
          <w:rFonts w:hint="eastAsia" w:ascii="Calibri" w:hAnsi="Calibri" w:eastAsia="宋体" w:cs="Times New Roman"/>
          <w:b/>
          <w:bCs/>
          <w:sz w:val="24"/>
          <w:szCs w:val="24"/>
        </w:rPr>
        <w:t>电子签章</w:t>
      </w:r>
      <w:r>
        <w:rPr>
          <w:rFonts w:ascii="Calibri" w:hAnsi="Calibri" w:eastAsia="宋体" w:cs="Times New Roman"/>
          <w:b/>
          <w:bCs/>
          <w:sz w:val="24"/>
          <w:szCs w:val="24"/>
        </w:rPr>
        <w:t>）</w:t>
      </w:r>
    </w:p>
    <w:p w14:paraId="66720C59">
      <w:pPr>
        <w:pageBreakBefore w:val="0"/>
        <w:wordWrap/>
        <w:overflowPunct/>
        <w:topLinePunct w:val="0"/>
        <w:bidi w:val="0"/>
        <w:outlineLvl w:val="9"/>
        <w:rPr>
          <w:rFonts w:ascii="宋体" w:hAnsi="宋体" w:eastAsia="宋体" w:cs="宋体"/>
          <w:b/>
          <w:bCs/>
          <w:sz w:val="24"/>
          <w:szCs w:val="24"/>
        </w:rPr>
      </w:pPr>
    </w:p>
    <w:p w14:paraId="38DF26F3">
      <w:pPr>
        <w:pageBreakBefore w:val="0"/>
        <w:wordWrap/>
        <w:overflowPunct/>
        <w:topLinePunct w:val="0"/>
        <w:bidi w:val="0"/>
        <w:spacing w:before="5"/>
        <w:outlineLvl w:val="9"/>
        <w:rPr>
          <w:rFonts w:ascii="宋体" w:hAnsi="宋体" w:eastAsia="宋体" w:cs="宋体"/>
          <w:b/>
          <w:bCs/>
          <w:sz w:val="24"/>
          <w:szCs w:val="24"/>
        </w:rPr>
      </w:pPr>
    </w:p>
    <w:p w14:paraId="473AB008">
      <w:pPr>
        <w:pageBreakBefore w:val="0"/>
        <w:tabs>
          <w:tab w:val="left" w:pos="3567"/>
          <w:tab w:val="left" w:pos="4527"/>
          <w:tab w:val="left" w:pos="5247"/>
        </w:tabs>
        <w:wordWrap/>
        <w:overflowPunct/>
        <w:topLinePunct w:val="0"/>
        <w:bidi w:val="0"/>
        <w:ind w:left="2728"/>
        <w:jc w:val="left"/>
        <w:outlineLvl w:val="9"/>
        <w:rPr>
          <w:rFonts w:ascii="Calibri" w:hAnsi="Calibri" w:eastAsia="宋体" w:cs="Times New Roman"/>
          <w:b/>
          <w:bCs/>
          <w:sz w:val="24"/>
          <w:szCs w:val="24"/>
        </w:rPr>
      </w:pPr>
      <w:r>
        <w:rPr>
          <w:rFonts w:ascii="Calibri" w:hAnsi="Calibri" w:eastAsia="宋体" w:cs="Times New Roman"/>
          <w:b/>
          <w:bCs/>
          <w:sz w:val="24"/>
          <w:szCs w:val="24"/>
        </w:rPr>
        <w:t>日</w:t>
      </w:r>
      <w:r>
        <w:rPr>
          <w:rFonts w:ascii="Calibri" w:hAnsi="Calibri" w:eastAsia="宋体" w:cs="Times New Roman"/>
          <w:b/>
          <w:bCs/>
          <w:sz w:val="24"/>
          <w:szCs w:val="24"/>
        </w:rPr>
        <w:tab/>
      </w:r>
      <w:r>
        <w:rPr>
          <w:rFonts w:ascii="Calibri" w:hAnsi="Calibri" w:eastAsia="宋体" w:cs="Times New Roman"/>
          <w:b/>
          <w:bCs/>
          <w:sz w:val="24"/>
          <w:szCs w:val="24"/>
        </w:rPr>
        <w:t>期：</w:t>
      </w:r>
      <w:r>
        <w:rPr>
          <w:rFonts w:hint="eastAsia" w:ascii="Calibri" w:hAnsi="Calibri" w:eastAsia="宋体" w:cs="Times New Roman"/>
          <w:b/>
          <w:bCs/>
          <w:sz w:val="24"/>
          <w:szCs w:val="24"/>
          <w:lang w:val="en-US" w:eastAsia="zh-CN"/>
        </w:rPr>
        <w:t xml:space="preserve">       </w:t>
      </w:r>
      <w:r>
        <w:rPr>
          <w:rFonts w:ascii="Calibri" w:hAnsi="Calibri" w:eastAsia="宋体" w:cs="Times New Roman"/>
          <w:b/>
          <w:bCs/>
          <w:sz w:val="24"/>
          <w:szCs w:val="24"/>
        </w:rPr>
        <w:t>年</w:t>
      </w:r>
      <w:r>
        <w:rPr>
          <w:rFonts w:hint="eastAsia" w:ascii="Calibri" w:hAnsi="Calibri" w:eastAsia="宋体" w:cs="Times New Roman"/>
          <w:b/>
          <w:bCs/>
          <w:sz w:val="24"/>
          <w:szCs w:val="24"/>
          <w:lang w:val="en-US" w:eastAsia="zh-CN"/>
        </w:rPr>
        <w:t xml:space="preserve">      </w:t>
      </w:r>
      <w:r>
        <w:rPr>
          <w:rFonts w:ascii="Calibri" w:hAnsi="Calibri" w:eastAsia="宋体" w:cs="Times New Roman"/>
          <w:b/>
          <w:bCs/>
          <w:sz w:val="24"/>
          <w:szCs w:val="24"/>
        </w:rPr>
        <w:t>月</w:t>
      </w:r>
      <w:r>
        <w:rPr>
          <w:rFonts w:hint="eastAsia" w:ascii="Calibri" w:hAnsi="Calibri" w:eastAsia="宋体" w:cs="Times New Roman"/>
          <w:b/>
          <w:bCs/>
          <w:sz w:val="24"/>
          <w:szCs w:val="24"/>
        </w:rPr>
        <w:t xml:space="preserve">   日</w:t>
      </w:r>
    </w:p>
    <w:p w14:paraId="5B43CA65">
      <w:pPr>
        <w:pageBreakBefore w:val="0"/>
        <w:wordWrap/>
        <w:overflowPunct/>
        <w:topLinePunct w:val="0"/>
        <w:bidi w:val="0"/>
        <w:outlineLvl w:val="9"/>
        <w:rPr>
          <w:rFonts w:hint="eastAsia" w:ascii="宋体" w:hAnsi="宋体" w:eastAsia="宋体" w:cs="宋体"/>
          <w:b/>
          <w:bCs/>
          <w:sz w:val="32"/>
          <w:szCs w:val="32"/>
        </w:rPr>
      </w:pPr>
      <w:r>
        <w:rPr>
          <w:rFonts w:hint="eastAsia" w:ascii="宋体" w:hAnsi="宋体" w:eastAsia="宋体" w:cs="宋体"/>
          <w:b/>
          <w:bCs/>
          <w:sz w:val="32"/>
          <w:szCs w:val="32"/>
        </w:rPr>
        <w:br w:type="page"/>
      </w:r>
    </w:p>
    <w:p w14:paraId="5B3F68C6">
      <w:pPr>
        <w:pageBreakBefore w:val="0"/>
        <w:wordWrap/>
        <w:overflowPunct/>
        <w:topLinePunct w:val="0"/>
        <w:bidi w:val="0"/>
        <w:spacing w:line="480" w:lineRule="atLeast"/>
        <w:jc w:val="center"/>
        <w:textAlignment w:val="baseline"/>
        <w:outlineLvl w:val="9"/>
        <w:rPr>
          <w:rFonts w:ascii="宋体" w:hAnsi="宋体" w:eastAsia="宋体" w:cs="宋体"/>
          <w:b/>
          <w:bCs/>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rPr>
        <w:tab/>
      </w:r>
      <w:r>
        <w:rPr>
          <w:rFonts w:hint="eastAsia" w:ascii="宋体" w:hAnsi="宋体" w:eastAsia="宋体" w:cs="宋体"/>
          <w:b/>
          <w:bCs/>
          <w:sz w:val="32"/>
          <w:szCs w:val="32"/>
        </w:rPr>
        <w:t>录</w:t>
      </w:r>
    </w:p>
    <w:p w14:paraId="2A914DC3">
      <w:pPr>
        <w:pageBreakBefore w:val="0"/>
        <w:wordWrap/>
        <w:overflowPunct/>
        <w:topLinePunct w:val="0"/>
        <w:bidi w:val="0"/>
        <w:spacing w:line="480" w:lineRule="atLeast"/>
        <w:jc w:val="center"/>
        <w:textAlignment w:val="baseline"/>
        <w:outlineLvl w:val="9"/>
        <w:rPr>
          <w:rFonts w:hint="eastAsia" w:ascii="宋体" w:hAnsi="宋体" w:eastAsia="宋体" w:cs="宋体"/>
          <w:b/>
          <w:bCs/>
          <w:sz w:val="32"/>
          <w:szCs w:val="32"/>
        </w:rPr>
      </w:pPr>
      <w:r>
        <w:rPr>
          <w:rFonts w:hint="eastAsia" w:ascii="宋体" w:hAnsi="宋体" w:eastAsia="宋体" w:cs="宋体"/>
          <w:b/>
          <w:bCs/>
          <w:sz w:val="32"/>
          <w:szCs w:val="32"/>
        </w:rPr>
        <w:t>（自拟）</w:t>
      </w:r>
      <w:bookmarkStart w:id="10" w:name="_bookmark5"/>
      <w:bookmarkEnd w:id="10"/>
      <w:bookmarkStart w:id="11" w:name="一、投标函及投标函附录"/>
      <w:bookmarkEnd w:id="11"/>
    </w:p>
    <w:p w14:paraId="7E38EECF">
      <w:pPr>
        <w:pageBreakBefore w:val="0"/>
        <w:wordWrap/>
        <w:overflowPunct/>
        <w:topLinePunct w:val="0"/>
        <w:bidi w:val="0"/>
        <w:outlineLvl w:val="9"/>
        <w:rPr>
          <w:rFonts w:hint="eastAsia" w:ascii="宋体" w:hAnsi="宋体" w:eastAsia="宋体" w:cs="宋体"/>
          <w:b/>
          <w:bCs/>
          <w:sz w:val="32"/>
          <w:szCs w:val="32"/>
        </w:rPr>
      </w:pPr>
      <w:r>
        <w:rPr>
          <w:rFonts w:hint="eastAsia" w:ascii="宋体" w:hAnsi="宋体" w:eastAsia="宋体" w:cs="宋体"/>
          <w:b/>
          <w:bCs/>
          <w:sz w:val="32"/>
          <w:szCs w:val="32"/>
        </w:rPr>
        <w:br w:type="page"/>
      </w:r>
    </w:p>
    <w:p w14:paraId="506D35D0">
      <w:pPr>
        <w:pageBreakBefore w:val="0"/>
        <w:wordWrap/>
        <w:overflowPunct/>
        <w:topLinePunct w:val="0"/>
        <w:bidi w:val="0"/>
        <w:spacing w:line="480" w:lineRule="atLeast"/>
        <w:jc w:val="center"/>
        <w:textAlignment w:val="baseline"/>
        <w:outlineLvl w:val="9"/>
        <w:rPr>
          <w:rFonts w:ascii="宋体" w:hAnsi="宋体" w:eastAsia="宋体" w:cs="宋体"/>
          <w:b/>
          <w:bCs/>
          <w:sz w:val="32"/>
          <w:szCs w:val="32"/>
        </w:rPr>
      </w:pPr>
      <w:r>
        <w:rPr>
          <w:rFonts w:ascii="宋体" w:hAnsi="宋体" w:eastAsia="宋体" w:cs="宋体"/>
          <w:b/>
          <w:bCs/>
          <w:sz w:val="32"/>
          <w:szCs w:val="32"/>
        </w:rPr>
        <w:t>一、</w:t>
      </w:r>
      <w:r>
        <w:rPr>
          <w:rFonts w:hint="eastAsia" w:ascii="宋体" w:hAnsi="宋体" w:eastAsia="宋体" w:cs="宋体"/>
          <w:b/>
          <w:bCs/>
          <w:sz w:val="32"/>
          <w:szCs w:val="32"/>
        </w:rPr>
        <w:t>磋商</w:t>
      </w:r>
      <w:r>
        <w:rPr>
          <w:rFonts w:ascii="宋体" w:hAnsi="宋体" w:eastAsia="宋体" w:cs="宋体"/>
          <w:b/>
          <w:bCs/>
          <w:sz w:val="32"/>
          <w:szCs w:val="32"/>
        </w:rPr>
        <w:t>函及</w:t>
      </w:r>
      <w:r>
        <w:rPr>
          <w:rFonts w:hint="eastAsia" w:ascii="宋体" w:hAnsi="宋体" w:eastAsia="宋体" w:cs="宋体"/>
          <w:b/>
          <w:bCs/>
          <w:sz w:val="32"/>
          <w:szCs w:val="32"/>
        </w:rPr>
        <w:t>磋商</w:t>
      </w:r>
      <w:r>
        <w:rPr>
          <w:rFonts w:ascii="宋体" w:hAnsi="宋体" w:eastAsia="宋体" w:cs="宋体"/>
          <w:b/>
          <w:bCs/>
          <w:sz w:val="32"/>
          <w:szCs w:val="32"/>
        </w:rPr>
        <w:t>函附录</w:t>
      </w:r>
    </w:p>
    <w:p w14:paraId="649C727C">
      <w:pPr>
        <w:pageBreakBefore w:val="0"/>
        <w:wordWrap/>
        <w:overflowPunct/>
        <w:topLinePunct w:val="0"/>
        <w:bidi w:val="0"/>
        <w:spacing w:before="2"/>
        <w:outlineLvl w:val="9"/>
        <w:rPr>
          <w:rFonts w:ascii="宋体" w:hAnsi="宋体" w:eastAsia="宋体" w:cs="宋体"/>
          <w:b/>
          <w:sz w:val="30"/>
          <w:szCs w:val="23"/>
        </w:rPr>
      </w:pPr>
    </w:p>
    <w:p w14:paraId="20CBEDF1">
      <w:pPr>
        <w:pageBreakBefore w:val="0"/>
        <w:wordWrap/>
        <w:overflowPunct/>
        <w:topLinePunct w:val="0"/>
        <w:bidi w:val="0"/>
        <w:ind w:right="1019"/>
        <w:jc w:val="center"/>
        <w:outlineLvl w:val="9"/>
        <w:rPr>
          <w:rFonts w:ascii="宋体" w:hAnsi="宋体" w:eastAsia="宋体" w:cs="宋体"/>
          <w:b/>
          <w:bCs/>
          <w:sz w:val="32"/>
          <w:szCs w:val="32"/>
        </w:rPr>
      </w:pPr>
      <w:r>
        <w:rPr>
          <w:rFonts w:hint="eastAsia" w:ascii="宋体" w:hAnsi="宋体" w:eastAsia="宋体" w:cs="宋体"/>
          <w:b/>
          <w:bCs/>
          <w:sz w:val="32"/>
          <w:szCs w:val="32"/>
        </w:rPr>
        <w:t>(一) 磋商函</w:t>
      </w:r>
    </w:p>
    <w:p w14:paraId="373A5774">
      <w:pPr>
        <w:pageBreakBefore w:val="0"/>
        <w:wordWrap/>
        <w:overflowPunct/>
        <w:topLinePunct w:val="0"/>
        <w:bidi w:val="0"/>
        <w:spacing w:before="166"/>
        <w:ind w:left="212"/>
        <w:outlineLvl w:val="9"/>
        <w:rPr>
          <w:rFonts w:ascii="宋体" w:hAnsi="宋体" w:eastAsia="宋体" w:cs="宋体"/>
          <w:sz w:val="24"/>
          <w:szCs w:val="24"/>
        </w:rPr>
      </w:pPr>
      <w:r>
        <w:rPr>
          <w:rFonts w:hint="eastAsia" w:ascii="宋体" w:hAnsi="宋体" w:eastAsia="宋体" w:cs="宋体"/>
          <w:sz w:val="24"/>
          <w:szCs w:val="24"/>
          <w:u w:val="single"/>
        </w:rPr>
        <w:t>（采购人名称）</w:t>
      </w:r>
      <w:r>
        <w:rPr>
          <w:rFonts w:hint="eastAsia" w:ascii="宋体" w:hAnsi="宋体" w:eastAsia="宋体" w:cs="宋体"/>
          <w:sz w:val="24"/>
          <w:szCs w:val="24"/>
        </w:rPr>
        <w:t>：</w:t>
      </w:r>
    </w:p>
    <w:p w14:paraId="348E4EF4">
      <w:pPr>
        <w:keepNext w:val="0"/>
        <w:keepLines w:val="0"/>
        <w:pageBreakBefore w:val="0"/>
        <w:widowControl w:val="0"/>
        <w:numPr>
          <w:ilvl w:val="0"/>
          <w:numId w:val="0"/>
        </w:numPr>
        <w:tabs>
          <w:tab w:val="left" w:pos="844"/>
          <w:tab w:val="left" w:pos="2101"/>
          <w:tab w:val="left" w:pos="2439"/>
          <w:tab w:val="left" w:pos="3503"/>
          <w:tab w:val="left" w:pos="3729"/>
          <w:tab w:val="left" w:pos="5451"/>
          <w:tab w:val="left" w:pos="7527"/>
        </w:tabs>
        <w:kinsoku/>
        <w:wordWrap/>
        <w:overflowPunct/>
        <w:topLinePunct w:val="0"/>
        <w:autoSpaceDE/>
        <w:autoSpaceDN/>
        <w:bidi w:val="0"/>
        <w:adjustRightInd/>
        <w:snapToGrid/>
        <w:spacing w:before="170" w:line="393" w:lineRule="auto"/>
        <w:ind w:left="0" w:leftChars="0" w:right="312" w:rightChars="0" w:firstLine="480" w:firstLineChars="200"/>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我方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（响应人名称</w:t>
      </w:r>
      <w:r>
        <w:rPr>
          <w:rFonts w:hint="eastAsia" w:ascii="宋体" w:hAnsi="宋体" w:eastAsia="宋体" w:cs="宋体"/>
          <w:spacing w:val="-3"/>
          <w:sz w:val="24"/>
          <w:szCs w:val="24"/>
          <w:u w:val="single"/>
        </w:rPr>
        <w:t>）</w:t>
      </w:r>
      <w:r>
        <w:rPr>
          <w:rFonts w:hint="eastAsia" w:ascii="宋体" w:hAnsi="宋体" w:eastAsia="宋体" w:cs="宋体"/>
          <w:sz w:val="24"/>
          <w:szCs w:val="24"/>
        </w:rPr>
        <w:t>已仔细研究了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pacing w:val="-3"/>
          <w:sz w:val="24"/>
          <w:szCs w:val="24"/>
        </w:rPr>
        <w:t>）</w:t>
      </w:r>
      <w:r>
        <w:rPr>
          <w:rFonts w:hint="eastAsia" w:ascii="宋体" w:hAnsi="宋体" w:eastAsia="宋体" w:cs="宋体"/>
          <w:sz w:val="24"/>
          <w:szCs w:val="24"/>
        </w:rPr>
        <w:t>磋商文件的全部内容</w:t>
      </w:r>
      <w:r>
        <w:rPr>
          <w:rFonts w:hint="eastAsia" w:ascii="宋体" w:hAnsi="宋体" w:eastAsia="宋体" w:cs="宋体"/>
          <w:spacing w:val="-3"/>
          <w:sz w:val="24"/>
          <w:szCs w:val="24"/>
        </w:rPr>
        <w:t>，</w:t>
      </w:r>
      <w:r>
        <w:rPr>
          <w:rFonts w:hint="eastAsia" w:ascii="宋体" w:hAnsi="宋体" w:eastAsia="宋体" w:cs="宋体"/>
          <w:sz w:val="24"/>
          <w:szCs w:val="24"/>
        </w:rPr>
        <w:t>愿意以</w:t>
      </w:r>
      <w:r>
        <w:rPr>
          <w:rFonts w:hint="eastAsia" w:ascii="宋体" w:hAnsi="宋体" w:eastAsia="宋体" w:cs="宋体"/>
          <w:spacing w:val="-3"/>
          <w:sz w:val="24"/>
          <w:szCs w:val="24"/>
        </w:rPr>
        <w:t>：</w:t>
      </w:r>
      <w:r>
        <w:rPr>
          <w:rFonts w:hint="eastAsia" w:ascii="宋体" w:hAnsi="宋体" w:eastAsia="宋体" w:cs="宋体"/>
          <w:sz w:val="24"/>
          <w:szCs w:val="24"/>
        </w:rPr>
        <w:t>人民币（大</w:t>
      </w:r>
      <w:r>
        <w:rPr>
          <w:rFonts w:hint="eastAsia" w:ascii="宋体" w:hAnsi="宋体" w:eastAsia="宋体" w:cs="宋体"/>
          <w:spacing w:val="4"/>
          <w:sz w:val="24"/>
          <w:szCs w:val="24"/>
        </w:rPr>
        <w:t>写</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）为投标</w:t>
      </w:r>
      <w:r>
        <w:rPr>
          <w:rFonts w:hint="eastAsia" w:ascii="宋体" w:hAnsi="宋体" w:eastAsia="宋体" w:cs="宋体"/>
          <w:spacing w:val="4"/>
          <w:sz w:val="24"/>
          <w:szCs w:val="24"/>
        </w:rPr>
        <w:t>总</w:t>
      </w:r>
      <w:r>
        <w:rPr>
          <w:rFonts w:hint="eastAsia" w:ascii="宋体" w:hAnsi="宋体" w:eastAsia="宋体" w:cs="宋体"/>
          <w:sz w:val="24"/>
          <w:szCs w:val="24"/>
        </w:rPr>
        <w:t>报价、合同履行</w:t>
      </w:r>
      <w:r>
        <w:rPr>
          <w:rFonts w:hint="eastAsia" w:ascii="宋体" w:hAnsi="宋体" w:eastAsia="宋体" w:cs="宋体"/>
          <w:spacing w:val="4"/>
          <w:sz w:val="24"/>
          <w:szCs w:val="24"/>
        </w:rPr>
        <w:t>期</w:t>
      </w:r>
      <w:r>
        <w:rPr>
          <w:rFonts w:hint="eastAsia" w:ascii="宋体" w:hAnsi="宋体" w:eastAsia="宋体" w:cs="宋体"/>
          <w:sz w:val="24"/>
          <w:szCs w:val="24"/>
        </w:rPr>
        <w:t>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，按合同</w:t>
      </w:r>
      <w:r>
        <w:rPr>
          <w:rFonts w:hint="eastAsia" w:ascii="宋体" w:hAnsi="宋体" w:eastAsia="宋体" w:cs="宋体"/>
          <w:spacing w:val="4"/>
          <w:sz w:val="24"/>
          <w:szCs w:val="24"/>
        </w:rPr>
        <w:t>约</w:t>
      </w:r>
      <w:r>
        <w:rPr>
          <w:rFonts w:hint="eastAsia" w:ascii="宋体" w:hAnsi="宋体" w:eastAsia="宋体" w:cs="宋体"/>
          <w:sz w:val="24"/>
          <w:szCs w:val="24"/>
        </w:rPr>
        <w:t>定完成该项</w:t>
      </w:r>
      <w:r>
        <w:rPr>
          <w:rFonts w:hint="eastAsia" w:ascii="宋体" w:hAnsi="宋体" w:eastAsia="宋体" w:cs="宋体"/>
          <w:spacing w:val="-14"/>
          <w:sz w:val="24"/>
          <w:szCs w:val="24"/>
        </w:rPr>
        <w:t>目</w:t>
      </w:r>
      <w:r>
        <w:rPr>
          <w:rFonts w:hint="eastAsia" w:ascii="宋体" w:hAnsi="宋体" w:eastAsia="宋体" w:cs="宋体"/>
          <w:sz w:val="24"/>
          <w:szCs w:val="24"/>
        </w:rPr>
        <w:t>服务工作，服务质量要求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52559394">
      <w:pPr>
        <w:keepNext w:val="0"/>
        <w:keepLines w:val="0"/>
        <w:pageBreakBefore w:val="0"/>
        <w:widowControl w:val="0"/>
        <w:numPr>
          <w:ilvl w:val="0"/>
          <w:numId w:val="0"/>
        </w:numPr>
        <w:tabs>
          <w:tab w:val="left" w:pos="844"/>
        </w:tabs>
        <w:kinsoku/>
        <w:wordWrap/>
        <w:overflowPunct/>
        <w:topLinePunct w:val="0"/>
        <w:autoSpaceDE/>
        <w:autoSpaceDN/>
        <w:bidi w:val="0"/>
        <w:adjustRightInd/>
        <w:snapToGrid/>
        <w:spacing w:line="265" w:lineRule="exact"/>
        <w:ind w:left="0" w:leftChars="0" w:firstLine="480" w:firstLineChars="200"/>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我方承诺在投标有效期内不修改、撤销响应文件。</w:t>
      </w:r>
    </w:p>
    <w:p w14:paraId="7C686DCE">
      <w:pPr>
        <w:keepNext w:val="0"/>
        <w:keepLines w:val="0"/>
        <w:pageBreakBefore w:val="0"/>
        <w:widowControl w:val="0"/>
        <w:numPr>
          <w:ilvl w:val="0"/>
          <w:numId w:val="0"/>
        </w:numPr>
        <w:tabs>
          <w:tab w:val="left" w:pos="844"/>
        </w:tabs>
        <w:kinsoku/>
        <w:wordWrap/>
        <w:overflowPunct/>
        <w:topLinePunct w:val="0"/>
        <w:autoSpaceDE/>
        <w:autoSpaceDN/>
        <w:bidi w:val="0"/>
        <w:adjustRightInd/>
        <w:snapToGrid/>
        <w:spacing w:before="172"/>
        <w:ind w:left="0" w:leftChars="0" w:firstLine="480" w:firstLineChars="200"/>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如我方中标：</w:t>
      </w:r>
    </w:p>
    <w:p w14:paraId="52BCF289">
      <w:pPr>
        <w:keepNext w:val="0"/>
        <w:keepLines w:val="0"/>
        <w:pageBreakBefore w:val="0"/>
        <w:widowControl w:val="0"/>
        <w:tabs>
          <w:tab w:val="left" w:pos="1458"/>
        </w:tabs>
        <w:kinsoku/>
        <w:wordWrap/>
        <w:overflowPunct/>
        <w:topLinePunct w:val="0"/>
        <w:autoSpaceDE/>
        <w:autoSpaceDN/>
        <w:bidi w:val="0"/>
        <w:adjustRightInd/>
        <w:snapToGrid/>
        <w:spacing w:before="170"/>
        <w:ind w:left="0" w:leftChars="0" w:firstLine="480" w:firstLineChars="200"/>
        <w:jc w:val="left"/>
        <w:textAlignment w:val="auto"/>
        <w:outlineLvl w:val="9"/>
        <w:rPr>
          <w:rFonts w:ascii="宋体" w:hAnsi="宋体" w:eastAsia="宋体" w:cs="宋体"/>
          <w:sz w:val="24"/>
          <w:szCs w:val="24"/>
        </w:rPr>
      </w:pPr>
      <w:r>
        <w:rPr>
          <w:rFonts w:hint="eastAsia" w:ascii="宋体" w:hAnsi="宋体" w:eastAsia="宋体" w:cs="宋体"/>
          <w:sz w:val="24"/>
          <w:szCs w:val="24"/>
        </w:rPr>
        <w:t>（1）我方承诺在收到成交通知书后，在成交通知书规定的期限内与你方签订合同。</w:t>
      </w:r>
    </w:p>
    <w:p w14:paraId="08854685">
      <w:pPr>
        <w:keepNext w:val="0"/>
        <w:keepLines w:val="0"/>
        <w:pageBreakBefore w:val="0"/>
        <w:widowControl w:val="0"/>
        <w:tabs>
          <w:tab w:val="left" w:pos="1464"/>
        </w:tabs>
        <w:kinsoku/>
        <w:wordWrap/>
        <w:overflowPunct/>
        <w:topLinePunct w:val="0"/>
        <w:autoSpaceDE/>
        <w:autoSpaceDN/>
        <w:bidi w:val="0"/>
        <w:adjustRightInd/>
        <w:snapToGrid/>
        <w:spacing w:before="170" w:line="393" w:lineRule="auto"/>
        <w:ind w:left="0" w:leftChars="0" w:right="312" w:firstLine="480" w:firstLineChars="200"/>
        <w:jc w:val="left"/>
        <w:textAlignment w:val="auto"/>
        <w:outlineLvl w:val="9"/>
        <w:rPr>
          <w:rFonts w:ascii="宋体" w:hAnsi="宋体" w:eastAsia="宋体" w:cs="宋体"/>
          <w:sz w:val="24"/>
          <w:szCs w:val="24"/>
        </w:rPr>
      </w:pPr>
      <w:r>
        <w:rPr>
          <w:rFonts w:hint="eastAsia" w:ascii="宋体" w:hAnsi="宋体" w:eastAsia="宋体" w:cs="宋体"/>
          <w:sz w:val="24"/>
          <w:szCs w:val="24"/>
        </w:rPr>
        <w:t>（2）我单位愿意履行响应文件中的一切优惠条件和承诺措施,提供优质高效的服务，并承诺在合同约定的期限内完成并移交全部工作内容。</w:t>
      </w:r>
    </w:p>
    <w:p w14:paraId="149BEC0D">
      <w:pPr>
        <w:keepNext w:val="0"/>
        <w:keepLines w:val="0"/>
        <w:pageBreakBefore w:val="0"/>
        <w:widowControl w:val="0"/>
        <w:tabs>
          <w:tab w:val="left" w:pos="1458"/>
        </w:tabs>
        <w:kinsoku/>
        <w:wordWrap/>
        <w:overflowPunct/>
        <w:topLinePunct w:val="0"/>
        <w:autoSpaceDE/>
        <w:autoSpaceDN/>
        <w:bidi w:val="0"/>
        <w:adjustRightInd/>
        <w:snapToGrid/>
        <w:spacing w:line="267" w:lineRule="exact"/>
        <w:ind w:left="0" w:leftChars="0" w:firstLine="464" w:firstLineChars="200"/>
        <w:jc w:val="left"/>
        <w:textAlignment w:val="auto"/>
        <w:outlineLvl w:val="9"/>
        <w:rPr>
          <w:rFonts w:ascii="宋体" w:hAnsi="宋体" w:eastAsia="宋体" w:cs="宋体"/>
          <w:sz w:val="24"/>
          <w:szCs w:val="24"/>
        </w:rPr>
      </w:pPr>
      <w:r>
        <w:rPr>
          <w:rFonts w:hint="eastAsia" w:ascii="宋体" w:hAnsi="宋体" w:eastAsia="宋体" w:cs="宋体"/>
          <w:spacing w:val="-4"/>
          <w:sz w:val="24"/>
          <w:szCs w:val="24"/>
        </w:rPr>
        <w:t xml:space="preserve">（3）我方承诺在从规定的自开标之日起 </w:t>
      </w:r>
      <w:r>
        <w:rPr>
          <w:rFonts w:hint="eastAsia" w:ascii="宋体" w:hAnsi="宋体" w:eastAsia="宋体" w:cs="宋体"/>
          <w:sz w:val="24"/>
          <w:szCs w:val="24"/>
        </w:rPr>
        <w:t>60</w:t>
      </w:r>
      <w:r>
        <w:rPr>
          <w:rFonts w:hint="eastAsia" w:ascii="宋体" w:hAnsi="宋体" w:eastAsia="宋体" w:cs="宋体"/>
          <w:spacing w:val="-9"/>
          <w:sz w:val="24"/>
          <w:szCs w:val="24"/>
        </w:rPr>
        <w:t xml:space="preserve"> 日历天的投标有效期内不修改、撤销响应文件。</w:t>
      </w:r>
    </w:p>
    <w:p w14:paraId="51CADCA0">
      <w:pPr>
        <w:keepNext w:val="0"/>
        <w:keepLines w:val="0"/>
        <w:pageBreakBefore w:val="0"/>
        <w:widowControl w:val="0"/>
        <w:tabs>
          <w:tab w:val="left" w:pos="844"/>
          <w:tab w:val="left" w:pos="2101"/>
          <w:tab w:val="left" w:pos="2439"/>
          <w:tab w:val="left" w:pos="3503"/>
          <w:tab w:val="left" w:pos="3729"/>
          <w:tab w:val="left" w:pos="5451"/>
          <w:tab w:val="left" w:pos="7527"/>
        </w:tabs>
        <w:kinsoku/>
        <w:wordWrap/>
        <w:overflowPunct/>
        <w:topLinePunct w:val="0"/>
        <w:autoSpaceDE/>
        <w:autoSpaceDN/>
        <w:bidi w:val="0"/>
        <w:adjustRightInd/>
        <w:snapToGrid/>
        <w:spacing w:before="170" w:line="393" w:lineRule="auto"/>
        <w:ind w:left="0" w:leftChars="0" w:right="312" w:firstLine="480" w:firstLineChars="200"/>
        <w:textAlignment w:val="auto"/>
        <w:outlineLvl w:val="9"/>
        <w:rPr>
          <w:rFonts w:ascii="宋体" w:hAnsi="宋体" w:eastAsia="宋体" w:cs="宋体"/>
          <w:sz w:val="24"/>
          <w:szCs w:val="24"/>
        </w:rPr>
      </w:pPr>
      <w:r>
        <w:rPr>
          <w:rFonts w:hint="eastAsia" w:ascii="宋体" w:hAnsi="宋体" w:eastAsia="宋体" w:cs="宋体"/>
          <w:sz w:val="24"/>
          <w:szCs w:val="24"/>
        </w:rPr>
        <w:t>（4）我单位同意提供与招标有关的一切数据和资料,完全理解最低报价不是中标唯一条件。</w:t>
      </w:r>
    </w:p>
    <w:p w14:paraId="251FA2D1">
      <w:pPr>
        <w:keepNext w:val="0"/>
        <w:keepLines w:val="0"/>
        <w:pageBreakBefore w:val="0"/>
        <w:widowControl w:val="0"/>
        <w:tabs>
          <w:tab w:val="left" w:pos="844"/>
          <w:tab w:val="left" w:pos="2101"/>
          <w:tab w:val="left" w:pos="2439"/>
          <w:tab w:val="left" w:pos="3503"/>
          <w:tab w:val="left" w:pos="3729"/>
          <w:tab w:val="left" w:pos="5451"/>
          <w:tab w:val="left" w:pos="7527"/>
        </w:tabs>
        <w:kinsoku/>
        <w:wordWrap/>
        <w:overflowPunct/>
        <w:topLinePunct w:val="0"/>
        <w:autoSpaceDE/>
        <w:autoSpaceDN/>
        <w:bidi w:val="0"/>
        <w:adjustRightInd/>
        <w:snapToGrid/>
        <w:spacing w:before="170" w:line="393" w:lineRule="auto"/>
        <w:ind w:left="0" w:leftChars="0" w:right="312" w:firstLine="480" w:firstLineChars="200"/>
        <w:textAlignment w:val="auto"/>
        <w:outlineLvl w:val="9"/>
        <w:rPr>
          <w:rFonts w:ascii="宋体" w:hAnsi="宋体" w:eastAsia="宋体" w:cs="宋体"/>
          <w:sz w:val="24"/>
          <w:szCs w:val="24"/>
        </w:rPr>
      </w:pPr>
      <w:r>
        <w:rPr>
          <w:rFonts w:hint="eastAsia" w:ascii="宋体" w:hAnsi="宋体" w:eastAsia="宋体" w:cs="宋体"/>
          <w:sz w:val="24"/>
          <w:szCs w:val="24"/>
        </w:rPr>
        <w:t xml:space="preserve">（5）我方承诺若我方有幸中标，在领取成交通知书前向代理机构支付代理服务费及相关费用。   </w:t>
      </w:r>
    </w:p>
    <w:p w14:paraId="782B1188">
      <w:pPr>
        <w:keepNext w:val="0"/>
        <w:keepLines w:val="0"/>
        <w:pageBreakBefore w:val="0"/>
        <w:widowControl w:val="0"/>
        <w:tabs>
          <w:tab w:val="left" w:pos="844"/>
          <w:tab w:val="left" w:pos="2101"/>
          <w:tab w:val="left" w:pos="2439"/>
          <w:tab w:val="left" w:pos="3503"/>
          <w:tab w:val="left" w:pos="3729"/>
          <w:tab w:val="left" w:pos="5451"/>
          <w:tab w:val="left" w:pos="7527"/>
        </w:tabs>
        <w:kinsoku/>
        <w:wordWrap/>
        <w:overflowPunct/>
        <w:topLinePunct w:val="0"/>
        <w:autoSpaceDE/>
        <w:autoSpaceDN/>
        <w:bidi w:val="0"/>
        <w:adjustRightInd/>
        <w:snapToGrid/>
        <w:spacing w:before="170" w:line="393" w:lineRule="auto"/>
        <w:ind w:left="0" w:leftChars="0" w:right="312" w:firstLine="480" w:firstLineChars="200"/>
        <w:textAlignment w:val="auto"/>
        <w:outlineLvl w:val="9"/>
        <w:rPr>
          <w:rFonts w:ascii="宋体" w:hAnsi="宋体" w:eastAsia="宋体" w:cs="宋体"/>
          <w:sz w:val="24"/>
          <w:szCs w:val="24"/>
        </w:rPr>
      </w:pPr>
      <w:r>
        <w:rPr>
          <w:rFonts w:hint="eastAsia" w:ascii="宋体" w:hAnsi="宋体" w:eastAsia="宋体" w:cs="宋体"/>
          <w:sz w:val="24"/>
          <w:szCs w:val="24"/>
        </w:rPr>
        <w:t>4.我方在此声明，所递交的响应文件及有关资料内容完整、真实和准确。</w:t>
      </w:r>
    </w:p>
    <w:p w14:paraId="40A8218C">
      <w:pPr>
        <w:pageBreakBefore w:val="0"/>
        <w:wordWrap/>
        <w:overflowPunct/>
        <w:topLinePunct w:val="0"/>
        <w:bidi w:val="0"/>
        <w:outlineLvl w:val="9"/>
        <w:rPr>
          <w:rFonts w:ascii="宋体" w:hAnsi="宋体" w:eastAsia="宋体" w:cs="宋体"/>
          <w:sz w:val="24"/>
          <w:szCs w:val="24"/>
        </w:rPr>
      </w:pPr>
    </w:p>
    <w:p w14:paraId="2B6CA188">
      <w:pPr>
        <w:pageBreakBefore w:val="0"/>
        <w:wordWrap/>
        <w:overflowPunct/>
        <w:topLinePunct w:val="0"/>
        <w:bidi w:val="0"/>
        <w:spacing w:before="7"/>
        <w:outlineLvl w:val="9"/>
        <w:rPr>
          <w:rFonts w:ascii="宋体" w:hAnsi="宋体" w:eastAsia="宋体" w:cs="宋体"/>
          <w:sz w:val="24"/>
          <w:szCs w:val="24"/>
        </w:rPr>
      </w:pPr>
    </w:p>
    <w:p w14:paraId="228A401C">
      <w:pPr>
        <w:pageBreakBefore w:val="0"/>
        <w:wordWrap/>
        <w:overflowPunct/>
        <w:topLinePunct w:val="0"/>
        <w:bidi w:val="0"/>
        <w:ind w:firstLine="3120" w:firstLineChars="1300"/>
        <w:outlineLvl w:val="9"/>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（电子签章）</w:t>
      </w:r>
    </w:p>
    <w:p w14:paraId="6383B8A7">
      <w:pPr>
        <w:pageBreakBefore w:val="0"/>
        <w:tabs>
          <w:tab w:val="left" w:pos="1464"/>
        </w:tabs>
        <w:wordWrap/>
        <w:overflowPunct/>
        <w:topLinePunct w:val="0"/>
        <w:bidi w:val="0"/>
        <w:spacing w:before="170"/>
        <w:ind w:right="312" w:firstLine="3120" w:firstLineChars="1300"/>
        <w:jc w:val="left"/>
        <w:outlineLvl w:val="9"/>
        <w:rPr>
          <w:rFonts w:ascii="宋体" w:hAnsi="宋体" w:eastAsia="宋体" w:cs="宋体"/>
          <w:sz w:val="24"/>
          <w:szCs w:val="24"/>
        </w:rPr>
      </w:pPr>
      <w:r>
        <w:rPr>
          <w:rFonts w:hint="eastAsia" w:ascii="宋体" w:hAnsi="宋体" w:eastAsia="宋体" w:cs="宋体"/>
          <w:sz w:val="24"/>
          <w:szCs w:val="24"/>
        </w:rPr>
        <w:t>法定代表人或被授权代表：（电子签章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56A5FF62">
      <w:pPr>
        <w:pageBreakBefore w:val="0"/>
        <w:tabs>
          <w:tab w:val="left" w:pos="1464"/>
        </w:tabs>
        <w:wordWrap/>
        <w:overflowPunct/>
        <w:topLinePunct w:val="0"/>
        <w:bidi w:val="0"/>
        <w:spacing w:before="170"/>
        <w:ind w:right="312" w:firstLine="3120" w:firstLineChars="1300"/>
        <w:jc w:val="left"/>
        <w:outlineLvl w:val="9"/>
        <w:rPr>
          <w:rFonts w:hint="eastAsia" w:ascii="宋体" w:hAnsi="宋体" w:eastAsia="宋体" w:cs="宋体"/>
          <w:sz w:val="24"/>
          <w:szCs w:val="24"/>
          <w:lang w:eastAsia="zh-CN"/>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p>
    <w:p w14:paraId="6350D621">
      <w:pPr>
        <w:pageBreakBefore w:val="0"/>
        <w:tabs>
          <w:tab w:val="left" w:pos="1464"/>
        </w:tabs>
        <w:wordWrap/>
        <w:overflowPunct/>
        <w:topLinePunct w:val="0"/>
        <w:bidi w:val="0"/>
        <w:spacing w:before="170"/>
        <w:ind w:right="312" w:firstLine="3120" w:firstLineChars="1300"/>
        <w:jc w:val="left"/>
        <w:outlineLvl w:val="9"/>
        <w:rPr>
          <w:rFonts w:hint="eastAsia" w:ascii="宋体" w:hAnsi="宋体" w:eastAsia="宋体" w:cs="宋体"/>
          <w:sz w:val="24"/>
          <w:szCs w:val="24"/>
          <w:lang w:eastAsia="zh-CN"/>
        </w:rPr>
      </w:pPr>
      <w:r>
        <w:rPr>
          <w:rFonts w:hint="eastAsia" w:ascii="宋体" w:hAnsi="宋体" w:eastAsia="宋体" w:cs="宋体"/>
          <w:sz w:val="24"/>
          <w:szCs w:val="24"/>
        </w:rPr>
        <w:t xml:space="preserve">电话： </w:t>
      </w:r>
      <w:r>
        <w:rPr>
          <w:rFonts w:hint="eastAsia" w:ascii="宋体" w:hAnsi="宋体" w:eastAsia="宋体" w:cs="宋体"/>
          <w:sz w:val="24"/>
          <w:szCs w:val="24"/>
          <w:lang w:val="en-US" w:eastAsia="zh-CN"/>
        </w:rPr>
        <w:t xml:space="preserve"> </w:t>
      </w:r>
    </w:p>
    <w:p w14:paraId="6AA8FEA2">
      <w:pPr>
        <w:pageBreakBefore w:val="0"/>
        <w:tabs>
          <w:tab w:val="left" w:pos="1464"/>
        </w:tabs>
        <w:wordWrap/>
        <w:overflowPunct/>
        <w:topLinePunct w:val="0"/>
        <w:bidi w:val="0"/>
        <w:spacing w:before="170"/>
        <w:ind w:right="312" w:firstLine="3120" w:firstLineChars="1300"/>
        <w:jc w:val="left"/>
        <w:outlineLvl w:val="9"/>
        <w:rPr>
          <w:rFonts w:hint="eastAsia" w:ascii="宋体" w:hAnsi="宋体" w:eastAsia="宋体" w:cs="宋体"/>
          <w:sz w:val="24"/>
          <w:szCs w:val="24"/>
          <w:lang w:eastAsia="zh-CN"/>
        </w:rPr>
      </w:pPr>
      <w:r>
        <w:rPr>
          <w:rFonts w:hint="eastAsia" w:ascii="宋体" w:hAnsi="宋体" w:eastAsia="宋体" w:cs="宋体"/>
          <w:sz w:val="24"/>
          <w:szCs w:val="24"/>
        </w:rPr>
        <w:t xml:space="preserve">邮政编码： </w:t>
      </w:r>
      <w:r>
        <w:rPr>
          <w:rFonts w:hint="eastAsia" w:ascii="宋体" w:hAnsi="宋体" w:eastAsia="宋体" w:cs="宋体"/>
          <w:sz w:val="24"/>
          <w:szCs w:val="24"/>
          <w:lang w:val="en-US" w:eastAsia="zh-CN"/>
        </w:rPr>
        <w:t xml:space="preserve"> </w:t>
      </w:r>
    </w:p>
    <w:p w14:paraId="186DEB97">
      <w:pPr>
        <w:pageBreakBefore w:val="0"/>
        <w:wordWrap/>
        <w:overflowPunct/>
        <w:topLinePunct w:val="0"/>
        <w:bidi w:val="0"/>
        <w:spacing w:line="480" w:lineRule="atLeast"/>
        <w:jc w:val="center"/>
        <w:textAlignment w:val="baseline"/>
        <w:outlineLvl w:val="9"/>
        <w:rPr>
          <w:rFonts w:hint="eastAsia" w:ascii="宋体" w:hAnsi="宋体" w:eastAsia="宋体" w:cs="宋体"/>
          <w:sz w:val="24"/>
          <w:szCs w:val="24"/>
        </w:rPr>
      </w:pP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30CA28BC">
      <w:pPr>
        <w:pageBreakBefore w:val="0"/>
        <w:wordWrap/>
        <w:overflowPunct/>
        <w:topLinePunct w:val="0"/>
        <w:bidi w:val="0"/>
        <w:outlineLvl w:val="9"/>
        <w:rPr>
          <w:rFonts w:hint="eastAsia" w:ascii="宋体" w:hAnsi="宋体" w:eastAsia="宋体" w:cs="宋体"/>
          <w:sz w:val="24"/>
          <w:szCs w:val="24"/>
        </w:rPr>
      </w:pPr>
      <w:r>
        <w:rPr>
          <w:rFonts w:hint="eastAsia" w:ascii="宋体" w:hAnsi="宋体" w:eastAsia="宋体" w:cs="宋体"/>
          <w:sz w:val="24"/>
          <w:szCs w:val="24"/>
        </w:rPr>
        <w:br w:type="page"/>
      </w:r>
    </w:p>
    <w:p w14:paraId="10F74F86">
      <w:pPr>
        <w:pageBreakBefore w:val="0"/>
        <w:wordWrap/>
        <w:overflowPunct/>
        <w:topLinePunct w:val="0"/>
        <w:bidi w:val="0"/>
        <w:spacing w:line="480" w:lineRule="atLeast"/>
        <w:jc w:val="center"/>
        <w:textAlignment w:val="baseline"/>
        <w:outlineLvl w:val="9"/>
        <w:rPr>
          <w:rFonts w:ascii="宋体" w:hAnsi="宋体" w:eastAsia="宋体" w:cs="宋体"/>
          <w:b/>
          <w:bCs/>
          <w:sz w:val="32"/>
          <w:szCs w:val="32"/>
        </w:rPr>
      </w:pPr>
      <w:r>
        <w:rPr>
          <w:rFonts w:hint="eastAsia" w:ascii="宋体" w:hAnsi="宋体" w:eastAsia="宋体" w:cs="宋体"/>
          <w:b/>
          <w:bCs/>
          <w:sz w:val="32"/>
          <w:szCs w:val="32"/>
        </w:rPr>
        <w:t>（二）磋商函附录</w:t>
      </w:r>
    </w:p>
    <w:tbl>
      <w:tblPr>
        <w:tblStyle w:val="22"/>
        <w:tblpPr w:leftFromText="180" w:rightFromText="180" w:vertAnchor="text" w:tblpX="-175" w:tblpY="158"/>
        <w:tblW w:w="97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399"/>
        <w:gridCol w:w="2470"/>
        <w:gridCol w:w="1894"/>
        <w:gridCol w:w="2988"/>
      </w:tblGrid>
      <w:tr w14:paraId="3312C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8" w:hRule="atLeast"/>
        </w:trPr>
        <w:tc>
          <w:tcPr>
            <w:tcW w:w="2399" w:type="dxa"/>
            <w:tcBorders>
              <w:top w:val="single" w:color="auto" w:sz="4" w:space="0"/>
              <w:left w:val="single" w:color="auto" w:sz="4" w:space="0"/>
              <w:bottom w:val="single" w:color="auto" w:sz="4" w:space="0"/>
              <w:right w:val="single" w:color="auto" w:sz="4" w:space="0"/>
            </w:tcBorders>
            <w:vAlign w:val="center"/>
          </w:tcPr>
          <w:p w14:paraId="0F4F11CB">
            <w:pPr>
              <w:pageBreakBefore w:val="0"/>
              <w:kinsoku/>
              <w:wordWrap/>
              <w:overflowPunct/>
              <w:topLinePunct w:val="0"/>
              <w:bidi w:val="0"/>
              <w:spacing w:line="360" w:lineRule="auto"/>
              <w:ind w:right="40" w:rightChars="19"/>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7352" w:type="dxa"/>
            <w:gridSpan w:val="3"/>
            <w:tcBorders>
              <w:top w:val="single" w:color="auto" w:sz="4" w:space="0"/>
              <w:left w:val="single" w:color="auto" w:sz="4" w:space="0"/>
              <w:bottom w:val="single" w:color="auto" w:sz="4" w:space="0"/>
              <w:right w:val="single" w:color="auto" w:sz="4" w:space="0"/>
            </w:tcBorders>
            <w:vAlign w:val="center"/>
          </w:tcPr>
          <w:p w14:paraId="0514E471">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r w14:paraId="2DACB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8" w:hRule="atLeast"/>
        </w:trPr>
        <w:tc>
          <w:tcPr>
            <w:tcW w:w="2399" w:type="dxa"/>
            <w:tcBorders>
              <w:top w:val="single" w:color="auto" w:sz="4" w:space="0"/>
              <w:left w:val="single" w:color="auto" w:sz="4" w:space="0"/>
              <w:bottom w:val="single" w:color="auto" w:sz="4" w:space="0"/>
              <w:right w:val="single" w:color="auto" w:sz="4" w:space="0"/>
            </w:tcBorders>
            <w:vAlign w:val="center"/>
          </w:tcPr>
          <w:p w14:paraId="5FB3DE59">
            <w:pPr>
              <w:pageBreakBefore w:val="0"/>
              <w:kinsoku/>
              <w:wordWrap/>
              <w:overflowPunct/>
              <w:topLinePunct w:val="0"/>
              <w:bidi w:val="0"/>
              <w:spacing w:line="360" w:lineRule="auto"/>
              <w:ind w:right="40" w:rightChars="19"/>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p>
        </w:tc>
        <w:tc>
          <w:tcPr>
            <w:tcW w:w="7352" w:type="dxa"/>
            <w:gridSpan w:val="3"/>
            <w:tcBorders>
              <w:top w:val="single" w:color="auto" w:sz="4" w:space="0"/>
              <w:left w:val="single" w:color="auto" w:sz="4" w:space="0"/>
              <w:bottom w:val="single" w:color="auto" w:sz="4" w:space="0"/>
              <w:right w:val="single" w:color="auto" w:sz="4" w:space="0"/>
            </w:tcBorders>
            <w:vAlign w:val="center"/>
          </w:tcPr>
          <w:p w14:paraId="23E6BD36">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r w14:paraId="65B11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57" w:hRule="atLeast"/>
        </w:trPr>
        <w:tc>
          <w:tcPr>
            <w:tcW w:w="2399" w:type="dxa"/>
            <w:tcBorders>
              <w:top w:val="single" w:color="auto" w:sz="4" w:space="0"/>
              <w:left w:val="single" w:color="auto" w:sz="4" w:space="0"/>
              <w:bottom w:val="single" w:color="auto" w:sz="4" w:space="0"/>
              <w:right w:val="single" w:color="auto" w:sz="4" w:space="0"/>
            </w:tcBorders>
            <w:vAlign w:val="center"/>
          </w:tcPr>
          <w:p w14:paraId="6F2477DC">
            <w:pPr>
              <w:pageBreakBefore w:val="0"/>
              <w:kinsoku/>
              <w:wordWrap/>
              <w:overflowPunct/>
              <w:topLinePunct w:val="0"/>
              <w:bidi w:val="0"/>
              <w:spacing w:line="360" w:lineRule="auto"/>
              <w:ind w:right="40" w:rightChars="19"/>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投标报价</w:t>
            </w:r>
          </w:p>
        </w:tc>
        <w:tc>
          <w:tcPr>
            <w:tcW w:w="7352" w:type="dxa"/>
            <w:gridSpan w:val="3"/>
            <w:tcBorders>
              <w:top w:val="single" w:color="auto" w:sz="4" w:space="0"/>
              <w:left w:val="single" w:color="auto" w:sz="4" w:space="0"/>
              <w:bottom w:val="single" w:color="auto" w:sz="4" w:space="0"/>
              <w:right w:val="single" w:color="auto" w:sz="4" w:space="0"/>
            </w:tcBorders>
            <w:vAlign w:val="center"/>
          </w:tcPr>
          <w:p w14:paraId="61AA4369">
            <w:pPr>
              <w:pageBreakBefore w:val="0"/>
              <w:kinsoku/>
              <w:wordWrap/>
              <w:overflowPunct/>
              <w:topLinePunct w:val="0"/>
              <w:bidi w:val="0"/>
              <w:spacing w:line="360" w:lineRule="auto"/>
              <w:ind w:firstLine="240" w:firstLineChars="1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小写：¥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元</w:t>
            </w:r>
          </w:p>
        </w:tc>
      </w:tr>
      <w:tr w14:paraId="36428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6" w:hRule="atLeast"/>
        </w:trPr>
        <w:tc>
          <w:tcPr>
            <w:tcW w:w="2399" w:type="dxa"/>
            <w:vMerge w:val="restart"/>
            <w:tcBorders>
              <w:top w:val="single" w:color="auto" w:sz="4" w:space="0"/>
              <w:left w:val="single" w:color="auto" w:sz="4" w:space="0"/>
              <w:right w:val="single" w:color="auto" w:sz="4" w:space="0"/>
            </w:tcBorders>
            <w:vAlign w:val="center"/>
          </w:tcPr>
          <w:p w14:paraId="4A78D587">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项目负责人姓名</w:t>
            </w:r>
          </w:p>
        </w:tc>
        <w:tc>
          <w:tcPr>
            <w:tcW w:w="2470" w:type="dxa"/>
            <w:vMerge w:val="restart"/>
            <w:tcBorders>
              <w:top w:val="single" w:color="auto" w:sz="4" w:space="0"/>
              <w:left w:val="single" w:color="auto" w:sz="4" w:space="0"/>
              <w:right w:val="single" w:color="auto" w:sz="4" w:space="0"/>
            </w:tcBorders>
            <w:vAlign w:val="center"/>
          </w:tcPr>
          <w:p w14:paraId="1F80DA2A">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p>
        </w:tc>
        <w:tc>
          <w:tcPr>
            <w:tcW w:w="1894" w:type="dxa"/>
            <w:tcBorders>
              <w:top w:val="single" w:color="auto" w:sz="4" w:space="0"/>
              <w:left w:val="single" w:color="auto" w:sz="4" w:space="0"/>
              <w:bottom w:val="single" w:color="auto" w:sz="4" w:space="0"/>
              <w:right w:val="single" w:color="auto" w:sz="4" w:space="0"/>
            </w:tcBorders>
            <w:vAlign w:val="center"/>
          </w:tcPr>
          <w:p w14:paraId="2E608AA1">
            <w:pPr>
              <w:pageBreakBefore w:val="0"/>
              <w:kinsoku/>
              <w:wordWrap/>
              <w:overflowPunct/>
              <w:topLinePunct w:val="0"/>
              <w:bidi w:val="0"/>
              <w:spacing w:line="360" w:lineRule="auto"/>
              <w:jc w:val="center"/>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注册</w:t>
            </w:r>
            <w:r>
              <w:rPr>
                <w:rFonts w:hint="eastAsia" w:asciiTheme="minorEastAsia" w:hAnsiTheme="minorEastAsia" w:cstheme="minorEastAsia"/>
                <w:color w:val="auto"/>
                <w:sz w:val="24"/>
                <w:szCs w:val="24"/>
                <w:highlight w:val="none"/>
                <w:lang w:val="en-US" w:eastAsia="zh-CN"/>
              </w:rPr>
              <w:t>证书及编号</w:t>
            </w:r>
          </w:p>
        </w:tc>
        <w:tc>
          <w:tcPr>
            <w:tcW w:w="2988" w:type="dxa"/>
            <w:tcBorders>
              <w:top w:val="single" w:color="auto" w:sz="4" w:space="0"/>
              <w:left w:val="single" w:color="auto" w:sz="4" w:space="0"/>
              <w:bottom w:val="single" w:color="auto" w:sz="4" w:space="0"/>
              <w:right w:val="single" w:color="auto" w:sz="4" w:space="0"/>
            </w:tcBorders>
            <w:vAlign w:val="center"/>
          </w:tcPr>
          <w:p w14:paraId="4150E957">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r w14:paraId="338EA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30" w:hRule="atLeast"/>
        </w:trPr>
        <w:tc>
          <w:tcPr>
            <w:tcW w:w="2399" w:type="dxa"/>
            <w:vMerge w:val="continue"/>
            <w:tcBorders>
              <w:left w:val="single" w:color="auto" w:sz="4" w:space="0"/>
              <w:bottom w:val="single" w:color="auto" w:sz="4" w:space="0"/>
              <w:right w:val="single" w:color="auto" w:sz="4" w:space="0"/>
            </w:tcBorders>
            <w:vAlign w:val="center"/>
          </w:tcPr>
          <w:p w14:paraId="49E58575">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p>
        </w:tc>
        <w:tc>
          <w:tcPr>
            <w:tcW w:w="2470" w:type="dxa"/>
            <w:vMerge w:val="continue"/>
            <w:tcBorders>
              <w:left w:val="single" w:color="auto" w:sz="4" w:space="0"/>
              <w:bottom w:val="single" w:color="auto" w:sz="4" w:space="0"/>
              <w:right w:val="single" w:color="auto" w:sz="4" w:space="0"/>
            </w:tcBorders>
            <w:vAlign w:val="center"/>
          </w:tcPr>
          <w:p w14:paraId="71A56FA2">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p>
        </w:tc>
        <w:tc>
          <w:tcPr>
            <w:tcW w:w="1894" w:type="dxa"/>
            <w:tcBorders>
              <w:top w:val="single" w:color="auto" w:sz="4" w:space="0"/>
              <w:left w:val="single" w:color="auto" w:sz="4" w:space="0"/>
              <w:bottom w:val="single" w:color="auto" w:sz="4" w:space="0"/>
              <w:right w:val="single" w:color="auto" w:sz="4" w:space="0"/>
            </w:tcBorders>
            <w:vAlign w:val="center"/>
          </w:tcPr>
          <w:p w14:paraId="5A0F3724">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职称</w:t>
            </w:r>
          </w:p>
        </w:tc>
        <w:tc>
          <w:tcPr>
            <w:tcW w:w="2988" w:type="dxa"/>
            <w:tcBorders>
              <w:top w:val="single" w:color="auto" w:sz="4" w:space="0"/>
              <w:left w:val="single" w:color="auto" w:sz="4" w:space="0"/>
              <w:bottom w:val="single" w:color="auto" w:sz="4" w:space="0"/>
              <w:right w:val="single" w:color="auto" w:sz="4" w:space="0"/>
            </w:tcBorders>
            <w:vAlign w:val="center"/>
          </w:tcPr>
          <w:p w14:paraId="0FC187C2">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r w14:paraId="6CE48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8" w:hRule="atLeast"/>
        </w:trPr>
        <w:tc>
          <w:tcPr>
            <w:tcW w:w="2399" w:type="dxa"/>
            <w:tcBorders>
              <w:top w:val="single" w:color="auto" w:sz="4" w:space="0"/>
              <w:left w:val="single" w:color="auto" w:sz="4" w:space="0"/>
              <w:bottom w:val="single" w:color="auto" w:sz="4" w:space="0"/>
              <w:right w:val="single" w:color="auto" w:sz="4" w:space="0"/>
            </w:tcBorders>
            <w:vAlign w:val="center"/>
          </w:tcPr>
          <w:p w14:paraId="100F57AD">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服务周期</w:t>
            </w:r>
          </w:p>
        </w:tc>
        <w:tc>
          <w:tcPr>
            <w:tcW w:w="7352" w:type="dxa"/>
            <w:gridSpan w:val="3"/>
            <w:tcBorders>
              <w:top w:val="single" w:color="auto" w:sz="4" w:space="0"/>
              <w:left w:val="single" w:color="auto" w:sz="4" w:space="0"/>
              <w:bottom w:val="single" w:color="auto" w:sz="4" w:space="0"/>
              <w:right w:val="single" w:color="auto" w:sz="4" w:space="0"/>
            </w:tcBorders>
            <w:vAlign w:val="center"/>
          </w:tcPr>
          <w:p w14:paraId="1BC7C1DB">
            <w:pPr>
              <w:pageBreakBefore w:val="0"/>
              <w:kinsoku/>
              <w:wordWrap/>
              <w:overflowPunct/>
              <w:topLinePunct w:val="0"/>
              <w:bidi w:val="0"/>
              <w:spacing w:line="360" w:lineRule="auto"/>
              <w:ind w:firstLine="360" w:firstLineChars="150"/>
              <w:jc w:val="center"/>
              <w:outlineLvl w:val="9"/>
              <w:rPr>
                <w:rFonts w:hint="eastAsia" w:asciiTheme="minorEastAsia" w:hAnsiTheme="minorEastAsia" w:eastAsiaTheme="minorEastAsia" w:cstheme="minorEastAsia"/>
                <w:color w:val="auto"/>
                <w:sz w:val="24"/>
                <w:szCs w:val="24"/>
                <w:highlight w:val="none"/>
              </w:rPr>
            </w:pPr>
          </w:p>
        </w:tc>
      </w:tr>
      <w:tr w14:paraId="317FA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8" w:hRule="atLeast"/>
        </w:trPr>
        <w:tc>
          <w:tcPr>
            <w:tcW w:w="2399" w:type="dxa"/>
            <w:tcBorders>
              <w:top w:val="single" w:color="auto" w:sz="4" w:space="0"/>
              <w:left w:val="single" w:color="auto" w:sz="4" w:space="0"/>
              <w:bottom w:val="single" w:color="auto" w:sz="4" w:space="0"/>
              <w:right w:val="single" w:color="auto" w:sz="4" w:space="0"/>
            </w:tcBorders>
            <w:vAlign w:val="center"/>
          </w:tcPr>
          <w:p w14:paraId="6939E3F5">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质量要求</w:t>
            </w:r>
          </w:p>
        </w:tc>
        <w:tc>
          <w:tcPr>
            <w:tcW w:w="7352" w:type="dxa"/>
            <w:gridSpan w:val="3"/>
            <w:tcBorders>
              <w:top w:val="single" w:color="auto" w:sz="4" w:space="0"/>
              <w:left w:val="single" w:color="auto" w:sz="4" w:space="0"/>
              <w:bottom w:val="single" w:color="auto" w:sz="4" w:space="0"/>
              <w:right w:val="single" w:color="auto" w:sz="4" w:space="0"/>
            </w:tcBorders>
            <w:vAlign w:val="center"/>
          </w:tcPr>
          <w:p w14:paraId="098D7CC2">
            <w:pPr>
              <w:pageBreakBefore w:val="0"/>
              <w:kinsoku/>
              <w:wordWrap/>
              <w:overflowPunct/>
              <w:topLinePunct w:val="0"/>
              <w:bidi w:val="0"/>
              <w:spacing w:line="360" w:lineRule="auto"/>
              <w:ind w:firstLine="360" w:firstLineChars="150"/>
              <w:jc w:val="center"/>
              <w:outlineLvl w:val="9"/>
              <w:rPr>
                <w:rFonts w:hint="eastAsia" w:asciiTheme="minorEastAsia" w:hAnsiTheme="minorEastAsia" w:eastAsiaTheme="minorEastAsia" w:cstheme="minorEastAsia"/>
                <w:color w:val="auto"/>
                <w:sz w:val="24"/>
                <w:szCs w:val="24"/>
                <w:highlight w:val="none"/>
              </w:rPr>
            </w:pPr>
          </w:p>
        </w:tc>
      </w:tr>
      <w:tr w14:paraId="3EA0C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8" w:hRule="atLeast"/>
        </w:trPr>
        <w:tc>
          <w:tcPr>
            <w:tcW w:w="2399" w:type="dxa"/>
            <w:tcBorders>
              <w:top w:val="single" w:color="auto" w:sz="4" w:space="0"/>
              <w:left w:val="single" w:color="auto" w:sz="4" w:space="0"/>
              <w:bottom w:val="single" w:color="auto" w:sz="4" w:space="0"/>
              <w:right w:val="single" w:color="auto" w:sz="4" w:space="0"/>
            </w:tcBorders>
            <w:vAlign w:val="center"/>
          </w:tcPr>
          <w:p w14:paraId="457FF29D">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52" w:type="dxa"/>
            <w:gridSpan w:val="3"/>
            <w:tcBorders>
              <w:top w:val="single" w:color="auto" w:sz="4" w:space="0"/>
              <w:left w:val="single" w:color="auto" w:sz="4" w:space="0"/>
              <w:bottom w:val="single" w:color="auto" w:sz="4" w:space="0"/>
              <w:right w:val="single" w:color="auto" w:sz="4" w:space="0"/>
            </w:tcBorders>
            <w:vAlign w:val="center"/>
          </w:tcPr>
          <w:p w14:paraId="60B4DA17">
            <w:pPr>
              <w:pageBreakBefore w:val="0"/>
              <w:kinsoku/>
              <w:wordWrap/>
              <w:overflowPunct/>
              <w:topLinePunct w:val="0"/>
              <w:bidi w:val="0"/>
              <w:spacing w:line="360"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r>
      <w:tr w14:paraId="4741B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8" w:hRule="atLeast"/>
        </w:trPr>
        <w:tc>
          <w:tcPr>
            <w:tcW w:w="2399" w:type="dxa"/>
            <w:tcBorders>
              <w:top w:val="single" w:color="auto" w:sz="4" w:space="0"/>
              <w:left w:val="single" w:color="auto" w:sz="4" w:space="0"/>
              <w:bottom w:val="single" w:color="auto" w:sz="4" w:space="0"/>
              <w:right w:val="single" w:color="auto" w:sz="4" w:space="0"/>
            </w:tcBorders>
            <w:vAlign w:val="center"/>
          </w:tcPr>
          <w:p w14:paraId="24DED0EA">
            <w:pPr>
              <w:pageBreakBefore w:val="0"/>
              <w:kinsoku/>
              <w:wordWrap/>
              <w:overflowPunct/>
              <w:topLinePunct w:val="0"/>
              <w:bidi w:val="0"/>
              <w:spacing w:line="360" w:lineRule="auto"/>
              <w:jc w:val="center"/>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项目联系人及电话</w:t>
            </w:r>
          </w:p>
        </w:tc>
        <w:tc>
          <w:tcPr>
            <w:tcW w:w="7352" w:type="dxa"/>
            <w:gridSpan w:val="3"/>
            <w:tcBorders>
              <w:top w:val="single" w:color="auto" w:sz="4" w:space="0"/>
              <w:left w:val="single" w:color="auto" w:sz="4" w:space="0"/>
              <w:bottom w:val="single" w:color="auto" w:sz="4" w:space="0"/>
              <w:right w:val="single" w:color="auto" w:sz="4" w:space="0"/>
            </w:tcBorders>
            <w:vAlign w:val="center"/>
          </w:tcPr>
          <w:p w14:paraId="05066536">
            <w:pPr>
              <w:pageBreakBefore w:val="0"/>
              <w:kinsoku/>
              <w:wordWrap/>
              <w:overflowPunct/>
              <w:topLinePunct w:val="0"/>
              <w:bidi w:val="0"/>
              <w:spacing w:line="360"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r>
      <w:tr w14:paraId="1110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8" w:hRule="atLeast"/>
        </w:trPr>
        <w:tc>
          <w:tcPr>
            <w:tcW w:w="2399" w:type="dxa"/>
            <w:tcBorders>
              <w:top w:val="single" w:color="auto" w:sz="4" w:space="0"/>
              <w:left w:val="single" w:color="auto" w:sz="4" w:space="0"/>
              <w:bottom w:val="single" w:color="auto" w:sz="4" w:space="0"/>
              <w:right w:val="single" w:color="auto" w:sz="4" w:space="0"/>
            </w:tcBorders>
            <w:vAlign w:val="center"/>
          </w:tcPr>
          <w:p w14:paraId="454B7161">
            <w:pPr>
              <w:pageBreakBefore w:val="0"/>
              <w:kinsoku/>
              <w:wordWrap/>
              <w:overflowPunct/>
              <w:topLinePunct w:val="0"/>
              <w:bidi w:val="0"/>
              <w:spacing w:line="360" w:lineRule="auto"/>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备注（如有）</w:t>
            </w:r>
          </w:p>
        </w:tc>
        <w:tc>
          <w:tcPr>
            <w:tcW w:w="7352" w:type="dxa"/>
            <w:gridSpan w:val="3"/>
            <w:tcBorders>
              <w:top w:val="single" w:color="auto" w:sz="4" w:space="0"/>
              <w:left w:val="single" w:color="auto" w:sz="4" w:space="0"/>
              <w:bottom w:val="single" w:color="auto" w:sz="4" w:space="0"/>
              <w:right w:val="single" w:color="auto" w:sz="4" w:space="0"/>
            </w:tcBorders>
            <w:vAlign w:val="center"/>
          </w:tcPr>
          <w:p w14:paraId="24B2BE5B">
            <w:pPr>
              <w:pageBreakBefore w:val="0"/>
              <w:kinsoku/>
              <w:wordWrap/>
              <w:overflowPunct/>
              <w:topLinePunct w:val="0"/>
              <w:bidi w:val="0"/>
              <w:spacing w:line="360" w:lineRule="auto"/>
              <w:ind w:firstLine="480" w:firstLineChars="200"/>
              <w:jc w:val="center"/>
              <w:outlineLvl w:val="9"/>
              <w:rPr>
                <w:rFonts w:hint="eastAsia" w:asciiTheme="minorEastAsia" w:hAnsiTheme="minorEastAsia" w:eastAsiaTheme="minorEastAsia" w:cstheme="minorEastAsia"/>
                <w:color w:val="auto"/>
                <w:sz w:val="24"/>
                <w:szCs w:val="24"/>
                <w:highlight w:val="none"/>
              </w:rPr>
            </w:pPr>
          </w:p>
        </w:tc>
      </w:tr>
    </w:tbl>
    <w:p w14:paraId="3BC9890E">
      <w:pPr>
        <w:pageBreakBefore w:val="0"/>
        <w:wordWrap/>
        <w:overflowPunct/>
        <w:topLinePunct w:val="0"/>
        <w:bidi w:val="0"/>
        <w:spacing w:before="168" w:line="360" w:lineRule="auto"/>
        <w:ind w:left="472"/>
        <w:outlineLvl w:val="9"/>
        <w:rPr>
          <w:rFonts w:hint="eastAsia" w:ascii="宋体" w:hAnsi="宋体" w:eastAsia="宋体" w:cs="宋体"/>
          <w:sz w:val="24"/>
          <w:szCs w:val="24"/>
        </w:rPr>
      </w:pPr>
    </w:p>
    <w:p w14:paraId="7891C9C4">
      <w:pPr>
        <w:pageBreakBefore w:val="0"/>
        <w:wordWrap/>
        <w:overflowPunct/>
        <w:topLinePunct w:val="0"/>
        <w:bidi w:val="0"/>
        <w:spacing w:before="168" w:line="360" w:lineRule="auto"/>
        <w:ind w:left="472"/>
        <w:outlineLvl w:val="9"/>
        <w:rPr>
          <w:rFonts w:ascii="宋体" w:hAnsi="宋体" w:eastAsia="宋体" w:cs="宋体"/>
          <w:sz w:val="24"/>
          <w:szCs w:val="24"/>
        </w:rPr>
      </w:pPr>
      <w:r>
        <w:rPr>
          <w:rFonts w:hint="eastAsia" w:ascii="宋体" w:hAnsi="宋体" w:eastAsia="宋体" w:cs="宋体"/>
          <w:sz w:val="24"/>
          <w:szCs w:val="24"/>
        </w:rPr>
        <w:t>供应商：（电子签章）</w:t>
      </w:r>
    </w:p>
    <w:p w14:paraId="61030456">
      <w:pPr>
        <w:pageBreakBefore w:val="0"/>
        <w:wordWrap/>
        <w:overflowPunct/>
        <w:topLinePunct w:val="0"/>
        <w:bidi w:val="0"/>
        <w:spacing w:line="360" w:lineRule="auto"/>
        <w:ind w:left="472"/>
        <w:outlineLvl w:val="9"/>
        <w:rPr>
          <w:rFonts w:ascii="宋体" w:hAnsi="宋体" w:eastAsia="宋体" w:cs="宋体"/>
          <w:sz w:val="24"/>
          <w:szCs w:val="24"/>
        </w:rPr>
      </w:pPr>
      <w:r>
        <w:rPr>
          <w:rFonts w:hint="eastAsia" w:ascii="宋体" w:hAnsi="宋体" w:eastAsia="宋体" w:cs="宋体"/>
          <w:sz w:val="24"/>
          <w:szCs w:val="24"/>
        </w:rPr>
        <w:t>法定代表人：（电子签章）</w:t>
      </w:r>
    </w:p>
    <w:p w14:paraId="0DD2DA62">
      <w:pPr>
        <w:pageBreakBefore w:val="0"/>
        <w:tabs>
          <w:tab w:val="left" w:pos="1944"/>
          <w:tab w:val="left" w:pos="3146"/>
          <w:tab w:val="left" w:pos="4407"/>
        </w:tabs>
        <w:wordWrap/>
        <w:overflowPunct/>
        <w:topLinePunct w:val="0"/>
        <w:bidi w:val="0"/>
        <w:spacing w:line="360" w:lineRule="auto"/>
        <w:ind w:left="472"/>
        <w:outlineLvl w:val="9"/>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期</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7DEBA9D1">
      <w:pPr>
        <w:pageBreakBefore w:val="0"/>
        <w:wordWrap/>
        <w:overflowPunct/>
        <w:topLinePunct w:val="0"/>
        <w:bidi w:val="0"/>
        <w:spacing w:before="58"/>
        <w:ind w:left="321" w:right="17"/>
        <w:jc w:val="center"/>
        <w:outlineLvl w:val="9"/>
        <w:rPr>
          <w:rFonts w:ascii="Calibri" w:hAnsi="Calibri" w:eastAsia="宋体" w:cs="Times New Roman"/>
          <w:b/>
          <w:sz w:val="32"/>
          <w:szCs w:val="28"/>
        </w:rPr>
      </w:pPr>
      <w:r>
        <w:rPr>
          <w:rFonts w:hint="eastAsia" w:ascii="宋体" w:hAnsi="宋体" w:eastAsia="宋体" w:cs="宋体"/>
          <w:sz w:val="24"/>
          <w:szCs w:val="24"/>
        </w:rPr>
        <w:br w:type="page"/>
      </w:r>
      <w:r>
        <w:rPr>
          <w:rFonts w:hint="eastAsia" w:ascii="Calibri" w:hAnsi="Calibri" w:eastAsia="宋体" w:cs="Times New Roman"/>
          <w:b/>
          <w:sz w:val="32"/>
          <w:szCs w:val="28"/>
        </w:rPr>
        <w:t>二</w:t>
      </w:r>
      <w:r>
        <w:rPr>
          <w:rFonts w:ascii="Calibri" w:hAnsi="Calibri" w:eastAsia="宋体" w:cs="Times New Roman"/>
          <w:b/>
          <w:sz w:val="32"/>
          <w:szCs w:val="28"/>
        </w:rPr>
        <w:t>、法定代表人身份证明</w:t>
      </w:r>
    </w:p>
    <w:p w14:paraId="3E8811F9">
      <w:pPr>
        <w:pageBreakBefore w:val="0"/>
        <w:wordWrap/>
        <w:overflowPunct/>
        <w:topLinePunct w:val="0"/>
        <w:bidi w:val="0"/>
        <w:spacing w:before="8" w:line="480" w:lineRule="auto"/>
        <w:outlineLvl w:val="9"/>
        <w:rPr>
          <w:rFonts w:ascii="宋体" w:hAnsi="宋体" w:eastAsia="宋体" w:cs="宋体"/>
          <w:b/>
          <w:sz w:val="23"/>
          <w:szCs w:val="23"/>
        </w:rPr>
      </w:pPr>
    </w:p>
    <w:p w14:paraId="4212BF3F">
      <w:pPr>
        <w:pageBreakBefore w:val="0"/>
        <w:tabs>
          <w:tab w:val="left" w:pos="2789"/>
          <w:tab w:val="left" w:pos="3838"/>
          <w:tab w:val="left" w:pos="4887"/>
        </w:tabs>
        <w:wordWrap/>
        <w:overflowPunct/>
        <w:topLinePunct w:val="0"/>
        <w:bidi w:val="0"/>
        <w:spacing w:before="2" w:line="480" w:lineRule="auto"/>
        <w:ind w:left="686"/>
        <w:outlineLvl w:val="9"/>
        <w:rPr>
          <w:rFonts w:ascii="宋体" w:hAnsi="宋体" w:eastAsia="宋体" w:cs="宋体"/>
          <w:sz w:val="24"/>
          <w:szCs w:val="24"/>
        </w:rPr>
      </w:pPr>
      <w:r>
        <w:rPr>
          <w:rFonts w:ascii="宋体" w:hAnsi="宋体" w:eastAsia="宋体" w:cs="宋体"/>
          <w:sz w:val="24"/>
          <w:szCs w:val="24"/>
        </w:rPr>
        <w:t>供应商名称：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56F3CBF">
      <w:pPr>
        <w:pageBreakBefore w:val="0"/>
        <w:tabs>
          <w:tab w:val="left" w:pos="2789"/>
          <w:tab w:val="left" w:pos="3838"/>
          <w:tab w:val="left" w:pos="4887"/>
        </w:tabs>
        <w:wordWrap/>
        <w:overflowPunct/>
        <w:topLinePunct w:val="0"/>
        <w:bidi w:val="0"/>
        <w:spacing w:before="2" w:line="480" w:lineRule="auto"/>
        <w:ind w:left="686"/>
        <w:outlineLvl w:val="9"/>
        <w:rPr>
          <w:rFonts w:ascii="宋体" w:hAnsi="宋体" w:eastAsia="宋体" w:cs="宋体"/>
          <w:sz w:val="24"/>
          <w:szCs w:val="24"/>
        </w:rPr>
      </w:pPr>
      <w:r>
        <w:rPr>
          <w:rFonts w:ascii="宋体" w:hAnsi="宋体" w:eastAsia="宋体" w:cs="宋体"/>
          <w:sz w:val="24"/>
          <w:szCs w:val="24"/>
        </w:rPr>
        <w:t>单位性质：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00B2C8C">
      <w:pPr>
        <w:pageBreakBefore w:val="0"/>
        <w:tabs>
          <w:tab w:val="left" w:pos="2789"/>
          <w:tab w:val="left" w:pos="3838"/>
          <w:tab w:val="left" w:pos="4887"/>
        </w:tabs>
        <w:wordWrap/>
        <w:overflowPunct/>
        <w:topLinePunct w:val="0"/>
        <w:bidi w:val="0"/>
        <w:spacing w:before="2" w:line="480" w:lineRule="auto"/>
        <w:ind w:left="686"/>
        <w:outlineLvl w:val="9"/>
        <w:rPr>
          <w:rFonts w:ascii="宋体" w:hAnsi="宋体" w:eastAsia="宋体" w:cs="宋体"/>
          <w:sz w:val="24"/>
          <w:szCs w:val="24"/>
          <w:u w:val="single"/>
        </w:rPr>
      </w:pPr>
      <w:r>
        <w:rPr>
          <w:rFonts w:ascii="宋体" w:hAnsi="宋体" w:eastAsia="宋体" w:cs="宋体"/>
          <w:sz w:val="24"/>
          <w:szCs w:val="24"/>
        </w:rPr>
        <w:t>地址：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BFBB9E7">
      <w:pPr>
        <w:pageBreakBefore w:val="0"/>
        <w:tabs>
          <w:tab w:val="left" w:pos="2789"/>
          <w:tab w:val="left" w:pos="3838"/>
          <w:tab w:val="left" w:pos="4887"/>
        </w:tabs>
        <w:wordWrap/>
        <w:overflowPunct/>
        <w:topLinePunct w:val="0"/>
        <w:bidi w:val="0"/>
        <w:spacing w:before="2" w:line="480" w:lineRule="auto"/>
        <w:ind w:left="686"/>
        <w:outlineLvl w:val="9"/>
        <w:rPr>
          <w:rFonts w:ascii="宋体" w:hAnsi="宋体" w:eastAsia="宋体" w:cs="宋体"/>
          <w:sz w:val="24"/>
          <w:szCs w:val="24"/>
        </w:rPr>
      </w:pPr>
      <w:r>
        <w:rPr>
          <w:rFonts w:ascii="宋体" w:hAnsi="宋体" w:eastAsia="宋体" w:cs="宋体"/>
          <w:sz w:val="24"/>
          <w:szCs w:val="24"/>
        </w:rPr>
        <w:t>成立</w:t>
      </w:r>
      <w:r>
        <w:rPr>
          <w:rFonts w:ascii="宋体" w:hAnsi="宋体" w:eastAsia="宋体" w:cs="宋体"/>
          <w:spacing w:val="-3"/>
          <w:sz w:val="24"/>
          <w:szCs w:val="24"/>
        </w:rPr>
        <w:t>时</w:t>
      </w:r>
      <w:r>
        <w:rPr>
          <w:rFonts w:ascii="宋体" w:hAnsi="宋体" w:eastAsia="宋体" w:cs="宋体"/>
          <w:sz w:val="24"/>
          <w:szCs w:val="24"/>
        </w:rPr>
        <w:t>间</w:t>
      </w:r>
      <w:r>
        <w:rPr>
          <w:rFonts w:ascii="宋体" w:hAnsi="宋体" w:eastAsia="宋体" w:cs="宋体"/>
          <w:spacing w:val="-3"/>
          <w:sz w:val="24"/>
          <w:szCs w:val="24"/>
        </w:rPr>
        <w:t>：</w:t>
      </w:r>
      <w:r>
        <w:rPr>
          <w:rFonts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年</w:t>
      </w:r>
      <w:r>
        <w:rPr>
          <w:rFonts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日</w:t>
      </w:r>
    </w:p>
    <w:p w14:paraId="205C1319">
      <w:pPr>
        <w:pageBreakBefore w:val="0"/>
        <w:wordWrap/>
        <w:overflowPunct/>
        <w:topLinePunct w:val="0"/>
        <w:bidi w:val="0"/>
        <w:spacing w:before="72" w:line="480" w:lineRule="auto"/>
        <w:ind w:left="686"/>
        <w:outlineLvl w:val="9"/>
        <w:rPr>
          <w:rFonts w:ascii="宋体" w:hAnsi="宋体" w:eastAsia="宋体" w:cs="宋体"/>
          <w:sz w:val="24"/>
          <w:szCs w:val="24"/>
        </w:rPr>
      </w:pPr>
      <w:r>
        <w:rPr>
          <w:rFonts w:ascii="宋体" w:hAnsi="宋体" w:eastAsia="宋体" w:cs="宋体"/>
          <w:sz w:val="24"/>
          <w:szCs w:val="24"/>
        </w:rPr>
        <w:t>经营期限：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9B93B8">
      <w:pPr>
        <w:pageBreakBefore w:val="0"/>
        <w:tabs>
          <w:tab w:val="left" w:pos="2311"/>
          <w:tab w:val="left" w:pos="3944"/>
          <w:tab w:val="left" w:pos="5412"/>
        </w:tabs>
        <w:wordWrap/>
        <w:overflowPunct/>
        <w:topLinePunct w:val="0"/>
        <w:bidi w:val="0"/>
        <w:spacing w:line="480" w:lineRule="auto"/>
        <w:ind w:left="686"/>
        <w:outlineLvl w:val="9"/>
        <w:rPr>
          <w:rFonts w:ascii="宋体" w:hAnsi="宋体" w:eastAsia="宋体" w:cs="宋体"/>
          <w:sz w:val="24"/>
          <w:szCs w:val="24"/>
        </w:rPr>
      </w:pPr>
      <w:r>
        <w:rPr>
          <w:rFonts w:ascii="宋体" w:hAnsi="宋体" w:eastAsia="宋体" w:cs="宋体"/>
          <w:sz w:val="24"/>
          <w:szCs w:val="24"/>
        </w:rPr>
        <w:t>姓名</w:t>
      </w:r>
      <w:r>
        <w:rPr>
          <w:rFonts w:ascii="宋体" w:hAnsi="宋体" w:eastAsia="宋体" w:cs="宋体"/>
          <w:spacing w:val="-3"/>
          <w:sz w:val="24"/>
          <w:szCs w:val="24"/>
        </w:rPr>
        <w:t>：</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性</w:t>
      </w:r>
      <w:r>
        <w:rPr>
          <w:rFonts w:ascii="宋体" w:hAnsi="宋体" w:eastAsia="宋体" w:cs="宋体"/>
          <w:sz w:val="24"/>
          <w:szCs w:val="24"/>
        </w:rPr>
        <w:t>别</w:t>
      </w:r>
      <w:r>
        <w:rPr>
          <w:rFonts w:ascii="宋体" w:hAnsi="宋体" w:eastAsia="宋体" w:cs="宋体"/>
          <w:spacing w:val="-3"/>
          <w:sz w:val="24"/>
          <w:szCs w:val="24"/>
        </w:rPr>
        <w:t>：</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年</w:t>
      </w:r>
      <w:r>
        <w:rPr>
          <w:rFonts w:ascii="宋体" w:hAnsi="宋体" w:eastAsia="宋体" w:cs="宋体"/>
          <w:sz w:val="24"/>
          <w:szCs w:val="24"/>
        </w:rPr>
        <w:t>龄</w:t>
      </w:r>
      <w:r>
        <w:rPr>
          <w:rFonts w:ascii="宋体" w:hAnsi="宋体" w:eastAsia="宋体" w:cs="宋体"/>
          <w:spacing w:val="-3"/>
          <w:sz w:val="24"/>
          <w:szCs w:val="24"/>
        </w:rPr>
        <w:t>：</w:t>
      </w:r>
      <w:r>
        <w:rPr>
          <w:rFonts w:hint="eastAsia" w:ascii="宋体" w:hAnsi="宋体" w:eastAsia="宋体" w:cs="宋体"/>
          <w:spacing w:val="-3"/>
          <w:sz w:val="24"/>
          <w:szCs w:val="24"/>
          <w:u w:val="single"/>
          <w:lang w:val="en-US" w:eastAsia="zh-CN"/>
        </w:rPr>
        <w:t xml:space="preserve">    </w:t>
      </w:r>
      <w:r>
        <w:rPr>
          <w:rFonts w:ascii="宋体" w:hAnsi="宋体" w:eastAsia="宋体" w:cs="宋体"/>
          <w:sz w:val="24"/>
          <w:szCs w:val="24"/>
        </w:rPr>
        <w:t>职务：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ascii="宋体" w:hAnsi="宋体" w:eastAsia="宋体" w:cs="宋体"/>
          <w:sz w:val="24"/>
          <w:szCs w:val="24"/>
        </w:rPr>
        <w:t>系</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ascii="宋体" w:hAnsi="宋体" w:eastAsia="宋体" w:cs="宋体"/>
          <w:sz w:val="24"/>
          <w:szCs w:val="24"/>
        </w:rPr>
        <w:t>（</w:t>
      </w:r>
      <w:r>
        <w:rPr>
          <w:rFonts w:ascii="宋体" w:hAnsi="宋体" w:eastAsia="宋体" w:cs="宋体"/>
          <w:spacing w:val="-3"/>
          <w:sz w:val="24"/>
          <w:szCs w:val="24"/>
        </w:rPr>
        <w:t>供</w:t>
      </w:r>
      <w:r>
        <w:rPr>
          <w:rFonts w:ascii="宋体" w:hAnsi="宋体" w:eastAsia="宋体" w:cs="宋体"/>
          <w:sz w:val="24"/>
          <w:szCs w:val="24"/>
        </w:rPr>
        <w:t>应</w:t>
      </w:r>
      <w:r>
        <w:rPr>
          <w:rFonts w:ascii="宋体" w:hAnsi="宋体" w:eastAsia="宋体" w:cs="宋体"/>
          <w:spacing w:val="-3"/>
          <w:sz w:val="24"/>
          <w:szCs w:val="24"/>
        </w:rPr>
        <w:t>商</w:t>
      </w:r>
      <w:r>
        <w:rPr>
          <w:rFonts w:ascii="宋体" w:hAnsi="宋体" w:eastAsia="宋体" w:cs="宋体"/>
          <w:sz w:val="24"/>
          <w:szCs w:val="24"/>
        </w:rPr>
        <w:t>名</w:t>
      </w:r>
      <w:r>
        <w:rPr>
          <w:rFonts w:ascii="宋体" w:hAnsi="宋体" w:eastAsia="宋体" w:cs="宋体"/>
          <w:spacing w:val="-3"/>
          <w:sz w:val="24"/>
          <w:szCs w:val="24"/>
        </w:rPr>
        <w:t>称）</w:t>
      </w:r>
      <w:r>
        <w:rPr>
          <w:rFonts w:ascii="宋体" w:hAnsi="宋体" w:eastAsia="宋体" w:cs="宋体"/>
          <w:sz w:val="24"/>
          <w:szCs w:val="24"/>
        </w:rPr>
        <w:t>的法</w:t>
      </w:r>
      <w:r>
        <w:rPr>
          <w:rFonts w:ascii="宋体" w:hAnsi="宋体" w:eastAsia="宋体" w:cs="宋体"/>
          <w:spacing w:val="-3"/>
          <w:sz w:val="24"/>
          <w:szCs w:val="24"/>
        </w:rPr>
        <w:t>定</w:t>
      </w:r>
      <w:r>
        <w:rPr>
          <w:rFonts w:ascii="宋体" w:hAnsi="宋体" w:eastAsia="宋体" w:cs="宋体"/>
          <w:sz w:val="24"/>
          <w:szCs w:val="24"/>
        </w:rPr>
        <w:t>代</w:t>
      </w:r>
      <w:r>
        <w:rPr>
          <w:rFonts w:ascii="宋体" w:hAnsi="宋体" w:eastAsia="宋体" w:cs="宋体"/>
          <w:spacing w:val="-3"/>
          <w:sz w:val="24"/>
          <w:szCs w:val="24"/>
        </w:rPr>
        <w:t>表</w:t>
      </w:r>
      <w:r>
        <w:rPr>
          <w:rFonts w:ascii="宋体" w:hAnsi="宋体" w:eastAsia="宋体" w:cs="宋体"/>
          <w:sz w:val="24"/>
          <w:szCs w:val="24"/>
        </w:rPr>
        <w:t>人。</w:t>
      </w:r>
    </w:p>
    <w:p w14:paraId="614FA3EC">
      <w:pPr>
        <w:pageBreakBefore w:val="0"/>
        <w:wordWrap/>
        <w:overflowPunct/>
        <w:topLinePunct w:val="0"/>
        <w:bidi w:val="0"/>
        <w:spacing w:before="11"/>
        <w:outlineLvl w:val="9"/>
        <w:rPr>
          <w:rFonts w:ascii="宋体" w:hAnsi="宋体" w:eastAsia="宋体" w:cs="宋体"/>
          <w:sz w:val="24"/>
          <w:szCs w:val="24"/>
        </w:rPr>
      </w:pPr>
    </w:p>
    <w:p w14:paraId="353DF070">
      <w:pPr>
        <w:pageBreakBefore w:val="0"/>
        <w:wordWrap/>
        <w:overflowPunct/>
        <w:topLinePunct w:val="0"/>
        <w:bidi w:val="0"/>
        <w:spacing w:before="71"/>
        <w:ind w:left="1102"/>
        <w:outlineLvl w:val="9"/>
        <w:rPr>
          <w:rFonts w:ascii="宋体" w:hAnsi="宋体" w:eastAsia="宋体" w:cs="宋体"/>
          <w:sz w:val="24"/>
          <w:szCs w:val="24"/>
        </w:rPr>
      </w:pPr>
      <w:r>
        <w:rPr>
          <w:rFonts w:ascii="宋体" w:hAnsi="宋体" w:eastAsia="宋体" w:cs="宋体"/>
          <w:sz w:val="24"/>
          <w:szCs w:val="24"/>
        </w:rPr>
        <w:t>特此证明。</w:t>
      </w:r>
    </w:p>
    <w:p w14:paraId="37F506D8">
      <w:pPr>
        <w:pageBreakBefore w:val="0"/>
        <w:wordWrap/>
        <w:overflowPunct/>
        <w:topLinePunct w:val="0"/>
        <w:bidi w:val="0"/>
        <w:spacing w:before="4"/>
        <w:outlineLvl w:val="9"/>
        <w:rPr>
          <w:rFonts w:ascii="宋体" w:hAnsi="宋体" w:eastAsia="宋体" w:cs="宋体"/>
          <w:sz w:val="24"/>
          <w:szCs w:val="24"/>
        </w:rPr>
      </w:pPr>
    </w:p>
    <w:p w14:paraId="69AEAF1E">
      <w:pPr>
        <w:pageBreakBefore w:val="0"/>
        <w:wordWrap/>
        <w:overflowPunct/>
        <w:topLinePunct w:val="0"/>
        <w:bidi w:val="0"/>
        <w:ind w:left="682"/>
        <w:outlineLvl w:val="9"/>
        <w:rPr>
          <w:rFonts w:ascii="宋体" w:hAnsi="宋体" w:eastAsia="宋体" w:cs="宋体"/>
          <w:sz w:val="24"/>
          <w:szCs w:val="24"/>
        </w:rPr>
      </w:pPr>
      <w:r>
        <w:rPr>
          <w:rFonts w:ascii="宋体" w:hAnsi="宋体" w:eastAsia="宋体" w:cs="宋体"/>
          <w:sz w:val="24"/>
          <w:szCs w:val="24"/>
        </w:rPr>
        <w:t>附：法定代表人身份证复印件</w:t>
      </w:r>
    </w:p>
    <w:p w14:paraId="09BC0701">
      <w:pPr>
        <w:pageBreakBefore w:val="0"/>
        <w:wordWrap/>
        <w:overflowPunct/>
        <w:topLinePunct w:val="0"/>
        <w:bidi w:val="0"/>
        <w:outlineLvl w:val="9"/>
        <w:rPr>
          <w:rFonts w:ascii="宋体" w:hAnsi="宋体" w:eastAsia="宋体" w:cs="宋体"/>
          <w:sz w:val="24"/>
          <w:szCs w:val="24"/>
        </w:rPr>
      </w:pPr>
    </w:p>
    <w:p w14:paraId="5D36C30E">
      <w:pPr>
        <w:pageBreakBefore w:val="0"/>
        <w:wordWrap/>
        <w:overflowPunct/>
        <w:topLinePunct w:val="0"/>
        <w:bidi w:val="0"/>
        <w:outlineLvl w:val="9"/>
        <w:rPr>
          <w:rFonts w:ascii="宋体" w:hAnsi="宋体" w:eastAsia="宋体" w:cs="宋体"/>
          <w:sz w:val="24"/>
          <w:szCs w:val="24"/>
        </w:rPr>
      </w:pPr>
    </w:p>
    <w:p w14:paraId="6DF88ACC">
      <w:pPr>
        <w:pageBreakBefore w:val="0"/>
        <w:wordWrap/>
        <w:overflowPunct/>
        <w:topLinePunct w:val="0"/>
        <w:bidi w:val="0"/>
        <w:outlineLvl w:val="9"/>
        <w:rPr>
          <w:rFonts w:ascii="宋体" w:hAnsi="宋体" w:eastAsia="宋体" w:cs="宋体"/>
          <w:sz w:val="24"/>
          <w:szCs w:val="24"/>
        </w:rPr>
      </w:pPr>
    </w:p>
    <w:p w14:paraId="1A789F1A">
      <w:pPr>
        <w:pageBreakBefore w:val="0"/>
        <w:wordWrap/>
        <w:overflowPunct/>
        <w:topLinePunct w:val="0"/>
        <w:bidi w:val="0"/>
        <w:outlineLvl w:val="9"/>
        <w:rPr>
          <w:rFonts w:ascii="宋体" w:hAnsi="宋体" w:eastAsia="宋体" w:cs="宋体"/>
          <w:sz w:val="24"/>
          <w:szCs w:val="24"/>
        </w:rPr>
      </w:pPr>
    </w:p>
    <w:p w14:paraId="0B640E1A">
      <w:pPr>
        <w:pageBreakBefore w:val="0"/>
        <w:wordWrap/>
        <w:overflowPunct/>
        <w:topLinePunct w:val="0"/>
        <w:bidi w:val="0"/>
        <w:outlineLvl w:val="9"/>
        <w:rPr>
          <w:rFonts w:ascii="宋体" w:hAnsi="宋体" w:eastAsia="宋体" w:cs="宋体"/>
          <w:sz w:val="24"/>
          <w:szCs w:val="24"/>
        </w:rPr>
      </w:pPr>
    </w:p>
    <w:p w14:paraId="7A7692BB">
      <w:pPr>
        <w:pageBreakBefore w:val="0"/>
        <w:wordWrap/>
        <w:overflowPunct/>
        <w:topLinePunct w:val="0"/>
        <w:bidi w:val="0"/>
        <w:spacing w:before="5"/>
        <w:outlineLvl w:val="9"/>
        <w:rPr>
          <w:rFonts w:ascii="宋体" w:hAnsi="宋体" w:eastAsia="宋体" w:cs="宋体"/>
          <w:sz w:val="24"/>
          <w:szCs w:val="24"/>
        </w:rPr>
      </w:pPr>
    </w:p>
    <w:p w14:paraId="27C90C10">
      <w:pPr>
        <w:pageBreakBefore w:val="0"/>
        <w:tabs>
          <w:tab w:val="left" w:pos="5616"/>
        </w:tabs>
        <w:wordWrap/>
        <w:overflowPunct/>
        <w:topLinePunct w:val="0"/>
        <w:bidi w:val="0"/>
        <w:ind w:left="2993"/>
        <w:outlineLvl w:val="9"/>
        <w:rPr>
          <w:rFonts w:ascii="宋体" w:hAnsi="宋体" w:eastAsia="宋体" w:cs="宋体"/>
          <w:sz w:val="24"/>
          <w:szCs w:val="24"/>
        </w:rPr>
      </w:pPr>
      <w:r>
        <w:rPr>
          <w:rFonts w:ascii="宋体" w:hAnsi="宋体" w:eastAsia="宋体" w:cs="宋体"/>
          <w:spacing w:val="-3"/>
          <w:sz w:val="24"/>
          <w:szCs w:val="24"/>
        </w:rPr>
        <w:t>供</w:t>
      </w:r>
      <w:r>
        <w:rPr>
          <w:rFonts w:ascii="宋体" w:hAnsi="宋体" w:eastAsia="宋体" w:cs="宋体"/>
          <w:sz w:val="24"/>
          <w:szCs w:val="24"/>
        </w:rPr>
        <w:t>应</w:t>
      </w:r>
      <w:r>
        <w:rPr>
          <w:rFonts w:ascii="宋体" w:hAnsi="宋体" w:eastAsia="宋体" w:cs="宋体"/>
          <w:spacing w:val="-3"/>
          <w:sz w:val="24"/>
          <w:szCs w:val="24"/>
        </w:rPr>
        <w:t>商</w:t>
      </w:r>
      <w:r>
        <w:rPr>
          <w:rFonts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r>
        <w:rPr>
          <w:rFonts w:hint="eastAsia" w:ascii="宋体" w:hAnsi="宋体" w:eastAsia="宋体" w:cs="宋体"/>
          <w:spacing w:val="-3"/>
          <w:sz w:val="24"/>
          <w:szCs w:val="24"/>
        </w:rPr>
        <w:t>电子签章</w:t>
      </w:r>
      <w:r>
        <w:rPr>
          <w:rFonts w:ascii="宋体" w:hAnsi="宋体" w:eastAsia="宋体" w:cs="宋体"/>
          <w:sz w:val="24"/>
          <w:szCs w:val="24"/>
        </w:rPr>
        <w:t>）</w:t>
      </w:r>
    </w:p>
    <w:p w14:paraId="476983FB">
      <w:pPr>
        <w:pageBreakBefore w:val="0"/>
        <w:wordWrap/>
        <w:overflowPunct/>
        <w:topLinePunct w:val="0"/>
        <w:bidi w:val="0"/>
        <w:spacing w:before="11"/>
        <w:outlineLvl w:val="9"/>
        <w:rPr>
          <w:rFonts w:ascii="宋体" w:hAnsi="宋体" w:eastAsia="宋体" w:cs="宋体"/>
          <w:sz w:val="24"/>
          <w:szCs w:val="24"/>
        </w:rPr>
      </w:pPr>
    </w:p>
    <w:p w14:paraId="05FD4507">
      <w:pPr>
        <w:pageBreakBefore w:val="0"/>
        <w:wordWrap/>
        <w:overflowPunct/>
        <w:topLinePunct w:val="0"/>
        <w:bidi w:val="0"/>
        <w:spacing w:line="480" w:lineRule="atLeast"/>
        <w:ind w:firstLine="567"/>
        <w:jc w:val="center"/>
        <w:textAlignment w:val="baseline"/>
        <w:outlineLvl w:val="9"/>
        <w:rPr>
          <w:rFonts w:ascii="宋体" w:hAnsi="宋体" w:eastAsia="宋体" w:cs="宋体"/>
          <w:sz w:val="24"/>
          <w:szCs w:val="24"/>
        </w:rPr>
      </w:pPr>
      <w:r>
        <w:rPr>
          <w:rFonts w:ascii="Times New Roman" w:hAnsi="宋体" w:eastAsia="Times New Roman" w:cs="宋体"/>
          <w:sz w:val="24"/>
          <w:szCs w:val="24"/>
          <w:u w:val="single"/>
        </w:rPr>
        <w:t xml:space="preserve"> </w:t>
      </w:r>
      <w:r>
        <w:rPr>
          <w:rFonts w:hint="eastAsia" w:ascii="Times New Roman" w:hAnsi="宋体" w:eastAsia="宋体" w:cs="宋体"/>
          <w:sz w:val="24"/>
          <w:szCs w:val="24"/>
          <w:u w:val="single"/>
          <w:lang w:val="en-US" w:eastAsia="zh-CN"/>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日</w:t>
      </w:r>
    </w:p>
    <w:p w14:paraId="4CC28EBE">
      <w:pPr>
        <w:pageBreakBefore w:val="0"/>
        <w:wordWrap/>
        <w:overflowPunct/>
        <w:topLinePunct w:val="0"/>
        <w:bidi w:val="0"/>
        <w:outlineLvl w:val="9"/>
        <w:rPr>
          <w:rFonts w:ascii="宋体" w:hAnsi="宋体" w:eastAsia="宋体" w:cs="宋体"/>
          <w:sz w:val="24"/>
          <w:szCs w:val="24"/>
        </w:rPr>
      </w:pPr>
      <w:r>
        <w:rPr>
          <w:rFonts w:ascii="宋体" w:hAnsi="宋体" w:eastAsia="宋体" w:cs="宋体"/>
          <w:sz w:val="24"/>
          <w:szCs w:val="24"/>
        </w:rPr>
        <w:br w:type="page"/>
      </w:r>
    </w:p>
    <w:p w14:paraId="47D92C01">
      <w:pPr>
        <w:pageBreakBefore w:val="0"/>
        <w:wordWrap/>
        <w:overflowPunct/>
        <w:topLinePunct w:val="0"/>
        <w:bidi w:val="0"/>
        <w:spacing w:line="480" w:lineRule="atLeast"/>
        <w:ind w:firstLine="567"/>
        <w:jc w:val="center"/>
        <w:textAlignment w:val="baseline"/>
        <w:outlineLvl w:val="9"/>
        <w:rPr>
          <w:rFonts w:ascii="宋体" w:hAnsi="宋体" w:eastAsia="宋体" w:cs="宋体"/>
          <w:sz w:val="24"/>
          <w:szCs w:val="24"/>
        </w:rPr>
      </w:pPr>
      <w:r>
        <w:rPr>
          <w:rFonts w:hint="eastAsia" w:ascii="宋体" w:hAnsi="宋体" w:eastAsia="宋体" w:cs="宋体"/>
          <w:b/>
          <w:bCs/>
          <w:sz w:val="32"/>
          <w:szCs w:val="32"/>
        </w:rPr>
        <w:t>三、授权委托书</w:t>
      </w:r>
    </w:p>
    <w:p w14:paraId="425A228F">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p>
    <w:p w14:paraId="2C33FF71">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（姓名）系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（姓名）为我方代理人。代理人根据授权，以我方名义签署、澄清、说明、补正、递交、撤回、修改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响应文件、签订合同和处理有关事宜，其法律后果由我方承担。</w:t>
      </w:r>
    </w:p>
    <w:p w14:paraId="0794AAA0">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4F645B0">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r>
        <w:rPr>
          <w:rFonts w:hint="eastAsia" w:ascii="宋体" w:hAnsi="宋体" w:eastAsia="宋体" w:cs="宋体"/>
          <w:sz w:val="24"/>
          <w:szCs w:val="24"/>
        </w:rPr>
        <w:t>代理人无转委托权。</w:t>
      </w:r>
    </w:p>
    <w:p w14:paraId="6F41621B">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p>
    <w:p w14:paraId="43A507B6">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r>
        <w:rPr>
          <w:rFonts w:hint="eastAsia" w:ascii="宋体" w:hAnsi="宋体" w:eastAsia="宋体" w:cs="宋体"/>
          <w:sz w:val="24"/>
          <w:szCs w:val="24"/>
        </w:rPr>
        <w:t>附：委托代理人身份证复印件</w:t>
      </w:r>
    </w:p>
    <w:p w14:paraId="05054050">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p>
    <w:p w14:paraId="1A7A6375">
      <w:pPr>
        <w:pageBreakBefore w:val="0"/>
        <w:wordWrap/>
        <w:overflowPunct/>
        <w:topLinePunct w:val="0"/>
        <w:bidi w:val="0"/>
        <w:spacing w:line="480" w:lineRule="atLeast"/>
        <w:ind w:firstLine="567"/>
        <w:jc w:val="right"/>
        <w:textAlignment w:val="baseline"/>
        <w:outlineLvl w:val="9"/>
        <w:rPr>
          <w:rFonts w:ascii="宋体" w:hAnsi="宋体" w:eastAsia="宋体" w:cs="宋体"/>
          <w:sz w:val="24"/>
          <w:szCs w:val="24"/>
        </w:rPr>
      </w:pPr>
    </w:p>
    <w:p w14:paraId="433C9A01">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p>
    <w:p w14:paraId="335B8E31">
      <w:pPr>
        <w:pageBreakBefore w:val="0"/>
        <w:wordWrap/>
        <w:overflowPunct/>
        <w:topLinePunct w:val="0"/>
        <w:bidi w:val="0"/>
        <w:spacing w:line="480" w:lineRule="atLeast"/>
        <w:textAlignment w:val="baseline"/>
        <w:outlineLvl w:val="9"/>
        <w:rPr>
          <w:rFonts w:ascii="宋体" w:hAnsi="宋体" w:eastAsia="宋体" w:cs="宋体"/>
          <w:sz w:val="24"/>
          <w:szCs w:val="24"/>
        </w:rPr>
      </w:pPr>
    </w:p>
    <w:p w14:paraId="3B8AC8D4">
      <w:pPr>
        <w:pageBreakBefore w:val="0"/>
        <w:wordWrap/>
        <w:overflowPunct/>
        <w:topLinePunct w:val="0"/>
        <w:bidi w:val="0"/>
        <w:spacing w:line="480" w:lineRule="atLeast"/>
        <w:ind w:firstLine="567"/>
        <w:textAlignment w:val="baseline"/>
        <w:outlineLvl w:val="9"/>
        <w:rPr>
          <w:rFonts w:ascii="宋体" w:hAnsi="宋体" w:eastAsia="宋体" w:cs="宋体"/>
          <w:sz w:val="24"/>
          <w:szCs w:val="24"/>
        </w:rPr>
      </w:pPr>
    </w:p>
    <w:p w14:paraId="3B7AC6A9">
      <w:pPr>
        <w:pageBreakBefore w:val="0"/>
        <w:wordWrap/>
        <w:overflowPunct/>
        <w:topLinePunct w:val="0"/>
        <w:bidi w:val="0"/>
        <w:spacing w:line="480" w:lineRule="atLeast"/>
        <w:ind w:firstLine="567"/>
        <w:jc w:val="right"/>
        <w:textAlignment w:val="baseline"/>
        <w:outlineLvl w:val="9"/>
        <w:rPr>
          <w:rFonts w:ascii="宋体" w:hAnsi="宋体" w:eastAsia="宋体" w:cs="宋体"/>
          <w:sz w:val="24"/>
          <w:szCs w:val="24"/>
        </w:rPr>
      </w:pPr>
    </w:p>
    <w:p w14:paraId="156E2E12">
      <w:pPr>
        <w:pageBreakBefore w:val="0"/>
        <w:wordWrap/>
        <w:overflowPunct/>
        <w:topLinePunct w:val="0"/>
        <w:bidi w:val="0"/>
        <w:adjustRightInd w:val="0"/>
        <w:snapToGrid w:val="0"/>
        <w:spacing w:line="480" w:lineRule="auto"/>
        <w:ind w:firstLine="480" w:firstLineChars="200"/>
        <w:jc w:val="right"/>
        <w:textAlignment w:val="baseline"/>
        <w:outlineLvl w:val="9"/>
        <w:rPr>
          <w:rFonts w:ascii="宋体" w:hAnsi="宋体" w:eastAsia="宋体" w:cs="宋体"/>
          <w:sz w:val="24"/>
          <w:szCs w:val="24"/>
        </w:rPr>
      </w:pPr>
      <w:r>
        <w:rPr>
          <w:rFonts w:hint="eastAsia" w:ascii="宋体" w:hAnsi="宋体" w:eastAsia="宋体" w:cs="宋体"/>
          <w:sz w:val="24"/>
          <w:szCs w:val="24"/>
        </w:rPr>
        <w:t>供应商：</w:t>
      </w:r>
      <w:r>
        <w:rPr>
          <w:rFonts w:hint="eastAsia" w:ascii="Calibri" w:hAnsi="Calibri" w:eastAsia="宋体" w:cs="Times New Roman"/>
          <w:sz w:val="24"/>
          <w:szCs w:val="24"/>
          <w:u w:val="single"/>
          <w:lang w:val="en-US" w:eastAsia="zh-CN"/>
        </w:rPr>
        <w:t xml:space="preserve"> </w:t>
      </w:r>
      <w:r>
        <w:rPr>
          <w:rFonts w:hint="eastAsia" w:ascii="Calibri" w:hAnsi="Calibri" w:eastAsia="宋体" w:cs="Times New Roman"/>
          <w:sz w:val="24"/>
          <w:szCs w:val="24"/>
          <w:u w:val="single"/>
        </w:rPr>
        <w:t xml:space="preserve">              </w:t>
      </w:r>
      <w:r>
        <w:rPr>
          <w:rFonts w:hint="eastAsia" w:ascii="宋体" w:hAnsi="宋体" w:eastAsia="宋体" w:cs="宋体"/>
          <w:sz w:val="24"/>
          <w:szCs w:val="24"/>
        </w:rPr>
        <w:t>（</w:t>
      </w:r>
      <w:r>
        <w:rPr>
          <w:rFonts w:hint="eastAsia" w:ascii="Calibri" w:hAnsi="Calibri" w:eastAsia="宋体" w:cs="Times New Roman"/>
          <w:spacing w:val="-3"/>
          <w:sz w:val="24"/>
          <w:szCs w:val="24"/>
        </w:rPr>
        <w:t>电子签章</w:t>
      </w:r>
      <w:r>
        <w:rPr>
          <w:rFonts w:hint="eastAsia" w:ascii="宋体" w:hAnsi="宋体" w:eastAsia="宋体" w:cs="宋体"/>
          <w:sz w:val="24"/>
          <w:szCs w:val="24"/>
        </w:rPr>
        <w:t>）</w:t>
      </w:r>
    </w:p>
    <w:p w14:paraId="4AACAFC6">
      <w:pPr>
        <w:pageBreakBefore w:val="0"/>
        <w:wordWrap/>
        <w:overflowPunct/>
        <w:topLinePunct w:val="0"/>
        <w:bidi w:val="0"/>
        <w:adjustRightInd w:val="0"/>
        <w:snapToGrid w:val="0"/>
        <w:spacing w:line="480" w:lineRule="auto"/>
        <w:ind w:firstLine="480" w:firstLineChars="200"/>
        <w:jc w:val="center"/>
        <w:textAlignment w:val="baseline"/>
        <w:outlineLvl w:val="9"/>
        <w:rPr>
          <w:rFonts w:ascii="宋体" w:hAnsi="宋体" w:eastAsia="宋体" w:cs="宋体"/>
          <w:sz w:val="24"/>
          <w:szCs w:val="24"/>
        </w:rPr>
      </w:pPr>
      <w:r>
        <w:rPr>
          <w:rFonts w:hint="eastAsia" w:ascii="宋体" w:hAnsi="宋体" w:eastAsia="宋体" w:cs="宋体"/>
          <w:sz w:val="24"/>
          <w:szCs w:val="24"/>
        </w:rPr>
        <w:t xml:space="preserve">                                       法定代表人：</w:t>
      </w:r>
      <w:r>
        <w:rPr>
          <w:rFonts w:ascii="Calibri" w:hAnsi="Calibri" w:eastAsia="宋体" w:cs="Times New Roman"/>
          <w:sz w:val="24"/>
          <w:szCs w:val="24"/>
          <w:u w:val="single"/>
        </w:rPr>
        <w:t xml:space="preserve"> </w:t>
      </w:r>
      <w:r>
        <w:rPr>
          <w:rFonts w:hint="eastAsia" w:ascii="Calibri" w:hAnsi="Calibri" w:eastAsia="宋体" w:cs="Times New Roman"/>
          <w:sz w:val="24"/>
          <w:szCs w:val="24"/>
          <w:u w:val="single"/>
          <w:lang w:val="en-US" w:eastAsia="zh-CN"/>
        </w:rPr>
        <w:t xml:space="preserve"> </w:t>
      </w:r>
      <w:r>
        <w:rPr>
          <w:rFonts w:hint="eastAsia" w:ascii="Calibri" w:hAnsi="Calibri" w:eastAsia="宋体" w:cs="Times New Roman"/>
          <w:sz w:val="24"/>
          <w:szCs w:val="24"/>
          <w:u w:val="single"/>
        </w:rPr>
        <w:t xml:space="preserve">       </w:t>
      </w:r>
      <w:r>
        <w:rPr>
          <w:rFonts w:hint="eastAsia" w:ascii="宋体" w:hAnsi="宋体" w:eastAsia="宋体" w:cs="宋体"/>
          <w:sz w:val="24"/>
          <w:szCs w:val="24"/>
        </w:rPr>
        <w:t>（</w:t>
      </w:r>
      <w:r>
        <w:rPr>
          <w:rFonts w:hint="eastAsia" w:ascii="Calibri" w:hAnsi="Calibri" w:eastAsia="宋体" w:cs="Times New Roman"/>
          <w:spacing w:val="-3"/>
          <w:sz w:val="24"/>
          <w:szCs w:val="24"/>
        </w:rPr>
        <w:t>电子签章</w:t>
      </w:r>
      <w:r>
        <w:rPr>
          <w:rFonts w:hint="eastAsia" w:ascii="宋体" w:hAnsi="宋体" w:eastAsia="宋体" w:cs="宋体"/>
          <w:sz w:val="24"/>
          <w:szCs w:val="24"/>
        </w:rPr>
        <w:t>）</w:t>
      </w:r>
    </w:p>
    <w:p w14:paraId="4260DBBE">
      <w:pPr>
        <w:pageBreakBefore w:val="0"/>
        <w:wordWrap/>
        <w:overflowPunct/>
        <w:topLinePunct w:val="0"/>
        <w:bidi w:val="0"/>
        <w:adjustRightInd w:val="0"/>
        <w:snapToGrid w:val="0"/>
        <w:spacing w:line="480" w:lineRule="auto"/>
        <w:ind w:firstLine="480" w:firstLineChars="200"/>
        <w:jc w:val="right"/>
        <w:textAlignment w:val="baseline"/>
        <w:outlineLvl w:val="9"/>
        <w:rPr>
          <w:rFonts w:ascii="宋体" w:hAnsi="宋体" w:eastAsia="宋体" w:cs="宋体"/>
          <w:sz w:val="24"/>
          <w:szCs w:val="24"/>
        </w:rPr>
      </w:pPr>
      <w:r>
        <w:rPr>
          <w:rFonts w:hint="eastAsia" w:ascii="宋体" w:hAnsi="宋体" w:eastAsia="宋体" w:cs="宋体"/>
          <w:sz w:val="24"/>
          <w:szCs w:val="24"/>
        </w:rPr>
        <w:t>委托代理人：</w:t>
      </w:r>
      <w:r>
        <w:rPr>
          <w:rFonts w:hint="eastAsia" w:ascii="Calibri" w:hAnsi="Calibri" w:eastAsia="宋体" w:cs="Times New Roman"/>
          <w:sz w:val="24"/>
          <w:szCs w:val="24"/>
          <w:u w:val="single"/>
          <w:lang w:val="en-US" w:eastAsia="zh-CN"/>
        </w:rPr>
        <w:t xml:space="preserve"> </w:t>
      </w:r>
      <w:r>
        <w:rPr>
          <w:rFonts w:hint="eastAsia" w:ascii="Calibri" w:hAnsi="Calibri" w:eastAsia="宋体" w:cs="Times New Roman"/>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法定代表人电子签章</w:t>
      </w:r>
      <w:r>
        <w:rPr>
          <w:rFonts w:hint="eastAsia" w:ascii="宋体" w:hAnsi="宋体" w:eastAsia="宋体" w:cs="宋体"/>
          <w:sz w:val="24"/>
          <w:szCs w:val="24"/>
        </w:rPr>
        <w:t>）</w:t>
      </w:r>
    </w:p>
    <w:p w14:paraId="7737BEB1">
      <w:pPr>
        <w:pageBreakBefore w:val="0"/>
        <w:tabs>
          <w:tab w:val="left" w:pos="734"/>
          <w:tab w:val="left" w:pos="1677"/>
          <w:tab w:val="left" w:pos="2623"/>
        </w:tabs>
        <w:wordWrap/>
        <w:overflowPunct/>
        <w:topLinePunct w:val="0"/>
        <w:bidi w:val="0"/>
        <w:adjustRightInd w:val="0"/>
        <w:snapToGrid w:val="0"/>
        <w:spacing w:line="480" w:lineRule="auto"/>
        <w:ind w:firstLine="480" w:firstLineChars="200"/>
        <w:jc w:val="right"/>
        <w:outlineLvl w:val="9"/>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ascii="宋体" w:hAnsi="宋体" w:eastAsia="宋体" w:cs="宋体"/>
          <w:sz w:val="24"/>
          <w:szCs w:val="24"/>
        </w:rPr>
        <w:t>日</w:t>
      </w:r>
    </w:p>
    <w:p w14:paraId="55AE9D3E">
      <w:pPr>
        <w:pStyle w:val="7"/>
        <w:pageBreakBefore w:val="0"/>
        <w:wordWrap/>
        <w:overflowPunct/>
        <w:topLinePunct w:val="0"/>
        <w:bidi w:val="0"/>
        <w:outlineLvl w:val="9"/>
      </w:pPr>
      <w:r>
        <w:rPr>
          <w:rFonts w:hint="eastAsia" w:asciiTheme="minorEastAsia" w:hAnsiTheme="minorEastAsia" w:eastAsiaTheme="minorEastAsia" w:cstheme="minorEastAsia"/>
          <w:b/>
          <w:bCs/>
          <w:i w:val="0"/>
          <w:caps w:val="0"/>
          <w:color w:val="auto"/>
          <w:spacing w:val="0"/>
          <w:w w:val="100"/>
          <w:kern w:val="0"/>
          <w:sz w:val="24"/>
          <w:szCs w:val="24"/>
          <w:highlight w:val="none"/>
        </w:rPr>
        <w:t>注：因</w:t>
      </w:r>
      <w:r>
        <w:rPr>
          <w:rFonts w:hint="eastAsia" w:asciiTheme="minorEastAsia" w:hAnsiTheme="minorEastAsia" w:eastAsiaTheme="minorEastAsia" w:cstheme="minorEastAsia"/>
          <w:b/>
          <w:bCs/>
          <w:i w:val="0"/>
          <w:caps w:val="0"/>
          <w:color w:val="auto"/>
          <w:spacing w:val="0"/>
          <w:w w:val="100"/>
          <w:kern w:val="0"/>
          <w:sz w:val="24"/>
          <w:szCs w:val="24"/>
          <w:highlight w:val="none"/>
          <w:lang w:val="en-US" w:eastAsia="zh-CN"/>
        </w:rPr>
        <w:t>投标</w:t>
      </w:r>
      <w:r>
        <w:rPr>
          <w:rFonts w:hint="eastAsia" w:asciiTheme="minorEastAsia" w:hAnsiTheme="minorEastAsia" w:eastAsiaTheme="minorEastAsia" w:cstheme="minorEastAsia"/>
          <w:b/>
          <w:bCs/>
          <w:i w:val="0"/>
          <w:caps w:val="0"/>
          <w:color w:val="auto"/>
          <w:spacing w:val="0"/>
          <w:w w:val="100"/>
          <w:kern w:val="0"/>
          <w:sz w:val="24"/>
          <w:szCs w:val="24"/>
          <w:highlight w:val="none"/>
        </w:rPr>
        <w:t>文件中授权委托书授权代理人无法手写签字，可以以印刷体代替</w:t>
      </w:r>
      <w:r>
        <w:rPr>
          <w:rFonts w:hint="eastAsia" w:asciiTheme="minorEastAsia" w:hAnsiTheme="minorEastAsia" w:cstheme="minorEastAsia"/>
          <w:b/>
          <w:bCs/>
          <w:i w:val="0"/>
          <w:caps w:val="0"/>
          <w:color w:val="auto"/>
          <w:spacing w:val="0"/>
          <w:w w:val="100"/>
          <w:kern w:val="0"/>
          <w:sz w:val="24"/>
          <w:szCs w:val="24"/>
          <w:highlight w:val="none"/>
          <w:lang w:val="en-US" w:eastAsia="zh-CN"/>
        </w:rPr>
        <w:t>并加盖法定代表人电子签章</w:t>
      </w:r>
      <w:r>
        <w:rPr>
          <w:rFonts w:hint="eastAsia" w:asciiTheme="minorEastAsia" w:hAnsiTheme="minorEastAsia" w:eastAsiaTheme="minorEastAsia" w:cstheme="minorEastAsia"/>
          <w:b/>
          <w:bCs/>
          <w:i w:val="0"/>
          <w:caps w:val="0"/>
          <w:color w:val="auto"/>
          <w:spacing w:val="0"/>
          <w:w w:val="100"/>
          <w:kern w:val="0"/>
          <w:sz w:val="24"/>
          <w:szCs w:val="24"/>
          <w:highlight w:val="none"/>
        </w:rPr>
        <w:t>（印刷体为电脑打出的字体）。</w:t>
      </w:r>
    </w:p>
    <w:p w14:paraId="5A9108B1">
      <w:pPr>
        <w:pageBreakBefore w:val="0"/>
        <w:wordWrap/>
        <w:overflowPunct/>
        <w:topLinePunct w:val="0"/>
        <w:bidi w:val="0"/>
        <w:spacing w:before="66" w:line="360" w:lineRule="auto"/>
        <w:ind w:left="220"/>
        <w:jc w:val="center"/>
        <w:outlineLvl w:val="9"/>
        <w:rPr>
          <w:rFonts w:ascii="宋体" w:hAnsi="宋体" w:eastAsia="宋体" w:cs="宋体"/>
          <w:b/>
          <w:sz w:val="24"/>
          <w:szCs w:val="24"/>
        </w:rPr>
      </w:pPr>
      <w:r>
        <w:rPr>
          <w:rFonts w:hint="eastAsia" w:ascii="宋体" w:hAnsi="宋体" w:eastAsia="宋体" w:cs="宋体"/>
          <w:b/>
          <w:sz w:val="32"/>
          <w:szCs w:val="32"/>
        </w:rPr>
        <w:br w:type="page"/>
      </w:r>
      <w:r>
        <w:rPr>
          <w:rFonts w:hint="eastAsia" w:ascii="宋体" w:hAnsi="宋体" w:eastAsia="宋体" w:cs="宋体"/>
          <w:b/>
          <w:sz w:val="32"/>
          <w:szCs w:val="32"/>
        </w:rPr>
        <w:t>四、响应承诺函</w:t>
      </w:r>
    </w:p>
    <w:p w14:paraId="095711CB">
      <w:pPr>
        <w:pageBreakBefore w:val="0"/>
        <w:wordWrap/>
        <w:overflowPunct/>
        <w:topLinePunct w:val="0"/>
        <w:bidi w:val="0"/>
        <w:spacing w:before="184" w:line="360" w:lineRule="auto"/>
        <w:ind w:left="220"/>
        <w:outlineLvl w:val="9"/>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w:t>
      </w:r>
      <w:r>
        <w:rPr>
          <w:rFonts w:hint="eastAsia" w:ascii="宋体" w:hAnsi="宋体" w:eastAsia="宋体" w:cs="宋体"/>
          <w:sz w:val="24"/>
          <w:szCs w:val="24"/>
        </w:rPr>
        <w:t>：</w:t>
      </w:r>
    </w:p>
    <w:p w14:paraId="2C284205">
      <w:pPr>
        <w:pageBreakBefore w:val="0"/>
        <w:wordWrap/>
        <w:overflowPunct/>
        <w:topLinePunct w:val="0"/>
        <w:bidi w:val="0"/>
        <w:spacing w:before="2" w:line="360" w:lineRule="auto"/>
        <w:ind w:left="700" w:right="865"/>
        <w:outlineLvl w:val="9"/>
        <w:rPr>
          <w:rFonts w:hint="eastAsia" w:ascii="宋体" w:hAnsi="宋体" w:eastAsia="宋体" w:cs="宋体"/>
          <w:sz w:val="24"/>
          <w:szCs w:val="24"/>
        </w:rPr>
      </w:pPr>
      <w:r>
        <w:rPr>
          <w:rFonts w:hint="eastAsia" w:ascii="宋体" w:hAnsi="宋体" w:eastAsia="宋体" w:cs="宋体"/>
          <w:sz w:val="24"/>
          <w:szCs w:val="24"/>
        </w:rPr>
        <w:t xml:space="preserve">我公司作为本次采购项目的供应商，根据竞争性磋商文件要求，现郑重承诺如下： </w:t>
      </w:r>
    </w:p>
    <w:p w14:paraId="4AD7770A">
      <w:pPr>
        <w:pageBreakBefore w:val="0"/>
        <w:wordWrap/>
        <w:overflowPunct/>
        <w:topLinePunct w:val="0"/>
        <w:bidi w:val="0"/>
        <w:spacing w:before="2" w:line="360" w:lineRule="auto"/>
        <w:ind w:left="700" w:right="865"/>
        <w:outlineLvl w:val="9"/>
        <w:rPr>
          <w:rFonts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1A4A7AAA">
      <w:pPr>
        <w:pageBreakBefore w:val="0"/>
        <w:wordWrap/>
        <w:overflowPunct/>
        <w:topLinePunct w:val="0"/>
        <w:bidi w:val="0"/>
        <w:spacing w:before="3" w:line="360" w:lineRule="auto"/>
        <w:ind w:left="700"/>
        <w:outlineLvl w:val="9"/>
        <w:rPr>
          <w:rFonts w:ascii="宋体" w:hAnsi="宋体" w:eastAsia="宋体" w:cs="宋体"/>
          <w:sz w:val="24"/>
          <w:szCs w:val="24"/>
        </w:rPr>
      </w:pPr>
      <w:r>
        <w:rPr>
          <w:rFonts w:hint="eastAsia" w:ascii="宋体" w:hAnsi="宋体" w:eastAsia="宋体" w:cs="宋体"/>
          <w:sz w:val="24"/>
          <w:szCs w:val="24"/>
        </w:rPr>
        <w:t>（一）具有独立承担民事责任的能力；</w:t>
      </w:r>
    </w:p>
    <w:p w14:paraId="2F64CE9D">
      <w:pPr>
        <w:pageBreakBefore w:val="0"/>
        <w:wordWrap/>
        <w:overflowPunct/>
        <w:topLinePunct w:val="0"/>
        <w:bidi w:val="0"/>
        <w:spacing w:before="2" w:line="360" w:lineRule="auto"/>
        <w:ind w:left="700"/>
        <w:outlineLvl w:val="9"/>
        <w:rPr>
          <w:rFonts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491514A2">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（三）具有履行合同所必需的设备和专业技术能力；</w:t>
      </w:r>
    </w:p>
    <w:p w14:paraId="4D16FF6A">
      <w:pPr>
        <w:pageBreakBefore w:val="0"/>
        <w:wordWrap/>
        <w:overflowPunct/>
        <w:topLinePunct w:val="0"/>
        <w:bidi w:val="0"/>
        <w:spacing w:before="4" w:line="360" w:lineRule="auto"/>
        <w:ind w:left="700"/>
        <w:outlineLvl w:val="9"/>
        <w:rPr>
          <w:rFonts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5B2CA8B4">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2A1DAB2C">
      <w:pPr>
        <w:pageBreakBefore w:val="0"/>
        <w:wordWrap/>
        <w:overflowPunct/>
        <w:topLinePunct w:val="0"/>
        <w:bidi w:val="0"/>
        <w:spacing w:before="2" w:line="360" w:lineRule="auto"/>
        <w:ind w:left="700"/>
        <w:outlineLvl w:val="9"/>
        <w:rPr>
          <w:rFonts w:ascii="宋体" w:hAnsi="宋体" w:eastAsia="宋体" w:cs="宋体"/>
          <w:sz w:val="24"/>
          <w:szCs w:val="24"/>
        </w:rPr>
      </w:pPr>
      <w:r>
        <w:rPr>
          <w:rFonts w:hint="eastAsia" w:ascii="宋体" w:hAnsi="宋体" w:eastAsia="宋体" w:cs="宋体"/>
          <w:sz w:val="24"/>
          <w:szCs w:val="24"/>
        </w:rPr>
        <w:t>（六）法律、行政法规规定的其他条件；</w:t>
      </w:r>
    </w:p>
    <w:p w14:paraId="2D53D3B6">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（七）根据采购项目提出的特殊条件。</w:t>
      </w:r>
    </w:p>
    <w:p w14:paraId="0E598FCC">
      <w:pPr>
        <w:pageBreakBefore w:val="0"/>
        <w:wordWrap/>
        <w:overflowPunct/>
        <w:topLinePunct w:val="0"/>
        <w:bidi w:val="0"/>
        <w:spacing w:before="4" w:line="360" w:lineRule="auto"/>
        <w:ind w:left="220" w:right="237" w:firstLine="480"/>
        <w:outlineLvl w:val="9"/>
        <w:rPr>
          <w:rFonts w:ascii="宋体" w:hAnsi="宋体" w:eastAsia="宋体" w:cs="宋体"/>
          <w:sz w:val="24"/>
          <w:szCs w:val="24"/>
        </w:rPr>
      </w:pPr>
      <w:r>
        <w:rPr>
          <w:rFonts w:hint="eastAsia" w:ascii="宋体" w:hAnsi="宋体" w:eastAsia="宋体" w:cs="宋体"/>
          <w:spacing w:val="-10"/>
          <w:sz w:val="24"/>
          <w:szCs w:val="24"/>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sz w:val="24"/>
          <w:szCs w:val="24"/>
        </w:rPr>
        <w:t>又参加投标以求侥幸中标或者为实现其他非法目的的行为。</w:t>
      </w:r>
    </w:p>
    <w:p w14:paraId="6560A287">
      <w:pPr>
        <w:pageBreakBefore w:val="0"/>
        <w:wordWrap/>
        <w:overflowPunct/>
        <w:topLinePunct w:val="0"/>
        <w:bidi w:val="0"/>
        <w:spacing w:line="360" w:lineRule="auto"/>
        <w:ind w:left="220" w:right="237" w:firstLine="480"/>
        <w:outlineLvl w:val="9"/>
        <w:rPr>
          <w:rFonts w:ascii="宋体" w:hAnsi="宋体" w:eastAsia="宋体" w:cs="宋体"/>
          <w:sz w:val="24"/>
          <w:szCs w:val="24"/>
        </w:rPr>
      </w:pPr>
      <w:r>
        <w:rPr>
          <w:rFonts w:hint="eastAsia" w:ascii="宋体" w:hAnsi="宋体" w:eastAsia="宋体" w:cs="宋体"/>
          <w:spacing w:val="-10"/>
          <w:sz w:val="24"/>
          <w:szCs w:val="24"/>
        </w:rPr>
        <w:t>三、参加本次招标采购活动，不存在与单位负责人为同一人或者存在直接控股、管理关系</w:t>
      </w:r>
      <w:r>
        <w:rPr>
          <w:rFonts w:hint="eastAsia" w:ascii="宋体" w:hAnsi="宋体" w:eastAsia="宋体" w:cs="宋体"/>
          <w:sz w:val="24"/>
          <w:szCs w:val="24"/>
        </w:rPr>
        <w:t>的其他供应商参与同一合同项下的政府采购活动的行为。</w:t>
      </w:r>
    </w:p>
    <w:p w14:paraId="6CB6B435">
      <w:pPr>
        <w:pageBreakBefore w:val="0"/>
        <w:wordWrap/>
        <w:overflowPunct/>
        <w:topLinePunct w:val="0"/>
        <w:bidi w:val="0"/>
        <w:spacing w:before="1" w:line="360" w:lineRule="auto"/>
        <w:ind w:left="220" w:right="237" w:firstLine="480"/>
        <w:outlineLvl w:val="9"/>
        <w:rPr>
          <w:rFonts w:ascii="宋体" w:hAnsi="宋体" w:eastAsia="宋体" w:cs="宋体"/>
          <w:sz w:val="24"/>
          <w:szCs w:val="24"/>
        </w:rPr>
      </w:pPr>
      <w:r>
        <w:rPr>
          <w:rFonts w:hint="eastAsia" w:ascii="宋体" w:hAnsi="宋体" w:eastAsia="宋体" w:cs="宋体"/>
          <w:spacing w:val="-10"/>
          <w:sz w:val="24"/>
          <w:szCs w:val="24"/>
          <w:lang w:val="en-US" w:eastAsia="zh-CN"/>
        </w:rPr>
        <w:t>四</w:t>
      </w:r>
      <w:r>
        <w:rPr>
          <w:rFonts w:hint="eastAsia" w:ascii="宋体" w:hAnsi="宋体" w:eastAsia="宋体" w:cs="宋体"/>
          <w:spacing w:val="-10"/>
          <w:sz w:val="24"/>
          <w:szCs w:val="24"/>
        </w:rPr>
        <w:t>、参加本次招标采购活动，不存在和其他供应商在同一合同项下的采购项目中，同时委</w:t>
      </w:r>
      <w:r>
        <w:rPr>
          <w:rFonts w:hint="eastAsia" w:ascii="宋体" w:hAnsi="宋体" w:eastAsia="宋体" w:cs="宋体"/>
          <w:sz w:val="24"/>
          <w:szCs w:val="24"/>
        </w:rPr>
        <w:t>托同一个自然人、同一家庭的人员、同一单位的人员作为代理人的行为。</w:t>
      </w:r>
    </w:p>
    <w:p w14:paraId="7DBD29B5">
      <w:pPr>
        <w:pageBreakBefore w:val="0"/>
        <w:wordWrap/>
        <w:overflowPunct/>
        <w:topLinePunct w:val="0"/>
        <w:bidi w:val="0"/>
        <w:spacing w:before="3" w:line="360" w:lineRule="auto"/>
        <w:ind w:left="220" w:right="237" w:firstLine="480"/>
        <w:outlineLvl w:val="9"/>
        <w:rPr>
          <w:rFonts w:ascii="宋体" w:hAnsi="宋体" w:eastAsia="宋体" w:cs="宋体"/>
          <w:sz w:val="24"/>
          <w:szCs w:val="24"/>
        </w:rPr>
      </w:pPr>
      <w:r>
        <w:rPr>
          <w:rFonts w:hint="eastAsia" w:ascii="宋体" w:hAnsi="宋体" w:eastAsia="宋体" w:cs="宋体"/>
          <w:spacing w:val="-12"/>
          <w:sz w:val="24"/>
          <w:szCs w:val="24"/>
          <w:lang w:val="en-US" w:eastAsia="zh-CN"/>
        </w:rPr>
        <w:t>五</w:t>
      </w:r>
      <w:r>
        <w:rPr>
          <w:rFonts w:hint="eastAsia" w:ascii="宋体" w:hAnsi="宋体" w:eastAsia="宋体" w:cs="宋体"/>
          <w:spacing w:val="-12"/>
          <w:sz w:val="24"/>
          <w:szCs w:val="24"/>
        </w:rPr>
        <w:t>、供应商参加本次政府采购活动要求在近三年内供应商和其法定代表人没有行贿犯罪行</w:t>
      </w:r>
      <w:r>
        <w:rPr>
          <w:rFonts w:hint="eastAsia" w:ascii="宋体" w:hAnsi="宋体" w:eastAsia="宋体" w:cs="宋体"/>
          <w:sz w:val="24"/>
          <w:szCs w:val="24"/>
        </w:rPr>
        <w:t>为。</w:t>
      </w:r>
    </w:p>
    <w:p w14:paraId="22373CA7">
      <w:pPr>
        <w:pageBreakBefore w:val="0"/>
        <w:wordWrap/>
        <w:overflowPunct/>
        <w:topLinePunct w:val="0"/>
        <w:bidi w:val="0"/>
        <w:spacing w:line="360" w:lineRule="auto"/>
        <w:ind w:left="700"/>
        <w:outlineLvl w:val="9"/>
        <w:rPr>
          <w:rFonts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、参加本次招标采购活动，不存在联合体投标。</w:t>
      </w:r>
    </w:p>
    <w:p w14:paraId="1CE5981B">
      <w:pPr>
        <w:pageBreakBefore w:val="0"/>
        <w:wordWrap/>
        <w:overflowPunct/>
        <w:topLinePunct w:val="0"/>
        <w:bidi w:val="0"/>
        <w:spacing w:before="5" w:line="360" w:lineRule="auto"/>
        <w:ind w:left="220" w:right="237" w:firstLine="480"/>
        <w:outlineLvl w:val="9"/>
        <w:rPr>
          <w:rFonts w:ascii="宋体" w:hAnsi="宋体" w:eastAsia="宋体" w:cs="宋体"/>
          <w:sz w:val="24"/>
          <w:szCs w:val="24"/>
        </w:rPr>
      </w:pPr>
      <w:r>
        <w:rPr>
          <w:rFonts w:hint="eastAsia" w:ascii="宋体" w:hAnsi="宋体" w:eastAsia="宋体" w:cs="宋体"/>
          <w:spacing w:val="-9"/>
          <w:sz w:val="24"/>
          <w:szCs w:val="24"/>
          <w:lang w:val="en-US" w:eastAsia="zh-CN"/>
        </w:rPr>
        <w:t>七</w:t>
      </w:r>
      <w:r>
        <w:rPr>
          <w:rFonts w:hint="eastAsia" w:ascii="宋体" w:hAnsi="宋体" w:eastAsia="宋体" w:cs="宋体"/>
          <w:spacing w:val="-9"/>
          <w:sz w:val="24"/>
          <w:szCs w:val="24"/>
        </w:rPr>
        <w:t>、响应文件中提供的能够给予我公司带来优惠、好处的任何材料资料和技术、服务、商</w:t>
      </w:r>
      <w:r>
        <w:rPr>
          <w:rFonts w:hint="eastAsia" w:ascii="宋体" w:hAnsi="宋体" w:eastAsia="宋体" w:cs="宋体"/>
          <w:sz w:val="24"/>
          <w:szCs w:val="24"/>
        </w:rPr>
        <w:t>务等响应承诺情况都是真实的、有效的、合法的。</w:t>
      </w:r>
    </w:p>
    <w:p w14:paraId="0DE6D775">
      <w:pPr>
        <w:pageBreakBefore w:val="0"/>
        <w:wordWrap/>
        <w:overflowPunct/>
        <w:topLinePunct w:val="0"/>
        <w:bidi w:val="0"/>
        <w:spacing w:line="360" w:lineRule="auto"/>
        <w:ind w:left="700"/>
        <w:outlineLvl w:val="9"/>
        <w:rPr>
          <w:rFonts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、存在以下行为之一的愿意接受相关部门的处理：</w:t>
      </w:r>
    </w:p>
    <w:p w14:paraId="6B14BD6A">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投标有效期</w:t>
      </w:r>
      <w:r>
        <w:rPr>
          <w:rFonts w:hint="eastAsia" w:ascii="宋体" w:hAnsi="宋体" w:eastAsia="宋体" w:cs="宋体"/>
          <w:sz w:val="24"/>
          <w:szCs w:val="24"/>
        </w:rPr>
        <w:t>内撤销响应文件的；</w:t>
      </w:r>
    </w:p>
    <w:p w14:paraId="4734D984">
      <w:pPr>
        <w:pageBreakBefore w:val="0"/>
        <w:wordWrap/>
        <w:overflowPunct/>
        <w:topLinePunct w:val="0"/>
        <w:bidi w:val="0"/>
        <w:spacing w:before="4" w:line="360" w:lineRule="auto"/>
        <w:ind w:left="700"/>
        <w:outlineLvl w:val="9"/>
        <w:rPr>
          <w:rFonts w:ascii="宋体" w:hAnsi="宋体" w:eastAsia="宋体" w:cs="宋体"/>
          <w:sz w:val="24"/>
          <w:szCs w:val="24"/>
        </w:rPr>
      </w:pPr>
      <w:r>
        <w:rPr>
          <w:rFonts w:hint="eastAsia" w:ascii="宋体" w:hAnsi="宋体" w:eastAsia="宋体" w:cs="宋体"/>
          <w:sz w:val="24"/>
          <w:szCs w:val="24"/>
        </w:rPr>
        <w:t>（二）在采购人确定中标人以前放弃中标候选资格的；</w:t>
      </w:r>
    </w:p>
    <w:p w14:paraId="418660DA">
      <w:pPr>
        <w:pageBreakBefore w:val="0"/>
        <w:wordWrap/>
        <w:overflowPunct/>
        <w:topLinePunct w:val="0"/>
        <w:bidi w:val="0"/>
        <w:spacing w:before="2" w:line="360" w:lineRule="auto"/>
        <w:ind w:left="700"/>
        <w:outlineLvl w:val="9"/>
        <w:rPr>
          <w:rFonts w:ascii="宋体" w:hAnsi="宋体" w:eastAsia="宋体" w:cs="宋体"/>
          <w:sz w:val="24"/>
          <w:szCs w:val="24"/>
        </w:rPr>
      </w:pPr>
      <w:r>
        <w:rPr>
          <w:rFonts w:hint="eastAsia" w:ascii="宋体" w:hAnsi="宋体" w:eastAsia="宋体" w:cs="宋体"/>
          <w:sz w:val="24"/>
          <w:szCs w:val="24"/>
        </w:rPr>
        <w:t>（三）由于成交人的原因未能按照竞争性磋商文件的规定与采购人签订合同；</w:t>
      </w:r>
    </w:p>
    <w:p w14:paraId="11849071">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（四）由于成交人的原因未能按照竞争性磋商文件的规定交纳履约保证金；</w:t>
      </w:r>
    </w:p>
    <w:p w14:paraId="79C17316">
      <w:pPr>
        <w:pageBreakBefore w:val="0"/>
        <w:wordWrap/>
        <w:overflowPunct/>
        <w:topLinePunct w:val="0"/>
        <w:bidi w:val="0"/>
        <w:spacing w:before="2" w:line="360" w:lineRule="auto"/>
        <w:ind w:left="700"/>
        <w:outlineLvl w:val="9"/>
        <w:rPr>
          <w:rFonts w:ascii="宋体" w:hAnsi="宋体" w:eastAsia="宋体" w:cs="宋体"/>
          <w:sz w:val="24"/>
          <w:szCs w:val="24"/>
        </w:rPr>
      </w:pPr>
      <w:r>
        <w:rPr>
          <w:rFonts w:hint="eastAsia" w:ascii="宋体" w:hAnsi="宋体" w:eastAsia="宋体" w:cs="宋体"/>
          <w:sz w:val="24"/>
          <w:szCs w:val="24"/>
        </w:rPr>
        <w:t>（五）在响应文件中提供虚假材料谋取中标；</w:t>
      </w:r>
    </w:p>
    <w:p w14:paraId="2AD85E49">
      <w:pPr>
        <w:pageBreakBefore w:val="0"/>
        <w:wordWrap/>
        <w:overflowPunct/>
        <w:topLinePunct w:val="0"/>
        <w:bidi w:val="0"/>
        <w:spacing w:before="4" w:line="360" w:lineRule="auto"/>
        <w:ind w:left="700"/>
        <w:outlineLvl w:val="9"/>
        <w:rPr>
          <w:rFonts w:ascii="宋体" w:hAnsi="宋体" w:eastAsia="宋体" w:cs="宋体"/>
          <w:sz w:val="24"/>
          <w:szCs w:val="24"/>
        </w:rPr>
      </w:pPr>
      <w:r>
        <w:rPr>
          <w:rFonts w:hint="eastAsia" w:ascii="宋体" w:hAnsi="宋体" w:eastAsia="宋体" w:cs="宋体"/>
          <w:sz w:val="24"/>
          <w:szCs w:val="24"/>
        </w:rPr>
        <w:t>（六）与采购人、其他供应商或者采购代理机构恶意串通的；</w:t>
      </w:r>
    </w:p>
    <w:p w14:paraId="2E34B7AA">
      <w:pPr>
        <w:pageBreakBefore w:val="0"/>
        <w:wordWrap/>
        <w:overflowPunct/>
        <w:topLinePunct w:val="0"/>
        <w:bidi w:val="0"/>
        <w:spacing w:before="5" w:line="360" w:lineRule="auto"/>
        <w:ind w:left="700"/>
        <w:outlineLvl w:val="9"/>
        <w:rPr>
          <w:rFonts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投标有效期</w:t>
      </w:r>
      <w:r>
        <w:rPr>
          <w:rFonts w:hint="eastAsia" w:ascii="宋体" w:hAnsi="宋体" w:eastAsia="宋体" w:cs="宋体"/>
          <w:sz w:val="24"/>
          <w:szCs w:val="24"/>
        </w:rPr>
        <w:t>内，供应商在政府采购活动中有违法、违规、违纪行为。</w:t>
      </w:r>
    </w:p>
    <w:p w14:paraId="504D162F">
      <w:pPr>
        <w:pageBreakBefore w:val="0"/>
        <w:wordWrap/>
        <w:overflowPunct/>
        <w:topLinePunct w:val="0"/>
        <w:bidi w:val="0"/>
        <w:spacing w:before="4" w:line="360" w:lineRule="auto"/>
        <w:ind w:left="220" w:right="237" w:firstLine="480"/>
        <w:outlineLvl w:val="9"/>
        <w:rPr>
          <w:rFonts w:ascii="宋体" w:hAnsi="宋体" w:eastAsia="宋体" w:cs="宋体"/>
          <w:sz w:val="24"/>
          <w:szCs w:val="24"/>
        </w:rPr>
      </w:pPr>
      <w:r>
        <w:rPr>
          <w:rFonts w:hint="eastAsia" w:ascii="宋体" w:hAnsi="宋体" w:eastAsia="宋体" w:cs="宋体"/>
          <w:spacing w:val="-6"/>
          <w:sz w:val="24"/>
          <w:szCs w:val="24"/>
        </w:rPr>
        <w:t>由此产生的一切法律后果和责任由我公司承担。我公司声明放弃对此提出任何异议和追索</w:t>
      </w:r>
      <w:r>
        <w:rPr>
          <w:rFonts w:hint="eastAsia" w:ascii="宋体" w:hAnsi="宋体" w:eastAsia="宋体" w:cs="宋体"/>
          <w:sz w:val="24"/>
          <w:szCs w:val="24"/>
        </w:rPr>
        <w:t>的权利。</w:t>
      </w:r>
    </w:p>
    <w:p w14:paraId="06FBCE3C">
      <w:pPr>
        <w:pageBreakBefore w:val="0"/>
        <w:wordWrap/>
        <w:overflowPunct/>
        <w:topLinePunct w:val="0"/>
        <w:bidi w:val="0"/>
        <w:spacing w:before="1" w:line="360" w:lineRule="auto"/>
        <w:ind w:left="220" w:right="237" w:firstLine="480"/>
        <w:outlineLvl w:val="9"/>
        <w:rPr>
          <w:rFonts w:ascii="宋体" w:hAnsi="宋体" w:eastAsia="宋体" w:cs="宋体"/>
          <w:sz w:val="24"/>
          <w:szCs w:val="24"/>
        </w:rPr>
      </w:pPr>
      <w:r>
        <w:rPr>
          <w:rFonts w:hint="eastAsia" w:ascii="宋体" w:hAnsi="宋体" w:eastAsia="宋体" w:cs="宋体"/>
          <w:spacing w:val="-6"/>
          <w:sz w:val="24"/>
          <w:szCs w:val="24"/>
        </w:rPr>
        <w:t>本公司对上述承诺的内容事项真实性负责。如经查实上述承诺的内容事项存在虚假，我公</w:t>
      </w:r>
      <w:r>
        <w:rPr>
          <w:rFonts w:hint="eastAsia" w:ascii="宋体" w:hAnsi="宋体" w:eastAsia="宋体" w:cs="宋体"/>
          <w:sz w:val="24"/>
          <w:szCs w:val="24"/>
        </w:rPr>
        <w:t>司愿意接受以提供虚假材料谋取中标追究法律责任。</w:t>
      </w:r>
    </w:p>
    <w:p w14:paraId="2795693B">
      <w:pPr>
        <w:pageBreakBefore w:val="0"/>
        <w:wordWrap/>
        <w:overflowPunct/>
        <w:topLinePunct w:val="0"/>
        <w:bidi w:val="0"/>
        <w:spacing w:before="4" w:line="360" w:lineRule="auto"/>
        <w:outlineLvl w:val="9"/>
        <w:rPr>
          <w:rFonts w:ascii="宋体" w:hAnsi="宋体" w:eastAsia="宋体" w:cs="宋体"/>
          <w:sz w:val="24"/>
          <w:szCs w:val="24"/>
        </w:rPr>
      </w:pPr>
    </w:p>
    <w:p w14:paraId="1D91F31F">
      <w:pPr>
        <w:pageBreakBefore w:val="0"/>
        <w:tabs>
          <w:tab w:val="left" w:pos="3459"/>
        </w:tabs>
        <w:wordWrap/>
        <w:overflowPunct/>
        <w:topLinePunct w:val="0"/>
        <w:bidi w:val="0"/>
        <w:spacing w:before="1" w:line="360" w:lineRule="auto"/>
        <w:ind w:left="220"/>
        <w:outlineLvl w:val="9"/>
        <w:rPr>
          <w:rFonts w:ascii="宋体" w:hAnsi="宋体" w:eastAsia="宋体" w:cs="宋体"/>
          <w:sz w:val="24"/>
          <w:szCs w:val="24"/>
        </w:rPr>
      </w:pPr>
      <w:r>
        <w:rPr>
          <w:rFonts w:hint="eastAsia" w:ascii="宋体" w:hAnsi="宋体" w:eastAsia="宋体" w:cs="宋体"/>
          <w:sz w:val="24"/>
          <w:szCs w:val="24"/>
        </w:rPr>
        <w:t>供应商名称：           （</w:t>
      </w:r>
      <w:r>
        <w:rPr>
          <w:rFonts w:hint="eastAsia" w:ascii="宋体" w:hAnsi="宋体" w:eastAsia="宋体" w:cs="宋体"/>
          <w:spacing w:val="-3"/>
          <w:sz w:val="24"/>
          <w:szCs w:val="24"/>
        </w:rPr>
        <w:t>电子签章</w:t>
      </w:r>
      <w:r>
        <w:rPr>
          <w:rFonts w:hint="eastAsia" w:ascii="宋体" w:hAnsi="宋体" w:eastAsia="宋体" w:cs="宋体"/>
          <w:sz w:val="24"/>
          <w:szCs w:val="24"/>
        </w:rPr>
        <w:t>）</w:t>
      </w:r>
    </w:p>
    <w:p w14:paraId="7A604F7C">
      <w:pPr>
        <w:pageBreakBefore w:val="0"/>
        <w:tabs>
          <w:tab w:val="left" w:pos="3459"/>
        </w:tabs>
        <w:wordWrap/>
        <w:overflowPunct/>
        <w:topLinePunct w:val="0"/>
        <w:bidi w:val="0"/>
        <w:spacing w:before="160" w:line="360" w:lineRule="auto"/>
        <w:ind w:left="220" w:right="5785"/>
        <w:outlineLvl w:val="9"/>
        <w:rPr>
          <w:rFonts w:ascii="宋体" w:hAnsi="宋体" w:eastAsia="宋体" w:cs="宋体"/>
          <w:spacing w:val="-18"/>
          <w:sz w:val="24"/>
          <w:szCs w:val="24"/>
        </w:rPr>
      </w:pPr>
      <w:r>
        <w:rPr>
          <w:rFonts w:hint="eastAsia" w:ascii="宋体" w:hAnsi="宋体" w:eastAsia="宋体" w:cs="宋体"/>
          <w:sz w:val="24"/>
          <w:szCs w:val="24"/>
        </w:rPr>
        <w:t>法定代表人：        （</w:t>
      </w:r>
      <w:r>
        <w:rPr>
          <w:rFonts w:hint="eastAsia" w:ascii="宋体" w:hAnsi="宋体" w:eastAsia="宋体" w:cs="宋体"/>
          <w:spacing w:val="-3"/>
          <w:sz w:val="24"/>
          <w:szCs w:val="24"/>
        </w:rPr>
        <w:t>电子签章</w:t>
      </w:r>
      <w:r>
        <w:rPr>
          <w:rFonts w:hint="eastAsia" w:ascii="宋体" w:hAnsi="宋体" w:eastAsia="宋体" w:cs="宋体"/>
          <w:spacing w:val="-18"/>
          <w:sz w:val="24"/>
          <w:szCs w:val="24"/>
        </w:rPr>
        <w:t>）</w:t>
      </w:r>
    </w:p>
    <w:p w14:paraId="1AC257E3">
      <w:pPr>
        <w:pageBreakBefore w:val="0"/>
        <w:wordWrap/>
        <w:overflowPunct/>
        <w:topLinePunct w:val="0"/>
        <w:bidi w:val="0"/>
        <w:spacing w:line="480" w:lineRule="atLeast"/>
        <w:ind w:firstLine="567"/>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rPr>
        <w:t>日期：</w:t>
      </w:r>
    </w:p>
    <w:p w14:paraId="5D42DE17">
      <w:pPr>
        <w:pageBreakBefore w:val="0"/>
        <w:wordWrap/>
        <w:overflowPunct/>
        <w:topLinePunct w:val="0"/>
        <w:bidi w:val="0"/>
        <w:outlineLvl w:val="9"/>
        <w:rPr>
          <w:rFonts w:hint="eastAsia" w:ascii="宋体" w:hAnsi="宋体" w:eastAsia="宋体" w:cs="宋体"/>
          <w:sz w:val="24"/>
          <w:szCs w:val="24"/>
        </w:rPr>
      </w:pPr>
      <w:r>
        <w:rPr>
          <w:rFonts w:hint="eastAsia" w:ascii="宋体" w:hAnsi="宋体" w:eastAsia="宋体" w:cs="宋体"/>
          <w:sz w:val="24"/>
          <w:szCs w:val="24"/>
        </w:rPr>
        <w:br w:type="page"/>
      </w:r>
    </w:p>
    <w:p w14:paraId="02EB77B7">
      <w:pPr>
        <w:pageBreakBefore w:val="0"/>
        <w:wordWrap/>
        <w:overflowPunct/>
        <w:topLinePunct w:val="0"/>
        <w:bidi w:val="0"/>
        <w:spacing w:line="480" w:lineRule="atLeast"/>
        <w:ind w:firstLine="567"/>
        <w:jc w:val="center"/>
        <w:textAlignment w:val="baseline"/>
        <w:outlineLvl w:val="9"/>
        <w:rPr>
          <w:rFonts w:ascii="宋体" w:hAnsi="宋体" w:eastAsia="宋体" w:cs="宋体"/>
          <w:b/>
          <w:bCs/>
          <w:sz w:val="32"/>
          <w:szCs w:val="32"/>
        </w:rPr>
      </w:pPr>
      <w:r>
        <w:rPr>
          <w:rFonts w:hint="eastAsia" w:ascii="宋体" w:hAnsi="宋体" w:eastAsia="宋体" w:cs="宋体"/>
          <w:b/>
          <w:bCs/>
          <w:sz w:val="32"/>
          <w:szCs w:val="32"/>
        </w:rPr>
        <w:t>五、拟派管理和实施本项目主要人员</w:t>
      </w:r>
    </w:p>
    <w:tbl>
      <w:tblPr>
        <w:tblStyle w:val="22"/>
        <w:tblpPr w:leftFromText="180" w:rightFromText="180" w:vertAnchor="text" w:horzAnchor="page" w:tblpX="1260" w:tblpY="355"/>
        <w:tblOverlap w:val="never"/>
        <w:tblW w:w="96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583"/>
        <w:gridCol w:w="1400"/>
        <w:gridCol w:w="1367"/>
        <w:gridCol w:w="1543"/>
        <w:gridCol w:w="1674"/>
        <w:gridCol w:w="1166"/>
      </w:tblGrid>
      <w:tr w14:paraId="35C2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38" w:type="dxa"/>
          </w:tcPr>
          <w:p w14:paraId="086FB838">
            <w:pPr>
              <w:pageBreakBefore w:val="0"/>
              <w:wordWrap/>
              <w:overflowPunct/>
              <w:topLinePunct w:val="0"/>
              <w:bidi w:val="0"/>
              <w:spacing w:before="8"/>
              <w:jc w:val="center"/>
              <w:outlineLvl w:val="9"/>
              <w:rPr>
                <w:rFonts w:ascii="宋体" w:hAnsi="宋体" w:eastAsia="宋体" w:cs="宋体"/>
                <w:b/>
                <w:sz w:val="22"/>
                <w:szCs w:val="24"/>
              </w:rPr>
            </w:pPr>
          </w:p>
          <w:p w14:paraId="0B9F219E">
            <w:pPr>
              <w:pageBreakBefore w:val="0"/>
              <w:wordWrap/>
              <w:overflowPunct/>
              <w:topLinePunct w:val="0"/>
              <w:bidi w:val="0"/>
              <w:jc w:val="center"/>
              <w:outlineLvl w:val="9"/>
              <w:rPr>
                <w:rFonts w:ascii="宋体" w:hAnsi="宋体" w:eastAsia="宋体" w:cs="宋体"/>
                <w:sz w:val="24"/>
                <w:szCs w:val="24"/>
              </w:rPr>
            </w:pPr>
            <w:r>
              <w:rPr>
                <w:rFonts w:ascii="宋体" w:hAnsi="宋体" w:eastAsia="宋体" w:cs="宋体"/>
                <w:sz w:val="24"/>
                <w:szCs w:val="24"/>
              </w:rPr>
              <w:t>序号</w:t>
            </w:r>
          </w:p>
        </w:tc>
        <w:tc>
          <w:tcPr>
            <w:tcW w:w="1583" w:type="dxa"/>
          </w:tcPr>
          <w:p w14:paraId="20F58158">
            <w:pPr>
              <w:pageBreakBefore w:val="0"/>
              <w:wordWrap/>
              <w:overflowPunct/>
              <w:topLinePunct w:val="0"/>
              <w:bidi w:val="0"/>
              <w:spacing w:before="8"/>
              <w:jc w:val="center"/>
              <w:outlineLvl w:val="9"/>
              <w:rPr>
                <w:rFonts w:ascii="宋体" w:hAnsi="宋体" w:eastAsia="宋体" w:cs="宋体"/>
                <w:b/>
                <w:sz w:val="22"/>
                <w:szCs w:val="24"/>
              </w:rPr>
            </w:pPr>
          </w:p>
          <w:p w14:paraId="7DBC8931">
            <w:pPr>
              <w:pageBreakBefore w:val="0"/>
              <w:wordWrap/>
              <w:overflowPunct/>
              <w:topLinePunct w:val="0"/>
              <w:bidi w:val="0"/>
              <w:jc w:val="center"/>
              <w:outlineLvl w:val="9"/>
              <w:rPr>
                <w:rFonts w:ascii="宋体" w:hAnsi="宋体" w:eastAsia="宋体" w:cs="宋体"/>
                <w:sz w:val="24"/>
                <w:szCs w:val="24"/>
              </w:rPr>
            </w:pPr>
            <w:r>
              <w:rPr>
                <w:rFonts w:ascii="宋体" w:hAnsi="宋体" w:eastAsia="宋体" w:cs="宋体"/>
                <w:sz w:val="24"/>
                <w:szCs w:val="24"/>
              </w:rPr>
              <w:t>姓名</w:t>
            </w:r>
          </w:p>
        </w:tc>
        <w:tc>
          <w:tcPr>
            <w:tcW w:w="1400" w:type="dxa"/>
          </w:tcPr>
          <w:p w14:paraId="197837D6">
            <w:pPr>
              <w:pageBreakBefore w:val="0"/>
              <w:wordWrap/>
              <w:overflowPunct/>
              <w:topLinePunct w:val="0"/>
              <w:bidi w:val="0"/>
              <w:spacing w:before="8"/>
              <w:jc w:val="center"/>
              <w:outlineLvl w:val="9"/>
              <w:rPr>
                <w:rFonts w:ascii="宋体" w:hAnsi="宋体" w:eastAsia="宋体" w:cs="宋体"/>
                <w:b/>
                <w:sz w:val="22"/>
                <w:szCs w:val="24"/>
              </w:rPr>
            </w:pPr>
          </w:p>
          <w:p w14:paraId="526A2D99">
            <w:pPr>
              <w:pageBreakBefore w:val="0"/>
              <w:wordWrap/>
              <w:overflowPunct/>
              <w:topLinePunct w:val="0"/>
              <w:bidi w:val="0"/>
              <w:jc w:val="center"/>
              <w:outlineLvl w:val="9"/>
              <w:rPr>
                <w:rFonts w:ascii="宋体" w:hAnsi="宋体" w:eastAsia="宋体" w:cs="宋体"/>
                <w:sz w:val="24"/>
                <w:szCs w:val="24"/>
              </w:rPr>
            </w:pPr>
            <w:r>
              <w:rPr>
                <w:rFonts w:ascii="宋体" w:hAnsi="宋体" w:eastAsia="宋体" w:cs="宋体"/>
                <w:sz w:val="24"/>
                <w:szCs w:val="24"/>
              </w:rPr>
              <w:t>职务</w:t>
            </w:r>
          </w:p>
        </w:tc>
        <w:tc>
          <w:tcPr>
            <w:tcW w:w="1367" w:type="dxa"/>
          </w:tcPr>
          <w:p w14:paraId="5514A225">
            <w:pPr>
              <w:pageBreakBefore w:val="0"/>
              <w:wordWrap/>
              <w:overflowPunct/>
              <w:topLinePunct w:val="0"/>
              <w:bidi w:val="0"/>
              <w:spacing w:before="8"/>
              <w:jc w:val="center"/>
              <w:outlineLvl w:val="9"/>
              <w:rPr>
                <w:rFonts w:ascii="宋体" w:hAnsi="宋体" w:eastAsia="宋体" w:cs="宋体"/>
                <w:b/>
                <w:sz w:val="22"/>
                <w:szCs w:val="24"/>
              </w:rPr>
            </w:pPr>
          </w:p>
          <w:p w14:paraId="7C01308E">
            <w:pPr>
              <w:pageBreakBefore w:val="0"/>
              <w:wordWrap/>
              <w:overflowPunct/>
              <w:topLinePunct w:val="0"/>
              <w:bidi w:val="0"/>
              <w:jc w:val="center"/>
              <w:outlineLvl w:val="9"/>
              <w:rPr>
                <w:rFonts w:ascii="宋体" w:hAnsi="宋体" w:eastAsia="宋体" w:cs="宋体"/>
                <w:sz w:val="24"/>
                <w:szCs w:val="24"/>
              </w:rPr>
            </w:pPr>
            <w:r>
              <w:rPr>
                <w:rFonts w:ascii="宋体" w:hAnsi="宋体" w:eastAsia="宋体" w:cs="宋体"/>
                <w:sz w:val="24"/>
                <w:szCs w:val="24"/>
              </w:rPr>
              <w:t>职称</w:t>
            </w:r>
          </w:p>
        </w:tc>
        <w:tc>
          <w:tcPr>
            <w:tcW w:w="1543" w:type="dxa"/>
          </w:tcPr>
          <w:p w14:paraId="037EE340">
            <w:pPr>
              <w:pageBreakBefore w:val="0"/>
              <w:wordWrap/>
              <w:overflowPunct/>
              <w:topLinePunct w:val="0"/>
              <w:bidi w:val="0"/>
              <w:spacing w:before="8"/>
              <w:jc w:val="center"/>
              <w:outlineLvl w:val="9"/>
              <w:rPr>
                <w:rFonts w:ascii="宋体" w:hAnsi="宋体" w:eastAsia="宋体" w:cs="宋体"/>
                <w:b/>
                <w:sz w:val="22"/>
                <w:szCs w:val="24"/>
              </w:rPr>
            </w:pPr>
          </w:p>
          <w:p w14:paraId="04A48563">
            <w:pPr>
              <w:pageBreakBefore w:val="0"/>
              <w:wordWrap/>
              <w:overflowPunct/>
              <w:topLinePunct w:val="0"/>
              <w:bidi w:val="0"/>
              <w:ind w:right="475"/>
              <w:jc w:val="center"/>
              <w:outlineLvl w:val="9"/>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专业</w:t>
            </w:r>
          </w:p>
        </w:tc>
        <w:tc>
          <w:tcPr>
            <w:tcW w:w="1674" w:type="dxa"/>
          </w:tcPr>
          <w:p w14:paraId="52DA3195">
            <w:pPr>
              <w:pageBreakBefore w:val="0"/>
              <w:wordWrap/>
              <w:overflowPunct/>
              <w:topLinePunct w:val="0"/>
              <w:bidi w:val="0"/>
              <w:spacing w:before="8"/>
              <w:jc w:val="center"/>
              <w:outlineLvl w:val="9"/>
              <w:rPr>
                <w:rFonts w:ascii="宋体" w:hAnsi="宋体" w:eastAsia="宋体" w:cs="宋体"/>
                <w:b/>
                <w:sz w:val="22"/>
                <w:szCs w:val="24"/>
              </w:rPr>
            </w:pPr>
          </w:p>
          <w:p w14:paraId="78D8837D">
            <w:pPr>
              <w:pageBreakBefore w:val="0"/>
              <w:wordWrap/>
              <w:overflowPunct/>
              <w:topLinePunct w:val="0"/>
              <w:bidi w:val="0"/>
              <w:jc w:val="center"/>
              <w:outlineLvl w:val="9"/>
              <w:rPr>
                <w:rFonts w:ascii="宋体" w:hAnsi="宋体" w:eastAsia="宋体" w:cs="宋体"/>
                <w:sz w:val="24"/>
                <w:szCs w:val="24"/>
              </w:rPr>
            </w:pPr>
            <w:r>
              <w:rPr>
                <w:rFonts w:hint="eastAsia" w:ascii="宋体" w:hAnsi="宋体" w:eastAsia="宋体" w:cs="宋体"/>
                <w:sz w:val="24"/>
                <w:szCs w:val="24"/>
              </w:rPr>
              <w:t>证书名称</w:t>
            </w:r>
          </w:p>
        </w:tc>
        <w:tc>
          <w:tcPr>
            <w:tcW w:w="1166" w:type="dxa"/>
          </w:tcPr>
          <w:p w14:paraId="3B2EAD9D">
            <w:pPr>
              <w:pageBreakBefore w:val="0"/>
              <w:wordWrap/>
              <w:overflowPunct/>
              <w:topLinePunct w:val="0"/>
              <w:bidi w:val="0"/>
              <w:spacing w:before="8"/>
              <w:jc w:val="center"/>
              <w:outlineLvl w:val="9"/>
              <w:rPr>
                <w:rFonts w:ascii="宋体" w:hAnsi="宋体" w:eastAsia="宋体" w:cs="宋体"/>
                <w:b/>
                <w:sz w:val="22"/>
                <w:szCs w:val="24"/>
              </w:rPr>
            </w:pPr>
          </w:p>
          <w:p w14:paraId="430DB115">
            <w:pPr>
              <w:pageBreakBefore w:val="0"/>
              <w:tabs>
                <w:tab w:val="left" w:pos="662"/>
              </w:tabs>
              <w:wordWrap/>
              <w:overflowPunct/>
              <w:topLinePunct w:val="0"/>
              <w:bidi w:val="0"/>
              <w:jc w:val="center"/>
              <w:outlineLvl w:val="9"/>
              <w:rPr>
                <w:rFonts w:ascii="宋体" w:hAnsi="宋体" w:eastAsia="宋体" w:cs="宋体"/>
                <w:sz w:val="24"/>
                <w:szCs w:val="24"/>
              </w:rPr>
            </w:pPr>
            <w:r>
              <w:rPr>
                <w:rFonts w:hint="eastAsia" w:ascii="宋体" w:hAnsi="宋体" w:eastAsia="宋体" w:cs="宋体"/>
                <w:sz w:val="24"/>
                <w:szCs w:val="24"/>
              </w:rPr>
              <w:t>证号</w:t>
            </w:r>
          </w:p>
        </w:tc>
      </w:tr>
      <w:tr w14:paraId="04A7B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38" w:type="dxa"/>
          </w:tcPr>
          <w:p w14:paraId="6774E8CE">
            <w:pPr>
              <w:pageBreakBefore w:val="0"/>
              <w:wordWrap/>
              <w:overflowPunct/>
              <w:topLinePunct w:val="0"/>
              <w:bidi w:val="0"/>
              <w:outlineLvl w:val="9"/>
              <w:rPr>
                <w:rFonts w:ascii="Times New Roman" w:hAnsi="宋体" w:eastAsia="宋体" w:cs="宋体"/>
                <w:sz w:val="26"/>
                <w:szCs w:val="24"/>
              </w:rPr>
            </w:pPr>
          </w:p>
        </w:tc>
        <w:tc>
          <w:tcPr>
            <w:tcW w:w="1583" w:type="dxa"/>
          </w:tcPr>
          <w:p w14:paraId="5BC10E8F">
            <w:pPr>
              <w:pageBreakBefore w:val="0"/>
              <w:wordWrap/>
              <w:overflowPunct/>
              <w:topLinePunct w:val="0"/>
              <w:bidi w:val="0"/>
              <w:outlineLvl w:val="9"/>
              <w:rPr>
                <w:rFonts w:ascii="Times New Roman" w:hAnsi="宋体" w:eastAsia="宋体" w:cs="宋体"/>
                <w:sz w:val="26"/>
                <w:szCs w:val="24"/>
              </w:rPr>
            </w:pPr>
          </w:p>
        </w:tc>
        <w:tc>
          <w:tcPr>
            <w:tcW w:w="1400" w:type="dxa"/>
          </w:tcPr>
          <w:p w14:paraId="38AA6FF8">
            <w:pPr>
              <w:pageBreakBefore w:val="0"/>
              <w:wordWrap/>
              <w:overflowPunct/>
              <w:topLinePunct w:val="0"/>
              <w:bidi w:val="0"/>
              <w:outlineLvl w:val="9"/>
              <w:rPr>
                <w:rFonts w:ascii="Times New Roman" w:hAnsi="宋体" w:eastAsia="宋体" w:cs="宋体"/>
                <w:sz w:val="26"/>
                <w:szCs w:val="24"/>
              </w:rPr>
            </w:pPr>
          </w:p>
        </w:tc>
        <w:tc>
          <w:tcPr>
            <w:tcW w:w="1367" w:type="dxa"/>
          </w:tcPr>
          <w:p w14:paraId="31261464">
            <w:pPr>
              <w:pageBreakBefore w:val="0"/>
              <w:wordWrap/>
              <w:overflowPunct/>
              <w:topLinePunct w:val="0"/>
              <w:bidi w:val="0"/>
              <w:outlineLvl w:val="9"/>
              <w:rPr>
                <w:rFonts w:ascii="Times New Roman" w:hAnsi="宋体" w:eastAsia="宋体" w:cs="宋体"/>
                <w:sz w:val="26"/>
                <w:szCs w:val="24"/>
              </w:rPr>
            </w:pPr>
          </w:p>
        </w:tc>
        <w:tc>
          <w:tcPr>
            <w:tcW w:w="1543" w:type="dxa"/>
          </w:tcPr>
          <w:p w14:paraId="1C401031">
            <w:pPr>
              <w:pageBreakBefore w:val="0"/>
              <w:wordWrap/>
              <w:overflowPunct/>
              <w:topLinePunct w:val="0"/>
              <w:bidi w:val="0"/>
              <w:outlineLvl w:val="9"/>
              <w:rPr>
                <w:rFonts w:ascii="Times New Roman" w:hAnsi="宋体" w:eastAsia="宋体" w:cs="宋体"/>
                <w:sz w:val="26"/>
                <w:szCs w:val="24"/>
              </w:rPr>
            </w:pPr>
          </w:p>
        </w:tc>
        <w:tc>
          <w:tcPr>
            <w:tcW w:w="1674" w:type="dxa"/>
          </w:tcPr>
          <w:p w14:paraId="467455A5">
            <w:pPr>
              <w:pageBreakBefore w:val="0"/>
              <w:wordWrap/>
              <w:overflowPunct/>
              <w:topLinePunct w:val="0"/>
              <w:bidi w:val="0"/>
              <w:outlineLvl w:val="9"/>
              <w:rPr>
                <w:rFonts w:ascii="Times New Roman" w:hAnsi="宋体" w:eastAsia="宋体" w:cs="宋体"/>
                <w:sz w:val="26"/>
                <w:szCs w:val="24"/>
              </w:rPr>
            </w:pPr>
          </w:p>
        </w:tc>
        <w:tc>
          <w:tcPr>
            <w:tcW w:w="1166" w:type="dxa"/>
          </w:tcPr>
          <w:p w14:paraId="3054DB50">
            <w:pPr>
              <w:pageBreakBefore w:val="0"/>
              <w:wordWrap/>
              <w:overflowPunct/>
              <w:topLinePunct w:val="0"/>
              <w:bidi w:val="0"/>
              <w:outlineLvl w:val="9"/>
              <w:rPr>
                <w:rFonts w:ascii="Times New Roman" w:hAnsi="宋体" w:eastAsia="宋体" w:cs="宋体"/>
                <w:sz w:val="26"/>
                <w:szCs w:val="24"/>
              </w:rPr>
            </w:pPr>
          </w:p>
        </w:tc>
      </w:tr>
      <w:tr w14:paraId="501EC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38" w:type="dxa"/>
          </w:tcPr>
          <w:p w14:paraId="2C17EE05">
            <w:pPr>
              <w:pageBreakBefore w:val="0"/>
              <w:wordWrap/>
              <w:overflowPunct/>
              <w:topLinePunct w:val="0"/>
              <w:bidi w:val="0"/>
              <w:outlineLvl w:val="9"/>
              <w:rPr>
                <w:rFonts w:ascii="Times New Roman" w:hAnsi="宋体" w:eastAsia="宋体" w:cs="宋体"/>
                <w:sz w:val="26"/>
                <w:szCs w:val="24"/>
              </w:rPr>
            </w:pPr>
          </w:p>
        </w:tc>
        <w:tc>
          <w:tcPr>
            <w:tcW w:w="1583" w:type="dxa"/>
          </w:tcPr>
          <w:p w14:paraId="2D432200">
            <w:pPr>
              <w:pageBreakBefore w:val="0"/>
              <w:wordWrap/>
              <w:overflowPunct/>
              <w:topLinePunct w:val="0"/>
              <w:bidi w:val="0"/>
              <w:outlineLvl w:val="9"/>
              <w:rPr>
                <w:rFonts w:ascii="Times New Roman" w:hAnsi="宋体" w:eastAsia="宋体" w:cs="宋体"/>
                <w:sz w:val="26"/>
                <w:szCs w:val="24"/>
              </w:rPr>
            </w:pPr>
          </w:p>
        </w:tc>
        <w:tc>
          <w:tcPr>
            <w:tcW w:w="1400" w:type="dxa"/>
          </w:tcPr>
          <w:p w14:paraId="02561F8F">
            <w:pPr>
              <w:pageBreakBefore w:val="0"/>
              <w:wordWrap/>
              <w:overflowPunct/>
              <w:topLinePunct w:val="0"/>
              <w:bidi w:val="0"/>
              <w:outlineLvl w:val="9"/>
              <w:rPr>
                <w:rFonts w:ascii="Times New Roman" w:hAnsi="宋体" w:eastAsia="宋体" w:cs="宋体"/>
                <w:sz w:val="26"/>
                <w:szCs w:val="24"/>
              </w:rPr>
            </w:pPr>
          </w:p>
        </w:tc>
        <w:tc>
          <w:tcPr>
            <w:tcW w:w="1367" w:type="dxa"/>
          </w:tcPr>
          <w:p w14:paraId="13D43293">
            <w:pPr>
              <w:pageBreakBefore w:val="0"/>
              <w:wordWrap/>
              <w:overflowPunct/>
              <w:topLinePunct w:val="0"/>
              <w:bidi w:val="0"/>
              <w:outlineLvl w:val="9"/>
              <w:rPr>
                <w:rFonts w:ascii="Times New Roman" w:hAnsi="宋体" w:eastAsia="宋体" w:cs="宋体"/>
                <w:sz w:val="26"/>
                <w:szCs w:val="24"/>
              </w:rPr>
            </w:pPr>
          </w:p>
        </w:tc>
        <w:tc>
          <w:tcPr>
            <w:tcW w:w="1543" w:type="dxa"/>
          </w:tcPr>
          <w:p w14:paraId="0A596580">
            <w:pPr>
              <w:pageBreakBefore w:val="0"/>
              <w:wordWrap/>
              <w:overflowPunct/>
              <w:topLinePunct w:val="0"/>
              <w:bidi w:val="0"/>
              <w:outlineLvl w:val="9"/>
              <w:rPr>
                <w:rFonts w:ascii="Times New Roman" w:hAnsi="宋体" w:eastAsia="宋体" w:cs="宋体"/>
                <w:sz w:val="26"/>
                <w:szCs w:val="24"/>
              </w:rPr>
            </w:pPr>
          </w:p>
        </w:tc>
        <w:tc>
          <w:tcPr>
            <w:tcW w:w="1674" w:type="dxa"/>
          </w:tcPr>
          <w:p w14:paraId="065C7D89">
            <w:pPr>
              <w:pageBreakBefore w:val="0"/>
              <w:wordWrap/>
              <w:overflowPunct/>
              <w:topLinePunct w:val="0"/>
              <w:bidi w:val="0"/>
              <w:outlineLvl w:val="9"/>
              <w:rPr>
                <w:rFonts w:ascii="Times New Roman" w:hAnsi="宋体" w:eastAsia="宋体" w:cs="宋体"/>
                <w:sz w:val="26"/>
                <w:szCs w:val="24"/>
              </w:rPr>
            </w:pPr>
          </w:p>
        </w:tc>
        <w:tc>
          <w:tcPr>
            <w:tcW w:w="1166" w:type="dxa"/>
          </w:tcPr>
          <w:p w14:paraId="3B643473">
            <w:pPr>
              <w:pageBreakBefore w:val="0"/>
              <w:wordWrap/>
              <w:overflowPunct/>
              <w:topLinePunct w:val="0"/>
              <w:bidi w:val="0"/>
              <w:outlineLvl w:val="9"/>
              <w:rPr>
                <w:rFonts w:ascii="Times New Roman" w:hAnsi="宋体" w:eastAsia="宋体" w:cs="宋体"/>
                <w:sz w:val="26"/>
                <w:szCs w:val="24"/>
              </w:rPr>
            </w:pPr>
          </w:p>
        </w:tc>
      </w:tr>
      <w:tr w14:paraId="40FA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38" w:type="dxa"/>
          </w:tcPr>
          <w:p w14:paraId="4B7D5614">
            <w:pPr>
              <w:pageBreakBefore w:val="0"/>
              <w:wordWrap/>
              <w:overflowPunct/>
              <w:topLinePunct w:val="0"/>
              <w:bidi w:val="0"/>
              <w:outlineLvl w:val="9"/>
              <w:rPr>
                <w:rFonts w:ascii="Times New Roman" w:hAnsi="宋体" w:eastAsia="宋体" w:cs="宋体"/>
                <w:sz w:val="26"/>
                <w:szCs w:val="24"/>
              </w:rPr>
            </w:pPr>
          </w:p>
        </w:tc>
        <w:tc>
          <w:tcPr>
            <w:tcW w:w="1583" w:type="dxa"/>
          </w:tcPr>
          <w:p w14:paraId="02B8E779">
            <w:pPr>
              <w:pageBreakBefore w:val="0"/>
              <w:wordWrap/>
              <w:overflowPunct/>
              <w:topLinePunct w:val="0"/>
              <w:bidi w:val="0"/>
              <w:outlineLvl w:val="9"/>
              <w:rPr>
                <w:rFonts w:ascii="Times New Roman" w:hAnsi="宋体" w:eastAsia="宋体" w:cs="宋体"/>
                <w:sz w:val="26"/>
                <w:szCs w:val="24"/>
              </w:rPr>
            </w:pPr>
          </w:p>
        </w:tc>
        <w:tc>
          <w:tcPr>
            <w:tcW w:w="1400" w:type="dxa"/>
          </w:tcPr>
          <w:p w14:paraId="73EC1734">
            <w:pPr>
              <w:pageBreakBefore w:val="0"/>
              <w:wordWrap/>
              <w:overflowPunct/>
              <w:topLinePunct w:val="0"/>
              <w:bidi w:val="0"/>
              <w:outlineLvl w:val="9"/>
              <w:rPr>
                <w:rFonts w:ascii="Times New Roman" w:hAnsi="宋体" w:eastAsia="宋体" w:cs="宋体"/>
                <w:sz w:val="26"/>
                <w:szCs w:val="24"/>
              </w:rPr>
            </w:pPr>
          </w:p>
        </w:tc>
        <w:tc>
          <w:tcPr>
            <w:tcW w:w="1367" w:type="dxa"/>
          </w:tcPr>
          <w:p w14:paraId="45C08C80">
            <w:pPr>
              <w:pageBreakBefore w:val="0"/>
              <w:wordWrap/>
              <w:overflowPunct/>
              <w:topLinePunct w:val="0"/>
              <w:bidi w:val="0"/>
              <w:outlineLvl w:val="9"/>
              <w:rPr>
                <w:rFonts w:ascii="Times New Roman" w:hAnsi="宋体" w:eastAsia="宋体" w:cs="宋体"/>
                <w:sz w:val="26"/>
                <w:szCs w:val="24"/>
              </w:rPr>
            </w:pPr>
          </w:p>
        </w:tc>
        <w:tc>
          <w:tcPr>
            <w:tcW w:w="1543" w:type="dxa"/>
          </w:tcPr>
          <w:p w14:paraId="2671A12E">
            <w:pPr>
              <w:pageBreakBefore w:val="0"/>
              <w:wordWrap/>
              <w:overflowPunct/>
              <w:topLinePunct w:val="0"/>
              <w:bidi w:val="0"/>
              <w:outlineLvl w:val="9"/>
              <w:rPr>
                <w:rFonts w:ascii="Times New Roman" w:hAnsi="宋体" w:eastAsia="宋体" w:cs="宋体"/>
                <w:sz w:val="26"/>
                <w:szCs w:val="24"/>
              </w:rPr>
            </w:pPr>
          </w:p>
        </w:tc>
        <w:tc>
          <w:tcPr>
            <w:tcW w:w="1674" w:type="dxa"/>
          </w:tcPr>
          <w:p w14:paraId="3E8EE2DD">
            <w:pPr>
              <w:pageBreakBefore w:val="0"/>
              <w:wordWrap/>
              <w:overflowPunct/>
              <w:topLinePunct w:val="0"/>
              <w:bidi w:val="0"/>
              <w:outlineLvl w:val="9"/>
              <w:rPr>
                <w:rFonts w:ascii="Times New Roman" w:hAnsi="宋体" w:eastAsia="宋体" w:cs="宋体"/>
                <w:sz w:val="26"/>
                <w:szCs w:val="24"/>
              </w:rPr>
            </w:pPr>
          </w:p>
        </w:tc>
        <w:tc>
          <w:tcPr>
            <w:tcW w:w="1166" w:type="dxa"/>
          </w:tcPr>
          <w:p w14:paraId="7743A167">
            <w:pPr>
              <w:pageBreakBefore w:val="0"/>
              <w:wordWrap/>
              <w:overflowPunct/>
              <w:topLinePunct w:val="0"/>
              <w:bidi w:val="0"/>
              <w:outlineLvl w:val="9"/>
              <w:rPr>
                <w:rFonts w:ascii="Times New Roman" w:hAnsi="宋体" w:eastAsia="宋体" w:cs="宋体"/>
                <w:sz w:val="26"/>
                <w:szCs w:val="24"/>
              </w:rPr>
            </w:pPr>
          </w:p>
        </w:tc>
      </w:tr>
      <w:tr w14:paraId="04E69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938" w:type="dxa"/>
          </w:tcPr>
          <w:p w14:paraId="5AB351F2">
            <w:pPr>
              <w:pageBreakBefore w:val="0"/>
              <w:wordWrap/>
              <w:overflowPunct/>
              <w:topLinePunct w:val="0"/>
              <w:bidi w:val="0"/>
              <w:outlineLvl w:val="9"/>
              <w:rPr>
                <w:rFonts w:ascii="Times New Roman" w:hAnsi="宋体" w:eastAsia="宋体" w:cs="宋体"/>
                <w:sz w:val="26"/>
                <w:szCs w:val="24"/>
              </w:rPr>
            </w:pPr>
          </w:p>
        </w:tc>
        <w:tc>
          <w:tcPr>
            <w:tcW w:w="1583" w:type="dxa"/>
          </w:tcPr>
          <w:p w14:paraId="25AAF08E">
            <w:pPr>
              <w:pageBreakBefore w:val="0"/>
              <w:wordWrap/>
              <w:overflowPunct/>
              <w:topLinePunct w:val="0"/>
              <w:bidi w:val="0"/>
              <w:outlineLvl w:val="9"/>
              <w:rPr>
                <w:rFonts w:ascii="Times New Roman" w:hAnsi="宋体" w:eastAsia="宋体" w:cs="宋体"/>
                <w:sz w:val="26"/>
                <w:szCs w:val="24"/>
              </w:rPr>
            </w:pPr>
          </w:p>
        </w:tc>
        <w:tc>
          <w:tcPr>
            <w:tcW w:w="1400" w:type="dxa"/>
          </w:tcPr>
          <w:p w14:paraId="14411C2D">
            <w:pPr>
              <w:pageBreakBefore w:val="0"/>
              <w:wordWrap/>
              <w:overflowPunct/>
              <w:topLinePunct w:val="0"/>
              <w:bidi w:val="0"/>
              <w:outlineLvl w:val="9"/>
              <w:rPr>
                <w:rFonts w:ascii="Times New Roman" w:hAnsi="宋体" w:eastAsia="宋体" w:cs="宋体"/>
                <w:sz w:val="26"/>
                <w:szCs w:val="24"/>
              </w:rPr>
            </w:pPr>
          </w:p>
        </w:tc>
        <w:tc>
          <w:tcPr>
            <w:tcW w:w="1367" w:type="dxa"/>
          </w:tcPr>
          <w:p w14:paraId="0F8D1A60">
            <w:pPr>
              <w:pageBreakBefore w:val="0"/>
              <w:wordWrap/>
              <w:overflowPunct/>
              <w:topLinePunct w:val="0"/>
              <w:bidi w:val="0"/>
              <w:outlineLvl w:val="9"/>
              <w:rPr>
                <w:rFonts w:ascii="Times New Roman" w:hAnsi="宋体" w:eastAsia="宋体" w:cs="宋体"/>
                <w:sz w:val="26"/>
                <w:szCs w:val="24"/>
              </w:rPr>
            </w:pPr>
          </w:p>
        </w:tc>
        <w:tc>
          <w:tcPr>
            <w:tcW w:w="1543" w:type="dxa"/>
          </w:tcPr>
          <w:p w14:paraId="7C7866AA">
            <w:pPr>
              <w:pageBreakBefore w:val="0"/>
              <w:wordWrap/>
              <w:overflowPunct/>
              <w:topLinePunct w:val="0"/>
              <w:bidi w:val="0"/>
              <w:outlineLvl w:val="9"/>
              <w:rPr>
                <w:rFonts w:ascii="Times New Roman" w:hAnsi="宋体" w:eastAsia="宋体" w:cs="宋体"/>
                <w:sz w:val="26"/>
                <w:szCs w:val="24"/>
              </w:rPr>
            </w:pPr>
          </w:p>
        </w:tc>
        <w:tc>
          <w:tcPr>
            <w:tcW w:w="1674" w:type="dxa"/>
          </w:tcPr>
          <w:p w14:paraId="3D38080E">
            <w:pPr>
              <w:pageBreakBefore w:val="0"/>
              <w:wordWrap/>
              <w:overflowPunct/>
              <w:topLinePunct w:val="0"/>
              <w:bidi w:val="0"/>
              <w:outlineLvl w:val="9"/>
              <w:rPr>
                <w:rFonts w:ascii="Times New Roman" w:hAnsi="宋体" w:eastAsia="宋体" w:cs="宋体"/>
                <w:sz w:val="26"/>
                <w:szCs w:val="24"/>
              </w:rPr>
            </w:pPr>
          </w:p>
        </w:tc>
        <w:tc>
          <w:tcPr>
            <w:tcW w:w="1166" w:type="dxa"/>
          </w:tcPr>
          <w:p w14:paraId="5BF2B9BE">
            <w:pPr>
              <w:pageBreakBefore w:val="0"/>
              <w:wordWrap/>
              <w:overflowPunct/>
              <w:topLinePunct w:val="0"/>
              <w:bidi w:val="0"/>
              <w:outlineLvl w:val="9"/>
              <w:rPr>
                <w:rFonts w:ascii="Times New Roman" w:hAnsi="宋体" w:eastAsia="宋体" w:cs="宋体"/>
                <w:sz w:val="26"/>
                <w:szCs w:val="24"/>
              </w:rPr>
            </w:pPr>
          </w:p>
        </w:tc>
      </w:tr>
      <w:tr w14:paraId="0F8C8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38" w:type="dxa"/>
          </w:tcPr>
          <w:p w14:paraId="711EA79A">
            <w:pPr>
              <w:pageBreakBefore w:val="0"/>
              <w:wordWrap/>
              <w:overflowPunct/>
              <w:topLinePunct w:val="0"/>
              <w:bidi w:val="0"/>
              <w:outlineLvl w:val="9"/>
              <w:rPr>
                <w:rFonts w:ascii="Times New Roman" w:hAnsi="宋体" w:eastAsia="宋体" w:cs="宋体"/>
                <w:sz w:val="26"/>
                <w:szCs w:val="24"/>
              </w:rPr>
            </w:pPr>
          </w:p>
        </w:tc>
        <w:tc>
          <w:tcPr>
            <w:tcW w:w="1583" w:type="dxa"/>
          </w:tcPr>
          <w:p w14:paraId="704B8B76">
            <w:pPr>
              <w:pageBreakBefore w:val="0"/>
              <w:wordWrap/>
              <w:overflowPunct/>
              <w:topLinePunct w:val="0"/>
              <w:bidi w:val="0"/>
              <w:outlineLvl w:val="9"/>
              <w:rPr>
                <w:rFonts w:ascii="Times New Roman" w:hAnsi="宋体" w:eastAsia="宋体" w:cs="宋体"/>
                <w:sz w:val="26"/>
                <w:szCs w:val="24"/>
              </w:rPr>
            </w:pPr>
          </w:p>
        </w:tc>
        <w:tc>
          <w:tcPr>
            <w:tcW w:w="1400" w:type="dxa"/>
          </w:tcPr>
          <w:p w14:paraId="33F5C98F">
            <w:pPr>
              <w:pageBreakBefore w:val="0"/>
              <w:wordWrap/>
              <w:overflowPunct/>
              <w:topLinePunct w:val="0"/>
              <w:bidi w:val="0"/>
              <w:outlineLvl w:val="9"/>
              <w:rPr>
                <w:rFonts w:ascii="Times New Roman" w:hAnsi="宋体" w:eastAsia="宋体" w:cs="宋体"/>
                <w:sz w:val="26"/>
                <w:szCs w:val="24"/>
              </w:rPr>
            </w:pPr>
          </w:p>
        </w:tc>
        <w:tc>
          <w:tcPr>
            <w:tcW w:w="1367" w:type="dxa"/>
          </w:tcPr>
          <w:p w14:paraId="39DBD217">
            <w:pPr>
              <w:pageBreakBefore w:val="0"/>
              <w:wordWrap/>
              <w:overflowPunct/>
              <w:topLinePunct w:val="0"/>
              <w:bidi w:val="0"/>
              <w:outlineLvl w:val="9"/>
              <w:rPr>
                <w:rFonts w:ascii="Times New Roman" w:hAnsi="宋体" w:eastAsia="宋体" w:cs="宋体"/>
                <w:sz w:val="26"/>
                <w:szCs w:val="24"/>
              </w:rPr>
            </w:pPr>
          </w:p>
        </w:tc>
        <w:tc>
          <w:tcPr>
            <w:tcW w:w="1543" w:type="dxa"/>
          </w:tcPr>
          <w:p w14:paraId="5F0B3F56">
            <w:pPr>
              <w:pageBreakBefore w:val="0"/>
              <w:wordWrap/>
              <w:overflowPunct/>
              <w:topLinePunct w:val="0"/>
              <w:bidi w:val="0"/>
              <w:outlineLvl w:val="9"/>
              <w:rPr>
                <w:rFonts w:ascii="Times New Roman" w:hAnsi="宋体" w:eastAsia="宋体" w:cs="宋体"/>
                <w:sz w:val="26"/>
                <w:szCs w:val="24"/>
              </w:rPr>
            </w:pPr>
          </w:p>
        </w:tc>
        <w:tc>
          <w:tcPr>
            <w:tcW w:w="1674" w:type="dxa"/>
          </w:tcPr>
          <w:p w14:paraId="49F5FDFA">
            <w:pPr>
              <w:pageBreakBefore w:val="0"/>
              <w:wordWrap/>
              <w:overflowPunct/>
              <w:topLinePunct w:val="0"/>
              <w:bidi w:val="0"/>
              <w:outlineLvl w:val="9"/>
              <w:rPr>
                <w:rFonts w:ascii="Times New Roman" w:hAnsi="宋体" w:eastAsia="宋体" w:cs="宋体"/>
                <w:sz w:val="26"/>
                <w:szCs w:val="24"/>
              </w:rPr>
            </w:pPr>
          </w:p>
        </w:tc>
        <w:tc>
          <w:tcPr>
            <w:tcW w:w="1166" w:type="dxa"/>
          </w:tcPr>
          <w:p w14:paraId="07022F48">
            <w:pPr>
              <w:pageBreakBefore w:val="0"/>
              <w:wordWrap/>
              <w:overflowPunct/>
              <w:topLinePunct w:val="0"/>
              <w:bidi w:val="0"/>
              <w:outlineLvl w:val="9"/>
              <w:rPr>
                <w:rFonts w:ascii="Times New Roman" w:hAnsi="宋体" w:eastAsia="宋体" w:cs="宋体"/>
                <w:sz w:val="26"/>
                <w:szCs w:val="24"/>
              </w:rPr>
            </w:pPr>
          </w:p>
        </w:tc>
      </w:tr>
      <w:tr w14:paraId="5C7DC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38" w:type="dxa"/>
          </w:tcPr>
          <w:p w14:paraId="1F94AAD9">
            <w:pPr>
              <w:pageBreakBefore w:val="0"/>
              <w:wordWrap/>
              <w:overflowPunct/>
              <w:topLinePunct w:val="0"/>
              <w:bidi w:val="0"/>
              <w:outlineLvl w:val="9"/>
              <w:rPr>
                <w:rFonts w:ascii="Times New Roman" w:hAnsi="宋体" w:eastAsia="宋体" w:cs="宋体"/>
                <w:sz w:val="26"/>
                <w:szCs w:val="24"/>
              </w:rPr>
            </w:pPr>
          </w:p>
        </w:tc>
        <w:tc>
          <w:tcPr>
            <w:tcW w:w="1583" w:type="dxa"/>
          </w:tcPr>
          <w:p w14:paraId="4E05C7AE">
            <w:pPr>
              <w:pageBreakBefore w:val="0"/>
              <w:wordWrap/>
              <w:overflowPunct/>
              <w:topLinePunct w:val="0"/>
              <w:bidi w:val="0"/>
              <w:outlineLvl w:val="9"/>
              <w:rPr>
                <w:rFonts w:ascii="Times New Roman" w:hAnsi="宋体" w:eastAsia="宋体" w:cs="宋体"/>
                <w:sz w:val="26"/>
                <w:szCs w:val="24"/>
              </w:rPr>
            </w:pPr>
          </w:p>
        </w:tc>
        <w:tc>
          <w:tcPr>
            <w:tcW w:w="1400" w:type="dxa"/>
          </w:tcPr>
          <w:p w14:paraId="40332722">
            <w:pPr>
              <w:pageBreakBefore w:val="0"/>
              <w:wordWrap/>
              <w:overflowPunct/>
              <w:topLinePunct w:val="0"/>
              <w:bidi w:val="0"/>
              <w:outlineLvl w:val="9"/>
              <w:rPr>
                <w:rFonts w:ascii="Times New Roman" w:hAnsi="宋体" w:eastAsia="宋体" w:cs="宋体"/>
                <w:sz w:val="26"/>
                <w:szCs w:val="24"/>
              </w:rPr>
            </w:pPr>
          </w:p>
        </w:tc>
        <w:tc>
          <w:tcPr>
            <w:tcW w:w="1367" w:type="dxa"/>
          </w:tcPr>
          <w:p w14:paraId="49AEEE86">
            <w:pPr>
              <w:pageBreakBefore w:val="0"/>
              <w:wordWrap/>
              <w:overflowPunct/>
              <w:topLinePunct w:val="0"/>
              <w:bidi w:val="0"/>
              <w:outlineLvl w:val="9"/>
              <w:rPr>
                <w:rFonts w:ascii="Times New Roman" w:hAnsi="宋体" w:eastAsia="宋体" w:cs="宋体"/>
                <w:sz w:val="26"/>
                <w:szCs w:val="24"/>
              </w:rPr>
            </w:pPr>
          </w:p>
        </w:tc>
        <w:tc>
          <w:tcPr>
            <w:tcW w:w="1543" w:type="dxa"/>
          </w:tcPr>
          <w:p w14:paraId="596F2F4E">
            <w:pPr>
              <w:pageBreakBefore w:val="0"/>
              <w:wordWrap/>
              <w:overflowPunct/>
              <w:topLinePunct w:val="0"/>
              <w:bidi w:val="0"/>
              <w:outlineLvl w:val="9"/>
              <w:rPr>
                <w:rFonts w:ascii="Times New Roman" w:hAnsi="宋体" w:eastAsia="宋体" w:cs="宋体"/>
                <w:sz w:val="26"/>
                <w:szCs w:val="24"/>
              </w:rPr>
            </w:pPr>
          </w:p>
        </w:tc>
        <w:tc>
          <w:tcPr>
            <w:tcW w:w="1674" w:type="dxa"/>
          </w:tcPr>
          <w:p w14:paraId="1EC1E951">
            <w:pPr>
              <w:pageBreakBefore w:val="0"/>
              <w:wordWrap/>
              <w:overflowPunct/>
              <w:topLinePunct w:val="0"/>
              <w:bidi w:val="0"/>
              <w:outlineLvl w:val="9"/>
              <w:rPr>
                <w:rFonts w:ascii="Times New Roman" w:hAnsi="宋体" w:eastAsia="宋体" w:cs="宋体"/>
                <w:sz w:val="26"/>
                <w:szCs w:val="24"/>
              </w:rPr>
            </w:pPr>
          </w:p>
        </w:tc>
        <w:tc>
          <w:tcPr>
            <w:tcW w:w="1166" w:type="dxa"/>
          </w:tcPr>
          <w:p w14:paraId="4CCDB633">
            <w:pPr>
              <w:pageBreakBefore w:val="0"/>
              <w:wordWrap/>
              <w:overflowPunct/>
              <w:topLinePunct w:val="0"/>
              <w:bidi w:val="0"/>
              <w:outlineLvl w:val="9"/>
              <w:rPr>
                <w:rFonts w:ascii="Times New Roman" w:hAnsi="宋体" w:eastAsia="宋体" w:cs="宋体"/>
                <w:sz w:val="26"/>
                <w:szCs w:val="24"/>
              </w:rPr>
            </w:pPr>
          </w:p>
        </w:tc>
      </w:tr>
      <w:tr w14:paraId="3A1AD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38" w:type="dxa"/>
          </w:tcPr>
          <w:p w14:paraId="54BC7C6D">
            <w:pPr>
              <w:pageBreakBefore w:val="0"/>
              <w:wordWrap/>
              <w:overflowPunct/>
              <w:topLinePunct w:val="0"/>
              <w:bidi w:val="0"/>
              <w:outlineLvl w:val="9"/>
              <w:rPr>
                <w:rFonts w:ascii="Times New Roman" w:hAnsi="宋体" w:eastAsia="宋体" w:cs="宋体"/>
                <w:sz w:val="26"/>
                <w:szCs w:val="24"/>
              </w:rPr>
            </w:pPr>
          </w:p>
        </w:tc>
        <w:tc>
          <w:tcPr>
            <w:tcW w:w="1583" w:type="dxa"/>
          </w:tcPr>
          <w:p w14:paraId="524B28DA">
            <w:pPr>
              <w:pageBreakBefore w:val="0"/>
              <w:wordWrap/>
              <w:overflowPunct/>
              <w:topLinePunct w:val="0"/>
              <w:bidi w:val="0"/>
              <w:outlineLvl w:val="9"/>
              <w:rPr>
                <w:rFonts w:ascii="Times New Roman" w:hAnsi="宋体" w:eastAsia="宋体" w:cs="宋体"/>
                <w:sz w:val="26"/>
                <w:szCs w:val="24"/>
              </w:rPr>
            </w:pPr>
          </w:p>
        </w:tc>
        <w:tc>
          <w:tcPr>
            <w:tcW w:w="1400" w:type="dxa"/>
          </w:tcPr>
          <w:p w14:paraId="026B84F1">
            <w:pPr>
              <w:pageBreakBefore w:val="0"/>
              <w:wordWrap/>
              <w:overflowPunct/>
              <w:topLinePunct w:val="0"/>
              <w:bidi w:val="0"/>
              <w:outlineLvl w:val="9"/>
              <w:rPr>
                <w:rFonts w:ascii="Times New Roman" w:hAnsi="宋体" w:eastAsia="宋体" w:cs="宋体"/>
                <w:sz w:val="26"/>
                <w:szCs w:val="24"/>
              </w:rPr>
            </w:pPr>
          </w:p>
        </w:tc>
        <w:tc>
          <w:tcPr>
            <w:tcW w:w="1367" w:type="dxa"/>
          </w:tcPr>
          <w:p w14:paraId="2AE8CA5A">
            <w:pPr>
              <w:pageBreakBefore w:val="0"/>
              <w:wordWrap/>
              <w:overflowPunct/>
              <w:topLinePunct w:val="0"/>
              <w:bidi w:val="0"/>
              <w:outlineLvl w:val="9"/>
              <w:rPr>
                <w:rFonts w:ascii="Times New Roman" w:hAnsi="宋体" w:eastAsia="宋体" w:cs="宋体"/>
                <w:sz w:val="26"/>
                <w:szCs w:val="24"/>
              </w:rPr>
            </w:pPr>
          </w:p>
        </w:tc>
        <w:tc>
          <w:tcPr>
            <w:tcW w:w="1543" w:type="dxa"/>
          </w:tcPr>
          <w:p w14:paraId="0BBFA3AB">
            <w:pPr>
              <w:pageBreakBefore w:val="0"/>
              <w:wordWrap/>
              <w:overflowPunct/>
              <w:topLinePunct w:val="0"/>
              <w:bidi w:val="0"/>
              <w:outlineLvl w:val="9"/>
              <w:rPr>
                <w:rFonts w:ascii="Times New Roman" w:hAnsi="宋体" w:eastAsia="宋体" w:cs="宋体"/>
                <w:sz w:val="26"/>
                <w:szCs w:val="24"/>
              </w:rPr>
            </w:pPr>
          </w:p>
        </w:tc>
        <w:tc>
          <w:tcPr>
            <w:tcW w:w="1674" w:type="dxa"/>
          </w:tcPr>
          <w:p w14:paraId="3DFD2957">
            <w:pPr>
              <w:pageBreakBefore w:val="0"/>
              <w:wordWrap/>
              <w:overflowPunct/>
              <w:topLinePunct w:val="0"/>
              <w:bidi w:val="0"/>
              <w:outlineLvl w:val="9"/>
              <w:rPr>
                <w:rFonts w:ascii="Times New Roman" w:hAnsi="宋体" w:eastAsia="宋体" w:cs="宋体"/>
                <w:sz w:val="26"/>
                <w:szCs w:val="24"/>
              </w:rPr>
            </w:pPr>
          </w:p>
        </w:tc>
        <w:tc>
          <w:tcPr>
            <w:tcW w:w="1166" w:type="dxa"/>
          </w:tcPr>
          <w:p w14:paraId="40AA759C">
            <w:pPr>
              <w:pageBreakBefore w:val="0"/>
              <w:wordWrap/>
              <w:overflowPunct/>
              <w:topLinePunct w:val="0"/>
              <w:bidi w:val="0"/>
              <w:outlineLvl w:val="9"/>
              <w:rPr>
                <w:rFonts w:ascii="Times New Roman" w:hAnsi="宋体" w:eastAsia="宋体" w:cs="宋体"/>
                <w:sz w:val="26"/>
                <w:szCs w:val="24"/>
              </w:rPr>
            </w:pPr>
          </w:p>
        </w:tc>
      </w:tr>
      <w:tr w14:paraId="4E9B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938" w:type="dxa"/>
          </w:tcPr>
          <w:p w14:paraId="4A2F4DA6">
            <w:pPr>
              <w:pageBreakBefore w:val="0"/>
              <w:wordWrap/>
              <w:overflowPunct/>
              <w:topLinePunct w:val="0"/>
              <w:bidi w:val="0"/>
              <w:outlineLvl w:val="9"/>
              <w:rPr>
                <w:rFonts w:ascii="Times New Roman" w:hAnsi="宋体" w:eastAsia="宋体" w:cs="宋体"/>
                <w:sz w:val="26"/>
                <w:szCs w:val="24"/>
              </w:rPr>
            </w:pPr>
          </w:p>
        </w:tc>
        <w:tc>
          <w:tcPr>
            <w:tcW w:w="1583" w:type="dxa"/>
          </w:tcPr>
          <w:p w14:paraId="2F34B162">
            <w:pPr>
              <w:pageBreakBefore w:val="0"/>
              <w:wordWrap/>
              <w:overflowPunct/>
              <w:topLinePunct w:val="0"/>
              <w:bidi w:val="0"/>
              <w:outlineLvl w:val="9"/>
              <w:rPr>
                <w:rFonts w:ascii="Times New Roman" w:hAnsi="宋体" w:eastAsia="宋体" w:cs="宋体"/>
                <w:sz w:val="26"/>
                <w:szCs w:val="24"/>
              </w:rPr>
            </w:pPr>
          </w:p>
        </w:tc>
        <w:tc>
          <w:tcPr>
            <w:tcW w:w="1400" w:type="dxa"/>
          </w:tcPr>
          <w:p w14:paraId="5485ECCF">
            <w:pPr>
              <w:pageBreakBefore w:val="0"/>
              <w:wordWrap/>
              <w:overflowPunct/>
              <w:topLinePunct w:val="0"/>
              <w:bidi w:val="0"/>
              <w:outlineLvl w:val="9"/>
              <w:rPr>
                <w:rFonts w:ascii="Times New Roman" w:hAnsi="宋体" w:eastAsia="宋体" w:cs="宋体"/>
                <w:sz w:val="26"/>
                <w:szCs w:val="24"/>
              </w:rPr>
            </w:pPr>
          </w:p>
        </w:tc>
        <w:tc>
          <w:tcPr>
            <w:tcW w:w="1367" w:type="dxa"/>
          </w:tcPr>
          <w:p w14:paraId="24CA1D7B">
            <w:pPr>
              <w:pageBreakBefore w:val="0"/>
              <w:wordWrap/>
              <w:overflowPunct/>
              <w:topLinePunct w:val="0"/>
              <w:bidi w:val="0"/>
              <w:outlineLvl w:val="9"/>
              <w:rPr>
                <w:rFonts w:ascii="Times New Roman" w:hAnsi="宋体" w:eastAsia="宋体" w:cs="宋体"/>
                <w:sz w:val="26"/>
                <w:szCs w:val="24"/>
              </w:rPr>
            </w:pPr>
          </w:p>
        </w:tc>
        <w:tc>
          <w:tcPr>
            <w:tcW w:w="1543" w:type="dxa"/>
          </w:tcPr>
          <w:p w14:paraId="23F347F7">
            <w:pPr>
              <w:pageBreakBefore w:val="0"/>
              <w:wordWrap/>
              <w:overflowPunct/>
              <w:topLinePunct w:val="0"/>
              <w:bidi w:val="0"/>
              <w:outlineLvl w:val="9"/>
              <w:rPr>
                <w:rFonts w:ascii="Times New Roman" w:hAnsi="宋体" w:eastAsia="宋体" w:cs="宋体"/>
                <w:sz w:val="26"/>
                <w:szCs w:val="24"/>
              </w:rPr>
            </w:pPr>
          </w:p>
        </w:tc>
        <w:tc>
          <w:tcPr>
            <w:tcW w:w="1674" w:type="dxa"/>
          </w:tcPr>
          <w:p w14:paraId="247D0A69">
            <w:pPr>
              <w:pageBreakBefore w:val="0"/>
              <w:wordWrap/>
              <w:overflowPunct/>
              <w:topLinePunct w:val="0"/>
              <w:bidi w:val="0"/>
              <w:outlineLvl w:val="9"/>
              <w:rPr>
                <w:rFonts w:ascii="Times New Roman" w:hAnsi="宋体" w:eastAsia="宋体" w:cs="宋体"/>
                <w:sz w:val="26"/>
                <w:szCs w:val="24"/>
              </w:rPr>
            </w:pPr>
          </w:p>
        </w:tc>
        <w:tc>
          <w:tcPr>
            <w:tcW w:w="1166" w:type="dxa"/>
          </w:tcPr>
          <w:p w14:paraId="53A7EE2A">
            <w:pPr>
              <w:pageBreakBefore w:val="0"/>
              <w:wordWrap/>
              <w:overflowPunct/>
              <w:topLinePunct w:val="0"/>
              <w:bidi w:val="0"/>
              <w:outlineLvl w:val="9"/>
              <w:rPr>
                <w:rFonts w:ascii="Times New Roman" w:hAnsi="宋体" w:eastAsia="宋体" w:cs="宋体"/>
                <w:sz w:val="26"/>
                <w:szCs w:val="24"/>
              </w:rPr>
            </w:pPr>
          </w:p>
        </w:tc>
      </w:tr>
    </w:tbl>
    <w:p w14:paraId="24F2BA2B">
      <w:pPr>
        <w:pageBreakBefore w:val="0"/>
        <w:wordWrap/>
        <w:overflowPunct/>
        <w:topLinePunct w:val="0"/>
        <w:bidi w:val="0"/>
        <w:outlineLvl w:val="9"/>
        <w:rPr>
          <w:rFonts w:hint="eastAsia" w:ascii="宋体" w:hAnsi="宋体" w:eastAsia="宋体" w:cs="宋体"/>
          <w:b/>
          <w:bCs/>
          <w:sz w:val="32"/>
          <w:szCs w:val="32"/>
        </w:rPr>
      </w:pPr>
    </w:p>
    <w:p w14:paraId="7C79182D">
      <w:pPr>
        <w:pageBreakBefore w:val="0"/>
        <w:wordWrap/>
        <w:overflowPunct/>
        <w:topLinePunct w:val="0"/>
        <w:bidi w:val="0"/>
        <w:outlineLvl w:val="9"/>
        <w:rPr>
          <w:rFonts w:hint="eastAsia" w:ascii="宋体" w:hAnsi="宋体" w:eastAsia="宋体" w:cs="宋体"/>
          <w:b/>
          <w:bCs/>
          <w:sz w:val="32"/>
          <w:szCs w:val="32"/>
        </w:rPr>
      </w:pPr>
    </w:p>
    <w:p w14:paraId="3540C1D6">
      <w:pPr>
        <w:pageBreakBefore w:val="0"/>
        <w:tabs>
          <w:tab w:val="left" w:pos="3459"/>
        </w:tabs>
        <w:wordWrap/>
        <w:overflowPunct/>
        <w:topLinePunct w:val="0"/>
        <w:bidi w:val="0"/>
        <w:spacing w:before="1" w:line="360" w:lineRule="auto"/>
        <w:ind w:left="220"/>
        <w:outlineLvl w:val="9"/>
        <w:rPr>
          <w:rFonts w:ascii="宋体" w:hAnsi="宋体" w:eastAsia="宋体" w:cs="宋体"/>
          <w:sz w:val="24"/>
          <w:szCs w:val="24"/>
        </w:rPr>
      </w:pPr>
      <w:r>
        <w:rPr>
          <w:rFonts w:hint="eastAsia" w:ascii="宋体" w:hAnsi="宋体" w:eastAsia="宋体" w:cs="宋体"/>
          <w:sz w:val="24"/>
          <w:szCs w:val="24"/>
        </w:rPr>
        <w:t>供应商名称：           （</w:t>
      </w:r>
      <w:r>
        <w:rPr>
          <w:rFonts w:hint="eastAsia" w:ascii="宋体" w:hAnsi="宋体" w:eastAsia="宋体" w:cs="宋体"/>
          <w:spacing w:val="-3"/>
          <w:sz w:val="24"/>
          <w:szCs w:val="24"/>
        </w:rPr>
        <w:t>电子签章</w:t>
      </w:r>
      <w:r>
        <w:rPr>
          <w:rFonts w:hint="eastAsia" w:ascii="宋体" w:hAnsi="宋体" w:eastAsia="宋体" w:cs="宋体"/>
          <w:sz w:val="24"/>
          <w:szCs w:val="24"/>
        </w:rPr>
        <w:t>）</w:t>
      </w:r>
    </w:p>
    <w:p w14:paraId="13D5C7CB">
      <w:pPr>
        <w:pageBreakBefore w:val="0"/>
        <w:tabs>
          <w:tab w:val="left" w:pos="3459"/>
        </w:tabs>
        <w:wordWrap/>
        <w:overflowPunct/>
        <w:topLinePunct w:val="0"/>
        <w:bidi w:val="0"/>
        <w:spacing w:before="160" w:line="360" w:lineRule="auto"/>
        <w:ind w:left="220" w:right="5785"/>
        <w:outlineLvl w:val="9"/>
        <w:rPr>
          <w:rFonts w:ascii="宋体" w:hAnsi="宋体" w:eastAsia="宋体" w:cs="宋体"/>
          <w:spacing w:val="-18"/>
          <w:sz w:val="24"/>
          <w:szCs w:val="24"/>
        </w:rPr>
      </w:pPr>
      <w:r>
        <w:rPr>
          <w:rFonts w:hint="eastAsia" w:ascii="宋体" w:hAnsi="宋体" w:eastAsia="宋体" w:cs="宋体"/>
          <w:sz w:val="24"/>
          <w:szCs w:val="24"/>
        </w:rPr>
        <w:t>法定代表人：        （</w:t>
      </w:r>
      <w:r>
        <w:rPr>
          <w:rFonts w:hint="eastAsia" w:ascii="宋体" w:hAnsi="宋体" w:eastAsia="宋体" w:cs="宋体"/>
          <w:spacing w:val="-3"/>
          <w:sz w:val="24"/>
          <w:szCs w:val="24"/>
        </w:rPr>
        <w:t>电子签章</w:t>
      </w:r>
      <w:r>
        <w:rPr>
          <w:rFonts w:hint="eastAsia" w:ascii="宋体" w:hAnsi="宋体" w:eastAsia="宋体" w:cs="宋体"/>
          <w:spacing w:val="-18"/>
          <w:sz w:val="24"/>
          <w:szCs w:val="24"/>
        </w:rPr>
        <w:t>）</w:t>
      </w:r>
    </w:p>
    <w:p w14:paraId="723A2A81">
      <w:pPr>
        <w:pageBreakBefore w:val="0"/>
        <w:wordWrap/>
        <w:overflowPunct/>
        <w:topLinePunct w:val="0"/>
        <w:bidi w:val="0"/>
        <w:outlineLvl w:val="9"/>
        <w:rPr>
          <w:rFonts w:hint="eastAsia" w:ascii="宋体" w:hAnsi="宋体" w:eastAsia="宋体" w:cs="宋体"/>
          <w:sz w:val="24"/>
          <w:szCs w:val="24"/>
        </w:rPr>
      </w:pPr>
    </w:p>
    <w:p w14:paraId="59AB5EAA">
      <w:pPr>
        <w:pageBreakBefore w:val="0"/>
        <w:wordWrap/>
        <w:overflowPunct/>
        <w:topLinePunct w:val="0"/>
        <w:bidi w:val="0"/>
        <w:outlineLvl w:val="9"/>
        <w:rPr>
          <w:rFonts w:hint="eastAsia" w:ascii="宋体" w:hAnsi="宋体" w:eastAsia="宋体" w:cs="宋体"/>
          <w:b/>
          <w:bCs/>
          <w:sz w:val="32"/>
          <w:szCs w:val="32"/>
        </w:rPr>
      </w:pPr>
      <w:r>
        <w:rPr>
          <w:rFonts w:hint="eastAsia" w:ascii="宋体" w:hAnsi="宋体" w:eastAsia="宋体" w:cs="宋体"/>
          <w:sz w:val="24"/>
          <w:szCs w:val="24"/>
        </w:rPr>
        <w:t>日期：</w:t>
      </w:r>
    </w:p>
    <w:p w14:paraId="3B4F64E8">
      <w:pPr>
        <w:pageBreakBefore w:val="0"/>
        <w:wordWrap/>
        <w:overflowPunct/>
        <w:topLinePunct w:val="0"/>
        <w:bidi w:val="0"/>
        <w:outlineLvl w:val="9"/>
        <w:rPr>
          <w:rFonts w:hint="eastAsia" w:ascii="宋体" w:hAnsi="宋体" w:eastAsia="宋体" w:cs="宋体"/>
          <w:b/>
          <w:bCs/>
          <w:sz w:val="32"/>
          <w:szCs w:val="32"/>
        </w:rPr>
      </w:pPr>
    </w:p>
    <w:p w14:paraId="36935CC2">
      <w:pPr>
        <w:pageBreakBefore w:val="0"/>
        <w:wordWrap/>
        <w:overflowPunct/>
        <w:topLinePunct w:val="0"/>
        <w:bidi w:val="0"/>
        <w:outlineLvl w:val="9"/>
        <w:rPr>
          <w:rFonts w:hint="eastAsia" w:ascii="宋体" w:hAnsi="宋体" w:eastAsia="宋体" w:cs="宋体"/>
          <w:b/>
          <w:bCs/>
          <w:sz w:val="32"/>
          <w:szCs w:val="32"/>
        </w:rPr>
      </w:pPr>
    </w:p>
    <w:p w14:paraId="1739E3E4">
      <w:pPr>
        <w:pageBreakBefore w:val="0"/>
        <w:wordWrap/>
        <w:overflowPunct/>
        <w:topLinePunct w:val="0"/>
        <w:bidi w:val="0"/>
        <w:outlineLvl w:val="9"/>
        <w:rPr>
          <w:rFonts w:hint="eastAsia" w:ascii="宋体" w:hAnsi="宋体" w:eastAsia="宋体" w:cs="宋体"/>
          <w:b/>
          <w:bCs/>
          <w:sz w:val="32"/>
          <w:szCs w:val="32"/>
        </w:rPr>
      </w:pPr>
      <w:r>
        <w:rPr>
          <w:rFonts w:hint="eastAsia" w:ascii="宋体" w:hAnsi="宋体" w:eastAsia="宋体" w:cs="宋体"/>
          <w:b/>
          <w:bCs/>
          <w:sz w:val="32"/>
          <w:szCs w:val="32"/>
        </w:rPr>
        <w:br w:type="page"/>
      </w:r>
    </w:p>
    <w:p w14:paraId="7E7CB9EF">
      <w:pPr>
        <w:pageBreakBefore w:val="0"/>
        <w:wordWrap/>
        <w:overflowPunct/>
        <w:topLinePunct w:val="0"/>
        <w:bidi w:val="0"/>
        <w:spacing w:line="480" w:lineRule="atLeast"/>
        <w:ind w:firstLine="567"/>
        <w:jc w:val="center"/>
        <w:textAlignment w:val="baseline"/>
        <w:outlineLvl w:val="9"/>
        <w:rPr>
          <w:rFonts w:ascii="宋体" w:hAnsi="宋体" w:eastAsia="宋体" w:cs="宋体"/>
          <w:b/>
          <w:bCs/>
          <w:sz w:val="32"/>
          <w:szCs w:val="32"/>
        </w:rPr>
      </w:pPr>
      <w:r>
        <w:rPr>
          <w:rFonts w:hint="eastAsia" w:ascii="宋体" w:hAnsi="宋体" w:eastAsia="宋体" w:cs="宋体"/>
          <w:b/>
          <w:bCs/>
          <w:sz w:val="32"/>
          <w:szCs w:val="32"/>
        </w:rPr>
        <w:t>六、资格证明文件</w:t>
      </w:r>
    </w:p>
    <w:tbl>
      <w:tblPr>
        <w:tblStyle w:val="22"/>
        <w:tblW w:w="4999" w:type="pct"/>
        <w:jc w:val="center"/>
        <w:tblLayout w:type="autofit"/>
        <w:tblCellMar>
          <w:top w:w="0" w:type="dxa"/>
          <w:left w:w="0" w:type="dxa"/>
          <w:bottom w:w="0" w:type="dxa"/>
          <w:right w:w="0" w:type="dxa"/>
        </w:tblCellMar>
      </w:tblPr>
      <w:tblGrid>
        <w:gridCol w:w="2695"/>
        <w:gridCol w:w="920"/>
        <w:gridCol w:w="689"/>
        <w:gridCol w:w="1401"/>
        <w:gridCol w:w="450"/>
        <w:gridCol w:w="946"/>
        <w:gridCol w:w="897"/>
        <w:gridCol w:w="311"/>
        <w:gridCol w:w="1337"/>
      </w:tblGrid>
      <w:tr w14:paraId="34765A96">
        <w:trPr>
          <w:trHeight w:val="451"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0D87046">
            <w:pPr>
              <w:keepNext w:val="0"/>
              <w:keepLines w:val="0"/>
              <w:pageBreakBefore w:val="0"/>
              <w:kinsoku/>
              <w:wordWrap/>
              <w:overflowPunct/>
              <w:topLinePunct w:val="0"/>
              <w:autoSpaceDE w:val="0"/>
              <w:autoSpaceDN w:val="0"/>
              <w:bidi w:val="0"/>
              <w:adjustRightInd w:val="0"/>
              <w:snapToGrid/>
              <w:spacing w:before="48" w:line="360" w:lineRule="auto"/>
              <w:ind w:left="491" w:right="-20" w:firstLine="0"/>
              <w:jc w:val="both"/>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r>
              <w:rPr>
                <w:rFonts w:hint="eastAsia" w:asciiTheme="minorEastAsia" w:hAnsiTheme="minorEastAsia" w:eastAsiaTheme="minorEastAsia" w:cstheme="minorEastAsia"/>
                <w:color w:val="auto"/>
                <w:spacing w:val="-2"/>
                <w:kern w:val="0"/>
                <w:sz w:val="24"/>
                <w:szCs w:val="24"/>
                <w:highlight w:val="none"/>
              </w:rPr>
              <w:t>人</w:t>
            </w:r>
            <w:r>
              <w:rPr>
                <w:rFonts w:hint="eastAsia" w:asciiTheme="minorEastAsia" w:hAnsiTheme="minorEastAsia" w:eastAsiaTheme="minorEastAsia" w:cstheme="minorEastAsia"/>
                <w:color w:val="auto"/>
                <w:kern w:val="0"/>
                <w:sz w:val="24"/>
                <w:szCs w:val="24"/>
                <w:highlight w:val="none"/>
              </w:rPr>
              <w:t>名称</w:t>
            </w:r>
          </w:p>
        </w:tc>
        <w:tc>
          <w:tcPr>
            <w:tcW w:w="3602" w:type="pct"/>
            <w:gridSpan w:val="8"/>
            <w:tcBorders>
              <w:top w:val="single" w:color="000000" w:sz="4" w:space="0"/>
              <w:left w:val="nil"/>
              <w:bottom w:val="single" w:color="000000" w:sz="4" w:space="0"/>
              <w:right w:val="single" w:color="000000" w:sz="4" w:space="0"/>
            </w:tcBorders>
            <w:noWrap w:val="0"/>
            <w:vAlign w:val="center"/>
          </w:tcPr>
          <w:p w14:paraId="6D8BC8D4">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627F8E69">
        <w:trPr>
          <w:trHeight w:val="449"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7379288">
            <w:pPr>
              <w:keepNext w:val="0"/>
              <w:keepLines w:val="0"/>
              <w:pageBreakBefore w:val="0"/>
              <w:kinsoku/>
              <w:wordWrap/>
              <w:overflowPunct/>
              <w:topLinePunct w:val="0"/>
              <w:autoSpaceDE w:val="0"/>
              <w:autoSpaceDN w:val="0"/>
              <w:bidi w:val="0"/>
              <w:adjustRightInd w:val="0"/>
              <w:snapToGrid/>
              <w:spacing w:before="48" w:line="360" w:lineRule="auto"/>
              <w:ind w:left="597" w:right="-20" w:firstLine="0"/>
              <w:jc w:val="both"/>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注册</w:t>
            </w:r>
            <w:r>
              <w:rPr>
                <w:rFonts w:hint="eastAsia" w:asciiTheme="minorEastAsia" w:hAnsiTheme="minorEastAsia" w:eastAsiaTheme="minorEastAsia" w:cstheme="minorEastAsia"/>
                <w:color w:val="auto"/>
                <w:spacing w:val="-2"/>
                <w:kern w:val="0"/>
                <w:sz w:val="24"/>
                <w:szCs w:val="24"/>
                <w:highlight w:val="none"/>
              </w:rPr>
              <w:t>地</w:t>
            </w:r>
            <w:r>
              <w:rPr>
                <w:rFonts w:hint="eastAsia" w:asciiTheme="minorEastAsia" w:hAnsiTheme="minorEastAsia" w:eastAsiaTheme="minorEastAsia" w:cstheme="minorEastAsia"/>
                <w:color w:val="auto"/>
                <w:kern w:val="0"/>
                <w:sz w:val="24"/>
                <w:szCs w:val="24"/>
                <w:highlight w:val="none"/>
              </w:rPr>
              <w:t>址</w:t>
            </w:r>
          </w:p>
        </w:tc>
        <w:tc>
          <w:tcPr>
            <w:tcW w:w="1560" w:type="pct"/>
            <w:gridSpan w:val="3"/>
            <w:tcBorders>
              <w:top w:val="single" w:color="000000" w:sz="4" w:space="0"/>
              <w:left w:val="nil"/>
              <w:bottom w:val="single" w:color="000000" w:sz="4" w:space="0"/>
              <w:right w:val="single" w:color="000000" w:sz="4" w:space="0"/>
            </w:tcBorders>
            <w:noWrap w:val="0"/>
            <w:vAlign w:val="center"/>
          </w:tcPr>
          <w:p w14:paraId="2D39F811">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723" w:type="pct"/>
            <w:gridSpan w:val="2"/>
            <w:tcBorders>
              <w:top w:val="single" w:color="000000" w:sz="4" w:space="0"/>
              <w:left w:val="nil"/>
              <w:bottom w:val="single" w:color="000000" w:sz="4" w:space="0"/>
              <w:right w:val="single" w:color="000000" w:sz="4" w:space="0"/>
            </w:tcBorders>
            <w:noWrap w:val="0"/>
            <w:vAlign w:val="center"/>
          </w:tcPr>
          <w:p w14:paraId="0BF477A7">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邮政</w:t>
            </w:r>
            <w:r>
              <w:rPr>
                <w:rFonts w:hint="eastAsia" w:asciiTheme="minorEastAsia" w:hAnsiTheme="minorEastAsia" w:eastAsiaTheme="minorEastAsia" w:cstheme="minorEastAsia"/>
                <w:color w:val="auto"/>
                <w:spacing w:val="-2"/>
                <w:kern w:val="0"/>
                <w:sz w:val="24"/>
                <w:szCs w:val="24"/>
                <w:highlight w:val="none"/>
              </w:rPr>
              <w:t>编</w:t>
            </w:r>
            <w:r>
              <w:rPr>
                <w:rFonts w:hint="eastAsia" w:asciiTheme="minorEastAsia" w:hAnsiTheme="minorEastAsia" w:eastAsiaTheme="minorEastAsia" w:cstheme="minorEastAsia"/>
                <w:color w:val="auto"/>
                <w:kern w:val="0"/>
                <w:sz w:val="24"/>
                <w:szCs w:val="24"/>
                <w:highlight w:val="none"/>
              </w:rPr>
              <w:t>码</w:t>
            </w:r>
          </w:p>
        </w:tc>
        <w:tc>
          <w:tcPr>
            <w:tcW w:w="1318" w:type="pct"/>
            <w:gridSpan w:val="3"/>
            <w:tcBorders>
              <w:top w:val="single" w:color="000000" w:sz="4" w:space="0"/>
              <w:left w:val="nil"/>
              <w:bottom w:val="single" w:color="000000" w:sz="4" w:space="0"/>
              <w:right w:val="single" w:color="000000" w:sz="4" w:space="0"/>
            </w:tcBorders>
            <w:noWrap w:val="0"/>
            <w:vAlign w:val="center"/>
          </w:tcPr>
          <w:p w14:paraId="71EF0BC6">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0328E714">
        <w:tblPrEx>
          <w:tblCellMar>
            <w:top w:w="0" w:type="dxa"/>
            <w:left w:w="0" w:type="dxa"/>
            <w:bottom w:w="0" w:type="dxa"/>
            <w:right w:w="0" w:type="dxa"/>
          </w:tblCellMar>
        </w:tblPrEx>
        <w:trPr>
          <w:trHeight w:val="451" w:hRule="atLeast"/>
          <w:jc w:val="center"/>
        </w:trPr>
        <w:tc>
          <w:tcPr>
            <w:tcW w:w="1397" w:type="pct"/>
            <w:vMerge w:val="restart"/>
            <w:tcBorders>
              <w:top w:val="nil"/>
              <w:left w:val="single" w:color="000000" w:sz="4" w:space="0"/>
              <w:bottom w:val="single" w:color="000000" w:sz="4" w:space="0"/>
              <w:right w:val="single" w:color="000000" w:sz="4" w:space="0"/>
            </w:tcBorders>
            <w:noWrap w:val="0"/>
            <w:vAlign w:val="center"/>
          </w:tcPr>
          <w:p w14:paraId="7CA7A8A0">
            <w:pPr>
              <w:keepNext w:val="0"/>
              <w:keepLines w:val="0"/>
              <w:pageBreakBefore w:val="0"/>
              <w:kinsoku/>
              <w:wordWrap/>
              <w:overflowPunct/>
              <w:topLinePunct w:val="0"/>
              <w:autoSpaceDE w:val="0"/>
              <w:autoSpaceDN w:val="0"/>
              <w:bidi w:val="0"/>
              <w:adjustRightInd w:val="0"/>
              <w:snapToGrid/>
              <w:spacing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w:t>
            </w:r>
            <w:r>
              <w:rPr>
                <w:rFonts w:hint="eastAsia" w:asciiTheme="minorEastAsia" w:hAnsiTheme="minorEastAsia" w:eastAsiaTheme="minorEastAsia" w:cstheme="minorEastAsia"/>
                <w:color w:val="auto"/>
                <w:spacing w:val="-2"/>
                <w:kern w:val="0"/>
                <w:sz w:val="24"/>
                <w:szCs w:val="24"/>
                <w:highlight w:val="none"/>
              </w:rPr>
              <w:t>方</w:t>
            </w:r>
            <w:r>
              <w:rPr>
                <w:rFonts w:hint="eastAsia" w:asciiTheme="minorEastAsia" w:hAnsiTheme="minorEastAsia" w:eastAsiaTheme="minorEastAsia" w:cstheme="minorEastAsia"/>
                <w:color w:val="auto"/>
                <w:kern w:val="0"/>
                <w:sz w:val="24"/>
                <w:szCs w:val="24"/>
                <w:highlight w:val="none"/>
              </w:rPr>
              <w:t>式</w:t>
            </w:r>
          </w:p>
        </w:tc>
        <w:tc>
          <w:tcPr>
            <w:tcW w:w="477" w:type="pct"/>
            <w:tcBorders>
              <w:top w:val="single" w:color="000000" w:sz="4" w:space="0"/>
              <w:left w:val="nil"/>
              <w:bottom w:val="single" w:color="000000" w:sz="4" w:space="0"/>
              <w:right w:val="single" w:color="000000" w:sz="4" w:space="0"/>
            </w:tcBorders>
            <w:noWrap w:val="0"/>
            <w:vAlign w:val="center"/>
          </w:tcPr>
          <w:p w14:paraId="344C98D7">
            <w:pPr>
              <w:keepNext w:val="0"/>
              <w:keepLines w:val="0"/>
              <w:pageBreakBefore w:val="0"/>
              <w:kinsoku/>
              <w:wordWrap/>
              <w:overflowPunct/>
              <w:topLinePunct w:val="0"/>
              <w:autoSpaceDE w:val="0"/>
              <w:autoSpaceDN w:val="0"/>
              <w:bidi w:val="0"/>
              <w:adjustRightInd w:val="0"/>
              <w:snapToGrid/>
              <w:spacing w:before="48" w:line="360" w:lineRule="auto"/>
              <w:ind w:left="126"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联系人</w:t>
            </w:r>
          </w:p>
        </w:tc>
        <w:tc>
          <w:tcPr>
            <w:tcW w:w="1082" w:type="pct"/>
            <w:gridSpan w:val="2"/>
            <w:tcBorders>
              <w:top w:val="single" w:color="000000" w:sz="4" w:space="0"/>
              <w:left w:val="nil"/>
              <w:bottom w:val="single" w:color="000000" w:sz="4" w:space="0"/>
              <w:right w:val="single" w:color="000000" w:sz="4" w:space="0"/>
            </w:tcBorders>
            <w:noWrap w:val="0"/>
            <w:vAlign w:val="center"/>
          </w:tcPr>
          <w:p w14:paraId="360C5411">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723" w:type="pct"/>
            <w:gridSpan w:val="2"/>
            <w:tcBorders>
              <w:top w:val="single" w:color="000000" w:sz="4" w:space="0"/>
              <w:left w:val="nil"/>
              <w:bottom w:val="single" w:color="000000" w:sz="4" w:space="0"/>
              <w:right w:val="single" w:color="000000" w:sz="4" w:space="0"/>
            </w:tcBorders>
            <w:noWrap w:val="0"/>
            <w:vAlign w:val="center"/>
          </w:tcPr>
          <w:p w14:paraId="116F98F7">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w:t>
            </w:r>
            <w:r>
              <w:rPr>
                <w:rFonts w:hint="eastAsia" w:asciiTheme="minorEastAsia" w:hAnsiTheme="minorEastAsia" w:eastAsiaTheme="minorEastAsia" w:cstheme="minorEastAsia"/>
                <w:color w:val="auto"/>
                <w:spacing w:val="43"/>
                <w:kern w:val="0"/>
                <w:sz w:val="24"/>
                <w:szCs w:val="24"/>
                <w:highlight w:val="none"/>
              </w:rPr>
              <w:t> </w:t>
            </w:r>
            <w:r>
              <w:rPr>
                <w:rFonts w:hint="eastAsia" w:asciiTheme="minorEastAsia" w:hAnsiTheme="minorEastAsia" w:eastAsiaTheme="minorEastAsia" w:cstheme="minorEastAsia"/>
                <w:color w:val="auto"/>
                <w:kern w:val="0"/>
                <w:sz w:val="24"/>
                <w:szCs w:val="24"/>
                <w:highlight w:val="none"/>
              </w:rPr>
              <w:t>话</w:t>
            </w:r>
          </w:p>
        </w:tc>
        <w:tc>
          <w:tcPr>
            <w:tcW w:w="1318" w:type="pct"/>
            <w:gridSpan w:val="3"/>
            <w:tcBorders>
              <w:top w:val="single" w:color="000000" w:sz="4" w:space="0"/>
              <w:left w:val="nil"/>
              <w:bottom w:val="single" w:color="000000" w:sz="4" w:space="0"/>
              <w:right w:val="single" w:color="000000" w:sz="4" w:space="0"/>
            </w:tcBorders>
            <w:noWrap w:val="0"/>
            <w:vAlign w:val="center"/>
          </w:tcPr>
          <w:p w14:paraId="1D2BE023">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2F2E2DC7">
        <w:tblPrEx>
          <w:tblCellMar>
            <w:top w:w="0" w:type="dxa"/>
            <w:left w:w="0" w:type="dxa"/>
            <w:bottom w:w="0" w:type="dxa"/>
            <w:right w:w="0" w:type="dxa"/>
          </w:tblCellMar>
        </w:tblPrEx>
        <w:trPr>
          <w:trHeight w:val="449" w:hRule="atLeast"/>
          <w:jc w:val="center"/>
        </w:trPr>
        <w:tc>
          <w:tcPr>
            <w:tcW w:w="1397" w:type="pct"/>
            <w:vMerge w:val="continue"/>
            <w:tcBorders>
              <w:top w:val="nil"/>
              <w:left w:val="single" w:color="000000" w:sz="4" w:space="0"/>
              <w:bottom w:val="single" w:color="000000" w:sz="4" w:space="0"/>
              <w:right w:val="single" w:color="000000" w:sz="4" w:space="0"/>
            </w:tcBorders>
            <w:noWrap w:val="0"/>
            <w:vAlign w:val="center"/>
          </w:tcPr>
          <w:p w14:paraId="5022BE12">
            <w:pPr>
              <w:keepNext w:val="0"/>
              <w:keepLines w:val="0"/>
              <w:pageBreakBefore w:val="0"/>
              <w:widowControl/>
              <w:kinsoku/>
              <w:wordWrap/>
              <w:overflowPunct/>
              <w:topLinePunct w:val="0"/>
              <w:bidi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477" w:type="pct"/>
            <w:tcBorders>
              <w:top w:val="single" w:color="000000" w:sz="4" w:space="0"/>
              <w:left w:val="nil"/>
              <w:bottom w:val="single" w:color="000000" w:sz="4" w:space="0"/>
              <w:right w:val="single" w:color="000000" w:sz="4" w:space="0"/>
            </w:tcBorders>
            <w:noWrap w:val="0"/>
            <w:vAlign w:val="center"/>
          </w:tcPr>
          <w:p w14:paraId="18A8C630">
            <w:pPr>
              <w:keepNext w:val="0"/>
              <w:keepLines w:val="0"/>
              <w:pageBreakBefore w:val="0"/>
              <w:kinsoku/>
              <w:wordWrap/>
              <w:overflowPunct/>
              <w:topLinePunct w:val="0"/>
              <w:autoSpaceDE w:val="0"/>
              <w:autoSpaceDN w:val="0"/>
              <w:bidi w:val="0"/>
              <w:adjustRightInd w:val="0"/>
              <w:snapToGrid/>
              <w:spacing w:before="49" w:line="360" w:lineRule="auto"/>
              <w:ind w:left="126" w:right="-20" w:firstLine="0"/>
              <w:jc w:val="both"/>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传</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真</w:t>
            </w:r>
          </w:p>
        </w:tc>
        <w:tc>
          <w:tcPr>
            <w:tcW w:w="1082" w:type="pct"/>
            <w:gridSpan w:val="2"/>
            <w:tcBorders>
              <w:top w:val="single" w:color="000000" w:sz="4" w:space="0"/>
              <w:left w:val="nil"/>
              <w:bottom w:val="single" w:color="000000" w:sz="4" w:space="0"/>
              <w:right w:val="single" w:color="000000" w:sz="4" w:space="0"/>
            </w:tcBorders>
            <w:noWrap w:val="0"/>
            <w:vAlign w:val="center"/>
          </w:tcPr>
          <w:p w14:paraId="4032FF6A">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723" w:type="pct"/>
            <w:gridSpan w:val="2"/>
            <w:tcBorders>
              <w:top w:val="single" w:color="000000" w:sz="4" w:space="0"/>
              <w:left w:val="nil"/>
              <w:bottom w:val="single" w:color="000000" w:sz="4" w:space="0"/>
              <w:right w:val="single" w:color="000000" w:sz="4" w:space="0"/>
            </w:tcBorders>
            <w:noWrap w:val="0"/>
            <w:vAlign w:val="center"/>
          </w:tcPr>
          <w:p w14:paraId="67AFC0D6">
            <w:pPr>
              <w:keepNext w:val="0"/>
              <w:keepLines w:val="0"/>
              <w:pageBreakBefore w:val="0"/>
              <w:kinsoku/>
              <w:wordWrap/>
              <w:overflowPunct/>
              <w:topLinePunct w:val="0"/>
              <w:autoSpaceDE w:val="0"/>
              <w:autoSpaceDN w:val="0"/>
              <w:bidi w:val="0"/>
              <w:adjustRightInd w:val="0"/>
              <w:snapToGrid/>
              <w:spacing w:before="49"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w:t>
            </w:r>
            <w:r>
              <w:rPr>
                <w:rFonts w:hint="eastAsia" w:asciiTheme="minorEastAsia" w:hAnsiTheme="minorEastAsia" w:eastAsiaTheme="minorEastAsia" w:cstheme="minorEastAsia"/>
                <w:color w:val="auto"/>
                <w:spacing w:val="43"/>
                <w:kern w:val="0"/>
                <w:sz w:val="24"/>
                <w:szCs w:val="24"/>
                <w:highlight w:val="none"/>
              </w:rPr>
              <w:t> </w:t>
            </w:r>
            <w:r>
              <w:rPr>
                <w:rFonts w:hint="eastAsia" w:asciiTheme="minorEastAsia" w:hAnsiTheme="minorEastAsia" w:eastAsiaTheme="minorEastAsia" w:cstheme="minorEastAsia"/>
                <w:color w:val="auto"/>
                <w:kern w:val="0"/>
                <w:sz w:val="24"/>
                <w:szCs w:val="24"/>
                <w:highlight w:val="none"/>
              </w:rPr>
              <w:t>址</w:t>
            </w:r>
          </w:p>
        </w:tc>
        <w:tc>
          <w:tcPr>
            <w:tcW w:w="1318" w:type="pct"/>
            <w:gridSpan w:val="3"/>
            <w:tcBorders>
              <w:top w:val="single" w:color="000000" w:sz="4" w:space="0"/>
              <w:left w:val="nil"/>
              <w:bottom w:val="single" w:color="000000" w:sz="4" w:space="0"/>
              <w:right w:val="single" w:color="000000" w:sz="4" w:space="0"/>
            </w:tcBorders>
            <w:noWrap w:val="0"/>
            <w:vAlign w:val="center"/>
          </w:tcPr>
          <w:p w14:paraId="1B361171">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0925C25C">
        <w:tblPrEx>
          <w:tblCellMar>
            <w:top w:w="0" w:type="dxa"/>
            <w:left w:w="0" w:type="dxa"/>
            <w:bottom w:w="0" w:type="dxa"/>
            <w:right w:w="0" w:type="dxa"/>
          </w:tblCellMar>
        </w:tblPrEx>
        <w:trPr>
          <w:trHeight w:val="451"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6F76498">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w:t>
            </w:r>
          </w:p>
        </w:tc>
        <w:tc>
          <w:tcPr>
            <w:tcW w:w="477" w:type="pct"/>
            <w:tcBorders>
              <w:top w:val="single" w:color="000000" w:sz="4" w:space="0"/>
              <w:left w:val="nil"/>
              <w:bottom w:val="single" w:color="000000" w:sz="4" w:space="0"/>
              <w:right w:val="single" w:color="000000" w:sz="4" w:space="0"/>
            </w:tcBorders>
            <w:noWrap w:val="0"/>
            <w:vAlign w:val="center"/>
          </w:tcPr>
          <w:p w14:paraId="0208B026">
            <w:pPr>
              <w:keepNext w:val="0"/>
              <w:keepLines w:val="0"/>
              <w:pageBreakBefore w:val="0"/>
              <w:kinsoku/>
              <w:wordWrap/>
              <w:overflowPunct/>
              <w:topLinePunct w:val="0"/>
              <w:autoSpaceDE w:val="0"/>
              <w:autoSpaceDN w:val="0"/>
              <w:bidi w:val="0"/>
              <w:adjustRightInd w:val="0"/>
              <w:snapToGrid/>
              <w:spacing w:before="48" w:line="360" w:lineRule="auto"/>
              <w:ind w:left="232" w:right="-20" w:firstLine="0"/>
              <w:jc w:val="both"/>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姓名</w:t>
            </w:r>
          </w:p>
        </w:tc>
        <w:tc>
          <w:tcPr>
            <w:tcW w:w="357" w:type="pct"/>
            <w:tcBorders>
              <w:top w:val="single" w:color="000000" w:sz="4" w:space="0"/>
              <w:left w:val="nil"/>
              <w:bottom w:val="single" w:color="000000" w:sz="4" w:space="0"/>
              <w:right w:val="single" w:color="000000" w:sz="4" w:space="0"/>
            </w:tcBorders>
            <w:noWrap w:val="0"/>
            <w:vAlign w:val="center"/>
          </w:tcPr>
          <w:p w14:paraId="2EE2AB98">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724" w:type="pct"/>
            <w:tcBorders>
              <w:top w:val="single" w:color="000000" w:sz="4" w:space="0"/>
              <w:left w:val="nil"/>
              <w:bottom w:val="single" w:color="000000" w:sz="4" w:space="0"/>
              <w:right w:val="single" w:color="000000" w:sz="4" w:space="0"/>
            </w:tcBorders>
            <w:noWrap w:val="0"/>
            <w:vAlign w:val="center"/>
          </w:tcPr>
          <w:p w14:paraId="5A6D51B1">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spacing w:val="-2"/>
                <w:kern w:val="0"/>
                <w:sz w:val="24"/>
                <w:szCs w:val="24"/>
                <w:highlight w:val="none"/>
              </w:rPr>
              <w:t>职</w:t>
            </w:r>
            <w:r>
              <w:rPr>
                <w:rFonts w:hint="eastAsia" w:asciiTheme="minorEastAsia" w:hAnsiTheme="minorEastAsia" w:eastAsiaTheme="minorEastAsia" w:cstheme="minorEastAsia"/>
                <w:color w:val="auto"/>
                <w:kern w:val="0"/>
                <w:sz w:val="24"/>
                <w:szCs w:val="24"/>
                <w:highlight w:val="none"/>
              </w:rPr>
              <w:t>称</w:t>
            </w:r>
          </w:p>
        </w:tc>
        <w:tc>
          <w:tcPr>
            <w:tcW w:w="723" w:type="pct"/>
            <w:gridSpan w:val="2"/>
            <w:tcBorders>
              <w:top w:val="single" w:color="000000" w:sz="4" w:space="0"/>
              <w:left w:val="nil"/>
              <w:bottom w:val="single" w:color="000000" w:sz="4" w:space="0"/>
              <w:right w:val="single" w:color="000000" w:sz="4" w:space="0"/>
            </w:tcBorders>
            <w:noWrap w:val="0"/>
            <w:vAlign w:val="center"/>
          </w:tcPr>
          <w:p w14:paraId="4410EE2A">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626" w:type="pct"/>
            <w:gridSpan w:val="2"/>
            <w:tcBorders>
              <w:top w:val="single" w:color="000000" w:sz="4" w:space="0"/>
              <w:left w:val="nil"/>
              <w:bottom w:val="single" w:color="000000" w:sz="4" w:space="0"/>
              <w:right w:val="single" w:color="000000" w:sz="4" w:space="0"/>
            </w:tcBorders>
            <w:noWrap w:val="0"/>
            <w:vAlign w:val="center"/>
          </w:tcPr>
          <w:p w14:paraId="32F732C8">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电话</w:t>
            </w:r>
          </w:p>
        </w:tc>
        <w:tc>
          <w:tcPr>
            <w:tcW w:w="692" w:type="pct"/>
            <w:tcBorders>
              <w:top w:val="single" w:color="000000" w:sz="4" w:space="0"/>
              <w:left w:val="nil"/>
              <w:bottom w:val="single" w:color="000000" w:sz="4" w:space="0"/>
              <w:right w:val="single" w:color="000000" w:sz="4" w:space="0"/>
            </w:tcBorders>
            <w:noWrap w:val="0"/>
            <w:vAlign w:val="center"/>
          </w:tcPr>
          <w:p w14:paraId="2A25AA74">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5E3913B1">
        <w:tblPrEx>
          <w:tblCellMar>
            <w:top w:w="0" w:type="dxa"/>
            <w:left w:w="0" w:type="dxa"/>
            <w:bottom w:w="0" w:type="dxa"/>
            <w:right w:w="0" w:type="dxa"/>
          </w:tblCellMar>
        </w:tblPrEx>
        <w:trPr>
          <w:trHeight w:val="449"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B0C8FD5">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spacing w:val="-2"/>
                <w:kern w:val="0"/>
                <w:sz w:val="24"/>
                <w:szCs w:val="24"/>
                <w:highlight w:val="none"/>
              </w:rPr>
              <w:t>负</w:t>
            </w:r>
            <w:r>
              <w:rPr>
                <w:rFonts w:hint="eastAsia" w:asciiTheme="minorEastAsia" w:hAnsiTheme="minorEastAsia" w:eastAsiaTheme="minorEastAsia" w:cstheme="minorEastAsia"/>
                <w:color w:val="auto"/>
                <w:kern w:val="0"/>
                <w:sz w:val="24"/>
                <w:szCs w:val="24"/>
                <w:highlight w:val="none"/>
              </w:rPr>
              <w:t>责人</w:t>
            </w:r>
          </w:p>
        </w:tc>
        <w:tc>
          <w:tcPr>
            <w:tcW w:w="477" w:type="pct"/>
            <w:tcBorders>
              <w:top w:val="single" w:color="000000" w:sz="4" w:space="0"/>
              <w:left w:val="nil"/>
              <w:bottom w:val="single" w:color="000000" w:sz="4" w:space="0"/>
              <w:right w:val="single" w:color="000000" w:sz="4" w:space="0"/>
            </w:tcBorders>
            <w:noWrap w:val="0"/>
            <w:vAlign w:val="center"/>
          </w:tcPr>
          <w:p w14:paraId="4C5BC3E0">
            <w:pPr>
              <w:keepNext w:val="0"/>
              <w:keepLines w:val="0"/>
              <w:pageBreakBefore w:val="0"/>
              <w:kinsoku/>
              <w:wordWrap/>
              <w:overflowPunct/>
              <w:topLinePunct w:val="0"/>
              <w:autoSpaceDE w:val="0"/>
              <w:autoSpaceDN w:val="0"/>
              <w:bidi w:val="0"/>
              <w:adjustRightInd w:val="0"/>
              <w:snapToGrid/>
              <w:spacing w:before="48" w:line="360" w:lineRule="auto"/>
              <w:ind w:left="232" w:right="-20" w:firstLine="0"/>
              <w:jc w:val="both"/>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姓名</w:t>
            </w:r>
          </w:p>
        </w:tc>
        <w:tc>
          <w:tcPr>
            <w:tcW w:w="357" w:type="pct"/>
            <w:tcBorders>
              <w:top w:val="single" w:color="000000" w:sz="4" w:space="0"/>
              <w:left w:val="nil"/>
              <w:bottom w:val="single" w:color="000000" w:sz="4" w:space="0"/>
              <w:right w:val="single" w:color="000000" w:sz="4" w:space="0"/>
            </w:tcBorders>
            <w:noWrap w:val="0"/>
            <w:vAlign w:val="center"/>
          </w:tcPr>
          <w:p w14:paraId="295B295E">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724" w:type="pct"/>
            <w:tcBorders>
              <w:top w:val="single" w:color="000000" w:sz="4" w:space="0"/>
              <w:left w:val="nil"/>
              <w:bottom w:val="single" w:color="000000" w:sz="4" w:space="0"/>
              <w:right w:val="single" w:color="000000" w:sz="4" w:space="0"/>
            </w:tcBorders>
            <w:noWrap w:val="0"/>
            <w:vAlign w:val="center"/>
          </w:tcPr>
          <w:p w14:paraId="1A490B71">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spacing w:val="-2"/>
                <w:kern w:val="0"/>
                <w:sz w:val="24"/>
                <w:szCs w:val="24"/>
                <w:highlight w:val="none"/>
              </w:rPr>
              <w:t>职</w:t>
            </w:r>
            <w:r>
              <w:rPr>
                <w:rFonts w:hint="eastAsia" w:asciiTheme="minorEastAsia" w:hAnsiTheme="minorEastAsia" w:eastAsiaTheme="minorEastAsia" w:cstheme="minorEastAsia"/>
                <w:color w:val="auto"/>
                <w:kern w:val="0"/>
                <w:sz w:val="24"/>
                <w:szCs w:val="24"/>
                <w:highlight w:val="none"/>
              </w:rPr>
              <w:t>称</w:t>
            </w:r>
          </w:p>
        </w:tc>
        <w:tc>
          <w:tcPr>
            <w:tcW w:w="723" w:type="pct"/>
            <w:gridSpan w:val="2"/>
            <w:tcBorders>
              <w:top w:val="single" w:color="000000" w:sz="4" w:space="0"/>
              <w:left w:val="nil"/>
              <w:bottom w:val="single" w:color="000000" w:sz="4" w:space="0"/>
              <w:right w:val="single" w:color="000000" w:sz="4" w:space="0"/>
            </w:tcBorders>
            <w:noWrap w:val="0"/>
            <w:vAlign w:val="center"/>
          </w:tcPr>
          <w:p w14:paraId="6867D279">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626" w:type="pct"/>
            <w:gridSpan w:val="2"/>
            <w:tcBorders>
              <w:top w:val="single" w:color="000000" w:sz="4" w:space="0"/>
              <w:left w:val="nil"/>
              <w:bottom w:val="single" w:color="000000" w:sz="4" w:space="0"/>
              <w:right w:val="single" w:color="000000" w:sz="4" w:space="0"/>
            </w:tcBorders>
            <w:noWrap w:val="0"/>
            <w:vAlign w:val="center"/>
          </w:tcPr>
          <w:p w14:paraId="776789A2">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电话</w:t>
            </w:r>
          </w:p>
        </w:tc>
        <w:tc>
          <w:tcPr>
            <w:tcW w:w="692" w:type="pct"/>
            <w:tcBorders>
              <w:top w:val="single" w:color="000000" w:sz="4" w:space="0"/>
              <w:left w:val="nil"/>
              <w:bottom w:val="single" w:color="000000" w:sz="4" w:space="0"/>
              <w:right w:val="single" w:color="000000" w:sz="4" w:space="0"/>
            </w:tcBorders>
            <w:noWrap w:val="0"/>
            <w:vAlign w:val="center"/>
          </w:tcPr>
          <w:p w14:paraId="17B958AD">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01869259">
        <w:tblPrEx>
          <w:tblCellMar>
            <w:top w:w="0" w:type="dxa"/>
            <w:left w:w="0" w:type="dxa"/>
            <w:bottom w:w="0" w:type="dxa"/>
            <w:right w:w="0" w:type="dxa"/>
          </w:tblCellMar>
        </w:tblPrEx>
        <w:trPr>
          <w:trHeight w:val="451"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B639F1F">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w:t>
            </w:r>
            <w:r>
              <w:rPr>
                <w:rFonts w:hint="eastAsia" w:asciiTheme="minorEastAsia" w:hAnsiTheme="minorEastAsia" w:eastAsiaTheme="minorEastAsia" w:cstheme="minorEastAsia"/>
                <w:color w:val="auto"/>
                <w:spacing w:val="-2"/>
                <w:kern w:val="0"/>
                <w:sz w:val="24"/>
                <w:szCs w:val="24"/>
                <w:highlight w:val="none"/>
              </w:rPr>
              <w:t>资</w:t>
            </w:r>
            <w:r>
              <w:rPr>
                <w:rFonts w:hint="eastAsia" w:asciiTheme="minorEastAsia" w:hAnsiTheme="minorEastAsia" w:eastAsiaTheme="minorEastAsia" w:cstheme="minorEastAsia"/>
                <w:color w:val="auto"/>
                <w:kern w:val="0"/>
                <w:sz w:val="24"/>
                <w:szCs w:val="24"/>
                <w:highlight w:val="none"/>
              </w:rPr>
              <w:t>质</w:t>
            </w:r>
            <w:r>
              <w:rPr>
                <w:rFonts w:hint="eastAsia" w:asciiTheme="minorEastAsia" w:hAnsiTheme="minorEastAsia" w:eastAsiaTheme="minorEastAsia" w:cstheme="minorEastAsia"/>
                <w:color w:val="auto"/>
                <w:spacing w:val="-2"/>
                <w:kern w:val="0"/>
                <w:sz w:val="24"/>
                <w:szCs w:val="24"/>
                <w:highlight w:val="none"/>
              </w:rPr>
              <w:t>证</w:t>
            </w:r>
            <w:r>
              <w:rPr>
                <w:rFonts w:hint="eastAsia" w:asciiTheme="minorEastAsia" w:hAnsiTheme="minorEastAsia" w:eastAsiaTheme="minorEastAsia" w:cstheme="minorEastAsia"/>
                <w:color w:val="auto"/>
                <w:kern w:val="0"/>
                <w:sz w:val="24"/>
                <w:szCs w:val="24"/>
                <w:highlight w:val="none"/>
              </w:rPr>
              <w:t>书</w:t>
            </w:r>
          </w:p>
        </w:tc>
        <w:tc>
          <w:tcPr>
            <w:tcW w:w="3602" w:type="pct"/>
            <w:gridSpan w:val="8"/>
            <w:tcBorders>
              <w:top w:val="single" w:color="000000" w:sz="4" w:space="0"/>
              <w:left w:val="nil"/>
              <w:bottom w:val="single" w:color="000000" w:sz="4" w:space="0"/>
              <w:right w:val="single" w:color="000000" w:sz="4" w:space="0"/>
            </w:tcBorders>
            <w:noWrap w:val="0"/>
            <w:vAlign w:val="center"/>
          </w:tcPr>
          <w:p w14:paraId="3E8070DB">
            <w:pPr>
              <w:keepNext w:val="0"/>
              <w:keepLines w:val="0"/>
              <w:pageBreakBefore w:val="0"/>
              <w:kinsoku/>
              <w:wordWrap/>
              <w:overflowPunct/>
              <w:topLinePunct w:val="0"/>
              <w:autoSpaceDE w:val="0"/>
              <w:autoSpaceDN w:val="0"/>
              <w:bidi w:val="0"/>
              <w:adjustRightInd w:val="0"/>
              <w:snapToGrid/>
              <w:spacing w:before="48" w:line="360" w:lineRule="auto"/>
              <w:ind w:right="-20" w:firstLine="0"/>
              <w:jc w:val="both"/>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类型：</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spacing w:val="-2"/>
                <w:kern w:val="0"/>
                <w:sz w:val="24"/>
                <w:szCs w:val="24"/>
                <w:highlight w:val="none"/>
              </w:rPr>
              <w:t>等</w:t>
            </w:r>
            <w:r>
              <w:rPr>
                <w:rFonts w:hint="eastAsia" w:asciiTheme="minorEastAsia" w:hAnsiTheme="minorEastAsia" w:eastAsiaTheme="minorEastAsia" w:cstheme="minorEastAsia"/>
                <w:color w:val="auto"/>
                <w:kern w:val="0"/>
                <w:sz w:val="24"/>
                <w:szCs w:val="24"/>
                <w:highlight w:val="none"/>
              </w:rPr>
              <w:t>级：</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spacing w:val="-2"/>
                <w:kern w:val="0"/>
                <w:sz w:val="24"/>
                <w:szCs w:val="24"/>
                <w:highlight w:val="none"/>
              </w:rPr>
              <w:t>证</w:t>
            </w:r>
            <w:r>
              <w:rPr>
                <w:rFonts w:hint="eastAsia" w:asciiTheme="minorEastAsia" w:hAnsiTheme="minorEastAsia" w:eastAsiaTheme="minorEastAsia" w:cstheme="minorEastAsia"/>
                <w:color w:val="auto"/>
                <w:kern w:val="0"/>
                <w:sz w:val="24"/>
                <w:szCs w:val="24"/>
                <w:highlight w:val="none"/>
              </w:rPr>
              <w:t>书</w:t>
            </w:r>
            <w:r>
              <w:rPr>
                <w:rFonts w:hint="eastAsia" w:asciiTheme="minorEastAsia" w:hAnsiTheme="minorEastAsia" w:eastAsiaTheme="minorEastAsia" w:cstheme="minorEastAsia"/>
                <w:color w:val="auto"/>
                <w:spacing w:val="-2"/>
                <w:kern w:val="0"/>
                <w:sz w:val="24"/>
                <w:szCs w:val="24"/>
                <w:highlight w:val="none"/>
              </w:rPr>
              <w:t>号</w:t>
            </w:r>
            <w:r>
              <w:rPr>
                <w:rFonts w:hint="eastAsia" w:asciiTheme="minorEastAsia" w:hAnsiTheme="minorEastAsia" w:eastAsiaTheme="minorEastAsia" w:cstheme="minorEastAsia"/>
                <w:color w:val="auto"/>
                <w:kern w:val="0"/>
                <w:sz w:val="24"/>
                <w:szCs w:val="24"/>
                <w:highlight w:val="none"/>
              </w:rPr>
              <w:t>：</w:t>
            </w:r>
          </w:p>
        </w:tc>
      </w:tr>
      <w:tr w14:paraId="43F86680">
        <w:tblPrEx>
          <w:tblCellMar>
            <w:top w:w="0" w:type="dxa"/>
            <w:left w:w="0" w:type="dxa"/>
            <w:bottom w:w="0" w:type="dxa"/>
            <w:right w:w="0" w:type="dxa"/>
          </w:tblCellMar>
        </w:tblPrEx>
        <w:trPr>
          <w:trHeight w:val="449"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770D93F">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营业</w:t>
            </w:r>
            <w:r>
              <w:rPr>
                <w:rFonts w:hint="eastAsia" w:asciiTheme="minorEastAsia" w:hAnsiTheme="minorEastAsia" w:eastAsiaTheme="minorEastAsia" w:cstheme="minorEastAsia"/>
                <w:color w:val="auto"/>
                <w:spacing w:val="-2"/>
                <w:kern w:val="0"/>
                <w:sz w:val="24"/>
                <w:szCs w:val="24"/>
                <w:highlight w:val="none"/>
              </w:rPr>
              <w:t>执</w:t>
            </w:r>
            <w:r>
              <w:rPr>
                <w:rFonts w:hint="eastAsia" w:asciiTheme="minorEastAsia" w:hAnsiTheme="minorEastAsia" w:eastAsiaTheme="minorEastAsia" w:cstheme="minorEastAsia"/>
                <w:color w:val="auto"/>
                <w:kern w:val="0"/>
                <w:sz w:val="24"/>
                <w:szCs w:val="24"/>
                <w:highlight w:val="none"/>
              </w:rPr>
              <w:t>照号</w:t>
            </w:r>
          </w:p>
        </w:tc>
        <w:tc>
          <w:tcPr>
            <w:tcW w:w="1560" w:type="pct"/>
            <w:gridSpan w:val="3"/>
            <w:tcBorders>
              <w:top w:val="single" w:color="000000" w:sz="4" w:space="0"/>
              <w:left w:val="nil"/>
              <w:bottom w:val="single" w:color="000000" w:sz="4" w:space="0"/>
              <w:right w:val="single" w:color="000000" w:sz="4" w:space="0"/>
            </w:tcBorders>
            <w:noWrap w:val="0"/>
            <w:vAlign w:val="center"/>
          </w:tcPr>
          <w:p w14:paraId="23DA3BF9">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2042" w:type="pct"/>
            <w:gridSpan w:val="5"/>
            <w:tcBorders>
              <w:top w:val="single" w:color="000000" w:sz="4" w:space="0"/>
              <w:left w:val="nil"/>
              <w:bottom w:val="single" w:color="000000" w:sz="4" w:space="0"/>
              <w:right w:val="single" w:color="000000" w:sz="4" w:space="0"/>
            </w:tcBorders>
            <w:noWrap w:val="0"/>
            <w:vAlign w:val="center"/>
          </w:tcPr>
          <w:p w14:paraId="44B07564">
            <w:pPr>
              <w:keepNext w:val="0"/>
              <w:keepLines w:val="0"/>
              <w:pageBreakBefore w:val="0"/>
              <w:kinsoku/>
              <w:wordWrap/>
              <w:overflowPunct/>
              <w:topLinePunct w:val="0"/>
              <w:autoSpaceDE w:val="0"/>
              <w:autoSpaceDN w:val="0"/>
              <w:bidi w:val="0"/>
              <w:adjustRightInd w:val="0"/>
              <w:snapToGrid/>
              <w:spacing w:before="48" w:line="360" w:lineRule="auto"/>
              <w:ind w:right="-20" w:firstLine="0"/>
              <w:jc w:val="both"/>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员工</w:t>
            </w:r>
            <w:r>
              <w:rPr>
                <w:rFonts w:hint="eastAsia" w:asciiTheme="minorEastAsia" w:hAnsiTheme="minorEastAsia" w:eastAsiaTheme="minorEastAsia" w:cstheme="minorEastAsia"/>
                <w:color w:val="auto"/>
                <w:spacing w:val="-2"/>
                <w:kern w:val="0"/>
                <w:sz w:val="24"/>
                <w:szCs w:val="24"/>
                <w:highlight w:val="none"/>
              </w:rPr>
              <w:t>总</w:t>
            </w:r>
            <w:r>
              <w:rPr>
                <w:rFonts w:hint="eastAsia" w:asciiTheme="minorEastAsia" w:hAnsiTheme="minorEastAsia" w:eastAsiaTheme="minorEastAsia" w:cstheme="minorEastAsia"/>
                <w:color w:val="auto"/>
                <w:kern w:val="0"/>
                <w:sz w:val="24"/>
                <w:szCs w:val="24"/>
                <w:highlight w:val="none"/>
              </w:rPr>
              <w:t>人</w:t>
            </w:r>
            <w:r>
              <w:rPr>
                <w:rFonts w:hint="eastAsia" w:asciiTheme="minorEastAsia" w:hAnsiTheme="minorEastAsia" w:eastAsiaTheme="minorEastAsia" w:cstheme="minorEastAsia"/>
                <w:color w:val="auto"/>
                <w:spacing w:val="-2"/>
                <w:kern w:val="0"/>
                <w:sz w:val="24"/>
                <w:szCs w:val="24"/>
                <w:highlight w:val="none"/>
              </w:rPr>
              <w:t>数</w:t>
            </w:r>
            <w:r>
              <w:rPr>
                <w:rFonts w:hint="eastAsia" w:asciiTheme="minorEastAsia" w:hAnsiTheme="minorEastAsia" w:eastAsiaTheme="minorEastAsia" w:cstheme="minorEastAsia"/>
                <w:color w:val="auto"/>
                <w:kern w:val="0"/>
                <w:sz w:val="24"/>
                <w:szCs w:val="24"/>
                <w:highlight w:val="none"/>
              </w:rPr>
              <w:t>：</w:t>
            </w:r>
          </w:p>
        </w:tc>
      </w:tr>
      <w:tr w14:paraId="7367689D">
        <w:tblPrEx>
          <w:tblCellMar>
            <w:top w:w="0" w:type="dxa"/>
            <w:left w:w="0" w:type="dxa"/>
            <w:bottom w:w="0" w:type="dxa"/>
            <w:right w:w="0" w:type="dxa"/>
          </w:tblCellMar>
        </w:tblPrEx>
        <w:trPr>
          <w:trHeight w:val="451"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254B4A">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注册</w:t>
            </w:r>
            <w:r>
              <w:rPr>
                <w:rFonts w:hint="eastAsia" w:asciiTheme="minorEastAsia" w:hAnsiTheme="minorEastAsia" w:eastAsiaTheme="minorEastAsia" w:cstheme="minorEastAsia"/>
                <w:color w:val="auto"/>
                <w:spacing w:val="-2"/>
                <w:kern w:val="0"/>
                <w:sz w:val="24"/>
                <w:szCs w:val="24"/>
                <w:highlight w:val="none"/>
              </w:rPr>
              <w:t>资</w:t>
            </w:r>
            <w:r>
              <w:rPr>
                <w:rFonts w:hint="eastAsia" w:asciiTheme="minorEastAsia" w:hAnsiTheme="minorEastAsia" w:eastAsiaTheme="minorEastAsia" w:cstheme="minorEastAsia"/>
                <w:color w:val="auto"/>
                <w:kern w:val="0"/>
                <w:sz w:val="24"/>
                <w:szCs w:val="24"/>
                <w:highlight w:val="none"/>
              </w:rPr>
              <w:t>本</w:t>
            </w:r>
          </w:p>
        </w:tc>
        <w:tc>
          <w:tcPr>
            <w:tcW w:w="1560" w:type="pct"/>
            <w:gridSpan w:val="3"/>
            <w:tcBorders>
              <w:top w:val="single" w:color="000000" w:sz="4" w:space="0"/>
              <w:left w:val="nil"/>
              <w:bottom w:val="single" w:color="000000" w:sz="4" w:space="0"/>
              <w:right w:val="single" w:color="000000" w:sz="4" w:space="0"/>
            </w:tcBorders>
            <w:noWrap w:val="0"/>
            <w:vAlign w:val="center"/>
          </w:tcPr>
          <w:p w14:paraId="437C3ECB">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233" w:type="pct"/>
            <w:vMerge w:val="restart"/>
            <w:tcBorders>
              <w:top w:val="nil"/>
              <w:left w:val="nil"/>
              <w:bottom w:val="single" w:color="000000" w:sz="4" w:space="0"/>
              <w:right w:val="single" w:color="000000" w:sz="4" w:space="0"/>
            </w:tcBorders>
            <w:noWrap w:val="0"/>
            <w:vAlign w:val="center"/>
          </w:tcPr>
          <w:p w14:paraId="6418604A">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p w14:paraId="41ACEF79">
            <w:pPr>
              <w:keepNext w:val="0"/>
              <w:keepLines w:val="0"/>
              <w:pageBreakBefore w:val="0"/>
              <w:kinsoku/>
              <w:wordWrap/>
              <w:overflowPunct/>
              <w:topLinePunct w:val="0"/>
              <w:autoSpaceDE w:val="0"/>
              <w:autoSpaceDN w:val="0"/>
              <w:bidi w:val="0"/>
              <w:adjustRightInd w:val="0"/>
              <w:snapToGrid/>
              <w:spacing w:line="360" w:lineRule="auto"/>
              <w:ind w:left="102" w:right="16"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其 中</w:t>
            </w:r>
          </w:p>
        </w:tc>
        <w:tc>
          <w:tcPr>
            <w:tcW w:w="955" w:type="pct"/>
            <w:gridSpan w:val="2"/>
            <w:tcBorders>
              <w:top w:val="single" w:color="000000" w:sz="4" w:space="0"/>
              <w:left w:val="nil"/>
              <w:bottom w:val="single" w:color="000000" w:sz="4" w:space="0"/>
              <w:right w:val="single" w:color="000000" w:sz="4" w:space="0"/>
            </w:tcBorders>
            <w:noWrap w:val="0"/>
            <w:vAlign w:val="center"/>
          </w:tcPr>
          <w:p w14:paraId="0DED09FD">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高级</w:t>
            </w:r>
            <w:r>
              <w:rPr>
                <w:rFonts w:hint="eastAsia" w:asciiTheme="minorEastAsia" w:hAnsiTheme="minorEastAsia" w:eastAsiaTheme="minorEastAsia" w:cstheme="minorEastAsia"/>
                <w:color w:val="auto"/>
                <w:spacing w:val="-2"/>
                <w:kern w:val="0"/>
                <w:sz w:val="24"/>
                <w:szCs w:val="24"/>
                <w:highlight w:val="none"/>
              </w:rPr>
              <w:t>职</w:t>
            </w:r>
            <w:r>
              <w:rPr>
                <w:rFonts w:hint="eastAsia" w:asciiTheme="minorEastAsia" w:hAnsiTheme="minorEastAsia" w:eastAsiaTheme="minorEastAsia" w:cstheme="minorEastAsia"/>
                <w:color w:val="auto"/>
                <w:kern w:val="0"/>
                <w:sz w:val="24"/>
                <w:szCs w:val="24"/>
                <w:highlight w:val="none"/>
              </w:rPr>
              <w:t>称</w:t>
            </w:r>
            <w:r>
              <w:rPr>
                <w:rFonts w:hint="eastAsia" w:asciiTheme="minorEastAsia" w:hAnsiTheme="minorEastAsia" w:eastAsiaTheme="minorEastAsia" w:cstheme="minorEastAsia"/>
                <w:color w:val="auto"/>
                <w:spacing w:val="-2"/>
                <w:kern w:val="0"/>
                <w:sz w:val="24"/>
                <w:szCs w:val="24"/>
                <w:highlight w:val="none"/>
              </w:rPr>
              <w:t>人</w:t>
            </w:r>
            <w:r>
              <w:rPr>
                <w:rFonts w:hint="eastAsia" w:asciiTheme="minorEastAsia" w:hAnsiTheme="minorEastAsia" w:eastAsiaTheme="minorEastAsia" w:cstheme="minorEastAsia"/>
                <w:color w:val="auto"/>
                <w:kern w:val="0"/>
                <w:sz w:val="24"/>
                <w:szCs w:val="24"/>
                <w:highlight w:val="none"/>
              </w:rPr>
              <w:t>员</w:t>
            </w:r>
          </w:p>
        </w:tc>
        <w:tc>
          <w:tcPr>
            <w:tcW w:w="852" w:type="pct"/>
            <w:gridSpan w:val="2"/>
            <w:tcBorders>
              <w:top w:val="single" w:color="000000" w:sz="4" w:space="0"/>
              <w:left w:val="nil"/>
              <w:bottom w:val="single" w:color="000000" w:sz="4" w:space="0"/>
              <w:right w:val="single" w:color="000000" w:sz="4" w:space="0"/>
            </w:tcBorders>
            <w:noWrap w:val="0"/>
            <w:vAlign w:val="center"/>
          </w:tcPr>
          <w:p w14:paraId="748BA2F5">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7229A652">
        <w:tblPrEx>
          <w:tblCellMar>
            <w:top w:w="0" w:type="dxa"/>
            <w:left w:w="0" w:type="dxa"/>
            <w:bottom w:w="0" w:type="dxa"/>
            <w:right w:w="0" w:type="dxa"/>
          </w:tblCellMar>
        </w:tblPrEx>
        <w:trPr>
          <w:trHeight w:val="449"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CA3859">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成立</w:t>
            </w:r>
            <w:r>
              <w:rPr>
                <w:rFonts w:hint="eastAsia" w:asciiTheme="minorEastAsia" w:hAnsiTheme="minorEastAsia" w:eastAsiaTheme="minorEastAsia" w:cstheme="minorEastAsia"/>
                <w:color w:val="auto"/>
                <w:spacing w:val="-2"/>
                <w:kern w:val="0"/>
                <w:sz w:val="24"/>
                <w:szCs w:val="24"/>
                <w:highlight w:val="none"/>
              </w:rPr>
              <w:t>日</w:t>
            </w:r>
            <w:r>
              <w:rPr>
                <w:rFonts w:hint="eastAsia" w:asciiTheme="minorEastAsia" w:hAnsiTheme="minorEastAsia" w:eastAsiaTheme="minorEastAsia" w:cstheme="minorEastAsia"/>
                <w:color w:val="auto"/>
                <w:kern w:val="0"/>
                <w:sz w:val="24"/>
                <w:szCs w:val="24"/>
                <w:highlight w:val="none"/>
              </w:rPr>
              <w:t>期</w:t>
            </w:r>
          </w:p>
        </w:tc>
        <w:tc>
          <w:tcPr>
            <w:tcW w:w="1560" w:type="pct"/>
            <w:gridSpan w:val="3"/>
            <w:tcBorders>
              <w:top w:val="single" w:color="000000" w:sz="4" w:space="0"/>
              <w:left w:val="nil"/>
              <w:bottom w:val="single" w:color="000000" w:sz="4" w:space="0"/>
              <w:right w:val="single" w:color="000000" w:sz="4" w:space="0"/>
            </w:tcBorders>
            <w:noWrap w:val="0"/>
            <w:vAlign w:val="center"/>
          </w:tcPr>
          <w:p w14:paraId="7F8CFE09">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233" w:type="pct"/>
            <w:vMerge w:val="continue"/>
            <w:tcBorders>
              <w:top w:val="nil"/>
              <w:left w:val="nil"/>
              <w:bottom w:val="single" w:color="000000" w:sz="4" w:space="0"/>
              <w:right w:val="single" w:color="000000" w:sz="4" w:space="0"/>
            </w:tcBorders>
            <w:noWrap w:val="0"/>
            <w:vAlign w:val="center"/>
          </w:tcPr>
          <w:p w14:paraId="6DE22FDC">
            <w:pPr>
              <w:keepNext w:val="0"/>
              <w:keepLines w:val="0"/>
              <w:pageBreakBefore w:val="0"/>
              <w:widowControl/>
              <w:kinsoku/>
              <w:wordWrap/>
              <w:overflowPunct/>
              <w:topLinePunct w:val="0"/>
              <w:bidi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955" w:type="pct"/>
            <w:gridSpan w:val="2"/>
            <w:tcBorders>
              <w:top w:val="single" w:color="000000" w:sz="4" w:space="0"/>
              <w:left w:val="nil"/>
              <w:bottom w:val="single" w:color="000000" w:sz="4" w:space="0"/>
              <w:right w:val="single" w:color="000000" w:sz="4" w:space="0"/>
            </w:tcBorders>
            <w:noWrap w:val="0"/>
            <w:vAlign w:val="center"/>
          </w:tcPr>
          <w:p w14:paraId="4081F800">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中级</w:t>
            </w:r>
            <w:r>
              <w:rPr>
                <w:rFonts w:hint="eastAsia" w:asciiTheme="minorEastAsia" w:hAnsiTheme="minorEastAsia" w:eastAsiaTheme="minorEastAsia" w:cstheme="minorEastAsia"/>
                <w:color w:val="auto"/>
                <w:spacing w:val="-2"/>
                <w:kern w:val="0"/>
                <w:sz w:val="24"/>
                <w:szCs w:val="24"/>
                <w:highlight w:val="none"/>
              </w:rPr>
              <w:t>职</w:t>
            </w:r>
            <w:r>
              <w:rPr>
                <w:rFonts w:hint="eastAsia" w:asciiTheme="minorEastAsia" w:hAnsiTheme="minorEastAsia" w:eastAsiaTheme="minorEastAsia" w:cstheme="minorEastAsia"/>
                <w:color w:val="auto"/>
                <w:kern w:val="0"/>
                <w:sz w:val="24"/>
                <w:szCs w:val="24"/>
                <w:highlight w:val="none"/>
              </w:rPr>
              <w:t>称</w:t>
            </w:r>
            <w:r>
              <w:rPr>
                <w:rFonts w:hint="eastAsia" w:asciiTheme="minorEastAsia" w:hAnsiTheme="minorEastAsia" w:eastAsiaTheme="minorEastAsia" w:cstheme="minorEastAsia"/>
                <w:color w:val="auto"/>
                <w:spacing w:val="-2"/>
                <w:kern w:val="0"/>
                <w:sz w:val="24"/>
                <w:szCs w:val="24"/>
                <w:highlight w:val="none"/>
              </w:rPr>
              <w:t>人</w:t>
            </w:r>
            <w:r>
              <w:rPr>
                <w:rFonts w:hint="eastAsia" w:asciiTheme="minorEastAsia" w:hAnsiTheme="minorEastAsia" w:eastAsiaTheme="minorEastAsia" w:cstheme="minorEastAsia"/>
                <w:color w:val="auto"/>
                <w:kern w:val="0"/>
                <w:sz w:val="24"/>
                <w:szCs w:val="24"/>
                <w:highlight w:val="none"/>
              </w:rPr>
              <w:t>员</w:t>
            </w:r>
          </w:p>
        </w:tc>
        <w:tc>
          <w:tcPr>
            <w:tcW w:w="852" w:type="pct"/>
            <w:gridSpan w:val="2"/>
            <w:tcBorders>
              <w:top w:val="single" w:color="000000" w:sz="4" w:space="0"/>
              <w:left w:val="nil"/>
              <w:bottom w:val="single" w:color="000000" w:sz="4" w:space="0"/>
              <w:right w:val="single" w:color="000000" w:sz="4" w:space="0"/>
            </w:tcBorders>
            <w:noWrap w:val="0"/>
            <w:vAlign w:val="center"/>
          </w:tcPr>
          <w:p w14:paraId="7B1845D3">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58C00FE0">
        <w:tblPrEx>
          <w:tblCellMar>
            <w:top w:w="0" w:type="dxa"/>
            <w:left w:w="0" w:type="dxa"/>
            <w:bottom w:w="0" w:type="dxa"/>
            <w:right w:w="0" w:type="dxa"/>
          </w:tblCellMar>
        </w:tblPrEx>
        <w:trPr>
          <w:trHeight w:val="451"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4CE5791">
            <w:pPr>
              <w:keepNext w:val="0"/>
              <w:keepLines w:val="0"/>
              <w:pageBreakBefore w:val="0"/>
              <w:kinsoku/>
              <w:wordWrap/>
              <w:overflowPunct/>
              <w:topLinePunct w:val="0"/>
              <w:autoSpaceDE w:val="0"/>
              <w:autoSpaceDN w:val="0"/>
              <w:bidi w:val="0"/>
              <w:adjustRightInd w:val="0"/>
              <w:snapToGrid/>
              <w:spacing w:before="48" w:line="360" w:lineRule="auto"/>
              <w:ind w:left="177"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基本</w:t>
            </w:r>
            <w:r>
              <w:rPr>
                <w:rFonts w:hint="eastAsia" w:asciiTheme="minorEastAsia" w:hAnsiTheme="minorEastAsia" w:eastAsiaTheme="minorEastAsia" w:cstheme="minorEastAsia"/>
                <w:color w:val="auto"/>
                <w:spacing w:val="-2"/>
                <w:kern w:val="0"/>
                <w:sz w:val="24"/>
                <w:szCs w:val="24"/>
                <w:highlight w:val="none"/>
              </w:rPr>
              <w:t>账</w:t>
            </w:r>
            <w:r>
              <w:rPr>
                <w:rFonts w:hint="eastAsia" w:asciiTheme="minorEastAsia" w:hAnsiTheme="minorEastAsia" w:eastAsiaTheme="minorEastAsia" w:cstheme="minorEastAsia"/>
                <w:color w:val="auto"/>
                <w:kern w:val="0"/>
                <w:sz w:val="24"/>
                <w:szCs w:val="24"/>
                <w:highlight w:val="none"/>
              </w:rPr>
              <w:t>户</w:t>
            </w:r>
            <w:r>
              <w:rPr>
                <w:rFonts w:hint="eastAsia" w:asciiTheme="minorEastAsia" w:hAnsiTheme="minorEastAsia" w:eastAsiaTheme="minorEastAsia" w:cstheme="minorEastAsia"/>
                <w:color w:val="auto"/>
                <w:spacing w:val="-2"/>
                <w:kern w:val="0"/>
                <w:sz w:val="24"/>
                <w:szCs w:val="24"/>
                <w:highlight w:val="none"/>
              </w:rPr>
              <w:t>开</w:t>
            </w:r>
            <w:r>
              <w:rPr>
                <w:rFonts w:hint="eastAsia" w:asciiTheme="minorEastAsia" w:hAnsiTheme="minorEastAsia" w:eastAsiaTheme="minorEastAsia" w:cstheme="minorEastAsia"/>
                <w:color w:val="auto"/>
                <w:kern w:val="0"/>
                <w:sz w:val="24"/>
                <w:szCs w:val="24"/>
                <w:highlight w:val="none"/>
              </w:rPr>
              <w:t>户</w:t>
            </w:r>
            <w:r>
              <w:rPr>
                <w:rFonts w:hint="eastAsia" w:asciiTheme="minorEastAsia" w:hAnsiTheme="minorEastAsia" w:eastAsiaTheme="minorEastAsia" w:cstheme="minorEastAsia"/>
                <w:color w:val="auto"/>
                <w:spacing w:val="-2"/>
                <w:kern w:val="0"/>
                <w:sz w:val="24"/>
                <w:szCs w:val="24"/>
                <w:highlight w:val="none"/>
              </w:rPr>
              <w:t>银</w:t>
            </w:r>
            <w:r>
              <w:rPr>
                <w:rFonts w:hint="eastAsia" w:asciiTheme="minorEastAsia" w:hAnsiTheme="minorEastAsia" w:eastAsiaTheme="minorEastAsia" w:cstheme="minorEastAsia"/>
                <w:color w:val="auto"/>
                <w:kern w:val="0"/>
                <w:sz w:val="24"/>
                <w:szCs w:val="24"/>
                <w:highlight w:val="none"/>
              </w:rPr>
              <w:t>行</w:t>
            </w:r>
          </w:p>
        </w:tc>
        <w:tc>
          <w:tcPr>
            <w:tcW w:w="1560" w:type="pct"/>
            <w:gridSpan w:val="3"/>
            <w:tcBorders>
              <w:top w:val="single" w:color="000000" w:sz="4" w:space="0"/>
              <w:left w:val="nil"/>
              <w:bottom w:val="single" w:color="000000" w:sz="4" w:space="0"/>
              <w:right w:val="single" w:color="000000" w:sz="4" w:space="0"/>
            </w:tcBorders>
            <w:noWrap w:val="0"/>
            <w:vAlign w:val="center"/>
          </w:tcPr>
          <w:p w14:paraId="13079854">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233" w:type="pct"/>
            <w:vMerge w:val="continue"/>
            <w:tcBorders>
              <w:top w:val="nil"/>
              <w:left w:val="nil"/>
              <w:bottom w:val="single" w:color="000000" w:sz="4" w:space="0"/>
              <w:right w:val="single" w:color="000000" w:sz="4" w:space="0"/>
            </w:tcBorders>
            <w:noWrap w:val="0"/>
            <w:vAlign w:val="center"/>
          </w:tcPr>
          <w:p w14:paraId="64A8FB84">
            <w:pPr>
              <w:keepNext w:val="0"/>
              <w:keepLines w:val="0"/>
              <w:pageBreakBefore w:val="0"/>
              <w:widowControl/>
              <w:kinsoku/>
              <w:wordWrap/>
              <w:overflowPunct/>
              <w:topLinePunct w:val="0"/>
              <w:bidi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955" w:type="pct"/>
            <w:gridSpan w:val="2"/>
            <w:tcBorders>
              <w:top w:val="single" w:color="000000" w:sz="4" w:space="0"/>
              <w:left w:val="nil"/>
              <w:bottom w:val="single" w:color="000000" w:sz="4" w:space="0"/>
              <w:right w:val="single" w:color="000000" w:sz="4" w:space="0"/>
            </w:tcBorders>
            <w:noWrap w:val="0"/>
            <w:vAlign w:val="center"/>
          </w:tcPr>
          <w:p w14:paraId="11492342">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spacing w:val="-2"/>
                <w:kern w:val="0"/>
                <w:sz w:val="24"/>
                <w:szCs w:val="24"/>
                <w:highlight w:val="none"/>
              </w:rPr>
              <w:t>人</w:t>
            </w:r>
            <w:r>
              <w:rPr>
                <w:rFonts w:hint="eastAsia" w:asciiTheme="minorEastAsia" w:hAnsiTheme="minorEastAsia" w:eastAsiaTheme="minorEastAsia" w:cstheme="minorEastAsia"/>
                <w:color w:val="auto"/>
                <w:kern w:val="0"/>
                <w:sz w:val="24"/>
                <w:szCs w:val="24"/>
                <w:highlight w:val="none"/>
              </w:rPr>
              <w:t>员</w:t>
            </w:r>
            <w:r>
              <w:rPr>
                <w:rFonts w:hint="eastAsia" w:asciiTheme="minorEastAsia" w:hAnsiTheme="minorEastAsia" w:eastAsiaTheme="minorEastAsia" w:cstheme="minorEastAsia"/>
                <w:color w:val="auto"/>
                <w:spacing w:val="-2"/>
                <w:kern w:val="0"/>
                <w:sz w:val="24"/>
                <w:szCs w:val="24"/>
                <w:highlight w:val="none"/>
              </w:rPr>
              <w:t>数</w:t>
            </w:r>
            <w:r>
              <w:rPr>
                <w:rFonts w:hint="eastAsia" w:asciiTheme="minorEastAsia" w:hAnsiTheme="minorEastAsia" w:eastAsiaTheme="minorEastAsia" w:cstheme="minorEastAsia"/>
                <w:color w:val="auto"/>
                <w:kern w:val="0"/>
                <w:sz w:val="24"/>
                <w:szCs w:val="24"/>
                <w:highlight w:val="none"/>
              </w:rPr>
              <w:t>量</w:t>
            </w:r>
          </w:p>
        </w:tc>
        <w:tc>
          <w:tcPr>
            <w:tcW w:w="852" w:type="pct"/>
            <w:gridSpan w:val="2"/>
            <w:tcBorders>
              <w:top w:val="single" w:color="000000" w:sz="4" w:space="0"/>
              <w:left w:val="nil"/>
              <w:bottom w:val="single" w:color="000000" w:sz="4" w:space="0"/>
              <w:right w:val="single" w:color="000000" w:sz="4" w:space="0"/>
            </w:tcBorders>
            <w:noWrap w:val="0"/>
            <w:vAlign w:val="center"/>
          </w:tcPr>
          <w:p w14:paraId="55592D32">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6F8C640F">
        <w:tblPrEx>
          <w:tblCellMar>
            <w:top w:w="0" w:type="dxa"/>
            <w:left w:w="0" w:type="dxa"/>
            <w:bottom w:w="0" w:type="dxa"/>
            <w:right w:w="0" w:type="dxa"/>
          </w:tblCellMar>
        </w:tblPrEx>
        <w:trPr>
          <w:trHeight w:val="449"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DE1F6C3">
            <w:pPr>
              <w:keepNext w:val="0"/>
              <w:keepLines w:val="0"/>
              <w:pageBreakBefore w:val="0"/>
              <w:kinsoku/>
              <w:wordWrap/>
              <w:overflowPunct/>
              <w:topLinePunct w:val="0"/>
              <w:autoSpaceDE w:val="0"/>
              <w:autoSpaceDN w:val="0"/>
              <w:bidi w:val="0"/>
              <w:adjustRightInd w:val="0"/>
              <w:snapToGrid/>
              <w:spacing w:before="48" w:line="360" w:lineRule="auto"/>
              <w:ind w:left="177"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基本</w:t>
            </w:r>
            <w:r>
              <w:rPr>
                <w:rFonts w:hint="eastAsia" w:asciiTheme="minorEastAsia" w:hAnsiTheme="minorEastAsia" w:eastAsiaTheme="minorEastAsia" w:cstheme="minorEastAsia"/>
                <w:color w:val="auto"/>
                <w:spacing w:val="-2"/>
                <w:kern w:val="0"/>
                <w:sz w:val="24"/>
                <w:szCs w:val="24"/>
                <w:highlight w:val="none"/>
              </w:rPr>
              <w:t>账</w:t>
            </w:r>
            <w:r>
              <w:rPr>
                <w:rFonts w:hint="eastAsia" w:asciiTheme="minorEastAsia" w:hAnsiTheme="minorEastAsia" w:eastAsiaTheme="minorEastAsia" w:cstheme="minorEastAsia"/>
                <w:color w:val="auto"/>
                <w:kern w:val="0"/>
                <w:sz w:val="24"/>
                <w:szCs w:val="24"/>
                <w:highlight w:val="none"/>
              </w:rPr>
              <w:t>户</w:t>
            </w:r>
            <w:r>
              <w:rPr>
                <w:rFonts w:hint="eastAsia" w:asciiTheme="minorEastAsia" w:hAnsiTheme="minorEastAsia" w:eastAsiaTheme="minorEastAsia" w:cstheme="minorEastAsia"/>
                <w:color w:val="auto"/>
                <w:spacing w:val="-2"/>
                <w:kern w:val="0"/>
                <w:sz w:val="24"/>
                <w:szCs w:val="24"/>
                <w:highlight w:val="none"/>
              </w:rPr>
              <w:t>银</w:t>
            </w:r>
            <w:r>
              <w:rPr>
                <w:rFonts w:hint="eastAsia" w:asciiTheme="minorEastAsia" w:hAnsiTheme="minorEastAsia" w:eastAsiaTheme="minorEastAsia" w:cstheme="minorEastAsia"/>
                <w:color w:val="auto"/>
                <w:kern w:val="0"/>
                <w:sz w:val="24"/>
                <w:szCs w:val="24"/>
                <w:highlight w:val="none"/>
              </w:rPr>
              <w:t>行</w:t>
            </w:r>
            <w:r>
              <w:rPr>
                <w:rFonts w:hint="eastAsia" w:asciiTheme="minorEastAsia" w:hAnsiTheme="minorEastAsia" w:eastAsiaTheme="minorEastAsia" w:cstheme="minorEastAsia"/>
                <w:color w:val="auto"/>
                <w:spacing w:val="-2"/>
                <w:kern w:val="0"/>
                <w:sz w:val="24"/>
                <w:szCs w:val="24"/>
                <w:highlight w:val="none"/>
              </w:rPr>
              <w:t>账</w:t>
            </w:r>
            <w:r>
              <w:rPr>
                <w:rFonts w:hint="eastAsia" w:asciiTheme="minorEastAsia" w:hAnsiTheme="minorEastAsia" w:eastAsiaTheme="minorEastAsia" w:cstheme="minorEastAsia"/>
                <w:color w:val="auto"/>
                <w:kern w:val="0"/>
                <w:sz w:val="24"/>
                <w:szCs w:val="24"/>
                <w:highlight w:val="none"/>
              </w:rPr>
              <w:t>号</w:t>
            </w:r>
          </w:p>
        </w:tc>
        <w:tc>
          <w:tcPr>
            <w:tcW w:w="1560" w:type="pct"/>
            <w:gridSpan w:val="3"/>
            <w:tcBorders>
              <w:top w:val="single" w:color="000000" w:sz="4" w:space="0"/>
              <w:left w:val="nil"/>
              <w:bottom w:val="single" w:color="000000" w:sz="4" w:space="0"/>
              <w:right w:val="single" w:color="000000" w:sz="4" w:space="0"/>
            </w:tcBorders>
            <w:noWrap w:val="0"/>
            <w:vAlign w:val="center"/>
          </w:tcPr>
          <w:p w14:paraId="2292E60A">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233" w:type="pct"/>
            <w:vMerge w:val="continue"/>
            <w:tcBorders>
              <w:top w:val="nil"/>
              <w:left w:val="nil"/>
              <w:bottom w:val="single" w:color="000000" w:sz="4" w:space="0"/>
              <w:right w:val="single" w:color="000000" w:sz="4" w:space="0"/>
            </w:tcBorders>
            <w:noWrap w:val="0"/>
            <w:vAlign w:val="center"/>
          </w:tcPr>
          <w:p w14:paraId="118D8686">
            <w:pPr>
              <w:keepNext w:val="0"/>
              <w:keepLines w:val="0"/>
              <w:pageBreakBefore w:val="0"/>
              <w:widowControl/>
              <w:kinsoku/>
              <w:wordWrap/>
              <w:overflowPunct/>
              <w:topLinePunct w:val="0"/>
              <w:bidi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c>
          <w:tcPr>
            <w:tcW w:w="955" w:type="pct"/>
            <w:gridSpan w:val="2"/>
            <w:tcBorders>
              <w:top w:val="single" w:color="000000" w:sz="4" w:space="0"/>
              <w:left w:val="nil"/>
              <w:bottom w:val="single" w:color="000000" w:sz="4" w:space="0"/>
              <w:right w:val="single" w:color="000000" w:sz="4" w:space="0"/>
            </w:tcBorders>
            <w:noWrap w:val="0"/>
            <w:vAlign w:val="center"/>
          </w:tcPr>
          <w:p w14:paraId="04915F74">
            <w:pPr>
              <w:keepNext w:val="0"/>
              <w:keepLines w:val="0"/>
              <w:pageBreakBefore w:val="0"/>
              <w:kinsoku/>
              <w:wordWrap/>
              <w:overflowPunct/>
              <w:topLinePunct w:val="0"/>
              <w:autoSpaceDE w:val="0"/>
              <w:autoSpaceDN w:val="0"/>
              <w:bidi w:val="0"/>
              <w:adjustRightInd w:val="0"/>
              <w:snapToGrid/>
              <w:spacing w:before="48" w:line="360" w:lineRule="auto"/>
              <w:ind w:right="-2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各类</w:t>
            </w:r>
            <w:r>
              <w:rPr>
                <w:rFonts w:hint="eastAsia" w:asciiTheme="minorEastAsia" w:hAnsiTheme="minorEastAsia" w:eastAsiaTheme="minorEastAsia" w:cstheme="minorEastAsia"/>
                <w:color w:val="auto"/>
                <w:spacing w:val="-2"/>
                <w:kern w:val="0"/>
                <w:sz w:val="24"/>
                <w:szCs w:val="24"/>
                <w:highlight w:val="none"/>
              </w:rPr>
              <w:t>注</w:t>
            </w:r>
            <w:r>
              <w:rPr>
                <w:rFonts w:hint="eastAsia" w:asciiTheme="minorEastAsia" w:hAnsiTheme="minorEastAsia" w:eastAsiaTheme="minorEastAsia" w:cstheme="minorEastAsia"/>
                <w:color w:val="auto"/>
                <w:kern w:val="0"/>
                <w:sz w:val="24"/>
                <w:szCs w:val="24"/>
                <w:highlight w:val="none"/>
              </w:rPr>
              <w:t>册</w:t>
            </w:r>
            <w:r>
              <w:rPr>
                <w:rFonts w:hint="eastAsia" w:asciiTheme="minorEastAsia" w:hAnsiTheme="minorEastAsia" w:eastAsiaTheme="minorEastAsia" w:cstheme="minorEastAsia"/>
                <w:color w:val="auto"/>
                <w:spacing w:val="-2"/>
                <w:kern w:val="0"/>
                <w:sz w:val="24"/>
                <w:szCs w:val="24"/>
                <w:highlight w:val="none"/>
              </w:rPr>
              <w:t>人</w:t>
            </w:r>
            <w:r>
              <w:rPr>
                <w:rFonts w:hint="eastAsia" w:asciiTheme="minorEastAsia" w:hAnsiTheme="minorEastAsia" w:eastAsiaTheme="minorEastAsia" w:cstheme="minorEastAsia"/>
                <w:color w:val="auto"/>
                <w:kern w:val="0"/>
                <w:sz w:val="24"/>
                <w:szCs w:val="24"/>
                <w:highlight w:val="none"/>
              </w:rPr>
              <w:t>员</w:t>
            </w:r>
          </w:p>
        </w:tc>
        <w:tc>
          <w:tcPr>
            <w:tcW w:w="852" w:type="pct"/>
            <w:gridSpan w:val="2"/>
            <w:tcBorders>
              <w:top w:val="single" w:color="000000" w:sz="4" w:space="0"/>
              <w:left w:val="nil"/>
              <w:bottom w:val="single" w:color="000000" w:sz="4" w:space="0"/>
              <w:right w:val="single" w:color="000000" w:sz="4" w:space="0"/>
            </w:tcBorders>
            <w:noWrap w:val="0"/>
            <w:vAlign w:val="center"/>
          </w:tcPr>
          <w:p w14:paraId="2E5A6987">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042BA5CA">
        <w:tblPrEx>
          <w:tblCellMar>
            <w:top w:w="0" w:type="dxa"/>
            <w:left w:w="0" w:type="dxa"/>
            <w:bottom w:w="0" w:type="dxa"/>
            <w:right w:w="0" w:type="dxa"/>
          </w:tblCellMar>
        </w:tblPrEx>
        <w:trPr>
          <w:trHeight w:val="451"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8CEF76E">
            <w:pPr>
              <w:keepNext w:val="0"/>
              <w:keepLines w:val="0"/>
              <w:pageBreakBefore w:val="0"/>
              <w:kinsoku/>
              <w:wordWrap/>
              <w:overflowPunct/>
              <w:topLinePunct w:val="0"/>
              <w:autoSpaceDE w:val="0"/>
              <w:autoSpaceDN w:val="0"/>
              <w:bidi w:val="0"/>
              <w:adjustRightInd w:val="0"/>
              <w:snapToGrid/>
              <w:spacing w:before="48" w:line="360" w:lineRule="auto"/>
              <w:ind w:left="702" w:right="-20" w:firstLine="0"/>
              <w:jc w:val="both"/>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经营</w:t>
            </w:r>
            <w:r>
              <w:rPr>
                <w:rFonts w:hint="eastAsia" w:asciiTheme="minorEastAsia" w:hAnsiTheme="minorEastAsia" w:eastAsiaTheme="minorEastAsia" w:cstheme="minorEastAsia"/>
                <w:color w:val="auto"/>
                <w:spacing w:val="-2"/>
                <w:kern w:val="0"/>
                <w:sz w:val="24"/>
                <w:szCs w:val="24"/>
                <w:highlight w:val="none"/>
              </w:rPr>
              <w:t>范</w:t>
            </w:r>
            <w:r>
              <w:rPr>
                <w:rFonts w:hint="eastAsia" w:asciiTheme="minorEastAsia" w:hAnsiTheme="minorEastAsia" w:eastAsiaTheme="minorEastAsia" w:cstheme="minorEastAsia"/>
                <w:color w:val="auto"/>
                <w:kern w:val="0"/>
                <w:sz w:val="24"/>
                <w:szCs w:val="24"/>
                <w:highlight w:val="none"/>
              </w:rPr>
              <w:t>围</w:t>
            </w:r>
          </w:p>
        </w:tc>
        <w:tc>
          <w:tcPr>
            <w:tcW w:w="3602" w:type="pct"/>
            <w:gridSpan w:val="8"/>
            <w:tcBorders>
              <w:top w:val="single" w:color="000000" w:sz="4" w:space="0"/>
              <w:left w:val="nil"/>
              <w:bottom w:val="single" w:color="000000" w:sz="4" w:space="0"/>
              <w:right w:val="single" w:color="000000" w:sz="4" w:space="0"/>
            </w:tcBorders>
            <w:noWrap w:val="0"/>
            <w:vAlign w:val="center"/>
          </w:tcPr>
          <w:p w14:paraId="45FAA41D">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3359395B">
        <w:tblPrEx>
          <w:tblCellMar>
            <w:top w:w="0" w:type="dxa"/>
            <w:left w:w="0" w:type="dxa"/>
            <w:bottom w:w="0" w:type="dxa"/>
            <w:right w:w="0" w:type="dxa"/>
          </w:tblCellMar>
        </w:tblPrEx>
        <w:trPr>
          <w:trHeight w:val="2403"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D234EA7">
            <w:pPr>
              <w:keepNext w:val="0"/>
              <w:keepLines w:val="0"/>
              <w:pageBreakBefore w:val="0"/>
              <w:kinsoku/>
              <w:wordWrap/>
              <w:overflowPunct/>
              <w:topLinePunct w:val="0"/>
              <w:autoSpaceDE w:val="0"/>
              <w:autoSpaceDN w:val="0"/>
              <w:bidi w:val="0"/>
              <w:adjustRightInd w:val="0"/>
              <w:snapToGrid/>
              <w:spacing w:before="48" w:line="360" w:lineRule="auto"/>
              <w:ind w:left="75" w:right="50"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w:t>
            </w:r>
            <w:r>
              <w:rPr>
                <w:rFonts w:hint="eastAsia" w:asciiTheme="minorEastAsia" w:hAnsiTheme="minorEastAsia" w:eastAsiaTheme="minorEastAsia" w:cstheme="minorEastAsia"/>
                <w:color w:val="auto"/>
                <w:spacing w:val="-2"/>
                <w:kern w:val="0"/>
                <w:sz w:val="24"/>
                <w:szCs w:val="24"/>
                <w:highlight w:val="none"/>
              </w:rPr>
              <w:t>人</w:t>
            </w:r>
            <w:r>
              <w:rPr>
                <w:rFonts w:hint="eastAsia" w:asciiTheme="minorEastAsia" w:hAnsiTheme="minorEastAsia" w:eastAsiaTheme="minorEastAsia" w:cstheme="minorEastAsia"/>
                <w:color w:val="auto"/>
                <w:kern w:val="0"/>
                <w:sz w:val="24"/>
                <w:szCs w:val="24"/>
                <w:highlight w:val="none"/>
              </w:rPr>
              <w:t>关</w:t>
            </w:r>
            <w:r>
              <w:rPr>
                <w:rFonts w:hint="eastAsia" w:asciiTheme="minorEastAsia" w:hAnsiTheme="minorEastAsia" w:eastAsiaTheme="minorEastAsia" w:cstheme="minorEastAsia"/>
                <w:color w:val="auto"/>
                <w:spacing w:val="-2"/>
                <w:kern w:val="0"/>
                <w:sz w:val="24"/>
                <w:szCs w:val="24"/>
                <w:highlight w:val="none"/>
              </w:rPr>
              <w:t>联</w:t>
            </w:r>
            <w:r>
              <w:rPr>
                <w:rFonts w:hint="eastAsia" w:asciiTheme="minorEastAsia" w:hAnsiTheme="minorEastAsia" w:eastAsiaTheme="minorEastAsia" w:cstheme="minorEastAsia"/>
                <w:color w:val="auto"/>
                <w:kern w:val="0"/>
                <w:sz w:val="24"/>
                <w:szCs w:val="24"/>
                <w:highlight w:val="none"/>
              </w:rPr>
              <w:t>企</w:t>
            </w:r>
            <w:r>
              <w:rPr>
                <w:rFonts w:hint="eastAsia" w:asciiTheme="minorEastAsia" w:hAnsiTheme="minorEastAsia" w:eastAsiaTheme="minorEastAsia" w:cstheme="minorEastAsia"/>
                <w:color w:val="auto"/>
                <w:spacing w:val="-2"/>
                <w:kern w:val="0"/>
                <w:sz w:val="24"/>
                <w:szCs w:val="24"/>
                <w:highlight w:val="none"/>
              </w:rPr>
              <w:t>业</w:t>
            </w:r>
            <w:r>
              <w:rPr>
                <w:rFonts w:hint="eastAsia" w:asciiTheme="minorEastAsia" w:hAnsiTheme="minorEastAsia" w:eastAsiaTheme="minorEastAsia" w:cstheme="minorEastAsia"/>
                <w:color w:val="auto"/>
                <w:kern w:val="0"/>
                <w:sz w:val="24"/>
                <w:szCs w:val="24"/>
                <w:highlight w:val="none"/>
              </w:rPr>
              <w:t>情</w:t>
            </w:r>
            <w:r>
              <w:rPr>
                <w:rFonts w:hint="eastAsia" w:asciiTheme="minorEastAsia" w:hAnsiTheme="minorEastAsia" w:eastAsiaTheme="minorEastAsia" w:cstheme="minorEastAsia"/>
                <w:color w:val="auto"/>
                <w:spacing w:val="-60"/>
                <w:kern w:val="0"/>
                <w:sz w:val="24"/>
                <w:szCs w:val="24"/>
                <w:highlight w:val="none"/>
              </w:rPr>
              <w:t>况</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pacing w:val="-2"/>
                <w:kern w:val="0"/>
                <w:sz w:val="24"/>
                <w:szCs w:val="24"/>
                <w:highlight w:val="none"/>
              </w:rPr>
              <w:t>包</w:t>
            </w:r>
            <w:r>
              <w:rPr>
                <w:rFonts w:hint="eastAsia" w:asciiTheme="minorEastAsia" w:hAnsiTheme="minorEastAsia" w:eastAsiaTheme="minorEastAsia" w:cstheme="minorEastAsia"/>
                <w:color w:val="auto"/>
                <w:kern w:val="0"/>
                <w:sz w:val="24"/>
                <w:szCs w:val="24"/>
                <w:highlight w:val="none"/>
              </w:rPr>
              <w:t>括</w:t>
            </w:r>
            <w:r>
              <w:rPr>
                <w:rFonts w:hint="eastAsia" w:asciiTheme="minorEastAsia" w:hAnsiTheme="minorEastAsia" w:eastAsiaTheme="minorEastAsia" w:cstheme="minorEastAsia"/>
                <w:color w:val="auto"/>
                <w:spacing w:val="-2"/>
                <w:kern w:val="0"/>
                <w:sz w:val="24"/>
                <w:szCs w:val="24"/>
                <w:highlight w:val="none"/>
              </w:rPr>
              <w:t>但</w:t>
            </w:r>
            <w:r>
              <w:rPr>
                <w:rFonts w:hint="eastAsia" w:asciiTheme="minorEastAsia" w:hAnsiTheme="minorEastAsia" w:eastAsiaTheme="minorEastAsia" w:cstheme="minorEastAsia"/>
                <w:color w:val="auto"/>
                <w:kern w:val="0"/>
                <w:sz w:val="24"/>
                <w:szCs w:val="24"/>
                <w:highlight w:val="none"/>
              </w:rPr>
              <w:t>不</w:t>
            </w:r>
            <w:r>
              <w:rPr>
                <w:rFonts w:hint="eastAsia" w:asciiTheme="minorEastAsia" w:hAnsiTheme="minorEastAsia" w:eastAsiaTheme="minorEastAsia" w:cstheme="minorEastAsia"/>
                <w:color w:val="auto"/>
                <w:spacing w:val="-2"/>
                <w:kern w:val="0"/>
                <w:sz w:val="24"/>
                <w:szCs w:val="24"/>
                <w:highlight w:val="none"/>
              </w:rPr>
              <w:t>限</w:t>
            </w:r>
            <w:r>
              <w:rPr>
                <w:rFonts w:hint="eastAsia" w:asciiTheme="minorEastAsia" w:hAnsiTheme="minorEastAsia" w:eastAsiaTheme="minorEastAsia" w:cstheme="minorEastAsia"/>
                <w:color w:val="auto"/>
                <w:kern w:val="0"/>
                <w:sz w:val="24"/>
                <w:szCs w:val="24"/>
                <w:highlight w:val="none"/>
              </w:rPr>
              <w:t>于与投标</w:t>
            </w:r>
            <w:r>
              <w:rPr>
                <w:rFonts w:hint="eastAsia" w:asciiTheme="minorEastAsia" w:hAnsiTheme="minorEastAsia" w:eastAsiaTheme="minorEastAsia" w:cstheme="minorEastAsia"/>
                <w:color w:val="auto"/>
                <w:spacing w:val="-2"/>
                <w:kern w:val="0"/>
                <w:sz w:val="24"/>
                <w:szCs w:val="24"/>
                <w:highlight w:val="none"/>
              </w:rPr>
              <w:t>人</w:t>
            </w:r>
            <w:r>
              <w:rPr>
                <w:rFonts w:hint="eastAsia" w:asciiTheme="minorEastAsia" w:hAnsiTheme="minorEastAsia" w:eastAsiaTheme="minorEastAsia" w:cstheme="minorEastAsia"/>
                <w:color w:val="auto"/>
                <w:kern w:val="0"/>
                <w:sz w:val="24"/>
                <w:szCs w:val="24"/>
                <w:highlight w:val="none"/>
              </w:rPr>
              <w:t>法</w:t>
            </w:r>
            <w:r>
              <w:rPr>
                <w:rFonts w:hint="eastAsia" w:asciiTheme="minorEastAsia" w:hAnsiTheme="minorEastAsia" w:eastAsiaTheme="minorEastAsia" w:cstheme="minorEastAsia"/>
                <w:color w:val="auto"/>
                <w:spacing w:val="-2"/>
                <w:kern w:val="0"/>
                <w:sz w:val="24"/>
                <w:szCs w:val="24"/>
                <w:highlight w:val="none"/>
              </w:rPr>
              <w:t>定</w:t>
            </w:r>
            <w:r>
              <w:rPr>
                <w:rFonts w:hint="eastAsia" w:asciiTheme="minorEastAsia" w:hAnsiTheme="minorEastAsia" w:eastAsiaTheme="minorEastAsia" w:cstheme="minorEastAsia"/>
                <w:color w:val="auto"/>
                <w:kern w:val="0"/>
                <w:sz w:val="24"/>
                <w:szCs w:val="24"/>
                <w:highlight w:val="none"/>
              </w:rPr>
              <w:t>代</w:t>
            </w:r>
            <w:r>
              <w:rPr>
                <w:rFonts w:hint="eastAsia" w:asciiTheme="minorEastAsia" w:hAnsiTheme="minorEastAsia" w:eastAsiaTheme="minorEastAsia" w:cstheme="minorEastAsia"/>
                <w:color w:val="auto"/>
                <w:spacing w:val="-2"/>
                <w:kern w:val="0"/>
                <w:sz w:val="24"/>
                <w:szCs w:val="24"/>
                <w:highlight w:val="none"/>
              </w:rPr>
              <w:t>表</w:t>
            </w:r>
            <w:r>
              <w:rPr>
                <w:rFonts w:hint="eastAsia" w:asciiTheme="minorEastAsia" w:hAnsiTheme="minorEastAsia" w:eastAsiaTheme="minorEastAsia" w:cstheme="minorEastAsia"/>
                <w:color w:val="auto"/>
                <w:kern w:val="0"/>
                <w:sz w:val="24"/>
                <w:szCs w:val="24"/>
                <w:highlight w:val="none"/>
              </w:rPr>
              <w:t>人为同</w:t>
            </w:r>
            <w:r>
              <w:rPr>
                <w:rFonts w:hint="eastAsia" w:asciiTheme="minorEastAsia" w:hAnsiTheme="minorEastAsia" w:eastAsiaTheme="minorEastAsia" w:cstheme="minorEastAsia"/>
                <w:color w:val="auto"/>
                <w:spacing w:val="-2"/>
                <w:kern w:val="0"/>
                <w:sz w:val="24"/>
                <w:szCs w:val="24"/>
                <w:highlight w:val="none"/>
              </w:rPr>
              <w:t>一</w:t>
            </w:r>
            <w:r>
              <w:rPr>
                <w:rFonts w:hint="eastAsia" w:asciiTheme="minorEastAsia" w:hAnsiTheme="minorEastAsia" w:eastAsiaTheme="minorEastAsia" w:cstheme="minorEastAsia"/>
                <w:color w:val="auto"/>
                <w:kern w:val="0"/>
                <w:sz w:val="24"/>
                <w:szCs w:val="24"/>
                <w:highlight w:val="none"/>
              </w:rPr>
              <w:t>人</w:t>
            </w:r>
            <w:r>
              <w:rPr>
                <w:rFonts w:hint="eastAsia" w:asciiTheme="minorEastAsia" w:hAnsiTheme="minorEastAsia" w:eastAsiaTheme="minorEastAsia" w:cstheme="minorEastAsia"/>
                <w:color w:val="auto"/>
                <w:spacing w:val="-2"/>
                <w:kern w:val="0"/>
                <w:sz w:val="24"/>
                <w:szCs w:val="24"/>
                <w:highlight w:val="none"/>
              </w:rPr>
              <w:t>或</w:t>
            </w:r>
            <w:r>
              <w:rPr>
                <w:rFonts w:hint="eastAsia" w:asciiTheme="minorEastAsia" w:hAnsiTheme="minorEastAsia" w:eastAsiaTheme="minorEastAsia" w:cstheme="minorEastAsia"/>
                <w:color w:val="auto"/>
                <w:kern w:val="0"/>
                <w:sz w:val="24"/>
                <w:szCs w:val="24"/>
                <w:highlight w:val="none"/>
              </w:rPr>
              <w:t>者</w:t>
            </w:r>
            <w:r>
              <w:rPr>
                <w:rFonts w:hint="eastAsia" w:asciiTheme="minorEastAsia" w:hAnsiTheme="minorEastAsia" w:eastAsiaTheme="minorEastAsia" w:cstheme="minorEastAsia"/>
                <w:color w:val="auto"/>
                <w:spacing w:val="-2"/>
                <w:kern w:val="0"/>
                <w:sz w:val="24"/>
                <w:szCs w:val="24"/>
                <w:highlight w:val="none"/>
              </w:rPr>
              <w:t>存</w:t>
            </w:r>
            <w:r>
              <w:rPr>
                <w:rFonts w:hint="eastAsia" w:asciiTheme="minorEastAsia" w:hAnsiTheme="minorEastAsia" w:eastAsiaTheme="minorEastAsia" w:cstheme="minorEastAsia"/>
                <w:color w:val="auto"/>
                <w:kern w:val="0"/>
                <w:sz w:val="24"/>
                <w:szCs w:val="24"/>
                <w:highlight w:val="none"/>
              </w:rPr>
              <w:t>在控股</w:t>
            </w:r>
            <w:r>
              <w:rPr>
                <w:rFonts w:hint="eastAsia" w:asciiTheme="minorEastAsia" w:hAnsiTheme="minorEastAsia" w:eastAsiaTheme="minorEastAsia" w:cstheme="minorEastAsia"/>
                <w:color w:val="auto"/>
                <w:spacing w:val="-62"/>
                <w:kern w:val="0"/>
                <w:sz w:val="24"/>
                <w:szCs w:val="24"/>
                <w:highlight w:val="none"/>
              </w:rPr>
              <w:t>、</w:t>
            </w:r>
            <w:r>
              <w:rPr>
                <w:rFonts w:hint="eastAsia" w:asciiTheme="minorEastAsia" w:hAnsiTheme="minorEastAsia" w:eastAsiaTheme="minorEastAsia" w:cstheme="minorEastAsia"/>
                <w:color w:val="auto"/>
                <w:kern w:val="0"/>
                <w:sz w:val="24"/>
                <w:szCs w:val="24"/>
                <w:highlight w:val="none"/>
              </w:rPr>
              <w:t>管</w:t>
            </w:r>
            <w:r>
              <w:rPr>
                <w:rFonts w:hint="eastAsia" w:asciiTheme="minorEastAsia" w:hAnsiTheme="minorEastAsia" w:eastAsiaTheme="minorEastAsia" w:cstheme="minorEastAsia"/>
                <w:color w:val="auto"/>
                <w:spacing w:val="-2"/>
                <w:kern w:val="0"/>
                <w:sz w:val="24"/>
                <w:szCs w:val="24"/>
                <w:highlight w:val="none"/>
              </w:rPr>
              <w:t>理</w:t>
            </w:r>
            <w:r>
              <w:rPr>
                <w:rFonts w:hint="eastAsia" w:asciiTheme="minorEastAsia" w:hAnsiTheme="minorEastAsia" w:eastAsiaTheme="minorEastAsia" w:cstheme="minorEastAsia"/>
                <w:color w:val="auto"/>
                <w:kern w:val="0"/>
                <w:sz w:val="24"/>
                <w:szCs w:val="24"/>
                <w:highlight w:val="none"/>
              </w:rPr>
              <w:t>关</w:t>
            </w:r>
            <w:r>
              <w:rPr>
                <w:rFonts w:hint="eastAsia" w:asciiTheme="minorEastAsia" w:hAnsiTheme="minorEastAsia" w:eastAsiaTheme="minorEastAsia" w:cstheme="minorEastAsia"/>
                <w:color w:val="auto"/>
                <w:spacing w:val="-2"/>
                <w:kern w:val="0"/>
                <w:sz w:val="24"/>
                <w:szCs w:val="24"/>
                <w:highlight w:val="none"/>
              </w:rPr>
              <w:t>系</w:t>
            </w:r>
            <w:r>
              <w:rPr>
                <w:rFonts w:hint="eastAsia" w:asciiTheme="minorEastAsia" w:hAnsiTheme="minorEastAsia" w:eastAsiaTheme="minorEastAsia" w:cstheme="minorEastAsia"/>
                <w:color w:val="auto"/>
                <w:kern w:val="0"/>
                <w:sz w:val="24"/>
                <w:szCs w:val="24"/>
                <w:highlight w:val="none"/>
              </w:rPr>
              <w:t>的不同单</w:t>
            </w:r>
            <w:r>
              <w:rPr>
                <w:rFonts w:hint="eastAsia" w:asciiTheme="minorEastAsia" w:hAnsiTheme="minorEastAsia" w:eastAsiaTheme="minorEastAsia" w:cstheme="minorEastAsia"/>
                <w:color w:val="auto"/>
                <w:spacing w:val="-2"/>
                <w:kern w:val="0"/>
                <w:sz w:val="24"/>
                <w:szCs w:val="24"/>
                <w:highlight w:val="none"/>
              </w:rPr>
              <w:t>位</w:t>
            </w:r>
            <w:r>
              <w:rPr>
                <w:rFonts w:hint="eastAsia" w:asciiTheme="minorEastAsia" w:hAnsiTheme="minorEastAsia" w:eastAsiaTheme="minorEastAsia" w:cstheme="minorEastAsia"/>
                <w:color w:val="auto"/>
                <w:kern w:val="0"/>
                <w:sz w:val="24"/>
                <w:szCs w:val="24"/>
                <w:highlight w:val="none"/>
              </w:rPr>
              <w:t>）</w:t>
            </w:r>
          </w:p>
        </w:tc>
        <w:tc>
          <w:tcPr>
            <w:tcW w:w="3602" w:type="pct"/>
            <w:gridSpan w:val="8"/>
            <w:tcBorders>
              <w:top w:val="single" w:color="000000" w:sz="4" w:space="0"/>
              <w:left w:val="nil"/>
              <w:bottom w:val="single" w:color="000000" w:sz="4" w:space="0"/>
              <w:right w:val="single" w:color="000000" w:sz="4" w:space="0"/>
            </w:tcBorders>
            <w:noWrap w:val="0"/>
            <w:vAlign w:val="center"/>
          </w:tcPr>
          <w:p w14:paraId="7CE0D5A0">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r w14:paraId="780F9ED9">
        <w:tblPrEx>
          <w:tblCellMar>
            <w:top w:w="0" w:type="dxa"/>
            <w:left w:w="0" w:type="dxa"/>
            <w:bottom w:w="0" w:type="dxa"/>
            <w:right w:w="0" w:type="dxa"/>
          </w:tblCellMar>
        </w:tblPrEx>
        <w:trPr>
          <w:trHeight w:val="449" w:hRule="atLeast"/>
          <w:jc w:val="center"/>
        </w:trPr>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8FE5691">
            <w:pPr>
              <w:keepNext w:val="0"/>
              <w:keepLines w:val="0"/>
              <w:pageBreakBefore w:val="0"/>
              <w:kinsoku/>
              <w:wordWrap/>
              <w:overflowPunct/>
              <w:topLinePunct w:val="0"/>
              <w:autoSpaceDE w:val="0"/>
              <w:autoSpaceDN w:val="0"/>
              <w:bidi w:val="0"/>
              <w:adjustRightInd w:val="0"/>
              <w:snapToGrid/>
              <w:spacing w:before="48" w:line="360" w:lineRule="auto"/>
              <w:ind w:left="772" w:right="747"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c>
          <w:tcPr>
            <w:tcW w:w="3602" w:type="pct"/>
            <w:gridSpan w:val="8"/>
            <w:tcBorders>
              <w:top w:val="single" w:color="000000" w:sz="4" w:space="0"/>
              <w:left w:val="nil"/>
              <w:bottom w:val="single" w:color="000000" w:sz="4" w:space="0"/>
              <w:right w:val="single" w:color="000000" w:sz="4" w:space="0"/>
            </w:tcBorders>
            <w:noWrap w:val="0"/>
            <w:vAlign w:val="center"/>
          </w:tcPr>
          <w:p w14:paraId="19C0150B">
            <w:pPr>
              <w:keepNext w:val="0"/>
              <w:keepLines w:val="0"/>
              <w:pageBreakBefore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Theme="minorEastAsia" w:hAnsiTheme="minorEastAsia" w:eastAsiaTheme="minorEastAsia" w:cstheme="minorEastAsia"/>
                <w:color w:val="auto"/>
                <w:kern w:val="0"/>
                <w:sz w:val="24"/>
                <w:szCs w:val="24"/>
                <w:highlight w:val="none"/>
              </w:rPr>
            </w:pPr>
          </w:p>
        </w:tc>
      </w:tr>
    </w:tbl>
    <w:p w14:paraId="571246D6">
      <w:pPr>
        <w:spacing w:line="360" w:lineRule="auto"/>
        <w:rPr>
          <w:rFonts w:hint="eastAsia" w:ascii="宋体" w:hAnsi="宋体"/>
          <w:color w:val="auto"/>
          <w:sz w:val="24"/>
          <w:lang w:val="en-US" w:eastAsia="zh-CN"/>
        </w:rPr>
      </w:pPr>
    </w:p>
    <w:p w14:paraId="59DD0B63">
      <w:pPr>
        <w:rPr>
          <w:rFonts w:hint="eastAsia" w:ascii="宋体" w:hAnsi="宋体"/>
          <w:b/>
          <w:bCs/>
          <w:color w:val="auto"/>
          <w:sz w:val="24"/>
          <w:lang w:val="en-US" w:eastAsia="zh-CN"/>
        </w:rPr>
      </w:pPr>
      <w:r>
        <w:rPr>
          <w:rFonts w:hint="eastAsia" w:ascii="宋体" w:hAnsi="宋体"/>
          <w:b/>
          <w:bCs/>
          <w:color w:val="auto"/>
          <w:sz w:val="24"/>
          <w:lang w:val="en-US" w:eastAsia="zh-CN"/>
        </w:rPr>
        <w:br w:type="page"/>
      </w:r>
    </w:p>
    <w:p w14:paraId="0415FB87">
      <w:pPr>
        <w:spacing w:line="360" w:lineRule="auto"/>
        <w:rPr>
          <w:rFonts w:hint="eastAsia" w:ascii="宋体" w:hAnsi="宋体"/>
          <w:b/>
          <w:bCs/>
          <w:color w:val="auto"/>
          <w:sz w:val="24"/>
        </w:rPr>
      </w:pPr>
      <w:r>
        <w:rPr>
          <w:rFonts w:hint="eastAsia" w:ascii="宋体" w:hAnsi="宋体"/>
          <w:b/>
          <w:bCs/>
          <w:color w:val="auto"/>
          <w:sz w:val="24"/>
          <w:lang w:val="en-US" w:eastAsia="zh-CN"/>
        </w:rPr>
        <w:t>逐项</w:t>
      </w:r>
      <w:r>
        <w:rPr>
          <w:rFonts w:hint="eastAsia" w:ascii="宋体" w:hAnsi="宋体"/>
          <w:b/>
          <w:bCs/>
          <w:color w:val="auto"/>
          <w:sz w:val="24"/>
        </w:rPr>
        <w:t>附以下所有材料原件的扫描件</w:t>
      </w:r>
      <w:r>
        <w:rPr>
          <w:rFonts w:hint="eastAsia" w:ascii="宋体" w:hAnsi="宋体"/>
          <w:b/>
          <w:bCs/>
          <w:color w:val="auto"/>
          <w:sz w:val="24"/>
          <w:lang w:eastAsia="zh-CN"/>
        </w:rPr>
        <w:t>，</w:t>
      </w:r>
      <w:r>
        <w:rPr>
          <w:rFonts w:hint="eastAsia" w:ascii="宋体" w:hAnsi="宋体"/>
          <w:b/>
          <w:bCs/>
          <w:color w:val="auto"/>
          <w:sz w:val="24"/>
        </w:rPr>
        <w:t>扫描件须清晰可辨，</w:t>
      </w:r>
      <w:r>
        <w:rPr>
          <w:rFonts w:hint="eastAsia" w:ascii="宋体" w:hAnsi="宋体"/>
          <w:b/>
          <w:bCs/>
          <w:color w:val="auto"/>
          <w:sz w:val="24"/>
          <w:lang w:eastAsia="zh-CN"/>
        </w:rPr>
        <w:t>供应商</w:t>
      </w:r>
      <w:r>
        <w:rPr>
          <w:rFonts w:hint="eastAsia" w:ascii="宋体" w:hAnsi="宋体"/>
          <w:b/>
          <w:bCs/>
          <w:color w:val="auto"/>
          <w:sz w:val="24"/>
        </w:rPr>
        <w:t>对其真实性负责：</w:t>
      </w:r>
    </w:p>
    <w:p w14:paraId="344A9943">
      <w:pPr>
        <w:spacing w:line="360" w:lineRule="auto"/>
        <w:ind w:firstLine="420" w:firstLineChars="175"/>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满足</w:t>
      </w:r>
      <w:r>
        <w:rPr>
          <w:rFonts w:hint="eastAsia" w:ascii="宋体" w:hAnsi="宋体"/>
          <w:color w:val="auto"/>
          <w:sz w:val="24"/>
        </w:rPr>
        <w:t>《中华人民共和国政府采购法》第二十二条规定条件的相关证明材料或承诺书；</w:t>
      </w:r>
    </w:p>
    <w:p w14:paraId="376E760F">
      <w:pPr>
        <w:spacing w:line="360" w:lineRule="auto"/>
        <w:ind w:firstLine="420" w:firstLineChars="175"/>
        <w:rPr>
          <w:rFonts w:hint="eastAsia" w:ascii="宋体" w:hAnsi="宋体"/>
          <w:color w:val="auto"/>
          <w:sz w:val="24"/>
        </w:rPr>
      </w:pPr>
      <w:r>
        <w:rPr>
          <w:rFonts w:hint="eastAsia" w:ascii="宋体" w:hAnsi="宋体"/>
          <w:color w:val="auto"/>
          <w:sz w:val="24"/>
        </w:rPr>
        <w:t>2、满足本项目特定资格要求的证明材料：</w:t>
      </w:r>
    </w:p>
    <w:p w14:paraId="7B88700D">
      <w:pPr>
        <w:spacing w:line="360" w:lineRule="auto"/>
        <w:ind w:firstLine="420" w:firstLineChars="175"/>
        <w:rPr>
          <w:rFonts w:hint="eastAsia" w:ascii="宋体" w:hAnsi="宋体"/>
          <w:color w:val="auto"/>
          <w:sz w:val="24"/>
        </w:rPr>
      </w:pPr>
      <w:r>
        <w:rPr>
          <w:rFonts w:hint="eastAsia" w:ascii="宋体" w:hAnsi="宋体"/>
          <w:color w:val="auto"/>
          <w:sz w:val="24"/>
        </w:rPr>
        <w:t>（1）供应商的营业执照副本</w:t>
      </w:r>
      <w:r>
        <w:rPr>
          <w:rFonts w:hint="eastAsia" w:ascii="宋体" w:hAnsi="宋体"/>
          <w:color w:val="auto"/>
          <w:sz w:val="24"/>
          <w:lang w:val="en-US" w:eastAsia="zh-CN"/>
        </w:rPr>
        <w:t>（</w:t>
      </w:r>
      <w:r>
        <w:rPr>
          <w:rFonts w:hint="eastAsia" w:ascii="宋体" w:hAnsi="宋体"/>
          <w:color w:val="auto"/>
          <w:sz w:val="24"/>
          <w:lang w:eastAsia="zh-CN"/>
        </w:rPr>
        <w:t>或事业单位法人证书</w:t>
      </w:r>
      <w:r>
        <w:rPr>
          <w:rFonts w:hint="eastAsia" w:ascii="宋体" w:hAnsi="宋体"/>
          <w:color w:val="auto"/>
          <w:sz w:val="24"/>
          <w:lang w:val="en-US" w:eastAsia="zh-CN"/>
        </w:rPr>
        <w:t>副本）</w:t>
      </w:r>
      <w:r>
        <w:rPr>
          <w:rFonts w:hint="eastAsia" w:ascii="宋体" w:hAnsi="宋体"/>
          <w:color w:val="auto"/>
          <w:sz w:val="24"/>
          <w:lang w:eastAsia="zh-CN"/>
        </w:rPr>
        <w:t>、</w:t>
      </w:r>
      <w:r>
        <w:rPr>
          <w:rFonts w:hint="eastAsia"/>
          <w:color w:val="auto"/>
          <w:sz w:val="24"/>
          <w:szCs w:val="24"/>
        </w:rPr>
        <w:t>资质证书副本</w:t>
      </w:r>
      <w:r>
        <w:rPr>
          <w:rFonts w:hint="eastAsia" w:ascii="宋体" w:hAnsi="宋体"/>
          <w:color w:val="auto"/>
          <w:sz w:val="24"/>
        </w:rPr>
        <w:t>；</w:t>
      </w:r>
    </w:p>
    <w:p w14:paraId="47A0C825">
      <w:pPr>
        <w:spacing w:line="360" w:lineRule="auto"/>
        <w:ind w:firstLine="420" w:firstLineChars="175"/>
        <w:rPr>
          <w:rFonts w:hint="eastAsia" w:ascii="宋体" w:hAnsi="宋体"/>
          <w:color w:val="auto"/>
          <w:sz w:val="24"/>
        </w:rPr>
      </w:pPr>
      <w:r>
        <w:rPr>
          <w:rFonts w:hint="eastAsia" w:ascii="宋体" w:hAnsi="宋体"/>
          <w:color w:val="auto"/>
          <w:sz w:val="24"/>
        </w:rPr>
        <w:t>（2）拟派项目负责人的注册城乡</w:t>
      </w:r>
      <w:r>
        <w:rPr>
          <w:rFonts w:hint="eastAsia" w:ascii="宋体" w:hAnsi="宋体"/>
          <w:color w:val="auto"/>
          <w:sz w:val="24"/>
          <w:lang w:eastAsia="zh-CN"/>
        </w:rPr>
        <w:t>（</w:t>
      </w:r>
      <w:r>
        <w:rPr>
          <w:rFonts w:hint="eastAsia" w:ascii="宋体" w:hAnsi="宋体"/>
          <w:color w:val="auto"/>
          <w:sz w:val="24"/>
          <w:lang w:val="en-US" w:eastAsia="zh-CN"/>
        </w:rPr>
        <w:t>市</w:t>
      </w:r>
      <w:r>
        <w:rPr>
          <w:rFonts w:hint="eastAsia" w:ascii="宋体" w:hAnsi="宋体"/>
          <w:color w:val="auto"/>
          <w:sz w:val="24"/>
          <w:lang w:eastAsia="zh-CN"/>
        </w:rPr>
        <w:t>）</w:t>
      </w:r>
      <w:r>
        <w:rPr>
          <w:rFonts w:hint="eastAsia" w:ascii="宋体" w:hAnsi="宋体"/>
          <w:color w:val="auto"/>
          <w:sz w:val="24"/>
        </w:rPr>
        <w:t>规划师证书、职称证、身份证、劳动合同、社保证明资料；</w:t>
      </w:r>
    </w:p>
    <w:p w14:paraId="638F7808">
      <w:pPr>
        <w:spacing w:line="360" w:lineRule="auto"/>
        <w:ind w:firstLine="420" w:firstLineChars="175"/>
        <w:rPr>
          <w:rFonts w:hint="eastAsia" w:ascii="宋体" w:hAnsi="宋体"/>
          <w:color w:val="auto"/>
          <w:sz w:val="24"/>
        </w:rPr>
      </w:pPr>
      <w:r>
        <w:rPr>
          <w:rFonts w:hint="eastAsia" w:ascii="宋体" w:hAnsi="宋体"/>
          <w:color w:val="auto"/>
          <w:sz w:val="24"/>
        </w:rPr>
        <w:t>（3）供应商无商业贿赂和不正当竞争行为承诺书。</w:t>
      </w:r>
    </w:p>
    <w:p w14:paraId="6BC0A7BE">
      <w:pPr>
        <w:spacing w:line="360" w:lineRule="auto"/>
        <w:ind w:firstLine="420" w:firstLineChars="175"/>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中国执行信息公开网”（http://zxgk.court.gov.cn/shixin/）供应商没有被列入失信被执行人的查询结果截图、“信用中国”网站（www.creditchina.gov.cn）供应商没有被列入重大税收违法失信主体名单的查询结果截图、“中国政府采购网”网站（http://www.ccgp.gov.cn/）供应商没有被列入政府采购严重违法失信行为记录名单的查询结果截图；</w:t>
      </w:r>
    </w:p>
    <w:p w14:paraId="781E75DD">
      <w:pPr>
        <w:spacing w:line="360" w:lineRule="auto"/>
        <w:ind w:firstLine="420" w:firstLineChars="175"/>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）中国裁判文书网（http://wenshu.court.gov.cn/）供应商及其法定代表人无行贿犯罪记录的查询截图或提供无行贿犯罪记录承诺书；</w:t>
      </w:r>
    </w:p>
    <w:p w14:paraId="046DB67F">
      <w:pPr>
        <w:spacing w:line="360" w:lineRule="auto"/>
        <w:ind w:firstLine="420" w:firstLineChars="175"/>
        <w:rPr>
          <w:rFonts w:hint="eastAsia" w:ascii="宋体" w:hAnsi="宋体" w:eastAsiaTheme="minorEastAsia"/>
          <w:color w:val="auto"/>
          <w:sz w:val="24"/>
          <w:lang w:eastAsia="zh-CN"/>
        </w:rPr>
      </w:pPr>
      <w:r>
        <w:rPr>
          <w:rFonts w:hint="eastAsia" w:ascii="宋体" w:hAnsi="宋体"/>
          <w:color w:val="auto"/>
          <w:sz w:val="24"/>
        </w:rPr>
        <w:t>（</w:t>
      </w:r>
      <w:r>
        <w:rPr>
          <w:rFonts w:hint="eastAsia" w:ascii="宋体" w:hAnsi="宋体"/>
          <w:color w:val="auto"/>
          <w:sz w:val="24"/>
          <w:lang w:val="en-US" w:eastAsia="zh-CN"/>
        </w:rPr>
        <w:t>6</w:t>
      </w:r>
      <w:r>
        <w:rPr>
          <w:rFonts w:hint="eastAsia" w:ascii="宋体" w:hAnsi="宋体"/>
          <w:color w:val="auto"/>
          <w:sz w:val="24"/>
        </w:rPr>
        <w:t>）提供“国家企业信用信息公示系统”中查询相关信息网页截图，查询截图需显示公司基本信息、股东信息及股权变更信息等相关信息，查询时间自本项目磋商公告发布之日起至响应文件递交截止之日止</w:t>
      </w:r>
      <w:r>
        <w:rPr>
          <w:rFonts w:hint="eastAsia" w:ascii="宋体" w:hAnsi="宋体"/>
          <w:color w:val="auto"/>
          <w:sz w:val="24"/>
          <w:lang w:eastAsia="zh-CN"/>
        </w:rPr>
        <w:t>。</w:t>
      </w:r>
    </w:p>
    <w:p w14:paraId="050D515B">
      <w:pPr>
        <w:rPr>
          <w:rFonts w:hint="eastAsia" w:ascii="宋体" w:hAnsi="宋体"/>
          <w:color w:val="auto"/>
          <w:sz w:val="24"/>
        </w:rPr>
      </w:pPr>
      <w:r>
        <w:rPr>
          <w:rFonts w:hint="eastAsia" w:ascii="宋体" w:hAnsi="宋体"/>
          <w:color w:val="auto"/>
          <w:sz w:val="24"/>
        </w:rPr>
        <w:br w:type="page"/>
      </w:r>
    </w:p>
    <w:p w14:paraId="502087A7">
      <w:pPr>
        <w:pageBreakBefore w:val="0"/>
        <w:wordWrap/>
        <w:overflowPunct/>
        <w:topLinePunct w:val="0"/>
        <w:bidi w:val="0"/>
        <w:spacing w:before="50"/>
        <w:jc w:val="center"/>
        <w:outlineLvl w:val="9"/>
        <w:rPr>
          <w:rFonts w:ascii="宋体" w:hAnsi="宋体" w:eastAsia="宋体" w:cs="宋体"/>
          <w:b/>
          <w:sz w:val="32"/>
          <w:szCs w:val="32"/>
        </w:rPr>
      </w:pPr>
      <w:r>
        <w:rPr>
          <w:rFonts w:hint="eastAsia" w:ascii="宋体" w:hAnsi="宋体" w:eastAsia="宋体" w:cs="宋体"/>
          <w:b/>
          <w:sz w:val="32"/>
          <w:szCs w:val="32"/>
        </w:rPr>
        <w:t>七、服务方案</w:t>
      </w:r>
    </w:p>
    <w:p w14:paraId="76ADC5FE">
      <w:pPr>
        <w:pageBreakBefore w:val="0"/>
        <w:kinsoku/>
        <w:wordWrap/>
        <w:overflowPunct/>
        <w:topLinePunct w:val="0"/>
        <w:bidi w:val="0"/>
        <w:adjustRightInd w:val="0"/>
        <w:spacing w:line="360" w:lineRule="auto"/>
        <w:jc w:val="center"/>
        <w:textAlignment w:val="baseline"/>
        <w:outlineLvl w:val="9"/>
        <w:rPr>
          <w:rFonts w:hint="eastAsia" w:ascii="宋体" w:hAnsi="宋体" w:eastAsia="宋体" w:cs="宋体"/>
          <w:b/>
          <w:sz w:val="28"/>
          <w:szCs w:val="28"/>
        </w:rPr>
      </w:pPr>
      <w:r>
        <w:rPr>
          <w:rFonts w:hint="eastAsia" w:ascii="宋体" w:hAnsi="宋体" w:eastAsia="宋体" w:cs="宋体"/>
          <w:b/>
          <w:sz w:val="28"/>
          <w:szCs w:val="28"/>
        </w:rPr>
        <w:t>（格式自拟）</w:t>
      </w:r>
      <w:bookmarkStart w:id="12" w:name="_Toc27309"/>
    </w:p>
    <w:p w14:paraId="08BA88F0">
      <w:pPr>
        <w:pageBreakBefore w:val="0"/>
        <w:wordWrap/>
        <w:overflowPunct/>
        <w:topLinePunct w:val="0"/>
        <w:bidi w:val="0"/>
        <w:outlineLvl w:val="9"/>
        <w:rPr>
          <w:rFonts w:hint="eastAsia" w:ascii="宋体" w:hAnsi="宋体" w:eastAsia="宋体" w:cs="宋体"/>
          <w:b/>
          <w:sz w:val="28"/>
          <w:szCs w:val="28"/>
        </w:rPr>
      </w:pPr>
      <w:r>
        <w:rPr>
          <w:rFonts w:hint="eastAsia" w:ascii="宋体" w:hAnsi="宋体" w:eastAsia="宋体" w:cs="宋体"/>
          <w:b/>
          <w:sz w:val="28"/>
          <w:szCs w:val="28"/>
        </w:rPr>
        <w:br w:type="page"/>
      </w:r>
    </w:p>
    <w:bookmarkEnd w:id="12"/>
    <w:p w14:paraId="4698BD31">
      <w:pPr>
        <w:pageBreakBefore w:val="0"/>
        <w:kinsoku/>
        <w:wordWrap/>
        <w:overflowPunct/>
        <w:topLinePunct w:val="0"/>
        <w:bidi w:val="0"/>
        <w:adjustRightInd w:val="0"/>
        <w:spacing w:line="360" w:lineRule="auto"/>
        <w:jc w:val="center"/>
        <w:textAlignment w:val="baseline"/>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八：</w:t>
      </w:r>
      <w:r>
        <w:rPr>
          <w:rFonts w:hint="eastAsia" w:asciiTheme="minorEastAsia" w:hAnsiTheme="minorEastAsia" w:cstheme="minorEastAsia"/>
          <w:b/>
          <w:color w:val="auto"/>
          <w:sz w:val="28"/>
          <w:szCs w:val="28"/>
          <w:highlight w:val="none"/>
          <w:lang w:val="en-US" w:eastAsia="zh-CN"/>
        </w:rPr>
        <w:t>供应商</w:t>
      </w:r>
      <w:r>
        <w:rPr>
          <w:rFonts w:hint="eastAsia" w:asciiTheme="minorEastAsia" w:hAnsiTheme="minorEastAsia" w:eastAsiaTheme="minorEastAsia" w:cstheme="minorEastAsia"/>
          <w:b/>
          <w:color w:val="auto"/>
          <w:sz w:val="28"/>
          <w:szCs w:val="28"/>
          <w:highlight w:val="none"/>
        </w:rPr>
        <w:t>20</w:t>
      </w:r>
      <w:r>
        <w:rPr>
          <w:rFonts w:hint="eastAsia" w:asciiTheme="minorEastAsia" w:hAnsiTheme="minorEastAsia" w:eastAsiaTheme="minorEastAsia" w:cstheme="minorEastAsia"/>
          <w:b/>
          <w:color w:val="auto"/>
          <w:sz w:val="28"/>
          <w:szCs w:val="28"/>
          <w:highlight w:val="none"/>
          <w:lang w:val="en-US" w:eastAsia="zh-CN"/>
        </w:rPr>
        <w:t>2</w:t>
      </w:r>
      <w:r>
        <w:rPr>
          <w:rFonts w:hint="eastAsia" w:asciiTheme="minorEastAsia" w:hAnsiTheme="minorEastAsia" w:cstheme="minorEastAsia"/>
          <w:b/>
          <w:color w:val="auto"/>
          <w:sz w:val="28"/>
          <w:szCs w:val="28"/>
          <w:highlight w:val="none"/>
          <w:lang w:val="en-US" w:eastAsia="zh-CN"/>
        </w:rPr>
        <w:t>3</w:t>
      </w:r>
      <w:r>
        <w:rPr>
          <w:rFonts w:hint="eastAsia" w:asciiTheme="minorEastAsia" w:hAnsiTheme="minorEastAsia" w:eastAsiaTheme="minorEastAsia" w:cstheme="minorEastAsia"/>
          <w:b/>
          <w:color w:val="auto"/>
          <w:sz w:val="28"/>
          <w:szCs w:val="28"/>
          <w:highlight w:val="none"/>
        </w:rPr>
        <w:t>年</w:t>
      </w:r>
      <w:r>
        <w:rPr>
          <w:rFonts w:hint="eastAsia" w:asciiTheme="minorEastAsia" w:hAnsiTheme="minorEastAsia" w:eastAsiaTheme="minorEastAsia" w:cstheme="minorEastAsia"/>
          <w:b/>
          <w:color w:val="auto"/>
          <w:sz w:val="28"/>
          <w:szCs w:val="28"/>
          <w:highlight w:val="none"/>
          <w:lang w:val="en-US" w:eastAsia="zh-CN"/>
        </w:rPr>
        <w:t>1月1日</w:t>
      </w:r>
      <w:r>
        <w:rPr>
          <w:rFonts w:hint="eastAsia" w:asciiTheme="minorEastAsia" w:hAnsiTheme="minorEastAsia" w:eastAsiaTheme="minorEastAsia" w:cstheme="minorEastAsia"/>
          <w:b/>
          <w:color w:val="auto"/>
          <w:sz w:val="28"/>
          <w:szCs w:val="28"/>
          <w:highlight w:val="none"/>
        </w:rPr>
        <w:t>以来完成类似</w:t>
      </w:r>
      <w:r>
        <w:rPr>
          <w:rFonts w:hint="eastAsia" w:asciiTheme="minorEastAsia" w:hAnsiTheme="minorEastAsia" w:cstheme="minorEastAsia"/>
          <w:b/>
          <w:color w:val="auto"/>
          <w:sz w:val="28"/>
          <w:szCs w:val="28"/>
          <w:highlight w:val="none"/>
          <w:lang w:val="en-US" w:eastAsia="zh-CN"/>
        </w:rPr>
        <w:t>项目</w:t>
      </w:r>
      <w:r>
        <w:rPr>
          <w:rFonts w:hint="eastAsia" w:asciiTheme="minorEastAsia" w:hAnsiTheme="minorEastAsia" w:eastAsiaTheme="minorEastAsia" w:cstheme="minorEastAsia"/>
          <w:b/>
          <w:color w:val="auto"/>
          <w:sz w:val="28"/>
          <w:szCs w:val="28"/>
          <w:highlight w:val="none"/>
        </w:rPr>
        <w:t>情况表</w:t>
      </w:r>
    </w:p>
    <w:tbl>
      <w:tblPr>
        <w:tblStyle w:val="2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840"/>
      </w:tblGrid>
      <w:tr w14:paraId="6FAE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8" w:type="dxa"/>
            <w:vAlign w:val="center"/>
          </w:tcPr>
          <w:p w14:paraId="071363B6">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建设单位</w:t>
            </w:r>
          </w:p>
          <w:p w14:paraId="71959AF7">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（业主）</w:t>
            </w:r>
          </w:p>
        </w:tc>
        <w:tc>
          <w:tcPr>
            <w:tcW w:w="6840" w:type="dxa"/>
            <w:vAlign w:val="center"/>
          </w:tcPr>
          <w:p w14:paraId="17E80388">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r w14:paraId="7D37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8" w:type="dxa"/>
            <w:vAlign w:val="center"/>
          </w:tcPr>
          <w:p w14:paraId="711645BB">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名称</w:t>
            </w:r>
          </w:p>
        </w:tc>
        <w:tc>
          <w:tcPr>
            <w:tcW w:w="6840" w:type="dxa"/>
            <w:vAlign w:val="center"/>
          </w:tcPr>
          <w:p w14:paraId="0F25C28A">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r w14:paraId="23F1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8" w:type="dxa"/>
            <w:vAlign w:val="center"/>
          </w:tcPr>
          <w:p w14:paraId="7DD19B25">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建设规模</w:t>
            </w:r>
          </w:p>
        </w:tc>
        <w:tc>
          <w:tcPr>
            <w:tcW w:w="6840" w:type="dxa"/>
            <w:vAlign w:val="center"/>
          </w:tcPr>
          <w:p w14:paraId="049C0FB1">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r w14:paraId="1B63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8" w:type="dxa"/>
            <w:vAlign w:val="center"/>
          </w:tcPr>
          <w:p w14:paraId="742579F6">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完成日期</w:t>
            </w:r>
          </w:p>
          <w:p w14:paraId="34B53AA5">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（年/月/日）</w:t>
            </w:r>
          </w:p>
        </w:tc>
        <w:tc>
          <w:tcPr>
            <w:tcW w:w="6840" w:type="dxa"/>
            <w:vAlign w:val="center"/>
          </w:tcPr>
          <w:p w14:paraId="2323ED7C">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r w14:paraId="343D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8" w:type="dxa"/>
            <w:vAlign w:val="center"/>
          </w:tcPr>
          <w:p w14:paraId="0FD3027F">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6840" w:type="dxa"/>
            <w:vAlign w:val="center"/>
          </w:tcPr>
          <w:p w14:paraId="7E8E4CA3">
            <w:pPr>
              <w:pageBreakBefore w:val="0"/>
              <w:kinsoku/>
              <w:wordWrap/>
              <w:overflowPunct/>
              <w:topLinePunct w:val="0"/>
              <w:bidi w:val="0"/>
              <w:adjustRightInd w:val="0"/>
              <w:snapToGrid w:val="0"/>
              <w:spacing w:line="360" w:lineRule="auto"/>
              <w:jc w:val="center"/>
              <w:outlineLvl w:val="9"/>
              <w:rPr>
                <w:rFonts w:hint="eastAsia" w:asciiTheme="minorEastAsia" w:hAnsiTheme="minorEastAsia" w:eastAsiaTheme="minorEastAsia" w:cstheme="minorEastAsia"/>
                <w:color w:val="auto"/>
                <w:sz w:val="24"/>
                <w:szCs w:val="24"/>
                <w:highlight w:val="none"/>
              </w:rPr>
            </w:pPr>
          </w:p>
        </w:tc>
      </w:tr>
    </w:tbl>
    <w:p w14:paraId="3EA2CE96">
      <w:pPr>
        <w:pageBreakBefore w:val="0"/>
        <w:tabs>
          <w:tab w:val="left" w:pos="3459"/>
        </w:tabs>
        <w:wordWrap/>
        <w:overflowPunct/>
        <w:topLinePunct w:val="0"/>
        <w:bidi w:val="0"/>
        <w:spacing w:before="1" w:line="360" w:lineRule="auto"/>
        <w:ind w:left="220"/>
        <w:outlineLvl w:val="9"/>
        <w:rPr>
          <w:rFonts w:ascii="宋体" w:hAnsi="宋体" w:eastAsia="宋体" w:cs="宋体"/>
          <w:sz w:val="24"/>
          <w:szCs w:val="24"/>
        </w:rPr>
      </w:pPr>
      <w:r>
        <w:rPr>
          <w:rFonts w:hint="eastAsia" w:ascii="宋体" w:hAnsi="宋体" w:eastAsia="宋体" w:cs="宋体"/>
          <w:sz w:val="24"/>
          <w:szCs w:val="24"/>
        </w:rPr>
        <w:t>供应商名称：           （</w:t>
      </w:r>
      <w:r>
        <w:rPr>
          <w:rFonts w:hint="eastAsia" w:ascii="宋体" w:hAnsi="宋体" w:eastAsia="宋体" w:cs="宋体"/>
          <w:spacing w:val="-3"/>
          <w:sz w:val="24"/>
          <w:szCs w:val="24"/>
        </w:rPr>
        <w:t>电子签章</w:t>
      </w:r>
      <w:r>
        <w:rPr>
          <w:rFonts w:hint="eastAsia" w:ascii="宋体" w:hAnsi="宋体" w:eastAsia="宋体" w:cs="宋体"/>
          <w:sz w:val="24"/>
          <w:szCs w:val="24"/>
        </w:rPr>
        <w:t>）</w:t>
      </w:r>
    </w:p>
    <w:p w14:paraId="5CF6F290">
      <w:pPr>
        <w:pageBreakBefore w:val="0"/>
        <w:tabs>
          <w:tab w:val="left" w:pos="3459"/>
        </w:tabs>
        <w:wordWrap/>
        <w:overflowPunct/>
        <w:topLinePunct w:val="0"/>
        <w:bidi w:val="0"/>
        <w:spacing w:before="160" w:line="360" w:lineRule="auto"/>
        <w:ind w:left="220" w:right="5785"/>
        <w:outlineLvl w:val="9"/>
        <w:rPr>
          <w:rFonts w:ascii="宋体" w:hAnsi="宋体" w:eastAsia="宋体" w:cs="宋体"/>
          <w:spacing w:val="-18"/>
          <w:sz w:val="24"/>
          <w:szCs w:val="24"/>
        </w:rPr>
      </w:pPr>
      <w:r>
        <w:rPr>
          <w:rFonts w:hint="eastAsia" w:ascii="宋体" w:hAnsi="宋体" w:eastAsia="宋体" w:cs="宋体"/>
          <w:sz w:val="24"/>
          <w:szCs w:val="24"/>
        </w:rPr>
        <w:t>法定代表人：        （</w:t>
      </w:r>
      <w:r>
        <w:rPr>
          <w:rFonts w:hint="eastAsia" w:ascii="宋体" w:hAnsi="宋体" w:eastAsia="宋体" w:cs="宋体"/>
          <w:spacing w:val="-3"/>
          <w:sz w:val="24"/>
          <w:szCs w:val="24"/>
        </w:rPr>
        <w:t>电子签章</w:t>
      </w:r>
      <w:r>
        <w:rPr>
          <w:rFonts w:hint="eastAsia" w:ascii="宋体" w:hAnsi="宋体" w:eastAsia="宋体" w:cs="宋体"/>
          <w:spacing w:val="-18"/>
          <w:sz w:val="24"/>
          <w:szCs w:val="24"/>
        </w:rPr>
        <w:t>）</w:t>
      </w:r>
    </w:p>
    <w:p w14:paraId="79253E19">
      <w:pPr>
        <w:pageBreakBefore w:val="0"/>
        <w:kinsoku/>
        <w:wordWrap/>
        <w:overflowPunct/>
        <w:topLinePunct w:val="0"/>
        <w:autoSpaceDE w:val="0"/>
        <w:autoSpaceDN w:val="0"/>
        <w:bidi w:val="0"/>
        <w:adjustRightInd w:val="0"/>
        <w:snapToGrid w:val="0"/>
        <w:spacing w:line="360" w:lineRule="auto"/>
        <w:outlineLvl w:val="9"/>
        <w:rPr>
          <w:rFonts w:hint="eastAsia" w:ascii="宋体" w:hAnsi="宋体" w:eastAsia="宋体" w:cs="宋体"/>
          <w:sz w:val="24"/>
          <w:szCs w:val="24"/>
        </w:rPr>
      </w:pPr>
    </w:p>
    <w:p w14:paraId="357CF810">
      <w:pPr>
        <w:pageBreakBefore w:val="0"/>
        <w:kinsoku/>
        <w:wordWrap/>
        <w:overflowPunct/>
        <w:topLinePunct w:val="0"/>
        <w:autoSpaceDE w:val="0"/>
        <w:autoSpaceDN w:val="0"/>
        <w:bidi w:val="0"/>
        <w:adjustRightInd w:val="0"/>
        <w:snapToGrid w:val="0"/>
        <w:spacing w:line="360" w:lineRule="auto"/>
        <w:ind w:firstLine="240" w:firstLineChars="100"/>
        <w:outlineLvl w:val="9"/>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szCs w:val="24"/>
        </w:rPr>
        <w:t>日期：</w:t>
      </w:r>
    </w:p>
    <w:p w14:paraId="75F2063F">
      <w:pPr>
        <w:pageBreakBefore w:val="0"/>
        <w:wordWrap/>
        <w:overflowPunct/>
        <w:topLinePunct w:val="0"/>
        <w:bidi w:val="0"/>
        <w:spacing w:line="500" w:lineRule="exact"/>
        <w:jc w:val="center"/>
        <w:textAlignment w:val="baseline"/>
        <w:outlineLvl w:val="9"/>
        <w:rPr>
          <w:rFonts w:hint="eastAsia" w:ascii="宋体" w:hAnsi="宋体" w:eastAsia="宋体" w:cs="Times New Roman"/>
          <w:b/>
          <w:bCs/>
          <w:sz w:val="32"/>
          <w:szCs w:val="32"/>
        </w:rPr>
      </w:pPr>
    </w:p>
    <w:p w14:paraId="3E85D62C">
      <w:pPr>
        <w:pageBreakBefore w:val="0"/>
        <w:wordWrap/>
        <w:overflowPunct/>
        <w:topLinePunct w:val="0"/>
        <w:bidi w:val="0"/>
        <w:outlineLvl w:val="9"/>
        <w:rPr>
          <w:rFonts w:hint="eastAsia" w:ascii="宋体" w:hAnsi="宋体" w:eastAsia="宋体" w:cs="Times New Roman"/>
          <w:b/>
          <w:bCs/>
          <w:sz w:val="32"/>
          <w:szCs w:val="32"/>
        </w:rPr>
      </w:pPr>
      <w:r>
        <w:rPr>
          <w:rFonts w:hint="eastAsia" w:ascii="宋体" w:hAnsi="宋体" w:eastAsia="宋体" w:cs="Times New Roman"/>
          <w:b/>
          <w:bCs/>
          <w:sz w:val="32"/>
          <w:szCs w:val="32"/>
        </w:rPr>
        <w:br w:type="page"/>
      </w:r>
    </w:p>
    <w:p w14:paraId="38933ABE">
      <w:pPr>
        <w:pageBreakBefore w:val="0"/>
        <w:wordWrap/>
        <w:overflowPunct/>
        <w:topLinePunct w:val="0"/>
        <w:bidi w:val="0"/>
        <w:spacing w:line="500" w:lineRule="exact"/>
        <w:jc w:val="center"/>
        <w:textAlignment w:val="baseline"/>
        <w:outlineLvl w:val="9"/>
        <w:rPr>
          <w:rFonts w:ascii="宋体" w:hAnsi="宋体" w:eastAsia="宋体" w:cs="Times New Roman"/>
          <w:b/>
          <w:bCs/>
          <w:sz w:val="32"/>
          <w:szCs w:val="32"/>
        </w:rPr>
      </w:pPr>
      <w:r>
        <w:rPr>
          <w:rFonts w:hint="eastAsia" w:ascii="宋体" w:hAnsi="宋体" w:eastAsia="宋体" w:cs="Times New Roman"/>
          <w:b/>
          <w:bCs/>
          <w:sz w:val="32"/>
          <w:szCs w:val="32"/>
          <w:lang w:val="en-US" w:eastAsia="zh-CN"/>
        </w:rPr>
        <w:t>九、</w:t>
      </w:r>
      <w:r>
        <w:rPr>
          <w:rFonts w:hint="eastAsia" w:ascii="宋体" w:hAnsi="宋体" w:eastAsia="宋体" w:cs="Times New Roman"/>
          <w:b/>
          <w:bCs/>
          <w:sz w:val="32"/>
          <w:szCs w:val="32"/>
        </w:rPr>
        <w:t>供应商可提交的其他资料</w:t>
      </w:r>
    </w:p>
    <w:p w14:paraId="25FD4FBF">
      <w:pPr>
        <w:widowControl/>
        <w:adjustRightInd w:val="0"/>
        <w:snapToGrid w:val="0"/>
        <w:spacing w:after="200"/>
        <w:rPr>
          <w:rFonts w:ascii="宋体" w:hAnsi="宋体" w:cs="宋体"/>
          <w:color w:val="auto"/>
          <w:kern w:val="0"/>
          <w:sz w:val="28"/>
          <w:szCs w:val="28"/>
        </w:rPr>
      </w:pPr>
      <w:r>
        <w:rPr>
          <w:rFonts w:hint="eastAsia" w:ascii="宋体" w:hAnsi="宋体" w:cs="宋体"/>
          <w:color w:val="auto"/>
          <w:kern w:val="0"/>
          <w:sz w:val="28"/>
          <w:szCs w:val="28"/>
        </w:rPr>
        <w:t>包括但不限于：</w:t>
      </w:r>
    </w:p>
    <w:p w14:paraId="7D68C5E1">
      <w:pPr>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1、符合价格扣除政策的</w:t>
      </w:r>
      <w:r>
        <w:rPr>
          <w:rFonts w:hint="eastAsia" w:ascii="宋体" w:hAnsi="宋体" w:cs="宋体"/>
          <w:color w:val="auto"/>
          <w:kern w:val="0"/>
          <w:sz w:val="28"/>
          <w:szCs w:val="28"/>
          <w:lang w:val="en-US" w:eastAsia="zh-CN"/>
        </w:rPr>
        <w:t>供应商</w:t>
      </w:r>
      <w:r>
        <w:rPr>
          <w:rFonts w:hint="eastAsia" w:ascii="宋体" w:hAnsi="宋体" w:cs="宋体"/>
          <w:color w:val="auto"/>
          <w:kern w:val="0"/>
          <w:sz w:val="28"/>
          <w:szCs w:val="28"/>
        </w:rPr>
        <w:t>，提供如下相应材料原件的扫描件：</w:t>
      </w:r>
    </w:p>
    <w:p w14:paraId="5B2DB8F3">
      <w:pPr>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小微企业提供《中小企业声明函》；残疾人福利性单位提供《残疾人福利性单位声明函》及相关证明材料；监狱企业提供由省级以上监狱管理局、戒毒管理局（含新疆生产建设兵团）出具的属于监狱企业的证明文件；</w:t>
      </w:r>
    </w:p>
    <w:p w14:paraId="2DB25B8D">
      <w:pPr>
        <w:pageBreakBefore w:val="0"/>
        <w:numPr>
          <w:ilvl w:val="0"/>
          <w:numId w:val="0"/>
        </w:numPr>
        <w:wordWrap/>
        <w:overflowPunct/>
        <w:topLinePunct w:val="0"/>
        <w:bidi w:val="0"/>
        <w:ind w:left="0" w:leftChars="0" w:firstLine="560" w:firstLineChars="200"/>
        <w:outlineLvl w:val="9"/>
        <w:rPr>
          <w:rFonts w:hint="eastAsia" w:ascii="宋体" w:hAnsi="宋体" w:cs="宋体"/>
          <w:color w:val="auto"/>
          <w:kern w:val="0"/>
          <w:sz w:val="28"/>
          <w:szCs w:val="28"/>
        </w:rPr>
      </w:pPr>
      <w:r>
        <w:rPr>
          <w:rFonts w:hint="eastAsia" w:ascii="宋体" w:hAnsi="宋体" w:cs="宋体"/>
          <w:color w:val="auto"/>
          <w:kern w:val="0"/>
          <w:sz w:val="28"/>
          <w:szCs w:val="28"/>
          <w:lang w:val="en-US" w:eastAsia="zh-CN" w:bidi="ar-SA"/>
        </w:rPr>
        <w:t>2</w:t>
      </w:r>
      <w:r>
        <w:rPr>
          <w:rFonts w:hint="eastAsia" w:ascii="宋体" w:hAnsi="宋体" w:cs="宋体" w:eastAsiaTheme="minorEastAsia"/>
          <w:color w:val="auto"/>
          <w:kern w:val="0"/>
          <w:sz w:val="28"/>
          <w:szCs w:val="28"/>
          <w:lang w:val="en-US" w:eastAsia="zh-CN" w:bidi="ar-SA"/>
        </w:rPr>
        <w:t>、</w:t>
      </w:r>
      <w:r>
        <w:rPr>
          <w:rFonts w:hint="eastAsia" w:ascii="宋体" w:hAnsi="宋体" w:cs="宋体"/>
          <w:color w:val="auto"/>
          <w:kern w:val="0"/>
          <w:sz w:val="28"/>
          <w:szCs w:val="28"/>
        </w:rPr>
        <w:t>磋商文件中要求供应商提供的其他资料；</w:t>
      </w:r>
    </w:p>
    <w:p w14:paraId="314C6293">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71D11F0E">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71CC4819">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19622B40">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310E95A1">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5F255A60">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374A02E9">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5BD6F5AD">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7DDDECF6">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65E1A384">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00AB6560">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5591B1C1">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5A4475F0">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5E412756">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79729DBC">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67DFA2CA">
      <w:pPr>
        <w:pageBreakBefore w:val="0"/>
        <w:widowControl w:val="0"/>
        <w:numPr>
          <w:ilvl w:val="0"/>
          <w:numId w:val="0"/>
        </w:numPr>
        <w:wordWrap/>
        <w:overflowPunct/>
        <w:topLinePunct w:val="0"/>
        <w:bidi w:val="0"/>
        <w:jc w:val="both"/>
        <w:outlineLvl w:val="9"/>
        <w:rPr>
          <w:rFonts w:hint="eastAsia" w:ascii="宋体" w:hAnsi="宋体" w:cs="宋体"/>
          <w:color w:val="auto"/>
          <w:kern w:val="0"/>
          <w:sz w:val="28"/>
          <w:szCs w:val="28"/>
        </w:rPr>
      </w:pPr>
    </w:p>
    <w:p w14:paraId="74316F1A">
      <w:pPr>
        <w:pageBreakBefore w:val="0"/>
        <w:widowControl/>
        <w:wordWrap/>
        <w:overflowPunct/>
        <w:topLinePunct w:val="0"/>
        <w:bidi w:val="0"/>
        <w:adjustRightInd w:val="0"/>
        <w:snapToGrid w:val="0"/>
        <w:spacing w:before="156" w:beforeLines="50" w:line="360" w:lineRule="auto"/>
        <w:outlineLvl w:val="9"/>
        <w:rPr>
          <w:rFonts w:ascii="宋体" w:hAnsi="宋体" w:eastAsia="宋体" w:cs="宋体"/>
          <w:b/>
          <w:bCs/>
          <w:spacing w:val="6"/>
          <w:kern w:val="0"/>
          <w:sz w:val="24"/>
          <w:szCs w:val="24"/>
        </w:rPr>
      </w:pPr>
      <w:r>
        <w:rPr>
          <w:rFonts w:hint="eastAsia" w:ascii="宋体" w:hAnsi="宋体" w:eastAsia="宋体" w:cs="宋体"/>
          <w:b/>
          <w:bCs/>
          <w:spacing w:val="6"/>
          <w:kern w:val="0"/>
          <w:sz w:val="24"/>
          <w:szCs w:val="24"/>
        </w:rPr>
        <w:t xml:space="preserve">附件1 </w:t>
      </w:r>
    </w:p>
    <w:p w14:paraId="3101DBFE">
      <w:pPr>
        <w:pageBreakBefore w:val="0"/>
        <w:widowControl/>
        <w:wordWrap/>
        <w:overflowPunct/>
        <w:topLinePunct w:val="0"/>
        <w:bidi w:val="0"/>
        <w:adjustRightInd w:val="0"/>
        <w:snapToGrid w:val="0"/>
        <w:spacing w:before="156" w:beforeLines="50" w:line="360" w:lineRule="auto"/>
        <w:jc w:val="center"/>
        <w:outlineLvl w:val="9"/>
        <w:rPr>
          <w:rFonts w:ascii="宋体" w:hAnsi="宋体" w:eastAsia="宋体" w:cs="宋体"/>
          <w:b/>
          <w:bCs/>
          <w:spacing w:val="6"/>
          <w:kern w:val="0"/>
          <w:sz w:val="32"/>
          <w:szCs w:val="32"/>
        </w:rPr>
      </w:pPr>
      <w:r>
        <w:rPr>
          <w:rFonts w:hint="eastAsia" w:ascii="宋体" w:hAnsi="宋体" w:eastAsia="宋体" w:cs="宋体"/>
          <w:b/>
          <w:bCs/>
          <w:spacing w:val="6"/>
          <w:kern w:val="0"/>
          <w:sz w:val="32"/>
          <w:szCs w:val="32"/>
        </w:rPr>
        <w:t>中小企业声明函（服务）</w:t>
      </w:r>
    </w:p>
    <w:p w14:paraId="0C6DA0BF">
      <w:pPr>
        <w:pageBreakBefore w:val="0"/>
        <w:wordWrap/>
        <w:overflowPunct/>
        <w:topLinePunct w:val="0"/>
        <w:autoSpaceDE w:val="0"/>
        <w:autoSpaceDN w:val="0"/>
        <w:bidi w:val="0"/>
        <w:adjustRightInd w:val="0"/>
        <w:jc w:val="left"/>
        <w:outlineLvl w:val="9"/>
        <w:rPr>
          <w:rFonts w:ascii="宋体" w:hAnsi="宋体" w:eastAsia="宋体" w:cs="宋体"/>
          <w:color w:val="000000"/>
          <w:kern w:val="0"/>
          <w:sz w:val="24"/>
          <w:szCs w:val="24"/>
        </w:rPr>
      </w:pPr>
    </w:p>
    <w:p w14:paraId="4C9F5297">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采购活动，服务全部由符合政策要求的中小企业承接。相关企业（含联合体中的中小企业、签订分包意向协议的中小企业）的具体情况如下：</w:t>
      </w:r>
    </w:p>
    <w:p w14:paraId="3449CF1B">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w:t>
      </w:r>
      <w:r>
        <w:rPr>
          <w:vertAlign w:val="superscript"/>
        </w:rPr>
        <w:fldChar w:fldCharType="begin"/>
      </w:r>
      <w:r>
        <w:rPr>
          <w:vertAlign w:val="superscript"/>
        </w:rPr>
        <w:instrText xml:space="preserve"> HYPERLINK \l "_bookmark0" </w:instrText>
      </w:r>
      <w:r>
        <w:rPr>
          <w:vertAlign w:val="superscript"/>
        </w:rPr>
        <w:fldChar w:fldCharType="separate"/>
      </w:r>
      <w:r>
        <w:rPr>
          <w:rFonts w:hint="eastAsia" w:ascii="宋体" w:hAnsi="宋体" w:eastAsia="宋体" w:cs="宋体"/>
          <w:spacing w:val="-12"/>
          <w:position w:val="16"/>
          <w:sz w:val="24"/>
          <w:szCs w:val="24"/>
          <w:vertAlign w:val="superscript"/>
        </w:rPr>
        <w:t>1</w:t>
      </w:r>
      <w:r>
        <w:rPr>
          <w:rFonts w:hint="eastAsia" w:ascii="宋体" w:hAnsi="宋体" w:eastAsia="宋体" w:cs="宋体"/>
          <w:spacing w:val="-12"/>
          <w:position w:val="16"/>
          <w:sz w:val="24"/>
          <w:szCs w:val="24"/>
          <w:vertAlign w:val="superscript"/>
        </w:rPr>
        <w:fldChar w:fldCharType="end"/>
      </w:r>
      <w:r>
        <w:rPr>
          <w:rFonts w:hint="eastAsia" w:ascii="宋体" w:hAnsi="宋体" w:eastAsia="宋体" w:cs="宋体"/>
          <w:sz w:val="24"/>
          <w:szCs w:val="24"/>
        </w:rPr>
        <w:t>，属于</w:t>
      </w:r>
      <w:r>
        <w:rPr>
          <w:rFonts w:hint="eastAsia" w:ascii="宋体" w:hAnsi="宋体" w:eastAsia="宋体" w:cs="宋体"/>
          <w:sz w:val="24"/>
          <w:szCs w:val="24"/>
          <w:u w:val="single"/>
        </w:rPr>
        <w:t>（中型企业</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小型企业</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微型企业）</w:t>
      </w:r>
      <w:r>
        <w:rPr>
          <w:rFonts w:hint="eastAsia" w:ascii="宋体" w:hAnsi="宋体" w:eastAsia="宋体" w:cs="宋体"/>
          <w:sz w:val="24"/>
          <w:szCs w:val="24"/>
        </w:rPr>
        <w:t>；</w:t>
      </w:r>
    </w:p>
    <w:p w14:paraId="2CFC063C">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小型企业</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微型企业）</w:t>
      </w:r>
      <w:r>
        <w:rPr>
          <w:rFonts w:hint="eastAsia" w:ascii="宋体" w:hAnsi="宋体" w:eastAsia="宋体" w:cs="宋体"/>
          <w:sz w:val="24"/>
          <w:szCs w:val="24"/>
        </w:rPr>
        <w:t>；</w:t>
      </w:r>
    </w:p>
    <w:p w14:paraId="169D05E9">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w:t>
      </w:r>
    </w:p>
    <w:p w14:paraId="0534FB9C">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3FE77AE0">
      <w:pPr>
        <w:pageBreakBefore w:val="0"/>
        <w:wordWrap/>
        <w:overflowPunct/>
        <w:topLinePunct w:val="0"/>
        <w:bidi w:val="0"/>
        <w:adjustRightInd w:val="0"/>
        <w:snapToGrid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92D5D77">
      <w:pPr>
        <w:pageBreakBefore w:val="0"/>
        <w:wordWrap/>
        <w:overflowPunct/>
        <w:topLinePunct w:val="0"/>
        <w:bidi w:val="0"/>
        <w:spacing w:after="120" w:line="276" w:lineRule="auto"/>
        <w:outlineLvl w:val="9"/>
        <w:rPr>
          <w:rFonts w:ascii="宋体" w:hAnsi="宋体" w:eastAsia="宋体" w:cs="宋体"/>
          <w:sz w:val="24"/>
          <w:szCs w:val="24"/>
        </w:rPr>
      </w:pPr>
    </w:p>
    <w:p w14:paraId="3A2DD9A9">
      <w:pPr>
        <w:pageBreakBefore w:val="0"/>
        <w:wordWrap/>
        <w:overflowPunct/>
        <w:topLinePunct w:val="0"/>
        <w:bidi w:val="0"/>
        <w:adjustRightInd w:val="0"/>
        <w:snapToGrid w:val="0"/>
        <w:spacing w:line="360" w:lineRule="auto"/>
        <w:jc w:val="center"/>
        <w:outlineLvl w:val="9"/>
        <w:rPr>
          <w:rFonts w:ascii="宋体" w:hAnsi="宋体" w:eastAsia="宋体" w:cs="宋体"/>
          <w:sz w:val="24"/>
          <w:szCs w:val="24"/>
        </w:rPr>
      </w:pPr>
      <w:r>
        <w:rPr>
          <w:rFonts w:hint="eastAsia" w:ascii="宋体" w:hAnsi="宋体" w:eastAsia="宋体" w:cs="宋体"/>
          <w:sz w:val="24"/>
          <w:szCs w:val="24"/>
        </w:rPr>
        <w:t xml:space="preserve">      企业名称（盖章）：</w:t>
      </w:r>
    </w:p>
    <w:p w14:paraId="6320F563">
      <w:pPr>
        <w:pageBreakBefore w:val="0"/>
        <w:wordWrap/>
        <w:overflowPunct/>
        <w:topLinePunct w:val="0"/>
        <w:bidi w:val="0"/>
        <w:adjustRightInd w:val="0"/>
        <w:snapToGrid w:val="0"/>
        <w:spacing w:line="360" w:lineRule="auto"/>
        <w:jc w:val="center"/>
        <w:outlineLvl w:val="9"/>
        <w:rPr>
          <w:rFonts w:ascii="宋体" w:hAnsi="宋体" w:eastAsia="宋体" w:cs="宋体"/>
          <w:sz w:val="24"/>
          <w:szCs w:val="24"/>
        </w:rPr>
      </w:pPr>
      <w:r>
        <w:rPr>
          <w:rFonts w:hint="eastAsia" w:ascii="宋体" w:hAnsi="宋体" w:eastAsia="宋体" w:cs="宋体"/>
          <w:sz w:val="24"/>
          <w:szCs w:val="24"/>
        </w:rPr>
        <w:t xml:space="preserve">   日        期：</w:t>
      </w:r>
    </w:p>
    <w:p w14:paraId="0BA1530B">
      <w:pPr>
        <w:pageBreakBefore w:val="0"/>
        <w:wordWrap/>
        <w:overflowPunct/>
        <w:topLinePunct w:val="0"/>
        <w:bidi w:val="0"/>
        <w:adjustRightInd w:val="0"/>
        <w:snapToGrid w:val="0"/>
        <w:spacing w:line="360" w:lineRule="auto"/>
        <w:outlineLvl w:val="9"/>
        <w:rPr>
          <w:rFonts w:ascii="宋体" w:hAnsi="宋体" w:eastAsia="宋体" w:cs="宋体"/>
          <w:spacing w:val="6"/>
          <w:kern w:val="0"/>
          <w:sz w:val="24"/>
          <w:szCs w:val="24"/>
        </w:rPr>
      </w:pPr>
      <w:r>
        <w:rPr>
          <w:rFonts w:hint="eastAsia" w:ascii="宋体" w:hAnsi="宋体" w:eastAsia="宋体" w:cs="宋体"/>
          <w:spacing w:val="6"/>
          <w:kern w:val="0"/>
          <w:sz w:val="24"/>
          <w:szCs w:val="24"/>
        </w:rPr>
        <w:t>说明：</w:t>
      </w:r>
    </w:p>
    <w:p w14:paraId="6EC505C3">
      <w:pPr>
        <w:pageBreakBefore w:val="0"/>
        <w:wordWrap/>
        <w:overflowPunct/>
        <w:topLinePunct w:val="0"/>
        <w:bidi w:val="0"/>
        <w:adjustRightInd w:val="0"/>
        <w:snapToGrid w:val="0"/>
        <w:spacing w:line="360" w:lineRule="auto"/>
        <w:outlineLvl w:val="9"/>
        <w:rPr>
          <w:rFonts w:ascii="宋体" w:hAnsi="宋体" w:eastAsia="宋体" w:cs="宋体"/>
          <w:spacing w:val="6"/>
          <w:kern w:val="0"/>
          <w:sz w:val="24"/>
          <w:szCs w:val="24"/>
        </w:rPr>
      </w:pPr>
      <w:r>
        <w:rPr>
          <w:rFonts w:hint="eastAsia" w:ascii="宋体" w:hAnsi="宋体" w:eastAsia="宋体" w:cs="宋体"/>
          <w:spacing w:val="6"/>
          <w:kern w:val="0"/>
          <w:sz w:val="24"/>
          <w:szCs w:val="24"/>
        </w:rPr>
        <w:t>1、从业人员、营业收入、资产总额填报上一年度数据，无上一年度数据的新成立企业可不填报。</w:t>
      </w:r>
    </w:p>
    <w:p w14:paraId="02AD330C">
      <w:pPr>
        <w:pageBreakBefore w:val="0"/>
        <w:wordWrap/>
        <w:overflowPunct/>
        <w:topLinePunct w:val="0"/>
        <w:bidi w:val="0"/>
        <w:adjustRightInd w:val="0"/>
        <w:snapToGrid w:val="0"/>
        <w:spacing w:line="360" w:lineRule="auto"/>
        <w:outlineLvl w:val="9"/>
        <w:rPr>
          <w:rFonts w:ascii="宋体" w:hAnsi="宋体" w:eastAsia="宋体" w:cs="宋体"/>
          <w:spacing w:val="6"/>
          <w:kern w:val="0"/>
          <w:sz w:val="24"/>
          <w:szCs w:val="24"/>
        </w:rPr>
      </w:pPr>
      <w:r>
        <w:rPr>
          <w:rFonts w:hint="eastAsia" w:ascii="宋体" w:hAnsi="宋体" w:eastAsia="宋体" w:cs="宋体"/>
          <w:spacing w:val="6"/>
          <w:kern w:val="0"/>
          <w:sz w:val="24"/>
          <w:szCs w:val="24"/>
        </w:rPr>
        <w:t>2、填写前请认真阅读《关于印发中小企业划型标准规定的通知》（工信部联企业[2011]300号）和《关于印发＜</w:t>
      </w:r>
      <w:r>
        <w:rPr>
          <w:rFonts w:hint="eastAsia" w:ascii="宋体" w:hAnsi="宋体" w:eastAsia="宋体" w:cs="宋体"/>
          <w:spacing w:val="-2"/>
          <w:sz w:val="24"/>
          <w:szCs w:val="24"/>
        </w:rPr>
        <w:t>政府采购促进中小</w:t>
      </w:r>
      <w:r>
        <w:rPr>
          <w:rFonts w:hint="eastAsia" w:ascii="宋体" w:hAnsi="宋体" w:eastAsia="宋体" w:cs="宋体"/>
          <w:spacing w:val="-18"/>
          <w:sz w:val="24"/>
          <w:szCs w:val="24"/>
        </w:rPr>
        <w:t>企业发展管理办法</w:t>
      </w:r>
      <w:r>
        <w:rPr>
          <w:rFonts w:hint="eastAsia" w:ascii="宋体" w:hAnsi="宋体" w:eastAsia="宋体" w:cs="宋体"/>
          <w:spacing w:val="6"/>
          <w:kern w:val="0"/>
          <w:sz w:val="24"/>
          <w:szCs w:val="24"/>
        </w:rPr>
        <w:t>＞的通知》(</w:t>
      </w:r>
      <w:r>
        <w:rPr>
          <w:rFonts w:hint="eastAsia" w:ascii="宋体" w:hAnsi="宋体" w:eastAsia="宋体" w:cs="宋体"/>
          <w:spacing w:val="5"/>
          <w:sz w:val="24"/>
          <w:szCs w:val="24"/>
        </w:rPr>
        <w:t>财库</w:t>
      </w:r>
      <w:r>
        <w:rPr>
          <w:rFonts w:hint="eastAsia" w:ascii="宋体" w:hAnsi="宋体" w:eastAsia="宋体" w:cs="宋体"/>
          <w:sz w:val="24"/>
          <w:szCs w:val="24"/>
        </w:rPr>
        <w:t>﹝2020﹞46</w:t>
      </w:r>
      <w:r>
        <w:rPr>
          <w:rFonts w:hint="eastAsia" w:ascii="宋体" w:hAnsi="宋体" w:eastAsia="宋体" w:cs="宋体"/>
          <w:spacing w:val="-38"/>
          <w:sz w:val="24"/>
          <w:szCs w:val="24"/>
        </w:rPr>
        <w:t xml:space="preserve"> 号  </w:t>
      </w:r>
      <w:r>
        <w:rPr>
          <w:rFonts w:hint="eastAsia" w:ascii="宋体" w:hAnsi="宋体" w:eastAsia="宋体" w:cs="宋体"/>
          <w:spacing w:val="6"/>
          <w:kern w:val="0"/>
          <w:sz w:val="24"/>
          <w:szCs w:val="24"/>
        </w:rPr>
        <w:t>)相关规定。</w:t>
      </w:r>
    </w:p>
    <w:p w14:paraId="756EB63D">
      <w:pPr>
        <w:pageBreakBefore w:val="0"/>
        <w:wordWrap/>
        <w:overflowPunct/>
        <w:topLinePunct w:val="0"/>
        <w:bidi w:val="0"/>
        <w:spacing w:after="120" w:line="360" w:lineRule="auto"/>
        <w:outlineLvl w:val="9"/>
        <w:rPr>
          <w:rFonts w:ascii="宋体" w:hAnsi="宋体" w:eastAsia="宋体" w:cs="宋体"/>
          <w:spacing w:val="6"/>
          <w:kern w:val="0"/>
          <w:sz w:val="24"/>
          <w:szCs w:val="24"/>
        </w:rPr>
      </w:pPr>
      <w:r>
        <w:rPr>
          <w:rFonts w:hint="eastAsia" w:ascii="宋体" w:hAnsi="宋体" w:eastAsia="宋体" w:cs="宋体"/>
          <w:spacing w:val="6"/>
          <w:kern w:val="0"/>
          <w:sz w:val="24"/>
          <w:szCs w:val="24"/>
        </w:rPr>
        <w:t>3、未按上述要求</w:t>
      </w:r>
      <w:r>
        <w:rPr>
          <w:rFonts w:hint="eastAsia" w:ascii="宋体" w:hAnsi="宋体" w:eastAsia="宋体" w:cs="宋体"/>
          <w:spacing w:val="6"/>
          <w:kern w:val="0"/>
          <w:sz w:val="24"/>
          <w:szCs w:val="24"/>
          <w:lang w:val="en-US" w:eastAsia="zh-CN"/>
        </w:rPr>
        <w:t>如实、正确、</w:t>
      </w:r>
      <w:r>
        <w:rPr>
          <w:rFonts w:hint="eastAsia" w:ascii="宋体" w:hAnsi="宋体" w:eastAsia="宋体" w:cs="宋体"/>
          <w:spacing w:val="6"/>
          <w:kern w:val="0"/>
          <w:sz w:val="24"/>
          <w:szCs w:val="24"/>
        </w:rPr>
        <w:t>填写提</w:t>
      </w:r>
      <w:r>
        <w:rPr>
          <w:rFonts w:hint="eastAsia" w:ascii="宋体" w:hAnsi="宋体" w:eastAsia="宋体" w:cs="宋体"/>
          <w:spacing w:val="6"/>
          <w:kern w:val="0"/>
          <w:sz w:val="24"/>
          <w:szCs w:val="24"/>
          <w:lang w:val="en-US" w:eastAsia="zh-CN"/>
        </w:rPr>
        <w:t>交</w:t>
      </w:r>
      <w:r>
        <w:rPr>
          <w:rFonts w:hint="eastAsia" w:ascii="宋体" w:hAnsi="宋体" w:eastAsia="宋体" w:cs="宋体"/>
          <w:spacing w:val="6"/>
          <w:kern w:val="0"/>
          <w:sz w:val="24"/>
          <w:szCs w:val="24"/>
        </w:rPr>
        <w:t>的，评审时不予以考虑。</w:t>
      </w:r>
    </w:p>
    <w:p w14:paraId="3FFC60CA">
      <w:pPr>
        <w:pageBreakBefore w:val="0"/>
        <w:wordWrap/>
        <w:overflowPunct/>
        <w:topLinePunct w:val="0"/>
        <w:bidi w:val="0"/>
        <w:spacing w:after="120" w:line="360" w:lineRule="auto"/>
        <w:outlineLvl w:val="9"/>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注：供应商本项必须如实填报，提供虚假信息或缺项按无效标处理</w:t>
      </w:r>
    </w:p>
    <w:p w14:paraId="201B7B89">
      <w:pPr>
        <w:rPr>
          <w:rFonts w:hint="eastAsia" w:ascii="宋体" w:hAnsi="宋体" w:eastAsia="宋体" w:cs="宋体"/>
          <w:b/>
          <w:bCs/>
          <w:spacing w:val="6"/>
          <w:kern w:val="0"/>
          <w:sz w:val="24"/>
          <w:szCs w:val="24"/>
        </w:rPr>
      </w:pPr>
      <w:bookmarkStart w:id="13" w:name="_Toc22816"/>
      <w:bookmarkStart w:id="14" w:name="OLE_LINK13"/>
      <w:bookmarkStart w:id="15" w:name="_Toc15388"/>
      <w:bookmarkStart w:id="16" w:name="_Toc7278"/>
      <w:bookmarkStart w:id="17" w:name="OLE_LINK14"/>
      <w:bookmarkStart w:id="18" w:name="_Toc14656"/>
      <w:bookmarkStart w:id="19" w:name="_Toc3686"/>
      <w:bookmarkStart w:id="20" w:name="_Toc1407"/>
      <w:bookmarkStart w:id="21" w:name="_Toc25504"/>
      <w:bookmarkStart w:id="22" w:name="_Toc23527"/>
      <w:bookmarkStart w:id="23" w:name="_Toc14029"/>
      <w:bookmarkStart w:id="24" w:name="_Toc25719"/>
      <w:bookmarkStart w:id="25" w:name="_Toc22084"/>
      <w:bookmarkStart w:id="26" w:name="_Toc21261"/>
      <w:bookmarkStart w:id="27" w:name="_Toc18758"/>
      <w:bookmarkStart w:id="28" w:name="_Toc10802"/>
      <w:r>
        <w:rPr>
          <w:rFonts w:hint="eastAsia" w:ascii="宋体" w:hAnsi="宋体" w:eastAsia="宋体" w:cs="宋体"/>
          <w:b/>
          <w:bCs/>
          <w:spacing w:val="6"/>
          <w:kern w:val="0"/>
          <w:sz w:val="24"/>
          <w:szCs w:val="24"/>
        </w:rPr>
        <w:br w:type="page"/>
      </w:r>
    </w:p>
    <w:p w14:paraId="4030A1AE">
      <w:pPr>
        <w:pageBreakBefore w:val="0"/>
        <w:widowControl/>
        <w:wordWrap/>
        <w:overflowPunct/>
        <w:topLinePunct w:val="0"/>
        <w:bidi w:val="0"/>
        <w:adjustRightInd w:val="0"/>
        <w:snapToGrid w:val="0"/>
        <w:spacing w:before="156" w:beforeLines="50" w:line="360" w:lineRule="auto"/>
        <w:outlineLvl w:val="9"/>
        <w:rPr>
          <w:rFonts w:ascii="宋体" w:hAnsi="宋体" w:eastAsia="宋体" w:cs="宋体"/>
          <w:b/>
          <w:bCs/>
          <w:spacing w:val="6"/>
          <w:kern w:val="0"/>
          <w:sz w:val="24"/>
          <w:szCs w:val="24"/>
        </w:rPr>
      </w:pPr>
      <w:r>
        <w:rPr>
          <w:rFonts w:hint="eastAsia" w:ascii="宋体" w:hAnsi="宋体" w:eastAsia="宋体" w:cs="宋体"/>
          <w:b/>
          <w:bCs/>
          <w:spacing w:val="6"/>
          <w:kern w:val="0"/>
          <w:sz w:val="24"/>
          <w:szCs w:val="24"/>
        </w:rPr>
        <w:t xml:space="preserve">附件2 </w:t>
      </w:r>
    </w:p>
    <w:p w14:paraId="4957DE99">
      <w:pPr>
        <w:pageBreakBefore w:val="0"/>
        <w:wordWrap/>
        <w:overflowPunct/>
        <w:topLinePunct w:val="0"/>
        <w:bidi w:val="0"/>
        <w:spacing w:line="360" w:lineRule="auto"/>
        <w:jc w:val="center"/>
        <w:outlineLvl w:val="9"/>
        <w:rPr>
          <w:rFonts w:ascii="宋体" w:hAnsi="宋体" w:eastAsia="宋体" w:cs="宋体"/>
          <w:b/>
          <w:bCs/>
          <w:sz w:val="32"/>
          <w:szCs w:val="32"/>
        </w:rPr>
      </w:pPr>
      <w:r>
        <w:rPr>
          <w:rFonts w:hint="eastAsia" w:ascii="宋体" w:hAnsi="宋体" w:eastAsia="宋体" w:cs="宋体"/>
          <w:b/>
          <w:bCs/>
          <w:sz w:val="32"/>
          <w:szCs w:val="32"/>
        </w:rPr>
        <w:t>残疾人福利性单位声明函</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644FF51">
      <w:pPr>
        <w:pageBreakBefore w:val="0"/>
        <w:wordWrap/>
        <w:overflowPunct/>
        <w:topLinePunct w:val="0"/>
        <w:bidi w:val="0"/>
        <w:jc w:val="center"/>
        <w:outlineLvl w:val="9"/>
        <w:rPr>
          <w:rFonts w:ascii="宋体" w:hAnsi="宋体" w:eastAsia="宋体" w:cs="宋体"/>
          <w:szCs w:val="24"/>
        </w:rPr>
      </w:pPr>
      <w:r>
        <w:rPr>
          <w:rFonts w:hint="eastAsia" w:ascii="宋体" w:hAnsi="宋体" w:eastAsia="宋体" w:cs="宋体"/>
          <w:b/>
          <w:bCs/>
          <w:sz w:val="24"/>
          <w:szCs w:val="24"/>
        </w:rPr>
        <w:t>（属于残疾人福利单位的填写，不属于的无需提供此项内容）</w:t>
      </w:r>
    </w:p>
    <w:p w14:paraId="36682A67">
      <w:pPr>
        <w:pageBreakBefore w:val="0"/>
        <w:wordWrap/>
        <w:overflowPunct/>
        <w:topLinePunct w:val="0"/>
        <w:bidi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71C3B3D2">
      <w:pPr>
        <w:pageBreakBefore w:val="0"/>
        <w:wordWrap/>
        <w:overflowPunct/>
        <w:topLinePunct w:val="0"/>
        <w:bidi w:val="0"/>
        <w:spacing w:line="360" w:lineRule="auto"/>
        <w:outlineLvl w:val="9"/>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776BF60E">
      <w:pPr>
        <w:pageBreakBefore w:val="0"/>
        <w:wordWrap/>
        <w:overflowPunct/>
        <w:topLinePunct w:val="0"/>
        <w:bidi w:val="0"/>
        <w:spacing w:line="360" w:lineRule="auto"/>
        <w:outlineLvl w:val="9"/>
        <w:rPr>
          <w:rFonts w:ascii="宋体" w:hAnsi="宋体" w:eastAsia="宋体" w:cs="宋体"/>
          <w:sz w:val="24"/>
          <w:szCs w:val="24"/>
        </w:rPr>
      </w:pPr>
      <w:r>
        <w:rPr>
          <w:rFonts w:hint="eastAsia" w:ascii="宋体" w:hAnsi="宋体" w:eastAsia="宋体" w:cs="宋体"/>
          <w:sz w:val="24"/>
          <w:szCs w:val="24"/>
        </w:rPr>
        <w:t xml:space="preserve">                                                       单位名称（盖章）：                </w:t>
      </w:r>
    </w:p>
    <w:p w14:paraId="162F59FD">
      <w:pPr>
        <w:pageBreakBefore w:val="0"/>
        <w:wordWrap/>
        <w:overflowPunct/>
        <w:topLinePunct w:val="0"/>
        <w:bidi w:val="0"/>
        <w:spacing w:line="360" w:lineRule="auto"/>
        <w:outlineLvl w:val="9"/>
        <w:rPr>
          <w:rFonts w:ascii="宋体" w:hAnsi="宋体" w:eastAsia="宋体" w:cs="宋体"/>
          <w:color w:val="151515"/>
          <w:kern w:val="0"/>
          <w:sz w:val="24"/>
          <w:szCs w:val="24"/>
          <w:lang w:bidi="ar"/>
        </w:rPr>
      </w:pPr>
      <w:r>
        <w:rPr>
          <w:rFonts w:hint="eastAsia" w:ascii="宋体" w:hAnsi="宋体" w:eastAsia="宋体" w:cs="宋体"/>
          <w:sz w:val="24"/>
          <w:szCs w:val="24"/>
        </w:rPr>
        <w:t xml:space="preserve">                                                                 日  期：</w:t>
      </w:r>
    </w:p>
    <w:p w14:paraId="11E2F692">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（提醒：如果响应人不是残疾人福利性单位，则不需要提供《残疾人福利性单位声明函》。否则，因此导致虚假投标的后果由响应人自行承担。）</w:t>
      </w:r>
    </w:p>
    <w:p w14:paraId="0CA0265D">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《财政部民政部中国残疾人联合会关于促进残疾人就业政府采购政策的通知》（财库2017〔141〕号）的规定：</w:t>
      </w:r>
    </w:p>
    <w:p w14:paraId="1871D08B">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享受政府采购支持政策的残疾人福利性单位应当同时满足以下条件：</w:t>
      </w:r>
    </w:p>
    <w:p w14:paraId="48F8591F">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（1）安置的残疾人占本单位在职职工人数的比例不低于25%（含25%），并且安置的残疾人人数不少于10人（含10人）；</w:t>
      </w:r>
    </w:p>
    <w:p w14:paraId="21494922">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（2）依法与安置的每位残疾人签订了一年以上（含一年）的劳动合同或服务协议；</w:t>
      </w:r>
    </w:p>
    <w:p w14:paraId="0FB2322D">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（3）为安置的每位残疾人按月足额缴纳了基本养老保险、基本医疗保险、失业保险、工伤保险和生育保险等社会保险费；</w:t>
      </w:r>
    </w:p>
    <w:p w14:paraId="2ADC8018">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（4）通过银行等金融机构向安置的每位残疾人，按月支付了不低于单位所在区县适用的经省级人民政府批准的月最低工资标准的工资；</w:t>
      </w:r>
    </w:p>
    <w:p w14:paraId="7A1CFE41">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（5）提供本单位制造的货物、承担的工程或者服务（以下简称产品），或者提供其他残疾人福利性单位制造的货物（不包括使用非残疾人福利性单位注册商标的货物）。</w:t>
      </w:r>
    </w:p>
    <w:p w14:paraId="46C37FA1">
      <w:pPr>
        <w:pageBreakBefore w:val="0"/>
        <w:widowControl/>
        <w:wordWrap/>
        <w:overflowPunct/>
        <w:topLinePunct w:val="0"/>
        <w:bidi w:val="0"/>
        <w:spacing w:line="360" w:lineRule="auto"/>
        <w:ind w:firstLine="480" w:firstLineChars="200"/>
        <w:jc w:val="left"/>
        <w:outlineLvl w:val="9"/>
        <w:rPr>
          <w:rFonts w:ascii="宋体" w:hAnsi="宋体" w:eastAsia="宋体" w:cs="宋体"/>
          <w:color w:val="151515"/>
          <w:kern w:val="0"/>
          <w:sz w:val="24"/>
          <w:szCs w:val="24"/>
          <w:lang w:bidi="ar"/>
        </w:rPr>
      </w:pPr>
      <w:r>
        <w:rPr>
          <w:rFonts w:hint="eastAsia" w:ascii="宋体" w:hAnsi="宋体" w:eastAsia="宋体" w:cs="宋体"/>
          <w:color w:val="151515"/>
          <w:kern w:val="0"/>
          <w:sz w:val="24"/>
          <w:szCs w:val="24"/>
          <w:lang w:bidi="ar"/>
        </w:rPr>
        <w:t xml:space="preserve">2. 成交人为残疾人福利性单位的，招标人或者其委托的招标代理机构应当随成交、成交结果同时公告其《残疾人福利性单位声明函》，接受社会监督。   </w:t>
      </w:r>
    </w:p>
    <w:p w14:paraId="761A6F9E">
      <w:pPr>
        <w:pageBreakBefore w:val="0"/>
        <w:widowControl/>
        <w:wordWrap/>
        <w:overflowPunct/>
        <w:topLinePunct w:val="0"/>
        <w:bidi w:val="0"/>
        <w:adjustRightInd w:val="0"/>
        <w:snapToGrid w:val="0"/>
        <w:spacing w:before="156" w:beforeLines="50" w:line="360" w:lineRule="auto"/>
        <w:outlineLvl w:val="9"/>
        <w:rPr>
          <w:rFonts w:ascii="宋体" w:hAnsi="宋体" w:eastAsia="宋体" w:cs="宋体"/>
          <w:b/>
          <w:bCs/>
          <w:spacing w:val="6"/>
          <w:kern w:val="0"/>
          <w:sz w:val="24"/>
          <w:szCs w:val="24"/>
        </w:rPr>
      </w:pPr>
      <w:r>
        <w:rPr>
          <w:rFonts w:hint="eastAsia" w:ascii="宋体" w:hAnsi="宋体" w:eastAsia="宋体" w:cs="宋体"/>
          <w:color w:val="151515"/>
          <w:kern w:val="0"/>
          <w:sz w:val="24"/>
          <w:szCs w:val="24"/>
          <w:lang w:bidi="ar"/>
        </w:rPr>
        <w:br w:type="page"/>
      </w:r>
      <w:r>
        <w:rPr>
          <w:rFonts w:hint="eastAsia" w:ascii="宋体" w:hAnsi="宋体" w:eastAsia="宋体" w:cs="宋体"/>
          <w:b/>
          <w:bCs/>
          <w:spacing w:val="6"/>
          <w:kern w:val="0"/>
          <w:sz w:val="24"/>
          <w:szCs w:val="24"/>
        </w:rPr>
        <w:t xml:space="preserve">附件3 </w:t>
      </w:r>
    </w:p>
    <w:p w14:paraId="0F65C208">
      <w:pPr>
        <w:pageBreakBefore w:val="0"/>
        <w:widowControl/>
        <w:wordWrap/>
        <w:overflowPunct/>
        <w:topLinePunct w:val="0"/>
        <w:bidi w:val="0"/>
        <w:adjustRightInd w:val="0"/>
        <w:snapToGrid w:val="0"/>
        <w:spacing w:before="156" w:beforeLines="50" w:line="360" w:lineRule="auto"/>
        <w:jc w:val="center"/>
        <w:outlineLvl w:val="9"/>
        <w:rPr>
          <w:rFonts w:ascii="宋体" w:hAnsi="宋体" w:eastAsia="宋体" w:cs="宋体"/>
          <w:b/>
          <w:bCs/>
          <w:sz w:val="32"/>
          <w:szCs w:val="32"/>
        </w:rPr>
      </w:pPr>
      <w:r>
        <w:rPr>
          <w:rFonts w:hint="eastAsia" w:ascii="宋体" w:hAnsi="宋体" w:eastAsia="宋体" w:cs="宋体"/>
          <w:b/>
          <w:bCs/>
          <w:sz w:val="32"/>
          <w:szCs w:val="32"/>
        </w:rPr>
        <w:t>监狱企业证明文件</w:t>
      </w:r>
    </w:p>
    <w:p w14:paraId="396A1D81">
      <w:pPr>
        <w:pageBreakBefore w:val="0"/>
        <w:wordWrap/>
        <w:overflowPunct/>
        <w:topLinePunct w:val="0"/>
        <w:bidi w:val="0"/>
        <w:jc w:val="center"/>
        <w:outlineLvl w:val="9"/>
        <w:rPr>
          <w:rFonts w:ascii="宋体" w:hAnsi="宋体" w:eastAsia="宋体" w:cs="宋体"/>
          <w:szCs w:val="24"/>
        </w:rPr>
      </w:pPr>
      <w:r>
        <w:rPr>
          <w:rFonts w:hint="eastAsia" w:ascii="宋体" w:hAnsi="宋体" w:eastAsia="宋体" w:cs="宋体"/>
          <w:b/>
          <w:bCs/>
          <w:sz w:val="24"/>
          <w:szCs w:val="24"/>
        </w:rPr>
        <w:t>（属于监狱企业的提供，不属于的无需提供此项内容）</w:t>
      </w:r>
    </w:p>
    <w:p w14:paraId="7B6BF77E">
      <w:pPr>
        <w:pageBreakBefore w:val="0"/>
        <w:wordWrap/>
        <w:overflowPunct/>
        <w:topLinePunct w:val="0"/>
        <w:bidi w:val="0"/>
        <w:spacing w:line="360" w:lineRule="auto"/>
        <w:ind w:firstLine="480" w:firstLineChars="200"/>
        <w:outlineLvl w:val="9"/>
        <w:rPr>
          <w:rFonts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（监狱企业参加政府采购活动时，应当提供由省级以上监狱管理局、戒毒管理局（含新疆生产建设兵团）出具的属于监狱企业的证明文件。在响应文件中提供原件扫描件。）</w:t>
      </w:r>
    </w:p>
    <w:p w14:paraId="6170254D">
      <w:pPr>
        <w:pageBreakBefore w:val="0"/>
        <w:wordWrap/>
        <w:overflowPunct/>
        <w:topLinePunct w:val="0"/>
        <w:bidi w:val="0"/>
        <w:outlineLvl w:val="9"/>
      </w:pPr>
    </w:p>
    <w:sectPr>
      <w:headerReference r:id="rId3" w:type="default"/>
      <w:footerReference r:id="rId4"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EF5EF">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6DA3BC3">
                          <w:pPr>
                            <w:pStyle w:val="13"/>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B7UJGGCgIAAAIEAAAOAAAAAAAAAAEAIAAAAB8BAABk&#10;cnMvZTJvRG9jLnhtbFBLBQYAAAAABgAGAFkBAACbBQAAAAA=&#10;">
              <v:fill on="f" focussize="0,0"/>
              <v:stroke on="f"/>
              <v:imagedata o:title=""/>
              <o:lock v:ext="edit" aspectratio="f"/>
              <v:textbox inset="0mm,0mm,0mm,0mm" style="mso-fit-shape-to-text:t;">
                <w:txbxContent>
                  <w:p w14:paraId="56DA3BC3">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D2D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88136"/>
    <w:multiLevelType w:val="singleLevel"/>
    <w:tmpl w:val="35188136"/>
    <w:lvl w:ilvl="0" w:tentative="0">
      <w:start w:val="6"/>
      <w:numFmt w:val="decimal"/>
      <w:lvlText w:val="%1."/>
      <w:lvlJc w:val="left"/>
      <w:pPr>
        <w:tabs>
          <w:tab w:val="left" w:pos="312"/>
        </w:tabs>
      </w:pPr>
    </w:lvl>
  </w:abstractNum>
  <w:abstractNum w:abstractNumId="1">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F4"/>
    <w:rsid w:val="000666C2"/>
    <w:rsid w:val="00147608"/>
    <w:rsid w:val="001E75FA"/>
    <w:rsid w:val="004E1C9B"/>
    <w:rsid w:val="005230F8"/>
    <w:rsid w:val="00524CF4"/>
    <w:rsid w:val="00535E7A"/>
    <w:rsid w:val="00561DEB"/>
    <w:rsid w:val="00613833"/>
    <w:rsid w:val="00620D4D"/>
    <w:rsid w:val="00643DD3"/>
    <w:rsid w:val="006F2BF7"/>
    <w:rsid w:val="0073407F"/>
    <w:rsid w:val="00736FFA"/>
    <w:rsid w:val="00811961"/>
    <w:rsid w:val="009D2A7B"/>
    <w:rsid w:val="00A213DF"/>
    <w:rsid w:val="00A67032"/>
    <w:rsid w:val="00B340B8"/>
    <w:rsid w:val="00E41E50"/>
    <w:rsid w:val="00F24796"/>
    <w:rsid w:val="00F33A29"/>
    <w:rsid w:val="00FD6D88"/>
    <w:rsid w:val="018A58CB"/>
    <w:rsid w:val="01AE60DE"/>
    <w:rsid w:val="02145195"/>
    <w:rsid w:val="02785724"/>
    <w:rsid w:val="033F7BA6"/>
    <w:rsid w:val="03575C81"/>
    <w:rsid w:val="03776AE6"/>
    <w:rsid w:val="04680796"/>
    <w:rsid w:val="04D05CEB"/>
    <w:rsid w:val="054162A1"/>
    <w:rsid w:val="05BB24F7"/>
    <w:rsid w:val="05DD06BF"/>
    <w:rsid w:val="05E05ABA"/>
    <w:rsid w:val="0667442D"/>
    <w:rsid w:val="067B1C86"/>
    <w:rsid w:val="069A035E"/>
    <w:rsid w:val="06AA19DB"/>
    <w:rsid w:val="06C76681"/>
    <w:rsid w:val="06D51397"/>
    <w:rsid w:val="07026A9C"/>
    <w:rsid w:val="07A07BF6"/>
    <w:rsid w:val="07D96C64"/>
    <w:rsid w:val="084C38DA"/>
    <w:rsid w:val="08534C69"/>
    <w:rsid w:val="08B97B9F"/>
    <w:rsid w:val="08DF64FD"/>
    <w:rsid w:val="08E73603"/>
    <w:rsid w:val="094D790A"/>
    <w:rsid w:val="098A3B00"/>
    <w:rsid w:val="09C05F85"/>
    <w:rsid w:val="0AA51080"/>
    <w:rsid w:val="0AE778EA"/>
    <w:rsid w:val="0BB35A1E"/>
    <w:rsid w:val="0C060244"/>
    <w:rsid w:val="0C24440C"/>
    <w:rsid w:val="0C767178"/>
    <w:rsid w:val="0CF34325"/>
    <w:rsid w:val="0D2C7836"/>
    <w:rsid w:val="0DC6665F"/>
    <w:rsid w:val="0DDA1988"/>
    <w:rsid w:val="0E170036"/>
    <w:rsid w:val="0F3D5D2B"/>
    <w:rsid w:val="102869DB"/>
    <w:rsid w:val="10523A58"/>
    <w:rsid w:val="106F4707"/>
    <w:rsid w:val="10D12BCF"/>
    <w:rsid w:val="114D26BF"/>
    <w:rsid w:val="11D64215"/>
    <w:rsid w:val="11EE713E"/>
    <w:rsid w:val="11FF4C58"/>
    <w:rsid w:val="1255782F"/>
    <w:rsid w:val="126738C5"/>
    <w:rsid w:val="12E34E3B"/>
    <w:rsid w:val="12F157AA"/>
    <w:rsid w:val="12F9465F"/>
    <w:rsid w:val="13A40F9B"/>
    <w:rsid w:val="143C2A55"/>
    <w:rsid w:val="14AF76CB"/>
    <w:rsid w:val="14D7452C"/>
    <w:rsid w:val="14E1184E"/>
    <w:rsid w:val="151C584D"/>
    <w:rsid w:val="15406575"/>
    <w:rsid w:val="1618304E"/>
    <w:rsid w:val="161F43DC"/>
    <w:rsid w:val="167364D6"/>
    <w:rsid w:val="16AD1854"/>
    <w:rsid w:val="16B234A2"/>
    <w:rsid w:val="17326391"/>
    <w:rsid w:val="175B58E8"/>
    <w:rsid w:val="175E7186"/>
    <w:rsid w:val="179761F4"/>
    <w:rsid w:val="181D0DEF"/>
    <w:rsid w:val="1862660E"/>
    <w:rsid w:val="193E200C"/>
    <w:rsid w:val="196428D6"/>
    <w:rsid w:val="196A1E12"/>
    <w:rsid w:val="197131A1"/>
    <w:rsid w:val="19C84D8B"/>
    <w:rsid w:val="19DD6BFF"/>
    <w:rsid w:val="1A007A73"/>
    <w:rsid w:val="1A240213"/>
    <w:rsid w:val="1A4E34E2"/>
    <w:rsid w:val="1ACB722B"/>
    <w:rsid w:val="1B291859"/>
    <w:rsid w:val="1BCF0653"/>
    <w:rsid w:val="1BDB6FF7"/>
    <w:rsid w:val="1BE67C99"/>
    <w:rsid w:val="1BFE2CE6"/>
    <w:rsid w:val="1C24274C"/>
    <w:rsid w:val="1C6963B1"/>
    <w:rsid w:val="1C8E7BC6"/>
    <w:rsid w:val="1CCD0955"/>
    <w:rsid w:val="1CF57C45"/>
    <w:rsid w:val="1D126A49"/>
    <w:rsid w:val="1E2F53D8"/>
    <w:rsid w:val="1E68098F"/>
    <w:rsid w:val="1E74728F"/>
    <w:rsid w:val="1E780B2E"/>
    <w:rsid w:val="1EAE3A87"/>
    <w:rsid w:val="1EB276AF"/>
    <w:rsid w:val="1EE2069D"/>
    <w:rsid w:val="1EE6018D"/>
    <w:rsid w:val="1EE77A61"/>
    <w:rsid w:val="1F00520E"/>
    <w:rsid w:val="1F093E7B"/>
    <w:rsid w:val="1F4F6990"/>
    <w:rsid w:val="1F72557D"/>
    <w:rsid w:val="1FFB1A16"/>
    <w:rsid w:val="20285DF8"/>
    <w:rsid w:val="20A025BE"/>
    <w:rsid w:val="20F46465"/>
    <w:rsid w:val="213B4094"/>
    <w:rsid w:val="21415B4F"/>
    <w:rsid w:val="21BF4251"/>
    <w:rsid w:val="21EB5ABA"/>
    <w:rsid w:val="22056B7C"/>
    <w:rsid w:val="232272BA"/>
    <w:rsid w:val="233D2346"/>
    <w:rsid w:val="233F60BE"/>
    <w:rsid w:val="237C10C0"/>
    <w:rsid w:val="23BA1A7C"/>
    <w:rsid w:val="242D23BA"/>
    <w:rsid w:val="242F6132"/>
    <w:rsid w:val="249266C1"/>
    <w:rsid w:val="25332B1A"/>
    <w:rsid w:val="25621459"/>
    <w:rsid w:val="25B763DF"/>
    <w:rsid w:val="25BD32CA"/>
    <w:rsid w:val="260E5609"/>
    <w:rsid w:val="26105AEF"/>
    <w:rsid w:val="26347A30"/>
    <w:rsid w:val="269C55D5"/>
    <w:rsid w:val="26CD578F"/>
    <w:rsid w:val="26E74AA2"/>
    <w:rsid w:val="27070CA1"/>
    <w:rsid w:val="280C22E7"/>
    <w:rsid w:val="29185733"/>
    <w:rsid w:val="29361D11"/>
    <w:rsid w:val="2940049A"/>
    <w:rsid w:val="299B6CB6"/>
    <w:rsid w:val="29AF054A"/>
    <w:rsid w:val="29BD7D3C"/>
    <w:rsid w:val="29C410CB"/>
    <w:rsid w:val="29EC6874"/>
    <w:rsid w:val="2A1F27A5"/>
    <w:rsid w:val="2A554419"/>
    <w:rsid w:val="2A701253"/>
    <w:rsid w:val="2A81520E"/>
    <w:rsid w:val="2B3C0931"/>
    <w:rsid w:val="2B5B5A5F"/>
    <w:rsid w:val="2B694E4B"/>
    <w:rsid w:val="2C4E1120"/>
    <w:rsid w:val="2C5129BE"/>
    <w:rsid w:val="2C59575F"/>
    <w:rsid w:val="2C701096"/>
    <w:rsid w:val="2CB03B88"/>
    <w:rsid w:val="2CD31625"/>
    <w:rsid w:val="2CF0667B"/>
    <w:rsid w:val="2D5404DD"/>
    <w:rsid w:val="2D595FCE"/>
    <w:rsid w:val="2DA84860"/>
    <w:rsid w:val="2E114AFB"/>
    <w:rsid w:val="2E1562CD"/>
    <w:rsid w:val="2E341D79"/>
    <w:rsid w:val="2E56250D"/>
    <w:rsid w:val="2F5B427F"/>
    <w:rsid w:val="2FC75471"/>
    <w:rsid w:val="2FCF4325"/>
    <w:rsid w:val="2FED67F0"/>
    <w:rsid w:val="30474809"/>
    <w:rsid w:val="305D4027"/>
    <w:rsid w:val="30DE1192"/>
    <w:rsid w:val="312132A7"/>
    <w:rsid w:val="31271F3F"/>
    <w:rsid w:val="31477BE9"/>
    <w:rsid w:val="31603DCF"/>
    <w:rsid w:val="316513E5"/>
    <w:rsid w:val="317B29B7"/>
    <w:rsid w:val="31F84007"/>
    <w:rsid w:val="320C1861"/>
    <w:rsid w:val="32700042"/>
    <w:rsid w:val="32943604"/>
    <w:rsid w:val="32AC4982"/>
    <w:rsid w:val="32D1149C"/>
    <w:rsid w:val="33114FB0"/>
    <w:rsid w:val="33B0446E"/>
    <w:rsid w:val="340071A3"/>
    <w:rsid w:val="340410D5"/>
    <w:rsid w:val="342017D1"/>
    <w:rsid w:val="345179FF"/>
    <w:rsid w:val="34586FDF"/>
    <w:rsid w:val="34C208FD"/>
    <w:rsid w:val="34D4418C"/>
    <w:rsid w:val="34DD1293"/>
    <w:rsid w:val="34FF745B"/>
    <w:rsid w:val="351E00DB"/>
    <w:rsid w:val="360D204B"/>
    <w:rsid w:val="362A0508"/>
    <w:rsid w:val="36AD2EE7"/>
    <w:rsid w:val="36F34D9D"/>
    <w:rsid w:val="372B09DB"/>
    <w:rsid w:val="37441A9D"/>
    <w:rsid w:val="375A306E"/>
    <w:rsid w:val="37983B97"/>
    <w:rsid w:val="37CB4B62"/>
    <w:rsid w:val="381C6576"/>
    <w:rsid w:val="382672D7"/>
    <w:rsid w:val="38545D10"/>
    <w:rsid w:val="386911E5"/>
    <w:rsid w:val="387B6D70"/>
    <w:rsid w:val="38806B05"/>
    <w:rsid w:val="38B30C88"/>
    <w:rsid w:val="38C8225A"/>
    <w:rsid w:val="3914549F"/>
    <w:rsid w:val="397877DC"/>
    <w:rsid w:val="39C173D5"/>
    <w:rsid w:val="39D23390"/>
    <w:rsid w:val="39DC7D6B"/>
    <w:rsid w:val="3A2B2AA0"/>
    <w:rsid w:val="3A485400"/>
    <w:rsid w:val="3A5F274A"/>
    <w:rsid w:val="3ABF721B"/>
    <w:rsid w:val="3B4E6A46"/>
    <w:rsid w:val="3B820DE6"/>
    <w:rsid w:val="3BA83D2E"/>
    <w:rsid w:val="3BC907C3"/>
    <w:rsid w:val="3BDD7DCA"/>
    <w:rsid w:val="3C0E61D6"/>
    <w:rsid w:val="3CA31014"/>
    <w:rsid w:val="3D4520CB"/>
    <w:rsid w:val="3D742ABE"/>
    <w:rsid w:val="3D7C3183"/>
    <w:rsid w:val="3DAC3EF8"/>
    <w:rsid w:val="3DFA4C63"/>
    <w:rsid w:val="3E194C24"/>
    <w:rsid w:val="3EA01CAF"/>
    <w:rsid w:val="3F474944"/>
    <w:rsid w:val="3FA532F5"/>
    <w:rsid w:val="3FC75019"/>
    <w:rsid w:val="400870EE"/>
    <w:rsid w:val="400A2FB0"/>
    <w:rsid w:val="404A4EC6"/>
    <w:rsid w:val="40BC4452"/>
    <w:rsid w:val="41276CF7"/>
    <w:rsid w:val="41662610"/>
    <w:rsid w:val="418E2292"/>
    <w:rsid w:val="421B789E"/>
    <w:rsid w:val="42BE6BA7"/>
    <w:rsid w:val="433E3844"/>
    <w:rsid w:val="4346094B"/>
    <w:rsid w:val="44191BBB"/>
    <w:rsid w:val="441A7E0D"/>
    <w:rsid w:val="4456696C"/>
    <w:rsid w:val="446E0159"/>
    <w:rsid w:val="447C2876"/>
    <w:rsid w:val="44BC7116"/>
    <w:rsid w:val="44D66F02"/>
    <w:rsid w:val="44F248E6"/>
    <w:rsid w:val="4541761C"/>
    <w:rsid w:val="457C68A6"/>
    <w:rsid w:val="46244F73"/>
    <w:rsid w:val="463B22BD"/>
    <w:rsid w:val="46D83FB0"/>
    <w:rsid w:val="478A52AA"/>
    <w:rsid w:val="478B2DD0"/>
    <w:rsid w:val="47D623AF"/>
    <w:rsid w:val="47F24BFD"/>
    <w:rsid w:val="480860E9"/>
    <w:rsid w:val="48897310"/>
    <w:rsid w:val="48CB03F6"/>
    <w:rsid w:val="48E96000"/>
    <w:rsid w:val="48FA14EE"/>
    <w:rsid w:val="495B1C9F"/>
    <w:rsid w:val="49641B2B"/>
    <w:rsid w:val="49706721"/>
    <w:rsid w:val="49B04D70"/>
    <w:rsid w:val="49D7054F"/>
    <w:rsid w:val="49D7279F"/>
    <w:rsid w:val="49DB003F"/>
    <w:rsid w:val="49EF7646"/>
    <w:rsid w:val="4A0550BC"/>
    <w:rsid w:val="4A443E36"/>
    <w:rsid w:val="4A9D2593"/>
    <w:rsid w:val="4AB50890"/>
    <w:rsid w:val="4AB8212E"/>
    <w:rsid w:val="4AD13FBE"/>
    <w:rsid w:val="4B3A0D95"/>
    <w:rsid w:val="4B4C2876"/>
    <w:rsid w:val="4B5B7212"/>
    <w:rsid w:val="4B644064"/>
    <w:rsid w:val="4BCF5981"/>
    <w:rsid w:val="4BD702A6"/>
    <w:rsid w:val="4BFC604B"/>
    <w:rsid w:val="4C5B0FC3"/>
    <w:rsid w:val="4CC254E6"/>
    <w:rsid w:val="4CDA2830"/>
    <w:rsid w:val="4D2910C1"/>
    <w:rsid w:val="4D445EFB"/>
    <w:rsid w:val="4D626381"/>
    <w:rsid w:val="4D7D140D"/>
    <w:rsid w:val="4DA02143"/>
    <w:rsid w:val="4DE1374A"/>
    <w:rsid w:val="4E01203E"/>
    <w:rsid w:val="4E473EF5"/>
    <w:rsid w:val="4E65437B"/>
    <w:rsid w:val="4E962D58"/>
    <w:rsid w:val="4EBE7F2F"/>
    <w:rsid w:val="4EE138A2"/>
    <w:rsid w:val="4F806F93"/>
    <w:rsid w:val="4F860A4D"/>
    <w:rsid w:val="4FC155E1"/>
    <w:rsid w:val="503261EE"/>
    <w:rsid w:val="503404A9"/>
    <w:rsid w:val="50447FC0"/>
    <w:rsid w:val="50533151"/>
    <w:rsid w:val="507E296B"/>
    <w:rsid w:val="508C2093"/>
    <w:rsid w:val="509E1DC6"/>
    <w:rsid w:val="50AD025B"/>
    <w:rsid w:val="512247A5"/>
    <w:rsid w:val="51385D77"/>
    <w:rsid w:val="51752B27"/>
    <w:rsid w:val="51825244"/>
    <w:rsid w:val="51A67184"/>
    <w:rsid w:val="51BA678C"/>
    <w:rsid w:val="51F06651"/>
    <w:rsid w:val="5201085F"/>
    <w:rsid w:val="523515F0"/>
    <w:rsid w:val="52B7716F"/>
    <w:rsid w:val="52E53CDC"/>
    <w:rsid w:val="536F17F8"/>
    <w:rsid w:val="53836DD8"/>
    <w:rsid w:val="53964FD7"/>
    <w:rsid w:val="539D45B7"/>
    <w:rsid w:val="53BF0089"/>
    <w:rsid w:val="543842E0"/>
    <w:rsid w:val="54603722"/>
    <w:rsid w:val="548D6EEF"/>
    <w:rsid w:val="54D04518"/>
    <w:rsid w:val="54EA55DA"/>
    <w:rsid w:val="54F77CF7"/>
    <w:rsid w:val="55264138"/>
    <w:rsid w:val="570F6B41"/>
    <w:rsid w:val="57D1482F"/>
    <w:rsid w:val="57D90302"/>
    <w:rsid w:val="581311AB"/>
    <w:rsid w:val="58705DF6"/>
    <w:rsid w:val="595D566A"/>
    <w:rsid w:val="5967369D"/>
    <w:rsid w:val="597671B4"/>
    <w:rsid w:val="59D979CB"/>
    <w:rsid w:val="5A625C12"/>
    <w:rsid w:val="5A7F67C4"/>
    <w:rsid w:val="5AE76118"/>
    <w:rsid w:val="5B653C0C"/>
    <w:rsid w:val="5B6E1A92"/>
    <w:rsid w:val="5BBE156E"/>
    <w:rsid w:val="5C3D06E5"/>
    <w:rsid w:val="5C49708A"/>
    <w:rsid w:val="5C78796F"/>
    <w:rsid w:val="5D2673CB"/>
    <w:rsid w:val="5D276C9F"/>
    <w:rsid w:val="5D7E2D63"/>
    <w:rsid w:val="5DC6470A"/>
    <w:rsid w:val="5E8E6FD6"/>
    <w:rsid w:val="5EA70FE7"/>
    <w:rsid w:val="5F417EF1"/>
    <w:rsid w:val="5F7F7267"/>
    <w:rsid w:val="5FEF740F"/>
    <w:rsid w:val="600D6620"/>
    <w:rsid w:val="609B00D0"/>
    <w:rsid w:val="60FA4DF7"/>
    <w:rsid w:val="60FE4C35"/>
    <w:rsid w:val="6115578D"/>
    <w:rsid w:val="61AE5BE1"/>
    <w:rsid w:val="62222B0A"/>
    <w:rsid w:val="63147CC6"/>
    <w:rsid w:val="63190F1A"/>
    <w:rsid w:val="632779F9"/>
    <w:rsid w:val="638B61DA"/>
    <w:rsid w:val="63901A42"/>
    <w:rsid w:val="63D3192F"/>
    <w:rsid w:val="63F518A5"/>
    <w:rsid w:val="64096AB8"/>
    <w:rsid w:val="647C5B23"/>
    <w:rsid w:val="64BC7B4E"/>
    <w:rsid w:val="64CC0858"/>
    <w:rsid w:val="64E5191A"/>
    <w:rsid w:val="64E671CF"/>
    <w:rsid w:val="652C12F7"/>
    <w:rsid w:val="65A76BCF"/>
    <w:rsid w:val="660D2ED6"/>
    <w:rsid w:val="66391F1D"/>
    <w:rsid w:val="663B6E18"/>
    <w:rsid w:val="665F5970"/>
    <w:rsid w:val="66707909"/>
    <w:rsid w:val="66A01F9C"/>
    <w:rsid w:val="66F81DD8"/>
    <w:rsid w:val="672A7AB8"/>
    <w:rsid w:val="67401089"/>
    <w:rsid w:val="67A738C2"/>
    <w:rsid w:val="687E630D"/>
    <w:rsid w:val="68EC771B"/>
    <w:rsid w:val="68FA1158"/>
    <w:rsid w:val="695D4175"/>
    <w:rsid w:val="696C260A"/>
    <w:rsid w:val="6A0171F6"/>
    <w:rsid w:val="6AB029CA"/>
    <w:rsid w:val="6B1715B7"/>
    <w:rsid w:val="6B5B0B88"/>
    <w:rsid w:val="6B6C47EB"/>
    <w:rsid w:val="6B841E8D"/>
    <w:rsid w:val="6BCE135A"/>
    <w:rsid w:val="6BDA5731"/>
    <w:rsid w:val="6C1D7BEB"/>
    <w:rsid w:val="6C30791F"/>
    <w:rsid w:val="6C517895"/>
    <w:rsid w:val="6C6E48EB"/>
    <w:rsid w:val="6D4A0A51"/>
    <w:rsid w:val="6D702D90"/>
    <w:rsid w:val="6DB1683D"/>
    <w:rsid w:val="6DC04CD2"/>
    <w:rsid w:val="6E761C75"/>
    <w:rsid w:val="6E7C32EF"/>
    <w:rsid w:val="6E985C4F"/>
    <w:rsid w:val="6EB564DB"/>
    <w:rsid w:val="6ECD345E"/>
    <w:rsid w:val="6EDF73DA"/>
    <w:rsid w:val="6F0926A9"/>
    <w:rsid w:val="6F206DF6"/>
    <w:rsid w:val="6F380948"/>
    <w:rsid w:val="6FE74798"/>
    <w:rsid w:val="70B2124A"/>
    <w:rsid w:val="70DC30E1"/>
    <w:rsid w:val="71094BE2"/>
    <w:rsid w:val="71186BD3"/>
    <w:rsid w:val="71235CA4"/>
    <w:rsid w:val="714D2D21"/>
    <w:rsid w:val="71823A3F"/>
    <w:rsid w:val="71AB5C99"/>
    <w:rsid w:val="7220332D"/>
    <w:rsid w:val="723F6B0D"/>
    <w:rsid w:val="7279700A"/>
    <w:rsid w:val="72822E9E"/>
    <w:rsid w:val="728C1627"/>
    <w:rsid w:val="72907369"/>
    <w:rsid w:val="72B8066E"/>
    <w:rsid w:val="73261A7B"/>
    <w:rsid w:val="73927111"/>
    <w:rsid w:val="73A56E44"/>
    <w:rsid w:val="73EF4563"/>
    <w:rsid w:val="74161AF0"/>
    <w:rsid w:val="74331830"/>
    <w:rsid w:val="74455F31"/>
    <w:rsid w:val="746D0255"/>
    <w:rsid w:val="74CA2A6B"/>
    <w:rsid w:val="74CE23CA"/>
    <w:rsid w:val="756242F1"/>
    <w:rsid w:val="75970A0E"/>
    <w:rsid w:val="75ED4AD2"/>
    <w:rsid w:val="765A53E0"/>
    <w:rsid w:val="76E04DA1"/>
    <w:rsid w:val="76E67C25"/>
    <w:rsid w:val="77470212"/>
    <w:rsid w:val="77C92451"/>
    <w:rsid w:val="77E43CB3"/>
    <w:rsid w:val="77EF3B07"/>
    <w:rsid w:val="783C764B"/>
    <w:rsid w:val="784C58D6"/>
    <w:rsid w:val="78774B27"/>
    <w:rsid w:val="78B2790D"/>
    <w:rsid w:val="78B83176"/>
    <w:rsid w:val="794D105F"/>
    <w:rsid w:val="79C913B2"/>
    <w:rsid w:val="7A112EA6"/>
    <w:rsid w:val="7A140880"/>
    <w:rsid w:val="7A8C2B0C"/>
    <w:rsid w:val="7C1F52BA"/>
    <w:rsid w:val="7CBB76D8"/>
    <w:rsid w:val="7D0A5F6A"/>
    <w:rsid w:val="7D747887"/>
    <w:rsid w:val="7DB87774"/>
    <w:rsid w:val="7E6C030E"/>
    <w:rsid w:val="7F111831"/>
    <w:rsid w:val="7F985AAF"/>
    <w:rsid w:val="7FA02BB5"/>
    <w:rsid w:val="7FA206DC"/>
    <w:rsid w:val="7FD8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1"/>
    <w:pPr>
      <w:ind w:right="19"/>
      <w:jc w:val="center"/>
      <w:outlineLvl w:val="0"/>
    </w:pPr>
    <w:rPr>
      <w:rFonts w:ascii="宋体" w:hAnsi="宋体" w:eastAsia="宋体" w:cs="宋体"/>
      <w:b/>
      <w:bCs/>
      <w:sz w:val="28"/>
      <w:szCs w:val="28"/>
    </w:rPr>
  </w:style>
  <w:style w:type="paragraph" w:styleId="3">
    <w:name w:val="heading 2"/>
    <w:basedOn w:val="1"/>
    <w:next w:val="1"/>
    <w:link w:val="37"/>
    <w:qFormat/>
    <w:uiPriority w:val="1"/>
    <w:pPr>
      <w:ind w:left="3553"/>
      <w:outlineLvl w:val="1"/>
    </w:pPr>
    <w:rPr>
      <w:rFonts w:ascii="黑体" w:hAnsi="黑体" w:eastAsia="黑体" w:cs="黑体"/>
      <w:sz w:val="28"/>
      <w:szCs w:val="28"/>
    </w:rPr>
  </w:style>
  <w:style w:type="paragraph" w:styleId="4">
    <w:name w:val="heading 3"/>
    <w:basedOn w:val="1"/>
    <w:link w:val="38"/>
    <w:qFormat/>
    <w:uiPriority w:val="1"/>
    <w:pPr>
      <w:spacing w:before="60"/>
      <w:ind w:left="273"/>
      <w:outlineLvl w:val="2"/>
    </w:pPr>
    <w:rPr>
      <w:rFonts w:ascii="宋体" w:hAnsi="宋体" w:eastAsia="宋体" w:cs="宋体"/>
      <w:sz w:val="29"/>
      <w:szCs w:val="29"/>
    </w:rPr>
  </w:style>
  <w:style w:type="paragraph" w:styleId="5">
    <w:name w:val="heading 4"/>
    <w:basedOn w:val="1"/>
    <w:next w:val="1"/>
    <w:link w:val="39"/>
    <w:qFormat/>
    <w:uiPriority w:val="99"/>
    <w:pPr>
      <w:keepNext/>
      <w:outlineLvl w:val="3"/>
    </w:pPr>
    <w:rPr>
      <w:rFonts w:ascii="Calibri" w:hAnsi="Calibri" w:eastAsia="宋体" w:cs="Times New Roman"/>
      <w:b/>
      <w:bCs/>
      <w:kern w:val="0"/>
      <w:sz w:val="24"/>
      <w:szCs w:val="24"/>
    </w:rPr>
  </w:style>
  <w:style w:type="paragraph" w:styleId="6">
    <w:name w:val="heading 7"/>
    <w:basedOn w:val="1"/>
    <w:link w:val="40"/>
    <w:qFormat/>
    <w:uiPriority w:val="1"/>
    <w:pPr>
      <w:ind w:left="748" w:hanging="420"/>
      <w:outlineLvl w:val="6"/>
    </w:pPr>
    <w:rPr>
      <w:rFonts w:ascii="宋体" w:hAnsi="宋体" w:eastAsia="宋体" w:cs="宋体"/>
      <w:b/>
      <w:bCs/>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link w:val="41"/>
    <w:qFormat/>
    <w:uiPriority w:val="1"/>
    <w:rPr>
      <w:rFonts w:ascii="宋体" w:hAnsi="宋体" w:eastAsia="宋体" w:cs="宋体"/>
      <w:sz w:val="23"/>
      <w:szCs w:val="23"/>
    </w:rPr>
  </w:style>
  <w:style w:type="paragraph" w:styleId="9">
    <w:name w:val="Body Text Indent"/>
    <w:basedOn w:val="1"/>
    <w:link w:val="42"/>
    <w:qFormat/>
    <w:uiPriority w:val="0"/>
    <w:pPr>
      <w:spacing w:after="120" w:line="276" w:lineRule="auto"/>
      <w:ind w:left="420" w:leftChars="200"/>
    </w:pPr>
    <w:rPr>
      <w:rFonts w:ascii="宋体" w:hAnsi="Calibri" w:eastAsia="仿宋" w:cs="Times New Roman"/>
      <w:sz w:val="24"/>
      <w:szCs w:val="21"/>
    </w:rPr>
  </w:style>
  <w:style w:type="paragraph" w:styleId="10">
    <w:name w:val="List 2"/>
    <w:basedOn w:val="1"/>
    <w:qFormat/>
    <w:uiPriority w:val="0"/>
    <w:pPr>
      <w:ind w:left="100" w:leftChars="200" w:hanging="200" w:hangingChars="200"/>
    </w:pPr>
    <w:rPr>
      <w:rFonts w:ascii="Calibri" w:hAnsi="Calibri" w:eastAsia="宋体" w:cs="Times New Roman"/>
      <w:szCs w:val="24"/>
    </w:rPr>
  </w:style>
  <w:style w:type="paragraph" w:styleId="11">
    <w:name w:val="Plain Text"/>
    <w:basedOn w:val="1"/>
    <w:link w:val="43"/>
    <w:qFormat/>
    <w:uiPriority w:val="0"/>
    <w:rPr>
      <w:rFonts w:ascii="宋体" w:hAnsi="Courier New" w:eastAsia="宋体" w:cs="Courier New"/>
      <w:szCs w:val="21"/>
    </w:rPr>
  </w:style>
  <w:style w:type="paragraph" w:styleId="12">
    <w:name w:val="Balloon Text"/>
    <w:basedOn w:val="1"/>
    <w:link w:val="58"/>
    <w:qFormat/>
    <w:uiPriority w:val="0"/>
    <w:rPr>
      <w:rFonts w:ascii="Calibri" w:hAnsi="Calibri" w:eastAsia="宋体" w:cs="Times New Roman"/>
      <w:sz w:val="18"/>
      <w:szCs w:val="18"/>
    </w:rPr>
  </w:style>
  <w:style w:type="paragraph" w:styleId="13">
    <w:name w:val="footer"/>
    <w:basedOn w:val="1"/>
    <w:link w:val="44"/>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envelope return"/>
    <w:basedOn w:val="1"/>
    <w:qFormat/>
    <w:uiPriority w:val="0"/>
    <w:pPr>
      <w:snapToGrid w:val="0"/>
    </w:pPr>
    <w:rPr>
      <w:rFonts w:ascii="Arial" w:hAnsi="Arial" w:eastAsia="宋体" w:cs="Times New Roman"/>
      <w:szCs w:val="24"/>
    </w:rPr>
  </w:style>
  <w:style w:type="paragraph" w:styleId="15">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16">
    <w:name w:val="toc 1"/>
    <w:basedOn w:val="1"/>
    <w:next w:val="1"/>
    <w:semiHidden/>
    <w:unhideWhenUsed/>
    <w:qFormat/>
    <w:uiPriority w:val="39"/>
  </w:style>
  <w:style w:type="paragraph" w:styleId="17">
    <w:name w:val="table of figures"/>
    <w:basedOn w:val="1"/>
    <w:next w:val="1"/>
    <w:qFormat/>
    <w:uiPriority w:val="0"/>
    <w:pPr>
      <w:ind w:left="200" w:leftChars="200" w:hanging="200" w:hangingChars="200"/>
    </w:pPr>
    <w:rPr>
      <w:rFonts w:ascii="Calibri" w:hAnsi="Calibri" w:eastAsia="宋体" w:cs="Times New Roman"/>
      <w:szCs w:val="24"/>
    </w:rPr>
  </w:style>
  <w:style w:type="paragraph" w:styleId="18">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eastAsia="宋体" w:cs="Arial"/>
      <w:kern w:val="0"/>
      <w:sz w:val="25"/>
      <w:szCs w:val="25"/>
    </w:rPr>
  </w:style>
  <w:style w:type="paragraph" w:styleId="19">
    <w:name w:val="Normal (Web)"/>
    <w:basedOn w:val="1"/>
    <w:qFormat/>
    <w:uiPriority w:val="0"/>
    <w:pPr>
      <w:jc w:val="left"/>
    </w:pPr>
    <w:rPr>
      <w:rFonts w:ascii="Calibri" w:hAnsi="Calibri" w:eastAsia="宋体" w:cs="Times New Roman"/>
      <w:kern w:val="0"/>
      <w:sz w:val="24"/>
      <w:szCs w:val="24"/>
    </w:rPr>
  </w:style>
  <w:style w:type="paragraph" w:styleId="20">
    <w:name w:val="Body Text First Indent"/>
    <w:basedOn w:val="1"/>
    <w:next w:val="21"/>
    <w:link w:val="47"/>
    <w:unhideWhenUsed/>
    <w:qFormat/>
    <w:uiPriority w:val="99"/>
    <w:pPr>
      <w:spacing w:after="120"/>
      <w:ind w:firstLine="420" w:firstLineChars="100"/>
    </w:pPr>
    <w:rPr>
      <w:rFonts w:ascii="Times New Roman" w:hAnsi="Times New Roman" w:eastAsia="宋体" w:cs="Times New Roman"/>
      <w:szCs w:val="24"/>
    </w:rPr>
  </w:style>
  <w:style w:type="paragraph" w:styleId="21">
    <w:name w:val="Body Text First Indent 2"/>
    <w:basedOn w:val="9"/>
    <w:link w:val="48"/>
    <w:qFormat/>
    <w:uiPriority w:val="0"/>
    <w:pPr>
      <w:ind w:firstLine="420" w:firstLineChars="200"/>
    </w:pPr>
    <w:rPr>
      <w:rFonts w:ascii="Times New Roman" w:hAnsi="Times New Roman" w:eastAsia="宋体"/>
    </w:rPr>
  </w:style>
  <w:style w:type="table" w:styleId="23">
    <w:name w:val="Table Grid"/>
    <w:basedOn w:val="2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basedOn w:val="24"/>
    <w:qFormat/>
    <w:uiPriority w:val="0"/>
    <w:rPr>
      <w:color w:val="800080"/>
      <w:u w:val="none"/>
    </w:rPr>
  </w:style>
  <w:style w:type="character" w:styleId="27">
    <w:name w:val="HTML Definition"/>
    <w:basedOn w:val="24"/>
    <w:qFormat/>
    <w:uiPriority w:val="0"/>
  </w:style>
  <w:style w:type="character" w:styleId="28">
    <w:name w:val="HTML Typewriter"/>
    <w:basedOn w:val="24"/>
    <w:qFormat/>
    <w:uiPriority w:val="0"/>
    <w:rPr>
      <w:rFonts w:hint="default" w:ascii="monospace" w:hAnsi="monospace" w:eastAsia="monospace" w:cs="monospace"/>
      <w:sz w:val="20"/>
    </w:rPr>
  </w:style>
  <w:style w:type="character" w:styleId="29">
    <w:name w:val="HTML Acronym"/>
    <w:basedOn w:val="24"/>
    <w:qFormat/>
    <w:uiPriority w:val="0"/>
  </w:style>
  <w:style w:type="character" w:styleId="30">
    <w:name w:val="HTML Variable"/>
    <w:basedOn w:val="24"/>
    <w:qFormat/>
    <w:uiPriority w:val="0"/>
  </w:style>
  <w:style w:type="character" w:styleId="31">
    <w:name w:val="Hyperlink"/>
    <w:basedOn w:val="24"/>
    <w:qFormat/>
    <w:uiPriority w:val="0"/>
    <w:rPr>
      <w:color w:val="0000FF"/>
      <w:u w:val="none"/>
    </w:rPr>
  </w:style>
  <w:style w:type="character" w:styleId="32">
    <w:name w:val="HTML Code"/>
    <w:basedOn w:val="24"/>
    <w:qFormat/>
    <w:uiPriority w:val="0"/>
    <w:rPr>
      <w:rFonts w:hint="default" w:ascii="monospace" w:hAnsi="monospace" w:eastAsia="monospace" w:cs="monospace"/>
      <w:sz w:val="20"/>
    </w:rPr>
  </w:style>
  <w:style w:type="character" w:styleId="33">
    <w:name w:val="HTML Cite"/>
    <w:basedOn w:val="24"/>
    <w:qFormat/>
    <w:uiPriority w:val="0"/>
  </w:style>
  <w:style w:type="character" w:styleId="34">
    <w:name w:val="HTML Keyboard"/>
    <w:basedOn w:val="24"/>
    <w:qFormat/>
    <w:uiPriority w:val="0"/>
    <w:rPr>
      <w:rFonts w:hint="default" w:ascii="monospace" w:hAnsi="monospace" w:eastAsia="monospace" w:cs="monospace"/>
      <w:sz w:val="20"/>
    </w:rPr>
  </w:style>
  <w:style w:type="character" w:styleId="35">
    <w:name w:val="HTML Sample"/>
    <w:basedOn w:val="24"/>
    <w:qFormat/>
    <w:uiPriority w:val="0"/>
    <w:rPr>
      <w:rFonts w:ascii="monospace" w:hAnsi="monospace" w:eastAsia="monospace" w:cs="monospace"/>
    </w:rPr>
  </w:style>
  <w:style w:type="character" w:customStyle="1" w:styleId="36">
    <w:name w:val="标题 1 Char"/>
    <w:basedOn w:val="24"/>
    <w:link w:val="2"/>
    <w:qFormat/>
    <w:uiPriority w:val="1"/>
    <w:rPr>
      <w:rFonts w:ascii="宋体" w:hAnsi="宋体" w:eastAsia="宋体" w:cs="宋体"/>
      <w:b/>
      <w:bCs/>
      <w:sz w:val="28"/>
      <w:szCs w:val="28"/>
    </w:rPr>
  </w:style>
  <w:style w:type="character" w:customStyle="1" w:styleId="37">
    <w:name w:val="标题 2 Char"/>
    <w:basedOn w:val="24"/>
    <w:link w:val="3"/>
    <w:qFormat/>
    <w:uiPriority w:val="1"/>
    <w:rPr>
      <w:rFonts w:ascii="黑体" w:hAnsi="黑体" w:eastAsia="黑体" w:cs="黑体"/>
      <w:sz w:val="28"/>
      <w:szCs w:val="28"/>
    </w:rPr>
  </w:style>
  <w:style w:type="character" w:customStyle="1" w:styleId="38">
    <w:name w:val="标题 3 Char"/>
    <w:basedOn w:val="24"/>
    <w:link w:val="4"/>
    <w:qFormat/>
    <w:uiPriority w:val="1"/>
    <w:rPr>
      <w:rFonts w:ascii="宋体" w:hAnsi="宋体" w:eastAsia="宋体" w:cs="宋体"/>
      <w:sz w:val="29"/>
      <w:szCs w:val="29"/>
    </w:rPr>
  </w:style>
  <w:style w:type="character" w:customStyle="1" w:styleId="39">
    <w:name w:val="标题 4 Char"/>
    <w:basedOn w:val="24"/>
    <w:link w:val="5"/>
    <w:qFormat/>
    <w:uiPriority w:val="99"/>
    <w:rPr>
      <w:rFonts w:ascii="Calibri" w:hAnsi="Calibri" w:eastAsia="宋体" w:cs="Times New Roman"/>
      <w:b/>
      <w:bCs/>
      <w:kern w:val="0"/>
      <w:sz w:val="24"/>
      <w:szCs w:val="24"/>
    </w:rPr>
  </w:style>
  <w:style w:type="character" w:customStyle="1" w:styleId="40">
    <w:name w:val="标题 7 Char"/>
    <w:basedOn w:val="24"/>
    <w:link w:val="6"/>
    <w:qFormat/>
    <w:uiPriority w:val="1"/>
    <w:rPr>
      <w:rFonts w:ascii="宋体" w:hAnsi="宋体" w:eastAsia="宋体" w:cs="宋体"/>
      <w:b/>
      <w:bCs/>
      <w:szCs w:val="21"/>
    </w:rPr>
  </w:style>
  <w:style w:type="character" w:customStyle="1" w:styleId="41">
    <w:name w:val="正文文本 Char"/>
    <w:basedOn w:val="24"/>
    <w:link w:val="8"/>
    <w:qFormat/>
    <w:uiPriority w:val="1"/>
    <w:rPr>
      <w:rFonts w:ascii="宋体" w:hAnsi="宋体" w:eastAsia="宋体" w:cs="宋体"/>
      <w:sz w:val="23"/>
      <w:szCs w:val="23"/>
    </w:rPr>
  </w:style>
  <w:style w:type="character" w:customStyle="1" w:styleId="42">
    <w:name w:val="正文文本缩进 Char"/>
    <w:basedOn w:val="24"/>
    <w:link w:val="9"/>
    <w:qFormat/>
    <w:uiPriority w:val="0"/>
    <w:rPr>
      <w:rFonts w:ascii="宋体" w:hAnsi="Calibri" w:eastAsia="仿宋" w:cs="Times New Roman"/>
      <w:sz w:val="24"/>
      <w:szCs w:val="21"/>
    </w:rPr>
  </w:style>
  <w:style w:type="character" w:customStyle="1" w:styleId="43">
    <w:name w:val="纯文本 Char"/>
    <w:basedOn w:val="24"/>
    <w:link w:val="11"/>
    <w:qFormat/>
    <w:uiPriority w:val="0"/>
    <w:rPr>
      <w:rFonts w:ascii="宋体" w:hAnsi="Courier New" w:eastAsia="宋体" w:cs="Courier New"/>
      <w:szCs w:val="21"/>
    </w:rPr>
  </w:style>
  <w:style w:type="character" w:customStyle="1" w:styleId="44">
    <w:name w:val="页脚 Char"/>
    <w:basedOn w:val="24"/>
    <w:link w:val="13"/>
    <w:qFormat/>
    <w:uiPriority w:val="0"/>
    <w:rPr>
      <w:rFonts w:ascii="Calibri" w:hAnsi="Calibri" w:eastAsia="宋体" w:cs="Times New Roman"/>
      <w:sz w:val="18"/>
      <w:szCs w:val="18"/>
    </w:rPr>
  </w:style>
  <w:style w:type="character" w:customStyle="1" w:styleId="45">
    <w:name w:val="页眉 Char"/>
    <w:basedOn w:val="24"/>
    <w:link w:val="15"/>
    <w:qFormat/>
    <w:uiPriority w:val="0"/>
    <w:rPr>
      <w:rFonts w:ascii="Calibri" w:hAnsi="Calibri" w:eastAsia="宋体" w:cs="Times New Roman"/>
      <w:sz w:val="18"/>
      <w:szCs w:val="24"/>
    </w:rPr>
  </w:style>
  <w:style w:type="character" w:customStyle="1" w:styleId="46">
    <w:name w:val="HTML 预设格式 Char"/>
    <w:basedOn w:val="24"/>
    <w:link w:val="18"/>
    <w:qFormat/>
    <w:uiPriority w:val="0"/>
    <w:rPr>
      <w:rFonts w:ascii="Arial" w:hAnsi="Arial" w:eastAsia="宋体" w:cs="Arial"/>
      <w:kern w:val="0"/>
      <w:sz w:val="25"/>
      <w:szCs w:val="25"/>
    </w:rPr>
  </w:style>
  <w:style w:type="character" w:customStyle="1" w:styleId="47">
    <w:name w:val="正文首行缩进 Char"/>
    <w:basedOn w:val="41"/>
    <w:link w:val="20"/>
    <w:qFormat/>
    <w:uiPriority w:val="99"/>
    <w:rPr>
      <w:rFonts w:ascii="Times New Roman" w:hAnsi="Times New Roman" w:eastAsia="宋体" w:cs="Times New Roman"/>
      <w:sz w:val="23"/>
      <w:szCs w:val="24"/>
    </w:rPr>
  </w:style>
  <w:style w:type="character" w:customStyle="1" w:styleId="48">
    <w:name w:val="正文首行缩进 2 Char"/>
    <w:basedOn w:val="42"/>
    <w:link w:val="21"/>
    <w:qFormat/>
    <w:uiPriority w:val="0"/>
    <w:rPr>
      <w:rFonts w:ascii="Times New Roman" w:hAnsi="Times New Roman" w:eastAsia="宋体" w:cs="Times New Roman"/>
      <w:sz w:val="24"/>
      <w:szCs w:val="21"/>
    </w:rPr>
  </w:style>
  <w:style w:type="paragraph" w:customStyle="1" w:styleId="49">
    <w:name w:val="Default"/>
    <w:next w:val="17"/>
    <w:qFormat/>
    <w:uiPriority w:val="0"/>
    <w:pPr>
      <w:widowControl w:val="0"/>
      <w:autoSpaceDE w:val="0"/>
      <w:autoSpaceDN w:val="0"/>
      <w:adjustRightInd w:val="0"/>
    </w:pPr>
    <w:rPr>
      <w:rFonts w:ascii="Tahoma" w:hAnsi="Tahoma" w:eastAsia="宋体" w:cs="Tahoma"/>
      <w:color w:val="000000"/>
      <w:kern w:val="0"/>
      <w:sz w:val="24"/>
      <w:szCs w:val="24"/>
      <w:lang w:val="en-US" w:eastAsia="zh-CN" w:bidi="ar-SA"/>
    </w:rPr>
  </w:style>
  <w:style w:type="paragraph" w:customStyle="1" w:styleId="50">
    <w:name w:val="样式2"/>
    <w:basedOn w:val="1"/>
    <w:qFormat/>
    <w:uiPriority w:val="0"/>
    <w:pPr>
      <w:ind w:firstLine="4620" w:firstLineChars="2200"/>
    </w:pPr>
    <w:rPr>
      <w:rFonts w:ascii="Calibri" w:hAnsi="Calibri" w:eastAsia="宋体" w:cs="Times New Roman"/>
      <w:sz w:val="18"/>
      <w:szCs w:val="24"/>
    </w:rPr>
  </w:style>
  <w:style w:type="paragraph" w:customStyle="1" w:styleId="51">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52">
    <w:name w:val="Table Paragraph"/>
    <w:basedOn w:val="1"/>
    <w:qFormat/>
    <w:uiPriority w:val="1"/>
    <w:rPr>
      <w:rFonts w:ascii="宋体" w:hAnsi="宋体" w:eastAsia="宋体" w:cs="宋体"/>
      <w:szCs w:val="24"/>
    </w:rPr>
  </w:style>
  <w:style w:type="paragraph" w:styleId="53">
    <w:name w:val="List Paragraph"/>
    <w:basedOn w:val="1"/>
    <w:qFormat/>
    <w:uiPriority w:val="1"/>
    <w:pPr>
      <w:ind w:left="1182" w:hanging="483"/>
    </w:pPr>
    <w:rPr>
      <w:rFonts w:ascii="宋体" w:hAnsi="宋体" w:eastAsia="宋体" w:cs="宋体"/>
      <w:szCs w:val="24"/>
    </w:rPr>
  </w:style>
  <w:style w:type="character" w:customStyle="1" w:styleId="54">
    <w:name w:val="first-child"/>
    <w:basedOn w:val="24"/>
    <w:qFormat/>
    <w:uiPriority w:val="0"/>
  </w:style>
  <w:style w:type="character" w:customStyle="1" w:styleId="55">
    <w:name w:val="layui-layer-tabnow"/>
    <w:basedOn w:val="24"/>
    <w:qFormat/>
    <w:uiPriority w:val="0"/>
    <w:rPr>
      <w:bdr w:val="single" w:color="CCCCCC" w:sz="6" w:space="0"/>
      <w:shd w:val="clear" w:color="auto" w:fill="FFFFFF"/>
    </w:rPr>
  </w:style>
  <w:style w:type="paragraph" w:customStyle="1" w:styleId="56">
    <w:name w:val="_Style 1"/>
    <w:basedOn w:val="1"/>
    <w:qFormat/>
    <w:uiPriority w:val="34"/>
    <w:pPr>
      <w:ind w:firstLine="420" w:firstLineChars="200"/>
    </w:pPr>
    <w:rPr>
      <w:rFonts w:ascii="Times New Roman" w:hAnsi="Times New Roman" w:eastAsia="宋体" w:cs="Times New Roman"/>
      <w:szCs w:val="24"/>
    </w:rPr>
  </w:style>
  <w:style w:type="paragraph" w:customStyle="1" w:styleId="57">
    <w:name w:val="无间隔1"/>
    <w:qFormat/>
    <w:uiPriority w:val="0"/>
    <w:pPr>
      <w:widowControl w:val="0"/>
      <w:jc w:val="both"/>
    </w:pPr>
    <w:rPr>
      <w:rFonts w:ascii="Calibri" w:hAnsi="Calibri" w:eastAsia="Calibri" w:cs="Times New Roman"/>
      <w:kern w:val="2"/>
      <w:sz w:val="21"/>
      <w:szCs w:val="22"/>
      <w:lang w:val="en-US" w:eastAsia="zh-CN" w:bidi="ar-SA"/>
    </w:rPr>
  </w:style>
  <w:style w:type="character" w:customStyle="1" w:styleId="58">
    <w:name w:val="批注框文本 Char"/>
    <w:basedOn w:val="24"/>
    <w:link w:val="12"/>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22451</Words>
  <Characters>23961</Characters>
  <Lines>723</Lines>
  <Paragraphs>627</Paragraphs>
  <TotalTime>39</TotalTime>
  <ScaleCrop>false</ScaleCrop>
  <LinksUpToDate>false</LinksUpToDate>
  <CharactersWithSpaces>25685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2024-12-23T11:32:00Z</dcterms:created>
  <dc:creator>微软用户</dc:creator>
  <cp:lastModifiedBy>盛美工程管理</cp:lastModifiedBy>
  <cp:lastPrinted>2026-03-27T06:57:06Z</cp:lastPrinted>
  <dcterms:modified xsi:type="dcterms:W3CDTF">2026-03-27T07:43:57Z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eyJoZGlkIjoiNmMxYjNhOGQzODAxNDkxNjg2MWU4NzJmYjIzZDMzMjgiLCJ1c2VySWQiOiIyMzcxMzg1MTYifQ==</vt:lpwstr>
  </property>
  <property fmtid="{D5CDD505-2E9C-101B-9397-08002B2CF9AE}" pid="3" name="KSOProductBuildVer">
    <vt:lpwstr>2052-12.1.0.25225</vt:lpwstr>
  </property>
  <property fmtid="{D5CDD505-2E9C-101B-9397-08002B2CF9AE}" pid="4" name="ICV">
    <vt:lpwstr>00A65394785E447493D270D0477B06B9_12</vt:lpwstr>
  </property>
</Properties>
</file>